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A8DEB" w14:textId="287C8DE4" w:rsidR="00E24C38" w:rsidRPr="00052A2F" w:rsidRDefault="00C50CE1" w:rsidP="0062246E">
      <w:pPr>
        <w:pStyle w:val="Heading1"/>
        <w:spacing w:line="360" w:lineRule="auto"/>
        <w:rPr>
          <w:rFonts w:ascii="Times New Roman" w:hAnsi="Times New Roman" w:cs="Times New Roman"/>
          <w:color w:val="auto"/>
          <w:sz w:val="24"/>
          <w:szCs w:val="24"/>
          <w:lang w:val="en-ZA"/>
        </w:rPr>
      </w:pPr>
      <w:bookmarkStart w:id="0" w:name="_GoBack"/>
      <w:bookmarkEnd w:id="0"/>
      <w:r>
        <w:rPr>
          <w:rFonts w:ascii="Times New Roman" w:hAnsi="Times New Roman" w:cs="Times New Roman"/>
          <w:color w:val="auto"/>
          <w:sz w:val="24"/>
          <w:szCs w:val="24"/>
          <w:lang w:val="en-ZA"/>
        </w:rPr>
        <w:t xml:space="preserve">6. </w:t>
      </w:r>
      <w:r w:rsidR="00E24C38" w:rsidRPr="00052A2F">
        <w:rPr>
          <w:rFonts w:ascii="Times New Roman" w:hAnsi="Times New Roman" w:cs="Times New Roman"/>
          <w:color w:val="auto"/>
          <w:sz w:val="24"/>
          <w:szCs w:val="24"/>
          <w:lang w:val="en-ZA"/>
        </w:rPr>
        <w:t>Report of the Portfolio Committee on Trade and Industry on Budget Vote 3</w:t>
      </w:r>
      <w:r w:rsidR="001672D5" w:rsidRPr="00052A2F">
        <w:rPr>
          <w:rFonts w:ascii="Times New Roman" w:hAnsi="Times New Roman" w:cs="Times New Roman"/>
          <w:color w:val="auto"/>
          <w:sz w:val="24"/>
          <w:szCs w:val="24"/>
          <w:lang w:val="en-ZA"/>
        </w:rPr>
        <w:t>4</w:t>
      </w:r>
      <w:r w:rsidR="00E24C38" w:rsidRPr="00052A2F">
        <w:rPr>
          <w:rFonts w:ascii="Times New Roman" w:hAnsi="Times New Roman" w:cs="Times New Roman"/>
          <w:color w:val="auto"/>
          <w:sz w:val="24"/>
          <w:szCs w:val="24"/>
          <w:lang w:val="en-ZA"/>
        </w:rPr>
        <w:t>: Trade</w:t>
      </w:r>
      <w:r w:rsidR="00654687">
        <w:rPr>
          <w:rFonts w:ascii="Times New Roman" w:hAnsi="Times New Roman" w:cs="Times New Roman"/>
          <w:color w:val="auto"/>
          <w:sz w:val="24"/>
          <w:szCs w:val="24"/>
          <w:lang w:val="en-ZA"/>
        </w:rPr>
        <w:t xml:space="preserve"> and Industry, dated 10 </w:t>
      </w:r>
      <w:r w:rsidR="00597F2A" w:rsidRPr="00052A2F">
        <w:rPr>
          <w:rFonts w:ascii="Times New Roman" w:hAnsi="Times New Roman" w:cs="Times New Roman"/>
          <w:color w:val="auto"/>
          <w:sz w:val="24"/>
          <w:szCs w:val="24"/>
          <w:lang w:val="en-ZA"/>
        </w:rPr>
        <w:t xml:space="preserve">May </w:t>
      </w:r>
      <w:r w:rsidR="00335BE1" w:rsidRPr="00052A2F">
        <w:rPr>
          <w:rFonts w:ascii="Times New Roman" w:hAnsi="Times New Roman" w:cs="Times New Roman"/>
          <w:color w:val="auto"/>
          <w:sz w:val="24"/>
          <w:szCs w:val="24"/>
          <w:lang w:val="en-ZA"/>
        </w:rPr>
        <w:t>201</w:t>
      </w:r>
      <w:r w:rsidR="001B30C8">
        <w:rPr>
          <w:rFonts w:ascii="Times New Roman" w:hAnsi="Times New Roman" w:cs="Times New Roman"/>
          <w:color w:val="auto"/>
          <w:sz w:val="24"/>
          <w:szCs w:val="24"/>
          <w:lang w:val="en-ZA"/>
        </w:rPr>
        <w:t>8</w:t>
      </w:r>
    </w:p>
    <w:p w14:paraId="35A34D95" w14:textId="77777777" w:rsidR="00E24C38" w:rsidRPr="00052A2F" w:rsidRDefault="00E24C38" w:rsidP="0062246E">
      <w:pPr>
        <w:rPr>
          <w:rFonts w:cs="Times New Roman"/>
          <w:szCs w:val="24"/>
        </w:rPr>
      </w:pPr>
    </w:p>
    <w:p w14:paraId="54E42578" w14:textId="77777777" w:rsidR="00E24C38" w:rsidRPr="00052A2F" w:rsidRDefault="00E24C38" w:rsidP="0062246E">
      <w:pPr>
        <w:rPr>
          <w:rFonts w:cs="Times New Roman"/>
          <w:szCs w:val="24"/>
        </w:rPr>
      </w:pPr>
      <w:r w:rsidRPr="00052A2F">
        <w:rPr>
          <w:rFonts w:cs="Times New Roman"/>
          <w:szCs w:val="24"/>
        </w:rPr>
        <w:t>The Portfolio Committee on Trade and Industry, having considered Budget Vote 3</w:t>
      </w:r>
      <w:r w:rsidR="008E12E1" w:rsidRPr="00052A2F">
        <w:rPr>
          <w:rFonts w:cs="Times New Roman"/>
          <w:szCs w:val="24"/>
        </w:rPr>
        <w:t>4</w:t>
      </w:r>
      <w:r w:rsidRPr="00052A2F">
        <w:rPr>
          <w:rFonts w:cs="Times New Roman"/>
          <w:szCs w:val="24"/>
        </w:rPr>
        <w:t xml:space="preserve">: Trade and Industry, reports as follows: </w:t>
      </w:r>
    </w:p>
    <w:p w14:paraId="4F7E4C5A" w14:textId="77777777" w:rsidR="00041F2E" w:rsidRPr="00052A2F" w:rsidRDefault="00041F2E" w:rsidP="0062246E">
      <w:pPr>
        <w:rPr>
          <w:rFonts w:cs="Times New Roman"/>
          <w:szCs w:val="24"/>
        </w:rPr>
      </w:pPr>
    </w:p>
    <w:p w14:paraId="3B43F7C8" w14:textId="77777777" w:rsidR="005069AB" w:rsidRPr="00052A2F" w:rsidRDefault="005069AB" w:rsidP="0062246E">
      <w:pPr>
        <w:pStyle w:val="ListParagraph"/>
        <w:numPr>
          <w:ilvl w:val="0"/>
          <w:numId w:val="2"/>
        </w:numPr>
        <w:ind w:left="284" w:hanging="284"/>
        <w:rPr>
          <w:rFonts w:cs="Times New Roman"/>
          <w:b/>
          <w:szCs w:val="24"/>
        </w:rPr>
      </w:pPr>
      <w:r w:rsidRPr="00052A2F">
        <w:rPr>
          <w:rFonts w:cs="Times New Roman"/>
          <w:b/>
          <w:szCs w:val="24"/>
        </w:rPr>
        <w:t xml:space="preserve">Introduction </w:t>
      </w:r>
    </w:p>
    <w:p w14:paraId="39857A64" w14:textId="77777777" w:rsidR="005069AB" w:rsidRPr="00052A2F" w:rsidRDefault="005069AB" w:rsidP="0062246E">
      <w:pPr>
        <w:rPr>
          <w:rFonts w:cs="Times New Roman"/>
          <w:szCs w:val="24"/>
        </w:rPr>
      </w:pPr>
    </w:p>
    <w:p w14:paraId="5F6330D3" w14:textId="77777777" w:rsidR="009E0093" w:rsidRDefault="009E0093" w:rsidP="009E0093">
      <w:pPr>
        <w:rPr>
          <w:rFonts w:cs="Times New Roman"/>
          <w:szCs w:val="28"/>
          <w:lang w:val="en-US"/>
        </w:rPr>
      </w:pPr>
      <w:r w:rsidRPr="00904CFB">
        <w:rPr>
          <w:rFonts w:cs="Times New Roman"/>
          <w:szCs w:val="28"/>
          <w:lang w:val="en-US"/>
        </w:rPr>
        <w:t>The</w:t>
      </w:r>
      <w:r>
        <w:rPr>
          <w:rFonts w:cs="Times New Roman"/>
          <w:szCs w:val="28"/>
          <w:lang w:val="en-US"/>
        </w:rPr>
        <w:t xml:space="preserve"> Department of Trade and Industry (</w:t>
      </w:r>
      <w:r w:rsidRPr="00904CFB">
        <w:rPr>
          <w:rFonts w:cs="Times New Roman"/>
          <w:szCs w:val="28"/>
          <w:lang w:val="en-US"/>
        </w:rPr>
        <w:t>DTI</w:t>
      </w:r>
      <w:r>
        <w:rPr>
          <w:rFonts w:cs="Times New Roman"/>
          <w:szCs w:val="28"/>
          <w:lang w:val="en-US"/>
        </w:rPr>
        <w:t>)</w:t>
      </w:r>
      <w:r w:rsidRPr="00904CFB">
        <w:rPr>
          <w:rFonts w:cs="Times New Roman"/>
          <w:szCs w:val="28"/>
          <w:lang w:val="en-US"/>
        </w:rPr>
        <w:t xml:space="preserve"> will use </w:t>
      </w:r>
      <w:r>
        <w:rPr>
          <w:rFonts w:cs="Times New Roman"/>
          <w:szCs w:val="28"/>
          <w:lang w:val="en-US"/>
        </w:rPr>
        <w:t>its</w:t>
      </w:r>
      <w:r w:rsidRPr="00904CFB">
        <w:rPr>
          <w:rFonts w:cs="Times New Roman"/>
          <w:szCs w:val="28"/>
          <w:lang w:val="en-US"/>
        </w:rPr>
        <w:t xml:space="preserve"> budget of R9.5</w:t>
      </w:r>
      <w:r>
        <w:rPr>
          <w:rFonts w:cs="Times New Roman"/>
          <w:szCs w:val="28"/>
          <w:lang w:val="en-US"/>
        </w:rPr>
        <w:t xml:space="preserve"> </w:t>
      </w:r>
      <w:r w:rsidRPr="00904CFB">
        <w:rPr>
          <w:rFonts w:cs="Times New Roman"/>
          <w:szCs w:val="28"/>
          <w:lang w:val="en-US"/>
        </w:rPr>
        <w:t>b</w:t>
      </w:r>
      <w:r>
        <w:rPr>
          <w:rFonts w:cs="Times New Roman"/>
          <w:szCs w:val="28"/>
          <w:lang w:val="en-US"/>
        </w:rPr>
        <w:t>illio</w:t>
      </w:r>
      <w:r w:rsidRPr="00904CFB">
        <w:rPr>
          <w:rFonts w:cs="Times New Roman"/>
          <w:szCs w:val="28"/>
          <w:lang w:val="en-US"/>
        </w:rPr>
        <w:t xml:space="preserve">n to accelerate its </w:t>
      </w:r>
      <w:r>
        <w:rPr>
          <w:rFonts w:cs="Times New Roman"/>
          <w:szCs w:val="28"/>
          <w:lang w:val="en-US"/>
        </w:rPr>
        <w:t xml:space="preserve">industrialisation </w:t>
      </w:r>
      <w:r w:rsidRPr="00904CFB">
        <w:rPr>
          <w:rFonts w:cs="Times New Roman"/>
          <w:szCs w:val="28"/>
          <w:lang w:val="en-US"/>
        </w:rPr>
        <w:t xml:space="preserve">drive </w:t>
      </w:r>
      <w:r>
        <w:rPr>
          <w:rFonts w:cs="Times New Roman"/>
          <w:szCs w:val="28"/>
          <w:lang w:val="en-US"/>
        </w:rPr>
        <w:t>to restructure the South Africa’s</w:t>
      </w:r>
      <w:r w:rsidRPr="00904CFB">
        <w:rPr>
          <w:rFonts w:cs="Times New Roman"/>
          <w:szCs w:val="28"/>
          <w:lang w:val="en-US"/>
        </w:rPr>
        <w:t xml:space="preserve"> </w:t>
      </w:r>
      <w:r>
        <w:rPr>
          <w:rFonts w:cs="Times New Roman"/>
          <w:szCs w:val="28"/>
          <w:lang w:val="en-US"/>
        </w:rPr>
        <w:t xml:space="preserve">manufacturing sector </w:t>
      </w:r>
      <w:r w:rsidRPr="00904CFB">
        <w:rPr>
          <w:rFonts w:cs="Times New Roman"/>
          <w:szCs w:val="28"/>
          <w:lang w:val="en-US"/>
        </w:rPr>
        <w:t xml:space="preserve">to </w:t>
      </w:r>
      <w:r>
        <w:rPr>
          <w:rFonts w:cs="Times New Roman"/>
          <w:szCs w:val="28"/>
          <w:lang w:val="en-US"/>
        </w:rPr>
        <w:t xml:space="preserve">contribute towards </w:t>
      </w:r>
      <w:r w:rsidRPr="00904CFB">
        <w:rPr>
          <w:rFonts w:cs="Times New Roman"/>
          <w:szCs w:val="28"/>
          <w:lang w:val="en-US"/>
        </w:rPr>
        <w:t>a more inclusiv</w:t>
      </w:r>
      <w:r>
        <w:rPr>
          <w:rFonts w:cs="Times New Roman"/>
          <w:szCs w:val="28"/>
          <w:lang w:val="en-US"/>
        </w:rPr>
        <w:t>e, broad-</w:t>
      </w:r>
      <w:r w:rsidRPr="00904CFB">
        <w:rPr>
          <w:rFonts w:cs="Times New Roman"/>
          <w:szCs w:val="28"/>
          <w:lang w:val="en-US"/>
        </w:rPr>
        <w:t>based economy</w:t>
      </w:r>
      <w:r>
        <w:rPr>
          <w:rFonts w:cs="Times New Roman"/>
          <w:szCs w:val="28"/>
          <w:lang w:val="en-US"/>
        </w:rPr>
        <w:t xml:space="preserve"> and</w:t>
      </w:r>
      <w:r w:rsidRPr="00904CFB">
        <w:rPr>
          <w:rFonts w:cs="Times New Roman"/>
          <w:szCs w:val="28"/>
          <w:lang w:val="en-US"/>
        </w:rPr>
        <w:t xml:space="preserve"> a more competitive</w:t>
      </w:r>
      <w:r>
        <w:rPr>
          <w:rFonts w:cs="Times New Roman"/>
          <w:szCs w:val="28"/>
          <w:lang w:val="en-US"/>
        </w:rPr>
        <w:t>ly trading country</w:t>
      </w:r>
      <w:r w:rsidRPr="00904CFB">
        <w:rPr>
          <w:rFonts w:cs="Times New Roman"/>
          <w:szCs w:val="28"/>
          <w:lang w:val="en-US"/>
        </w:rPr>
        <w:t>. Bold and decisive action, in line with the National Development Plan (NDP), can expand the value-added industrialization and agro</w:t>
      </w:r>
      <w:r>
        <w:rPr>
          <w:rFonts w:cs="Times New Roman"/>
          <w:szCs w:val="28"/>
          <w:lang w:val="en-US"/>
        </w:rPr>
        <w:t>-</w:t>
      </w:r>
      <w:r w:rsidRPr="00904CFB">
        <w:rPr>
          <w:rFonts w:cs="Times New Roman"/>
          <w:szCs w:val="28"/>
          <w:lang w:val="en-US"/>
        </w:rPr>
        <w:t>processing sectors to achieve the employment goals of the country</w:t>
      </w:r>
      <w:r>
        <w:rPr>
          <w:rFonts w:cs="Times New Roman"/>
          <w:szCs w:val="28"/>
          <w:lang w:val="en-US"/>
        </w:rPr>
        <w:t>,</w:t>
      </w:r>
      <w:r w:rsidRPr="00904CFB">
        <w:rPr>
          <w:rFonts w:cs="Times New Roman"/>
          <w:szCs w:val="28"/>
          <w:lang w:val="en-US"/>
        </w:rPr>
        <w:t xml:space="preserve"> overcome poverty and cut the income gap.</w:t>
      </w:r>
    </w:p>
    <w:p w14:paraId="7B5504E3" w14:textId="77777777" w:rsidR="009E0093" w:rsidRPr="00904CFB" w:rsidRDefault="009E0093" w:rsidP="009E0093">
      <w:pPr>
        <w:rPr>
          <w:rFonts w:cs="Times New Roman"/>
          <w:szCs w:val="28"/>
          <w:lang w:val="en-US"/>
        </w:rPr>
      </w:pPr>
    </w:p>
    <w:p w14:paraId="07A96A6F" w14:textId="77777777" w:rsidR="009E0093" w:rsidRPr="00904CFB" w:rsidRDefault="009E0093" w:rsidP="009E0093">
      <w:pPr>
        <w:rPr>
          <w:rFonts w:cs="Times New Roman"/>
          <w:szCs w:val="28"/>
          <w:lang w:val="en-US"/>
        </w:rPr>
      </w:pPr>
      <w:r w:rsidRPr="00904CFB">
        <w:rPr>
          <w:rFonts w:cs="Times New Roman"/>
          <w:szCs w:val="28"/>
          <w:lang w:val="en-US"/>
        </w:rPr>
        <w:t xml:space="preserve">A higher </w:t>
      </w:r>
      <w:r>
        <w:rPr>
          <w:rFonts w:cs="Times New Roman"/>
          <w:szCs w:val="28"/>
          <w:lang w:val="en-US"/>
        </w:rPr>
        <w:t xml:space="preserve">impact </w:t>
      </w:r>
      <w:r w:rsidRPr="00904CFB">
        <w:rPr>
          <w:rFonts w:cs="Times New Roman"/>
          <w:szCs w:val="28"/>
          <w:lang w:val="en-US"/>
        </w:rPr>
        <w:t>Industrial Policy Action Plan (IPAP) remains central to the DTI which will employ all its policy levers, including the considerable Government procurement spend to leverage the economic capabilities of South Africa through</w:t>
      </w:r>
      <w:r>
        <w:rPr>
          <w:rFonts w:cs="Times New Roman"/>
          <w:szCs w:val="28"/>
          <w:lang w:val="en-US"/>
        </w:rPr>
        <w:t>,</w:t>
      </w:r>
      <w:r w:rsidRPr="00904CFB">
        <w:rPr>
          <w:rFonts w:cs="Times New Roman"/>
          <w:szCs w:val="28"/>
          <w:lang w:val="en-US"/>
        </w:rPr>
        <w:t xml:space="preserve"> among other policy interventions</w:t>
      </w:r>
      <w:r>
        <w:rPr>
          <w:rFonts w:cs="Times New Roman"/>
          <w:szCs w:val="28"/>
          <w:lang w:val="en-US"/>
        </w:rPr>
        <w:t>,</w:t>
      </w:r>
      <w:r w:rsidRPr="00904CFB">
        <w:rPr>
          <w:rFonts w:cs="Times New Roman"/>
          <w:szCs w:val="28"/>
          <w:lang w:val="en-US"/>
        </w:rPr>
        <w:t xml:space="preserve"> localization using designated products and </w:t>
      </w:r>
      <w:r>
        <w:rPr>
          <w:rFonts w:cs="Times New Roman"/>
          <w:szCs w:val="28"/>
          <w:lang w:val="en-US"/>
        </w:rPr>
        <w:t>sectors</w:t>
      </w:r>
      <w:r w:rsidRPr="00904CFB">
        <w:rPr>
          <w:rFonts w:cs="Times New Roman"/>
          <w:szCs w:val="28"/>
          <w:lang w:val="en-US"/>
        </w:rPr>
        <w:t xml:space="preserve">. The success of this intervention depends upon </w:t>
      </w:r>
      <w:r>
        <w:rPr>
          <w:rFonts w:cs="Times New Roman"/>
          <w:szCs w:val="28"/>
          <w:lang w:val="en-US"/>
        </w:rPr>
        <w:t>the public sector and its State-</w:t>
      </w:r>
      <w:r w:rsidRPr="00904CFB">
        <w:rPr>
          <w:rFonts w:cs="Times New Roman"/>
          <w:szCs w:val="28"/>
          <w:lang w:val="en-US"/>
        </w:rPr>
        <w:t>Owned Entities ensuring</w:t>
      </w:r>
      <w:r>
        <w:rPr>
          <w:rFonts w:cs="Times New Roman"/>
          <w:szCs w:val="28"/>
          <w:lang w:val="en-US"/>
        </w:rPr>
        <w:t xml:space="preserve"> that</w:t>
      </w:r>
      <w:r w:rsidRPr="00904CFB">
        <w:rPr>
          <w:rFonts w:cs="Times New Roman"/>
          <w:szCs w:val="28"/>
          <w:lang w:val="en-US"/>
        </w:rPr>
        <w:t xml:space="preserve"> they support localization in the industrial and agricultural sectors as well as </w:t>
      </w:r>
      <w:r>
        <w:rPr>
          <w:rFonts w:cs="Times New Roman"/>
          <w:szCs w:val="28"/>
          <w:lang w:val="en-US"/>
        </w:rPr>
        <w:t xml:space="preserve">through the </w:t>
      </w:r>
      <w:r w:rsidRPr="00904CFB">
        <w:rPr>
          <w:rFonts w:cs="Times New Roman"/>
          <w:szCs w:val="28"/>
          <w:lang w:val="en-US"/>
        </w:rPr>
        <w:t>service</w:t>
      </w:r>
      <w:r>
        <w:rPr>
          <w:rFonts w:cs="Times New Roman"/>
          <w:szCs w:val="28"/>
          <w:lang w:val="en-US"/>
        </w:rPr>
        <w:t xml:space="preserve"> </w:t>
      </w:r>
      <w:r w:rsidRPr="00904CFB">
        <w:rPr>
          <w:rFonts w:cs="Times New Roman"/>
          <w:szCs w:val="28"/>
          <w:lang w:val="en-US"/>
        </w:rPr>
        <w:t>s</w:t>
      </w:r>
      <w:r>
        <w:rPr>
          <w:rFonts w:cs="Times New Roman"/>
          <w:szCs w:val="28"/>
          <w:lang w:val="en-US"/>
        </w:rPr>
        <w:t>ector</w:t>
      </w:r>
      <w:r w:rsidRPr="00904CFB">
        <w:rPr>
          <w:rFonts w:cs="Times New Roman"/>
          <w:szCs w:val="28"/>
          <w:lang w:val="en-US"/>
        </w:rPr>
        <w:t xml:space="preserve">. </w:t>
      </w:r>
      <w:r w:rsidRPr="009E0093">
        <w:rPr>
          <w:rFonts w:cs="Times New Roman"/>
          <w:szCs w:val="28"/>
          <w:lang w:val="en-US"/>
        </w:rPr>
        <w:t>This budget also recognizes the value of Public-Private Partnerships (PPP), as well as the contribution to social compacts with civil society including the unions.</w:t>
      </w:r>
      <w:r w:rsidRPr="00904CFB">
        <w:rPr>
          <w:rFonts w:cs="Times New Roman"/>
          <w:szCs w:val="28"/>
          <w:lang w:val="en-US"/>
        </w:rPr>
        <w:t xml:space="preserve"> Indeed</w:t>
      </w:r>
      <w:r>
        <w:rPr>
          <w:rFonts w:cs="Times New Roman"/>
          <w:szCs w:val="28"/>
          <w:lang w:val="en-US"/>
        </w:rPr>
        <w:t>,</w:t>
      </w:r>
      <w:r w:rsidRPr="00904CFB">
        <w:rPr>
          <w:rFonts w:cs="Times New Roman"/>
          <w:szCs w:val="28"/>
          <w:lang w:val="en-US"/>
        </w:rPr>
        <w:t xml:space="preserve"> all South Africans are invited to join these trade and industry initiatives to grow our economy and take it to a higher trajectory.</w:t>
      </w:r>
    </w:p>
    <w:p w14:paraId="0964E272" w14:textId="77777777" w:rsidR="009E0093" w:rsidRDefault="009E0093" w:rsidP="009E0093">
      <w:pPr>
        <w:rPr>
          <w:rFonts w:cs="Times New Roman"/>
          <w:szCs w:val="28"/>
          <w:lang w:val="en-US"/>
        </w:rPr>
      </w:pPr>
    </w:p>
    <w:p w14:paraId="7E4FD2C7" w14:textId="77777777" w:rsidR="009E0093" w:rsidRPr="00904CFB" w:rsidRDefault="009E0093" w:rsidP="009E0093">
      <w:pPr>
        <w:rPr>
          <w:rFonts w:cs="Times New Roman"/>
          <w:szCs w:val="28"/>
          <w:lang w:val="en-US"/>
        </w:rPr>
      </w:pPr>
      <w:r w:rsidRPr="00904CFB">
        <w:rPr>
          <w:rFonts w:cs="Times New Roman"/>
          <w:szCs w:val="28"/>
          <w:lang w:val="en-US"/>
        </w:rPr>
        <w:t xml:space="preserve">South Africa continues to play a prominent role in the regional economic integration of </w:t>
      </w:r>
      <w:r>
        <w:rPr>
          <w:rFonts w:cs="Times New Roman"/>
          <w:szCs w:val="28"/>
          <w:lang w:val="en-US"/>
        </w:rPr>
        <w:t xml:space="preserve">the </w:t>
      </w:r>
      <w:r w:rsidRPr="00904CFB">
        <w:rPr>
          <w:rFonts w:cs="Times New Roman"/>
          <w:szCs w:val="28"/>
          <w:lang w:val="en-US"/>
        </w:rPr>
        <w:t>Africa</w:t>
      </w:r>
      <w:r>
        <w:rPr>
          <w:rFonts w:cs="Times New Roman"/>
          <w:szCs w:val="28"/>
          <w:lang w:val="en-US"/>
        </w:rPr>
        <w:t xml:space="preserve"> continent</w:t>
      </w:r>
      <w:r w:rsidRPr="00904CFB">
        <w:rPr>
          <w:rFonts w:cs="Times New Roman"/>
          <w:szCs w:val="28"/>
          <w:lang w:val="en-US"/>
        </w:rPr>
        <w:t>, as it also pursues the Tri-partite Free Trade Area (T-FTA)</w:t>
      </w:r>
      <w:r>
        <w:rPr>
          <w:rFonts w:cs="Times New Roman"/>
          <w:szCs w:val="28"/>
          <w:lang w:val="en-US"/>
        </w:rPr>
        <w:t xml:space="preserve"> and Continental Free Trade Area (CFTA)</w:t>
      </w:r>
      <w:r w:rsidRPr="00904CFB">
        <w:rPr>
          <w:rFonts w:cs="Times New Roman"/>
          <w:szCs w:val="28"/>
          <w:lang w:val="en-US"/>
        </w:rPr>
        <w:t xml:space="preserve"> negotiations. Intra-Africa</w:t>
      </w:r>
      <w:r>
        <w:rPr>
          <w:rFonts w:cs="Times New Roman"/>
          <w:szCs w:val="28"/>
          <w:lang w:val="en-US"/>
        </w:rPr>
        <w:t>n</w:t>
      </w:r>
      <w:r w:rsidRPr="00904CFB">
        <w:rPr>
          <w:rFonts w:cs="Times New Roman"/>
          <w:szCs w:val="28"/>
          <w:lang w:val="en-US"/>
        </w:rPr>
        <w:t xml:space="preserve"> Trade is increasing with a number of trad</w:t>
      </w:r>
      <w:r>
        <w:rPr>
          <w:rFonts w:cs="Times New Roman"/>
          <w:szCs w:val="28"/>
          <w:lang w:val="en-US"/>
        </w:rPr>
        <w:t>e</w:t>
      </w:r>
      <w:r w:rsidRPr="00904CFB">
        <w:rPr>
          <w:rFonts w:cs="Times New Roman"/>
          <w:szCs w:val="28"/>
          <w:lang w:val="en-US"/>
        </w:rPr>
        <w:t xml:space="preserve"> </w:t>
      </w:r>
      <w:r>
        <w:rPr>
          <w:rFonts w:cs="Times New Roman"/>
          <w:szCs w:val="28"/>
          <w:lang w:val="en-US"/>
        </w:rPr>
        <w:t>missions</w:t>
      </w:r>
      <w:r w:rsidRPr="00904CFB">
        <w:rPr>
          <w:rFonts w:cs="Times New Roman"/>
          <w:szCs w:val="28"/>
          <w:lang w:val="en-US"/>
        </w:rPr>
        <w:t xml:space="preserve"> achieving significant orders for local manufacturers. The latest addition to the Department</w:t>
      </w:r>
      <w:r>
        <w:rPr>
          <w:rFonts w:cs="Times New Roman"/>
          <w:szCs w:val="28"/>
          <w:lang w:val="en-US"/>
        </w:rPr>
        <w:t>’</w:t>
      </w:r>
      <w:r w:rsidRPr="00904CFB">
        <w:rPr>
          <w:rFonts w:cs="Times New Roman"/>
          <w:szCs w:val="28"/>
          <w:lang w:val="en-US"/>
        </w:rPr>
        <w:t xml:space="preserve">s tools is Investment South Africa which is proving itself an asset as a consequence of its one-stop configuration where regional and international trading partners </w:t>
      </w:r>
      <w:r>
        <w:rPr>
          <w:rFonts w:cs="Times New Roman"/>
          <w:szCs w:val="28"/>
          <w:lang w:val="en-US"/>
        </w:rPr>
        <w:t>can</w:t>
      </w:r>
      <w:r w:rsidRPr="00904CFB">
        <w:rPr>
          <w:rFonts w:cs="Times New Roman"/>
          <w:szCs w:val="28"/>
          <w:lang w:val="en-US"/>
        </w:rPr>
        <w:t xml:space="preserve"> conduct and conclude all the necessary requirements to undertake productive investment </w:t>
      </w:r>
      <w:r>
        <w:rPr>
          <w:rFonts w:cs="Times New Roman"/>
          <w:szCs w:val="28"/>
          <w:lang w:val="en-US"/>
        </w:rPr>
        <w:t xml:space="preserve">in </w:t>
      </w:r>
      <w:r w:rsidRPr="00904CFB">
        <w:rPr>
          <w:rFonts w:cs="Times New Roman"/>
          <w:szCs w:val="28"/>
          <w:lang w:val="en-US"/>
        </w:rPr>
        <w:t>and trade</w:t>
      </w:r>
      <w:r>
        <w:rPr>
          <w:rFonts w:cs="Times New Roman"/>
          <w:szCs w:val="28"/>
          <w:lang w:val="en-US"/>
        </w:rPr>
        <w:t xml:space="preserve"> with South Africa</w:t>
      </w:r>
      <w:r w:rsidRPr="00904CFB">
        <w:rPr>
          <w:rFonts w:cs="Times New Roman"/>
          <w:szCs w:val="28"/>
          <w:lang w:val="en-US"/>
        </w:rPr>
        <w:t xml:space="preserve">. </w:t>
      </w:r>
      <w:r>
        <w:rPr>
          <w:rFonts w:cs="Times New Roman"/>
          <w:szCs w:val="28"/>
          <w:lang w:val="en-US"/>
        </w:rPr>
        <w:t xml:space="preserve">Furthermore, </w:t>
      </w:r>
      <w:r w:rsidRPr="00904CFB">
        <w:rPr>
          <w:rFonts w:cs="Times New Roman"/>
          <w:szCs w:val="28"/>
          <w:lang w:val="en-US"/>
        </w:rPr>
        <w:t xml:space="preserve">the technical architecture and regulatory </w:t>
      </w:r>
      <w:r w:rsidRPr="00904CFB">
        <w:rPr>
          <w:rFonts w:cs="Times New Roman"/>
          <w:szCs w:val="28"/>
          <w:lang w:val="en-US"/>
        </w:rPr>
        <w:lastRenderedPageBreak/>
        <w:t>institutions</w:t>
      </w:r>
      <w:r>
        <w:rPr>
          <w:rFonts w:cs="Times New Roman"/>
          <w:szCs w:val="28"/>
          <w:lang w:val="en-US"/>
        </w:rPr>
        <w:t xml:space="preserve"> also</w:t>
      </w:r>
      <w:r w:rsidRPr="00904CFB">
        <w:rPr>
          <w:rFonts w:cs="Times New Roman"/>
          <w:szCs w:val="28"/>
          <w:lang w:val="en-US"/>
        </w:rPr>
        <w:t xml:space="preserve"> play a key role in </w:t>
      </w:r>
      <w:r>
        <w:rPr>
          <w:rFonts w:cs="Times New Roman"/>
          <w:szCs w:val="28"/>
          <w:lang w:val="en-US"/>
        </w:rPr>
        <w:t>facilitat</w:t>
      </w:r>
      <w:r w:rsidRPr="00904CFB">
        <w:rPr>
          <w:rFonts w:cs="Times New Roman"/>
          <w:szCs w:val="28"/>
          <w:lang w:val="en-US"/>
        </w:rPr>
        <w:t>ing trade and investment</w:t>
      </w:r>
      <w:r>
        <w:rPr>
          <w:rFonts w:cs="Times New Roman"/>
          <w:szCs w:val="28"/>
          <w:lang w:val="en-US"/>
        </w:rPr>
        <w:t>,</w:t>
      </w:r>
      <w:r w:rsidRPr="00904CFB">
        <w:rPr>
          <w:rFonts w:cs="Times New Roman"/>
          <w:szCs w:val="28"/>
          <w:lang w:val="en-US"/>
        </w:rPr>
        <w:t xml:space="preserve"> as it gives confidence in our products but also protects our people.</w:t>
      </w:r>
    </w:p>
    <w:p w14:paraId="5756124E" w14:textId="77777777" w:rsidR="009E0093" w:rsidRDefault="009E0093" w:rsidP="009E0093">
      <w:pPr>
        <w:rPr>
          <w:rFonts w:cs="Times New Roman"/>
          <w:szCs w:val="28"/>
          <w:lang w:val="en-US"/>
        </w:rPr>
      </w:pPr>
    </w:p>
    <w:p w14:paraId="0094D8C5" w14:textId="2C3DB313" w:rsidR="00FF290E" w:rsidRPr="009E0093" w:rsidRDefault="009E0093" w:rsidP="0062246E">
      <w:pPr>
        <w:rPr>
          <w:rFonts w:cs="Times New Roman"/>
          <w:szCs w:val="28"/>
          <w:lang w:val="en-US"/>
        </w:rPr>
      </w:pPr>
      <w:r w:rsidRPr="00904CFB">
        <w:rPr>
          <w:rFonts w:cs="Times New Roman"/>
          <w:szCs w:val="28"/>
          <w:lang w:val="en-US"/>
        </w:rPr>
        <w:t>The Department should be commended for its allocative budget efficiency and its targeted outputs to achieve its contribution to the priority goals of the country, which is simply inclusive economic growth that will expand employment and continue to increase business confidence.</w:t>
      </w:r>
    </w:p>
    <w:p w14:paraId="694CB28A" w14:textId="77777777" w:rsidR="00FF290E" w:rsidRPr="00747E11" w:rsidRDefault="00FF290E" w:rsidP="0062246E">
      <w:pPr>
        <w:rPr>
          <w:rFonts w:cs="Times New Roman"/>
          <w:szCs w:val="24"/>
        </w:rPr>
      </w:pPr>
    </w:p>
    <w:p w14:paraId="3E6A4215" w14:textId="77777777" w:rsidR="00A76DF9" w:rsidRPr="00052A2F" w:rsidRDefault="00A76DF9" w:rsidP="0062246E">
      <w:pPr>
        <w:numPr>
          <w:ilvl w:val="1"/>
          <w:numId w:val="1"/>
        </w:numPr>
        <w:tabs>
          <w:tab w:val="left" w:pos="2835"/>
        </w:tabs>
        <w:rPr>
          <w:rFonts w:cs="Times New Roman"/>
          <w:b/>
          <w:szCs w:val="24"/>
        </w:rPr>
      </w:pPr>
      <w:r w:rsidRPr="00052A2F">
        <w:rPr>
          <w:rFonts w:cs="Times New Roman"/>
          <w:b/>
          <w:szCs w:val="24"/>
        </w:rPr>
        <w:t>Constitutional Mandate of the Committee</w:t>
      </w:r>
    </w:p>
    <w:p w14:paraId="0D75FECB" w14:textId="77777777" w:rsidR="00A76DF9" w:rsidRPr="00052A2F" w:rsidRDefault="00A76DF9" w:rsidP="0062246E">
      <w:pPr>
        <w:rPr>
          <w:rFonts w:cs="Times New Roman"/>
          <w:szCs w:val="24"/>
        </w:rPr>
      </w:pPr>
    </w:p>
    <w:p w14:paraId="02BC5916" w14:textId="77777777" w:rsidR="00A76DF9" w:rsidRPr="00052A2F" w:rsidRDefault="00A76DF9" w:rsidP="0062246E">
      <w:pPr>
        <w:pStyle w:val="BodyTextIndent"/>
        <w:spacing w:after="0"/>
        <w:ind w:left="0"/>
        <w:rPr>
          <w:rFonts w:cs="Times New Roman"/>
          <w:szCs w:val="24"/>
        </w:rPr>
      </w:pPr>
      <w:r w:rsidRPr="00052A2F">
        <w:rPr>
          <w:rFonts w:cs="Times New Roman"/>
          <w:szCs w:val="24"/>
        </w:rPr>
        <w:t xml:space="preserve">Portfolio </w:t>
      </w:r>
      <w:r w:rsidR="007433E1" w:rsidRPr="00052A2F">
        <w:rPr>
          <w:rFonts w:cs="Times New Roman"/>
          <w:szCs w:val="24"/>
        </w:rPr>
        <w:t>c</w:t>
      </w:r>
      <w:r w:rsidRPr="00052A2F">
        <w:rPr>
          <w:rFonts w:cs="Times New Roman"/>
          <w:szCs w:val="24"/>
        </w:rPr>
        <w:t>ommittees exercise oversight over their respective departments and agencies in line with their Constitutional mandate set out in section 55(2) of the Constitution</w:t>
      </w:r>
      <w:r w:rsidR="00D70BCF" w:rsidRPr="00052A2F">
        <w:rPr>
          <w:rFonts w:cs="Times New Roman"/>
          <w:szCs w:val="24"/>
        </w:rPr>
        <w:t xml:space="preserve"> of the Republic of South Africa, </w:t>
      </w:r>
      <w:r w:rsidRPr="00052A2F">
        <w:rPr>
          <w:rFonts w:cs="Times New Roman"/>
          <w:szCs w:val="24"/>
        </w:rPr>
        <w:t>1996</w:t>
      </w:r>
      <w:r w:rsidR="00D70BCF" w:rsidRPr="00052A2F">
        <w:rPr>
          <w:rFonts w:cs="Times New Roman"/>
          <w:szCs w:val="24"/>
        </w:rPr>
        <w:t>,</w:t>
      </w:r>
      <w:r w:rsidRPr="00052A2F">
        <w:rPr>
          <w:rFonts w:cs="Times New Roman"/>
          <w:szCs w:val="24"/>
        </w:rPr>
        <w:t xml:space="preserve"> and section 27(4) of the Public Finance Management Act (No. 1 of 1999). In addition, the Money Bills Amendment Procedure and Related Matters Act (No. 9 of 2009) also requires committees to consider and report on their department and entities’ strategic plans. Portfolio committees may also advise the Standing Committee on Appropriations in the National Assembly regarding possible amendments within a budget vote for its consideration. </w:t>
      </w:r>
    </w:p>
    <w:p w14:paraId="0EB26255" w14:textId="77777777" w:rsidR="00A76DF9" w:rsidRPr="00052A2F" w:rsidRDefault="00A76DF9" w:rsidP="0062246E">
      <w:pPr>
        <w:rPr>
          <w:rFonts w:cs="Times New Roman"/>
          <w:szCs w:val="24"/>
        </w:rPr>
      </w:pPr>
    </w:p>
    <w:p w14:paraId="6C731957" w14:textId="77777777" w:rsidR="00A76DF9" w:rsidRPr="00052A2F" w:rsidRDefault="00A76DF9" w:rsidP="0062246E">
      <w:pPr>
        <w:numPr>
          <w:ilvl w:val="1"/>
          <w:numId w:val="1"/>
        </w:numPr>
        <w:rPr>
          <w:rFonts w:cs="Times New Roman"/>
          <w:b/>
          <w:szCs w:val="24"/>
        </w:rPr>
      </w:pPr>
      <w:r w:rsidRPr="00052A2F">
        <w:rPr>
          <w:rFonts w:cs="Times New Roman"/>
          <w:b/>
          <w:szCs w:val="24"/>
        </w:rPr>
        <w:t>Purpose</w:t>
      </w:r>
    </w:p>
    <w:p w14:paraId="16A013DF" w14:textId="77777777" w:rsidR="00A76DF9" w:rsidRPr="00052A2F" w:rsidRDefault="00A76DF9" w:rsidP="0062246E">
      <w:pPr>
        <w:rPr>
          <w:rFonts w:cs="Times New Roman"/>
          <w:szCs w:val="24"/>
        </w:rPr>
      </w:pPr>
    </w:p>
    <w:p w14:paraId="16270FD5" w14:textId="77777777" w:rsidR="00A76DF9" w:rsidRPr="00052A2F" w:rsidRDefault="00A76DF9" w:rsidP="0062246E">
      <w:pPr>
        <w:rPr>
          <w:rFonts w:cs="Times New Roman"/>
          <w:szCs w:val="24"/>
        </w:rPr>
      </w:pPr>
      <w:r w:rsidRPr="00052A2F">
        <w:rPr>
          <w:rFonts w:cs="Times New Roman"/>
          <w:szCs w:val="24"/>
        </w:rPr>
        <w:t>The purpose of this report is for the Portfolio Committee on Trade and Industry to report on its deliberations and consideration, which is essentially the unpacking and scrutinising</w:t>
      </w:r>
      <w:r w:rsidR="00D70BCF" w:rsidRPr="00052A2F">
        <w:rPr>
          <w:rFonts w:cs="Times New Roman"/>
          <w:szCs w:val="24"/>
        </w:rPr>
        <w:t>,</w:t>
      </w:r>
      <w:r w:rsidRPr="00052A2F">
        <w:rPr>
          <w:rFonts w:cs="Times New Roman"/>
          <w:szCs w:val="24"/>
        </w:rPr>
        <w:t xml:space="preserve"> of the DTI’s strategic plan, annual performance plan</w:t>
      </w:r>
      <w:r w:rsidR="001D51D5" w:rsidRPr="00052A2F">
        <w:rPr>
          <w:rFonts w:cs="Times New Roman"/>
          <w:szCs w:val="24"/>
        </w:rPr>
        <w:t xml:space="preserve"> (APP)</w:t>
      </w:r>
      <w:r w:rsidRPr="00052A2F">
        <w:rPr>
          <w:rFonts w:cs="Times New Roman"/>
          <w:szCs w:val="24"/>
        </w:rPr>
        <w:t xml:space="preserve"> and its associ</w:t>
      </w:r>
      <w:r w:rsidR="008E12E1" w:rsidRPr="00052A2F">
        <w:rPr>
          <w:rFonts w:cs="Times New Roman"/>
          <w:szCs w:val="24"/>
        </w:rPr>
        <w:t>ated budget vote (Budget Vote 34</w:t>
      </w:r>
      <w:r w:rsidRPr="00052A2F">
        <w:rPr>
          <w:rFonts w:cs="Times New Roman"/>
          <w:szCs w:val="24"/>
        </w:rPr>
        <w:t>). Furthermore, to make recommendations regarding the approval, amendment or rejection of Budget Vote 3</w:t>
      </w:r>
      <w:r w:rsidR="008E12E1" w:rsidRPr="00052A2F">
        <w:rPr>
          <w:rFonts w:cs="Times New Roman"/>
          <w:szCs w:val="24"/>
        </w:rPr>
        <w:t>4</w:t>
      </w:r>
      <w:r w:rsidRPr="00052A2F">
        <w:rPr>
          <w:rFonts w:cs="Times New Roman"/>
          <w:szCs w:val="24"/>
        </w:rPr>
        <w:t xml:space="preserve"> and any other recommendation regarding the implementation of the DTI’s strategic plan.</w:t>
      </w:r>
    </w:p>
    <w:p w14:paraId="04BD39EF" w14:textId="12F25622" w:rsidR="002C6CB9" w:rsidRPr="00052A2F" w:rsidRDefault="002C6CB9" w:rsidP="0062246E">
      <w:pPr>
        <w:rPr>
          <w:rFonts w:cs="Times New Roman"/>
          <w:szCs w:val="24"/>
        </w:rPr>
      </w:pPr>
    </w:p>
    <w:p w14:paraId="6A643B19" w14:textId="77777777" w:rsidR="00A76DF9" w:rsidRPr="00052A2F" w:rsidRDefault="00A76DF9" w:rsidP="0062246E">
      <w:pPr>
        <w:numPr>
          <w:ilvl w:val="1"/>
          <w:numId w:val="1"/>
        </w:numPr>
        <w:rPr>
          <w:rFonts w:cs="Times New Roman"/>
          <w:b/>
          <w:szCs w:val="24"/>
        </w:rPr>
      </w:pPr>
      <w:r w:rsidRPr="00052A2F">
        <w:rPr>
          <w:rFonts w:cs="Times New Roman"/>
          <w:b/>
          <w:szCs w:val="24"/>
        </w:rPr>
        <w:t>Process</w:t>
      </w:r>
    </w:p>
    <w:p w14:paraId="223C0D8B" w14:textId="77777777" w:rsidR="00A76DF9" w:rsidRPr="00052A2F" w:rsidRDefault="00A76DF9" w:rsidP="0062246E">
      <w:pPr>
        <w:rPr>
          <w:rFonts w:cs="Times New Roman"/>
          <w:szCs w:val="24"/>
        </w:rPr>
      </w:pPr>
    </w:p>
    <w:p w14:paraId="74E050B4" w14:textId="753AE87F" w:rsidR="00A76DF9" w:rsidRPr="00052A2F" w:rsidRDefault="00A76DF9" w:rsidP="0062246E">
      <w:pPr>
        <w:rPr>
          <w:rFonts w:cs="Times New Roman"/>
          <w:szCs w:val="24"/>
        </w:rPr>
      </w:pPr>
      <w:r w:rsidRPr="00052A2F">
        <w:rPr>
          <w:rFonts w:cs="Times New Roman"/>
          <w:szCs w:val="24"/>
        </w:rPr>
        <w:t xml:space="preserve">The </w:t>
      </w:r>
      <w:r w:rsidR="0044041F" w:rsidRPr="00052A2F">
        <w:rPr>
          <w:rFonts w:cs="Times New Roman"/>
          <w:szCs w:val="24"/>
        </w:rPr>
        <w:t xml:space="preserve">Committee’s </w:t>
      </w:r>
      <w:r w:rsidRPr="00052A2F">
        <w:rPr>
          <w:rFonts w:cs="Times New Roman"/>
          <w:szCs w:val="24"/>
        </w:rPr>
        <w:t>consideration of Vote 3</w:t>
      </w:r>
      <w:r w:rsidR="008E12E1" w:rsidRPr="00052A2F">
        <w:rPr>
          <w:rFonts w:cs="Times New Roman"/>
          <w:szCs w:val="24"/>
        </w:rPr>
        <w:t>4</w:t>
      </w:r>
      <w:r w:rsidRPr="00052A2F">
        <w:rPr>
          <w:rFonts w:cs="Times New Roman"/>
          <w:szCs w:val="24"/>
        </w:rPr>
        <w:t xml:space="preserve"> involved a robust engagement with the Minister of Trade and Industry, Dr R Davies, </w:t>
      </w:r>
      <w:r w:rsidR="00D70BCF" w:rsidRPr="00052A2F">
        <w:rPr>
          <w:rFonts w:cs="Times New Roman"/>
          <w:szCs w:val="24"/>
        </w:rPr>
        <w:t xml:space="preserve">and </w:t>
      </w:r>
      <w:r w:rsidRPr="00052A2F">
        <w:rPr>
          <w:rFonts w:cs="Times New Roman"/>
          <w:szCs w:val="24"/>
        </w:rPr>
        <w:t xml:space="preserve">the Director-General, Mr L October, on </w:t>
      </w:r>
      <w:r w:rsidR="00382B10">
        <w:rPr>
          <w:rFonts w:cs="Times New Roman"/>
          <w:szCs w:val="24"/>
        </w:rPr>
        <w:t xml:space="preserve">6 and 20 </w:t>
      </w:r>
      <w:r w:rsidR="001B30C8" w:rsidRPr="00382B10">
        <w:rPr>
          <w:rFonts w:cs="Times New Roman"/>
          <w:szCs w:val="24"/>
        </w:rPr>
        <w:t>March</w:t>
      </w:r>
      <w:r w:rsidR="001B30C8" w:rsidRPr="00052A2F">
        <w:rPr>
          <w:rFonts w:cs="Times New Roman"/>
          <w:szCs w:val="24"/>
        </w:rPr>
        <w:t xml:space="preserve"> </w:t>
      </w:r>
      <w:r w:rsidR="001B30C8">
        <w:rPr>
          <w:rFonts w:cs="Times New Roman"/>
          <w:szCs w:val="24"/>
        </w:rPr>
        <w:t xml:space="preserve">and 18 </w:t>
      </w:r>
      <w:r w:rsidR="00DB1406">
        <w:rPr>
          <w:rFonts w:cs="Times New Roman"/>
          <w:szCs w:val="24"/>
        </w:rPr>
        <w:t>April</w:t>
      </w:r>
      <w:r w:rsidR="001B30C8">
        <w:rPr>
          <w:rFonts w:cs="Times New Roman"/>
          <w:szCs w:val="24"/>
        </w:rPr>
        <w:t xml:space="preserve"> 2018</w:t>
      </w:r>
      <w:r w:rsidR="00AC769D" w:rsidRPr="00052A2F">
        <w:rPr>
          <w:rFonts w:cs="Times New Roman"/>
          <w:szCs w:val="24"/>
        </w:rPr>
        <w:t xml:space="preserve">, </w:t>
      </w:r>
      <w:r w:rsidRPr="00052A2F">
        <w:rPr>
          <w:rFonts w:cs="Times New Roman"/>
          <w:szCs w:val="24"/>
        </w:rPr>
        <w:t xml:space="preserve">when they provided the context within which the DTI’s Strategic </w:t>
      </w:r>
      <w:r w:rsidRPr="00052A2F">
        <w:rPr>
          <w:rFonts w:cs="Times New Roman"/>
          <w:szCs w:val="24"/>
        </w:rPr>
        <w:lastRenderedPageBreak/>
        <w:t xml:space="preserve">Plan had been developed and presented its </w:t>
      </w:r>
      <w:r w:rsidR="001D51D5" w:rsidRPr="00052A2F">
        <w:rPr>
          <w:rFonts w:cs="Times New Roman"/>
          <w:szCs w:val="24"/>
        </w:rPr>
        <w:t>APP</w:t>
      </w:r>
      <w:r w:rsidRPr="00052A2F">
        <w:rPr>
          <w:rFonts w:cs="Times New Roman"/>
          <w:szCs w:val="24"/>
        </w:rPr>
        <w:t>. The DTI’s plans were discussed in relation to its mandate, which covers five key intervention areas, namely</w:t>
      </w:r>
      <w:r w:rsidRPr="00052A2F">
        <w:rPr>
          <w:rStyle w:val="FootnoteReference"/>
          <w:rFonts w:cs="Times New Roman"/>
          <w:szCs w:val="24"/>
        </w:rPr>
        <w:footnoteReference w:id="1"/>
      </w:r>
      <w:r w:rsidRPr="00052A2F">
        <w:rPr>
          <w:rFonts w:cs="Times New Roman"/>
          <w:szCs w:val="24"/>
        </w:rPr>
        <w:t>:</w:t>
      </w:r>
    </w:p>
    <w:p w14:paraId="5C8506F8" w14:textId="36C6D9D5" w:rsidR="00A76DF9" w:rsidRDefault="00A76DF9" w:rsidP="0062246E">
      <w:pPr>
        <w:rPr>
          <w:rFonts w:cs="Times New Roman"/>
          <w:szCs w:val="24"/>
        </w:rPr>
      </w:pPr>
    </w:p>
    <w:p w14:paraId="059F83BE" w14:textId="77777777" w:rsidR="009E0093" w:rsidRPr="00052A2F" w:rsidRDefault="009E0093" w:rsidP="0062246E">
      <w:pPr>
        <w:rPr>
          <w:rFonts w:cs="Times New Roman"/>
          <w:szCs w:val="24"/>
        </w:rPr>
      </w:pPr>
    </w:p>
    <w:p w14:paraId="7669426A" w14:textId="77777777" w:rsidR="00A76DF9" w:rsidRPr="00052A2F" w:rsidRDefault="00A76DF9" w:rsidP="0062246E">
      <w:pPr>
        <w:pStyle w:val="ListParagraph"/>
        <w:numPr>
          <w:ilvl w:val="0"/>
          <w:numId w:val="3"/>
        </w:numPr>
        <w:rPr>
          <w:rFonts w:cs="Times New Roman"/>
          <w:szCs w:val="24"/>
        </w:rPr>
      </w:pPr>
      <w:r w:rsidRPr="00052A2F">
        <w:rPr>
          <w:rFonts w:cs="Times New Roman"/>
          <w:szCs w:val="24"/>
        </w:rPr>
        <w:t>Industrial development.</w:t>
      </w:r>
    </w:p>
    <w:p w14:paraId="3F25D30B" w14:textId="77777777" w:rsidR="00A76DF9" w:rsidRPr="00052A2F" w:rsidRDefault="00A76DF9" w:rsidP="0062246E">
      <w:pPr>
        <w:pStyle w:val="ListParagraph"/>
        <w:numPr>
          <w:ilvl w:val="0"/>
          <w:numId w:val="3"/>
        </w:numPr>
        <w:rPr>
          <w:rFonts w:cs="Times New Roman"/>
          <w:szCs w:val="24"/>
        </w:rPr>
      </w:pPr>
      <w:r w:rsidRPr="00052A2F">
        <w:rPr>
          <w:rFonts w:cs="Times New Roman"/>
          <w:szCs w:val="24"/>
        </w:rPr>
        <w:t>Trade, investment and exports.</w:t>
      </w:r>
    </w:p>
    <w:p w14:paraId="291E34A0" w14:textId="77777777" w:rsidR="00A76DF9" w:rsidRPr="007927A9" w:rsidRDefault="00A76DF9" w:rsidP="0062246E">
      <w:pPr>
        <w:pStyle w:val="ListParagraph"/>
        <w:numPr>
          <w:ilvl w:val="0"/>
          <w:numId w:val="3"/>
        </w:numPr>
        <w:rPr>
          <w:rFonts w:cs="Times New Roman"/>
          <w:szCs w:val="24"/>
        </w:rPr>
      </w:pPr>
      <w:r w:rsidRPr="007927A9">
        <w:rPr>
          <w:rFonts w:cs="Times New Roman"/>
          <w:szCs w:val="24"/>
        </w:rPr>
        <w:t>Broadening participation.</w:t>
      </w:r>
    </w:p>
    <w:p w14:paraId="06D5999F" w14:textId="77777777" w:rsidR="00A76DF9" w:rsidRPr="00052A2F" w:rsidRDefault="00A76DF9" w:rsidP="0062246E">
      <w:pPr>
        <w:pStyle w:val="ListParagraph"/>
        <w:numPr>
          <w:ilvl w:val="0"/>
          <w:numId w:val="3"/>
        </w:numPr>
        <w:rPr>
          <w:rFonts w:cs="Times New Roman"/>
          <w:szCs w:val="24"/>
        </w:rPr>
      </w:pPr>
      <w:r w:rsidRPr="00052A2F">
        <w:rPr>
          <w:rFonts w:cs="Times New Roman"/>
          <w:szCs w:val="24"/>
        </w:rPr>
        <w:t>Regulation.</w:t>
      </w:r>
    </w:p>
    <w:p w14:paraId="4B7324C7" w14:textId="77777777" w:rsidR="00A76DF9" w:rsidRPr="00052A2F" w:rsidRDefault="00A76DF9" w:rsidP="0062246E">
      <w:pPr>
        <w:pStyle w:val="ListParagraph"/>
        <w:numPr>
          <w:ilvl w:val="0"/>
          <w:numId w:val="3"/>
        </w:numPr>
        <w:rPr>
          <w:rFonts w:cs="Times New Roman"/>
          <w:szCs w:val="24"/>
        </w:rPr>
      </w:pPr>
      <w:r w:rsidRPr="00052A2F">
        <w:rPr>
          <w:rFonts w:cs="Times New Roman"/>
          <w:szCs w:val="24"/>
        </w:rPr>
        <w:t>Administration.</w:t>
      </w:r>
    </w:p>
    <w:p w14:paraId="1B56D317" w14:textId="77777777" w:rsidR="00A76DF9" w:rsidRPr="00052A2F" w:rsidRDefault="00A76DF9" w:rsidP="0062246E">
      <w:pPr>
        <w:rPr>
          <w:rFonts w:cs="Times New Roman"/>
          <w:szCs w:val="24"/>
        </w:rPr>
      </w:pPr>
    </w:p>
    <w:p w14:paraId="6CECE94D" w14:textId="77777777" w:rsidR="00DA4858" w:rsidRPr="00052A2F" w:rsidRDefault="00A76DF9" w:rsidP="0062246E">
      <w:pPr>
        <w:rPr>
          <w:rFonts w:cs="Times New Roman"/>
          <w:szCs w:val="24"/>
        </w:rPr>
      </w:pPr>
      <w:r w:rsidRPr="00052A2F">
        <w:rPr>
          <w:rFonts w:cs="Times New Roman"/>
          <w:szCs w:val="24"/>
        </w:rPr>
        <w:t xml:space="preserve">During this engagement, the budget was unpacked against the DTI’s strategic plan and the priorities of the </w:t>
      </w:r>
      <w:r w:rsidR="00DA4858" w:rsidRPr="00052A2F">
        <w:rPr>
          <w:rFonts w:cs="Times New Roman"/>
          <w:szCs w:val="24"/>
        </w:rPr>
        <w:t>State of the Nation</w:t>
      </w:r>
      <w:r w:rsidR="00466105" w:rsidRPr="00052A2F">
        <w:rPr>
          <w:rFonts w:cs="Times New Roman"/>
          <w:szCs w:val="24"/>
        </w:rPr>
        <w:t xml:space="preserve"> Address (</w:t>
      </w:r>
      <w:r w:rsidRPr="00052A2F">
        <w:rPr>
          <w:rFonts w:cs="Times New Roman"/>
          <w:szCs w:val="24"/>
        </w:rPr>
        <w:t>SONA</w:t>
      </w:r>
      <w:r w:rsidR="00466105" w:rsidRPr="00052A2F">
        <w:rPr>
          <w:rFonts w:cs="Times New Roman"/>
          <w:szCs w:val="24"/>
        </w:rPr>
        <w:t>)</w:t>
      </w:r>
      <w:r w:rsidRPr="00052A2F">
        <w:rPr>
          <w:rFonts w:cs="Times New Roman"/>
          <w:szCs w:val="24"/>
        </w:rPr>
        <w:t xml:space="preserve"> </w:t>
      </w:r>
      <w:r w:rsidR="00D70BCF" w:rsidRPr="00052A2F">
        <w:rPr>
          <w:rFonts w:cs="Times New Roman"/>
          <w:szCs w:val="24"/>
        </w:rPr>
        <w:t xml:space="preserve">given </w:t>
      </w:r>
      <w:r w:rsidRPr="00052A2F">
        <w:rPr>
          <w:rFonts w:cs="Times New Roman"/>
          <w:szCs w:val="24"/>
        </w:rPr>
        <w:t>the prevailing economic climate</w:t>
      </w:r>
      <w:r w:rsidR="00C0474C" w:rsidRPr="00052A2F">
        <w:rPr>
          <w:rFonts w:cs="Times New Roman"/>
          <w:szCs w:val="24"/>
        </w:rPr>
        <w:t>, as well as against</w:t>
      </w:r>
      <w:r w:rsidR="001B30C8">
        <w:rPr>
          <w:rFonts w:cs="Times New Roman"/>
          <w:szCs w:val="24"/>
        </w:rPr>
        <w:t xml:space="preserve"> the performance during the 2017</w:t>
      </w:r>
      <w:r w:rsidR="00C0474C" w:rsidRPr="00052A2F">
        <w:rPr>
          <w:rFonts w:cs="Times New Roman"/>
          <w:szCs w:val="24"/>
        </w:rPr>
        <w:t>/1</w:t>
      </w:r>
      <w:r w:rsidR="001B30C8">
        <w:rPr>
          <w:rFonts w:cs="Times New Roman"/>
          <w:szCs w:val="24"/>
        </w:rPr>
        <w:t>8</w:t>
      </w:r>
      <w:r w:rsidR="00C0474C" w:rsidRPr="00052A2F">
        <w:rPr>
          <w:rFonts w:cs="Times New Roman"/>
          <w:szCs w:val="24"/>
        </w:rPr>
        <w:t xml:space="preserve"> financial year</w:t>
      </w:r>
      <w:r w:rsidRPr="00052A2F">
        <w:rPr>
          <w:rFonts w:cs="Times New Roman"/>
          <w:szCs w:val="24"/>
        </w:rPr>
        <w:t xml:space="preserve">. </w:t>
      </w:r>
    </w:p>
    <w:p w14:paraId="57BF27E8" w14:textId="77777777" w:rsidR="00DA4858" w:rsidRPr="00052A2F" w:rsidRDefault="00DA4858" w:rsidP="0062246E">
      <w:pPr>
        <w:rPr>
          <w:rFonts w:cs="Times New Roman"/>
          <w:szCs w:val="24"/>
        </w:rPr>
      </w:pPr>
    </w:p>
    <w:p w14:paraId="5B6ACFB6" w14:textId="77777777" w:rsidR="00DA4858" w:rsidRPr="00052A2F" w:rsidRDefault="00DA4858" w:rsidP="0062246E">
      <w:pPr>
        <w:rPr>
          <w:rFonts w:cs="Times New Roman"/>
          <w:szCs w:val="24"/>
        </w:rPr>
      </w:pPr>
      <w:r w:rsidRPr="00052A2F">
        <w:rPr>
          <w:rFonts w:cs="Times New Roman"/>
          <w:szCs w:val="24"/>
        </w:rPr>
        <w:t xml:space="preserve">The </w:t>
      </w:r>
      <w:r w:rsidR="00FD63DD" w:rsidRPr="00052A2F">
        <w:rPr>
          <w:rFonts w:cs="Times New Roman"/>
          <w:szCs w:val="24"/>
        </w:rPr>
        <w:t xml:space="preserve">Committee </w:t>
      </w:r>
      <w:r w:rsidRPr="00052A2F">
        <w:rPr>
          <w:rFonts w:cs="Times New Roman"/>
          <w:szCs w:val="24"/>
        </w:rPr>
        <w:t xml:space="preserve">also considered </w:t>
      </w:r>
      <w:r w:rsidR="00326299">
        <w:rPr>
          <w:rFonts w:cs="Times New Roman"/>
          <w:szCs w:val="24"/>
        </w:rPr>
        <w:t xml:space="preserve">three </w:t>
      </w:r>
      <w:r w:rsidRPr="00052A2F">
        <w:rPr>
          <w:rFonts w:cs="Times New Roman"/>
          <w:szCs w:val="24"/>
        </w:rPr>
        <w:t xml:space="preserve">entities’ strategic </w:t>
      </w:r>
      <w:r w:rsidR="001D51D5" w:rsidRPr="00052A2F">
        <w:rPr>
          <w:rFonts w:cs="Times New Roman"/>
          <w:szCs w:val="24"/>
        </w:rPr>
        <w:t xml:space="preserve">plans </w:t>
      </w:r>
      <w:r w:rsidRPr="00052A2F">
        <w:rPr>
          <w:rFonts w:cs="Times New Roman"/>
          <w:szCs w:val="24"/>
        </w:rPr>
        <w:t xml:space="preserve">and </w:t>
      </w:r>
      <w:r w:rsidR="001D51D5" w:rsidRPr="00052A2F">
        <w:rPr>
          <w:rFonts w:cs="Times New Roman"/>
          <w:szCs w:val="24"/>
        </w:rPr>
        <w:t>APPs</w:t>
      </w:r>
      <w:r w:rsidRPr="00052A2F">
        <w:rPr>
          <w:rFonts w:cs="Times New Roman"/>
          <w:szCs w:val="24"/>
        </w:rPr>
        <w:t xml:space="preserve"> on </w:t>
      </w:r>
      <w:r w:rsidR="00597F2A" w:rsidRPr="00052A2F">
        <w:rPr>
          <w:rFonts w:cs="Times New Roman"/>
          <w:szCs w:val="24"/>
        </w:rPr>
        <w:t>2</w:t>
      </w:r>
      <w:r w:rsidR="007D60EF">
        <w:rPr>
          <w:rFonts w:cs="Times New Roman"/>
          <w:szCs w:val="24"/>
        </w:rPr>
        <w:t>7</w:t>
      </w:r>
      <w:r w:rsidR="00597F2A" w:rsidRPr="00052A2F">
        <w:rPr>
          <w:rFonts w:cs="Times New Roman"/>
          <w:szCs w:val="24"/>
        </w:rPr>
        <w:t xml:space="preserve"> March</w:t>
      </w:r>
      <w:r w:rsidR="00FD63DD">
        <w:rPr>
          <w:rFonts w:cs="Times New Roman"/>
          <w:szCs w:val="24"/>
        </w:rPr>
        <w:t xml:space="preserve"> </w:t>
      </w:r>
      <w:r w:rsidR="00AC769D" w:rsidRPr="00052A2F">
        <w:rPr>
          <w:rFonts w:cs="Times New Roman"/>
          <w:szCs w:val="24"/>
        </w:rPr>
        <w:t xml:space="preserve">and </w:t>
      </w:r>
      <w:r w:rsidR="00FD63DD">
        <w:rPr>
          <w:rFonts w:cs="Times New Roman"/>
          <w:szCs w:val="24"/>
        </w:rPr>
        <w:t>18</w:t>
      </w:r>
      <w:r w:rsidR="00AC769D" w:rsidRPr="00052A2F">
        <w:rPr>
          <w:rFonts w:cs="Times New Roman"/>
          <w:szCs w:val="24"/>
        </w:rPr>
        <w:t xml:space="preserve"> </w:t>
      </w:r>
      <w:r w:rsidR="00597F2A" w:rsidRPr="00052A2F">
        <w:rPr>
          <w:rFonts w:cs="Times New Roman"/>
          <w:szCs w:val="24"/>
        </w:rPr>
        <w:t xml:space="preserve">May </w:t>
      </w:r>
      <w:r w:rsidR="00024CCF" w:rsidRPr="00052A2F">
        <w:rPr>
          <w:rFonts w:cs="Times New Roman"/>
          <w:szCs w:val="24"/>
        </w:rPr>
        <w:t>201</w:t>
      </w:r>
      <w:r w:rsidR="00FD63DD">
        <w:rPr>
          <w:rFonts w:cs="Times New Roman"/>
          <w:szCs w:val="24"/>
        </w:rPr>
        <w:t>8</w:t>
      </w:r>
      <w:r w:rsidR="00326299">
        <w:rPr>
          <w:rFonts w:cs="Times New Roman"/>
          <w:szCs w:val="24"/>
        </w:rPr>
        <w:t>. The selection was due to their contribution to the SONA priorities of promoting industrial development and economic transformation. The entities were</w:t>
      </w:r>
      <w:r w:rsidR="00D70BCF" w:rsidRPr="00052A2F">
        <w:rPr>
          <w:rFonts w:cs="Times New Roman"/>
          <w:szCs w:val="24"/>
        </w:rPr>
        <w:t xml:space="preserve"> the</w:t>
      </w:r>
      <w:r w:rsidRPr="00052A2F">
        <w:rPr>
          <w:rFonts w:cs="Times New Roman"/>
          <w:szCs w:val="24"/>
        </w:rPr>
        <w:t>:</w:t>
      </w:r>
    </w:p>
    <w:p w14:paraId="2BAF708E" w14:textId="77777777" w:rsidR="00AC769D" w:rsidRPr="00052A2F" w:rsidRDefault="00AC769D" w:rsidP="0062246E">
      <w:pPr>
        <w:rPr>
          <w:rFonts w:cs="Times New Roman"/>
          <w:szCs w:val="24"/>
        </w:rPr>
      </w:pPr>
    </w:p>
    <w:p w14:paraId="047DBF99" w14:textId="77777777" w:rsidR="00AC769D" w:rsidRPr="00052A2F" w:rsidRDefault="00AC769D" w:rsidP="0062246E">
      <w:pPr>
        <w:pStyle w:val="ListParagraph"/>
        <w:numPr>
          <w:ilvl w:val="0"/>
          <w:numId w:val="3"/>
        </w:numPr>
        <w:rPr>
          <w:rFonts w:cs="Times New Roman"/>
          <w:szCs w:val="24"/>
        </w:rPr>
      </w:pPr>
      <w:r w:rsidRPr="00052A2F">
        <w:rPr>
          <w:rFonts w:cs="Times New Roman"/>
          <w:szCs w:val="24"/>
        </w:rPr>
        <w:t xml:space="preserve">Broad-based Black Economic Empowerment </w:t>
      </w:r>
      <w:r w:rsidR="00D70BCF" w:rsidRPr="00052A2F">
        <w:rPr>
          <w:rFonts w:cs="Times New Roman"/>
          <w:szCs w:val="24"/>
        </w:rPr>
        <w:t xml:space="preserve">(B-BBEE) </w:t>
      </w:r>
      <w:r w:rsidRPr="00052A2F">
        <w:rPr>
          <w:rFonts w:cs="Times New Roman"/>
          <w:szCs w:val="24"/>
        </w:rPr>
        <w:t>Commission</w:t>
      </w:r>
      <w:r w:rsidR="00D70BCF" w:rsidRPr="00052A2F">
        <w:rPr>
          <w:rFonts w:cs="Times New Roman"/>
          <w:szCs w:val="24"/>
        </w:rPr>
        <w:t xml:space="preserve">, </w:t>
      </w:r>
    </w:p>
    <w:p w14:paraId="672BF30C" w14:textId="77777777" w:rsidR="005E1DE4" w:rsidRPr="00052A2F" w:rsidRDefault="00FD63DD" w:rsidP="0062246E">
      <w:pPr>
        <w:pStyle w:val="ListParagraph"/>
        <w:numPr>
          <w:ilvl w:val="0"/>
          <w:numId w:val="3"/>
        </w:numPr>
        <w:rPr>
          <w:rFonts w:cs="Times New Roman"/>
          <w:szCs w:val="24"/>
        </w:rPr>
      </w:pPr>
      <w:r>
        <w:rPr>
          <w:rFonts w:cs="Times New Roman"/>
          <w:szCs w:val="24"/>
        </w:rPr>
        <w:t xml:space="preserve">South African </w:t>
      </w:r>
      <w:r w:rsidR="005E1DE4" w:rsidRPr="00052A2F">
        <w:rPr>
          <w:rFonts w:cs="Times New Roman"/>
          <w:szCs w:val="24"/>
        </w:rPr>
        <w:t xml:space="preserve">National </w:t>
      </w:r>
      <w:r>
        <w:rPr>
          <w:rFonts w:cs="Times New Roman"/>
          <w:szCs w:val="24"/>
        </w:rPr>
        <w:t xml:space="preserve">Accreditation System </w:t>
      </w:r>
      <w:r w:rsidR="005E1DE4" w:rsidRPr="00052A2F">
        <w:rPr>
          <w:rFonts w:cs="Times New Roman"/>
          <w:szCs w:val="24"/>
        </w:rPr>
        <w:t>(</w:t>
      </w:r>
      <w:r>
        <w:rPr>
          <w:rFonts w:cs="Times New Roman"/>
          <w:szCs w:val="24"/>
        </w:rPr>
        <w:t>SA</w:t>
      </w:r>
      <w:r w:rsidR="005E1DE4" w:rsidRPr="00052A2F">
        <w:rPr>
          <w:rFonts w:cs="Times New Roman"/>
          <w:szCs w:val="24"/>
        </w:rPr>
        <w:t>N</w:t>
      </w:r>
      <w:r w:rsidR="00326299">
        <w:rPr>
          <w:rFonts w:cs="Times New Roman"/>
          <w:szCs w:val="24"/>
        </w:rPr>
        <w:t>AS</w:t>
      </w:r>
      <w:r w:rsidR="005E1DE4" w:rsidRPr="00052A2F">
        <w:rPr>
          <w:rFonts w:cs="Times New Roman"/>
          <w:szCs w:val="24"/>
        </w:rPr>
        <w:t>)</w:t>
      </w:r>
      <w:r w:rsidR="00D70BCF" w:rsidRPr="00052A2F">
        <w:rPr>
          <w:rFonts w:cs="Times New Roman"/>
          <w:szCs w:val="24"/>
        </w:rPr>
        <w:t>, and</w:t>
      </w:r>
    </w:p>
    <w:p w14:paraId="1C18027B" w14:textId="77777777" w:rsidR="00597F2A" w:rsidRPr="00052A2F" w:rsidRDefault="00597F2A" w:rsidP="0062246E">
      <w:pPr>
        <w:pStyle w:val="ListParagraph"/>
        <w:numPr>
          <w:ilvl w:val="0"/>
          <w:numId w:val="3"/>
        </w:numPr>
        <w:rPr>
          <w:rFonts w:cs="Times New Roman"/>
          <w:szCs w:val="24"/>
        </w:rPr>
      </w:pPr>
      <w:r w:rsidRPr="00052A2F">
        <w:rPr>
          <w:rFonts w:cs="Times New Roman"/>
          <w:szCs w:val="24"/>
        </w:rPr>
        <w:t>National Metrology Institute of South Africa (NMISA)</w:t>
      </w:r>
      <w:r w:rsidR="00D70BCF" w:rsidRPr="00052A2F">
        <w:rPr>
          <w:rFonts w:cs="Times New Roman"/>
          <w:szCs w:val="24"/>
        </w:rPr>
        <w:t>.</w:t>
      </w:r>
    </w:p>
    <w:p w14:paraId="6023EA78" w14:textId="77777777" w:rsidR="00D70BCF" w:rsidRPr="00052A2F" w:rsidRDefault="00D70BCF" w:rsidP="0062246E">
      <w:pPr>
        <w:rPr>
          <w:rFonts w:cs="Times New Roman"/>
          <w:szCs w:val="24"/>
        </w:rPr>
      </w:pPr>
    </w:p>
    <w:p w14:paraId="5CE6E9DD" w14:textId="77777777" w:rsidR="00D73D30" w:rsidRPr="00052A2F" w:rsidRDefault="00D73D30" w:rsidP="0062246E">
      <w:pPr>
        <w:pStyle w:val="ListParagraph"/>
        <w:numPr>
          <w:ilvl w:val="0"/>
          <w:numId w:val="2"/>
        </w:numPr>
        <w:ind w:left="284" w:hanging="284"/>
        <w:rPr>
          <w:rFonts w:cs="Times New Roman"/>
          <w:b/>
          <w:szCs w:val="24"/>
        </w:rPr>
      </w:pPr>
      <w:r w:rsidRPr="00052A2F">
        <w:rPr>
          <w:rFonts w:cs="Times New Roman"/>
          <w:b/>
          <w:szCs w:val="24"/>
        </w:rPr>
        <w:t>Budget Vote 3</w:t>
      </w:r>
      <w:r w:rsidR="001129F1" w:rsidRPr="00052A2F">
        <w:rPr>
          <w:rFonts w:cs="Times New Roman"/>
          <w:b/>
          <w:szCs w:val="24"/>
        </w:rPr>
        <w:t>4</w:t>
      </w:r>
      <w:r w:rsidRPr="00052A2F">
        <w:rPr>
          <w:rFonts w:cs="Times New Roman"/>
          <w:b/>
          <w:szCs w:val="24"/>
        </w:rPr>
        <w:t>: Department of Trade and Industry</w:t>
      </w:r>
    </w:p>
    <w:p w14:paraId="21A6AF2F" w14:textId="77777777" w:rsidR="00966289" w:rsidRPr="00052A2F" w:rsidRDefault="00966289" w:rsidP="0062246E">
      <w:pPr>
        <w:pStyle w:val="ListParagraph"/>
        <w:ind w:left="284"/>
        <w:rPr>
          <w:rFonts w:cs="Times New Roman"/>
          <w:b/>
          <w:szCs w:val="24"/>
        </w:rPr>
      </w:pPr>
    </w:p>
    <w:p w14:paraId="129B6722" w14:textId="77777777" w:rsidR="00966289" w:rsidRPr="007927A9" w:rsidRDefault="00966289" w:rsidP="0062246E">
      <w:pPr>
        <w:rPr>
          <w:rFonts w:cs="Times New Roman"/>
          <w:szCs w:val="24"/>
        </w:rPr>
      </w:pPr>
      <w:r w:rsidRPr="007927A9">
        <w:rPr>
          <w:rFonts w:cs="Times New Roman"/>
          <w:szCs w:val="24"/>
        </w:rPr>
        <w:t xml:space="preserve">The </w:t>
      </w:r>
      <w:r w:rsidR="00D70BCF" w:rsidRPr="007927A9">
        <w:rPr>
          <w:rFonts w:cs="Times New Roman"/>
          <w:szCs w:val="24"/>
        </w:rPr>
        <w:t>DTI</w:t>
      </w:r>
      <w:r w:rsidRPr="007927A9">
        <w:rPr>
          <w:rFonts w:cs="Times New Roman"/>
          <w:szCs w:val="24"/>
        </w:rPr>
        <w:t xml:space="preserve"> is mandated to create a diverse and globally competitive economy through industrialisation</w:t>
      </w:r>
      <w:r w:rsidR="00D70BCF" w:rsidRPr="007927A9">
        <w:rPr>
          <w:rFonts w:cs="Times New Roman"/>
          <w:szCs w:val="24"/>
        </w:rPr>
        <w:t>,</w:t>
      </w:r>
      <w:r w:rsidRPr="007927A9">
        <w:rPr>
          <w:rFonts w:cs="Times New Roman"/>
          <w:szCs w:val="24"/>
        </w:rPr>
        <w:t xml:space="preserve"> which is characterised by inclusive growth and development, decent employment and equity for all South Africans. To implement its mandate, the </w:t>
      </w:r>
      <w:r w:rsidR="00D70BCF" w:rsidRPr="007927A9">
        <w:rPr>
          <w:rFonts w:cs="Times New Roman"/>
          <w:szCs w:val="24"/>
        </w:rPr>
        <w:t xml:space="preserve">DTI </w:t>
      </w:r>
      <w:r w:rsidRPr="007927A9">
        <w:rPr>
          <w:rFonts w:cs="Times New Roman"/>
          <w:szCs w:val="24"/>
        </w:rPr>
        <w:t>provides financial support in the form of incentives to promot</w:t>
      </w:r>
      <w:r w:rsidR="00D70BCF" w:rsidRPr="007927A9">
        <w:rPr>
          <w:rFonts w:cs="Times New Roman"/>
          <w:szCs w:val="24"/>
        </w:rPr>
        <w:t>e the</w:t>
      </w:r>
      <w:r w:rsidRPr="007927A9">
        <w:rPr>
          <w:rFonts w:cs="Times New Roman"/>
          <w:szCs w:val="24"/>
        </w:rPr>
        <w:t xml:space="preserve"> development of industries and participation of black people in economic activities</w:t>
      </w:r>
      <w:r w:rsidR="00D70BCF" w:rsidRPr="007927A9">
        <w:rPr>
          <w:rFonts w:cs="Times New Roman"/>
          <w:szCs w:val="24"/>
        </w:rPr>
        <w:t>;</w:t>
      </w:r>
      <w:r w:rsidRPr="007927A9">
        <w:rPr>
          <w:rFonts w:cs="Times New Roman"/>
          <w:szCs w:val="24"/>
        </w:rPr>
        <w:t xml:space="preserve"> develops legislation for the protection of South African consumer</w:t>
      </w:r>
      <w:r w:rsidR="00D70BCF" w:rsidRPr="007927A9">
        <w:rPr>
          <w:rFonts w:cs="Times New Roman"/>
          <w:szCs w:val="24"/>
        </w:rPr>
        <w:t>s</w:t>
      </w:r>
      <w:r w:rsidRPr="007927A9">
        <w:rPr>
          <w:rFonts w:cs="Times New Roman"/>
          <w:szCs w:val="24"/>
        </w:rPr>
        <w:t xml:space="preserve"> and companies</w:t>
      </w:r>
      <w:r w:rsidR="00D70BCF" w:rsidRPr="007927A9">
        <w:rPr>
          <w:rFonts w:cs="Times New Roman"/>
          <w:szCs w:val="24"/>
        </w:rPr>
        <w:t>;</w:t>
      </w:r>
      <w:r w:rsidRPr="007927A9">
        <w:rPr>
          <w:rFonts w:cs="Times New Roman"/>
          <w:szCs w:val="24"/>
        </w:rPr>
        <w:t xml:space="preserve"> attracts investments</w:t>
      </w:r>
      <w:r w:rsidR="00D70BCF" w:rsidRPr="007927A9">
        <w:rPr>
          <w:rFonts w:cs="Times New Roman"/>
          <w:szCs w:val="24"/>
        </w:rPr>
        <w:t>;</w:t>
      </w:r>
      <w:r w:rsidRPr="007927A9">
        <w:rPr>
          <w:rFonts w:cs="Times New Roman"/>
          <w:szCs w:val="24"/>
        </w:rPr>
        <w:t xml:space="preserve"> and promot</w:t>
      </w:r>
      <w:r w:rsidR="00D70BCF" w:rsidRPr="007927A9">
        <w:rPr>
          <w:rFonts w:cs="Times New Roman"/>
          <w:szCs w:val="24"/>
        </w:rPr>
        <w:t>es</w:t>
      </w:r>
      <w:r w:rsidRPr="007927A9">
        <w:rPr>
          <w:rFonts w:cs="Times New Roman"/>
          <w:szCs w:val="24"/>
        </w:rPr>
        <w:t xml:space="preserve"> international and regional trade.  The D</w:t>
      </w:r>
      <w:r w:rsidR="00D70BCF" w:rsidRPr="007927A9">
        <w:rPr>
          <w:rFonts w:cs="Times New Roman"/>
          <w:szCs w:val="24"/>
        </w:rPr>
        <w:t>TI</w:t>
      </w:r>
      <w:r w:rsidRPr="007927A9">
        <w:rPr>
          <w:rFonts w:cs="Times New Roman"/>
          <w:szCs w:val="24"/>
        </w:rPr>
        <w:t xml:space="preserve">’s mandate is </w:t>
      </w:r>
      <w:r w:rsidR="00FD075A" w:rsidRPr="007927A9">
        <w:rPr>
          <w:rFonts w:cs="Times New Roman"/>
          <w:szCs w:val="24"/>
        </w:rPr>
        <w:t>encapsulated in</w:t>
      </w:r>
      <w:r w:rsidRPr="007927A9">
        <w:rPr>
          <w:rFonts w:cs="Times New Roman"/>
          <w:szCs w:val="24"/>
        </w:rPr>
        <w:t xml:space="preserve"> </w:t>
      </w:r>
      <w:r w:rsidR="00D70BCF" w:rsidRPr="007927A9">
        <w:rPr>
          <w:rFonts w:cs="Times New Roman"/>
          <w:szCs w:val="24"/>
        </w:rPr>
        <w:t>a number of</w:t>
      </w:r>
      <w:r w:rsidRPr="007927A9">
        <w:rPr>
          <w:rFonts w:cs="Times New Roman"/>
          <w:szCs w:val="24"/>
        </w:rPr>
        <w:t xml:space="preserve"> pieces of legislation</w:t>
      </w:r>
      <w:r w:rsidR="005E1DE4" w:rsidRPr="007927A9">
        <w:rPr>
          <w:rFonts w:cs="Times New Roman"/>
          <w:szCs w:val="24"/>
        </w:rPr>
        <w:t>,</w:t>
      </w:r>
      <w:r w:rsidRPr="007927A9">
        <w:rPr>
          <w:rFonts w:cs="Times New Roman"/>
          <w:szCs w:val="24"/>
        </w:rPr>
        <w:t xml:space="preserve"> </w:t>
      </w:r>
      <w:r w:rsidR="00D70BCF" w:rsidRPr="007927A9">
        <w:rPr>
          <w:rFonts w:cs="Times New Roman"/>
          <w:szCs w:val="24"/>
        </w:rPr>
        <w:t>including</w:t>
      </w:r>
      <w:r w:rsidRPr="007927A9">
        <w:rPr>
          <w:rFonts w:cs="Times New Roman"/>
          <w:szCs w:val="24"/>
        </w:rPr>
        <w:t>:</w:t>
      </w:r>
    </w:p>
    <w:p w14:paraId="6ED03AA5" w14:textId="77777777" w:rsidR="00687A78" w:rsidRPr="00326299" w:rsidRDefault="00687A78" w:rsidP="0062246E">
      <w:pPr>
        <w:rPr>
          <w:rFonts w:cs="Times New Roman"/>
          <w:szCs w:val="24"/>
          <w:highlight w:val="yellow"/>
        </w:rPr>
      </w:pPr>
    </w:p>
    <w:p w14:paraId="4566CE18" w14:textId="77777777" w:rsidR="00966289" w:rsidRPr="007927A9" w:rsidRDefault="00966289" w:rsidP="007D60EF">
      <w:pPr>
        <w:pStyle w:val="ListParagraph"/>
        <w:numPr>
          <w:ilvl w:val="0"/>
          <w:numId w:val="4"/>
        </w:numPr>
        <w:rPr>
          <w:rFonts w:cs="Times New Roman"/>
          <w:szCs w:val="24"/>
        </w:rPr>
      </w:pPr>
      <w:r w:rsidRPr="007927A9">
        <w:rPr>
          <w:rFonts w:cs="Times New Roman"/>
          <w:szCs w:val="24"/>
        </w:rPr>
        <w:lastRenderedPageBreak/>
        <w:t>the Companies Act (</w:t>
      </w:r>
      <w:r w:rsidR="00C0474C" w:rsidRPr="007927A9">
        <w:rPr>
          <w:rFonts w:cs="Times New Roman"/>
          <w:szCs w:val="24"/>
        </w:rPr>
        <w:t xml:space="preserve">No. 71 of </w:t>
      </w:r>
      <w:r w:rsidRPr="007927A9">
        <w:rPr>
          <w:rFonts w:cs="Times New Roman"/>
          <w:szCs w:val="24"/>
        </w:rPr>
        <w:t>2008)</w:t>
      </w:r>
      <w:r w:rsidR="005E1DE4" w:rsidRPr="007927A9">
        <w:rPr>
          <w:rFonts w:cs="Times New Roman"/>
          <w:szCs w:val="24"/>
        </w:rPr>
        <w:t>,</w:t>
      </w:r>
    </w:p>
    <w:p w14:paraId="13FD35D4" w14:textId="77777777" w:rsidR="00966289" w:rsidRPr="007927A9" w:rsidRDefault="00966289" w:rsidP="007D60EF">
      <w:pPr>
        <w:pStyle w:val="ListParagraph"/>
        <w:numPr>
          <w:ilvl w:val="0"/>
          <w:numId w:val="4"/>
        </w:numPr>
        <w:rPr>
          <w:rFonts w:cs="Times New Roman"/>
          <w:szCs w:val="24"/>
        </w:rPr>
      </w:pPr>
      <w:r w:rsidRPr="007927A9">
        <w:rPr>
          <w:rFonts w:cs="Times New Roman"/>
          <w:szCs w:val="24"/>
        </w:rPr>
        <w:t>the Manufacturing Development Act (</w:t>
      </w:r>
      <w:r w:rsidR="00C0474C" w:rsidRPr="007927A9">
        <w:rPr>
          <w:rFonts w:cs="Times New Roman"/>
          <w:szCs w:val="24"/>
        </w:rPr>
        <w:t xml:space="preserve">No. 187 of </w:t>
      </w:r>
      <w:r w:rsidRPr="007927A9">
        <w:rPr>
          <w:rFonts w:cs="Times New Roman"/>
          <w:szCs w:val="24"/>
        </w:rPr>
        <w:t>1993)</w:t>
      </w:r>
      <w:r w:rsidR="005E1DE4" w:rsidRPr="007927A9">
        <w:rPr>
          <w:rFonts w:cs="Times New Roman"/>
          <w:szCs w:val="24"/>
        </w:rPr>
        <w:t>,</w:t>
      </w:r>
    </w:p>
    <w:p w14:paraId="7406C7F3" w14:textId="77777777" w:rsidR="00C0474C" w:rsidRPr="007927A9" w:rsidRDefault="00C0474C" w:rsidP="007D60EF">
      <w:pPr>
        <w:pStyle w:val="ListParagraph"/>
        <w:numPr>
          <w:ilvl w:val="0"/>
          <w:numId w:val="4"/>
        </w:numPr>
        <w:rPr>
          <w:rFonts w:cs="Times New Roman"/>
          <w:szCs w:val="24"/>
        </w:rPr>
      </w:pPr>
      <w:r w:rsidRPr="007927A9">
        <w:rPr>
          <w:rFonts w:cs="Times New Roman"/>
          <w:szCs w:val="24"/>
        </w:rPr>
        <w:t>the Special Economic Zones</w:t>
      </w:r>
      <w:r w:rsidR="000D5A33" w:rsidRPr="007927A9">
        <w:rPr>
          <w:rFonts w:cs="Times New Roman"/>
          <w:szCs w:val="24"/>
        </w:rPr>
        <w:t xml:space="preserve"> (SEZ)</w:t>
      </w:r>
      <w:r w:rsidRPr="007927A9">
        <w:rPr>
          <w:rFonts w:cs="Times New Roman"/>
          <w:szCs w:val="24"/>
        </w:rPr>
        <w:t xml:space="preserve"> Act (No. </w:t>
      </w:r>
      <w:r w:rsidR="00093AEF" w:rsidRPr="007927A9">
        <w:rPr>
          <w:rFonts w:cs="Times New Roman"/>
          <w:szCs w:val="24"/>
        </w:rPr>
        <w:t xml:space="preserve">16 </w:t>
      </w:r>
      <w:r w:rsidRPr="007927A9">
        <w:rPr>
          <w:rFonts w:cs="Times New Roman"/>
          <w:szCs w:val="24"/>
        </w:rPr>
        <w:t>of 2014),</w:t>
      </w:r>
    </w:p>
    <w:p w14:paraId="4331AF7C" w14:textId="77777777" w:rsidR="00C0474C" w:rsidRPr="007927A9" w:rsidRDefault="00326299" w:rsidP="007D60EF">
      <w:pPr>
        <w:pStyle w:val="ListParagraph"/>
        <w:numPr>
          <w:ilvl w:val="0"/>
          <w:numId w:val="4"/>
        </w:numPr>
        <w:rPr>
          <w:rFonts w:cs="Times New Roman"/>
          <w:szCs w:val="24"/>
        </w:rPr>
      </w:pPr>
      <w:r w:rsidRPr="007927A9">
        <w:rPr>
          <w:rFonts w:cs="Times New Roman"/>
          <w:szCs w:val="24"/>
        </w:rPr>
        <w:t>the Broad-</w:t>
      </w:r>
      <w:r w:rsidR="00966289" w:rsidRPr="007927A9">
        <w:rPr>
          <w:rFonts w:cs="Times New Roman"/>
          <w:szCs w:val="24"/>
        </w:rPr>
        <w:t>Based Black Economic Empowerment Act (</w:t>
      </w:r>
      <w:r w:rsidR="00C0474C" w:rsidRPr="007927A9">
        <w:rPr>
          <w:rFonts w:cs="Times New Roman"/>
          <w:szCs w:val="24"/>
        </w:rPr>
        <w:t xml:space="preserve">No. 53 of </w:t>
      </w:r>
      <w:r w:rsidR="00966289" w:rsidRPr="007927A9">
        <w:rPr>
          <w:rFonts w:cs="Times New Roman"/>
          <w:szCs w:val="24"/>
        </w:rPr>
        <w:t>2003)</w:t>
      </w:r>
      <w:r w:rsidR="005E1DE4" w:rsidRPr="007927A9">
        <w:rPr>
          <w:rFonts w:cs="Times New Roman"/>
          <w:szCs w:val="24"/>
        </w:rPr>
        <w:t xml:space="preserve">, </w:t>
      </w:r>
    </w:p>
    <w:p w14:paraId="64260BC6" w14:textId="77777777" w:rsidR="00966289" w:rsidRPr="007927A9" w:rsidRDefault="00C0474C" w:rsidP="007D60EF">
      <w:pPr>
        <w:pStyle w:val="ListParagraph"/>
        <w:numPr>
          <w:ilvl w:val="0"/>
          <w:numId w:val="4"/>
        </w:numPr>
        <w:rPr>
          <w:rFonts w:cs="Times New Roman"/>
          <w:szCs w:val="24"/>
        </w:rPr>
      </w:pPr>
      <w:r w:rsidRPr="007927A9">
        <w:rPr>
          <w:rFonts w:cs="Times New Roman"/>
          <w:szCs w:val="24"/>
        </w:rPr>
        <w:t xml:space="preserve">the Protection of Investment Act (No. </w:t>
      </w:r>
      <w:r w:rsidR="00093AEF" w:rsidRPr="007927A9">
        <w:rPr>
          <w:rFonts w:cs="Times New Roman"/>
          <w:szCs w:val="24"/>
        </w:rPr>
        <w:t xml:space="preserve">22 </w:t>
      </w:r>
      <w:r w:rsidRPr="007927A9">
        <w:rPr>
          <w:rFonts w:cs="Times New Roman"/>
          <w:szCs w:val="24"/>
        </w:rPr>
        <w:t xml:space="preserve">of 2015), </w:t>
      </w:r>
      <w:r w:rsidR="005E1DE4" w:rsidRPr="007927A9">
        <w:rPr>
          <w:rFonts w:cs="Times New Roman"/>
          <w:szCs w:val="24"/>
        </w:rPr>
        <w:t>and</w:t>
      </w:r>
    </w:p>
    <w:p w14:paraId="229EA211" w14:textId="77777777" w:rsidR="00966289" w:rsidRPr="007927A9" w:rsidRDefault="00966289" w:rsidP="007D60EF">
      <w:pPr>
        <w:pStyle w:val="ListParagraph"/>
        <w:numPr>
          <w:ilvl w:val="0"/>
          <w:numId w:val="4"/>
        </w:numPr>
        <w:rPr>
          <w:rFonts w:cs="Times New Roman"/>
          <w:szCs w:val="24"/>
        </w:rPr>
      </w:pPr>
      <w:r w:rsidRPr="007927A9">
        <w:rPr>
          <w:rFonts w:cs="Times New Roman"/>
          <w:szCs w:val="24"/>
        </w:rPr>
        <w:t>the Consumer Protection Act (</w:t>
      </w:r>
      <w:r w:rsidR="00C0474C" w:rsidRPr="007927A9">
        <w:rPr>
          <w:rFonts w:cs="Times New Roman"/>
          <w:szCs w:val="24"/>
        </w:rPr>
        <w:t xml:space="preserve">No. 68 of </w:t>
      </w:r>
      <w:r w:rsidRPr="007927A9">
        <w:rPr>
          <w:rFonts w:cs="Times New Roman"/>
          <w:szCs w:val="24"/>
        </w:rPr>
        <w:t>2008).</w:t>
      </w:r>
    </w:p>
    <w:p w14:paraId="3ABC38AC" w14:textId="77777777" w:rsidR="00966289" w:rsidRPr="00326299" w:rsidRDefault="00966289" w:rsidP="0062246E">
      <w:pPr>
        <w:pStyle w:val="ListParagraph"/>
        <w:rPr>
          <w:rFonts w:cs="Times New Roman"/>
          <w:szCs w:val="24"/>
          <w:highlight w:val="yellow"/>
        </w:rPr>
      </w:pPr>
    </w:p>
    <w:p w14:paraId="61D6F7CC" w14:textId="77777777" w:rsidR="00966289" w:rsidRPr="00052A2F" w:rsidRDefault="00966289" w:rsidP="0062246E">
      <w:pPr>
        <w:rPr>
          <w:rFonts w:cs="Times New Roman"/>
          <w:szCs w:val="24"/>
        </w:rPr>
      </w:pPr>
      <w:r w:rsidRPr="00326299">
        <w:rPr>
          <w:rFonts w:cs="Times New Roman"/>
          <w:szCs w:val="24"/>
        </w:rPr>
        <w:t xml:space="preserve">Furthermore, the </w:t>
      </w:r>
      <w:r w:rsidR="00FD075A" w:rsidRPr="00326299">
        <w:rPr>
          <w:rFonts w:cs="Times New Roman"/>
          <w:szCs w:val="24"/>
        </w:rPr>
        <w:t xml:space="preserve">DTI </w:t>
      </w:r>
      <w:r w:rsidRPr="00326299">
        <w:rPr>
          <w:rFonts w:cs="Times New Roman"/>
          <w:szCs w:val="24"/>
        </w:rPr>
        <w:t>supports outcome 4 (decent employment through inclusive growth), outcome 7 (comprehensive rural development and land reform) and outcome 11 (create a better South Africa and contribute to a better Africa and a better world) of the National Development Plan (NDP).</w:t>
      </w:r>
      <w:r w:rsidRPr="00052A2F">
        <w:rPr>
          <w:rFonts w:cs="Times New Roman"/>
          <w:szCs w:val="24"/>
        </w:rPr>
        <w:t xml:space="preserve"> </w:t>
      </w:r>
      <w:r w:rsidR="00FD075A" w:rsidRPr="00052A2F">
        <w:rPr>
          <w:rFonts w:cs="Times New Roman"/>
          <w:szCs w:val="24"/>
        </w:rPr>
        <w:t xml:space="preserve">The </w:t>
      </w:r>
      <w:r w:rsidRPr="00052A2F">
        <w:rPr>
          <w:rFonts w:cs="Times New Roman"/>
          <w:szCs w:val="24"/>
        </w:rPr>
        <w:t>strategic goals</w:t>
      </w:r>
      <w:r w:rsidR="00FD075A" w:rsidRPr="00052A2F">
        <w:rPr>
          <w:rFonts w:cs="Times New Roman"/>
          <w:szCs w:val="24"/>
        </w:rPr>
        <w:t>, which are</w:t>
      </w:r>
      <w:r w:rsidRPr="00052A2F">
        <w:rPr>
          <w:rFonts w:cs="Times New Roman"/>
          <w:szCs w:val="24"/>
        </w:rPr>
        <w:t xml:space="preserve"> </w:t>
      </w:r>
      <w:r w:rsidR="00FD075A" w:rsidRPr="00052A2F">
        <w:rPr>
          <w:rFonts w:cs="Times New Roman"/>
          <w:szCs w:val="24"/>
        </w:rPr>
        <w:t xml:space="preserve">aligned to and support the NDP outcomes, </w:t>
      </w:r>
      <w:r w:rsidRPr="00052A2F">
        <w:rPr>
          <w:rFonts w:cs="Times New Roman"/>
          <w:szCs w:val="24"/>
        </w:rPr>
        <w:t xml:space="preserve">are to: </w:t>
      </w:r>
    </w:p>
    <w:p w14:paraId="0EED3ABC" w14:textId="77777777" w:rsidR="00966289" w:rsidRPr="00052A2F" w:rsidRDefault="00966289" w:rsidP="0062246E">
      <w:pPr>
        <w:rPr>
          <w:rFonts w:cs="Times New Roman"/>
          <w:szCs w:val="24"/>
        </w:rPr>
      </w:pPr>
    </w:p>
    <w:p w14:paraId="3DF2E7CF" w14:textId="77777777" w:rsidR="00966289" w:rsidRPr="00052A2F" w:rsidRDefault="00966289" w:rsidP="007D60EF">
      <w:pPr>
        <w:pStyle w:val="Default"/>
        <w:numPr>
          <w:ilvl w:val="0"/>
          <w:numId w:val="5"/>
        </w:numPr>
        <w:spacing w:line="360" w:lineRule="auto"/>
        <w:jc w:val="both"/>
        <w:rPr>
          <w:rFonts w:ascii="Times New Roman" w:hAnsi="Times New Roman" w:cs="Times New Roman"/>
          <w:color w:val="auto"/>
        </w:rPr>
      </w:pPr>
      <w:r w:rsidRPr="00052A2F">
        <w:rPr>
          <w:rFonts w:ascii="Times New Roman" w:hAnsi="Times New Roman" w:cs="Times New Roman"/>
          <w:color w:val="auto"/>
        </w:rPr>
        <w:t xml:space="preserve">Facilitate the transformation of the economy to promote industrial development, investment, competitiveness and employment creation; </w:t>
      </w:r>
    </w:p>
    <w:p w14:paraId="2AB3BBCE" w14:textId="77777777" w:rsidR="00966289" w:rsidRPr="00052A2F" w:rsidRDefault="00966289" w:rsidP="007D60EF">
      <w:pPr>
        <w:pStyle w:val="Default"/>
        <w:numPr>
          <w:ilvl w:val="0"/>
          <w:numId w:val="5"/>
        </w:numPr>
        <w:spacing w:line="360" w:lineRule="auto"/>
        <w:jc w:val="both"/>
        <w:rPr>
          <w:rFonts w:ascii="Times New Roman" w:hAnsi="Times New Roman" w:cs="Times New Roman"/>
          <w:color w:val="auto"/>
        </w:rPr>
      </w:pPr>
      <w:r w:rsidRPr="00052A2F">
        <w:rPr>
          <w:rFonts w:ascii="Times New Roman" w:hAnsi="Times New Roman" w:cs="Times New Roman"/>
          <w:color w:val="auto"/>
        </w:rPr>
        <w:t xml:space="preserve">Build mutually beneficial regional and global relations to advance South Africa’s trade, industrial policy and economic development objectives; </w:t>
      </w:r>
    </w:p>
    <w:p w14:paraId="4C388BE0" w14:textId="77777777" w:rsidR="00966289" w:rsidRPr="00052A2F" w:rsidRDefault="00966289" w:rsidP="007D60EF">
      <w:pPr>
        <w:pStyle w:val="Default"/>
        <w:numPr>
          <w:ilvl w:val="0"/>
          <w:numId w:val="5"/>
        </w:numPr>
        <w:spacing w:line="360" w:lineRule="auto"/>
        <w:jc w:val="both"/>
        <w:rPr>
          <w:rFonts w:ascii="Times New Roman" w:hAnsi="Times New Roman" w:cs="Times New Roman"/>
          <w:color w:val="auto"/>
        </w:rPr>
      </w:pPr>
      <w:r w:rsidRPr="00052A2F">
        <w:rPr>
          <w:rFonts w:ascii="Times New Roman" w:hAnsi="Times New Roman" w:cs="Times New Roman"/>
          <w:color w:val="auto"/>
        </w:rPr>
        <w:t xml:space="preserve">Facilitate broad-based economic participation through targeted interventions to achieve more inclusive growth; </w:t>
      </w:r>
    </w:p>
    <w:p w14:paraId="305AF980" w14:textId="77777777" w:rsidR="00966289" w:rsidRPr="00052A2F" w:rsidRDefault="00966289" w:rsidP="007D60EF">
      <w:pPr>
        <w:pStyle w:val="Default"/>
        <w:numPr>
          <w:ilvl w:val="0"/>
          <w:numId w:val="5"/>
        </w:numPr>
        <w:spacing w:line="360" w:lineRule="auto"/>
        <w:jc w:val="both"/>
        <w:rPr>
          <w:rFonts w:ascii="Times New Roman" w:hAnsi="Times New Roman" w:cs="Times New Roman"/>
          <w:color w:val="auto"/>
        </w:rPr>
      </w:pPr>
      <w:r w:rsidRPr="00052A2F">
        <w:rPr>
          <w:rFonts w:ascii="Times New Roman" w:hAnsi="Times New Roman" w:cs="Times New Roman"/>
          <w:color w:val="auto"/>
        </w:rPr>
        <w:t xml:space="preserve">Create a fair regulatory environment that enables investment, trade and enterprise development in an equitable and socially responsible manner; and </w:t>
      </w:r>
    </w:p>
    <w:p w14:paraId="2D227745" w14:textId="77777777" w:rsidR="00966289" w:rsidRPr="00052A2F" w:rsidRDefault="00966289" w:rsidP="007D60EF">
      <w:pPr>
        <w:pStyle w:val="Default"/>
        <w:numPr>
          <w:ilvl w:val="0"/>
          <w:numId w:val="5"/>
        </w:numPr>
        <w:spacing w:line="360" w:lineRule="auto"/>
        <w:jc w:val="both"/>
        <w:rPr>
          <w:rFonts w:ascii="Times New Roman" w:hAnsi="Times New Roman" w:cs="Times New Roman"/>
          <w:color w:val="auto"/>
        </w:rPr>
      </w:pPr>
      <w:r w:rsidRPr="00052A2F">
        <w:rPr>
          <w:rFonts w:ascii="Times New Roman" w:hAnsi="Times New Roman" w:cs="Times New Roman"/>
          <w:color w:val="auto"/>
        </w:rPr>
        <w:t>Promote a professional, ethical, dynamic, competitive and customer-focused working environment that ensures effective and efficient service delivery.</w:t>
      </w:r>
      <w:r w:rsidRPr="00052A2F">
        <w:rPr>
          <w:rStyle w:val="FootnoteReference"/>
          <w:rFonts w:ascii="Times New Roman" w:hAnsi="Times New Roman" w:cs="Times New Roman"/>
          <w:color w:val="auto"/>
        </w:rPr>
        <w:footnoteReference w:id="2"/>
      </w:r>
      <w:r w:rsidRPr="00052A2F">
        <w:rPr>
          <w:rFonts w:ascii="Times New Roman" w:hAnsi="Times New Roman" w:cs="Times New Roman"/>
          <w:color w:val="auto"/>
        </w:rPr>
        <w:t xml:space="preserve"> </w:t>
      </w:r>
    </w:p>
    <w:p w14:paraId="1E466EC1" w14:textId="77777777" w:rsidR="00687A78" w:rsidRPr="00052A2F" w:rsidRDefault="00687A78" w:rsidP="0062246E">
      <w:pPr>
        <w:rPr>
          <w:rFonts w:cs="Times New Roman"/>
          <w:szCs w:val="24"/>
        </w:rPr>
      </w:pPr>
    </w:p>
    <w:p w14:paraId="0F13B00B" w14:textId="77777777" w:rsidR="00966289" w:rsidRPr="00052A2F" w:rsidRDefault="00966289" w:rsidP="0062246E">
      <w:pPr>
        <w:rPr>
          <w:rFonts w:cs="Times New Roman"/>
          <w:szCs w:val="24"/>
        </w:rPr>
      </w:pPr>
      <w:r w:rsidRPr="00052A2F">
        <w:rPr>
          <w:rFonts w:cs="Times New Roman"/>
          <w:szCs w:val="24"/>
        </w:rPr>
        <w:t xml:space="preserve">To discharge its mandate, the </w:t>
      </w:r>
      <w:r w:rsidR="006A3BE3" w:rsidRPr="00052A2F">
        <w:rPr>
          <w:rFonts w:cs="Times New Roman"/>
          <w:szCs w:val="24"/>
        </w:rPr>
        <w:t xml:space="preserve">DTI </w:t>
      </w:r>
      <w:r w:rsidRPr="00052A2F">
        <w:rPr>
          <w:rFonts w:cs="Times New Roman"/>
          <w:szCs w:val="24"/>
        </w:rPr>
        <w:t>receive</w:t>
      </w:r>
      <w:r w:rsidR="006A3BE3" w:rsidRPr="00052A2F">
        <w:rPr>
          <w:rFonts w:cs="Times New Roman"/>
          <w:szCs w:val="24"/>
        </w:rPr>
        <w:t>s</w:t>
      </w:r>
      <w:r w:rsidRPr="00052A2F">
        <w:rPr>
          <w:rFonts w:cs="Times New Roman"/>
          <w:szCs w:val="24"/>
        </w:rPr>
        <w:t xml:space="preserve"> funds </w:t>
      </w:r>
      <w:r w:rsidR="006A3BE3" w:rsidRPr="00052A2F">
        <w:rPr>
          <w:rFonts w:cs="Times New Roman"/>
          <w:szCs w:val="24"/>
        </w:rPr>
        <w:t xml:space="preserve">from </w:t>
      </w:r>
      <w:r w:rsidR="00F04B97">
        <w:rPr>
          <w:rFonts w:cs="Times New Roman"/>
          <w:szCs w:val="24"/>
        </w:rPr>
        <w:t>the fiscus. On 21</w:t>
      </w:r>
      <w:r w:rsidRPr="00052A2F">
        <w:rPr>
          <w:rFonts w:cs="Times New Roman"/>
          <w:szCs w:val="24"/>
        </w:rPr>
        <w:t xml:space="preserve"> February</w:t>
      </w:r>
      <w:r w:rsidR="00326299">
        <w:rPr>
          <w:rFonts w:cs="Times New Roman"/>
          <w:szCs w:val="24"/>
        </w:rPr>
        <w:t xml:space="preserve"> 2018</w:t>
      </w:r>
      <w:r w:rsidRPr="00052A2F">
        <w:rPr>
          <w:rFonts w:cs="Times New Roman"/>
          <w:szCs w:val="24"/>
        </w:rPr>
        <w:t>, the Minister of Finance delivere</w:t>
      </w:r>
      <w:r w:rsidR="00326299">
        <w:rPr>
          <w:rFonts w:cs="Times New Roman"/>
          <w:szCs w:val="24"/>
        </w:rPr>
        <w:t>d the Budget Speech for the 2018</w:t>
      </w:r>
      <w:r w:rsidRPr="00052A2F">
        <w:rPr>
          <w:rFonts w:cs="Times New Roman"/>
          <w:szCs w:val="24"/>
        </w:rPr>
        <w:t>/1</w:t>
      </w:r>
      <w:r w:rsidR="00326299">
        <w:rPr>
          <w:rFonts w:cs="Times New Roman"/>
          <w:szCs w:val="24"/>
        </w:rPr>
        <w:t>9</w:t>
      </w:r>
      <w:r w:rsidRPr="00052A2F">
        <w:rPr>
          <w:rFonts w:cs="Times New Roman"/>
          <w:szCs w:val="24"/>
        </w:rPr>
        <w:t xml:space="preserve"> financial year. </w:t>
      </w:r>
      <w:r w:rsidR="006A3BE3" w:rsidRPr="00052A2F">
        <w:rPr>
          <w:rFonts w:cs="Times New Roman"/>
          <w:szCs w:val="24"/>
        </w:rPr>
        <w:t xml:space="preserve">The DTI </w:t>
      </w:r>
      <w:r w:rsidR="00326299">
        <w:rPr>
          <w:rFonts w:cs="Times New Roman"/>
          <w:szCs w:val="24"/>
        </w:rPr>
        <w:t>was allocated R9.46</w:t>
      </w:r>
      <w:r w:rsidRPr="00052A2F">
        <w:rPr>
          <w:rFonts w:cs="Times New Roman"/>
          <w:szCs w:val="24"/>
        </w:rPr>
        <w:t xml:space="preserve"> billion</w:t>
      </w:r>
      <w:r w:rsidR="006A3BE3" w:rsidRPr="00052A2F">
        <w:rPr>
          <w:rFonts w:cs="Times New Roman"/>
          <w:szCs w:val="24"/>
        </w:rPr>
        <w:t xml:space="preserve"> of the national budget for the financial year</w:t>
      </w:r>
      <w:r w:rsidRPr="00052A2F">
        <w:rPr>
          <w:rFonts w:cs="Times New Roman"/>
          <w:szCs w:val="24"/>
        </w:rPr>
        <w:t>.</w:t>
      </w:r>
      <w:bookmarkStart w:id="1" w:name="_Toc475728039"/>
    </w:p>
    <w:p w14:paraId="3F667ED6" w14:textId="77777777" w:rsidR="007927A9" w:rsidRPr="00052A2F" w:rsidRDefault="007927A9" w:rsidP="0062246E">
      <w:pPr>
        <w:rPr>
          <w:rFonts w:cs="Times New Roman"/>
          <w:szCs w:val="24"/>
        </w:rPr>
      </w:pPr>
    </w:p>
    <w:p w14:paraId="5A1CB720" w14:textId="77777777" w:rsidR="00966289" w:rsidRPr="0079637C" w:rsidRDefault="00966289" w:rsidP="0062246E">
      <w:pPr>
        <w:pStyle w:val="ListParagraph"/>
        <w:numPr>
          <w:ilvl w:val="1"/>
          <w:numId w:val="2"/>
        </w:numPr>
        <w:ind w:left="567" w:right="-23" w:hanging="567"/>
        <w:rPr>
          <w:rFonts w:cs="Times New Roman"/>
          <w:b/>
          <w:szCs w:val="24"/>
        </w:rPr>
      </w:pPr>
      <w:r w:rsidRPr="00052A2F">
        <w:rPr>
          <w:rFonts w:cs="Times New Roman"/>
          <w:b/>
          <w:szCs w:val="24"/>
        </w:rPr>
        <w:t xml:space="preserve">Policy Priorities for </w:t>
      </w:r>
      <w:r w:rsidR="006A3BE3" w:rsidRPr="00052A2F">
        <w:rPr>
          <w:rFonts w:cs="Times New Roman"/>
          <w:b/>
          <w:szCs w:val="24"/>
        </w:rPr>
        <w:t xml:space="preserve">the </w:t>
      </w:r>
      <w:r w:rsidR="00F04B97">
        <w:rPr>
          <w:rFonts w:cs="Times New Roman"/>
          <w:b/>
          <w:szCs w:val="24"/>
        </w:rPr>
        <w:t>2018</w:t>
      </w:r>
      <w:r w:rsidRPr="00052A2F">
        <w:rPr>
          <w:rFonts w:cs="Times New Roman"/>
          <w:b/>
          <w:szCs w:val="24"/>
        </w:rPr>
        <w:t>/1</w:t>
      </w:r>
      <w:r w:rsidR="00F04B97">
        <w:rPr>
          <w:rFonts w:cs="Times New Roman"/>
          <w:b/>
          <w:szCs w:val="24"/>
        </w:rPr>
        <w:t>9</w:t>
      </w:r>
      <w:r w:rsidRPr="00052A2F">
        <w:rPr>
          <w:rFonts w:cs="Times New Roman"/>
          <w:b/>
          <w:szCs w:val="24"/>
        </w:rPr>
        <w:t xml:space="preserve"> </w:t>
      </w:r>
      <w:r w:rsidR="006A3BE3" w:rsidRPr="00052A2F">
        <w:rPr>
          <w:rFonts w:cs="Times New Roman"/>
          <w:b/>
          <w:szCs w:val="24"/>
        </w:rPr>
        <w:t xml:space="preserve">financial year </w:t>
      </w:r>
      <w:r w:rsidRPr="0079637C">
        <w:rPr>
          <w:rFonts w:cs="Times New Roman"/>
          <w:b/>
          <w:szCs w:val="24"/>
        </w:rPr>
        <w:t>and alignment with national, regional, continental and global development agendas</w:t>
      </w:r>
      <w:bookmarkEnd w:id="1"/>
      <w:r w:rsidRPr="0079637C">
        <w:rPr>
          <w:rFonts w:cs="Times New Roman"/>
          <w:b/>
          <w:szCs w:val="24"/>
        </w:rPr>
        <w:t xml:space="preserve"> </w:t>
      </w:r>
    </w:p>
    <w:p w14:paraId="1AAA34B2" w14:textId="77777777" w:rsidR="00966289" w:rsidRPr="00052A2F" w:rsidRDefault="00966289" w:rsidP="0062246E">
      <w:pPr>
        <w:rPr>
          <w:rFonts w:cs="Times New Roman"/>
          <w:b/>
          <w:szCs w:val="24"/>
        </w:rPr>
      </w:pPr>
    </w:p>
    <w:p w14:paraId="0EB463FD" w14:textId="1DFF39F1" w:rsidR="00F04B97" w:rsidRPr="00F04B97" w:rsidRDefault="00F04B97" w:rsidP="0062246E">
      <w:pPr>
        <w:rPr>
          <w:rFonts w:cs="Times New Roman"/>
          <w:szCs w:val="24"/>
        </w:rPr>
      </w:pPr>
      <w:r w:rsidRPr="00F04B97">
        <w:rPr>
          <w:rFonts w:cs="Times New Roman"/>
          <w:szCs w:val="24"/>
        </w:rPr>
        <w:lastRenderedPageBreak/>
        <w:t xml:space="preserve">The policy priorities for the Department have not changed, instead they have been re-emphasised in recent months and further reiterated by President </w:t>
      </w:r>
      <w:r w:rsidR="00C325E7">
        <w:rPr>
          <w:rFonts w:cs="Times New Roman"/>
          <w:szCs w:val="24"/>
        </w:rPr>
        <w:t>Matamela</w:t>
      </w:r>
      <w:r w:rsidR="00C325E7" w:rsidRPr="00F04B97">
        <w:rPr>
          <w:rFonts w:cs="Times New Roman"/>
          <w:szCs w:val="24"/>
        </w:rPr>
        <w:t xml:space="preserve"> </w:t>
      </w:r>
      <w:r w:rsidRPr="00F04B97">
        <w:rPr>
          <w:rFonts w:cs="Times New Roman"/>
          <w:szCs w:val="24"/>
        </w:rPr>
        <w:t>Ram</w:t>
      </w:r>
      <w:r w:rsidR="009E0093">
        <w:rPr>
          <w:rFonts w:cs="Times New Roman"/>
          <w:szCs w:val="24"/>
        </w:rPr>
        <w:t>a</w:t>
      </w:r>
      <w:r w:rsidRPr="00F04B97">
        <w:rPr>
          <w:rFonts w:cs="Times New Roman"/>
          <w:szCs w:val="24"/>
        </w:rPr>
        <w:t>phosa in the State of the Nation Address (SONA) on 16 February. The policy priorities are:</w:t>
      </w:r>
    </w:p>
    <w:p w14:paraId="396C93CA" w14:textId="77777777" w:rsidR="00F04B97" w:rsidRPr="00F04B97" w:rsidRDefault="00F04B97" w:rsidP="0062246E">
      <w:pPr>
        <w:rPr>
          <w:rFonts w:cs="Times New Roman"/>
          <w:szCs w:val="24"/>
        </w:rPr>
      </w:pPr>
    </w:p>
    <w:p w14:paraId="156E6CAD" w14:textId="77777777" w:rsidR="00F04B97" w:rsidRPr="00F04B97" w:rsidRDefault="00F04B97" w:rsidP="007D60EF">
      <w:pPr>
        <w:pStyle w:val="ListParagraph"/>
        <w:numPr>
          <w:ilvl w:val="0"/>
          <w:numId w:val="11"/>
        </w:numPr>
        <w:rPr>
          <w:rFonts w:cs="Times New Roman"/>
          <w:szCs w:val="24"/>
        </w:rPr>
      </w:pPr>
      <w:r>
        <w:rPr>
          <w:rFonts w:cs="Times New Roman"/>
          <w:szCs w:val="24"/>
        </w:rPr>
        <w:t>Re-industrialising the economy</w:t>
      </w:r>
      <w:r w:rsidRPr="00F04B97">
        <w:rPr>
          <w:rFonts w:cs="Times New Roman"/>
          <w:szCs w:val="24"/>
        </w:rPr>
        <w:t xml:space="preserve">/stimulating the manufacturing sector through localisation, the Strategic use of incentives, and other measures. </w:t>
      </w:r>
    </w:p>
    <w:p w14:paraId="484BD67B" w14:textId="77777777" w:rsidR="00F04B97" w:rsidRPr="00F04B97" w:rsidRDefault="00F04B97" w:rsidP="007D60EF">
      <w:pPr>
        <w:pStyle w:val="ListParagraph"/>
        <w:numPr>
          <w:ilvl w:val="0"/>
          <w:numId w:val="11"/>
        </w:numPr>
        <w:rPr>
          <w:rFonts w:cs="Times New Roman"/>
          <w:szCs w:val="24"/>
        </w:rPr>
      </w:pPr>
      <w:r w:rsidRPr="00F04B97">
        <w:rPr>
          <w:rFonts w:cs="Times New Roman"/>
          <w:szCs w:val="24"/>
        </w:rPr>
        <w:t>Ensuring transformation of the economy through supporting</w:t>
      </w:r>
      <w:r w:rsidR="0079637C">
        <w:rPr>
          <w:rFonts w:cs="Times New Roman"/>
          <w:szCs w:val="24"/>
        </w:rPr>
        <w:t xml:space="preserve"> black industria</w:t>
      </w:r>
      <w:r w:rsidRPr="00F04B97">
        <w:rPr>
          <w:rFonts w:cs="Times New Roman"/>
          <w:szCs w:val="24"/>
        </w:rPr>
        <w:t xml:space="preserve">lists including the black youth and women producers which have productive business to build economies of scale and build capacity for both the domestic and international markets. </w:t>
      </w:r>
    </w:p>
    <w:p w14:paraId="206FF7EA" w14:textId="77777777" w:rsidR="00F04B97" w:rsidRPr="00F04B97" w:rsidRDefault="00F04B97" w:rsidP="007D60EF">
      <w:pPr>
        <w:pStyle w:val="ListParagraph"/>
        <w:numPr>
          <w:ilvl w:val="0"/>
          <w:numId w:val="11"/>
        </w:numPr>
        <w:rPr>
          <w:rFonts w:cs="Times New Roman"/>
          <w:szCs w:val="24"/>
        </w:rPr>
      </w:pPr>
      <w:r w:rsidRPr="00F04B97">
        <w:rPr>
          <w:rFonts w:cs="Times New Roman"/>
          <w:szCs w:val="24"/>
        </w:rPr>
        <w:t xml:space="preserve">Facilitating investment in the development of township and rural enterprises. </w:t>
      </w:r>
    </w:p>
    <w:p w14:paraId="02868D93" w14:textId="77777777" w:rsidR="00F04B97" w:rsidRPr="00F04B97" w:rsidRDefault="00F04B97" w:rsidP="0062246E"/>
    <w:p w14:paraId="7EF1F167" w14:textId="77777777" w:rsidR="00DF39BA" w:rsidRDefault="00DF39BA" w:rsidP="00DF39BA">
      <w:pPr>
        <w:pStyle w:val="ListParagraph"/>
        <w:numPr>
          <w:ilvl w:val="2"/>
          <w:numId w:val="2"/>
        </w:numPr>
        <w:ind w:left="851" w:right="-23" w:hanging="851"/>
        <w:rPr>
          <w:rFonts w:cs="Times New Roman"/>
          <w:b/>
          <w:szCs w:val="24"/>
        </w:rPr>
      </w:pPr>
      <w:bookmarkStart w:id="2" w:name="_Toc507508711"/>
      <w:r w:rsidRPr="00DF39BA">
        <w:rPr>
          <w:rFonts w:cs="Times New Roman"/>
          <w:b/>
          <w:szCs w:val="24"/>
        </w:rPr>
        <w:t>National Development Plan</w:t>
      </w:r>
    </w:p>
    <w:p w14:paraId="22C6F4AF" w14:textId="77777777" w:rsidR="00DF39BA" w:rsidRPr="00DF39BA" w:rsidRDefault="00DF39BA" w:rsidP="00DF39BA">
      <w:pPr>
        <w:pStyle w:val="ListParagraph"/>
        <w:ind w:left="851" w:right="-23"/>
        <w:rPr>
          <w:rFonts w:cs="Times New Roman"/>
          <w:b/>
          <w:szCs w:val="24"/>
        </w:rPr>
      </w:pPr>
    </w:p>
    <w:p w14:paraId="45A59625" w14:textId="1D44F42B" w:rsidR="00DF39BA" w:rsidRPr="00DF39BA" w:rsidRDefault="00DF39BA" w:rsidP="00DF39BA">
      <w:pPr>
        <w:pStyle w:val="Body"/>
        <w:spacing w:line="360" w:lineRule="auto"/>
        <w:jc w:val="both"/>
        <w:rPr>
          <w:rFonts w:ascii="Times New Roman" w:hAnsi="Times New Roman" w:cs="Times New Roman"/>
          <w:b/>
          <w:sz w:val="24"/>
          <w:szCs w:val="24"/>
        </w:rPr>
      </w:pPr>
      <w:r w:rsidRPr="00DF39BA">
        <w:rPr>
          <w:rFonts w:ascii="Times New Roman" w:eastAsia="Times New Roman" w:hAnsi="Times New Roman" w:cs="Times New Roman"/>
          <w:sz w:val="24"/>
          <w:szCs w:val="24"/>
        </w:rPr>
        <w:t>According to the National Development Plan</w:t>
      </w:r>
      <w:r w:rsidR="002B4C28">
        <w:rPr>
          <w:rFonts w:ascii="Times New Roman" w:eastAsia="Times New Roman" w:hAnsi="Times New Roman" w:cs="Times New Roman"/>
          <w:sz w:val="24"/>
          <w:szCs w:val="24"/>
        </w:rPr>
        <w:t xml:space="preserve"> (NDP)</w:t>
      </w:r>
      <w:r w:rsidRPr="00DF39BA">
        <w:rPr>
          <w:rFonts w:ascii="Times New Roman" w:eastAsia="Times New Roman" w:hAnsi="Times New Roman" w:cs="Times New Roman"/>
          <w:sz w:val="24"/>
          <w:szCs w:val="24"/>
        </w:rPr>
        <w:t>, exports (as measured in volume terms) should grow by 6 per</w:t>
      </w:r>
      <w:r w:rsidR="00805AA4">
        <w:rPr>
          <w:rFonts w:ascii="Times New Roman" w:eastAsia="Times New Roman" w:hAnsi="Times New Roman" w:cs="Times New Roman"/>
          <w:sz w:val="24"/>
          <w:szCs w:val="24"/>
        </w:rPr>
        <w:t xml:space="preserve"> </w:t>
      </w:r>
      <w:r w:rsidRPr="00DF39BA">
        <w:rPr>
          <w:rFonts w:ascii="Times New Roman" w:eastAsia="Times New Roman" w:hAnsi="Times New Roman" w:cs="Times New Roman"/>
          <w:sz w:val="24"/>
          <w:szCs w:val="24"/>
        </w:rPr>
        <w:t>cent a year by 2030 with non-traditional exports growing by 10 per</w:t>
      </w:r>
      <w:r w:rsidR="00805AA4">
        <w:rPr>
          <w:rFonts w:ascii="Times New Roman" w:eastAsia="Times New Roman" w:hAnsi="Times New Roman" w:cs="Times New Roman"/>
          <w:sz w:val="24"/>
          <w:szCs w:val="24"/>
        </w:rPr>
        <w:t xml:space="preserve"> </w:t>
      </w:r>
      <w:r w:rsidRPr="00DF39BA">
        <w:rPr>
          <w:rFonts w:ascii="Times New Roman" w:eastAsia="Times New Roman" w:hAnsi="Times New Roman" w:cs="Times New Roman"/>
          <w:sz w:val="24"/>
          <w:szCs w:val="24"/>
        </w:rPr>
        <w:t xml:space="preserve">cent a year. The </w:t>
      </w:r>
      <w:r w:rsidR="00BA7020">
        <w:rPr>
          <w:rFonts w:ascii="Times New Roman" w:eastAsia="Times New Roman" w:hAnsi="Times New Roman" w:cs="Times New Roman"/>
          <w:sz w:val="24"/>
          <w:szCs w:val="24"/>
        </w:rPr>
        <w:t>NDP</w:t>
      </w:r>
      <w:r w:rsidRPr="00DF39BA">
        <w:rPr>
          <w:rFonts w:ascii="Times New Roman" w:eastAsia="Times New Roman" w:hAnsi="Times New Roman" w:cs="Times New Roman"/>
          <w:sz w:val="24"/>
          <w:szCs w:val="24"/>
        </w:rPr>
        <w:t xml:space="preserve"> further places South Africa’s trade and investment links with the rest of Africa at the centre of South Africa’s economic growth strategy. To this end, the Department is </w:t>
      </w:r>
      <w:r w:rsidR="009E0093" w:rsidRPr="00DF39BA">
        <w:rPr>
          <w:rFonts w:ascii="Times New Roman" w:eastAsia="Times New Roman" w:hAnsi="Times New Roman" w:cs="Times New Roman"/>
          <w:sz w:val="24"/>
          <w:szCs w:val="24"/>
        </w:rPr>
        <w:t>cognisant</w:t>
      </w:r>
      <w:r w:rsidRPr="00DF39BA">
        <w:rPr>
          <w:rFonts w:ascii="Times New Roman" w:eastAsia="Times New Roman" w:hAnsi="Times New Roman" w:cs="Times New Roman"/>
          <w:sz w:val="24"/>
          <w:szCs w:val="24"/>
        </w:rPr>
        <w:t xml:space="preserve"> of the critical role of exports in stimulating increased manufacturing and re-industrialisation of the South African economy. The Department has therefore established a critical link between</w:t>
      </w:r>
      <w:r w:rsidRPr="00DF39BA">
        <w:rPr>
          <w:rFonts w:ascii="Times New Roman" w:eastAsia="Times New Roman" w:hAnsi="Times New Roman" w:cs="Times New Roman"/>
          <w:i/>
          <w:sz w:val="24"/>
          <w:szCs w:val="24"/>
        </w:rPr>
        <w:t xml:space="preserve"> industrialisation</w:t>
      </w:r>
      <w:r w:rsidRPr="00DF39BA">
        <w:rPr>
          <w:rFonts w:ascii="Times New Roman" w:eastAsia="Times New Roman" w:hAnsi="Times New Roman" w:cs="Times New Roman"/>
          <w:sz w:val="24"/>
          <w:szCs w:val="24"/>
        </w:rPr>
        <w:t xml:space="preserve"> and </w:t>
      </w:r>
      <w:r w:rsidRPr="00DF39BA">
        <w:rPr>
          <w:rFonts w:ascii="Times New Roman" w:eastAsia="Times New Roman" w:hAnsi="Times New Roman" w:cs="Times New Roman"/>
          <w:i/>
          <w:sz w:val="24"/>
          <w:szCs w:val="24"/>
        </w:rPr>
        <w:t>internationalisation</w:t>
      </w:r>
      <w:r w:rsidRPr="00DF39BA">
        <w:rPr>
          <w:rFonts w:ascii="Times New Roman" w:eastAsia="Times New Roman" w:hAnsi="Times New Roman" w:cs="Times New Roman"/>
          <w:sz w:val="24"/>
          <w:szCs w:val="24"/>
        </w:rPr>
        <w:t xml:space="preserve"> of South African producers. Internationalisation is pursued through the incentive support for accessing global markets, exporter development programmes and the negotiations for market access opportunities globally.</w:t>
      </w:r>
    </w:p>
    <w:p w14:paraId="7C7DE899" w14:textId="77777777" w:rsidR="00F04B97" w:rsidRPr="00F04B97" w:rsidRDefault="00F04B97" w:rsidP="0062246E">
      <w:pPr>
        <w:pStyle w:val="ListParagraph"/>
        <w:numPr>
          <w:ilvl w:val="2"/>
          <w:numId w:val="2"/>
        </w:numPr>
        <w:ind w:left="851" w:right="-23" w:hanging="851"/>
        <w:rPr>
          <w:rFonts w:cs="Times New Roman"/>
          <w:b/>
          <w:szCs w:val="24"/>
        </w:rPr>
      </w:pPr>
      <w:r w:rsidRPr="00F04B97">
        <w:rPr>
          <w:rFonts w:cs="Times New Roman"/>
          <w:b/>
          <w:szCs w:val="24"/>
        </w:rPr>
        <w:t>Sustainable Development Goals (SDGs)</w:t>
      </w:r>
      <w:bookmarkEnd w:id="2"/>
    </w:p>
    <w:p w14:paraId="055129A6" w14:textId="77777777" w:rsidR="00F04B97" w:rsidRPr="00F04B97" w:rsidRDefault="00F04B97" w:rsidP="0062246E">
      <w:pPr>
        <w:rPr>
          <w:rFonts w:cs="Times New Roman"/>
          <w:b/>
          <w:szCs w:val="24"/>
        </w:rPr>
      </w:pPr>
    </w:p>
    <w:p w14:paraId="15B786B8" w14:textId="77777777" w:rsidR="00F04B97" w:rsidRPr="00F04B97" w:rsidRDefault="00F04B97" w:rsidP="0062246E">
      <w:pPr>
        <w:rPr>
          <w:rFonts w:cs="Times New Roman"/>
          <w:szCs w:val="24"/>
        </w:rPr>
      </w:pPr>
      <w:r w:rsidRPr="00F04B97">
        <w:rPr>
          <w:rFonts w:cs="Times New Roman"/>
          <w:szCs w:val="24"/>
        </w:rPr>
        <w:t>According to SDG 9 (build resilient infrastructure, promote inclusive and sustainable industrialization and foster innovation), “Bridging the digital divide, promoting sustainable industries, and investing in scientific research and innovation are all important ways to facilitate sustainable development”</w:t>
      </w:r>
      <w:r w:rsidRPr="00F04B97">
        <w:rPr>
          <w:rStyle w:val="FootnoteReference"/>
          <w:rFonts w:cs="Times New Roman"/>
          <w:szCs w:val="24"/>
        </w:rPr>
        <w:footnoteReference w:id="3"/>
      </w:r>
      <w:r w:rsidRPr="00F04B97">
        <w:rPr>
          <w:rFonts w:cs="Times New Roman"/>
          <w:szCs w:val="24"/>
        </w:rPr>
        <w:t>. One of the Department’s core mandates is set out in the strategic objective of “facilitate transformation of the economy to promote industrial development, investment, competitiveness and employment creation”</w:t>
      </w:r>
      <w:r w:rsidRPr="00F04B97">
        <w:rPr>
          <w:rStyle w:val="FootnoteReference"/>
          <w:rFonts w:cs="Times New Roman"/>
          <w:szCs w:val="24"/>
        </w:rPr>
        <w:footnoteReference w:id="4"/>
      </w:r>
      <w:r w:rsidRPr="00F04B97">
        <w:rPr>
          <w:rFonts w:cs="Times New Roman"/>
          <w:szCs w:val="24"/>
        </w:rPr>
        <w:t xml:space="preserve"> and the implementation thereof would contribute to the achievement of this goal.</w:t>
      </w:r>
    </w:p>
    <w:p w14:paraId="3CB80A46" w14:textId="77777777" w:rsidR="00F04B97" w:rsidRPr="00F04B97" w:rsidRDefault="00F04B97" w:rsidP="0062246E">
      <w:pPr>
        <w:rPr>
          <w:rFonts w:cs="Times New Roman"/>
          <w:szCs w:val="24"/>
        </w:rPr>
      </w:pPr>
    </w:p>
    <w:p w14:paraId="7B6EF991" w14:textId="77777777" w:rsidR="00F04B97" w:rsidRPr="00DF39BA" w:rsidRDefault="0044041F" w:rsidP="00DF39BA">
      <w:pPr>
        <w:pStyle w:val="ListParagraph"/>
        <w:numPr>
          <w:ilvl w:val="2"/>
          <w:numId w:val="2"/>
        </w:numPr>
        <w:ind w:left="567" w:right="-23"/>
        <w:rPr>
          <w:rFonts w:cs="Times New Roman"/>
          <w:b/>
          <w:szCs w:val="24"/>
        </w:rPr>
      </w:pPr>
      <w:bookmarkStart w:id="3" w:name="_Toc507508712"/>
      <w:r w:rsidRPr="00DF39BA">
        <w:rPr>
          <w:rFonts w:cs="Times New Roman"/>
          <w:b/>
          <w:szCs w:val="24"/>
        </w:rPr>
        <w:lastRenderedPageBreak/>
        <w:t>Southern African Development Community</w:t>
      </w:r>
      <w:r w:rsidR="00F04B97" w:rsidRPr="00DF39BA">
        <w:rPr>
          <w:rFonts w:cs="Times New Roman"/>
          <w:b/>
          <w:szCs w:val="24"/>
        </w:rPr>
        <w:t xml:space="preserve"> </w:t>
      </w:r>
      <w:r w:rsidR="00DF39BA">
        <w:rPr>
          <w:rFonts w:cs="Times New Roman"/>
          <w:b/>
          <w:szCs w:val="24"/>
        </w:rPr>
        <w:t xml:space="preserve">(SADC) </w:t>
      </w:r>
      <w:r w:rsidR="00F04B97" w:rsidRPr="00DF39BA">
        <w:rPr>
          <w:rFonts w:cs="Times New Roman"/>
          <w:b/>
          <w:szCs w:val="24"/>
        </w:rPr>
        <w:t>Industrialisation Strategy</w:t>
      </w:r>
      <w:bookmarkEnd w:id="3"/>
    </w:p>
    <w:p w14:paraId="6B691D38" w14:textId="77777777" w:rsidR="00F04B97" w:rsidRPr="00F04B97" w:rsidRDefault="00F04B97" w:rsidP="0062246E">
      <w:pPr>
        <w:rPr>
          <w:rFonts w:cs="Times New Roman"/>
          <w:b/>
          <w:bCs/>
          <w:szCs w:val="24"/>
        </w:rPr>
      </w:pPr>
    </w:p>
    <w:p w14:paraId="3A92DCC3" w14:textId="44CD4CCC" w:rsidR="00F04B97" w:rsidRDefault="00F04B97" w:rsidP="0062246E">
      <w:pPr>
        <w:rPr>
          <w:rFonts w:cs="Times New Roman"/>
          <w:szCs w:val="24"/>
          <w:lang w:val="en-US"/>
        </w:rPr>
      </w:pPr>
      <w:r w:rsidRPr="00F04B97">
        <w:rPr>
          <w:rFonts w:cs="Times New Roman"/>
          <w:bCs/>
          <w:szCs w:val="24"/>
        </w:rPr>
        <w:t>Southern African Development Community</w:t>
      </w:r>
      <w:r w:rsidRPr="00F04B97">
        <w:rPr>
          <w:rFonts w:cs="Times New Roman"/>
          <w:b/>
          <w:bCs/>
          <w:szCs w:val="24"/>
        </w:rPr>
        <w:t xml:space="preserve"> </w:t>
      </w:r>
      <w:r w:rsidRPr="00F04B97">
        <w:rPr>
          <w:rFonts w:cs="Times New Roman"/>
          <w:szCs w:val="24"/>
          <w:lang w:val="en-US"/>
        </w:rPr>
        <w:t>Regional Infrastructure Development Master Plan (SADC-RIDMP) aims to “catalyze industrial development and reduce current high costs of doing business, including those related to Non-Trade Barriers (NTBs) and local procurement of inputs for infrastructure development”</w:t>
      </w:r>
      <w:r w:rsidRPr="00F04B97">
        <w:rPr>
          <w:rStyle w:val="FootnoteReference"/>
          <w:rFonts w:cs="Times New Roman"/>
          <w:szCs w:val="24"/>
          <w:lang w:val="en-US"/>
        </w:rPr>
        <w:footnoteReference w:id="5"/>
      </w:r>
      <w:r w:rsidRPr="00F04B97">
        <w:rPr>
          <w:rFonts w:cs="Times New Roman"/>
          <w:szCs w:val="24"/>
          <w:lang w:val="en-US"/>
        </w:rPr>
        <w:t xml:space="preserve">. As a Member of SADC, South Africa has to align its </w:t>
      </w:r>
      <w:r w:rsidRPr="00F04B97">
        <w:rPr>
          <w:rFonts w:cs="Times New Roman"/>
          <w:szCs w:val="24"/>
        </w:rPr>
        <w:t xml:space="preserve">national policies and strategies to complement that of the regional community. The National Development Plan (NDP) 2030 and the Industrial Policy Action Plan (IPAP) (the country’s industrialisation plan), are therefore the broad complementing policies to the SADC industrialisation strategy. IPAP is the country’s industrialisation plan which sets out detailed plans of how industrialisation in the country can be achieved. </w:t>
      </w:r>
      <w:r w:rsidR="009E0093" w:rsidRPr="00F04B97">
        <w:rPr>
          <w:rFonts w:cs="Times New Roman"/>
          <w:szCs w:val="24"/>
        </w:rPr>
        <w:t>Similarly</w:t>
      </w:r>
      <w:r w:rsidRPr="00F04B97">
        <w:rPr>
          <w:rFonts w:cs="Times New Roman"/>
          <w:szCs w:val="24"/>
        </w:rPr>
        <w:t xml:space="preserve"> to the </w:t>
      </w:r>
      <w:r w:rsidRPr="00F04B97">
        <w:rPr>
          <w:rFonts w:cs="Times New Roman"/>
          <w:szCs w:val="24"/>
          <w:lang w:val="en-US"/>
        </w:rPr>
        <w:t>SADC-RIDMP, IPAP aims ensure industrialisation through its interventions, one of which is the developmental tariff reform. In the current budget, the Department continues to provide for the implementation of IPAP.</w:t>
      </w:r>
    </w:p>
    <w:p w14:paraId="2F2C0294" w14:textId="77777777" w:rsidR="0079637C" w:rsidRPr="00F04B97" w:rsidRDefault="0079637C" w:rsidP="0062246E">
      <w:pPr>
        <w:rPr>
          <w:rFonts w:cs="Times New Roman"/>
          <w:szCs w:val="24"/>
          <w:lang w:val="en-US"/>
        </w:rPr>
      </w:pPr>
    </w:p>
    <w:p w14:paraId="466BA428" w14:textId="77777777" w:rsidR="00F04B97" w:rsidRPr="0079637C" w:rsidRDefault="00F04B97" w:rsidP="0062246E">
      <w:pPr>
        <w:pStyle w:val="ListParagraph"/>
        <w:numPr>
          <w:ilvl w:val="2"/>
          <w:numId w:val="2"/>
        </w:numPr>
        <w:ind w:left="851" w:right="-23" w:hanging="851"/>
        <w:rPr>
          <w:rFonts w:cs="Times New Roman"/>
          <w:b/>
          <w:szCs w:val="24"/>
        </w:rPr>
      </w:pPr>
      <w:bookmarkStart w:id="4" w:name="_Toc507508713"/>
      <w:r w:rsidRPr="0079637C">
        <w:rPr>
          <w:rFonts w:cs="Times New Roman"/>
          <w:b/>
          <w:szCs w:val="24"/>
        </w:rPr>
        <w:t>Agenda 2063</w:t>
      </w:r>
      <w:bookmarkEnd w:id="4"/>
    </w:p>
    <w:p w14:paraId="2A857BCF" w14:textId="77777777" w:rsidR="00F04B97" w:rsidRPr="00F04B97" w:rsidRDefault="00F04B97" w:rsidP="0062246E">
      <w:pPr>
        <w:rPr>
          <w:rFonts w:cs="Times New Roman"/>
          <w:szCs w:val="24"/>
          <w:lang w:val="en-US"/>
        </w:rPr>
      </w:pPr>
    </w:p>
    <w:p w14:paraId="5DEB6F8A" w14:textId="77777777" w:rsidR="00F04B97" w:rsidRDefault="00F04B97" w:rsidP="0062246E">
      <w:pPr>
        <w:rPr>
          <w:rFonts w:cs="Times New Roman"/>
          <w:szCs w:val="24"/>
          <w:lang w:val="en-US"/>
        </w:rPr>
      </w:pPr>
      <w:r w:rsidRPr="00F04B97">
        <w:rPr>
          <w:rFonts w:cs="Times New Roman"/>
          <w:szCs w:val="24"/>
          <w:lang w:val="en-US"/>
        </w:rPr>
        <w:t>The work of the Department is aligned to aspiration 1 of Agenda 2063: “</w:t>
      </w:r>
      <w:r w:rsidRPr="00F04B97">
        <w:rPr>
          <w:rFonts w:cs="Times New Roman"/>
          <w:i/>
          <w:szCs w:val="24"/>
          <w:lang w:val="en-US"/>
        </w:rPr>
        <w:t xml:space="preserve">A prosperous Africa based on inclusive growth and sustainable development”. </w:t>
      </w:r>
      <w:r w:rsidRPr="00F04B97">
        <w:rPr>
          <w:rFonts w:cs="Times New Roman"/>
          <w:szCs w:val="24"/>
          <w:lang w:val="en-US"/>
        </w:rPr>
        <w:t>In line with this aspiration, the African continent committed to "eradicating poverty in one generation and build shared prosperity through social and economic transformation….”. Strategic objectives of the Department include: “Facilitating broad-based economic participation through targeted interventions to achieve more inclusive growth”</w:t>
      </w:r>
      <w:r w:rsidRPr="00F04B97">
        <w:rPr>
          <w:rStyle w:val="FootnoteReference"/>
          <w:rFonts w:cs="Times New Roman"/>
          <w:szCs w:val="24"/>
          <w:lang w:val="en-US"/>
        </w:rPr>
        <w:footnoteReference w:id="6"/>
      </w:r>
      <w:r w:rsidRPr="00F04B97">
        <w:rPr>
          <w:rFonts w:cs="Times New Roman"/>
          <w:szCs w:val="24"/>
          <w:lang w:val="en-US"/>
        </w:rPr>
        <w:t>.</w:t>
      </w:r>
    </w:p>
    <w:p w14:paraId="2C22FBF1" w14:textId="77777777" w:rsidR="00AC358D" w:rsidRPr="00F04B97" w:rsidRDefault="00AC358D" w:rsidP="0062246E">
      <w:pPr>
        <w:rPr>
          <w:rFonts w:cs="Times New Roman"/>
          <w:szCs w:val="24"/>
          <w:lang w:val="en-US"/>
        </w:rPr>
      </w:pPr>
    </w:p>
    <w:p w14:paraId="55281B39" w14:textId="77777777" w:rsidR="00F04B97" w:rsidRDefault="00F04B97" w:rsidP="0062246E">
      <w:pPr>
        <w:rPr>
          <w:rFonts w:cs="Times New Roman"/>
          <w:szCs w:val="24"/>
          <w:lang w:val="en-US"/>
        </w:rPr>
      </w:pPr>
      <w:r w:rsidRPr="00F04B97">
        <w:rPr>
          <w:rFonts w:cs="Times New Roman"/>
          <w:szCs w:val="24"/>
          <w:lang w:val="en-US"/>
        </w:rPr>
        <w:t>Implementing these strategic objectives through programme 3:</w:t>
      </w:r>
      <w:r w:rsidR="004C39A3">
        <w:rPr>
          <w:rFonts w:cs="Times New Roman"/>
          <w:szCs w:val="24"/>
          <w:lang w:val="en-US"/>
        </w:rPr>
        <w:t xml:space="preserve"> </w:t>
      </w:r>
      <w:r w:rsidRPr="00F04B97">
        <w:rPr>
          <w:rFonts w:cs="Times New Roman"/>
          <w:szCs w:val="24"/>
        </w:rPr>
        <w:t>Special Economic Zones and Economic Transformation</w:t>
      </w:r>
      <w:r w:rsidRPr="00F04B97">
        <w:rPr>
          <w:rFonts w:cs="Times New Roman"/>
          <w:szCs w:val="24"/>
          <w:lang w:val="en-US"/>
        </w:rPr>
        <w:t xml:space="preserve"> in the 2018/19 financial year should contribute to the achievement of </w:t>
      </w:r>
      <w:r w:rsidR="00AC358D" w:rsidRPr="00F04B97">
        <w:rPr>
          <w:rFonts w:cs="Times New Roman"/>
          <w:szCs w:val="24"/>
          <w:lang w:val="en-US"/>
        </w:rPr>
        <w:t xml:space="preserve">Agenda </w:t>
      </w:r>
      <w:r w:rsidRPr="00F04B97">
        <w:rPr>
          <w:rFonts w:cs="Times New Roman"/>
          <w:szCs w:val="24"/>
          <w:lang w:val="en-US"/>
        </w:rPr>
        <w:t xml:space="preserve">2063 aspirations. This programme had been allocated a budget amounting to R165.4 million with an increase of 32 per cent in real terms compared to the previous financial year’s appropriation to the programme of R118.4 million. </w:t>
      </w:r>
    </w:p>
    <w:p w14:paraId="7EA94F44" w14:textId="77777777" w:rsidR="0079637C" w:rsidRPr="00F04B97" w:rsidRDefault="0079637C" w:rsidP="0062246E">
      <w:pPr>
        <w:rPr>
          <w:rFonts w:cs="Times New Roman"/>
          <w:szCs w:val="24"/>
          <w:lang w:val="en-US"/>
        </w:rPr>
      </w:pPr>
    </w:p>
    <w:p w14:paraId="4052E3AE" w14:textId="77777777" w:rsidR="00F04B97" w:rsidRPr="0079637C" w:rsidRDefault="00F04B97" w:rsidP="0062246E">
      <w:pPr>
        <w:pStyle w:val="ListParagraph"/>
        <w:numPr>
          <w:ilvl w:val="2"/>
          <w:numId w:val="2"/>
        </w:numPr>
        <w:ind w:left="851" w:right="-23" w:hanging="851"/>
        <w:rPr>
          <w:rFonts w:cs="Times New Roman"/>
          <w:b/>
          <w:szCs w:val="24"/>
        </w:rPr>
      </w:pPr>
      <w:bookmarkStart w:id="5" w:name="_Toc507508714"/>
      <w:r w:rsidRPr="0079637C">
        <w:rPr>
          <w:rFonts w:cs="Times New Roman"/>
          <w:b/>
          <w:szCs w:val="24"/>
        </w:rPr>
        <w:t>Nine Point Plan</w:t>
      </w:r>
      <w:bookmarkEnd w:id="5"/>
    </w:p>
    <w:p w14:paraId="46F56D57" w14:textId="77777777" w:rsidR="00F04B97" w:rsidRPr="00F04B97" w:rsidRDefault="00F04B97" w:rsidP="0062246E">
      <w:pPr>
        <w:rPr>
          <w:rFonts w:cs="Times New Roman"/>
          <w:szCs w:val="24"/>
        </w:rPr>
      </w:pPr>
    </w:p>
    <w:p w14:paraId="5070885B" w14:textId="77777777" w:rsidR="00F04B97" w:rsidRPr="00F04B97" w:rsidRDefault="00F04B97" w:rsidP="0062246E">
      <w:pPr>
        <w:rPr>
          <w:rFonts w:cs="Times New Roman"/>
          <w:szCs w:val="24"/>
        </w:rPr>
      </w:pPr>
      <w:r w:rsidRPr="00F04B97">
        <w:rPr>
          <w:rFonts w:cs="Times New Roman"/>
          <w:szCs w:val="24"/>
        </w:rPr>
        <w:t xml:space="preserve">Initiatives 2, 3, and 6 </w:t>
      </w:r>
      <w:r w:rsidR="007927A9">
        <w:rPr>
          <w:rFonts w:cs="Times New Roman"/>
          <w:szCs w:val="24"/>
        </w:rPr>
        <w:t xml:space="preserve">in the Nine-Point Plan </w:t>
      </w:r>
      <w:r w:rsidRPr="00F04B97">
        <w:rPr>
          <w:rFonts w:cs="Times New Roman"/>
          <w:szCs w:val="24"/>
        </w:rPr>
        <w:t>relate to the Department of Trade and Industry:</w:t>
      </w:r>
    </w:p>
    <w:p w14:paraId="082BFE87" w14:textId="77777777" w:rsidR="00F04B97" w:rsidRPr="00F04B97" w:rsidRDefault="00F04B97" w:rsidP="0062246E">
      <w:pPr>
        <w:rPr>
          <w:rFonts w:cs="Times New Roman"/>
          <w:szCs w:val="24"/>
        </w:rPr>
      </w:pPr>
    </w:p>
    <w:p w14:paraId="1AD03100" w14:textId="77777777" w:rsidR="00F04B97" w:rsidRPr="00AC358D" w:rsidRDefault="00F04B97" w:rsidP="00AC358D">
      <w:pPr>
        <w:rPr>
          <w:rFonts w:cs="Times New Roman"/>
          <w:szCs w:val="24"/>
        </w:rPr>
      </w:pPr>
      <w:r w:rsidRPr="00AC358D">
        <w:rPr>
          <w:rFonts w:cs="Times New Roman"/>
          <w:b/>
          <w:szCs w:val="24"/>
        </w:rPr>
        <w:t>Adding value to our mineral wealth (advancing beneficiation and support to the engineering and metals value chain)</w:t>
      </w:r>
      <w:r w:rsidRPr="00AC358D">
        <w:rPr>
          <w:rFonts w:cs="Times New Roman"/>
          <w:szCs w:val="24"/>
        </w:rPr>
        <w:t xml:space="preserve"> – IPAP encourages and supports beneficiation in various sectors of the economy including mineral resources. Rather than exporting minerals the Department supports the beneficiation of mineral resources in the country for the purpose of servicing the domestic demand of manufactured goods as well as for export. Once of the interventions in the medium term to 2020/21, is to establish new Special Economic Zones (SEZs) in mineral resource beneficiation. Over the medium term the budget for SEZs will increase from R905.4 million in 2017/18 to R1.5 billion in 2020/21. </w:t>
      </w:r>
    </w:p>
    <w:p w14:paraId="3FF48A11" w14:textId="77777777" w:rsidR="00F04B97" w:rsidRPr="00F04B97" w:rsidRDefault="00F04B97" w:rsidP="0062246E">
      <w:pPr>
        <w:rPr>
          <w:rFonts w:cs="Times New Roman"/>
          <w:szCs w:val="24"/>
        </w:rPr>
      </w:pPr>
    </w:p>
    <w:p w14:paraId="23618971" w14:textId="77777777" w:rsidR="00F04B97" w:rsidRPr="00AC358D" w:rsidRDefault="00F04B97" w:rsidP="00AC358D">
      <w:pPr>
        <w:rPr>
          <w:rFonts w:cs="Times New Roman"/>
          <w:szCs w:val="24"/>
        </w:rPr>
      </w:pPr>
      <w:r w:rsidRPr="00AC358D">
        <w:rPr>
          <w:rFonts w:cs="Times New Roman"/>
          <w:b/>
          <w:szCs w:val="24"/>
        </w:rPr>
        <w:t>More effective implementation of a higher impact Industrial Policy Action Plan</w:t>
      </w:r>
      <w:r w:rsidRPr="00AC358D">
        <w:rPr>
          <w:rFonts w:cs="Times New Roman"/>
          <w:szCs w:val="24"/>
        </w:rPr>
        <w:t xml:space="preserve"> – industrial development is one of the Department’s core mandates. This was emphasised by the launch of the Industrial Action Plan (IPAP) in 2007. The Industrial Development Programme is the second largest programme by budget for the Department. Approximately 17 per cent (R1.6 billion) of the total budget is set aside for industrial development. It should be noted however that this shows a decline of 15 per cent (R281.3 million) in real terms. The programme comprises of two sub-programmes; the industrial competitiveness and the customised s</w:t>
      </w:r>
      <w:r w:rsidR="00C17DEE">
        <w:rPr>
          <w:rFonts w:cs="Times New Roman"/>
          <w:szCs w:val="24"/>
        </w:rPr>
        <w:t xml:space="preserve">ector programmes. The decrease </w:t>
      </w:r>
      <w:r w:rsidRPr="00AC358D">
        <w:rPr>
          <w:rFonts w:cs="Times New Roman"/>
          <w:szCs w:val="24"/>
        </w:rPr>
        <w:t xml:space="preserve">in the total programme budget is a result of a 28.3 per cent (R266.2 million) decrease in real terms in the customised sector programme. The customised sector programme </w:t>
      </w:r>
      <w:r w:rsidRPr="00BA7020">
        <w:rPr>
          <w:rFonts w:cs="Times New Roman"/>
          <w:i/>
          <w:szCs w:val="24"/>
        </w:rPr>
        <w:t>“develops and implements high impact sector strategies focused on manufacturing and other value adding sectors to create decent jobs and increase value addition and competitiveness in domestic and export markets, as set out in the annual three-year rolling industrial policy action plan”</w:t>
      </w:r>
      <w:r w:rsidRPr="00F04B97">
        <w:rPr>
          <w:rStyle w:val="FootnoteReference"/>
          <w:rFonts w:cs="Times New Roman"/>
          <w:szCs w:val="24"/>
        </w:rPr>
        <w:footnoteReference w:id="7"/>
      </w:r>
      <w:r w:rsidRPr="00AC358D">
        <w:rPr>
          <w:rFonts w:cs="Times New Roman"/>
          <w:szCs w:val="24"/>
        </w:rPr>
        <w:t xml:space="preserve">. The decrease in this programme budget may impact on the Department’s ability to support industrialisation in the country and the creation of jobs in the productive sectors of the economy. </w:t>
      </w:r>
    </w:p>
    <w:p w14:paraId="6FE270AA" w14:textId="77777777" w:rsidR="00AC358D" w:rsidRDefault="00AC358D" w:rsidP="00AC358D">
      <w:pPr>
        <w:rPr>
          <w:rFonts w:cs="Times New Roman"/>
          <w:b/>
          <w:szCs w:val="24"/>
        </w:rPr>
      </w:pPr>
    </w:p>
    <w:p w14:paraId="5D0927F0" w14:textId="77777777" w:rsidR="00F04B97" w:rsidRPr="00AC358D" w:rsidRDefault="00F04B97" w:rsidP="00AC358D">
      <w:pPr>
        <w:rPr>
          <w:rFonts w:cs="Times New Roman"/>
          <w:szCs w:val="24"/>
        </w:rPr>
      </w:pPr>
      <w:r w:rsidRPr="00AC358D">
        <w:rPr>
          <w:rFonts w:cs="Times New Roman"/>
          <w:b/>
          <w:szCs w:val="24"/>
        </w:rPr>
        <w:t>Encouraging private sector investment</w:t>
      </w:r>
      <w:r w:rsidRPr="00AC358D">
        <w:rPr>
          <w:rFonts w:cs="Times New Roman"/>
          <w:szCs w:val="24"/>
        </w:rPr>
        <w:t xml:space="preserve"> – the Department encourages investment in the country through providing incentives and well as ensuring that it is easier for investors to do business in South Africa. Incentives for investment are a priority of the Department, in the 2018/19 financial year approximately 64 per cent (R6 billion) of the total budget has been set aside for incentives. This is an increase from R5.6 billion in the previous financial year, however, in real terms the incentives budget had increased by a mere 0.38 per cent. One of the decisions taken by investors before investing is the ease with which it can set up a business in South Africa. In the 2016/17 financial year, the Department established a </w:t>
      </w:r>
      <w:r w:rsidRPr="00AC358D">
        <w:rPr>
          <w:rFonts w:cs="Times New Roman"/>
          <w:szCs w:val="24"/>
        </w:rPr>
        <w:lastRenderedPageBreak/>
        <w:t xml:space="preserve">programme as well as a unit dedicated to investment promotion, investment support and aftercare, with the purpose of increasing investment in the country, and providing dedicated specialist support to investors. </w:t>
      </w:r>
    </w:p>
    <w:p w14:paraId="434DF788" w14:textId="77777777" w:rsidR="00F04B97" w:rsidRPr="00F04B97" w:rsidRDefault="00F04B97" w:rsidP="0062246E">
      <w:pPr>
        <w:rPr>
          <w:rFonts w:cs="Times New Roman"/>
          <w:szCs w:val="24"/>
        </w:rPr>
      </w:pPr>
    </w:p>
    <w:p w14:paraId="211DF1FA" w14:textId="451F3A15" w:rsidR="00F04B97" w:rsidRPr="00F04B97" w:rsidRDefault="00F04B97" w:rsidP="0062246E">
      <w:pPr>
        <w:rPr>
          <w:rFonts w:cs="Times New Roman"/>
          <w:szCs w:val="24"/>
        </w:rPr>
      </w:pPr>
      <w:r w:rsidRPr="00F04B97">
        <w:rPr>
          <w:rFonts w:cs="Times New Roman"/>
          <w:szCs w:val="24"/>
        </w:rPr>
        <w:t>To implement this particular mandate</w:t>
      </w:r>
      <w:r w:rsidR="00AC358D">
        <w:rPr>
          <w:rFonts w:cs="Times New Roman"/>
          <w:szCs w:val="24"/>
        </w:rPr>
        <w:t>,</w:t>
      </w:r>
      <w:r w:rsidRPr="00F04B97">
        <w:rPr>
          <w:rFonts w:cs="Times New Roman"/>
          <w:szCs w:val="24"/>
        </w:rPr>
        <w:t xml:space="preserve"> the Department established one-stop shops in three provinces, namely, Gauteng, Western Cape, and KwaZulu</w:t>
      </w:r>
      <w:r w:rsidR="00E940ED">
        <w:rPr>
          <w:rFonts w:cs="Times New Roman"/>
          <w:szCs w:val="24"/>
        </w:rPr>
        <w:t>-</w:t>
      </w:r>
      <w:r w:rsidRPr="00F04B97">
        <w:rPr>
          <w:rFonts w:cs="Times New Roman"/>
          <w:szCs w:val="24"/>
        </w:rPr>
        <w:t xml:space="preserve">Natal and plans to launch similar offices in other provinces. Contrary to this plan, the budget for the Investment South Africa Programme declines to R53.8 million in 2018/19 from R72.9 million in the previous financial year. The main change in this programme’s budget relates to transfers to Public Corporations and Private Enterprises, which were R22 million in the previous financial year and have been completely eliminated in the current budget. It is not clear how the Department would be able to provide increased investment support services with is budget, in particular how it will be able to roll-out more one-stop-shops in other provinces. </w:t>
      </w:r>
    </w:p>
    <w:p w14:paraId="14D8C7EF" w14:textId="77777777" w:rsidR="00F04B97" w:rsidRPr="00F04B97" w:rsidRDefault="00F04B97" w:rsidP="0062246E">
      <w:pPr>
        <w:rPr>
          <w:rFonts w:cs="Times New Roman"/>
          <w:szCs w:val="24"/>
        </w:rPr>
      </w:pPr>
    </w:p>
    <w:p w14:paraId="5B7AD392" w14:textId="77777777" w:rsidR="00F04B97" w:rsidRPr="0079637C" w:rsidRDefault="00F04B97" w:rsidP="0062246E">
      <w:pPr>
        <w:pStyle w:val="ListParagraph"/>
        <w:numPr>
          <w:ilvl w:val="2"/>
          <w:numId w:val="2"/>
        </w:numPr>
        <w:ind w:left="851" w:right="-23" w:hanging="851"/>
        <w:rPr>
          <w:rFonts w:cs="Times New Roman"/>
          <w:b/>
          <w:szCs w:val="24"/>
        </w:rPr>
      </w:pPr>
      <w:r w:rsidRPr="0079637C">
        <w:rPr>
          <w:rFonts w:cs="Times New Roman"/>
          <w:b/>
          <w:szCs w:val="24"/>
        </w:rPr>
        <w:t>State of the Nation Address</w:t>
      </w:r>
    </w:p>
    <w:p w14:paraId="12136747" w14:textId="77777777" w:rsidR="00F04B97" w:rsidRPr="00F04B97" w:rsidRDefault="00F04B97" w:rsidP="0062246E">
      <w:pPr>
        <w:rPr>
          <w:rFonts w:cs="Times New Roman"/>
          <w:szCs w:val="24"/>
        </w:rPr>
      </w:pPr>
    </w:p>
    <w:p w14:paraId="0D6DBD1A" w14:textId="77777777" w:rsidR="00F04B97" w:rsidRPr="00F04B97" w:rsidRDefault="00F04B97" w:rsidP="0062246E">
      <w:pPr>
        <w:rPr>
          <w:rFonts w:cs="Times New Roman"/>
          <w:szCs w:val="24"/>
        </w:rPr>
      </w:pPr>
      <w:r w:rsidRPr="00F04B97">
        <w:rPr>
          <w:rFonts w:cs="Times New Roman"/>
          <w:szCs w:val="24"/>
        </w:rPr>
        <w:t>In the SONA, the President first highlighted positive changes in the country’s economy that would facilitate the processing of addressing the challenges we are currently faced with, including the improvement in commodity prices, the strengthening of the rand, improvement in investor and business confidence. The President, however, emphasised that the government through the Department will work toward strengthening the manufacturing sector, increasing trade (particularly exports), promoting foreign and domestic investment, and improving economic transformation</w:t>
      </w:r>
    </w:p>
    <w:p w14:paraId="45FC4BA9" w14:textId="77777777" w:rsidR="00DA07D4" w:rsidRPr="00052A2F" w:rsidRDefault="00DA07D4" w:rsidP="0062246E">
      <w:pPr>
        <w:pStyle w:val="ListParagraph"/>
        <w:ind w:left="360"/>
        <w:rPr>
          <w:rFonts w:cs="Times New Roman"/>
          <w:bCs/>
          <w:szCs w:val="24"/>
        </w:rPr>
      </w:pPr>
    </w:p>
    <w:p w14:paraId="7AEF7B97" w14:textId="77777777" w:rsidR="00966289" w:rsidRPr="00520D28" w:rsidRDefault="00D44A5B" w:rsidP="0062246E">
      <w:pPr>
        <w:pStyle w:val="ListParagraph"/>
        <w:numPr>
          <w:ilvl w:val="1"/>
          <w:numId w:val="2"/>
        </w:numPr>
        <w:ind w:left="567" w:right="-23" w:hanging="567"/>
        <w:rPr>
          <w:rFonts w:cs="Times New Roman"/>
          <w:b/>
          <w:szCs w:val="24"/>
        </w:rPr>
      </w:pPr>
      <w:bookmarkStart w:id="6" w:name="_Toc475728041"/>
      <w:r w:rsidRPr="00052A2F">
        <w:rPr>
          <w:rFonts w:cs="Times New Roman"/>
          <w:szCs w:val="24"/>
        </w:rPr>
        <w:t xml:space="preserve"> </w:t>
      </w:r>
      <w:r w:rsidR="00966289" w:rsidRPr="00520D28">
        <w:rPr>
          <w:rFonts w:cs="Times New Roman"/>
          <w:b/>
          <w:szCs w:val="24"/>
        </w:rPr>
        <w:t>Budget Analysis</w:t>
      </w:r>
      <w:bookmarkStart w:id="7" w:name="_Toc475728042"/>
      <w:bookmarkEnd w:id="6"/>
      <w:r w:rsidRPr="00520D28">
        <w:rPr>
          <w:rFonts w:cs="Times New Roman"/>
          <w:b/>
          <w:szCs w:val="24"/>
        </w:rPr>
        <w:t xml:space="preserve"> - </w:t>
      </w:r>
      <w:r w:rsidR="00966289" w:rsidRPr="00520D28">
        <w:rPr>
          <w:rFonts w:cs="Times New Roman"/>
          <w:b/>
          <w:szCs w:val="24"/>
        </w:rPr>
        <w:t>Overview o</w:t>
      </w:r>
      <w:r w:rsidR="0079637C" w:rsidRPr="00520D28">
        <w:rPr>
          <w:rFonts w:cs="Times New Roman"/>
          <w:b/>
          <w:szCs w:val="24"/>
        </w:rPr>
        <w:t>f the Budget Allocation: 2017</w:t>
      </w:r>
      <w:r w:rsidR="00966289" w:rsidRPr="00520D28">
        <w:rPr>
          <w:rFonts w:cs="Times New Roman"/>
          <w:b/>
          <w:szCs w:val="24"/>
        </w:rPr>
        <w:t>/1</w:t>
      </w:r>
      <w:r w:rsidR="0079637C" w:rsidRPr="00520D28">
        <w:rPr>
          <w:rFonts w:cs="Times New Roman"/>
          <w:b/>
          <w:szCs w:val="24"/>
        </w:rPr>
        <w:t>8</w:t>
      </w:r>
      <w:r w:rsidR="00966289" w:rsidRPr="00520D28">
        <w:rPr>
          <w:rFonts w:cs="Times New Roman"/>
          <w:b/>
          <w:szCs w:val="24"/>
        </w:rPr>
        <w:t xml:space="preserve"> – 20</w:t>
      </w:r>
      <w:r w:rsidR="0079637C" w:rsidRPr="00520D28">
        <w:rPr>
          <w:rFonts w:cs="Times New Roman"/>
          <w:b/>
          <w:szCs w:val="24"/>
        </w:rPr>
        <w:t>20</w:t>
      </w:r>
      <w:r w:rsidR="00966289" w:rsidRPr="00520D28">
        <w:rPr>
          <w:rFonts w:cs="Times New Roman"/>
          <w:b/>
          <w:szCs w:val="24"/>
        </w:rPr>
        <w:t>/</w:t>
      </w:r>
      <w:bookmarkEnd w:id="7"/>
      <w:r w:rsidR="0079637C" w:rsidRPr="00520D28">
        <w:rPr>
          <w:rFonts w:cs="Times New Roman"/>
          <w:b/>
          <w:szCs w:val="24"/>
        </w:rPr>
        <w:t>21</w:t>
      </w:r>
    </w:p>
    <w:p w14:paraId="506550F5" w14:textId="77777777" w:rsidR="00D44A5B" w:rsidRPr="00052A2F" w:rsidRDefault="00D44A5B" w:rsidP="0062246E">
      <w:pPr>
        <w:rPr>
          <w:rFonts w:cs="Times New Roman"/>
          <w:szCs w:val="24"/>
          <w:lang w:val="en-GB" w:eastAsia="en-GB"/>
        </w:rPr>
      </w:pPr>
    </w:p>
    <w:p w14:paraId="5B2A609A" w14:textId="5DF5FF43" w:rsidR="009E0093" w:rsidRDefault="0079637C" w:rsidP="009E0093">
      <w:pPr>
        <w:rPr>
          <w:rFonts w:cs="Times New Roman"/>
          <w:szCs w:val="24"/>
        </w:rPr>
      </w:pPr>
      <w:r w:rsidRPr="00050AC4">
        <w:rPr>
          <w:rFonts w:cs="Times New Roman"/>
          <w:szCs w:val="24"/>
        </w:rPr>
        <w:t>The Department</w:t>
      </w:r>
      <w:r w:rsidR="00525E59">
        <w:rPr>
          <w:rFonts w:cs="Times New Roman"/>
          <w:szCs w:val="24"/>
        </w:rPr>
        <w:t>’s budget has increased to R9.5 billion in 2018/19 from R9.3</w:t>
      </w:r>
      <w:r w:rsidRPr="00050AC4">
        <w:rPr>
          <w:rFonts w:cs="Times New Roman"/>
          <w:szCs w:val="24"/>
        </w:rPr>
        <w:t xml:space="preserve"> billion in the 2017/18 financial year, while the budget has slightly increased by 1.3 per cent in nominal terms, it has decreased by 4 per cent (R373.9 million) in real terms. Therefore, the tot</w:t>
      </w:r>
      <w:r w:rsidR="00525E59">
        <w:rPr>
          <w:rFonts w:cs="Times New Roman"/>
          <w:szCs w:val="24"/>
        </w:rPr>
        <w:t>al budget in real terms is R8.7</w:t>
      </w:r>
      <w:r w:rsidRPr="00050AC4">
        <w:rPr>
          <w:rFonts w:cs="Times New Roman"/>
          <w:szCs w:val="24"/>
        </w:rPr>
        <w:t xml:space="preserve"> billion in real terms. Given the inflation estimates of 5.5 per cent in the 2018/19 financial year and by 5.3 per cent and 5.5 per cent for the next two years respectively, the budget </w:t>
      </w:r>
      <w:r w:rsidR="00525E59">
        <w:rPr>
          <w:rFonts w:cs="Times New Roman"/>
          <w:szCs w:val="24"/>
        </w:rPr>
        <w:t>is expected to increase to R9.1</w:t>
      </w:r>
      <w:r w:rsidRPr="00050AC4">
        <w:rPr>
          <w:rFonts w:cs="Times New Roman"/>
          <w:szCs w:val="24"/>
        </w:rPr>
        <w:t xml:space="preserve"> billion in 2019/20 and R9.1 billion in </w:t>
      </w:r>
      <w:r w:rsidRPr="00050AC4">
        <w:rPr>
          <w:rFonts w:cs="Times New Roman"/>
          <w:szCs w:val="24"/>
        </w:rPr>
        <w:lastRenderedPageBreak/>
        <w:t>2020/21 in real terms.</w:t>
      </w:r>
      <w:r w:rsidRPr="004C39A3">
        <w:rPr>
          <w:rFonts w:cs="Times New Roman"/>
          <w:szCs w:val="24"/>
          <w:vertAlign w:val="superscript"/>
        </w:rPr>
        <w:footnoteReference w:id="8"/>
      </w:r>
      <w:r w:rsidRPr="00050AC4">
        <w:rPr>
          <w:rFonts w:cs="Times New Roman"/>
          <w:szCs w:val="24"/>
        </w:rPr>
        <w:t xml:space="preserve"> Figure 1 below shows the Department’s budget for the medium-term both in nominal and real terms (inflation adjusted). </w:t>
      </w:r>
    </w:p>
    <w:p w14:paraId="54EAB037" w14:textId="61835FC7" w:rsidR="00520D28" w:rsidRPr="00052A2F" w:rsidRDefault="00C71CA9" w:rsidP="009E0093">
      <w:pPr>
        <w:rPr>
          <w:rFonts w:cs="Times New Roman"/>
          <w:szCs w:val="24"/>
        </w:rPr>
      </w:pPr>
      <w:r>
        <w:rPr>
          <w:noProof/>
          <w:lang w:eastAsia="en-ZA"/>
        </w:rPr>
        <w:drawing>
          <wp:anchor distT="0" distB="0" distL="114300" distR="114300" simplePos="0" relativeHeight="251659264" behindDoc="1" locked="0" layoutInCell="1" allowOverlap="1" wp14:anchorId="141CD032" wp14:editId="306BBBCC">
            <wp:simplePos x="0" y="0"/>
            <wp:positionH relativeFrom="column">
              <wp:posOffset>0</wp:posOffset>
            </wp:positionH>
            <wp:positionV relativeFrom="paragraph">
              <wp:posOffset>2798445</wp:posOffset>
            </wp:positionV>
            <wp:extent cx="5731510" cy="3057525"/>
            <wp:effectExtent l="0" t="0" r="2540" b="9525"/>
            <wp:wrapTight wrapText="bothSides">
              <wp:wrapPolygon edited="0">
                <wp:start x="0" y="0"/>
                <wp:lineTo x="0" y="21533"/>
                <wp:lineTo x="21538" y="21533"/>
                <wp:lineTo x="21538"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520D28" w:rsidRPr="00AC358D">
        <w:rPr>
          <w:rFonts w:cs="Times New Roman"/>
          <w:szCs w:val="24"/>
          <w:lang w:eastAsia="en-ZA"/>
        </w:rPr>
        <w:t xml:space="preserve">In terms of the economic classification, the majority of the DTI budget is allocated towards transfers and subsidies, namely </w:t>
      </w:r>
      <w:r w:rsidR="00AC358D" w:rsidRPr="00AC358D">
        <w:rPr>
          <w:rFonts w:cs="Times New Roman"/>
          <w:szCs w:val="24"/>
          <w:lang w:eastAsia="en-ZA"/>
        </w:rPr>
        <w:t>82</w:t>
      </w:r>
      <w:r w:rsidR="00520D28" w:rsidRPr="00AC358D">
        <w:rPr>
          <w:rFonts w:cs="Times New Roman"/>
          <w:szCs w:val="24"/>
          <w:lang w:eastAsia="en-ZA"/>
        </w:rPr>
        <w:t>.</w:t>
      </w:r>
      <w:r w:rsidR="00AC358D" w:rsidRPr="00AC358D">
        <w:rPr>
          <w:rFonts w:cs="Times New Roman"/>
          <w:szCs w:val="24"/>
          <w:lang w:eastAsia="en-ZA"/>
        </w:rPr>
        <w:t>7</w:t>
      </w:r>
      <w:r w:rsidR="00520D28" w:rsidRPr="00AC358D">
        <w:rPr>
          <w:rFonts w:cs="Times New Roman"/>
          <w:szCs w:val="24"/>
          <w:lang w:eastAsia="en-ZA"/>
        </w:rPr>
        <w:t xml:space="preserve"> per</w:t>
      </w:r>
      <w:r w:rsidR="00E940ED">
        <w:rPr>
          <w:rFonts w:cs="Times New Roman"/>
          <w:szCs w:val="24"/>
          <w:lang w:eastAsia="en-ZA"/>
        </w:rPr>
        <w:t xml:space="preserve"> </w:t>
      </w:r>
      <w:r w:rsidR="00520D28" w:rsidRPr="00AC358D">
        <w:rPr>
          <w:rFonts w:cs="Times New Roman"/>
          <w:szCs w:val="24"/>
          <w:lang w:eastAsia="en-ZA"/>
        </w:rPr>
        <w:t>cent. This is followed</w:t>
      </w:r>
      <w:r w:rsidR="00AC358D" w:rsidRPr="00AC358D">
        <w:rPr>
          <w:rFonts w:cs="Times New Roman"/>
          <w:szCs w:val="24"/>
          <w:lang w:eastAsia="en-ZA"/>
        </w:rPr>
        <w:t xml:space="preserve"> by compensation of employees (10</w:t>
      </w:r>
      <w:r w:rsidR="00520D28" w:rsidRPr="00AC358D">
        <w:rPr>
          <w:rFonts w:cs="Times New Roman"/>
          <w:szCs w:val="24"/>
          <w:lang w:eastAsia="en-ZA"/>
        </w:rPr>
        <w:t>.</w:t>
      </w:r>
      <w:r w:rsidR="00AC358D" w:rsidRPr="00AC358D">
        <w:rPr>
          <w:rFonts w:cs="Times New Roman"/>
          <w:szCs w:val="24"/>
          <w:lang w:eastAsia="en-ZA"/>
        </w:rPr>
        <w:t>4</w:t>
      </w:r>
      <w:r w:rsidR="00520D28" w:rsidRPr="00AC358D">
        <w:rPr>
          <w:rFonts w:cs="Times New Roman"/>
          <w:szCs w:val="24"/>
          <w:lang w:eastAsia="en-ZA"/>
        </w:rPr>
        <w:t xml:space="preserve"> p</w:t>
      </w:r>
      <w:r w:rsidR="00AC358D" w:rsidRPr="00AC358D">
        <w:rPr>
          <w:rFonts w:cs="Times New Roman"/>
          <w:szCs w:val="24"/>
          <w:lang w:eastAsia="en-ZA"/>
        </w:rPr>
        <w:t>er</w:t>
      </w:r>
      <w:r w:rsidR="00E940ED">
        <w:rPr>
          <w:rFonts w:cs="Times New Roman"/>
          <w:szCs w:val="24"/>
          <w:lang w:eastAsia="en-ZA"/>
        </w:rPr>
        <w:t xml:space="preserve"> </w:t>
      </w:r>
      <w:r w:rsidR="00AC358D" w:rsidRPr="00AC358D">
        <w:rPr>
          <w:rFonts w:cs="Times New Roman"/>
          <w:szCs w:val="24"/>
          <w:lang w:eastAsia="en-ZA"/>
        </w:rPr>
        <w:t>cent), goods and services (6.5</w:t>
      </w:r>
      <w:r w:rsidR="00520D28" w:rsidRPr="00AC358D">
        <w:rPr>
          <w:rFonts w:cs="Times New Roman"/>
          <w:szCs w:val="24"/>
          <w:lang w:eastAsia="en-ZA"/>
        </w:rPr>
        <w:t xml:space="preserve"> per</w:t>
      </w:r>
      <w:r w:rsidR="00E940ED">
        <w:rPr>
          <w:rFonts w:cs="Times New Roman"/>
          <w:szCs w:val="24"/>
          <w:lang w:eastAsia="en-ZA"/>
        </w:rPr>
        <w:t xml:space="preserve"> </w:t>
      </w:r>
      <w:r w:rsidR="00520D28" w:rsidRPr="00AC358D">
        <w:rPr>
          <w:rFonts w:cs="Times New Roman"/>
          <w:szCs w:val="24"/>
          <w:lang w:eastAsia="en-ZA"/>
        </w:rPr>
        <w:t>cent) and payments for capital assets (0.3 per</w:t>
      </w:r>
      <w:r w:rsidR="00E940ED">
        <w:rPr>
          <w:rFonts w:cs="Times New Roman"/>
          <w:szCs w:val="24"/>
          <w:lang w:eastAsia="en-ZA"/>
        </w:rPr>
        <w:t xml:space="preserve"> </w:t>
      </w:r>
      <w:r w:rsidR="00520D28" w:rsidRPr="00AC358D">
        <w:rPr>
          <w:rFonts w:cs="Times New Roman"/>
          <w:szCs w:val="24"/>
          <w:lang w:eastAsia="en-ZA"/>
        </w:rPr>
        <w:t xml:space="preserve">cent). </w:t>
      </w:r>
      <w:r w:rsidR="006B530B" w:rsidRPr="006B530B">
        <w:rPr>
          <w:rFonts w:cs="Times New Roman"/>
          <w:szCs w:val="24"/>
          <w:lang w:eastAsia="en-ZA"/>
        </w:rPr>
        <w:t>Since</w:t>
      </w:r>
      <w:r w:rsidR="00AC358D" w:rsidRPr="006B530B">
        <w:rPr>
          <w:rFonts w:cs="Times New Roman"/>
          <w:szCs w:val="24"/>
          <w:lang w:eastAsia="en-ZA"/>
        </w:rPr>
        <w:t xml:space="preserve"> the 201</w:t>
      </w:r>
      <w:r w:rsidR="00520D28" w:rsidRPr="006B530B">
        <w:rPr>
          <w:rFonts w:cs="Times New Roman"/>
          <w:szCs w:val="24"/>
          <w:lang w:eastAsia="en-ZA"/>
        </w:rPr>
        <w:t>7</w:t>
      </w:r>
      <w:r w:rsidR="006B530B" w:rsidRPr="006B530B">
        <w:rPr>
          <w:rFonts w:cs="Times New Roman"/>
          <w:szCs w:val="24"/>
          <w:lang w:eastAsia="en-ZA"/>
        </w:rPr>
        <w:t>/18</w:t>
      </w:r>
      <w:r w:rsidR="00520D28" w:rsidRPr="006B530B">
        <w:rPr>
          <w:rFonts w:cs="Times New Roman"/>
          <w:szCs w:val="24"/>
          <w:lang w:eastAsia="en-ZA"/>
        </w:rPr>
        <w:t xml:space="preserve"> financial year</w:t>
      </w:r>
      <w:r w:rsidR="006B530B" w:rsidRPr="006B530B">
        <w:rPr>
          <w:rFonts w:cs="Times New Roman"/>
          <w:szCs w:val="24"/>
          <w:lang w:eastAsia="en-ZA"/>
        </w:rPr>
        <w:t>,</w:t>
      </w:r>
      <w:r w:rsidR="00520D28" w:rsidRPr="006B530B">
        <w:rPr>
          <w:rFonts w:cs="Times New Roman"/>
          <w:szCs w:val="24"/>
          <w:lang w:eastAsia="en-ZA"/>
        </w:rPr>
        <w:t xml:space="preserve"> </w:t>
      </w:r>
      <w:r w:rsidR="006B530B" w:rsidRPr="006B530B">
        <w:rPr>
          <w:rFonts w:cs="Times New Roman"/>
          <w:szCs w:val="24"/>
          <w:lang w:eastAsia="en-ZA"/>
        </w:rPr>
        <w:t xml:space="preserve">the budget share of </w:t>
      </w:r>
      <w:r w:rsidR="00520D28" w:rsidRPr="006B530B">
        <w:rPr>
          <w:rFonts w:cs="Times New Roman"/>
          <w:szCs w:val="24"/>
          <w:lang w:eastAsia="en-ZA"/>
        </w:rPr>
        <w:t>allocations</w:t>
      </w:r>
      <w:r w:rsidR="006B530B" w:rsidRPr="006B530B">
        <w:rPr>
          <w:rFonts w:cs="Times New Roman"/>
          <w:szCs w:val="24"/>
          <w:lang w:eastAsia="en-ZA"/>
        </w:rPr>
        <w:t xml:space="preserve"> for </w:t>
      </w:r>
      <w:r w:rsidR="00520D28" w:rsidRPr="006B530B">
        <w:rPr>
          <w:rFonts w:cs="Times New Roman"/>
          <w:szCs w:val="24"/>
          <w:lang w:eastAsia="en-ZA"/>
        </w:rPr>
        <w:t>compensation to employees</w:t>
      </w:r>
      <w:r w:rsidR="006B530B" w:rsidRPr="006B530B">
        <w:rPr>
          <w:rFonts w:cs="Times New Roman"/>
          <w:szCs w:val="24"/>
          <w:lang w:eastAsia="en-ZA"/>
        </w:rPr>
        <w:t xml:space="preserve"> and transfers and subsidies increased from 10.1 per cent and 81.9 per cent respectively</w:t>
      </w:r>
      <w:r w:rsidR="00520D28" w:rsidRPr="006B530B">
        <w:rPr>
          <w:rFonts w:cs="Times New Roman"/>
          <w:szCs w:val="24"/>
          <w:lang w:eastAsia="en-ZA"/>
        </w:rPr>
        <w:t xml:space="preserve">. </w:t>
      </w:r>
      <w:r w:rsidR="006B530B" w:rsidRPr="006B530B">
        <w:rPr>
          <w:rFonts w:cs="Times New Roman"/>
          <w:szCs w:val="24"/>
          <w:lang w:eastAsia="en-ZA"/>
        </w:rPr>
        <w:t xml:space="preserve">The DTI has reduced its goods and services’ share of the </w:t>
      </w:r>
      <w:r w:rsidR="006B530B">
        <w:rPr>
          <w:rFonts w:cs="Times New Roman"/>
          <w:szCs w:val="24"/>
          <w:lang w:eastAsia="en-ZA"/>
        </w:rPr>
        <w:t xml:space="preserve">allocated </w:t>
      </w:r>
      <w:r w:rsidR="006B530B" w:rsidRPr="006B530B">
        <w:rPr>
          <w:rFonts w:cs="Times New Roman"/>
          <w:szCs w:val="24"/>
          <w:lang w:eastAsia="en-ZA"/>
        </w:rPr>
        <w:t xml:space="preserve">budget from 7.7 per cent in the 2017/18 financial year in line with cost-containment measures. </w:t>
      </w:r>
      <w:r w:rsidR="006B530B">
        <w:rPr>
          <w:rFonts w:cs="Times New Roman"/>
          <w:szCs w:val="24"/>
          <w:lang w:eastAsia="en-ZA"/>
        </w:rPr>
        <w:t>There has also been a reduced allocation for transfers to its entities, which may have a negative impact on regulatory bodies and the technical infrastructure institutions being able to fulfil their mandates.</w:t>
      </w:r>
      <w:r w:rsidR="00520D28" w:rsidRPr="006B530B">
        <w:rPr>
          <w:rStyle w:val="FootnoteReference"/>
          <w:rFonts w:cs="Times New Roman"/>
          <w:szCs w:val="24"/>
          <w:lang w:eastAsia="en-ZA"/>
        </w:rPr>
        <w:footnoteReference w:id="9"/>
      </w:r>
    </w:p>
    <w:p w14:paraId="4A771CA6" w14:textId="77777777" w:rsidR="0079637C" w:rsidRPr="0078755D" w:rsidRDefault="0079637C" w:rsidP="0062246E">
      <w:pPr>
        <w:rPr>
          <w:rFonts w:eastAsia="Calibri" w:cs="Arial"/>
          <w:b/>
        </w:rPr>
      </w:pPr>
      <w:r w:rsidRPr="0078755D">
        <w:rPr>
          <w:rFonts w:eastAsia="Calibri" w:cs="Arial"/>
          <w:b/>
        </w:rPr>
        <w:t>Figure 1: Overview of the Budget Allocation: 20</w:t>
      </w:r>
      <w:r>
        <w:rPr>
          <w:rFonts w:eastAsia="Calibri" w:cs="Arial"/>
          <w:b/>
        </w:rPr>
        <w:t>17/18 – 2020/21</w:t>
      </w:r>
    </w:p>
    <w:p w14:paraId="5692F102" w14:textId="7B1736BF" w:rsidR="0079637C" w:rsidRPr="006B530B" w:rsidRDefault="0079637C" w:rsidP="0062246E">
      <w:pPr>
        <w:rPr>
          <w:sz w:val="20"/>
          <w:szCs w:val="18"/>
        </w:rPr>
      </w:pPr>
      <w:r w:rsidRPr="006B530B">
        <w:rPr>
          <w:rFonts w:eastAsia="Calibri" w:cs="Arial"/>
          <w:sz w:val="22"/>
          <w:szCs w:val="20"/>
        </w:rPr>
        <w:t>Source:</w:t>
      </w:r>
      <w:r w:rsidRPr="006B530B">
        <w:rPr>
          <w:rFonts w:eastAsia="Calibri" w:cs="Arial"/>
          <w:sz w:val="20"/>
          <w:szCs w:val="18"/>
        </w:rPr>
        <w:t xml:space="preserve"> National Treasury (2018</w:t>
      </w:r>
      <w:r w:rsidR="00525E59">
        <w:rPr>
          <w:rFonts w:eastAsia="Calibri" w:cs="Arial"/>
          <w:sz w:val="20"/>
          <w:szCs w:val="18"/>
        </w:rPr>
        <w:t>a</w:t>
      </w:r>
      <w:r w:rsidRPr="006B530B">
        <w:rPr>
          <w:rFonts w:eastAsia="Calibri" w:cs="Arial"/>
          <w:sz w:val="20"/>
          <w:szCs w:val="18"/>
        </w:rPr>
        <w:t>)</w:t>
      </w:r>
    </w:p>
    <w:p w14:paraId="5E34B85C" w14:textId="77777777" w:rsidR="0079637C" w:rsidRDefault="0079637C" w:rsidP="0062246E"/>
    <w:p w14:paraId="79151268" w14:textId="77777777" w:rsidR="0079637C" w:rsidRPr="00520D28" w:rsidRDefault="0079637C" w:rsidP="0062246E">
      <w:pPr>
        <w:pStyle w:val="ListParagraph"/>
        <w:numPr>
          <w:ilvl w:val="2"/>
          <w:numId w:val="2"/>
        </w:numPr>
        <w:ind w:left="851" w:right="-23" w:hanging="851"/>
        <w:rPr>
          <w:rFonts w:cs="Times New Roman"/>
          <w:b/>
          <w:szCs w:val="24"/>
        </w:rPr>
      </w:pPr>
      <w:bookmarkStart w:id="8" w:name="_Toc445039765"/>
      <w:bookmarkStart w:id="9" w:name="_Toc507508717"/>
      <w:r w:rsidRPr="00520D28">
        <w:rPr>
          <w:rFonts w:cs="Times New Roman"/>
          <w:b/>
          <w:szCs w:val="24"/>
        </w:rPr>
        <w:t>Budget Allocation by Programme</w:t>
      </w:r>
      <w:bookmarkEnd w:id="8"/>
      <w:bookmarkEnd w:id="9"/>
    </w:p>
    <w:p w14:paraId="387016B1" w14:textId="77777777" w:rsidR="0079637C" w:rsidRDefault="0079637C" w:rsidP="0062246E">
      <w:pPr>
        <w:rPr>
          <w:rFonts w:eastAsia="Calibri" w:cs="Arial"/>
          <w:b/>
        </w:rPr>
      </w:pPr>
    </w:p>
    <w:p w14:paraId="3F236855" w14:textId="77777777" w:rsidR="0079637C" w:rsidRPr="00050AC4" w:rsidRDefault="0079637C" w:rsidP="0062246E">
      <w:pPr>
        <w:rPr>
          <w:rFonts w:cs="Times New Roman"/>
          <w:szCs w:val="24"/>
        </w:rPr>
      </w:pPr>
      <w:r w:rsidRPr="00050AC4">
        <w:rPr>
          <w:rFonts w:cs="Times New Roman"/>
          <w:szCs w:val="24"/>
        </w:rPr>
        <w:t>For the 2018/19 financial year, the Department’s work and budget will be divided among its eight (8) programmes</w:t>
      </w:r>
      <w:r w:rsidR="002F49E7" w:rsidRPr="00050AC4">
        <w:rPr>
          <w:rFonts w:cs="Times New Roman"/>
          <w:szCs w:val="24"/>
        </w:rPr>
        <w:t>, namely:</w:t>
      </w:r>
    </w:p>
    <w:p w14:paraId="4C664B29" w14:textId="77777777" w:rsidR="0079637C" w:rsidRPr="00050AC4" w:rsidRDefault="0079637C" w:rsidP="0062246E">
      <w:pPr>
        <w:rPr>
          <w:rFonts w:cs="Times New Roman"/>
          <w:szCs w:val="24"/>
        </w:rPr>
      </w:pPr>
    </w:p>
    <w:p w14:paraId="0B5E4C46" w14:textId="77777777" w:rsidR="002F49E7" w:rsidRPr="002F49E7" w:rsidRDefault="002F49E7" w:rsidP="007D60EF">
      <w:pPr>
        <w:pStyle w:val="ListParagraph"/>
        <w:numPr>
          <w:ilvl w:val="0"/>
          <w:numId w:val="13"/>
        </w:numPr>
        <w:ind w:left="360"/>
        <w:rPr>
          <w:rFonts w:cs="Times New Roman"/>
          <w:szCs w:val="24"/>
        </w:rPr>
      </w:pPr>
      <w:bookmarkStart w:id="10" w:name="_Toc475728045"/>
      <w:r w:rsidRPr="00052A2F">
        <w:lastRenderedPageBreak/>
        <w:t>Programme 1: Administration</w:t>
      </w:r>
      <w:bookmarkEnd w:id="10"/>
      <w:r w:rsidRPr="00052A2F">
        <w:t xml:space="preserve"> </w:t>
      </w:r>
      <w:r>
        <w:t xml:space="preserve">– </w:t>
      </w:r>
      <w:r w:rsidRPr="002F49E7">
        <w:rPr>
          <w:rFonts w:cs="Times New Roman"/>
          <w:szCs w:val="24"/>
        </w:rPr>
        <w:t xml:space="preserve">The programme is responsible for providing strategic support and management to the DTI and its entities. The programme also ensures successful implementation of the DTI’s mandate. </w:t>
      </w:r>
    </w:p>
    <w:p w14:paraId="3BA0CDE1" w14:textId="77777777" w:rsidR="002F49E7" w:rsidRPr="002F49E7" w:rsidRDefault="002F49E7" w:rsidP="007D60EF">
      <w:pPr>
        <w:pStyle w:val="ListParagraph"/>
        <w:numPr>
          <w:ilvl w:val="0"/>
          <w:numId w:val="13"/>
        </w:numPr>
        <w:ind w:left="360"/>
        <w:rPr>
          <w:rFonts w:eastAsia="Calibri" w:cs="Times New Roman"/>
          <w:szCs w:val="24"/>
        </w:rPr>
      </w:pPr>
      <w:bookmarkStart w:id="11" w:name="_Toc475728046"/>
      <w:r w:rsidRPr="00052A2F">
        <w:t>Programme 2: International Trade and Economic Development</w:t>
      </w:r>
      <w:bookmarkEnd w:id="11"/>
      <w:r>
        <w:t xml:space="preserve"> – </w:t>
      </w:r>
      <w:r w:rsidRPr="002F49E7">
        <w:rPr>
          <w:rFonts w:eastAsia="Calibri" w:cs="Times New Roman"/>
          <w:szCs w:val="24"/>
        </w:rPr>
        <w:t xml:space="preserve">The programme focuses on building bilateral and multilateral trade relations, relations that facilitate the building of an equitable multilateral trading system; and promoting New Partnership for Africa’s Development. </w:t>
      </w:r>
    </w:p>
    <w:p w14:paraId="23071046" w14:textId="77777777" w:rsidR="002F49E7" w:rsidRPr="002F49E7" w:rsidRDefault="002F49E7" w:rsidP="007D60EF">
      <w:pPr>
        <w:pStyle w:val="ListParagraph"/>
        <w:numPr>
          <w:ilvl w:val="0"/>
          <w:numId w:val="13"/>
        </w:numPr>
        <w:ind w:left="360"/>
        <w:rPr>
          <w:rFonts w:eastAsia="Calibri" w:cs="Times New Roman"/>
          <w:szCs w:val="24"/>
        </w:rPr>
      </w:pPr>
      <w:bookmarkStart w:id="12" w:name="_Toc475728047"/>
      <w:r w:rsidRPr="00052A2F">
        <w:t>Programme 3: Special Economic Zones and Economic Transformation</w:t>
      </w:r>
      <w:bookmarkEnd w:id="12"/>
      <w:r>
        <w:t xml:space="preserve"> – </w:t>
      </w:r>
      <w:r w:rsidRPr="002F49E7">
        <w:rPr>
          <w:rFonts w:eastAsia="Calibri" w:cs="Times New Roman"/>
          <w:szCs w:val="24"/>
        </w:rPr>
        <w:t xml:space="preserve">The purpose of the programme is to promote inclusive economic transformation and to industrialise the economy through developing and funding SEZs, Industrial Parks and Black Industrialists. </w:t>
      </w:r>
    </w:p>
    <w:p w14:paraId="6108179B" w14:textId="77777777" w:rsidR="002F49E7" w:rsidRPr="002F49E7" w:rsidRDefault="002F49E7" w:rsidP="007D60EF">
      <w:pPr>
        <w:pStyle w:val="ListParagraph"/>
        <w:numPr>
          <w:ilvl w:val="0"/>
          <w:numId w:val="13"/>
        </w:numPr>
        <w:ind w:left="360"/>
        <w:rPr>
          <w:rFonts w:cs="Times New Roman"/>
          <w:szCs w:val="24"/>
        </w:rPr>
      </w:pPr>
      <w:bookmarkStart w:id="13" w:name="_Toc475728048"/>
      <w:r w:rsidRPr="00052A2F">
        <w:t>Programme 4: Industrial Development</w:t>
      </w:r>
      <w:bookmarkEnd w:id="13"/>
      <w:r>
        <w:t xml:space="preserve"> – </w:t>
      </w:r>
      <w:r w:rsidRPr="002F49E7">
        <w:rPr>
          <w:rFonts w:cs="Times New Roman"/>
          <w:szCs w:val="24"/>
        </w:rPr>
        <w:t xml:space="preserve">The Programme is responsible for the design and implementation of policies, strategies and programmes to develop the manufacturing and related sectors of the economy with the aim of contributing to the creation of decent jobs, adding value to manufactured products and enhancing competitiveness in the domestic and export markets. It is also responsible for ensuring a functional technical infrastructure supported by the National Metrology Institute of South Africa (NMISA), the National Regulator for Compulsory Specifications (NRCS), the South African Bureau of Standards (SABS), and the South African National Accreditation System (SANAS). </w:t>
      </w:r>
    </w:p>
    <w:p w14:paraId="0E7E8EC5" w14:textId="77777777" w:rsidR="002F49E7" w:rsidRPr="002F49E7" w:rsidRDefault="002F49E7" w:rsidP="007D60EF">
      <w:pPr>
        <w:pStyle w:val="ListParagraph"/>
        <w:numPr>
          <w:ilvl w:val="0"/>
          <w:numId w:val="13"/>
        </w:numPr>
        <w:ind w:left="360"/>
        <w:rPr>
          <w:rFonts w:eastAsia="Calibri" w:cs="Times New Roman"/>
          <w:szCs w:val="24"/>
        </w:rPr>
      </w:pPr>
      <w:bookmarkStart w:id="14" w:name="_Toc475728049"/>
      <w:r w:rsidRPr="00052A2F">
        <w:t>Programme 5: Consumer and Corporate Regulation</w:t>
      </w:r>
      <w:bookmarkEnd w:id="14"/>
      <w:r>
        <w:t xml:space="preserve"> – </w:t>
      </w:r>
      <w:r w:rsidRPr="002F49E7">
        <w:rPr>
          <w:rFonts w:eastAsia="Calibri" w:cs="Times New Roman"/>
          <w:szCs w:val="24"/>
        </w:rPr>
        <w:t xml:space="preserve">The Programme focuses on facilitating easy access to redress and efficient regulation for economic citizens. It is responsible for policy development, promoting compliance with and enforcing these regulatory frameworks in areas such as gambling, liquor manufacturing and distribution, companies, intellectual property, credit, and consumer protection. This mandate is supported and partly implemented through the following DTI entities: the National Consumer Commission (NCC), the National Credit Regulator (NCR), the National Consumer Tribunal (NCT), the National Gambling Board (NGB), the National Lotteries Commission (NLC), the Companies and Intellectual Property Commission (CIPC), and the Companies Tribunal (CT). </w:t>
      </w:r>
    </w:p>
    <w:p w14:paraId="2837DFE7" w14:textId="77777777" w:rsidR="002F49E7" w:rsidRPr="002F49E7" w:rsidRDefault="002F49E7" w:rsidP="007D60EF">
      <w:pPr>
        <w:pStyle w:val="ListParagraph"/>
        <w:numPr>
          <w:ilvl w:val="0"/>
          <w:numId w:val="13"/>
        </w:numPr>
        <w:ind w:left="360"/>
        <w:rPr>
          <w:rFonts w:cs="Times New Roman"/>
          <w:szCs w:val="24"/>
          <w:lang w:eastAsia="en-ZA"/>
        </w:rPr>
      </w:pPr>
      <w:bookmarkStart w:id="15" w:name="_Toc475728050"/>
      <w:r w:rsidRPr="00052A2F">
        <w:t>Programme 6: Incentive Development and Administration</w:t>
      </w:r>
      <w:bookmarkEnd w:id="15"/>
      <w:r>
        <w:t xml:space="preserve"> – </w:t>
      </w:r>
      <w:r w:rsidRPr="002F49E7">
        <w:rPr>
          <w:rFonts w:cs="Times New Roman"/>
          <w:szCs w:val="24"/>
        </w:rPr>
        <w:t xml:space="preserve">The Programme is responsible for improving the DTI’s incentive administration through designing and implementing incentives and programmes that support investment, competitiveness, employment creation and equity. </w:t>
      </w:r>
    </w:p>
    <w:p w14:paraId="02956D93" w14:textId="77777777" w:rsidR="002F49E7" w:rsidRPr="002F49E7" w:rsidRDefault="002F49E7" w:rsidP="007D60EF">
      <w:pPr>
        <w:pStyle w:val="ListParagraph"/>
        <w:numPr>
          <w:ilvl w:val="0"/>
          <w:numId w:val="13"/>
        </w:numPr>
        <w:ind w:left="360"/>
        <w:rPr>
          <w:rFonts w:cs="Times New Roman"/>
          <w:szCs w:val="24"/>
        </w:rPr>
      </w:pPr>
      <w:bookmarkStart w:id="16" w:name="_Toc475728051"/>
      <w:r w:rsidRPr="00052A2F">
        <w:t>Programme 7: Trade and Investment South Africa</w:t>
      </w:r>
      <w:bookmarkEnd w:id="16"/>
      <w:r>
        <w:t xml:space="preserve"> – </w:t>
      </w:r>
      <w:r w:rsidRPr="002F49E7">
        <w:rPr>
          <w:rFonts w:cs="Times New Roman"/>
          <w:szCs w:val="24"/>
        </w:rPr>
        <w:t xml:space="preserve">The Programme is aimed at promoting South African products in high growth markets; facilitating </w:t>
      </w:r>
      <w:r w:rsidR="00DF39BA">
        <w:rPr>
          <w:rFonts w:cs="Times New Roman"/>
          <w:szCs w:val="24"/>
        </w:rPr>
        <w:t xml:space="preserve">access </w:t>
      </w:r>
      <w:r w:rsidRPr="002F49E7">
        <w:rPr>
          <w:rFonts w:cs="Times New Roman"/>
          <w:szCs w:val="24"/>
        </w:rPr>
        <w:t xml:space="preserve">for South African manufactured products and services; and enhancing the ongoing promotion of </w:t>
      </w:r>
      <w:r w:rsidRPr="002F49E7">
        <w:rPr>
          <w:rFonts w:cs="Times New Roman"/>
          <w:szCs w:val="24"/>
        </w:rPr>
        <w:lastRenderedPageBreak/>
        <w:t>exports.</w:t>
      </w:r>
      <w:r w:rsidR="00DF39BA" w:rsidRPr="00DF39BA">
        <w:rPr>
          <w:rFonts w:cs="Times New Roman"/>
          <w:szCs w:val="24"/>
        </w:rPr>
        <w:t xml:space="preserve"> </w:t>
      </w:r>
      <w:r w:rsidR="00DF39BA">
        <w:rPr>
          <w:rFonts w:cs="Times New Roman"/>
          <w:szCs w:val="24"/>
        </w:rPr>
        <w:t>The Programme is also responsible for building and maintaining trade and investment relationships between South Africa and the rest of Africa; in pursuit of its outward investment-led trade mandate.</w:t>
      </w:r>
      <w:r w:rsidRPr="002F49E7">
        <w:rPr>
          <w:rFonts w:cs="Times New Roman"/>
          <w:szCs w:val="24"/>
        </w:rPr>
        <w:t xml:space="preserve"> Furthermore, the programme </w:t>
      </w:r>
      <w:r w:rsidR="00DF39BA">
        <w:rPr>
          <w:rFonts w:cs="Times New Roman"/>
          <w:szCs w:val="24"/>
        </w:rPr>
        <w:t>manages</w:t>
      </w:r>
      <w:r w:rsidRPr="002F49E7">
        <w:rPr>
          <w:rFonts w:cs="Times New Roman"/>
          <w:szCs w:val="24"/>
        </w:rPr>
        <w:t xml:space="preserve"> the operations of foreign offices.</w:t>
      </w:r>
    </w:p>
    <w:p w14:paraId="39994CE9" w14:textId="77777777" w:rsidR="002F49E7" w:rsidRPr="000977B0" w:rsidRDefault="002F49E7" w:rsidP="007D60EF">
      <w:pPr>
        <w:pStyle w:val="ListParagraph"/>
        <w:numPr>
          <w:ilvl w:val="0"/>
          <w:numId w:val="12"/>
        </w:numPr>
        <w:rPr>
          <w:rFonts w:cs="Times New Roman"/>
          <w:szCs w:val="24"/>
          <w:lang w:eastAsia="en-ZA"/>
        </w:rPr>
      </w:pPr>
      <w:bookmarkStart w:id="17" w:name="_Toc475728052"/>
      <w:r w:rsidRPr="000977B0">
        <w:t>Programme 8: Investment South Africa</w:t>
      </w:r>
      <w:bookmarkEnd w:id="17"/>
      <w:r w:rsidRPr="000977B0">
        <w:t xml:space="preserve"> – </w:t>
      </w:r>
      <w:r w:rsidRPr="000977B0">
        <w:rPr>
          <w:rFonts w:cs="Times New Roman"/>
          <w:szCs w:val="24"/>
          <w:lang w:eastAsia="en-ZA"/>
        </w:rPr>
        <w:t>The purpose of the programme is to “support foreign direct investment flows and domestic investment by providing a one-stop shop for investment promotion, investor facilitation and aftercare support for investors”</w:t>
      </w:r>
      <w:r w:rsidRPr="000977B0">
        <w:rPr>
          <w:rStyle w:val="FootnoteReference"/>
          <w:rFonts w:cs="Times New Roman"/>
          <w:szCs w:val="24"/>
          <w:lang w:eastAsia="en-ZA"/>
        </w:rPr>
        <w:footnoteReference w:id="10"/>
      </w:r>
      <w:r w:rsidRPr="000977B0">
        <w:rPr>
          <w:rFonts w:cs="Times New Roman"/>
          <w:szCs w:val="24"/>
          <w:lang w:eastAsia="en-ZA"/>
        </w:rPr>
        <w:t xml:space="preserve">. </w:t>
      </w:r>
    </w:p>
    <w:p w14:paraId="49285C71" w14:textId="77777777" w:rsidR="002F49E7" w:rsidRDefault="002F49E7" w:rsidP="0062246E">
      <w:pPr>
        <w:contextualSpacing/>
        <w:jc w:val="left"/>
        <w:rPr>
          <w:rFonts w:eastAsia="Calibri" w:cs="Arial"/>
          <w:b/>
        </w:rPr>
      </w:pPr>
    </w:p>
    <w:p w14:paraId="06150DB7" w14:textId="77777777" w:rsidR="002F49E7" w:rsidRDefault="00DF39BA" w:rsidP="0062246E">
      <w:pPr>
        <w:contextualSpacing/>
        <w:rPr>
          <w:rFonts w:eastAsia="Calibri" w:cs="Arial"/>
        </w:rPr>
      </w:pPr>
      <w:r>
        <w:rPr>
          <w:noProof/>
          <w:lang w:eastAsia="en-ZA"/>
        </w:rPr>
        <w:drawing>
          <wp:inline distT="0" distB="0" distL="0" distR="0" wp14:anchorId="30104C57" wp14:editId="7C4D672A">
            <wp:extent cx="5895975" cy="3770630"/>
            <wp:effectExtent l="0" t="0" r="9525"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BBCFBD" w14:textId="77777777" w:rsidR="00EC6C71" w:rsidRDefault="00EC6C71" w:rsidP="00EC6C71">
      <w:pPr>
        <w:contextualSpacing/>
        <w:jc w:val="left"/>
        <w:rPr>
          <w:rFonts w:eastAsia="Calibri" w:cs="Arial"/>
        </w:rPr>
      </w:pPr>
      <w:r w:rsidRPr="00265D14">
        <w:rPr>
          <w:rFonts w:eastAsia="Calibri" w:cs="Arial"/>
          <w:b/>
        </w:rPr>
        <w:t>Figure 2:</w:t>
      </w:r>
      <w:r w:rsidRPr="00304CED">
        <w:rPr>
          <w:rFonts w:eastAsia="Calibri" w:cs="Arial"/>
          <w:b/>
        </w:rPr>
        <w:t xml:space="preserve"> Budget Allocation</w:t>
      </w:r>
      <w:r>
        <w:rPr>
          <w:rFonts w:eastAsia="Calibri" w:cs="Arial"/>
          <w:b/>
        </w:rPr>
        <w:t xml:space="preserve"> Share by Programme for the 2018/19</w:t>
      </w:r>
      <w:r w:rsidRPr="00304CED">
        <w:rPr>
          <w:rFonts w:eastAsia="Calibri" w:cs="Arial"/>
          <w:b/>
        </w:rPr>
        <w:t xml:space="preserve"> Financial Year</w:t>
      </w:r>
    </w:p>
    <w:p w14:paraId="701D7095" w14:textId="7C39CD86" w:rsidR="00EC6C71" w:rsidRDefault="00EC6C71" w:rsidP="0062246E">
      <w:pPr>
        <w:rPr>
          <w:rFonts w:cs="Times New Roman"/>
          <w:szCs w:val="24"/>
        </w:rPr>
      </w:pPr>
      <w:r>
        <w:rPr>
          <w:rFonts w:cs="Times New Roman"/>
          <w:szCs w:val="24"/>
        </w:rPr>
        <w:t>Source: National Treasury (2018</w:t>
      </w:r>
      <w:r w:rsidR="00525E59">
        <w:rPr>
          <w:rFonts w:cs="Times New Roman"/>
          <w:szCs w:val="24"/>
        </w:rPr>
        <w:t>a</w:t>
      </w:r>
      <w:r>
        <w:rPr>
          <w:rFonts w:cs="Times New Roman"/>
          <w:szCs w:val="24"/>
        </w:rPr>
        <w:t>)</w:t>
      </w:r>
    </w:p>
    <w:p w14:paraId="3474E5C3" w14:textId="77777777" w:rsidR="000977B0" w:rsidRDefault="000977B0" w:rsidP="0062246E">
      <w:pPr>
        <w:pStyle w:val="ListParagraph"/>
        <w:ind w:left="0"/>
        <w:rPr>
          <w:rFonts w:eastAsia="Calibri" w:cs="Arial"/>
          <w:b/>
        </w:rPr>
      </w:pPr>
    </w:p>
    <w:p w14:paraId="5DD5C51B" w14:textId="24FE5FB7" w:rsidR="009E0093" w:rsidRPr="00050AC4" w:rsidRDefault="009E0093" w:rsidP="009E0093">
      <w:pPr>
        <w:rPr>
          <w:rFonts w:cs="Times New Roman"/>
          <w:szCs w:val="24"/>
        </w:rPr>
      </w:pPr>
      <w:r w:rsidRPr="00050AC4">
        <w:rPr>
          <w:rFonts w:cs="Times New Roman"/>
          <w:szCs w:val="24"/>
        </w:rPr>
        <w:t>In line with the Department’s mandate and strategic objective of “Facilitating transformation of the economy to promote industrial development, investment, competitiveness and employment creation”</w:t>
      </w:r>
      <w:r w:rsidRPr="00050AC4">
        <w:rPr>
          <w:rFonts w:cs="Times New Roman"/>
          <w:szCs w:val="24"/>
          <w:vertAlign w:val="superscript"/>
        </w:rPr>
        <w:footnoteReference w:id="11"/>
      </w:r>
      <w:r w:rsidRPr="00050AC4">
        <w:rPr>
          <w:rFonts w:cs="Times New Roman"/>
          <w:szCs w:val="24"/>
        </w:rPr>
        <w:t>, the two largest programmes in terms of the share of the budget are for the Incentive Administration Programme, at approximately 64 per</w:t>
      </w:r>
      <w:r w:rsidR="00805AA4">
        <w:rPr>
          <w:rFonts w:cs="Times New Roman"/>
          <w:szCs w:val="24"/>
        </w:rPr>
        <w:t xml:space="preserve"> </w:t>
      </w:r>
      <w:r w:rsidRPr="00050AC4">
        <w:rPr>
          <w:rFonts w:cs="Times New Roman"/>
          <w:szCs w:val="24"/>
        </w:rPr>
        <w:t>cent and the Industrial Development Programme with a 17 per</w:t>
      </w:r>
      <w:r w:rsidR="00805AA4">
        <w:rPr>
          <w:rFonts w:cs="Times New Roman"/>
          <w:szCs w:val="24"/>
        </w:rPr>
        <w:t xml:space="preserve"> </w:t>
      </w:r>
      <w:r w:rsidRPr="00050AC4">
        <w:rPr>
          <w:rFonts w:cs="Times New Roman"/>
          <w:szCs w:val="24"/>
        </w:rPr>
        <w:t>cent share of the 2017/18 budget.  The rest of the budget is allocated to the six other programmes as follows; Administration (8 per cent), the Trade and Investment South Africa Programme (4 per</w:t>
      </w:r>
      <w:r w:rsidR="00B17B5D">
        <w:rPr>
          <w:rFonts w:cs="Times New Roman"/>
          <w:szCs w:val="24"/>
        </w:rPr>
        <w:t xml:space="preserve"> </w:t>
      </w:r>
      <w:r w:rsidRPr="00050AC4">
        <w:rPr>
          <w:rFonts w:cs="Times New Roman"/>
          <w:szCs w:val="24"/>
        </w:rPr>
        <w:t>cent), the Consumer and Corporate Regulation Programme (3 per</w:t>
      </w:r>
      <w:r w:rsidR="00B17B5D">
        <w:rPr>
          <w:rFonts w:cs="Times New Roman"/>
          <w:szCs w:val="24"/>
        </w:rPr>
        <w:t xml:space="preserve"> </w:t>
      </w:r>
      <w:r w:rsidRPr="00050AC4">
        <w:rPr>
          <w:rFonts w:cs="Times New Roman"/>
          <w:szCs w:val="24"/>
        </w:rPr>
        <w:t xml:space="preserve">cent), the Special Economic Zones and Economic </w:t>
      </w:r>
      <w:r w:rsidRPr="00050AC4">
        <w:rPr>
          <w:rFonts w:cs="Times New Roman"/>
          <w:szCs w:val="24"/>
        </w:rPr>
        <w:lastRenderedPageBreak/>
        <w:t>Transformation Programme (2 per</w:t>
      </w:r>
      <w:r w:rsidR="00B17B5D">
        <w:rPr>
          <w:rFonts w:cs="Times New Roman"/>
          <w:szCs w:val="24"/>
        </w:rPr>
        <w:t xml:space="preserve"> </w:t>
      </w:r>
      <w:r w:rsidRPr="00050AC4">
        <w:rPr>
          <w:rFonts w:cs="Times New Roman"/>
          <w:szCs w:val="24"/>
        </w:rPr>
        <w:t>cent) and the International Trade and Economic Development Programme and Investment South Africa (1 per</w:t>
      </w:r>
      <w:r w:rsidR="00B17B5D">
        <w:rPr>
          <w:rFonts w:cs="Times New Roman"/>
          <w:szCs w:val="24"/>
        </w:rPr>
        <w:t xml:space="preserve"> </w:t>
      </w:r>
      <w:r w:rsidRPr="00050AC4">
        <w:rPr>
          <w:rFonts w:cs="Times New Roman"/>
          <w:szCs w:val="24"/>
        </w:rPr>
        <w:t>cent each). Table 1 below depicts the Department’s budget by programme as well as changes from the 2017/18 financial year to 2018/19 financial year.</w:t>
      </w:r>
    </w:p>
    <w:p w14:paraId="28B01CBF" w14:textId="77777777" w:rsidR="000977B0" w:rsidRDefault="000977B0" w:rsidP="0062246E">
      <w:pPr>
        <w:pStyle w:val="ListParagraph"/>
        <w:ind w:left="0"/>
        <w:rPr>
          <w:rFonts w:eastAsia="Calibri" w:cs="Arial"/>
          <w:b/>
        </w:rPr>
      </w:pPr>
    </w:p>
    <w:p w14:paraId="074B993E" w14:textId="77777777" w:rsidR="0079637C" w:rsidRDefault="0079637C" w:rsidP="0062246E">
      <w:pPr>
        <w:pStyle w:val="ListParagraph"/>
        <w:ind w:left="0"/>
        <w:rPr>
          <w:rFonts w:eastAsia="Calibri" w:cs="Arial"/>
          <w:b/>
        </w:rPr>
      </w:pPr>
      <w:r w:rsidRPr="00F85DC7">
        <w:rPr>
          <w:rFonts w:eastAsia="Calibri" w:cs="Arial"/>
          <w:b/>
        </w:rPr>
        <w:t xml:space="preserve">Table 1: Budget Allocation by Programme: </w:t>
      </w:r>
      <w:r>
        <w:rPr>
          <w:rFonts w:eastAsia="Calibri" w:cs="Arial"/>
          <w:b/>
        </w:rPr>
        <w:t>2017/18</w:t>
      </w:r>
      <w:r w:rsidRPr="00F85DC7">
        <w:rPr>
          <w:rFonts w:eastAsia="Calibri" w:cs="Arial"/>
          <w:b/>
        </w:rPr>
        <w:t xml:space="preserve"> </w:t>
      </w:r>
      <w:r>
        <w:rPr>
          <w:rFonts w:eastAsia="Calibri" w:cs="Arial"/>
          <w:b/>
        </w:rPr>
        <w:t xml:space="preserve">and 2018/19 </w:t>
      </w:r>
      <w:r w:rsidRPr="00F85DC7">
        <w:rPr>
          <w:rFonts w:eastAsia="Calibri" w:cs="Arial"/>
          <w:b/>
        </w:rPr>
        <w:t>Financial Year</w:t>
      </w:r>
    </w:p>
    <w:tbl>
      <w:tblPr>
        <w:tblW w:w="9356" w:type="dxa"/>
        <w:tblInd w:w="-147" w:type="dxa"/>
        <w:tblLook w:val="04A0" w:firstRow="1" w:lastRow="0" w:firstColumn="1" w:lastColumn="0" w:noHBand="0" w:noVBand="1"/>
      </w:tblPr>
      <w:tblGrid>
        <w:gridCol w:w="2344"/>
        <w:gridCol w:w="992"/>
        <w:gridCol w:w="867"/>
        <w:gridCol w:w="1017"/>
        <w:gridCol w:w="1017"/>
        <w:gridCol w:w="1560"/>
        <w:gridCol w:w="1559"/>
      </w:tblGrid>
      <w:tr w:rsidR="0079637C" w:rsidRPr="00906F95" w14:paraId="66C64CDB" w14:textId="77777777" w:rsidTr="00050AC4">
        <w:trPr>
          <w:trHeight w:val="835"/>
        </w:trPr>
        <w:tc>
          <w:tcPr>
            <w:tcW w:w="2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A429F6F" w14:textId="77777777" w:rsidR="0079637C" w:rsidRPr="00050AC4" w:rsidRDefault="0079637C" w:rsidP="0062246E">
            <w:pPr>
              <w:jc w:val="left"/>
              <w:rPr>
                <w:rFonts w:eastAsia="Times New Roman" w:cs="Arial"/>
                <w:b/>
                <w:bCs/>
                <w:sz w:val="18"/>
                <w:szCs w:val="18"/>
                <w:lang w:eastAsia="en-ZA"/>
              </w:rPr>
            </w:pPr>
            <w:r w:rsidRPr="00050AC4">
              <w:rPr>
                <w:rFonts w:eastAsia="Times New Roman" w:cs="Arial"/>
                <w:b/>
                <w:bCs/>
                <w:sz w:val="18"/>
                <w:szCs w:val="18"/>
                <w:lang w:eastAsia="en-ZA"/>
              </w:rPr>
              <w:t>Programme</w:t>
            </w:r>
          </w:p>
        </w:tc>
        <w:tc>
          <w:tcPr>
            <w:tcW w:w="1859"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8EB6334" w14:textId="77777777" w:rsidR="0079637C" w:rsidRPr="00050AC4" w:rsidRDefault="0079637C" w:rsidP="0062246E">
            <w:pPr>
              <w:jc w:val="center"/>
              <w:rPr>
                <w:rFonts w:eastAsia="Times New Roman" w:cs="Arial"/>
                <w:b/>
                <w:bCs/>
                <w:sz w:val="18"/>
                <w:szCs w:val="18"/>
                <w:lang w:eastAsia="en-ZA"/>
              </w:rPr>
            </w:pPr>
            <w:r w:rsidRPr="00050AC4">
              <w:rPr>
                <w:rFonts w:eastAsia="Times New Roman" w:cs="Arial"/>
                <w:b/>
                <w:bCs/>
                <w:sz w:val="18"/>
                <w:szCs w:val="18"/>
                <w:lang w:eastAsia="en-ZA"/>
              </w:rPr>
              <w:t>Budget</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49A1BA" w14:textId="77777777" w:rsidR="0079637C" w:rsidRPr="00050AC4" w:rsidRDefault="00050AC4" w:rsidP="0062246E">
            <w:pPr>
              <w:jc w:val="center"/>
              <w:rPr>
                <w:rFonts w:eastAsia="Times New Roman" w:cs="Arial"/>
                <w:b/>
                <w:bCs/>
                <w:sz w:val="18"/>
                <w:szCs w:val="18"/>
                <w:lang w:eastAsia="en-ZA"/>
              </w:rPr>
            </w:pPr>
            <w:r>
              <w:rPr>
                <w:rFonts w:eastAsia="Times New Roman" w:cs="Arial"/>
                <w:b/>
                <w:bCs/>
                <w:sz w:val="18"/>
                <w:szCs w:val="18"/>
                <w:lang w:eastAsia="en-ZA"/>
              </w:rPr>
              <w:t>Nominal Increase</w:t>
            </w:r>
            <w:r w:rsidR="0079637C" w:rsidRPr="00050AC4">
              <w:rPr>
                <w:rFonts w:eastAsia="Times New Roman" w:cs="Arial"/>
                <w:b/>
                <w:bCs/>
                <w:sz w:val="18"/>
                <w:szCs w:val="18"/>
                <w:lang w:eastAsia="en-ZA"/>
              </w:rPr>
              <w:t xml:space="preserve">/ Decrease </w:t>
            </w:r>
          </w:p>
          <w:p w14:paraId="08CE1C43" w14:textId="77777777" w:rsidR="0079637C" w:rsidRPr="00050AC4" w:rsidRDefault="0079637C" w:rsidP="0062246E">
            <w:pPr>
              <w:jc w:val="center"/>
              <w:rPr>
                <w:rFonts w:eastAsia="Times New Roman" w:cs="Arial"/>
                <w:b/>
                <w:bCs/>
                <w:sz w:val="18"/>
                <w:szCs w:val="18"/>
                <w:lang w:eastAsia="en-ZA"/>
              </w:rPr>
            </w:pPr>
          </w:p>
          <w:p w14:paraId="661EF8F3" w14:textId="77777777" w:rsidR="0079637C" w:rsidRPr="00050AC4" w:rsidRDefault="0079637C" w:rsidP="0062246E">
            <w:pPr>
              <w:jc w:val="center"/>
              <w:rPr>
                <w:rFonts w:eastAsia="Times New Roman" w:cs="Arial"/>
                <w:b/>
                <w:bCs/>
                <w:sz w:val="18"/>
                <w:szCs w:val="18"/>
                <w:lang w:eastAsia="en-ZA"/>
              </w:rPr>
            </w:pPr>
            <w:r w:rsidRPr="00050AC4">
              <w:rPr>
                <w:rFonts w:eastAsia="Times New Roman" w:cs="Arial"/>
                <w:b/>
                <w:bCs/>
                <w:sz w:val="18"/>
                <w:szCs w:val="18"/>
                <w:lang w:eastAsia="en-ZA"/>
              </w:rPr>
              <w:t>2018/19</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416E79" w14:textId="77777777" w:rsidR="0079637C" w:rsidRPr="00050AC4" w:rsidRDefault="00050AC4" w:rsidP="0062246E">
            <w:pPr>
              <w:jc w:val="center"/>
              <w:rPr>
                <w:rFonts w:eastAsia="Times New Roman" w:cs="Arial"/>
                <w:b/>
                <w:bCs/>
                <w:sz w:val="18"/>
                <w:szCs w:val="18"/>
                <w:lang w:eastAsia="en-ZA"/>
              </w:rPr>
            </w:pPr>
            <w:r>
              <w:rPr>
                <w:rFonts w:eastAsia="Times New Roman" w:cs="Arial"/>
                <w:b/>
                <w:bCs/>
                <w:sz w:val="18"/>
                <w:szCs w:val="18"/>
                <w:lang w:eastAsia="en-ZA"/>
              </w:rPr>
              <w:t>Real Increase</w:t>
            </w:r>
            <w:r w:rsidR="0079637C" w:rsidRPr="00050AC4">
              <w:rPr>
                <w:rFonts w:eastAsia="Times New Roman" w:cs="Arial"/>
                <w:b/>
                <w:bCs/>
                <w:sz w:val="18"/>
                <w:szCs w:val="18"/>
                <w:lang w:eastAsia="en-ZA"/>
              </w:rPr>
              <w:t>/ Decrease</w:t>
            </w:r>
          </w:p>
          <w:p w14:paraId="6237FCE2" w14:textId="77777777" w:rsidR="0079637C" w:rsidRPr="00050AC4" w:rsidRDefault="0079637C" w:rsidP="0062246E">
            <w:pPr>
              <w:jc w:val="center"/>
              <w:rPr>
                <w:rFonts w:eastAsia="Times New Roman" w:cs="Arial"/>
                <w:b/>
                <w:bCs/>
                <w:sz w:val="18"/>
                <w:szCs w:val="18"/>
                <w:lang w:eastAsia="en-ZA"/>
              </w:rPr>
            </w:pPr>
          </w:p>
          <w:p w14:paraId="18ED5DA5" w14:textId="77777777" w:rsidR="0079637C" w:rsidRPr="00050AC4" w:rsidRDefault="0079637C" w:rsidP="0062246E">
            <w:pPr>
              <w:jc w:val="center"/>
              <w:rPr>
                <w:rFonts w:eastAsia="Times New Roman" w:cs="Arial"/>
                <w:b/>
                <w:bCs/>
                <w:sz w:val="18"/>
                <w:szCs w:val="18"/>
                <w:lang w:eastAsia="en-ZA"/>
              </w:rPr>
            </w:pPr>
            <w:r w:rsidRPr="00050AC4">
              <w:rPr>
                <w:rFonts w:eastAsia="Times New Roman" w:cs="Arial"/>
                <w:b/>
                <w:bCs/>
                <w:sz w:val="18"/>
                <w:szCs w:val="18"/>
                <w:lang w:eastAsia="en-ZA"/>
              </w:rPr>
              <w:t xml:space="preserve"> 2018/19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2E39DD" w14:textId="77777777" w:rsidR="0079637C" w:rsidRPr="00050AC4" w:rsidRDefault="0079637C" w:rsidP="0062246E">
            <w:pPr>
              <w:jc w:val="center"/>
              <w:rPr>
                <w:rFonts w:eastAsia="Times New Roman" w:cs="Arial"/>
                <w:b/>
                <w:bCs/>
                <w:sz w:val="18"/>
                <w:szCs w:val="18"/>
                <w:lang w:eastAsia="en-ZA"/>
              </w:rPr>
            </w:pPr>
            <w:r w:rsidRPr="00050AC4">
              <w:rPr>
                <w:rFonts w:eastAsia="Times New Roman" w:cs="Arial"/>
                <w:b/>
                <w:bCs/>
                <w:sz w:val="18"/>
                <w:szCs w:val="18"/>
                <w:lang w:eastAsia="en-ZA"/>
              </w:rPr>
              <w:t>Nominal Percent change in 2018/19</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6EB298" w14:textId="77777777" w:rsidR="0079637C" w:rsidRPr="00050AC4" w:rsidRDefault="0079637C" w:rsidP="0062246E">
            <w:pPr>
              <w:jc w:val="center"/>
              <w:rPr>
                <w:rFonts w:eastAsia="Times New Roman" w:cs="Arial"/>
                <w:b/>
                <w:bCs/>
                <w:sz w:val="18"/>
                <w:szCs w:val="18"/>
                <w:lang w:eastAsia="en-ZA"/>
              </w:rPr>
            </w:pPr>
            <w:r w:rsidRPr="00050AC4">
              <w:rPr>
                <w:rFonts w:eastAsia="Times New Roman" w:cs="Arial"/>
                <w:b/>
                <w:bCs/>
                <w:sz w:val="18"/>
                <w:szCs w:val="18"/>
                <w:lang w:eastAsia="en-ZA"/>
              </w:rPr>
              <w:t>Real Percent change in 2018/19</w:t>
            </w:r>
          </w:p>
        </w:tc>
      </w:tr>
      <w:tr w:rsidR="0079637C" w:rsidRPr="00906F95" w14:paraId="12012C02" w14:textId="77777777" w:rsidTr="00050AC4">
        <w:trPr>
          <w:trHeight w:val="285"/>
        </w:trPr>
        <w:tc>
          <w:tcPr>
            <w:tcW w:w="2344"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14:paraId="607F4D04" w14:textId="77777777" w:rsidR="0079637C" w:rsidRPr="00050AC4" w:rsidRDefault="0079637C" w:rsidP="0062246E">
            <w:pPr>
              <w:jc w:val="center"/>
              <w:rPr>
                <w:rFonts w:eastAsia="Times New Roman" w:cs="Arial"/>
                <w:b/>
                <w:bCs/>
                <w:sz w:val="18"/>
                <w:szCs w:val="18"/>
                <w:lang w:eastAsia="en-ZA"/>
              </w:rPr>
            </w:pPr>
            <w:r w:rsidRPr="00050AC4">
              <w:rPr>
                <w:rFonts w:eastAsia="Times New Roman" w:cs="Arial"/>
                <w:b/>
                <w:bCs/>
                <w:sz w:val="18"/>
                <w:szCs w:val="18"/>
                <w:lang w:eastAsia="en-ZA"/>
              </w:rPr>
              <w:t>R million</w:t>
            </w:r>
          </w:p>
        </w:tc>
        <w:tc>
          <w:tcPr>
            <w:tcW w:w="992" w:type="dxa"/>
            <w:tcBorders>
              <w:top w:val="nil"/>
              <w:left w:val="nil"/>
              <w:bottom w:val="single" w:sz="4" w:space="0" w:color="auto"/>
              <w:right w:val="single" w:sz="4" w:space="0" w:color="auto"/>
            </w:tcBorders>
            <w:shd w:val="clear" w:color="auto" w:fill="BFBFBF" w:themeFill="background1" w:themeFillShade="BF"/>
            <w:noWrap/>
            <w:vAlign w:val="bottom"/>
            <w:hideMark/>
          </w:tcPr>
          <w:p w14:paraId="0EBA7C08" w14:textId="77777777" w:rsidR="0079637C" w:rsidRPr="00050AC4" w:rsidRDefault="0079637C" w:rsidP="0062246E">
            <w:pPr>
              <w:jc w:val="center"/>
              <w:rPr>
                <w:rFonts w:eastAsia="Times New Roman" w:cs="Arial"/>
                <w:b/>
                <w:bCs/>
                <w:sz w:val="18"/>
                <w:szCs w:val="18"/>
                <w:lang w:eastAsia="en-ZA"/>
              </w:rPr>
            </w:pPr>
            <w:r w:rsidRPr="00050AC4">
              <w:rPr>
                <w:rFonts w:eastAsia="Times New Roman" w:cs="Arial"/>
                <w:b/>
                <w:bCs/>
                <w:sz w:val="18"/>
                <w:szCs w:val="18"/>
                <w:lang w:eastAsia="en-ZA"/>
              </w:rPr>
              <w:t>2017/18</w:t>
            </w:r>
          </w:p>
        </w:tc>
        <w:tc>
          <w:tcPr>
            <w:tcW w:w="867" w:type="dxa"/>
            <w:tcBorders>
              <w:top w:val="nil"/>
              <w:left w:val="nil"/>
              <w:bottom w:val="single" w:sz="4" w:space="0" w:color="auto"/>
              <w:right w:val="single" w:sz="4" w:space="0" w:color="auto"/>
            </w:tcBorders>
            <w:shd w:val="clear" w:color="auto" w:fill="BFBFBF" w:themeFill="background1" w:themeFillShade="BF"/>
            <w:noWrap/>
            <w:vAlign w:val="bottom"/>
            <w:hideMark/>
          </w:tcPr>
          <w:p w14:paraId="2334EFC3" w14:textId="77777777" w:rsidR="0079637C" w:rsidRPr="00050AC4" w:rsidRDefault="0079637C" w:rsidP="0062246E">
            <w:pPr>
              <w:jc w:val="center"/>
              <w:rPr>
                <w:rFonts w:eastAsia="Times New Roman" w:cs="Arial"/>
                <w:b/>
                <w:bCs/>
                <w:sz w:val="18"/>
                <w:szCs w:val="18"/>
                <w:lang w:eastAsia="en-ZA"/>
              </w:rPr>
            </w:pPr>
            <w:r w:rsidRPr="00050AC4">
              <w:rPr>
                <w:rFonts w:eastAsia="Times New Roman" w:cs="Arial"/>
                <w:b/>
                <w:bCs/>
                <w:sz w:val="18"/>
                <w:szCs w:val="18"/>
                <w:lang w:eastAsia="en-ZA"/>
              </w:rPr>
              <w:t>2018/19</w:t>
            </w:r>
          </w:p>
        </w:tc>
        <w:tc>
          <w:tcPr>
            <w:tcW w:w="101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DECFCD" w14:textId="77777777" w:rsidR="0079637C" w:rsidRPr="00906F95" w:rsidRDefault="0079637C" w:rsidP="0062246E">
            <w:pPr>
              <w:jc w:val="left"/>
              <w:rPr>
                <w:rFonts w:eastAsia="Times New Roman" w:cs="Arial"/>
                <w:b/>
                <w:bCs/>
                <w:color w:val="FFFFFF"/>
                <w:sz w:val="18"/>
                <w:szCs w:val="18"/>
                <w:lang w:eastAsia="en-ZA"/>
              </w:rPr>
            </w:pPr>
          </w:p>
        </w:tc>
        <w:tc>
          <w:tcPr>
            <w:tcW w:w="101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D6BBA5" w14:textId="77777777" w:rsidR="0079637C" w:rsidRPr="00906F95" w:rsidRDefault="0079637C" w:rsidP="0062246E">
            <w:pPr>
              <w:jc w:val="left"/>
              <w:rPr>
                <w:rFonts w:eastAsia="Times New Roman" w:cs="Arial"/>
                <w:b/>
                <w:bCs/>
                <w:color w:val="FFFFFF"/>
                <w:sz w:val="18"/>
                <w:szCs w:val="18"/>
                <w:lang w:eastAsia="en-ZA"/>
              </w:rPr>
            </w:pPr>
          </w:p>
        </w:tc>
        <w:tc>
          <w:tcPr>
            <w:tcW w:w="156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E9906B" w14:textId="77777777" w:rsidR="0079637C" w:rsidRPr="00906F95" w:rsidRDefault="0079637C" w:rsidP="0062246E">
            <w:pPr>
              <w:jc w:val="left"/>
              <w:rPr>
                <w:rFonts w:eastAsia="Times New Roman" w:cs="Arial"/>
                <w:b/>
                <w:bCs/>
                <w:color w:val="FFFFFF"/>
                <w:sz w:val="18"/>
                <w:szCs w:val="18"/>
                <w:lang w:eastAsia="en-ZA"/>
              </w:rPr>
            </w:pPr>
          </w:p>
        </w:tc>
        <w:tc>
          <w:tcPr>
            <w:tcW w:w="155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562CCA" w14:textId="77777777" w:rsidR="0079637C" w:rsidRPr="00906F95" w:rsidRDefault="0079637C" w:rsidP="0062246E">
            <w:pPr>
              <w:jc w:val="left"/>
              <w:rPr>
                <w:rFonts w:eastAsia="Times New Roman" w:cs="Arial"/>
                <w:b/>
                <w:bCs/>
                <w:color w:val="FFFFFF"/>
                <w:sz w:val="18"/>
                <w:szCs w:val="18"/>
                <w:lang w:eastAsia="en-ZA"/>
              </w:rPr>
            </w:pPr>
          </w:p>
        </w:tc>
      </w:tr>
      <w:tr w:rsidR="0079637C" w:rsidRPr="00906F95" w14:paraId="182524CD" w14:textId="77777777" w:rsidTr="00C325E7">
        <w:trPr>
          <w:trHeight w:val="255"/>
        </w:trPr>
        <w:tc>
          <w:tcPr>
            <w:tcW w:w="2344" w:type="dxa"/>
            <w:tcBorders>
              <w:top w:val="nil"/>
              <w:left w:val="single" w:sz="4" w:space="0" w:color="auto"/>
              <w:bottom w:val="single" w:sz="4" w:space="0" w:color="auto"/>
              <w:right w:val="single" w:sz="4" w:space="0" w:color="auto"/>
            </w:tcBorders>
            <w:shd w:val="clear" w:color="auto" w:fill="auto"/>
            <w:vAlign w:val="bottom"/>
            <w:hideMark/>
          </w:tcPr>
          <w:p w14:paraId="52020E7C" w14:textId="77777777" w:rsidR="0079637C" w:rsidRPr="00906F95" w:rsidRDefault="0079637C" w:rsidP="0062246E">
            <w:pPr>
              <w:jc w:val="left"/>
              <w:rPr>
                <w:rFonts w:eastAsia="Times New Roman" w:cs="Arial"/>
                <w:color w:val="000000"/>
                <w:sz w:val="18"/>
                <w:szCs w:val="18"/>
                <w:lang w:eastAsia="en-ZA"/>
              </w:rPr>
            </w:pPr>
            <w:r w:rsidRPr="00906F95">
              <w:rPr>
                <w:rFonts w:eastAsia="Times New Roman" w:cs="Arial"/>
                <w:color w:val="000000"/>
                <w:sz w:val="18"/>
                <w:szCs w:val="18"/>
                <w:lang w:eastAsia="en-ZA"/>
              </w:rPr>
              <w:t>Administration</w:t>
            </w:r>
          </w:p>
        </w:tc>
        <w:tc>
          <w:tcPr>
            <w:tcW w:w="992" w:type="dxa"/>
            <w:tcBorders>
              <w:top w:val="nil"/>
              <w:left w:val="nil"/>
              <w:bottom w:val="single" w:sz="4" w:space="0" w:color="auto"/>
              <w:right w:val="single" w:sz="4" w:space="0" w:color="auto"/>
            </w:tcBorders>
            <w:shd w:val="clear" w:color="auto" w:fill="auto"/>
            <w:noWrap/>
            <w:vAlign w:val="center"/>
            <w:hideMark/>
          </w:tcPr>
          <w:p w14:paraId="33F28902"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xml:space="preserve">  814,6</w:t>
            </w:r>
          </w:p>
        </w:tc>
        <w:tc>
          <w:tcPr>
            <w:tcW w:w="867" w:type="dxa"/>
            <w:tcBorders>
              <w:top w:val="nil"/>
              <w:left w:val="nil"/>
              <w:bottom w:val="single" w:sz="4" w:space="0" w:color="auto"/>
              <w:right w:val="single" w:sz="4" w:space="0" w:color="auto"/>
            </w:tcBorders>
            <w:shd w:val="clear" w:color="auto" w:fill="auto"/>
            <w:noWrap/>
            <w:vAlign w:val="center"/>
            <w:hideMark/>
          </w:tcPr>
          <w:p w14:paraId="7A7EE305"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xml:space="preserve">  760,6</w:t>
            </w:r>
          </w:p>
        </w:tc>
        <w:tc>
          <w:tcPr>
            <w:tcW w:w="1017" w:type="dxa"/>
            <w:tcBorders>
              <w:top w:val="nil"/>
              <w:left w:val="nil"/>
              <w:bottom w:val="single" w:sz="4" w:space="0" w:color="auto"/>
              <w:right w:val="single" w:sz="4" w:space="0" w:color="auto"/>
            </w:tcBorders>
            <w:shd w:val="clear" w:color="auto" w:fill="auto"/>
            <w:noWrap/>
            <w:vAlign w:val="center"/>
            <w:hideMark/>
          </w:tcPr>
          <w:p w14:paraId="70D83A17"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53,9</w:t>
            </w:r>
          </w:p>
        </w:tc>
        <w:tc>
          <w:tcPr>
            <w:tcW w:w="1017" w:type="dxa"/>
            <w:tcBorders>
              <w:top w:val="nil"/>
              <w:left w:val="nil"/>
              <w:bottom w:val="single" w:sz="4" w:space="0" w:color="auto"/>
              <w:right w:val="single" w:sz="4" w:space="0" w:color="auto"/>
            </w:tcBorders>
            <w:shd w:val="clear" w:color="auto" w:fill="auto"/>
            <w:noWrap/>
            <w:vAlign w:val="center"/>
            <w:hideMark/>
          </w:tcPr>
          <w:p w14:paraId="32396730"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93,6</w:t>
            </w:r>
          </w:p>
        </w:tc>
        <w:tc>
          <w:tcPr>
            <w:tcW w:w="1560" w:type="dxa"/>
            <w:tcBorders>
              <w:top w:val="nil"/>
              <w:left w:val="nil"/>
              <w:bottom w:val="single" w:sz="4" w:space="0" w:color="auto"/>
              <w:right w:val="single" w:sz="4" w:space="0" w:color="auto"/>
            </w:tcBorders>
            <w:shd w:val="clear" w:color="auto" w:fill="auto"/>
            <w:noWrap/>
            <w:vAlign w:val="center"/>
            <w:hideMark/>
          </w:tcPr>
          <w:p w14:paraId="5F386664"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-6,62 per cent</w:t>
            </w:r>
          </w:p>
        </w:tc>
        <w:tc>
          <w:tcPr>
            <w:tcW w:w="1559" w:type="dxa"/>
            <w:tcBorders>
              <w:top w:val="nil"/>
              <w:left w:val="nil"/>
              <w:bottom w:val="single" w:sz="4" w:space="0" w:color="auto"/>
              <w:right w:val="single" w:sz="4" w:space="0" w:color="auto"/>
            </w:tcBorders>
            <w:shd w:val="clear" w:color="auto" w:fill="auto"/>
            <w:noWrap/>
            <w:vAlign w:val="center"/>
            <w:hideMark/>
          </w:tcPr>
          <w:p w14:paraId="11BCEEE3"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-11,49 per cent</w:t>
            </w:r>
          </w:p>
        </w:tc>
      </w:tr>
      <w:tr w:rsidR="0079637C" w:rsidRPr="00906F95" w14:paraId="794917B1" w14:textId="77777777" w:rsidTr="00C325E7">
        <w:trPr>
          <w:trHeight w:val="510"/>
        </w:trPr>
        <w:tc>
          <w:tcPr>
            <w:tcW w:w="2344" w:type="dxa"/>
            <w:tcBorders>
              <w:top w:val="nil"/>
              <w:left w:val="single" w:sz="4" w:space="0" w:color="auto"/>
              <w:bottom w:val="single" w:sz="4" w:space="0" w:color="auto"/>
              <w:right w:val="single" w:sz="4" w:space="0" w:color="auto"/>
            </w:tcBorders>
            <w:shd w:val="clear" w:color="auto" w:fill="auto"/>
            <w:vAlign w:val="bottom"/>
            <w:hideMark/>
          </w:tcPr>
          <w:p w14:paraId="64019800" w14:textId="77777777" w:rsidR="0079637C" w:rsidRPr="00906F95" w:rsidRDefault="0079637C" w:rsidP="0062246E">
            <w:pPr>
              <w:jc w:val="left"/>
              <w:rPr>
                <w:rFonts w:eastAsia="Times New Roman" w:cs="Arial"/>
                <w:color w:val="000000"/>
                <w:sz w:val="18"/>
                <w:szCs w:val="18"/>
                <w:lang w:eastAsia="en-ZA"/>
              </w:rPr>
            </w:pPr>
            <w:r w:rsidRPr="00906F95">
              <w:rPr>
                <w:rFonts w:eastAsia="Times New Roman" w:cs="Arial"/>
                <w:color w:val="000000"/>
                <w:sz w:val="18"/>
                <w:szCs w:val="18"/>
                <w:lang w:eastAsia="en-ZA"/>
              </w:rPr>
              <w:t>International Trade and Economic Development</w:t>
            </w:r>
          </w:p>
        </w:tc>
        <w:tc>
          <w:tcPr>
            <w:tcW w:w="992" w:type="dxa"/>
            <w:tcBorders>
              <w:top w:val="nil"/>
              <w:left w:val="nil"/>
              <w:bottom w:val="single" w:sz="4" w:space="0" w:color="auto"/>
              <w:right w:val="single" w:sz="4" w:space="0" w:color="auto"/>
            </w:tcBorders>
            <w:shd w:val="clear" w:color="auto" w:fill="auto"/>
            <w:noWrap/>
            <w:vAlign w:val="center"/>
            <w:hideMark/>
          </w:tcPr>
          <w:p w14:paraId="2C311570"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xml:space="preserve">  119,8</w:t>
            </w:r>
          </w:p>
        </w:tc>
        <w:tc>
          <w:tcPr>
            <w:tcW w:w="867" w:type="dxa"/>
            <w:tcBorders>
              <w:top w:val="nil"/>
              <w:left w:val="nil"/>
              <w:bottom w:val="single" w:sz="4" w:space="0" w:color="auto"/>
              <w:right w:val="single" w:sz="4" w:space="0" w:color="auto"/>
            </w:tcBorders>
            <w:shd w:val="clear" w:color="auto" w:fill="auto"/>
            <w:noWrap/>
            <w:vAlign w:val="center"/>
            <w:hideMark/>
          </w:tcPr>
          <w:p w14:paraId="72103091"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xml:space="preserve">  124,9</w:t>
            </w:r>
          </w:p>
        </w:tc>
        <w:tc>
          <w:tcPr>
            <w:tcW w:w="1017" w:type="dxa"/>
            <w:tcBorders>
              <w:top w:val="nil"/>
              <w:left w:val="nil"/>
              <w:bottom w:val="single" w:sz="4" w:space="0" w:color="auto"/>
              <w:right w:val="single" w:sz="4" w:space="0" w:color="auto"/>
            </w:tcBorders>
            <w:shd w:val="clear" w:color="auto" w:fill="auto"/>
            <w:noWrap/>
            <w:vAlign w:val="center"/>
            <w:hideMark/>
          </w:tcPr>
          <w:p w14:paraId="7224246E"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xml:space="preserve">  5,1</w:t>
            </w:r>
          </w:p>
        </w:tc>
        <w:tc>
          <w:tcPr>
            <w:tcW w:w="1017" w:type="dxa"/>
            <w:tcBorders>
              <w:top w:val="nil"/>
              <w:left w:val="nil"/>
              <w:bottom w:val="single" w:sz="4" w:space="0" w:color="auto"/>
              <w:right w:val="single" w:sz="4" w:space="0" w:color="auto"/>
            </w:tcBorders>
            <w:shd w:val="clear" w:color="auto" w:fill="auto"/>
            <w:noWrap/>
            <w:vAlign w:val="center"/>
            <w:hideMark/>
          </w:tcPr>
          <w:p w14:paraId="6F96969B"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1,4</w:t>
            </w:r>
          </w:p>
        </w:tc>
        <w:tc>
          <w:tcPr>
            <w:tcW w:w="1560" w:type="dxa"/>
            <w:tcBorders>
              <w:top w:val="nil"/>
              <w:left w:val="nil"/>
              <w:bottom w:val="single" w:sz="4" w:space="0" w:color="auto"/>
              <w:right w:val="single" w:sz="4" w:space="0" w:color="auto"/>
            </w:tcBorders>
            <w:shd w:val="clear" w:color="auto" w:fill="auto"/>
            <w:noWrap/>
            <w:vAlign w:val="center"/>
            <w:hideMark/>
          </w:tcPr>
          <w:p w14:paraId="7F1CA1E1"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4,27 per cent</w:t>
            </w:r>
          </w:p>
        </w:tc>
        <w:tc>
          <w:tcPr>
            <w:tcW w:w="1559" w:type="dxa"/>
            <w:tcBorders>
              <w:top w:val="nil"/>
              <w:left w:val="nil"/>
              <w:bottom w:val="single" w:sz="4" w:space="0" w:color="auto"/>
              <w:right w:val="single" w:sz="4" w:space="0" w:color="auto"/>
            </w:tcBorders>
            <w:shd w:val="clear" w:color="auto" w:fill="auto"/>
            <w:noWrap/>
            <w:vAlign w:val="center"/>
            <w:hideMark/>
          </w:tcPr>
          <w:p w14:paraId="087B3266"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-1,16 per cent</w:t>
            </w:r>
          </w:p>
        </w:tc>
      </w:tr>
      <w:tr w:rsidR="0079637C" w:rsidRPr="00906F95" w14:paraId="7649542F" w14:textId="77777777" w:rsidTr="00C325E7">
        <w:trPr>
          <w:trHeight w:val="510"/>
        </w:trPr>
        <w:tc>
          <w:tcPr>
            <w:tcW w:w="2344" w:type="dxa"/>
            <w:tcBorders>
              <w:top w:val="nil"/>
              <w:left w:val="single" w:sz="4" w:space="0" w:color="auto"/>
              <w:bottom w:val="single" w:sz="4" w:space="0" w:color="auto"/>
              <w:right w:val="single" w:sz="4" w:space="0" w:color="auto"/>
            </w:tcBorders>
            <w:shd w:val="clear" w:color="auto" w:fill="auto"/>
            <w:vAlign w:val="bottom"/>
            <w:hideMark/>
          </w:tcPr>
          <w:p w14:paraId="041EDAB0" w14:textId="77777777" w:rsidR="0079637C" w:rsidRPr="00906F95" w:rsidRDefault="0079637C" w:rsidP="0062246E">
            <w:pPr>
              <w:jc w:val="left"/>
              <w:rPr>
                <w:rFonts w:eastAsia="Times New Roman" w:cs="Arial"/>
                <w:color w:val="000000"/>
                <w:sz w:val="18"/>
                <w:szCs w:val="18"/>
                <w:lang w:eastAsia="en-ZA"/>
              </w:rPr>
            </w:pPr>
            <w:r w:rsidRPr="00906F95">
              <w:rPr>
                <w:rFonts w:eastAsia="Times New Roman" w:cs="Arial"/>
                <w:color w:val="000000"/>
                <w:sz w:val="18"/>
                <w:szCs w:val="18"/>
                <w:lang w:eastAsia="en-ZA"/>
              </w:rPr>
              <w:t>Special Economic Zones and Economic Transformation</w:t>
            </w:r>
          </w:p>
        </w:tc>
        <w:tc>
          <w:tcPr>
            <w:tcW w:w="992" w:type="dxa"/>
            <w:tcBorders>
              <w:top w:val="nil"/>
              <w:left w:val="nil"/>
              <w:bottom w:val="single" w:sz="4" w:space="0" w:color="auto"/>
              <w:right w:val="single" w:sz="4" w:space="0" w:color="auto"/>
            </w:tcBorders>
            <w:shd w:val="clear" w:color="auto" w:fill="auto"/>
            <w:noWrap/>
            <w:vAlign w:val="center"/>
            <w:hideMark/>
          </w:tcPr>
          <w:p w14:paraId="2EB84F4E"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xml:space="preserve">  118,4</w:t>
            </w:r>
          </w:p>
        </w:tc>
        <w:tc>
          <w:tcPr>
            <w:tcW w:w="867" w:type="dxa"/>
            <w:tcBorders>
              <w:top w:val="nil"/>
              <w:left w:val="nil"/>
              <w:bottom w:val="single" w:sz="4" w:space="0" w:color="auto"/>
              <w:right w:val="single" w:sz="4" w:space="0" w:color="auto"/>
            </w:tcBorders>
            <w:shd w:val="clear" w:color="auto" w:fill="auto"/>
            <w:noWrap/>
            <w:vAlign w:val="center"/>
            <w:hideMark/>
          </w:tcPr>
          <w:p w14:paraId="6FC7341B"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xml:space="preserve">  165,4</w:t>
            </w:r>
          </w:p>
        </w:tc>
        <w:tc>
          <w:tcPr>
            <w:tcW w:w="1017" w:type="dxa"/>
            <w:tcBorders>
              <w:top w:val="nil"/>
              <w:left w:val="nil"/>
              <w:bottom w:val="single" w:sz="4" w:space="0" w:color="auto"/>
              <w:right w:val="single" w:sz="4" w:space="0" w:color="auto"/>
            </w:tcBorders>
            <w:shd w:val="clear" w:color="auto" w:fill="auto"/>
            <w:noWrap/>
            <w:vAlign w:val="center"/>
            <w:hideMark/>
          </w:tcPr>
          <w:p w14:paraId="4826E8AB"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xml:space="preserve">  47,0</w:t>
            </w:r>
          </w:p>
        </w:tc>
        <w:tc>
          <w:tcPr>
            <w:tcW w:w="1017" w:type="dxa"/>
            <w:tcBorders>
              <w:top w:val="nil"/>
              <w:left w:val="nil"/>
              <w:bottom w:val="single" w:sz="4" w:space="0" w:color="auto"/>
              <w:right w:val="single" w:sz="4" w:space="0" w:color="auto"/>
            </w:tcBorders>
            <w:shd w:val="clear" w:color="auto" w:fill="auto"/>
            <w:noWrap/>
            <w:vAlign w:val="center"/>
            <w:hideMark/>
          </w:tcPr>
          <w:p w14:paraId="17B8C183"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xml:space="preserve">  38,4</w:t>
            </w:r>
          </w:p>
        </w:tc>
        <w:tc>
          <w:tcPr>
            <w:tcW w:w="1560" w:type="dxa"/>
            <w:tcBorders>
              <w:top w:val="nil"/>
              <w:left w:val="nil"/>
              <w:bottom w:val="single" w:sz="4" w:space="0" w:color="auto"/>
              <w:right w:val="single" w:sz="4" w:space="0" w:color="auto"/>
            </w:tcBorders>
            <w:shd w:val="clear" w:color="auto" w:fill="auto"/>
            <w:noWrap/>
            <w:vAlign w:val="center"/>
            <w:hideMark/>
          </w:tcPr>
          <w:p w14:paraId="25E48CD1"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39,69 per cent</w:t>
            </w:r>
          </w:p>
        </w:tc>
        <w:tc>
          <w:tcPr>
            <w:tcW w:w="1559" w:type="dxa"/>
            <w:tcBorders>
              <w:top w:val="nil"/>
              <w:left w:val="nil"/>
              <w:bottom w:val="single" w:sz="4" w:space="0" w:color="auto"/>
              <w:right w:val="single" w:sz="4" w:space="0" w:color="auto"/>
            </w:tcBorders>
            <w:shd w:val="clear" w:color="auto" w:fill="auto"/>
            <w:noWrap/>
            <w:vAlign w:val="center"/>
            <w:hideMark/>
          </w:tcPr>
          <w:p w14:paraId="4BFAF9AE"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32,41 per cent</w:t>
            </w:r>
          </w:p>
        </w:tc>
      </w:tr>
      <w:tr w:rsidR="0079637C" w:rsidRPr="00906F95" w14:paraId="0ECA5911" w14:textId="77777777" w:rsidTr="00C325E7">
        <w:trPr>
          <w:trHeight w:val="255"/>
        </w:trPr>
        <w:tc>
          <w:tcPr>
            <w:tcW w:w="2344" w:type="dxa"/>
            <w:tcBorders>
              <w:top w:val="nil"/>
              <w:left w:val="single" w:sz="4" w:space="0" w:color="auto"/>
              <w:bottom w:val="single" w:sz="4" w:space="0" w:color="auto"/>
              <w:right w:val="single" w:sz="4" w:space="0" w:color="auto"/>
            </w:tcBorders>
            <w:shd w:val="clear" w:color="auto" w:fill="auto"/>
            <w:vAlign w:val="bottom"/>
            <w:hideMark/>
          </w:tcPr>
          <w:p w14:paraId="762F9651" w14:textId="77777777" w:rsidR="0079637C" w:rsidRPr="00906F95" w:rsidRDefault="0079637C" w:rsidP="0062246E">
            <w:pPr>
              <w:jc w:val="left"/>
              <w:rPr>
                <w:rFonts w:eastAsia="Times New Roman" w:cs="Arial"/>
                <w:color w:val="000000"/>
                <w:sz w:val="18"/>
                <w:szCs w:val="18"/>
                <w:lang w:eastAsia="en-ZA"/>
              </w:rPr>
            </w:pPr>
            <w:r w:rsidRPr="00906F95">
              <w:rPr>
                <w:rFonts w:eastAsia="Times New Roman" w:cs="Arial"/>
                <w:color w:val="000000"/>
                <w:sz w:val="18"/>
                <w:szCs w:val="18"/>
                <w:lang w:eastAsia="en-ZA"/>
              </w:rPr>
              <w:t>Industrial Development</w:t>
            </w:r>
          </w:p>
        </w:tc>
        <w:tc>
          <w:tcPr>
            <w:tcW w:w="992" w:type="dxa"/>
            <w:tcBorders>
              <w:top w:val="nil"/>
              <w:left w:val="nil"/>
              <w:bottom w:val="single" w:sz="4" w:space="0" w:color="auto"/>
              <w:right w:val="single" w:sz="4" w:space="0" w:color="auto"/>
            </w:tcBorders>
            <w:shd w:val="clear" w:color="auto" w:fill="auto"/>
            <w:noWrap/>
            <w:vAlign w:val="center"/>
            <w:hideMark/>
          </w:tcPr>
          <w:p w14:paraId="1AA69C63"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xml:space="preserve"> 1 819,3</w:t>
            </w:r>
          </w:p>
        </w:tc>
        <w:tc>
          <w:tcPr>
            <w:tcW w:w="867" w:type="dxa"/>
            <w:tcBorders>
              <w:top w:val="nil"/>
              <w:left w:val="nil"/>
              <w:bottom w:val="single" w:sz="4" w:space="0" w:color="auto"/>
              <w:right w:val="single" w:sz="4" w:space="0" w:color="auto"/>
            </w:tcBorders>
            <w:shd w:val="clear" w:color="auto" w:fill="auto"/>
            <w:noWrap/>
            <w:vAlign w:val="center"/>
            <w:hideMark/>
          </w:tcPr>
          <w:p w14:paraId="04CA384B"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xml:space="preserve"> 1 622,6</w:t>
            </w:r>
          </w:p>
        </w:tc>
        <w:tc>
          <w:tcPr>
            <w:tcW w:w="1017" w:type="dxa"/>
            <w:tcBorders>
              <w:top w:val="nil"/>
              <w:left w:val="nil"/>
              <w:bottom w:val="single" w:sz="4" w:space="0" w:color="auto"/>
              <w:right w:val="single" w:sz="4" w:space="0" w:color="auto"/>
            </w:tcBorders>
            <w:shd w:val="clear" w:color="auto" w:fill="auto"/>
            <w:noWrap/>
            <w:vAlign w:val="center"/>
            <w:hideMark/>
          </w:tcPr>
          <w:p w14:paraId="5CDE3CCF"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196,7</w:t>
            </w:r>
          </w:p>
        </w:tc>
        <w:tc>
          <w:tcPr>
            <w:tcW w:w="1017" w:type="dxa"/>
            <w:tcBorders>
              <w:top w:val="nil"/>
              <w:left w:val="nil"/>
              <w:bottom w:val="single" w:sz="4" w:space="0" w:color="auto"/>
              <w:right w:val="single" w:sz="4" w:space="0" w:color="auto"/>
            </w:tcBorders>
            <w:shd w:val="clear" w:color="auto" w:fill="auto"/>
            <w:noWrap/>
            <w:vAlign w:val="center"/>
            <w:hideMark/>
          </w:tcPr>
          <w:p w14:paraId="54CFA771"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281,3</w:t>
            </w:r>
          </w:p>
        </w:tc>
        <w:tc>
          <w:tcPr>
            <w:tcW w:w="1560" w:type="dxa"/>
            <w:tcBorders>
              <w:top w:val="nil"/>
              <w:left w:val="nil"/>
              <w:bottom w:val="single" w:sz="4" w:space="0" w:color="auto"/>
              <w:right w:val="single" w:sz="4" w:space="0" w:color="auto"/>
            </w:tcBorders>
            <w:shd w:val="clear" w:color="auto" w:fill="auto"/>
            <w:noWrap/>
            <w:vAlign w:val="center"/>
            <w:hideMark/>
          </w:tcPr>
          <w:p w14:paraId="3D577683"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-10,81 per cent</w:t>
            </w:r>
          </w:p>
        </w:tc>
        <w:tc>
          <w:tcPr>
            <w:tcW w:w="1559" w:type="dxa"/>
            <w:tcBorders>
              <w:top w:val="nil"/>
              <w:left w:val="nil"/>
              <w:bottom w:val="single" w:sz="4" w:space="0" w:color="auto"/>
              <w:right w:val="single" w:sz="4" w:space="0" w:color="auto"/>
            </w:tcBorders>
            <w:shd w:val="clear" w:color="auto" w:fill="auto"/>
            <w:noWrap/>
            <w:vAlign w:val="center"/>
            <w:hideMark/>
          </w:tcPr>
          <w:p w14:paraId="5F6A5EF9"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-15,46 per cent</w:t>
            </w:r>
          </w:p>
        </w:tc>
      </w:tr>
      <w:tr w:rsidR="0079637C" w:rsidRPr="00906F95" w14:paraId="1E2ED476" w14:textId="77777777" w:rsidTr="00C325E7">
        <w:trPr>
          <w:trHeight w:val="510"/>
        </w:trPr>
        <w:tc>
          <w:tcPr>
            <w:tcW w:w="2344" w:type="dxa"/>
            <w:tcBorders>
              <w:top w:val="nil"/>
              <w:left w:val="single" w:sz="4" w:space="0" w:color="auto"/>
              <w:bottom w:val="single" w:sz="4" w:space="0" w:color="auto"/>
              <w:right w:val="single" w:sz="4" w:space="0" w:color="auto"/>
            </w:tcBorders>
            <w:shd w:val="clear" w:color="auto" w:fill="auto"/>
            <w:vAlign w:val="bottom"/>
            <w:hideMark/>
          </w:tcPr>
          <w:p w14:paraId="03C79627" w14:textId="77777777" w:rsidR="0079637C" w:rsidRPr="00906F95" w:rsidRDefault="0079637C" w:rsidP="0062246E">
            <w:pPr>
              <w:jc w:val="left"/>
              <w:rPr>
                <w:rFonts w:eastAsia="Times New Roman" w:cs="Arial"/>
                <w:color w:val="000000"/>
                <w:sz w:val="18"/>
                <w:szCs w:val="18"/>
                <w:lang w:eastAsia="en-ZA"/>
              </w:rPr>
            </w:pPr>
            <w:r w:rsidRPr="00906F95">
              <w:rPr>
                <w:rFonts w:eastAsia="Times New Roman" w:cs="Arial"/>
                <w:color w:val="000000"/>
                <w:sz w:val="18"/>
                <w:szCs w:val="18"/>
                <w:lang w:eastAsia="en-ZA"/>
              </w:rPr>
              <w:t>Consumer and Corporate Regulation</w:t>
            </w:r>
          </w:p>
        </w:tc>
        <w:tc>
          <w:tcPr>
            <w:tcW w:w="992" w:type="dxa"/>
            <w:tcBorders>
              <w:top w:val="nil"/>
              <w:left w:val="nil"/>
              <w:bottom w:val="single" w:sz="4" w:space="0" w:color="auto"/>
              <w:right w:val="single" w:sz="4" w:space="0" w:color="auto"/>
            </w:tcBorders>
            <w:shd w:val="clear" w:color="auto" w:fill="auto"/>
            <w:noWrap/>
            <w:vAlign w:val="center"/>
            <w:hideMark/>
          </w:tcPr>
          <w:p w14:paraId="1AD819C2"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xml:space="preserve">  298,6</w:t>
            </w:r>
          </w:p>
        </w:tc>
        <w:tc>
          <w:tcPr>
            <w:tcW w:w="867" w:type="dxa"/>
            <w:tcBorders>
              <w:top w:val="nil"/>
              <w:left w:val="nil"/>
              <w:bottom w:val="single" w:sz="4" w:space="0" w:color="auto"/>
              <w:right w:val="single" w:sz="4" w:space="0" w:color="auto"/>
            </w:tcBorders>
            <w:shd w:val="clear" w:color="auto" w:fill="auto"/>
            <w:noWrap/>
            <w:vAlign w:val="center"/>
            <w:hideMark/>
          </w:tcPr>
          <w:p w14:paraId="6F60D4CE"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xml:space="preserve">  314,6</w:t>
            </w:r>
          </w:p>
        </w:tc>
        <w:tc>
          <w:tcPr>
            <w:tcW w:w="1017" w:type="dxa"/>
            <w:tcBorders>
              <w:top w:val="nil"/>
              <w:left w:val="nil"/>
              <w:bottom w:val="single" w:sz="4" w:space="0" w:color="auto"/>
              <w:right w:val="single" w:sz="4" w:space="0" w:color="auto"/>
            </w:tcBorders>
            <w:shd w:val="clear" w:color="auto" w:fill="auto"/>
            <w:noWrap/>
            <w:vAlign w:val="center"/>
            <w:hideMark/>
          </w:tcPr>
          <w:p w14:paraId="70D0DEEA"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xml:space="preserve">  16,0</w:t>
            </w:r>
          </w:p>
        </w:tc>
        <w:tc>
          <w:tcPr>
            <w:tcW w:w="1017" w:type="dxa"/>
            <w:tcBorders>
              <w:top w:val="nil"/>
              <w:left w:val="nil"/>
              <w:bottom w:val="single" w:sz="4" w:space="0" w:color="auto"/>
              <w:right w:val="single" w:sz="4" w:space="0" w:color="auto"/>
            </w:tcBorders>
            <w:shd w:val="clear" w:color="auto" w:fill="auto"/>
            <w:noWrap/>
            <w:vAlign w:val="center"/>
            <w:hideMark/>
          </w:tcPr>
          <w:p w14:paraId="1804AF6C"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0,4</w:t>
            </w:r>
          </w:p>
        </w:tc>
        <w:tc>
          <w:tcPr>
            <w:tcW w:w="1560" w:type="dxa"/>
            <w:tcBorders>
              <w:top w:val="nil"/>
              <w:left w:val="nil"/>
              <w:bottom w:val="single" w:sz="4" w:space="0" w:color="auto"/>
              <w:right w:val="single" w:sz="4" w:space="0" w:color="auto"/>
            </w:tcBorders>
            <w:shd w:val="clear" w:color="auto" w:fill="auto"/>
            <w:noWrap/>
            <w:vAlign w:val="center"/>
            <w:hideMark/>
          </w:tcPr>
          <w:p w14:paraId="06CA71D1"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5,34 per cent</w:t>
            </w:r>
          </w:p>
        </w:tc>
        <w:tc>
          <w:tcPr>
            <w:tcW w:w="1559" w:type="dxa"/>
            <w:tcBorders>
              <w:top w:val="nil"/>
              <w:left w:val="nil"/>
              <w:bottom w:val="single" w:sz="4" w:space="0" w:color="auto"/>
              <w:right w:val="single" w:sz="4" w:space="0" w:color="auto"/>
            </w:tcBorders>
            <w:shd w:val="clear" w:color="auto" w:fill="auto"/>
            <w:noWrap/>
            <w:vAlign w:val="center"/>
            <w:hideMark/>
          </w:tcPr>
          <w:p w14:paraId="1F7D1F84"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-0,15 per cent</w:t>
            </w:r>
          </w:p>
        </w:tc>
      </w:tr>
      <w:tr w:rsidR="0079637C" w:rsidRPr="00906F95" w14:paraId="5B0B402A" w14:textId="77777777" w:rsidTr="00C325E7">
        <w:trPr>
          <w:trHeight w:val="510"/>
        </w:trPr>
        <w:tc>
          <w:tcPr>
            <w:tcW w:w="2344" w:type="dxa"/>
            <w:tcBorders>
              <w:top w:val="nil"/>
              <w:left w:val="single" w:sz="4" w:space="0" w:color="auto"/>
              <w:bottom w:val="single" w:sz="4" w:space="0" w:color="auto"/>
              <w:right w:val="single" w:sz="4" w:space="0" w:color="auto"/>
            </w:tcBorders>
            <w:shd w:val="clear" w:color="auto" w:fill="auto"/>
            <w:vAlign w:val="bottom"/>
            <w:hideMark/>
          </w:tcPr>
          <w:p w14:paraId="05996D9D" w14:textId="77777777" w:rsidR="0079637C" w:rsidRPr="00906F95" w:rsidRDefault="0079637C" w:rsidP="0062246E">
            <w:pPr>
              <w:jc w:val="left"/>
              <w:rPr>
                <w:rFonts w:eastAsia="Times New Roman" w:cs="Arial"/>
                <w:color w:val="000000"/>
                <w:sz w:val="18"/>
                <w:szCs w:val="18"/>
                <w:lang w:eastAsia="en-ZA"/>
              </w:rPr>
            </w:pPr>
            <w:r w:rsidRPr="00906F95">
              <w:rPr>
                <w:rFonts w:eastAsia="Times New Roman" w:cs="Arial"/>
                <w:color w:val="000000"/>
                <w:sz w:val="18"/>
                <w:szCs w:val="18"/>
                <w:lang w:eastAsia="en-ZA"/>
              </w:rPr>
              <w:t>Incentive Development and Administration</w:t>
            </w:r>
          </w:p>
        </w:tc>
        <w:tc>
          <w:tcPr>
            <w:tcW w:w="992" w:type="dxa"/>
            <w:tcBorders>
              <w:top w:val="nil"/>
              <w:left w:val="nil"/>
              <w:bottom w:val="single" w:sz="4" w:space="0" w:color="auto"/>
              <w:right w:val="single" w:sz="4" w:space="0" w:color="auto"/>
            </w:tcBorders>
            <w:shd w:val="clear" w:color="auto" w:fill="auto"/>
            <w:noWrap/>
            <w:vAlign w:val="center"/>
            <w:hideMark/>
          </w:tcPr>
          <w:p w14:paraId="6A0EE318"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xml:space="preserve"> 5 674,4</w:t>
            </w:r>
          </w:p>
        </w:tc>
        <w:tc>
          <w:tcPr>
            <w:tcW w:w="867" w:type="dxa"/>
            <w:tcBorders>
              <w:top w:val="nil"/>
              <w:left w:val="nil"/>
              <w:bottom w:val="single" w:sz="4" w:space="0" w:color="auto"/>
              <w:right w:val="single" w:sz="4" w:space="0" w:color="auto"/>
            </w:tcBorders>
            <w:shd w:val="clear" w:color="auto" w:fill="auto"/>
            <w:noWrap/>
            <w:vAlign w:val="center"/>
            <w:hideMark/>
          </w:tcPr>
          <w:p w14:paraId="582AFF5C"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xml:space="preserve"> 6 009,0</w:t>
            </w:r>
          </w:p>
        </w:tc>
        <w:tc>
          <w:tcPr>
            <w:tcW w:w="1017" w:type="dxa"/>
            <w:tcBorders>
              <w:top w:val="nil"/>
              <w:left w:val="nil"/>
              <w:bottom w:val="single" w:sz="4" w:space="0" w:color="auto"/>
              <w:right w:val="single" w:sz="4" w:space="0" w:color="auto"/>
            </w:tcBorders>
            <w:shd w:val="clear" w:color="auto" w:fill="auto"/>
            <w:noWrap/>
            <w:vAlign w:val="center"/>
            <w:hideMark/>
          </w:tcPr>
          <w:p w14:paraId="04935EFE"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xml:space="preserve">  334,6</w:t>
            </w:r>
          </w:p>
        </w:tc>
        <w:tc>
          <w:tcPr>
            <w:tcW w:w="1017" w:type="dxa"/>
            <w:tcBorders>
              <w:top w:val="nil"/>
              <w:left w:val="nil"/>
              <w:bottom w:val="single" w:sz="4" w:space="0" w:color="auto"/>
              <w:right w:val="single" w:sz="4" w:space="0" w:color="auto"/>
            </w:tcBorders>
            <w:shd w:val="clear" w:color="auto" w:fill="auto"/>
            <w:noWrap/>
            <w:vAlign w:val="center"/>
            <w:hideMark/>
          </w:tcPr>
          <w:p w14:paraId="24AFDF56"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xml:space="preserve">  21,3</w:t>
            </w:r>
          </w:p>
        </w:tc>
        <w:tc>
          <w:tcPr>
            <w:tcW w:w="1560" w:type="dxa"/>
            <w:tcBorders>
              <w:top w:val="nil"/>
              <w:left w:val="nil"/>
              <w:bottom w:val="single" w:sz="4" w:space="0" w:color="auto"/>
              <w:right w:val="single" w:sz="4" w:space="0" w:color="auto"/>
            </w:tcBorders>
            <w:shd w:val="clear" w:color="auto" w:fill="auto"/>
            <w:noWrap/>
            <w:vAlign w:val="center"/>
            <w:hideMark/>
          </w:tcPr>
          <w:p w14:paraId="0A17AE67"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5,90 per cent</w:t>
            </w:r>
          </w:p>
        </w:tc>
        <w:tc>
          <w:tcPr>
            <w:tcW w:w="1559" w:type="dxa"/>
            <w:tcBorders>
              <w:top w:val="nil"/>
              <w:left w:val="nil"/>
              <w:bottom w:val="single" w:sz="4" w:space="0" w:color="auto"/>
              <w:right w:val="single" w:sz="4" w:space="0" w:color="auto"/>
            </w:tcBorders>
            <w:shd w:val="clear" w:color="auto" w:fill="auto"/>
            <w:noWrap/>
            <w:vAlign w:val="center"/>
            <w:hideMark/>
          </w:tcPr>
          <w:p w14:paraId="498A55D2"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0,38 per cent</w:t>
            </w:r>
          </w:p>
        </w:tc>
      </w:tr>
      <w:tr w:rsidR="0079637C" w:rsidRPr="00906F95" w14:paraId="77D6F4FF" w14:textId="77777777" w:rsidTr="00C325E7">
        <w:trPr>
          <w:trHeight w:val="510"/>
        </w:trPr>
        <w:tc>
          <w:tcPr>
            <w:tcW w:w="2344" w:type="dxa"/>
            <w:tcBorders>
              <w:top w:val="nil"/>
              <w:left w:val="single" w:sz="4" w:space="0" w:color="auto"/>
              <w:bottom w:val="single" w:sz="4" w:space="0" w:color="auto"/>
              <w:right w:val="single" w:sz="4" w:space="0" w:color="auto"/>
            </w:tcBorders>
            <w:shd w:val="clear" w:color="auto" w:fill="auto"/>
            <w:vAlign w:val="bottom"/>
            <w:hideMark/>
          </w:tcPr>
          <w:p w14:paraId="59A97428" w14:textId="77777777" w:rsidR="0079637C" w:rsidRPr="00906F95" w:rsidRDefault="0079637C" w:rsidP="0062246E">
            <w:pPr>
              <w:jc w:val="left"/>
              <w:rPr>
                <w:rFonts w:eastAsia="Times New Roman" w:cs="Arial"/>
                <w:color w:val="000000"/>
                <w:sz w:val="18"/>
                <w:szCs w:val="18"/>
                <w:lang w:eastAsia="en-ZA"/>
              </w:rPr>
            </w:pPr>
            <w:r w:rsidRPr="00906F95">
              <w:rPr>
                <w:rFonts w:eastAsia="Times New Roman" w:cs="Arial"/>
                <w:color w:val="000000"/>
                <w:sz w:val="18"/>
                <w:szCs w:val="18"/>
                <w:lang w:eastAsia="en-ZA"/>
              </w:rPr>
              <w:t>Trade and Investment South Africa</w:t>
            </w:r>
          </w:p>
        </w:tc>
        <w:tc>
          <w:tcPr>
            <w:tcW w:w="992" w:type="dxa"/>
            <w:tcBorders>
              <w:top w:val="nil"/>
              <w:left w:val="nil"/>
              <w:bottom w:val="single" w:sz="4" w:space="0" w:color="auto"/>
              <w:right w:val="single" w:sz="4" w:space="0" w:color="auto"/>
            </w:tcBorders>
            <w:shd w:val="clear" w:color="auto" w:fill="auto"/>
            <w:noWrap/>
            <w:vAlign w:val="center"/>
            <w:hideMark/>
          </w:tcPr>
          <w:p w14:paraId="54DA07C2"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xml:space="preserve">  425,2</w:t>
            </w:r>
          </w:p>
        </w:tc>
        <w:tc>
          <w:tcPr>
            <w:tcW w:w="867" w:type="dxa"/>
            <w:tcBorders>
              <w:top w:val="nil"/>
              <w:left w:val="nil"/>
              <w:bottom w:val="single" w:sz="4" w:space="0" w:color="auto"/>
              <w:right w:val="single" w:sz="4" w:space="0" w:color="auto"/>
            </w:tcBorders>
            <w:shd w:val="clear" w:color="auto" w:fill="auto"/>
            <w:noWrap/>
            <w:vAlign w:val="center"/>
            <w:hideMark/>
          </w:tcPr>
          <w:p w14:paraId="4B688687"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xml:space="preserve">  411,6</w:t>
            </w:r>
          </w:p>
        </w:tc>
        <w:tc>
          <w:tcPr>
            <w:tcW w:w="1017" w:type="dxa"/>
            <w:tcBorders>
              <w:top w:val="nil"/>
              <w:left w:val="nil"/>
              <w:bottom w:val="single" w:sz="4" w:space="0" w:color="auto"/>
              <w:right w:val="single" w:sz="4" w:space="0" w:color="auto"/>
            </w:tcBorders>
            <w:shd w:val="clear" w:color="auto" w:fill="auto"/>
            <w:noWrap/>
            <w:vAlign w:val="center"/>
            <w:hideMark/>
          </w:tcPr>
          <w:p w14:paraId="03FDB5D9"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13,6</w:t>
            </w:r>
          </w:p>
        </w:tc>
        <w:tc>
          <w:tcPr>
            <w:tcW w:w="1017" w:type="dxa"/>
            <w:tcBorders>
              <w:top w:val="nil"/>
              <w:left w:val="nil"/>
              <w:bottom w:val="single" w:sz="4" w:space="0" w:color="auto"/>
              <w:right w:val="single" w:sz="4" w:space="0" w:color="auto"/>
            </w:tcBorders>
            <w:shd w:val="clear" w:color="auto" w:fill="auto"/>
            <w:noWrap/>
            <w:vAlign w:val="center"/>
            <w:hideMark/>
          </w:tcPr>
          <w:p w14:paraId="37360047"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35,1</w:t>
            </w:r>
          </w:p>
        </w:tc>
        <w:tc>
          <w:tcPr>
            <w:tcW w:w="1560" w:type="dxa"/>
            <w:tcBorders>
              <w:top w:val="nil"/>
              <w:left w:val="nil"/>
              <w:bottom w:val="single" w:sz="4" w:space="0" w:color="auto"/>
              <w:right w:val="single" w:sz="4" w:space="0" w:color="auto"/>
            </w:tcBorders>
            <w:shd w:val="clear" w:color="auto" w:fill="auto"/>
            <w:noWrap/>
            <w:vAlign w:val="center"/>
            <w:hideMark/>
          </w:tcPr>
          <w:p w14:paraId="2DB57158"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-3,20 per cent</w:t>
            </w:r>
          </w:p>
        </w:tc>
        <w:tc>
          <w:tcPr>
            <w:tcW w:w="1559" w:type="dxa"/>
            <w:tcBorders>
              <w:top w:val="nil"/>
              <w:left w:val="nil"/>
              <w:bottom w:val="single" w:sz="4" w:space="0" w:color="auto"/>
              <w:right w:val="single" w:sz="4" w:space="0" w:color="auto"/>
            </w:tcBorders>
            <w:shd w:val="clear" w:color="auto" w:fill="auto"/>
            <w:noWrap/>
            <w:vAlign w:val="center"/>
            <w:hideMark/>
          </w:tcPr>
          <w:p w14:paraId="24CA16BC"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-8,25 per cent</w:t>
            </w:r>
          </w:p>
        </w:tc>
      </w:tr>
      <w:tr w:rsidR="0079637C" w:rsidRPr="00906F95" w14:paraId="38E14203" w14:textId="77777777" w:rsidTr="00C325E7">
        <w:trPr>
          <w:trHeight w:val="255"/>
        </w:trPr>
        <w:tc>
          <w:tcPr>
            <w:tcW w:w="2344" w:type="dxa"/>
            <w:tcBorders>
              <w:top w:val="nil"/>
              <w:left w:val="single" w:sz="4" w:space="0" w:color="auto"/>
              <w:bottom w:val="single" w:sz="4" w:space="0" w:color="auto"/>
              <w:right w:val="single" w:sz="4" w:space="0" w:color="auto"/>
            </w:tcBorders>
            <w:shd w:val="clear" w:color="auto" w:fill="auto"/>
            <w:vAlign w:val="bottom"/>
            <w:hideMark/>
          </w:tcPr>
          <w:p w14:paraId="0C81DE84" w14:textId="77777777" w:rsidR="0079637C" w:rsidRPr="00906F95" w:rsidRDefault="0079637C" w:rsidP="0062246E">
            <w:pPr>
              <w:jc w:val="left"/>
              <w:rPr>
                <w:rFonts w:eastAsia="Times New Roman" w:cs="Arial"/>
                <w:color w:val="000000"/>
                <w:sz w:val="18"/>
                <w:szCs w:val="18"/>
                <w:lang w:eastAsia="en-ZA"/>
              </w:rPr>
            </w:pPr>
            <w:r w:rsidRPr="00906F95">
              <w:rPr>
                <w:rFonts w:eastAsia="Times New Roman" w:cs="Arial"/>
                <w:color w:val="000000"/>
                <w:sz w:val="18"/>
                <w:szCs w:val="18"/>
                <w:lang w:eastAsia="en-ZA"/>
              </w:rPr>
              <w:t>Investment South Africa</w:t>
            </w:r>
          </w:p>
        </w:tc>
        <w:tc>
          <w:tcPr>
            <w:tcW w:w="992" w:type="dxa"/>
            <w:tcBorders>
              <w:top w:val="nil"/>
              <w:left w:val="nil"/>
              <w:bottom w:val="single" w:sz="4" w:space="0" w:color="auto"/>
              <w:right w:val="single" w:sz="4" w:space="0" w:color="auto"/>
            </w:tcBorders>
            <w:shd w:val="clear" w:color="auto" w:fill="auto"/>
            <w:noWrap/>
            <w:vAlign w:val="center"/>
            <w:hideMark/>
          </w:tcPr>
          <w:p w14:paraId="6D421570"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xml:space="preserve">  72,9</w:t>
            </w:r>
          </w:p>
        </w:tc>
        <w:tc>
          <w:tcPr>
            <w:tcW w:w="867" w:type="dxa"/>
            <w:tcBorders>
              <w:top w:val="nil"/>
              <w:left w:val="nil"/>
              <w:bottom w:val="single" w:sz="4" w:space="0" w:color="auto"/>
              <w:right w:val="single" w:sz="4" w:space="0" w:color="auto"/>
            </w:tcBorders>
            <w:shd w:val="clear" w:color="auto" w:fill="auto"/>
            <w:noWrap/>
            <w:vAlign w:val="center"/>
            <w:hideMark/>
          </w:tcPr>
          <w:p w14:paraId="1B3D5F54"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xml:space="preserve">  53,8</w:t>
            </w:r>
          </w:p>
        </w:tc>
        <w:tc>
          <w:tcPr>
            <w:tcW w:w="1017" w:type="dxa"/>
            <w:tcBorders>
              <w:top w:val="nil"/>
              <w:left w:val="nil"/>
              <w:bottom w:val="single" w:sz="4" w:space="0" w:color="auto"/>
              <w:right w:val="single" w:sz="4" w:space="0" w:color="auto"/>
            </w:tcBorders>
            <w:shd w:val="clear" w:color="auto" w:fill="auto"/>
            <w:noWrap/>
            <w:vAlign w:val="center"/>
            <w:hideMark/>
          </w:tcPr>
          <w:p w14:paraId="1C7ED3E3"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19,0</w:t>
            </w:r>
          </w:p>
        </w:tc>
        <w:tc>
          <w:tcPr>
            <w:tcW w:w="1017" w:type="dxa"/>
            <w:tcBorders>
              <w:top w:val="nil"/>
              <w:left w:val="nil"/>
              <w:bottom w:val="single" w:sz="4" w:space="0" w:color="auto"/>
              <w:right w:val="single" w:sz="4" w:space="0" w:color="auto"/>
            </w:tcBorders>
            <w:shd w:val="clear" w:color="auto" w:fill="auto"/>
            <w:noWrap/>
            <w:vAlign w:val="center"/>
            <w:hideMark/>
          </w:tcPr>
          <w:p w14:paraId="4893720C"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  21,8</w:t>
            </w:r>
          </w:p>
        </w:tc>
        <w:tc>
          <w:tcPr>
            <w:tcW w:w="1560" w:type="dxa"/>
            <w:tcBorders>
              <w:top w:val="nil"/>
              <w:left w:val="nil"/>
              <w:bottom w:val="single" w:sz="4" w:space="0" w:color="auto"/>
              <w:right w:val="single" w:sz="4" w:space="0" w:color="auto"/>
            </w:tcBorders>
            <w:shd w:val="clear" w:color="auto" w:fill="auto"/>
            <w:noWrap/>
            <w:vAlign w:val="center"/>
            <w:hideMark/>
          </w:tcPr>
          <w:p w14:paraId="5B8B143E"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-26,10 per cent</w:t>
            </w:r>
          </w:p>
        </w:tc>
        <w:tc>
          <w:tcPr>
            <w:tcW w:w="1559" w:type="dxa"/>
            <w:tcBorders>
              <w:top w:val="nil"/>
              <w:left w:val="nil"/>
              <w:bottom w:val="single" w:sz="4" w:space="0" w:color="auto"/>
              <w:right w:val="single" w:sz="4" w:space="0" w:color="auto"/>
            </w:tcBorders>
            <w:shd w:val="clear" w:color="auto" w:fill="auto"/>
            <w:noWrap/>
            <w:vAlign w:val="center"/>
            <w:hideMark/>
          </w:tcPr>
          <w:p w14:paraId="01947F38" w14:textId="77777777" w:rsidR="0079637C" w:rsidRPr="00906F95" w:rsidRDefault="0079637C" w:rsidP="00C325E7">
            <w:pPr>
              <w:jc w:val="right"/>
              <w:rPr>
                <w:rFonts w:eastAsia="Times New Roman" w:cs="Arial"/>
                <w:color w:val="000000"/>
                <w:sz w:val="18"/>
                <w:szCs w:val="18"/>
                <w:lang w:eastAsia="en-ZA"/>
              </w:rPr>
            </w:pPr>
            <w:r w:rsidRPr="00906F95">
              <w:rPr>
                <w:rFonts w:eastAsia="Times New Roman" w:cs="Arial"/>
                <w:color w:val="000000"/>
                <w:sz w:val="18"/>
                <w:szCs w:val="18"/>
                <w:lang w:eastAsia="en-ZA"/>
              </w:rPr>
              <w:t>-29,95 per cent</w:t>
            </w:r>
          </w:p>
        </w:tc>
      </w:tr>
      <w:tr w:rsidR="0079637C" w:rsidRPr="00906F95" w14:paraId="5090F6B8" w14:textId="77777777" w:rsidTr="00C325E7">
        <w:trPr>
          <w:trHeight w:val="255"/>
        </w:trPr>
        <w:tc>
          <w:tcPr>
            <w:tcW w:w="2344" w:type="dxa"/>
            <w:tcBorders>
              <w:top w:val="nil"/>
              <w:left w:val="single" w:sz="4" w:space="0" w:color="auto"/>
              <w:bottom w:val="single" w:sz="4" w:space="0" w:color="auto"/>
              <w:right w:val="single" w:sz="4" w:space="0" w:color="auto"/>
            </w:tcBorders>
            <w:shd w:val="clear" w:color="auto" w:fill="auto"/>
            <w:vAlign w:val="bottom"/>
            <w:hideMark/>
          </w:tcPr>
          <w:p w14:paraId="34AE4F8C" w14:textId="77777777" w:rsidR="0079637C" w:rsidRPr="00906F95" w:rsidRDefault="0079637C" w:rsidP="0062246E">
            <w:pPr>
              <w:jc w:val="left"/>
              <w:rPr>
                <w:rFonts w:eastAsia="Times New Roman" w:cs="Arial"/>
                <w:b/>
                <w:color w:val="000000"/>
                <w:sz w:val="18"/>
                <w:szCs w:val="18"/>
                <w:lang w:eastAsia="en-ZA"/>
              </w:rPr>
            </w:pPr>
            <w:r w:rsidRPr="00906F95">
              <w:rPr>
                <w:rFonts w:eastAsia="Times New Roman" w:cs="Arial"/>
                <w:b/>
                <w:color w:val="000000"/>
                <w:sz w:val="18"/>
                <w:szCs w:val="18"/>
                <w:lang w:eastAsia="en-ZA"/>
              </w:rPr>
              <w:t>TOTAL</w:t>
            </w:r>
          </w:p>
        </w:tc>
        <w:tc>
          <w:tcPr>
            <w:tcW w:w="992" w:type="dxa"/>
            <w:tcBorders>
              <w:top w:val="nil"/>
              <w:left w:val="nil"/>
              <w:bottom w:val="single" w:sz="4" w:space="0" w:color="auto"/>
              <w:right w:val="single" w:sz="4" w:space="0" w:color="auto"/>
            </w:tcBorders>
            <w:shd w:val="clear" w:color="auto" w:fill="auto"/>
            <w:noWrap/>
            <w:vAlign w:val="center"/>
            <w:hideMark/>
          </w:tcPr>
          <w:p w14:paraId="1E2E86BA" w14:textId="77777777" w:rsidR="0079637C" w:rsidRPr="00906F95" w:rsidRDefault="0079637C" w:rsidP="00C325E7">
            <w:pPr>
              <w:jc w:val="right"/>
              <w:rPr>
                <w:rFonts w:eastAsia="Times New Roman" w:cs="Arial"/>
                <w:b/>
                <w:color w:val="000000"/>
                <w:sz w:val="18"/>
                <w:szCs w:val="18"/>
                <w:lang w:eastAsia="en-ZA"/>
              </w:rPr>
            </w:pPr>
            <w:r w:rsidRPr="00906F95">
              <w:rPr>
                <w:rFonts w:eastAsia="Times New Roman" w:cs="Arial"/>
                <w:b/>
                <w:color w:val="000000"/>
                <w:sz w:val="18"/>
                <w:szCs w:val="18"/>
                <w:lang w:eastAsia="en-ZA"/>
              </w:rPr>
              <w:t xml:space="preserve"> 9 343,2</w:t>
            </w:r>
          </w:p>
        </w:tc>
        <w:tc>
          <w:tcPr>
            <w:tcW w:w="867" w:type="dxa"/>
            <w:tcBorders>
              <w:top w:val="nil"/>
              <w:left w:val="nil"/>
              <w:bottom w:val="single" w:sz="4" w:space="0" w:color="auto"/>
              <w:right w:val="single" w:sz="4" w:space="0" w:color="auto"/>
            </w:tcBorders>
            <w:shd w:val="clear" w:color="auto" w:fill="auto"/>
            <w:noWrap/>
            <w:vAlign w:val="center"/>
            <w:hideMark/>
          </w:tcPr>
          <w:p w14:paraId="79F35161" w14:textId="77777777" w:rsidR="0079637C" w:rsidRPr="00906F95" w:rsidRDefault="0079637C" w:rsidP="00C325E7">
            <w:pPr>
              <w:jc w:val="right"/>
              <w:rPr>
                <w:rFonts w:eastAsia="Times New Roman" w:cs="Arial"/>
                <w:b/>
                <w:color w:val="000000"/>
                <w:sz w:val="18"/>
                <w:szCs w:val="18"/>
                <w:lang w:eastAsia="en-ZA"/>
              </w:rPr>
            </w:pPr>
            <w:r w:rsidRPr="00906F95">
              <w:rPr>
                <w:rFonts w:eastAsia="Times New Roman" w:cs="Arial"/>
                <w:b/>
                <w:color w:val="000000"/>
                <w:sz w:val="18"/>
                <w:szCs w:val="18"/>
                <w:lang w:eastAsia="en-ZA"/>
              </w:rPr>
              <w:t xml:space="preserve"> 9 462,6</w:t>
            </w:r>
          </w:p>
        </w:tc>
        <w:tc>
          <w:tcPr>
            <w:tcW w:w="1017" w:type="dxa"/>
            <w:tcBorders>
              <w:top w:val="nil"/>
              <w:left w:val="nil"/>
              <w:bottom w:val="single" w:sz="4" w:space="0" w:color="auto"/>
              <w:right w:val="single" w:sz="4" w:space="0" w:color="auto"/>
            </w:tcBorders>
            <w:shd w:val="clear" w:color="auto" w:fill="auto"/>
            <w:noWrap/>
            <w:vAlign w:val="center"/>
            <w:hideMark/>
          </w:tcPr>
          <w:p w14:paraId="0685DED8" w14:textId="77777777" w:rsidR="0079637C" w:rsidRPr="00906F95" w:rsidRDefault="0079637C" w:rsidP="00C325E7">
            <w:pPr>
              <w:jc w:val="right"/>
              <w:rPr>
                <w:rFonts w:eastAsia="Times New Roman" w:cs="Arial"/>
                <w:b/>
                <w:color w:val="000000"/>
                <w:sz w:val="18"/>
                <w:szCs w:val="18"/>
                <w:lang w:eastAsia="en-ZA"/>
              </w:rPr>
            </w:pPr>
            <w:r w:rsidRPr="00906F95">
              <w:rPr>
                <w:rFonts w:eastAsia="Times New Roman" w:cs="Arial"/>
                <w:b/>
                <w:color w:val="000000"/>
                <w:sz w:val="18"/>
                <w:szCs w:val="18"/>
                <w:lang w:eastAsia="en-ZA"/>
              </w:rPr>
              <w:t xml:space="preserve">  119,4</w:t>
            </w:r>
          </w:p>
        </w:tc>
        <w:tc>
          <w:tcPr>
            <w:tcW w:w="1017" w:type="dxa"/>
            <w:tcBorders>
              <w:top w:val="nil"/>
              <w:left w:val="nil"/>
              <w:bottom w:val="single" w:sz="4" w:space="0" w:color="auto"/>
              <w:right w:val="single" w:sz="4" w:space="0" w:color="auto"/>
            </w:tcBorders>
            <w:shd w:val="clear" w:color="auto" w:fill="auto"/>
            <w:noWrap/>
            <w:vAlign w:val="center"/>
            <w:hideMark/>
          </w:tcPr>
          <w:p w14:paraId="58C2A776" w14:textId="77777777" w:rsidR="0079637C" w:rsidRPr="00906F95" w:rsidRDefault="0079637C" w:rsidP="00C325E7">
            <w:pPr>
              <w:jc w:val="right"/>
              <w:rPr>
                <w:rFonts w:eastAsia="Times New Roman" w:cs="Arial"/>
                <w:b/>
                <w:color w:val="000000"/>
                <w:sz w:val="18"/>
                <w:szCs w:val="18"/>
                <w:lang w:eastAsia="en-ZA"/>
              </w:rPr>
            </w:pPr>
            <w:r w:rsidRPr="00906F95">
              <w:rPr>
                <w:rFonts w:eastAsia="Times New Roman" w:cs="Arial"/>
                <w:b/>
                <w:color w:val="000000"/>
                <w:sz w:val="18"/>
                <w:szCs w:val="18"/>
                <w:lang w:eastAsia="en-ZA"/>
              </w:rPr>
              <w:t>-  373,9</w:t>
            </w:r>
          </w:p>
        </w:tc>
        <w:tc>
          <w:tcPr>
            <w:tcW w:w="1560" w:type="dxa"/>
            <w:tcBorders>
              <w:top w:val="nil"/>
              <w:left w:val="nil"/>
              <w:bottom w:val="single" w:sz="4" w:space="0" w:color="auto"/>
              <w:right w:val="single" w:sz="4" w:space="0" w:color="auto"/>
            </w:tcBorders>
            <w:shd w:val="clear" w:color="auto" w:fill="auto"/>
            <w:noWrap/>
            <w:vAlign w:val="center"/>
            <w:hideMark/>
          </w:tcPr>
          <w:p w14:paraId="3E9F2D0A" w14:textId="77777777" w:rsidR="0079637C" w:rsidRPr="00906F95" w:rsidRDefault="0079637C" w:rsidP="00C325E7">
            <w:pPr>
              <w:jc w:val="right"/>
              <w:rPr>
                <w:rFonts w:eastAsia="Times New Roman" w:cs="Arial"/>
                <w:b/>
                <w:color w:val="000000"/>
                <w:sz w:val="18"/>
                <w:szCs w:val="18"/>
                <w:lang w:eastAsia="en-ZA"/>
              </w:rPr>
            </w:pPr>
            <w:r w:rsidRPr="00906F95">
              <w:rPr>
                <w:rFonts w:eastAsia="Times New Roman" w:cs="Arial"/>
                <w:b/>
                <w:color w:val="000000"/>
                <w:sz w:val="18"/>
                <w:szCs w:val="18"/>
                <w:lang w:eastAsia="en-ZA"/>
              </w:rPr>
              <w:t>1,3 per cent</w:t>
            </w:r>
          </w:p>
        </w:tc>
        <w:tc>
          <w:tcPr>
            <w:tcW w:w="1559" w:type="dxa"/>
            <w:tcBorders>
              <w:top w:val="nil"/>
              <w:left w:val="nil"/>
              <w:bottom w:val="single" w:sz="4" w:space="0" w:color="auto"/>
              <w:right w:val="single" w:sz="4" w:space="0" w:color="auto"/>
            </w:tcBorders>
            <w:shd w:val="clear" w:color="auto" w:fill="auto"/>
            <w:noWrap/>
            <w:vAlign w:val="center"/>
            <w:hideMark/>
          </w:tcPr>
          <w:p w14:paraId="7B8FA3EF" w14:textId="77777777" w:rsidR="0079637C" w:rsidRPr="00906F95" w:rsidRDefault="0079637C" w:rsidP="00C325E7">
            <w:pPr>
              <w:jc w:val="right"/>
              <w:rPr>
                <w:rFonts w:eastAsia="Times New Roman" w:cs="Arial"/>
                <w:b/>
                <w:color w:val="000000"/>
                <w:sz w:val="18"/>
                <w:szCs w:val="18"/>
                <w:lang w:eastAsia="en-ZA"/>
              </w:rPr>
            </w:pPr>
            <w:r w:rsidRPr="00906F95">
              <w:rPr>
                <w:rFonts w:eastAsia="Times New Roman" w:cs="Arial"/>
                <w:b/>
                <w:color w:val="000000"/>
                <w:sz w:val="18"/>
                <w:szCs w:val="18"/>
                <w:lang w:eastAsia="en-ZA"/>
              </w:rPr>
              <w:t>-4,00 per cent</w:t>
            </w:r>
          </w:p>
        </w:tc>
      </w:tr>
    </w:tbl>
    <w:p w14:paraId="6455C416" w14:textId="599E0AAE" w:rsidR="0079637C" w:rsidRPr="00BE0007" w:rsidRDefault="0079637C" w:rsidP="009E0093">
      <w:pPr>
        <w:rPr>
          <w:rFonts w:eastAsia="Calibri" w:cs="Arial"/>
          <w:sz w:val="20"/>
          <w:szCs w:val="20"/>
        </w:rPr>
      </w:pPr>
      <w:r w:rsidRPr="00BE0007">
        <w:rPr>
          <w:rFonts w:eastAsia="Calibri" w:cs="Arial"/>
          <w:sz w:val="20"/>
          <w:szCs w:val="20"/>
        </w:rPr>
        <w:t>Source: National Treasury (</w:t>
      </w:r>
      <w:r>
        <w:rPr>
          <w:rFonts w:eastAsia="Calibri" w:cs="Arial"/>
          <w:sz w:val="20"/>
          <w:szCs w:val="20"/>
        </w:rPr>
        <w:t>2018</w:t>
      </w:r>
      <w:r w:rsidR="00525E59">
        <w:rPr>
          <w:rFonts w:eastAsia="Calibri" w:cs="Arial"/>
          <w:sz w:val="20"/>
          <w:szCs w:val="20"/>
        </w:rPr>
        <w:t>a</w:t>
      </w:r>
      <w:r w:rsidRPr="00BE0007">
        <w:rPr>
          <w:rFonts w:eastAsia="Calibri" w:cs="Arial"/>
          <w:sz w:val="20"/>
          <w:szCs w:val="20"/>
        </w:rPr>
        <w:t xml:space="preserve">) </w:t>
      </w:r>
    </w:p>
    <w:p w14:paraId="222BAB14" w14:textId="77777777" w:rsidR="009E0093" w:rsidRDefault="009E0093" w:rsidP="009E0093">
      <w:pPr>
        <w:rPr>
          <w:rFonts w:eastAsia="Calibri" w:cs="Arial"/>
          <w:sz w:val="20"/>
          <w:szCs w:val="20"/>
        </w:rPr>
      </w:pPr>
    </w:p>
    <w:p w14:paraId="495078A0" w14:textId="29CA25F1" w:rsidR="0079637C" w:rsidRPr="009E0093" w:rsidRDefault="009E0093" w:rsidP="009E0093">
      <w:pPr>
        <w:rPr>
          <w:rFonts w:cs="Times New Roman"/>
          <w:szCs w:val="24"/>
        </w:rPr>
      </w:pPr>
      <w:r w:rsidRPr="00520D28">
        <w:rPr>
          <w:rFonts w:cs="Times New Roman"/>
          <w:szCs w:val="24"/>
        </w:rPr>
        <w:t>The Department’s overall budget will decrease by 4 per cent in real terms for the 2018/19 financial year. At a programme level, the budget of six (6) programmes (Administration, International Trade and Economic Development, Industrial Development, Consumer and Corporate Regulation, Trade and Investment South Africa, and Investment South Africa) decreased by 11.5 per</w:t>
      </w:r>
      <w:r w:rsidR="00E940ED">
        <w:rPr>
          <w:rFonts w:cs="Times New Roman"/>
          <w:szCs w:val="24"/>
        </w:rPr>
        <w:t xml:space="preserve"> </w:t>
      </w:r>
      <w:r w:rsidRPr="00520D28">
        <w:rPr>
          <w:rFonts w:cs="Times New Roman"/>
          <w:szCs w:val="24"/>
        </w:rPr>
        <w:t>cent, 1.2 per</w:t>
      </w:r>
      <w:r w:rsidR="00E940ED">
        <w:rPr>
          <w:rFonts w:cs="Times New Roman"/>
          <w:szCs w:val="24"/>
        </w:rPr>
        <w:t xml:space="preserve"> </w:t>
      </w:r>
      <w:r w:rsidRPr="00520D28">
        <w:rPr>
          <w:rFonts w:cs="Times New Roman"/>
          <w:szCs w:val="24"/>
        </w:rPr>
        <w:t>cent, 15.5 per</w:t>
      </w:r>
      <w:r w:rsidR="00E940ED">
        <w:rPr>
          <w:rFonts w:cs="Times New Roman"/>
          <w:szCs w:val="24"/>
        </w:rPr>
        <w:t xml:space="preserve"> </w:t>
      </w:r>
      <w:r w:rsidRPr="00520D28">
        <w:rPr>
          <w:rFonts w:cs="Times New Roman"/>
          <w:szCs w:val="24"/>
        </w:rPr>
        <w:t>cent, 0.15 per</w:t>
      </w:r>
      <w:r w:rsidR="00E940ED">
        <w:rPr>
          <w:rFonts w:cs="Times New Roman"/>
          <w:szCs w:val="24"/>
        </w:rPr>
        <w:t xml:space="preserve"> </w:t>
      </w:r>
      <w:r w:rsidRPr="00520D28">
        <w:rPr>
          <w:rFonts w:cs="Times New Roman"/>
          <w:szCs w:val="24"/>
        </w:rPr>
        <w:t>cent, 8.25 per</w:t>
      </w:r>
      <w:r w:rsidR="00E940ED">
        <w:rPr>
          <w:rFonts w:cs="Times New Roman"/>
          <w:szCs w:val="24"/>
        </w:rPr>
        <w:t xml:space="preserve"> </w:t>
      </w:r>
      <w:r w:rsidRPr="00520D28">
        <w:rPr>
          <w:rFonts w:cs="Times New Roman"/>
          <w:szCs w:val="24"/>
        </w:rPr>
        <w:t>cent and 29.9 per cent in real terms respectively. Budgets of two (2) programmes increased, these are the Special Economic Zones and Economic Transformation programme which increased by 32.4 per</w:t>
      </w:r>
      <w:r w:rsidR="00E940ED">
        <w:rPr>
          <w:rFonts w:cs="Times New Roman"/>
          <w:szCs w:val="24"/>
        </w:rPr>
        <w:t xml:space="preserve"> </w:t>
      </w:r>
      <w:r w:rsidRPr="00520D28">
        <w:rPr>
          <w:rFonts w:cs="Times New Roman"/>
          <w:szCs w:val="24"/>
        </w:rPr>
        <w:t>cent and Incentive Development and the Incentive Development and Administration programme with an increase of 0.38 per</w:t>
      </w:r>
      <w:r w:rsidR="00B17B5D">
        <w:rPr>
          <w:rFonts w:cs="Times New Roman"/>
          <w:szCs w:val="24"/>
        </w:rPr>
        <w:t xml:space="preserve"> </w:t>
      </w:r>
      <w:r w:rsidRPr="00520D28">
        <w:rPr>
          <w:rFonts w:cs="Times New Roman"/>
          <w:szCs w:val="24"/>
        </w:rPr>
        <w:t xml:space="preserve">cent in real terms. The over 30 per cent increase in the Special Economic Zones and Economic Transformation programme is in line with the President’s declaration during SONA that “the special economic zones remain important instruments we will use to attract strategic foreign and domestic direct investment and build </w:t>
      </w:r>
      <w:r w:rsidRPr="00520D28">
        <w:rPr>
          <w:rFonts w:cs="Times New Roman"/>
          <w:szCs w:val="24"/>
        </w:rPr>
        <w:lastRenderedPageBreak/>
        <w:t>targeted industrial capabilities and establish new industrial hubs”</w:t>
      </w:r>
      <w:r w:rsidRPr="004C39A3">
        <w:rPr>
          <w:rFonts w:cs="Times New Roman"/>
          <w:szCs w:val="24"/>
          <w:vertAlign w:val="superscript"/>
        </w:rPr>
        <w:footnoteReference w:id="12"/>
      </w:r>
      <w:r w:rsidRPr="00520D28">
        <w:rPr>
          <w:rFonts w:cs="Times New Roman"/>
          <w:szCs w:val="24"/>
        </w:rPr>
        <w:t xml:space="preserve">. To fulfil this declaration R47 million (R39.7 million in real terms) more than the previous financial year will be appropriated to the programme in the 2018/19 financial year. </w:t>
      </w:r>
    </w:p>
    <w:p w14:paraId="64959CB3" w14:textId="77777777" w:rsidR="009E0093" w:rsidRPr="00520D28" w:rsidRDefault="009E0093" w:rsidP="009E0093">
      <w:pPr>
        <w:rPr>
          <w:rFonts w:cs="Times New Roman"/>
          <w:szCs w:val="24"/>
        </w:rPr>
      </w:pPr>
    </w:p>
    <w:p w14:paraId="5AA9775C" w14:textId="77777777" w:rsidR="009E0093" w:rsidRPr="00520D28" w:rsidRDefault="009E0093" w:rsidP="009E0093">
      <w:pPr>
        <w:rPr>
          <w:rFonts w:cs="Times New Roman"/>
          <w:szCs w:val="24"/>
        </w:rPr>
      </w:pPr>
      <w:r w:rsidRPr="00520D28">
        <w:rPr>
          <w:rFonts w:cs="Times New Roman"/>
          <w:szCs w:val="24"/>
        </w:rPr>
        <w:t xml:space="preserve">Shown in the table </w:t>
      </w:r>
      <w:r>
        <w:rPr>
          <w:rFonts w:cs="Times New Roman"/>
          <w:szCs w:val="24"/>
        </w:rPr>
        <w:t>above</w:t>
      </w:r>
      <w:r w:rsidRPr="00520D28">
        <w:rPr>
          <w:rFonts w:cs="Times New Roman"/>
          <w:szCs w:val="24"/>
        </w:rPr>
        <w:t xml:space="preserve"> is the budget allocation by programme from the 2017/18 financial year to the 2018/19 financial year. </w:t>
      </w:r>
    </w:p>
    <w:p w14:paraId="54ADAC9F" w14:textId="77777777" w:rsidR="009E0093" w:rsidRDefault="009E0093" w:rsidP="009E0093">
      <w:pPr>
        <w:rPr>
          <w:rFonts w:eastAsia="Calibri" w:cs="Arial"/>
        </w:rPr>
      </w:pPr>
    </w:p>
    <w:p w14:paraId="2F307CE6" w14:textId="77777777" w:rsidR="0079637C" w:rsidRPr="00520D28" w:rsidRDefault="0079637C" w:rsidP="0062246E">
      <w:pPr>
        <w:pStyle w:val="ListParagraph"/>
        <w:numPr>
          <w:ilvl w:val="2"/>
          <w:numId w:val="2"/>
        </w:numPr>
        <w:ind w:left="851" w:right="-23" w:hanging="851"/>
        <w:rPr>
          <w:rFonts w:cs="Times New Roman"/>
          <w:b/>
          <w:szCs w:val="24"/>
        </w:rPr>
      </w:pPr>
      <w:bookmarkStart w:id="18" w:name="_Toc507508719"/>
      <w:r w:rsidRPr="00520D28">
        <w:rPr>
          <w:rFonts w:cs="Times New Roman"/>
          <w:b/>
          <w:szCs w:val="24"/>
        </w:rPr>
        <w:t>Transfers to Entities</w:t>
      </w:r>
      <w:bookmarkEnd w:id="18"/>
      <w:r w:rsidRPr="00520D28">
        <w:rPr>
          <w:rFonts w:cs="Times New Roman"/>
          <w:b/>
          <w:szCs w:val="24"/>
        </w:rPr>
        <w:t xml:space="preserve"> </w:t>
      </w:r>
    </w:p>
    <w:p w14:paraId="7234572C" w14:textId="77777777" w:rsidR="0079637C" w:rsidRDefault="0079637C" w:rsidP="0062246E">
      <w:pPr>
        <w:rPr>
          <w:lang w:eastAsia="en-ZA"/>
        </w:rPr>
      </w:pPr>
    </w:p>
    <w:p w14:paraId="665FBEC9" w14:textId="77777777" w:rsidR="009E0093" w:rsidRDefault="0079637C" w:rsidP="0062246E">
      <w:pPr>
        <w:rPr>
          <w:rFonts w:cs="Times New Roman"/>
          <w:szCs w:val="24"/>
        </w:rPr>
      </w:pPr>
      <w:r w:rsidRPr="00520D28">
        <w:rPr>
          <w:rFonts w:cs="Times New Roman"/>
          <w:szCs w:val="24"/>
        </w:rPr>
        <w:t xml:space="preserve">In terms of its core functions, the Department is responsible for overseeing 14 entities.  Of the </w:t>
      </w:r>
      <w:r w:rsidR="00C325E7">
        <w:rPr>
          <w:rFonts w:cs="Times New Roman"/>
          <w:szCs w:val="24"/>
        </w:rPr>
        <w:t>fourteen (</w:t>
      </w:r>
      <w:r w:rsidRPr="00520D28">
        <w:rPr>
          <w:rFonts w:cs="Times New Roman"/>
          <w:szCs w:val="24"/>
        </w:rPr>
        <w:t>14</w:t>
      </w:r>
      <w:r w:rsidR="00C325E7">
        <w:rPr>
          <w:rFonts w:cs="Times New Roman"/>
          <w:szCs w:val="24"/>
        </w:rPr>
        <w:t>)</w:t>
      </w:r>
      <w:r w:rsidRPr="00520D28">
        <w:rPr>
          <w:rFonts w:cs="Times New Roman"/>
          <w:szCs w:val="24"/>
        </w:rPr>
        <w:t xml:space="preserve"> entities, three </w:t>
      </w:r>
      <w:r w:rsidR="00C325E7">
        <w:rPr>
          <w:rFonts w:cs="Times New Roman"/>
          <w:szCs w:val="24"/>
        </w:rPr>
        <w:t xml:space="preserve">(3) </w:t>
      </w:r>
      <w:r w:rsidRPr="00520D28">
        <w:rPr>
          <w:rFonts w:cs="Times New Roman"/>
          <w:szCs w:val="24"/>
        </w:rPr>
        <w:t xml:space="preserve">are fully self-funded, these are </w:t>
      </w:r>
      <w:r w:rsidR="002145D8">
        <w:rPr>
          <w:rFonts w:cs="Times New Roman"/>
          <w:szCs w:val="24"/>
        </w:rPr>
        <w:t xml:space="preserve">the </w:t>
      </w:r>
      <w:r w:rsidRPr="00520D28">
        <w:rPr>
          <w:rFonts w:cs="Times New Roman"/>
          <w:szCs w:val="24"/>
        </w:rPr>
        <w:t xml:space="preserve">Companies </w:t>
      </w:r>
      <w:r w:rsidR="002145D8">
        <w:rPr>
          <w:rFonts w:cs="Times New Roman"/>
          <w:szCs w:val="24"/>
        </w:rPr>
        <w:t xml:space="preserve">and </w:t>
      </w:r>
      <w:r w:rsidRPr="00520D28">
        <w:rPr>
          <w:rFonts w:cs="Times New Roman"/>
          <w:szCs w:val="24"/>
        </w:rPr>
        <w:t xml:space="preserve">Intellectual Property Commission (CIPC), </w:t>
      </w:r>
      <w:r w:rsidR="002145D8">
        <w:rPr>
          <w:rFonts w:cs="Times New Roman"/>
          <w:szCs w:val="24"/>
        </w:rPr>
        <w:t xml:space="preserve">the </w:t>
      </w:r>
      <w:r w:rsidRPr="00520D28">
        <w:rPr>
          <w:rFonts w:cs="Times New Roman"/>
          <w:szCs w:val="24"/>
        </w:rPr>
        <w:t xml:space="preserve">National Empowerment Fund (NEF) and </w:t>
      </w:r>
      <w:r w:rsidR="002145D8">
        <w:rPr>
          <w:rFonts w:cs="Times New Roman"/>
          <w:szCs w:val="24"/>
        </w:rPr>
        <w:t xml:space="preserve">the </w:t>
      </w:r>
      <w:r w:rsidRPr="00520D28">
        <w:rPr>
          <w:rFonts w:cs="Times New Roman"/>
          <w:szCs w:val="24"/>
        </w:rPr>
        <w:t>Nation</w:t>
      </w:r>
      <w:r w:rsidR="002145D8">
        <w:rPr>
          <w:rFonts w:cs="Times New Roman"/>
          <w:szCs w:val="24"/>
        </w:rPr>
        <w:t>al Lotteries Commission (NLC).</w:t>
      </w:r>
      <w:r w:rsidRPr="00520D28">
        <w:rPr>
          <w:rFonts w:cs="Times New Roman"/>
          <w:szCs w:val="24"/>
        </w:rPr>
        <w:t xml:space="preserve"> </w:t>
      </w:r>
      <w:r w:rsidR="002145D8">
        <w:rPr>
          <w:rFonts w:cs="Times New Roman"/>
          <w:szCs w:val="24"/>
        </w:rPr>
        <w:t xml:space="preserve">Other </w:t>
      </w:r>
      <w:r w:rsidRPr="00520D28">
        <w:rPr>
          <w:rFonts w:cs="Times New Roman"/>
          <w:szCs w:val="24"/>
        </w:rPr>
        <w:t xml:space="preserve">entities include the newly established Broad-Based Black Economic Empowerment </w:t>
      </w:r>
      <w:r w:rsidR="002145D8">
        <w:rPr>
          <w:rFonts w:cs="Times New Roman"/>
          <w:szCs w:val="24"/>
        </w:rPr>
        <w:t xml:space="preserve">(B-BBEE) </w:t>
      </w:r>
      <w:r w:rsidRPr="00520D28">
        <w:rPr>
          <w:rFonts w:cs="Times New Roman"/>
          <w:szCs w:val="24"/>
        </w:rPr>
        <w:t>Commission</w:t>
      </w:r>
      <w:r w:rsidR="002145D8">
        <w:rPr>
          <w:rFonts w:cs="Times New Roman"/>
          <w:szCs w:val="24"/>
        </w:rPr>
        <w:t>.</w:t>
      </w:r>
      <w:r w:rsidRPr="00520D28">
        <w:rPr>
          <w:rFonts w:cs="Times New Roman"/>
          <w:szCs w:val="24"/>
        </w:rPr>
        <w:t xml:space="preserve"> </w:t>
      </w:r>
    </w:p>
    <w:p w14:paraId="6E79C67B" w14:textId="77777777" w:rsidR="009E0093" w:rsidRDefault="009E0093" w:rsidP="0062246E">
      <w:pPr>
        <w:rPr>
          <w:rFonts w:cs="Times New Roman"/>
          <w:szCs w:val="24"/>
        </w:rPr>
      </w:pPr>
    </w:p>
    <w:p w14:paraId="335E4F00" w14:textId="77777777" w:rsidR="009E0093" w:rsidRDefault="009E0093" w:rsidP="0062246E">
      <w:pPr>
        <w:rPr>
          <w:b/>
          <w:lang w:eastAsia="en-ZA"/>
        </w:rPr>
      </w:pPr>
      <w:r w:rsidRPr="008A76E1">
        <w:rPr>
          <w:b/>
          <w:lang w:eastAsia="en-ZA"/>
        </w:rPr>
        <w:t>Table 2: Transfers to the Department’</w:t>
      </w:r>
      <w:r>
        <w:rPr>
          <w:b/>
          <w:lang w:eastAsia="en-ZA"/>
        </w:rPr>
        <w:t xml:space="preserve">s entities </w:t>
      </w:r>
    </w:p>
    <w:tbl>
      <w:tblPr>
        <w:tblW w:w="10045" w:type="dxa"/>
        <w:tblInd w:w="-431" w:type="dxa"/>
        <w:tblLook w:val="04A0" w:firstRow="1" w:lastRow="0" w:firstColumn="1" w:lastColumn="0" w:noHBand="0" w:noVBand="1"/>
      </w:tblPr>
      <w:tblGrid>
        <w:gridCol w:w="3216"/>
        <w:gridCol w:w="1417"/>
        <w:gridCol w:w="939"/>
        <w:gridCol w:w="959"/>
        <w:gridCol w:w="939"/>
        <w:gridCol w:w="1292"/>
        <w:gridCol w:w="1339"/>
      </w:tblGrid>
      <w:tr w:rsidR="009E0093" w:rsidRPr="00454780" w14:paraId="389CA0FD" w14:textId="77777777" w:rsidTr="009E0093">
        <w:trPr>
          <w:trHeight w:val="867"/>
          <w:tblHeader/>
        </w:trPr>
        <w:tc>
          <w:tcPr>
            <w:tcW w:w="32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209BFC" w14:textId="77777777" w:rsidR="009E0093" w:rsidRPr="00911B2F" w:rsidRDefault="009E0093" w:rsidP="009E0093">
            <w:pPr>
              <w:jc w:val="center"/>
              <w:rPr>
                <w:rFonts w:eastAsia="Times New Roman" w:cs="Arial"/>
                <w:b/>
                <w:bCs/>
                <w:sz w:val="20"/>
                <w:szCs w:val="20"/>
                <w:lang w:eastAsia="en-ZA"/>
              </w:rPr>
            </w:pPr>
            <w:r w:rsidRPr="00911B2F">
              <w:rPr>
                <w:rFonts w:eastAsia="Times New Roman" w:cs="Arial"/>
                <w:b/>
                <w:bCs/>
                <w:sz w:val="20"/>
                <w:szCs w:val="20"/>
                <w:lang w:eastAsia="en-ZA"/>
              </w:rPr>
              <w:t>Entity</w:t>
            </w:r>
          </w:p>
        </w:tc>
        <w:tc>
          <w:tcPr>
            <w:tcW w:w="136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E0CCCFE" w14:textId="70193199" w:rsidR="009E0093" w:rsidRPr="00911B2F" w:rsidRDefault="009E0093" w:rsidP="009E0093">
            <w:pPr>
              <w:jc w:val="center"/>
              <w:rPr>
                <w:rFonts w:eastAsia="Times New Roman" w:cs="Arial"/>
                <w:b/>
                <w:bCs/>
                <w:sz w:val="20"/>
                <w:szCs w:val="20"/>
                <w:lang w:eastAsia="en-ZA"/>
              </w:rPr>
            </w:pPr>
            <w:r w:rsidRPr="00911B2F">
              <w:rPr>
                <w:rFonts w:eastAsia="Times New Roman" w:cs="Arial"/>
                <w:b/>
                <w:bCs/>
                <w:sz w:val="20"/>
                <w:szCs w:val="20"/>
                <w:lang w:eastAsia="en-ZA"/>
              </w:rPr>
              <w:t>Adjusted</w:t>
            </w:r>
            <w:r>
              <w:rPr>
                <w:rFonts w:eastAsia="Times New Roman" w:cs="Arial"/>
                <w:b/>
                <w:bCs/>
                <w:sz w:val="20"/>
                <w:szCs w:val="20"/>
                <w:lang w:eastAsia="en-ZA"/>
              </w:rPr>
              <w:t xml:space="preserve"> </w:t>
            </w:r>
            <w:r w:rsidRPr="00911B2F">
              <w:rPr>
                <w:rFonts w:eastAsia="Times New Roman" w:cs="Arial"/>
                <w:b/>
                <w:bCs/>
                <w:sz w:val="20"/>
                <w:szCs w:val="20"/>
                <w:lang w:eastAsia="en-ZA"/>
              </w:rPr>
              <w:t>appropriation</w:t>
            </w:r>
          </w:p>
        </w:tc>
        <w:tc>
          <w:tcPr>
            <w:tcW w:w="2837" w:type="dxa"/>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5C20F9D3" w14:textId="4952B784" w:rsidR="009E0093" w:rsidRPr="00911B2F" w:rsidRDefault="009E0093" w:rsidP="009E0093">
            <w:pPr>
              <w:jc w:val="center"/>
              <w:rPr>
                <w:rFonts w:eastAsia="Times New Roman" w:cs="Arial"/>
                <w:b/>
                <w:bCs/>
                <w:sz w:val="20"/>
                <w:szCs w:val="20"/>
                <w:lang w:eastAsia="en-ZA"/>
              </w:rPr>
            </w:pPr>
            <w:r w:rsidRPr="00911B2F">
              <w:rPr>
                <w:rFonts w:eastAsia="Times New Roman" w:cs="Arial"/>
                <w:b/>
                <w:bCs/>
                <w:sz w:val="20"/>
                <w:szCs w:val="20"/>
                <w:lang w:eastAsia="en-ZA"/>
              </w:rPr>
              <w:t>Medium-term expenditure estimate</w:t>
            </w:r>
          </w:p>
        </w:tc>
        <w:tc>
          <w:tcPr>
            <w:tcW w:w="12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81CED6A" w14:textId="13B72E0C" w:rsidR="009E0093" w:rsidRPr="00911B2F" w:rsidRDefault="009E0093" w:rsidP="009E0093">
            <w:pPr>
              <w:jc w:val="center"/>
              <w:rPr>
                <w:rFonts w:eastAsia="Times New Roman" w:cs="Arial"/>
                <w:b/>
                <w:bCs/>
                <w:sz w:val="20"/>
                <w:szCs w:val="20"/>
                <w:lang w:eastAsia="en-ZA"/>
              </w:rPr>
            </w:pPr>
            <w:r w:rsidRPr="00911B2F">
              <w:rPr>
                <w:rFonts w:eastAsia="Times New Roman" w:cs="Arial"/>
                <w:b/>
                <w:bCs/>
                <w:sz w:val="20"/>
                <w:szCs w:val="20"/>
                <w:lang w:eastAsia="en-ZA"/>
              </w:rPr>
              <w:t>Average</w:t>
            </w:r>
            <w:r>
              <w:rPr>
                <w:rFonts w:eastAsia="Times New Roman" w:cs="Arial"/>
                <w:b/>
                <w:bCs/>
                <w:sz w:val="20"/>
                <w:szCs w:val="20"/>
                <w:lang w:eastAsia="en-ZA"/>
              </w:rPr>
              <w:t xml:space="preserve"> </w:t>
            </w:r>
            <w:r w:rsidRPr="00911B2F">
              <w:rPr>
                <w:rFonts w:eastAsia="Times New Roman" w:cs="Arial"/>
                <w:b/>
                <w:bCs/>
                <w:sz w:val="20"/>
                <w:szCs w:val="20"/>
                <w:lang w:eastAsia="en-ZA"/>
              </w:rPr>
              <w:t>growth</w:t>
            </w:r>
            <w:r>
              <w:rPr>
                <w:rFonts w:eastAsia="Times New Roman" w:cs="Arial"/>
                <w:b/>
                <w:bCs/>
                <w:sz w:val="20"/>
                <w:szCs w:val="20"/>
                <w:lang w:eastAsia="en-ZA"/>
              </w:rPr>
              <w:t xml:space="preserve"> </w:t>
            </w:r>
            <w:r w:rsidRPr="00911B2F">
              <w:rPr>
                <w:rFonts w:eastAsia="Times New Roman" w:cs="Arial"/>
                <w:b/>
                <w:bCs/>
                <w:sz w:val="20"/>
                <w:szCs w:val="20"/>
                <w:lang w:eastAsia="en-ZA"/>
              </w:rPr>
              <w:t>rate (%)</w:t>
            </w:r>
          </w:p>
        </w:tc>
        <w:tc>
          <w:tcPr>
            <w:tcW w:w="1339" w:type="dxa"/>
            <w:vMerge w:val="restart"/>
            <w:tcBorders>
              <w:top w:val="single" w:sz="4" w:space="0" w:color="auto"/>
              <w:left w:val="nil"/>
              <w:right w:val="single" w:sz="4" w:space="0" w:color="auto"/>
            </w:tcBorders>
            <w:shd w:val="clear" w:color="auto" w:fill="BFBFBF" w:themeFill="background1" w:themeFillShade="BF"/>
            <w:vAlign w:val="center"/>
            <w:hideMark/>
          </w:tcPr>
          <w:p w14:paraId="46975A56" w14:textId="77777777" w:rsidR="009E0093" w:rsidRDefault="009E0093" w:rsidP="009E0093">
            <w:pPr>
              <w:jc w:val="center"/>
              <w:rPr>
                <w:rFonts w:eastAsia="Times New Roman" w:cs="Arial"/>
                <w:b/>
                <w:bCs/>
                <w:sz w:val="20"/>
                <w:szCs w:val="20"/>
                <w:lang w:eastAsia="en-ZA"/>
              </w:rPr>
            </w:pPr>
            <w:r w:rsidRPr="00911B2F">
              <w:rPr>
                <w:rFonts w:eastAsia="Times New Roman" w:cs="Arial"/>
                <w:b/>
                <w:bCs/>
                <w:sz w:val="20"/>
                <w:szCs w:val="20"/>
                <w:lang w:eastAsia="en-ZA"/>
              </w:rPr>
              <w:t>Average: Expenditure/</w:t>
            </w:r>
          </w:p>
          <w:p w14:paraId="08CCEC94" w14:textId="7A8D59B6" w:rsidR="009E0093" w:rsidRPr="00454780" w:rsidRDefault="009E0093" w:rsidP="009E0093">
            <w:pPr>
              <w:jc w:val="center"/>
              <w:rPr>
                <w:rFonts w:eastAsia="Times New Roman" w:cs="Arial"/>
                <w:b/>
                <w:bCs/>
                <w:sz w:val="20"/>
                <w:szCs w:val="20"/>
                <w:lang w:eastAsia="en-ZA"/>
              </w:rPr>
            </w:pPr>
            <w:r w:rsidRPr="00911B2F">
              <w:rPr>
                <w:rFonts w:eastAsia="Times New Roman" w:cs="Arial"/>
                <w:b/>
                <w:bCs/>
                <w:sz w:val="20"/>
                <w:szCs w:val="20"/>
                <w:lang w:eastAsia="en-ZA"/>
              </w:rPr>
              <w:t>Total (%)</w:t>
            </w:r>
          </w:p>
        </w:tc>
      </w:tr>
      <w:tr w:rsidR="009E0093" w:rsidRPr="00454780" w14:paraId="6E420486" w14:textId="77777777" w:rsidTr="009E0093">
        <w:trPr>
          <w:trHeight w:val="255"/>
          <w:tblHeader/>
        </w:trPr>
        <w:tc>
          <w:tcPr>
            <w:tcW w:w="3216"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BD8DEBA" w14:textId="77777777" w:rsidR="009E0093" w:rsidRPr="00911B2F" w:rsidRDefault="009E0093" w:rsidP="009E0093">
            <w:pPr>
              <w:jc w:val="center"/>
              <w:rPr>
                <w:rFonts w:eastAsia="Times New Roman" w:cs="Arial"/>
                <w:b/>
                <w:bCs/>
                <w:sz w:val="20"/>
                <w:szCs w:val="20"/>
                <w:lang w:eastAsia="en-ZA"/>
              </w:rPr>
            </w:pPr>
            <w:r w:rsidRPr="00911B2F">
              <w:rPr>
                <w:rFonts w:eastAsia="Times New Roman" w:cs="Arial"/>
                <w:b/>
                <w:bCs/>
                <w:sz w:val="20"/>
                <w:szCs w:val="20"/>
                <w:lang w:eastAsia="en-ZA"/>
              </w:rPr>
              <w:t>R thousand</w:t>
            </w:r>
          </w:p>
        </w:tc>
        <w:tc>
          <w:tcPr>
            <w:tcW w:w="1361" w:type="dxa"/>
            <w:tcBorders>
              <w:top w:val="nil"/>
              <w:left w:val="nil"/>
              <w:bottom w:val="single" w:sz="4" w:space="0" w:color="auto"/>
              <w:right w:val="single" w:sz="4" w:space="0" w:color="auto"/>
            </w:tcBorders>
            <w:shd w:val="clear" w:color="auto" w:fill="BFBFBF" w:themeFill="background1" w:themeFillShade="BF"/>
            <w:noWrap/>
            <w:vAlign w:val="center"/>
            <w:hideMark/>
          </w:tcPr>
          <w:p w14:paraId="79E57715" w14:textId="77777777" w:rsidR="009E0093" w:rsidRPr="00911B2F" w:rsidRDefault="009E0093" w:rsidP="009E0093">
            <w:pPr>
              <w:jc w:val="center"/>
              <w:rPr>
                <w:rFonts w:eastAsia="Times New Roman" w:cs="Arial"/>
                <w:b/>
                <w:bCs/>
                <w:sz w:val="20"/>
                <w:szCs w:val="20"/>
                <w:lang w:eastAsia="en-ZA"/>
              </w:rPr>
            </w:pPr>
            <w:r w:rsidRPr="00911B2F">
              <w:rPr>
                <w:rFonts w:eastAsia="Times New Roman" w:cs="Arial"/>
                <w:b/>
                <w:bCs/>
                <w:sz w:val="20"/>
                <w:szCs w:val="20"/>
                <w:lang w:eastAsia="en-ZA"/>
              </w:rPr>
              <w:t>2017/18</w:t>
            </w:r>
          </w:p>
        </w:tc>
        <w:tc>
          <w:tcPr>
            <w:tcW w:w="939" w:type="dxa"/>
            <w:tcBorders>
              <w:top w:val="nil"/>
              <w:left w:val="nil"/>
              <w:bottom w:val="single" w:sz="4" w:space="0" w:color="auto"/>
              <w:right w:val="single" w:sz="4" w:space="0" w:color="auto"/>
            </w:tcBorders>
            <w:shd w:val="clear" w:color="auto" w:fill="BFBFBF" w:themeFill="background1" w:themeFillShade="BF"/>
            <w:noWrap/>
            <w:vAlign w:val="center"/>
            <w:hideMark/>
          </w:tcPr>
          <w:p w14:paraId="73166806" w14:textId="77777777" w:rsidR="009E0093" w:rsidRPr="00911B2F" w:rsidRDefault="009E0093" w:rsidP="009E0093">
            <w:pPr>
              <w:jc w:val="center"/>
              <w:rPr>
                <w:rFonts w:eastAsia="Times New Roman" w:cs="Arial"/>
                <w:b/>
                <w:bCs/>
                <w:sz w:val="20"/>
                <w:szCs w:val="20"/>
                <w:lang w:eastAsia="en-ZA"/>
              </w:rPr>
            </w:pPr>
            <w:r w:rsidRPr="00911B2F">
              <w:rPr>
                <w:rFonts w:eastAsia="Times New Roman" w:cs="Arial"/>
                <w:b/>
                <w:bCs/>
                <w:sz w:val="20"/>
                <w:szCs w:val="20"/>
                <w:lang w:eastAsia="en-ZA"/>
              </w:rPr>
              <w:t>2018/19</w:t>
            </w:r>
          </w:p>
        </w:tc>
        <w:tc>
          <w:tcPr>
            <w:tcW w:w="959" w:type="dxa"/>
            <w:tcBorders>
              <w:top w:val="nil"/>
              <w:left w:val="nil"/>
              <w:bottom w:val="single" w:sz="4" w:space="0" w:color="auto"/>
              <w:right w:val="single" w:sz="4" w:space="0" w:color="auto"/>
            </w:tcBorders>
            <w:shd w:val="clear" w:color="auto" w:fill="BFBFBF" w:themeFill="background1" w:themeFillShade="BF"/>
            <w:noWrap/>
            <w:vAlign w:val="center"/>
            <w:hideMark/>
          </w:tcPr>
          <w:p w14:paraId="3DA190B6" w14:textId="77777777" w:rsidR="009E0093" w:rsidRPr="00911B2F" w:rsidRDefault="009E0093" w:rsidP="009E0093">
            <w:pPr>
              <w:jc w:val="center"/>
              <w:rPr>
                <w:rFonts w:eastAsia="Times New Roman" w:cs="Arial"/>
                <w:b/>
                <w:bCs/>
                <w:sz w:val="20"/>
                <w:szCs w:val="20"/>
                <w:lang w:eastAsia="en-ZA"/>
              </w:rPr>
            </w:pPr>
            <w:r w:rsidRPr="00911B2F">
              <w:rPr>
                <w:rFonts w:eastAsia="Times New Roman" w:cs="Arial"/>
                <w:b/>
                <w:bCs/>
                <w:sz w:val="20"/>
                <w:szCs w:val="20"/>
                <w:lang w:eastAsia="en-ZA"/>
              </w:rPr>
              <w:t>2019/20</w:t>
            </w:r>
          </w:p>
        </w:tc>
        <w:tc>
          <w:tcPr>
            <w:tcW w:w="939" w:type="dxa"/>
            <w:tcBorders>
              <w:top w:val="nil"/>
              <w:left w:val="nil"/>
              <w:bottom w:val="single" w:sz="4" w:space="0" w:color="auto"/>
              <w:right w:val="single" w:sz="4" w:space="0" w:color="auto"/>
            </w:tcBorders>
            <w:shd w:val="clear" w:color="auto" w:fill="BFBFBF" w:themeFill="background1" w:themeFillShade="BF"/>
            <w:noWrap/>
            <w:vAlign w:val="center"/>
            <w:hideMark/>
          </w:tcPr>
          <w:p w14:paraId="7A396A8F" w14:textId="77777777" w:rsidR="009E0093" w:rsidRPr="00911B2F" w:rsidRDefault="009E0093" w:rsidP="009E0093">
            <w:pPr>
              <w:jc w:val="center"/>
              <w:rPr>
                <w:rFonts w:eastAsia="Times New Roman" w:cs="Arial"/>
                <w:b/>
                <w:bCs/>
                <w:sz w:val="20"/>
                <w:szCs w:val="20"/>
                <w:lang w:eastAsia="en-ZA"/>
              </w:rPr>
            </w:pPr>
            <w:r w:rsidRPr="00911B2F">
              <w:rPr>
                <w:rFonts w:eastAsia="Times New Roman" w:cs="Arial"/>
                <w:b/>
                <w:bCs/>
                <w:sz w:val="20"/>
                <w:szCs w:val="20"/>
                <w:lang w:eastAsia="en-ZA"/>
              </w:rPr>
              <w:t>2020/21</w:t>
            </w:r>
          </w:p>
        </w:tc>
        <w:tc>
          <w:tcPr>
            <w:tcW w:w="1292" w:type="dxa"/>
            <w:tcBorders>
              <w:top w:val="nil"/>
              <w:left w:val="nil"/>
              <w:bottom w:val="single" w:sz="4" w:space="0" w:color="auto"/>
              <w:right w:val="single" w:sz="4" w:space="0" w:color="auto"/>
            </w:tcBorders>
            <w:shd w:val="clear" w:color="auto" w:fill="BFBFBF" w:themeFill="background1" w:themeFillShade="BF"/>
            <w:noWrap/>
            <w:vAlign w:val="center"/>
            <w:hideMark/>
          </w:tcPr>
          <w:p w14:paraId="07B9E4FE" w14:textId="4D539CFF" w:rsidR="009E0093" w:rsidRPr="00911B2F" w:rsidRDefault="009E0093" w:rsidP="009E0093">
            <w:pPr>
              <w:jc w:val="center"/>
              <w:rPr>
                <w:rFonts w:eastAsia="Times New Roman" w:cs="Arial"/>
                <w:b/>
                <w:bCs/>
                <w:sz w:val="20"/>
                <w:szCs w:val="20"/>
                <w:lang w:eastAsia="en-ZA"/>
              </w:rPr>
            </w:pPr>
            <w:r>
              <w:rPr>
                <w:rFonts w:eastAsia="Times New Roman" w:cs="Arial"/>
                <w:b/>
                <w:bCs/>
                <w:sz w:val="20"/>
                <w:szCs w:val="20"/>
                <w:lang w:eastAsia="en-ZA"/>
              </w:rPr>
              <w:t>2017/18-20</w:t>
            </w:r>
            <w:r w:rsidRPr="00911B2F">
              <w:rPr>
                <w:rFonts w:eastAsia="Times New Roman" w:cs="Arial"/>
                <w:b/>
                <w:bCs/>
                <w:sz w:val="20"/>
                <w:szCs w:val="20"/>
                <w:lang w:eastAsia="en-ZA"/>
              </w:rPr>
              <w:t>20/21</w:t>
            </w:r>
          </w:p>
        </w:tc>
        <w:tc>
          <w:tcPr>
            <w:tcW w:w="1339" w:type="dxa"/>
            <w:vMerge/>
            <w:tcBorders>
              <w:left w:val="nil"/>
              <w:bottom w:val="single" w:sz="4" w:space="0" w:color="auto"/>
              <w:right w:val="single" w:sz="4" w:space="0" w:color="auto"/>
            </w:tcBorders>
            <w:shd w:val="clear" w:color="auto" w:fill="BFBFBF" w:themeFill="background1" w:themeFillShade="BF"/>
            <w:noWrap/>
            <w:vAlign w:val="center"/>
            <w:hideMark/>
          </w:tcPr>
          <w:p w14:paraId="01928D43" w14:textId="77777777" w:rsidR="009E0093" w:rsidRPr="00454780" w:rsidRDefault="009E0093" w:rsidP="009E0093">
            <w:pPr>
              <w:jc w:val="center"/>
              <w:rPr>
                <w:rFonts w:eastAsia="Times New Roman" w:cs="Arial"/>
                <w:b/>
                <w:bCs/>
                <w:sz w:val="20"/>
                <w:szCs w:val="20"/>
                <w:lang w:eastAsia="en-ZA"/>
              </w:rPr>
            </w:pPr>
          </w:p>
        </w:tc>
      </w:tr>
      <w:tr w:rsidR="009E0093" w:rsidRPr="00454780" w14:paraId="43CF35B7" w14:textId="77777777" w:rsidTr="009E0093">
        <w:trPr>
          <w:trHeight w:val="255"/>
          <w:tblHeader/>
        </w:trPr>
        <w:tc>
          <w:tcPr>
            <w:tcW w:w="3216" w:type="dxa"/>
            <w:tcBorders>
              <w:top w:val="nil"/>
              <w:left w:val="single" w:sz="4" w:space="0" w:color="auto"/>
              <w:bottom w:val="single" w:sz="4" w:space="0" w:color="auto"/>
              <w:right w:val="single" w:sz="4" w:space="0" w:color="auto"/>
            </w:tcBorders>
            <w:shd w:val="clear" w:color="auto" w:fill="auto"/>
            <w:vAlign w:val="center"/>
            <w:hideMark/>
          </w:tcPr>
          <w:p w14:paraId="75B489EE" w14:textId="77777777" w:rsidR="009E0093" w:rsidRPr="00454780" w:rsidRDefault="009E0093" w:rsidP="009E0093">
            <w:pPr>
              <w:jc w:val="left"/>
              <w:rPr>
                <w:rFonts w:eastAsia="Times New Roman" w:cs="Arial"/>
                <w:sz w:val="20"/>
                <w:szCs w:val="20"/>
                <w:lang w:eastAsia="en-ZA"/>
              </w:rPr>
            </w:pPr>
            <w:r w:rsidRPr="00454780">
              <w:rPr>
                <w:rFonts w:eastAsia="Times New Roman" w:cs="Arial"/>
                <w:sz w:val="20"/>
                <w:szCs w:val="20"/>
                <w:lang w:eastAsia="en-ZA"/>
              </w:rPr>
              <w:t>Broad-Based Black Economic Empowerment Commission</w:t>
            </w:r>
          </w:p>
        </w:tc>
        <w:tc>
          <w:tcPr>
            <w:tcW w:w="1361" w:type="dxa"/>
            <w:tcBorders>
              <w:top w:val="nil"/>
              <w:left w:val="nil"/>
              <w:bottom w:val="single" w:sz="4" w:space="0" w:color="auto"/>
              <w:right w:val="single" w:sz="4" w:space="0" w:color="auto"/>
            </w:tcBorders>
            <w:shd w:val="clear" w:color="auto" w:fill="auto"/>
            <w:noWrap/>
            <w:vAlign w:val="center"/>
            <w:hideMark/>
          </w:tcPr>
          <w:p w14:paraId="2A1C6194"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 xml:space="preserve">– </w:t>
            </w:r>
          </w:p>
        </w:tc>
        <w:tc>
          <w:tcPr>
            <w:tcW w:w="939" w:type="dxa"/>
            <w:tcBorders>
              <w:top w:val="nil"/>
              <w:left w:val="nil"/>
              <w:bottom w:val="single" w:sz="4" w:space="0" w:color="auto"/>
              <w:right w:val="single" w:sz="4" w:space="0" w:color="auto"/>
            </w:tcBorders>
            <w:shd w:val="clear" w:color="auto" w:fill="auto"/>
            <w:noWrap/>
            <w:vAlign w:val="center"/>
            <w:hideMark/>
          </w:tcPr>
          <w:p w14:paraId="1DD836D2"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59 500</w:t>
            </w:r>
          </w:p>
        </w:tc>
        <w:tc>
          <w:tcPr>
            <w:tcW w:w="959" w:type="dxa"/>
            <w:tcBorders>
              <w:top w:val="nil"/>
              <w:left w:val="nil"/>
              <w:bottom w:val="single" w:sz="4" w:space="0" w:color="auto"/>
              <w:right w:val="single" w:sz="4" w:space="0" w:color="auto"/>
            </w:tcBorders>
            <w:shd w:val="clear" w:color="auto" w:fill="auto"/>
            <w:noWrap/>
            <w:vAlign w:val="center"/>
            <w:hideMark/>
          </w:tcPr>
          <w:p w14:paraId="0ABBD7C8"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61 700</w:t>
            </w:r>
          </w:p>
        </w:tc>
        <w:tc>
          <w:tcPr>
            <w:tcW w:w="939" w:type="dxa"/>
            <w:tcBorders>
              <w:top w:val="nil"/>
              <w:left w:val="nil"/>
              <w:bottom w:val="single" w:sz="4" w:space="0" w:color="auto"/>
              <w:right w:val="single" w:sz="4" w:space="0" w:color="auto"/>
            </w:tcBorders>
            <w:shd w:val="clear" w:color="auto" w:fill="auto"/>
            <w:noWrap/>
            <w:vAlign w:val="center"/>
            <w:hideMark/>
          </w:tcPr>
          <w:p w14:paraId="6351BDB0"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65 093</w:t>
            </w:r>
          </w:p>
        </w:tc>
        <w:tc>
          <w:tcPr>
            <w:tcW w:w="1292" w:type="dxa"/>
            <w:tcBorders>
              <w:top w:val="nil"/>
              <w:left w:val="nil"/>
              <w:bottom w:val="single" w:sz="4" w:space="0" w:color="auto"/>
              <w:right w:val="single" w:sz="4" w:space="0" w:color="auto"/>
            </w:tcBorders>
            <w:shd w:val="clear" w:color="auto" w:fill="auto"/>
            <w:noWrap/>
            <w:vAlign w:val="center"/>
            <w:hideMark/>
          </w:tcPr>
          <w:p w14:paraId="51E70551"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 xml:space="preserve">  – </w:t>
            </w:r>
          </w:p>
        </w:tc>
        <w:tc>
          <w:tcPr>
            <w:tcW w:w="1339" w:type="dxa"/>
            <w:tcBorders>
              <w:top w:val="nil"/>
              <w:left w:val="nil"/>
              <w:bottom w:val="single" w:sz="4" w:space="0" w:color="auto"/>
              <w:right w:val="single" w:sz="4" w:space="0" w:color="auto"/>
            </w:tcBorders>
            <w:shd w:val="clear" w:color="auto" w:fill="auto"/>
            <w:noWrap/>
            <w:vAlign w:val="center"/>
            <w:hideMark/>
          </w:tcPr>
          <w:p w14:paraId="26C3E259"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0,6%</w:t>
            </w:r>
          </w:p>
        </w:tc>
      </w:tr>
      <w:tr w:rsidR="009E0093" w:rsidRPr="00454780" w14:paraId="1C387B4B" w14:textId="77777777" w:rsidTr="009E0093">
        <w:trPr>
          <w:trHeight w:val="255"/>
          <w:tblHeader/>
        </w:trPr>
        <w:tc>
          <w:tcPr>
            <w:tcW w:w="3216" w:type="dxa"/>
            <w:tcBorders>
              <w:top w:val="nil"/>
              <w:left w:val="single" w:sz="4" w:space="0" w:color="auto"/>
              <w:bottom w:val="single" w:sz="4" w:space="0" w:color="auto"/>
              <w:right w:val="single" w:sz="4" w:space="0" w:color="auto"/>
            </w:tcBorders>
            <w:shd w:val="clear" w:color="auto" w:fill="auto"/>
            <w:vAlign w:val="center"/>
            <w:hideMark/>
          </w:tcPr>
          <w:p w14:paraId="7F4C8EF5" w14:textId="77777777" w:rsidR="009E0093" w:rsidRPr="00454780" w:rsidRDefault="009E0093" w:rsidP="009E0093">
            <w:pPr>
              <w:jc w:val="left"/>
              <w:rPr>
                <w:rFonts w:eastAsia="Times New Roman" w:cs="Arial"/>
                <w:sz w:val="20"/>
                <w:szCs w:val="20"/>
                <w:lang w:eastAsia="en-ZA"/>
              </w:rPr>
            </w:pPr>
            <w:r w:rsidRPr="00454780">
              <w:rPr>
                <w:rFonts w:eastAsia="Times New Roman" w:cs="Arial"/>
                <w:sz w:val="20"/>
                <w:szCs w:val="20"/>
                <w:lang w:eastAsia="en-ZA"/>
              </w:rPr>
              <w:t>Companies Tribunal</w:t>
            </w:r>
            <w:r>
              <w:rPr>
                <w:rFonts w:eastAsia="Times New Roman" w:cs="Arial"/>
                <w:sz w:val="20"/>
                <w:szCs w:val="20"/>
                <w:lang w:eastAsia="en-ZA"/>
              </w:rPr>
              <w:t xml:space="preserve"> (CT)</w:t>
            </w:r>
          </w:p>
        </w:tc>
        <w:tc>
          <w:tcPr>
            <w:tcW w:w="1361" w:type="dxa"/>
            <w:tcBorders>
              <w:top w:val="nil"/>
              <w:left w:val="nil"/>
              <w:bottom w:val="single" w:sz="4" w:space="0" w:color="auto"/>
              <w:right w:val="single" w:sz="4" w:space="0" w:color="auto"/>
            </w:tcBorders>
            <w:shd w:val="clear" w:color="auto" w:fill="auto"/>
            <w:noWrap/>
            <w:vAlign w:val="center"/>
            <w:hideMark/>
          </w:tcPr>
          <w:p w14:paraId="37155945"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15 822</w:t>
            </w:r>
          </w:p>
        </w:tc>
        <w:tc>
          <w:tcPr>
            <w:tcW w:w="939" w:type="dxa"/>
            <w:tcBorders>
              <w:top w:val="nil"/>
              <w:left w:val="nil"/>
              <w:bottom w:val="single" w:sz="4" w:space="0" w:color="auto"/>
              <w:right w:val="single" w:sz="4" w:space="0" w:color="auto"/>
            </w:tcBorders>
            <w:shd w:val="clear" w:color="auto" w:fill="auto"/>
            <w:noWrap/>
            <w:vAlign w:val="center"/>
            <w:hideMark/>
          </w:tcPr>
          <w:p w14:paraId="490E871B"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16 740</w:t>
            </w:r>
          </w:p>
        </w:tc>
        <w:tc>
          <w:tcPr>
            <w:tcW w:w="959" w:type="dxa"/>
            <w:tcBorders>
              <w:top w:val="nil"/>
              <w:left w:val="nil"/>
              <w:bottom w:val="single" w:sz="4" w:space="0" w:color="auto"/>
              <w:right w:val="single" w:sz="4" w:space="0" w:color="auto"/>
            </w:tcBorders>
            <w:shd w:val="clear" w:color="auto" w:fill="auto"/>
            <w:noWrap/>
            <w:vAlign w:val="center"/>
            <w:hideMark/>
          </w:tcPr>
          <w:p w14:paraId="4D61E4E2"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17 677</w:t>
            </w:r>
          </w:p>
        </w:tc>
        <w:tc>
          <w:tcPr>
            <w:tcW w:w="939" w:type="dxa"/>
            <w:tcBorders>
              <w:top w:val="nil"/>
              <w:left w:val="nil"/>
              <w:bottom w:val="single" w:sz="4" w:space="0" w:color="auto"/>
              <w:right w:val="single" w:sz="4" w:space="0" w:color="auto"/>
            </w:tcBorders>
            <w:shd w:val="clear" w:color="auto" w:fill="auto"/>
            <w:noWrap/>
            <w:vAlign w:val="center"/>
            <w:hideMark/>
          </w:tcPr>
          <w:p w14:paraId="3F969648"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18 649</w:t>
            </w:r>
          </w:p>
        </w:tc>
        <w:tc>
          <w:tcPr>
            <w:tcW w:w="1292" w:type="dxa"/>
            <w:tcBorders>
              <w:top w:val="nil"/>
              <w:left w:val="nil"/>
              <w:bottom w:val="single" w:sz="4" w:space="0" w:color="auto"/>
              <w:right w:val="single" w:sz="4" w:space="0" w:color="auto"/>
            </w:tcBorders>
            <w:shd w:val="clear" w:color="auto" w:fill="auto"/>
            <w:noWrap/>
            <w:vAlign w:val="center"/>
            <w:hideMark/>
          </w:tcPr>
          <w:p w14:paraId="0F101C61"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5,6%</w:t>
            </w:r>
          </w:p>
        </w:tc>
        <w:tc>
          <w:tcPr>
            <w:tcW w:w="1339" w:type="dxa"/>
            <w:tcBorders>
              <w:top w:val="nil"/>
              <w:left w:val="nil"/>
              <w:bottom w:val="single" w:sz="4" w:space="0" w:color="auto"/>
              <w:right w:val="single" w:sz="4" w:space="0" w:color="auto"/>
            </w:tcBorders>
            <w:shd w:val="clear" w:color="auto" w:fill="auto"/>
            <w:noWrap/>
            <w:vAlign w:val="center"/>
            <w:hideMark/>
          </w:tcPr>
          <w:p w14:paraId="781D6F01"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0,2%</w:t>
            </w:r>
          </w:p>
        </w:tc>
      </w:tr>
      <w:tr w:rsidR="009E0093" w:rsidRPr="00454780" w14:paraId="6D084F8D" w14:textId="77777777" w:rsidTr="009E0093">
        <w:trPr>
          <w:trHeight w:val="255"/>
          <w:tblHeader/>
        </w:trPr>
        <w:tc>
          <w:tcPr>
            <w:tcW w:w="3216" w:type="dxa"/>
            <w:tcBorders>
              <w:top w:val="nil"/>
              <w:left w:val="single" w:sz="4" w:space="0" w:color="auto"/>
              <w:bottom w:val="single" w:sz="4" w:space="0" w:color="auto"/>
              <w:right w:val="single" w:sz="4" w:space="0" w:color="auto"/>
            </w:tcBorders>
            <w:shd w:val="clear" w:color="auto" w:fill="auto"/>
            <w:vAlign w:val="center"/>
            <w:hideMark/>
          </w:tcPr>
          <w:p w14:paraId="3DDE9E86" w14:textId="77777777" w:rsidR="009E0093" w:rsidRPr="00454780" w:rsidRDefault="009E0093" w:rsidP="009E0093">
            <w:pPr>
              <w:jc w:val="left"/>
              <w:rPr>
                <w:rFonts w:eastAsia="Times New Roman" w:cs="Arial"/>
                <w:sz w:val="20"/>
                <w:szCs w:val="20"/>
                <w:lang w:eastAsia="en-ZA"/>
              </w:rPr>
            </w:pPr>
            <w:r w:rsidRPr="00454780">
              <w:rPr>
                <w:rFonts w:eastAsia="Times New Roman" w:cs="Arial"/>
                <w:sz w:val="20"/>
                <w:szCs w:val="20"/>
                <w:lang w:eastAsia="en-ZA"/>
              </w:rPr>
              <w:t>Export Credit Insurance Corporation</w:t>
            </w:r>
            <w:r>
              <w:rPr>
                <w:rFonts w:eastAsia="Times New Roman" w:cs="Arial"/>
                <w:sz w:val="20"/>
                <w:szCs w:val="20"/>
                <w:lang w:eastAsia="en-ZA"/>
              </w:rPr>
              <w:t xml:space="preserve"> (ECIC)</w:t>
            </w:r>
          </w:p>
        </w:tc>
        <w:tc>
          <w:tcPr>
            <w:tcW w:w="1361" w:type="dxa"/>
            <w:tcBorders>
              <w:top w:val="nil"/>
              <w:left w:val="nil"/>
              <w:bottom w:val="single" w:sz="4" w:space="0" w:color="auto"/>
              <w:right w:val="single" w:sz="4" w:space="0" w:color="auto"/>
            </w:tcBorders>
            <w:shd w:val="clear" w:color="auto" w:fill="auto"/>
            <w:noWrap/>
            <w:vAlign w:val="center"/>
            <w:hideMark/>
          </w:tcPr>
          <w:p w14:paraId="20744FF3"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177 644</w:t>
            </w:r>
          </w:p>
        </w:tc>
        <w:tc>
          <w:tcPr>
            <w:tcW w:w="939" w:type="dxa"/>
            <w:tcBorders>
              <w:top w:val="nil"/>
              <w:left w:val="nil"/>
              <w:bottom w:val="single" w:sz="4" w:space="0" w:color="auto"/>
              <w:right w:val="single" w:sz="4" w:space="0" w:color="auto"/>
            </w:tcBorders>
            <w:shd w:val="clear" w:color="auto" w:fill="auto"/>
            <w:noWrap/>
            <w:vAlign w:val="center"/>
            <w:hideMark/>
          </w:tcPr>
          <w:p w14:paraId="292BEBE1"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183 248</w:t>
            </w:r>
          </w:p>
        </w:tc>
        <w:tc>
          <w:tcPr>
            <w:tcW w:w="959" w:type="dxa"/>
            <w:tcBorders>
              <w:top w:val="nil"/>
              <w:left w:val="nil"/>
              <w:bottom w:val="single" w:sz="4" w:space="0" w:color="auto"/>
              <w:right w:val="single" w:sz="4" w:space="0" w:color="auto"/>
            </w:tcBorders>
            <w:shd w:val="clear" w:color="auto" w:fill="auto"/>
            <w:noWrap/>
            <w:vAlign w:val="center"/>
            <w:hideMark/>
          </w:tcPr>
          <w:p w14:paraId="1504DEF9"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193 511</w:t>
            </w:r>
          </w:p>
        </w:tc>
        <w:tc>
          <w:tcPr>
            <w:tcW w:w="939" w:type="dxa"/>
            <w:tcBorders>
              <w:top w:val="nil"/>
              <w:left w:val="nil"/>
              <w:bottom w:val="single" w:sz="4" w:space="0" w:color="auto"/>
              <w:right w:val="single" w:sz="4" w:space="0" w:color="auto"/>
            </w:tcBorders>
            <w:shd w:val="clear" w:color="auto" w:fill="auto"/>
            <w:noWrap/>
            <w:vAlign w:val="center"/>
            <w:hideMark/>
          </w:tcPr>
          <w:p w14:paraId="76EAADD3"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204 153</w:t>
            </w:r>
          </w:p>
        </w:tc>
        <w:tc>
          <w:tcPr>
            <w:tcW w:w="1292" w:type="dxa"/>
            <w:tcBorders>
              <w:top w:val="nil"/>
              <w:left w:val="nil"/>
              <w:bottom w:val="single" w:sz="4" w:space="0" w:color="auto"/>
              <w:right w:val="single" w:sz="4" w:space="0" w:color="auto"/>
            </w:tcBorders>
            <w:shd w:val="clear" w:color="auto" w:fill="auto"/>
            <w:noWrap/>
            <w:vAlign w:val="center"/>
            <w:hideMark/>
          </w:tcPr>
          <w:p w14:paraId="241B80C6"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4,7%</w:t>
            </w:r>
          </w:p>
        </w:tc>
        <w:tc>
          <w:tcPr>
            <w:tcW w:w="1339" w:type="dxa"/>
            <w:tcBorders>
              <w:top w:val="nil"/>
              <w:left w:val="nil"/>
              <w:bottom w:val="single" w:sz="4" w:space="0" w:color="auto"/>
              <w:right w:val="single" w:sz="4" w:space="0" w:color="auto"/>
            </w:tcBorders>
            <w:shd w:val="clear" w:color="auto" w:fill="auto"/>
            <w:noWrap/>
            <w:vAlign w:val="center"/>
            <w:hideMark/>
          </w:tcPr>
          <w:p w14:paraId="4E27EEFD"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2,3%</w:t>
            </w:r>
          </w:p>
        </w:tc>
      </w:tr>
      <w:tr w:rsidR="009E0093" w:rsidRPr="00454780" w14:paraId="3D37C8B3" w14:textId="77777777" w:rsidTr="009E0093">
        <w:trPr>
          <w:trHeight w:val="255"/>
          <w:tblHeader/>
        </w:trPr>
        <w:tc>
          <w:tcPr>
            <w:tcW w:w="3216" w:type="dxa"/>
            <w:tcBorders>
              <w:top w:val="nil"/>
              <w:left w:val="single" w:sz="4" w:space="0" w:color="auto"/>
              <w:bottom w:val="single" w:sz="4" w:space="0" w:color="auto"/>
              <w:right w:val="single" w:sz="4" w:space="0" w:color="auto"/>
            </w:tcBorders>
            <w:shd w:val="clear" w:color="auto" w:fill="auto"/>
            <w:vAlign w:val="center"/>
            <w:hideMark/>
          </w:tcPr>
          <w:p w14:paraId="72E0C6C9" w14:textId="77777777" w:rsidR="009E0093" w:rsidRPr="00454780" w:rsidRDefault="009E0093" w:rsidP="009E0093">
            <w:pPr>
              <w:jc w:val="left"/>
              <w:rPr>
                <w:rFonts w:eastAsia="Times New Roman" w:cs="Arial"/>
                <w:sz w:val="20"/>
                <w:szCs w:val="20"/>
                <w:lang w:eastAsia="en-ZA"/>
              </w:rPr>
            </w:pPr>
            <w:r w:rsidRPr="00454780">
              <w:rPr>
                <w:rFonts w:eastAsia="Times New Roman" w:cs="Arial"/>
                <w:sz w:val="20"/>
                <w:szCs w:val="20"/>
                <w:lang w:eastAsia="en-ZA"/>
              </w:rPr>
              <w:t>National Consumer Commission</w:t>
            </w:r>
            <w:r>
              <w:rPr>
                <w:rFonts w:eastAsia="Times New Roman" w:cs="Arial"/>
                <w:sz w:val="20"/>
                <w:szCs w:val="20"/>
                <w:lang w:eastAsia="en-ZA"/>
              </w:rPr>
              <w:t xml:space="preserve"> (NCC)</w:t>
            </w:r>
          </w:p>
        </w:tc>
        <w:tc>
          <w:tcPr>
            <w:tcW w:w="1361" w:type="dxa"/>
            <w:tcBorders>
              <w:top w:val="nil"/>
              <w:left w:val="nil"/>
              <w:bottom w:val="single" w:sz="4" w:space="0" w:color="auto"/>
              <w:right w:val="single" w:sz="4" w:space="0" w:color="auto"/>
            </w:tcBorders>
            <w:shd w:val="clear" w:color="auto" w:fill="auto"/>
            <w:noWrap/>
            <w:vAlign w:val="center"/>
            <w:hideMark/>
          </w:tcPr>
          <w:p w14:paraId="343702E2"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52 614</w:t>
            </w:r>
          </w:p>
        </w:tc>
        <w:tc>
          <w:tcPr>
            <w:tcW w:w="939" w:type="dxa"/>
            <w:tcBorders>
              <w:top w:val="nil"/>
              <w:left w:val="nil"/>
              <w:bottom w:val="single" w:sz="4" w:space="0" w:color="auto"/>
              <w:right w:val="single" w:sz="4" w:space="0" w:color="auto"/>
            </w:tcBorders>
            <w:shd w:val="clear" w:color="auto" w:fill="auto"/>
            <w:noWrap/>
            <w:vAlign w:val="center"/>
            <w:hideMark/>
          </w:tcPr>
          <w:p w14:paraId="3D76674D"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55 865</w:t>
            </w:r>
          </w:p>
        </w:tc>
        <w:tc>
          <w:tcPr>
            <w:tcW w:w="959" w:type="dxa"/>
            <w:tcBorders>
              <w:top w:val="nil"/>
              <w:left w:val="nil"/>
              <w:bottom w:val="single" w:sz="4" w:space="0" w:color="auto"/>
              <w:right w:val="single" w:sz="4" w:space="0" w:color="auto"/>
            </w:tcBorders>
            <w:shd w:val="clear" w:color="auto" w:fill="auto"/>
            <w:noWrap/>
            <w:vAlign w:val="center"/>
            <w:hideMark/>
          </w:tcPr>
          <w:p w14:paraId="0265CE97"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58 993</w:t>
            </w:r>
          </w:p>
        </w:tc>
        <w:tc>
          <w:tcPr>
            <w:tcW w:w="939" w:type="dxa"/>
            <w:tcBorders>
              <w:top w:val="nil"/>
              <w:left w:val="nil"/>
              <w:bottom w:val="single" w:sz="4" w:space="0" w:color="auto"/>
              <w:right w:val="single" w:sz="4" w:space="0" w:color="auto"/>
            </w:tcBorders>
            <w:shd w:val="clear" w:color="auto" w:fill="auto"/>
            <w:noWrap/>
            <w:vAlign w:val="center"/>
            <w:hideMark/>
          </w:tcPr>
          <w:p w14:paraId="16B333A0"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62 238</w:t>
            </w:r>
          </w:p>
        </w:tc>
        <w:tc>
          <w:tcPr>
            <w:tcW w:w="1292" w:type="dxa"/>
            <w:tcBorders>
              <w:top w:val="nil"/>
              <w:left w:val="nil"/>
              <w:bottom w:val="single" w:sz="4" w:space="0" w:color="auto"/>
              <w:right w:val="single" w:sz="4" w:space="0" w:color="auto"/>
            </w:tcBorders>
            <w:shd w:val="clear" w:color="auto" w:fill="auto"/>
            <w:noWrap/>
            <w:vAlign w:val="center"/>
            <w:hideMark/>
          </w:tcPr>
          <w:p w14:paraId="73D04084"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5,8%</w:t>
            </w:r>
          </w:p>
        </w:tc>
        <w:tc>
          <w:tcPr>
            <w:tcW w:w="1339" w:type="dxa"/>
            <w:tcBorders>
              <w:top w:val="nil"/>
              <w:left w:val="nil"/>
              <w:bottom w:val="single" w:sz="4" w:space="0" w:color="auto"/>
              <w:right w:val="single" w:sz="4" w:space="0" w:color="auto"/>
            </w:tcBorders>
            <w:shd w:val="clear" w:color="auto" w:fill="auto"/>
            <w:noWrap/>
            <w:vAlign w:val="center"/>
            <w:hideMark/>
          </w:tcPr>
          <w:p w14:paraId="1747EC0F"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0,7%</w:t>
            </w:r>
          </w:p>
        </w:tc>
      </w:tr>
      <w:tr w:rsidR="009E0093" w:rsidRPr="00454780" w14:paraId="066E5DB7" w14:textId="77777777" w:rsidTr="009E0093">
        <w:trPr>
          <w:trHeight w:val="255"/>
          <w:tblHeader/>
        </w:trPr>
        <w:tc>
          <w:tcPr>
            <w:tcW w:w="3216" w:type="dxa"/>
            <w:tcBorders>
              <w:top w:val="nil"/>
              <w:left w:val="single" w:sz="4" w:space="0" w:color="auto"/>
              <w:bottom w:val="single" w:sz="4" w:space="0" w:color="auto"/>
              <w:right w:val="single" w:sz="4" w:space="0" w:color="auto"/>
            </w:tcBorders>
            <w:shd w:val="clear" w:color="auto" w:fill="auto"/>
            <w:vAlign w:val="center"/>
            <w:hideMark/>
          </w:tcPr>
          <w:p w14:paraId="201B5F49" w14:textId="77777777" w:rsidR="009E0093" w:rsidRPr="00454780" w:rsidRDefault="009E0093" w:rsidP="009E0093">
            <w:pPr>
              <w:jc w:val="left"/>
              <w:rPr>
                <w:rFonts w:eastAsia="Times New Roman" w:cs="Arial"/>
                <w:sz w:val="20"/>
                <w:szCs w:val="20"/>
                <w:lang w:eastAsia="en-ZA"/>
              </w:rPr>
            </w:pPr>
            <w:r w:rsidRPr="00454780">
              <w:rPr>
                <w:rFonts w:eastAsia="Times New Roman" w:cs="Arial"/>
                <w:sz w:val="20"/>
                <w:szCs w:val="20"/>
                <w:lang w:eastAsia="en-ZA"/>
              </w:rPr>
              <w:t>National Consumer Tribunal</w:t>
            </w:r>
            <w:r>
              <w:rPr>
                <w:rFonts w:eastAsia="Times New Roman" w:cs="Arial"/>
                <w:sz w:val="20"/>
                <w:szCs w:val="20"/>
                <w:lang w:eastAsia="en-ZA"/>
              </w:rPr>
              <w:t xml:space="preserve"> (NCT)</w:t>
            </w:r>
          </w:p>
        </w:tc>
        <w:tc>
          <w:tcPr>
            <w:tcW w:w="1361" w:type="dxa"/>
            <w:tcBorders>
              <w:top w:val="nil"/>
              <w:left w:val="nil"/>
              <w:bottom w:val="single" w:sz="4" w:space="0" w:color="auto"/>
              <w:right w:val="single" w:sz="4" w:space="0" w:color="auto"/>
            </w:tcBorders>
            <w:shd w:val="clear" w:color="auto" w:fill="auto"/>
            <w:noWrap/>
            <w:vAlign w:val="center"/>
            <w:hideMark/>
          </w:tcPr>
          <w:p w14:paraId="55232858"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48 459</w:t>
            </w:r>
          </w:p>
        </w:tc>
        <w:tc>
          <w:tcPr>
            <w:tcW w:w="939" w:type="dxa"/>
            <w:tcBorders>
              <w:top w:val="nil"/>
              <w:left w:val="nil"/>
              <w:bottom w:val="single" w:sz="4" w:space="0" w:color="auto"/>
              <w:right w:val="single" w:sz="4" w:space="0" w:color="auto"/>
            </w:tcBorders>
            <w:shd w:val="clear" w:color="auto" w:fill="auto"/>
            <w:noWrap/>
            <w:vAlign w:val="center"/>
            <w:hideMark/>
          </w:tcPr>
          <w:p w14:paraId="40CF93FB"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49 988</w:t>
            </w:r>
          </w:p>
        </w:tc>
        <w:tc>
          <w:tcPr>
            <w:tcW w:w="959" w:type="dxa"/>
            <w:tcBorders>
              <w:top w:val="nil"/>
              <w:left w:val="nil"/>
              <w:bottom w:val="single" w:sz="4" w:space="0" w:color="auto"/>
              <w:right w:val="single" w:sz="4" w:space="0" w:color="auto"/>
            </w:tcBorders>
            <w:shd w:val="clear" w:color="auto" w:fill="auto"/>
            <w:noWrap/>
            <w:vAlign w:val="center"/>
            <w:hideMark/>
          </w:tcPr>
          <w:p w14:paraId="766CE01E"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52 787</w:t>
            </w:r>
          </w:p>
        </w:tc>
        <w:tc>
          <w:tcPr>
            <w:tcW w:w="939" w:type="dxa"/>
            <w:tcBorders>
              <w:top w:val="nil"/>
              <w:left w:val="nil"/>
              <w:bottom w:val="single" w:sz="4" w:space="0" w:color="auto"/>
              <w:right w:val="single" w:sz="4" w:space="0" w:color="auto"/>
            </w:tcBorders>
            <w:shd w:val="clear" w:color="auto" w:fill="auto"/>
            <w:noWrap/>
            <w:vAlign w:val="center"/>
            <w:hideMark/>
          </w:tcPr>
          <w:p w14:paraId="49DEDA3B"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55 691</w:t>
            </w:r>
          </w:p>
        </w:tc>
        <w:tc>
          <w:tcPr>
            <w:tcW w:w="1292" w:type="dxa"/>
            <w:tcBorders>
              <w:top w:val="nil"/>
              <w:left w:val="nil"/>
              <w:bottom w:val="single" w:sz="4" w:space="0" w:color="auto"/>
              <w:right w:val="single" w:sz="4" w:space="0" w:color="auto"/>
            </w:tcBorders>
            <w:shd w:val="clear" w:color="auto" w:fill="auto"/>
            <w:noWrap/>
            <w:vAlign w:val="center"/>
            <w:hideMark/>
          </w:tcPr>
          <w:p w14:paraId="0566E2AD"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4,7%</w:t>
            </w:r>
          </w:p>
        </w:tc>
        <w:tc>
          <w:tcPr>
            <w:tcW w:w="1339" w:type="dxa"/>
            <w:tcBorders>
              <w:top w:val="nil"/>
              <w:left w:val="nil"/>
              <w:bottom w:val="single" w:sz="4" w:space="0" w:color="auto"/>
              <w:right w:val="single" w:sz="4" w:space="0" w:color="auto"/>
            </w:tcBorders>
            <w:shd w:val="clear" w:color="auto" w:fill="auto"/>
            <w:noWrap/>
            <w:vAlign w:val="center"/>
            <w:hideMark/>
          </w:tcPr>
          <w:p w14:paraId="5712C723"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0,6%</w:t>
            </w:r>
          </w:p>
        </w:tc>
      </w:tr>
      <w:tr w:rsidR="009E0093" w:rsidRPr="00454780" w14:paraId="7F872C7F" w14:textId="77777777" w:rsidTr="009E0093">
        <w:trPr>
          <w:trHeight w:val="255"/>
          <w:tblHeader/>
        </w:trPr>
        <w:tc>
          <w:tcPr>
            <w:tcW w:w="3216" w:type="dxa"/>
            <w:tcBorders>
              <w:top w:val="nil"/>
              <w:left w:val="single" w:sz="4" w:space="0" w:color="auto"/>
              <w:bottom w:val="single" w:sz="4" w:space="0" w:color="auto"/>
              <w:right w:val="single" w:sz="4" w:space="0" w:color="auto"/>
            </w:tcBorders>
            <w:shd w:val="clear" w:color="auto" w:fill="auto"/>
            <w:vAlign w:val="center"/>
            <w:hideMark/>
          </w:tcPr>
          <w:p w14:paraId="530DDA58" w14:textId="77777777" w:rsidR="009E0093" w:rsidRPr="00454780" w:rsidRDefault="009E0093" w:rsidP="009E0093">
            <w:pPr>
              <w:jc w:val="left"/>
              <w:rPr>
                <w:rFonts w:eastAsia="Times New Roman" w:cs="Arial"/>
                <w:sz w:val="20"/>
                <w:szCs w:val="20"/>
                <w:lang w:eastAsia="en-ZA"/>
              </w:rPr>
            </w:pPr>
            <w:r w:rsidRPr="00454780">
              <w:rPr>
                <w:rFonts w:eastAsia="Times New Roman" w:cs="Arial"/>
                <w:sz w:val="20"/>
                <w:szCs w:val="20"/>
                <w:lang w:eastAsia="en-ZA"/>
              </w:rPr>
              <w:t>National Credit Regulator</w:t>
            </w:r>
            <w:r>
              <w:rPr>
                <w:rFonts w:eastAsia="Times New Roman" w:cs="Arial"/>
                <w:sz w:val="20"/>
                <w:szCs w:val="20"/>
                <w:lang w:eastAsia="en-ZA"/>
              </w:rPr>
              <w:t xml:space="preserve"> (NCR)</w:t>
            </w:r>
          </w:p>
        </w:tc>
        <w:tc>
          <w:tcPr>
            <w:tcW w:w="1361" w:type="dxa"/>
            <w:tcBorders>
              <w:top w:val="nil"/>
              <w:left w:val="nil"/>
              <w:bottom w:val="single" w:sz="4" w:space="0" w:color="auto"/>
              <w:right w:val="single" w:sz="4" w:space="0" w:color="auto"/>
            </w:tcBorders>
            <w:shd w:val="clear" w:color="auto" w:fill="auto"/>
            <w:noWrap/>
            <w:vAlign w:val="center"/>
            <w:hideMark/>
          </w:tcPr>
          <w:p w14:paraId="557E49E5"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73 056</w:t>
            </w:r>
          </w:p>
        </w:tc>
        <w:tc>
          <w:tcPr>
            <w:tcW w:w="939" w:type="dxa"/>
            <w:tcBorders>
              <w:top w:val="nil"/>
              <w:left w:val="nil"/>
              <w:bottom w:val="single" w:sz="4" w:space="0" w:color="auto"/>
              <w:right w:val="single" w:sz="4" w:space="0" w:color="auto"/>
            </w:tcBorders>
            <w:shd w:val="clear" w:color="auto" w:fill="auto"/>
            <w:noWrap/>
            <w:vAlign w:val="center"/>
            <w:hideMark/>
          </w:tcPr>
          <w:p w14:paraId="68E5AD8E"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75 361</w:t>
            </w:r>
          </w:p>
        </w:tc>
        <w:tc>
          <w:tcPr>
            <w:tcW w:w="959" w:type="dxa"/>
            <w:tcBorders>
              <w:top w:val="nil"/>
              <w:left w:val="nil"/>
              <w:bottom w:val="single" w:sz="4" w:space="0" w:color="auto"/>
              <w:right w:val="single" w:sz="4" w:space="0" w:color="auto"/>
            </w:tcBorders>
            <w:shd w:val="clear" w:color="auto" w:fill="auto"/>
            <w:noWrap/>
            <w:vAlign w:val="center"/>
            <w:hideMark/>
          </w:tcPr>
          <w:p w14:paraId="4E4018D8"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79 580</w:t>
            </w:r>
          </w:p>
        </w:tc>
        <w:tc>
          <w:tcPr>
            <w:tcW w:w="939" w:type="dxa"/>
            <w:tcBorders>
              <w:top w:val="nil"/>
              <w:left w:val="nil"/>
              <w:bottom w:val="single" w:sz="4" w:space="0" w:color="auto"/>
              <w:right w:val="single" w:sz="4" w:space="0" w:color="auto"/>
            </w:tcBorders>
            <w:shd w:val="clear" w:color="auto" w:fill="auto"/>
            <w:noWrap/>
            <w:vAlign w:val="center"/>
            <w:hideMark/>
          </w:tcPr>
          <w:p w14:paraId="0C0604C4"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83 957</w:t>
            </w:r>
          </w:p>
        </w:tc>
        <w:tc>
          <w:tcPr>
            <w:tcW w:w="1292" w:type="dxa"/>
            <w:tcBorders>
              <w:top w:val="nil"/>
              <w:left w:val="nil"/>
              <w:bottom w:val="single" w:sz="4" w:space="0" w:color="auto"/>
              <w:right w:val="single" w:sz="4" w:space="0" w:color="auto"/>
            </w:tcBorders>
            <w:shd w:val="clear" w:color="auto" w:fill="auto"/>
            <w:noWrap/>
            <w:vAlign w:val="center"/>
            <w:hideMark/>
          </w:tcPr>
          <w:p w14:paraId="5DF19510"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4,7%</w:t>
            </w:r>
          </w:p>
        </w:tc>
        <w:tc>
          <w:tcPr>
            <w:tcW w:w="1339" w:type="dxa"/>
            <w:tcBorders>
              <w:top w:val="nil"/>
              <w:left w:val="nil"/>
              <w:bottom w:val="single" w:sz="4" w:space="0" w:color="auto"/>
              <w:right w:val="single" w:sz="4" w:space="0" w:color="auto"/>
            </w:tcBorders>
            <w:shd w:val="clear" w:color="auto" w:fill="auto"/>
            <w:noWrap/>
            <w:vAlign w:val="center"/>
            <w:hideMark/>
          </w:tcPr>
          <w:p w14:paraId="17F07A0E"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1,0%</w:t>
            </w:r>
          </w:p>
        </w:tc>
      </w:tr>
      <w:tr w:rsidR="009E0093" w:rsidRPr="00454780" w14:paraId="36648DA9" w14:textId="77777777" w:rsidTr="009E0093">
        <w:trPr>
          <w:trHeight w:val="255"/>
          <w:tblHeader/>
        </w:trPr>
        <w:tc>
          <w:tcPr>
            <w:tcW w:w="3216" w:type="dxa"/>
            <w:tcBorders>
              <w:top w:val="nil"/>
              <w:left w:val="single" w:sz="4" w:space="0" w:color="auto"/>
              <w:bottom w:val="single" w:sz="4" w:space="0" w:color="auto"/>
              <w:right w:val="single" w:sz="4" w:space="0" w:color="auto"/>
            </w:tcBorders>
            <w:shd w:val="clear" w:color="auto" w:fill="auto"/>
            <w:vAlign w:val="center"/>
            <w:hideMark/>
          </w:tcPr>
          <w:p w14:paraId="7FC2F3ED" w14:textId="77777777" w:rsidR="009E0093" w:rsidRPr="00454780" w:rsidRDefault="009E0093" w:rsidP="009E0093">
            <w:pPr>
              <w:jc w:val="left"/>
              <w:rPr>
                <w:rFonts w:eastAsia="Times New Roman" w:cs="Arial"/>
                <w:sz w:val="20"/>
                <w:szCs w:val="20"/>
                <w:lang w:eastAsia="en-ZA"/>
              </w:rPr>
            </w:pPr>
            <w:r w:rsidRPr="00454780">
              <w:rPr>
                <w:rFonts w:eastAsia="Times New Roman" w:cs="Arial"/>
                <w:sz w:val="20"/>
                <w:szCs w:val="20"/>
                <w:lang w:eastAsia="en-ZA"/>
              </w:rPr>
              <w:t>National Gambling Board</w:t>
            </w:r>
          </w:p>
        </w:tc>
        <w:tc>
          <w:tcPr>
            <w:tcW w:w="1361" w:type="dxa"/>
            <w:tcBorders>
              <w:top w:val="nil"/>
              <w:left w:val="nil"/>
              <w:bottom w:val="single" w:sz="4" w:space="0" w:color="auto"/>
              <w:right w:val="single" w:sz="4" w:space="0" w:color="auto"/>
            </w:tcBorders>
            <w:shd w:val="clear" w:color="auto" w:fill="auto"/>
            <w:noWrap/>
            <w:vAlign w:val="center"/>
            <w:hideMark/>
          </w:tcPr>
          <w:p w14:paraId="7514CB99"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31 627</w:t>
            </w:r>
          </w:p>
        </w:tc>
        <w:tc>
          <w:tcPr>
            <w:tcW w:w="939" w:type="dxa"/>
            <w:tcBorders>
              <w:top w:val="nil"/>
              <w:left w:val="nil"/>
              <w:bottom w:val="single" w:sz="4" w:space="0" w:color="auto"/>
              <w:right w:val="single" w:sz="4" w:space="0" w:color="auto"/>
            </w:tcBorders>
            <w:shd w:val="clear" w:color="auto" w:fill="auto"/>
            <w:noWrap/>
            <w:vAlign w:val="center"/>
            <w:hideMark/>
          </w:tcPr>
          <w:p w14:paraId="39D39A34"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32 624</w:t>
            </w:r>
          </w:p>
        </w:tc>
        <w:tc>
          <w:tcPr>
            <w:tcW w:w="959" w:type="dxa"/>
            <w:tcBorders>
              <w:top w:val="nil"/>
              <w:left w:val="nil"/>
              <w:bottom w:val="single" w:sz="4" w:space="0" w:color="auto"/>
              <w:right w:val="single" w:sz="4" w:space="0" w:color="auto"/>
            </w:tcBorders>
            <w:shd w:val="clear" w:color="auto" w:fill="auto"/>
            <w:noWrap/>
            <w:vAlign w:val="center"/>
            <w:hideMark/>
          </w:tcPr>
          <w:p w14:paraId="05CF8CD8"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34 452</w:t>
            </w:r>
          </w:p>
        </w:tc>
        <w:tc>
          <w:tcPr>
            <w:tcW w:w="939" w:type="dxa"/>
            <w:tcBorders>
              <w:top w:val="nil"/>
              <w:left w:val="nil"/>
              <w:bottom w:val="single" w:sz="4" w:space="0" w:color="auto"/>
              <w:right w:val="single" w:sz="4" w:space="0" w:color="auto"/>
            </w:tcBorders>
            <w:shd w:val="clear" w:color="auto" w:fill="auto"/>
            <w:noWrap/>
            <w:vAlign w:val="center"/>
            <w:hideMark/>
          </w:tcPr>
          <w:p w14:paraId="065AE6AE"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36 346</w:t>
            </w:r>
          </w:p>
        </w:tc>
        <w:tc>
          <w:tcPr>
            <w:tcW w:w="1292" w:type="dxa"/>
            <w:tcBorders>
              <w:top w:val="nil"/>
              <w:left w:val="nil"/>
              <w:bottom w:val="single" w:sz="4" w:space="0" w:color="auto"/>
              <w:right w:val="single" w:sz="4" w:space="0" w:color="auto"/>
            </w:tcBorders>
            <w:shd w:val="clear" w:color="auto" w:fill="auto"/>
            <w:noWrap/>
            <w:vAlign w:val="center"/>
            <w:hideMark/>
          </w:tcPr>
          <w:p w14:paraId="68505B21"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4,7%</w:t>
            </w:r>
          </w:p>
        </w:tc>
        <w:tc>
          <w:tcPr>
            <w:tcW w:w="1339" w:type="dxa"/>
            <w:tcBorders>
              <w:top w:val="nil"/>
              <w:left w:val="nil"/>
              <w:bottom w:val="single" w:sz="4" w:space="0" w:color="auto"/>
              <w:right w:val="single" w:sz="4" w:space="0" w:color="auto"/>
            </w:tcBorders>
            <w:shd w:val="clear" w:color="auto" w:fill="auto"/>
            <w:noWrap/>
            <w:vAlign w:val="center"/>
            <w:hideMark/>
          </w:tcPr>
          <w:p w14:paraId="6DC4EA7C"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0,4%</w:t>
            </w:r>
          </w:p>
        </w:tc>
      </w:tr>
      <w:tr w:rsidR="009E0093" w:rsidRPr="00454780" w14:paraId="74CE6A37" w14:textId="77777777" w:rsidTr="009E0093">
        <w:trPr>
          <w:trHeight w:val="255"/>
          <w:tblHeader/>
        </w:trPr>
        <w:tc>
          <w:tcPr>
            <w:tcW w:w="3216" w:type="dxa"/>
            <w:tcBorders>
              <w:top w:val="nil"/>
              <w:left w:val="single" w:sz="4" w:space="0" w:color="auto"/>
              <w:bottom w:val="single" w:sz="4" w:space="0" w:color="auto"/>
              <w:right w:val="single" w:sz="4" w:space="0" w:color="auto"/>
            </w:tcBorders>
            <w:shd w:val="clear" w:color="auto" w:fill="auto"/>
            <w:vAlign w:val="center"/>
            <w:hideMark/>
          </w:tcPr>
          <w:p w14:paraId="4A9B548D" w14:textId="77777777" w:rsidR="009E0093" w:rsidRPr="00454780" w:rsidRDefault="009E0093" w:rsidP="009E0093">
            <w:pPr>
              <w:jc w:val="left"/>
              <w:rPr>
                <w:rFonts w:eastAsia="Times New Roman" w:cs="Arial"/>
                <w:sz w:val="20"/>
                <w:szCs w:val="20"/>
                <w:lang w:eastAsia="en-ZA"/>
              </w:rPr>
            </w:pPr>
            <w:r w:rsidRPr="00454780">
              <w:rPr>
                <w:rFonts w:eastAsia="Times New Roman" w:cs="Arial"/>
                <w:sz w:val="20"/>
                <w:szCs w:val="20"/>
                <w:lang w:eastAsia="en-ZA"/>
              </w:rPr>
              <w:t>National Metrology Institute of South Africa</w:t>
            </w:r>
            <w:r>
              <w:rPr>
                <w:rFonts w:eastAsia="Times New Roman" w:cs="Arial"/>
                <w:sz w:val="20"/>
                <w:szCs w:val="20"/>
                <w:lang w:eastAsia="en-ZA"/>
              </w:rPr>
              <w:t xml:space="preserve"> (NMISA)</w:t>
            </w:r>
          </w:p>
        </w:tc>
        <w:tc>
          <w:tcPr>
            <w:tcW w:w="1361" w:type="dxa"/>
            <w:tcBorders>
              <w:top w:val="nil"/>
              <w:left w:val="nil"/>
              <w:bottom w:val="single" w:sz="4" w:space="0" w:color="auto"/>
              <w:right w:val="single" w:sz="4" w:space="0" w:color="auto"/>
            </w:tcBorders>
            <w:shd w:val="clear" w:color="auto" w:fill="auto"/>
            <w:noWrap/>
            <w:vAlign w:val="center"/>
            <w:hideMark/>
          </w:tcPr>
          <w:p w14:paraId="44077BFD"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106 470</w:t>
            </w:r>
          </w:p>
        </w:tc>
        <w:tc>
          <w:tcPr>
            <w:tcW w:w="939" w:type="dxa"/>
            <w:tcBorders>
              <w:top w:val="nil"/>
              <w:left w:val="nil"/>
              <w:bottom w:val="single" w:sz="4" w:space="0" w:color="auto"/>
              <w:right w:val="single" w:sz="4" w:space="0" w:color="auto"/>
            </w:tcBorders>
            <w:shd w:val="clear" w:color="auto" w:fill="auto"/>
            <w:noWrap/>
            <w:vAlign w:val="center"/>
            <w:hideMark/>
          </w:tcPr>
          <w:p w14:paraId="6E2C7FC9"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109 698</w:t>
            </w:r>
          </w:p>
        </w:tc>
        <w:tc>
          <w:tcPr>
            <w:tcW w:w="959" w:type="dxa"/>
            <w:tcBorders>
              <w:top w:val="nil"/>
              <w:left w:val="nil"/>
              <w:bottom w:val="single" w:sz="4" w:space="0" w:color="auto"/>
              <w:right w:val="single" w:sz="4" w:space="0" w:color="auto"/>
            </w:tcBorders>
            <w:shd w:val="clear" w:color="auto" w:fill="auto"/>
            <w:noWrap/>
            <w:vAlign w:val="center"/>
            <w:hideMark/>
          </w:tcPr>
          <w:p w14:paraId="3C2F2AEB"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115 841</w:t>
            </w:r>
          </w:p>
        </w:tc>
        <w:tc>
          <w:tcPr>
            <w:tcW w:w="939" w:type="dxa"/>
            <w:tcBorders>
              <w:top w:val="nil"/>
              <w:left w:val="nil"/>
              <w:bottom w:val="single" w:sz="4" w:space="0" w:color="auto"/>
              <w:right w:val="single" w:sz="4" w:space="0" w:color="auto"/>
            </w:tcBorders>
            <w:shd w:val="clear" w:color="auto" w:fill="auto"/>
            <w:noWrap/>
            <w:vAlign w:val="center"/>
            <w:hideMark/>
          </w:tcPr>
          <w:p w14:paraId="788E5E99"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122 212</w:t>
            </w:r>
          </w:p>
        </w:tc>
        <w:tc>
          <w:tcPr>
            <w:tcW w:w="1292" w:type="dxa"/>
            <w:tcBorders>
              <w:top w:val="nil"/>
              <w:left w:val="nil"/>
              <w:bottom w:val="single" w:sz="4" w:space="0" w:color="auto"/>
              <w:right w:val="single" w:sz="4" w:space="0" w:color="auto"/>
            </w:tcBorders>
            <w:shd w:val="clear" w:color="auto" w:fill="auto"/>
            <w:noWrap/>
            <w:vAlign w:val="center"/>
            <w:hideMark/>
          </w:tcPr>
          <w:p w14:paraId="08CFFCA3"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4,7%</w:t>
            </w:r>
          </w:p>
        </w:tc>
        <w:tc>
          <w:tcPr>
            <w:tcW w:w="1339" w:type="dxa"/>
            <w:tcBorders>
              <w:top w:val="nil"/>
              <w:left w:val="nil"/>
              <w:bottom w:val="single" w:sz="4" w:space="0" w:color="auto"/>
              <w:right w:val="single" w:sz="4" w:space="0" w:color="auto"/>
            </w:tcBorders>
            <w:shd w:val="clear" w:color="auto" w:fill="auto"/>
            <w:noWrap/>
            <w:vAlign w:val="center"/>
            <w:hideMark/>
          </w:tcPr>
          <w:p w14:paraId="2E1B9FCE"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1,4%</w:t>
            </w:r>
          </w:p>
        </w:tc>
      </w:tr>
      <w:tr w:rsidR="009E0093" w:rsidRPr="00454780" w14:paraId="4E7FD7BA" w14:textId="77777777" w:rsidTr="009E0093">
        <w:trPr>
          <w:trHeight w:val="255"/>
          <w:tblHeader/>
        </w:trPr>
        <w:tc>
          <w:tcPr>
            <w:tcW w:w="3216" w:type="dxa"/>
            <w:tcBorders>
              <w:top w:val="nil"/>
              <w:left w:val="single" w:sz="4" w:space="0" w:color="auto"/>
              <w:bottom w:val="single" w:sz="4" w:space="0" w:color="auto"/>
              <w:right w:val="single" w:sz="4" w:space="0" w:color="auto"/>
            </w:tcBorders>
            <w:shd w:val="clear" w:color="auto" w:fill="auto"/>
            <w:vAlign w:val="center"/>
            <w:hideMark/>
          </w:tcPr>
          <w:p w14:paraId="2DCDABA7" w14:textId="77777777" w:rsidR="009E0093" w:rsidRPr="00454780" w:rsidRDefault="009E0093" w:rsidP="009E0093">
            <w:pPr>
              <w:jc w:val="left"/>
              <w:rPr>
                <w:rFonts w:eastAsia="Times New Roman" w:cs="Arial"/>
                <w:sz w:val="20"/>
                <w:szCs w:val="20"/>
                <w:lang w:eastAsia="en-ZA"/>
              </w:rPr>
            </w:pPr>
            <w:r w:rsidRPr="00454780">
              <w:rPr>
                <w:rFonts w:eastAsia="Times New Roman" w:cs="Arial"/>
                <w:sz w:val="20"/>
                <w:szCs w:val="20"/>
                <w:lang w:eastAsia="en-ZA"/>
              </w:rPr>
              <w:t>National Regulator for Compulsory Specifications</w:t>
            </w:r>
            <w:r>
              <w:rPr>
                <w:rFonts w:eastAsia="Times New Roman" w:cs="Arial"/>
                <w:sz w:val="20"/>
                <w:szCs w:val="20"/>
                <w:lang w:eastAsia="en-ZA"/>
              </w:rPr>
              <w:t xml:space="preserve"> (NRCS)</w:t>
            </w:r>
          </w:p>
        </w:tc>
        <w:tc>
          <w:tcPr>
            <w:tcW w:w="1361" w:type="dxa"/>
            <w:tcBorders>
              <w:top w:val="nil"/>
              <w:left w:val="nil"/>
              <w:bottom w:val="single" w:sz="4" w:space="0" w:color="auto"/>
              <w:right w:val="single" w:sz="4" w:space="0" w:color="auto"/>
            </w:tcBorders>
            <w:shd w:val="clear" w:color="auto" w:fill="auto"/>
            <w:noWrap/>
            <w:vAlign w:val="center"/>
            <w:hideMark/>
          </w:tcPr>
          <w:p w14:paraId="463F0042"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128 745</w:t>
            </w:r>
          </w:p>
        </w:tc>
        <w:tc>
          <w:tcPr>
            <w:tcW w:w="939" w:type="dxa"/>
            <w:tcBorders>
              <w:top w:val="nil"/>
              <w:left w:val="nil"/>
              <w:bottom w:val="single" w:sz="4" w:space="0" w:color="auto"/>
              <w:right w:val="single" w:sz="4" w:space="0" w:color="auto"/>
            </w:tcBorders>
            <w:shd w:val="clear" w:color="auto" w:fill="auto"/>
            <w:noWrap/>
            <w:vAlign w:val="center"/>
            <w:hideMark/>
          </w:tcPr>
          <w:p w14:paraId="79F9AE9A"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132 104</w:t>
            </w:r>
          </w:p>
        </w:tc>
        <w:tc>
          <w:tcPr>
            <w:tcW w:w="959" w:type="dxa"/>
            <w:tcBorders>
              <w:top w:val="nil"/>
              <w:left w:val="nil"/>
              <w:bottom w:val="single" w:sz="4" w:space="0" w:color="auto"/>
              <w:right w:val="single" w:sz="4" w:space="0" w:color="auto"/>
            </w:tcBorders>
            <w:shd w:val="clear" w:color="auto" w:fill="auto"/>
            <w:noWrap/>
            <w:vAlign w:val="center"/>
            <w:hideMark/>
          </w:tcPr>
          <w:p w14:paraId="7AAC46D9"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139 501</w:t>
            </w:r>
          </w:p>
        </w:tc>
        <w:tc>
          <w:tcPr>
            <w:tcW w:w="939" w:type="dxa"/>
            <w:tcBorders>
              <w:top w:val="nil"/>
              <w:left w:val="nil"/>
              <w:bottom w:val="single" w:sz="4" w:space="0" w:color="auto"/>
              <w:right w:val="single" w:sz="4" w:space="0" w:color="auto"/>
            </w:tcBorders>
            <w:shd w:val="clear" w:color="auto" w:fill="auto"/>
            <w:noWrap/>
            <w:vAlign w:val="center"/>
            <w:hideMark/>
          </w:tcPr>
          <w:p w14:paraId="3E26EB3E"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147 173</w:t>
            </w:r>
          </w:p>
        </w:tc>
        <w:tc>
          <w:tcPr>
            <w:tcW w:w="1292" w:type="dxa"/>
            <w:tcBorders>
              <w:top w:val="nil"/>
              <w:left w:val="nil"/>
              <w:bottom w:val="single" w:sz="4" w:space="0" w:color="auto"/>
              <w:right w:val="single" w:sz="4" w:space="0" w:color="auto"/>
            </w:tcBorders>
            <w:shd w:val="clear" w:color="auto" w:fill="auto"/>
            <w:noWrap/>
            <w:vAlign w:val="center"/>
            <w:hideMark/>
          </w:tcPr>
          <w:p w14:paraId="761B7F77"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4,6%</w:t>
            </w:r>
          </w:p>
        </w:tc>
        <w:tc>
          <w:tcPr>
            <w:tcW w:w="1339" w:type="dxa"/>
            <w:tcBorders>
              <w:top w:val="nil"/>
              <w:left w:val="nil"/>
              <w:bottom w:val="single" w:sz="4" w:space="0" w:color="auto"/>
              <w:right w:val="single" w:sz="4" w:space="0" w:color="auto"/>
            </w:tcBorders>
            <w:shd w:val="clear" w:color="auto" w:fill="auto"/>
            <w:noWrap/>
            <w:vAlign w:val="center"/>
            <w:hideMark/>
          </w:tcPr>
          <w:p w14:paraId="17F5DF2F"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1,7%</w:t>
            </w:r>
          </w:p>
        </w:tc>
      </w:tr>
      <w:tr w:rsidR="009E0093" w:rsidRPr="00454780" w14:paraId="7CB0DDE8" w14:textId="77777777" w:rsidTr="009E0093">
        <w:trPr>
          <w:trHeight w:val="255"/>
          <w:tblHeader/>
        </w:trPr>
        <w:tc>
          <w:tcPr>
            <w:tcW w:w="3216" w:type="dxa"/>
            <w:tcBorders>
              <w:top w:val="nil"/>
              <w:left w:val="single" w:sz="4" w:space="0" w:color="auto"/>
              <w:bottom w:val="single" w:sz="4" w:space="0" w:color="auto"/>
              <w:right w:val="single" w:sz="4" w:space="0" w:color="auto"/>
            </w:tcBorders>
            <w:shd w:val="clear" w:color="auto" w:fill="auto"/>
            <w:vAlign w:val="center"/>
            <w:hideMark/>
          </w:tcPr>
          <w:p w14:paraId="1983E99E" w14:textId="77777777" w:rsidR="009E0093" w:rsidRPr="00454780" w:rsidRDefault="009E0093" w:rsidP="009E0093">
            <w:pPr>
              <w:jc w:val="left"/>
              <w:rPr>
                <w:rFonts w:eastAsia="Times New Roman" w:cs="Arial"/>
                <w:sz w:val="20"/>
                <w:szCs w:val="20"/>
                <w:lang w:eastAsia="en-ZA"/>
              </w:rPr>
            </w:pPr>
            <w:r w:rsidRPr="00454780">
              <w:rPr>
                <w:rFonts w:eastAsia="Times New Roman" w:cs="Arial"/>
                <w:sz w:val="20"/>
                <w:szCs w:val="20"/>
                <w:lang w:eastAsia="en-ZA"/>
              </w:rPr>
              <w:t>South African Bureau of Standards</w:t>
            </w:r>
            <w:r>
              <w:rPr>
                <w:rFonts w:eastAsia="Times New Roman" w:cs="Arial"/>
                <w:sz w:val="20"/>
                <w:szCs w:val="20"/>
                <w:lang w:eastAsia="en-ZA"/>
              </w:rPr>
              <w:t xml:space="preserve"> (SABS)</w:t>
            </w:r>
          </w:p>
        </w:tc>
        <w:tc>
          <w:tcPr>
            <w:tcW w:w="1361" w:type="dxa"/>
            <w:tcBorders>
              <w:top w:val="nil"/>
              <w:left w:val="nil"/>
              <w:bottom w:val="single" w:sz="4" w:space="0" w:color="auto"/>
              <w:right w:val="single" w:sz="4" w:space="0" w:color="auto"/>
            </w:tcBorders>
            <w:shd w:val="clear" w:color="auto" w:fill="auto"/>
            <w:noWrap/>
            <w:vAlign w:val="center"/>
            <w:hideMark/>
          </w:tcPr>
          <w:p w14:paraId="74A60D37"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285 494</w:t>
            </w:r>
          </w:p>
        </w:tc>
        <w:tc>
          <w:tcPr>
            <w:tcW w:w="939" w:type="dxa"/>
            <w:tcBorders>
              <w:top w:val="nil"/>
              <w:left w:val="nil"/>
              <w:bottom w:val="single" w:sz="4" w:space="0" w:color="auto"/>
              <w:right w:val="single" w:sz="4" w:space="0" w:color="auto"/>
            </w:tcBorders>
            <w:shd w:val="clear" w:color="auto" w:fill="auto"/>
            <w:noWrap/>
            <w:vAlign w:val="center"/>
            <w:hideMark/>
          </w:tcPr>
          <w:p w14:paraId="2155E760"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275 931</w:t>
            </w:r>
          </w:p>
        </w:tc>
        <w:tc>
          <w:tcPr>
            <w:tcW w:w="959" w:type="dxa"/>
            <w:tcBorders>
              <w:top w:val="nil"/>
              <w:left w:val="nil"/>
              <w:bottom w:val="single" w:sz="4" w:space="0" w:color="auto"/>
              <w:right w:val="single" w:sz="4" w:space="0" w:color="auto"/>
            </w:tcBorders>
            <w:shd w:val="clear" w:color="auto" w:fill="auto"/>
            <w:noWrap/>
            <w:vAlign w:val="center"/>
            <w:hideMark/>
          </w:tcPr>
          <w:p w14:paraId="779A1308"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291 384</w:t>
            </w:r>
          </w:p>
        </w:tc>
        <w:tc>
          <w:tcPr>
            <w:tcW w:w="939" w:type="dxa"/>
            <w:tcBorders>
              <w:top w:val="nil"/>
              <w:left w:val="nil"/>
              <w:bottom w:val="single" w:sz="4" w:space="0" w:color="auto"/>
              <w:right w:val="single" w:sz="4" w:space="0" w:color="auto"/>
            </w:tcBorders>
            <w:shd w:val="clear" w:color="auto" w:fill="auto"/>
            <w:noWrap/>
            <w:vAlign w:val="center"/>
            <w:hideMark/>
          </w:tcPr>
          <w:p w14:paraId="6CD90CD8"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307 411</w:t>
            </w:r>
          </w:p>
        </w:tc>
        <w:tc>
          <w:tcPr>
            <w:tcW w:w="1292" w:type="dxa"/>
            <w:tcBorders>
              <w:top w:val="nil"/>
              <w:left w:val="nil"/>
              <w:bottom w:val="single" w:sz="4" w:space="0" w:color="auto"/>
              <w:right w:val="single" w:sz="4" w:space="0" w:color="auto"/>
            </w:tcBorders>
            <w:shd w:val="clear" w:color="auto" w:fill="auto"/>
            <w:noWrap/>
            <w:vAlign w:val="center"/>
            <w:hideMark/>
          </w:tcPr>
          <w:p w14:paraId="5DCEACE2"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2,5%</w:t>
            </w:r>
          </w:p>
        </w:tc>
        <w:tc>
          <w:tcPr>
            <w:tcW w:w="1339" w:type="dxa"/>
            <w:tcBorders>
              <w:top w:val="nil"/>
              <w:left w:val="nil"/>
              <w:bottom w:val="single" w:sz="4" w:space="0" w:color="auto"/>
              <w:right w:val="single" w:sz="4" w:space="0" w:color="auto"/>
            </w:tcBorders>
            <w:shd w:val="clear" w:color="auto" w:fill="auto"/>
            <w:noWrap/>
            <w:vAlign w:val="center"/>
            <w:hideMark/>
          </w:tcPr>
          <w:p w14:paraId="5CCB4207"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3,5%</w:t>
            </w:r>
          </w:p>
        </w:tc>
      </w:tr>
      <w:tr w:rsidR="009E0093" w:rsidRPr="00454780" w14:paraId="4DC7B2E2" w14:textId="77777777" w:rsidTr="009E0093">
        <w:trPr>
          <w:trHeight w:val="255"/>
          <w:tblHeader/>
        </w:trPr>
        <w:tc>
          <w:tcPr>
            <w:tcW w:w="3216" w:type="dxa"/>
            <w:tcBorders>
              <w:top w:val="nil"/>
              <w:left w:val="single" w:sz="4" w:space="0" w:color="auto"/>
              <w:bottom w:val="single" w:sz="4" w:space="0" w:color="auto"/>
              <w:right w:val="single" w:sz="4" w:space="0" w:color="auto"/>
            </w:tcBorders>
            <w:shd w:val="clear" w:color="auto" w:fill="auto"/>
            <w:vAlign w:val="center"/>
            <w:hideMark/>
          </w:tcPr>
          <w:p w14:paraId="283E058B" w14:textId="77777777" w:rsidR="009E0093" w:rsidRPr="00454780" w:rsidRDefault="009E0093" w:rsidP="009E0093">
            <w:pPr>
              <w:jc w:val="left"/>
              <w:rPr>
                <w:rFonts w:eastAsia="Times New Roman" w:cs="Arial"/>
                <w:sz w:val="20"/>
                <w:szCs w:val="20"/>
                <w:lang w:eastAsia="en-ZA"/>
              </w:rPr>
            </w:pPr>
            <w:r w:rsidRPr="00454780">
              <w:rPr>
                <w:rFonts w:eastAsia="Times New Roman" w:cs="Arial"/>
                <w:sz w:val="20"/>
                <w:szCs w:val="20"/>
                <w:lang w:eastAsia="en-ZA"/>
              </w:rPr>
              <w:lastRenderedPageBreak/>
              <w:t>South African National Accreditation System</w:t>
            </w:r>
            <w:r>
              <w:rPr>
                <w:rFonts w:eastAsia="Times New Roman" w:cs="Arial"/>
                <w:sz w:val="20"/>
                <w:szCs w:val="20"/>
                <w:lang w:eastAsia="en-ZA"/>
              </w:rPr>
              <w:t xml:space="preserve"> (SANAS)</w:t>
            </w:r>
          </w:p>
        </w:tc>
        <w:tc>
          <w:tcPr>
            <w:tcW w:w="1361" w:type="dxa"/>
            <w:tcBorders>
              <w:top w:val="nil"/>
              <w:left w:val="nil"/>
              <w:bottom w:val="single" w:sz="4" w:space="0" w:color="auto"/>
              <w:right w:val="single" w:sz="4" w:space="0" w:color="auto"/>
            </w:tcBorders>
            <w:shd w:val="clear" w:color="auto" w:fill="auto"/>
            <w:noWrap/>
            <w:vAlign w:val="center"/>
            <w:hideMark/>
          </w:tcPr>
          <w:p w14:paraId="6E676D80"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30 313</w:t>
            </w:r>
          </w:p>
        </w:tc>
        <w:tc>
          <w:tcPr>
            <w:tcW w:w="939" w:type="dxa"/>
            <w:tcBorders>
              <w:top w:val="nil"/>
              <w:left w:val="nil"/>
              <w:bottom w:val="single" w:sz="4" w:space="0" w:color="auto"/>
              <w:right w:val="single" w:sz="4" w:space="0" w:color="auto"/>
            </w:tcBorders>
            <w:shd w:val="clear" w:color="auto" w:fill="auto"/>
            <w:noWrap/>
            <w:vAlign w:val="center"/>
            <w:hideMark/>
          </w:tcPr>
          <w:p w14:paraId="10E0B6B2"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31 032</w:t>
            </w:r>
          </w:p>
        </w:tc>
        <w:tc>
          <w:tcPr>
            <w:tcW w:w="959" w:type="dxa"/>
            <w:tcBorders>
              <w:top w:val="nil"/>
              <w:left w:val="nil"/>
              <w:bottom w:val="single" w:sz="4" w:space="0" w:color="auto"/>
              <w:right w:val="single" w:sz="4" w:space="0" w:color="auto"/>
            </w:tcBorders>
            <w:shd w:val="clear" w:color="auto" w:fill="auto"/>
            <w:noWrap/>
            <w:vAlign w:val="center"/>
            <w:hideMark/>
          </w:tcPr>
          <w:p w14:paraId="17CD936C"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32 770</w:t>
            </w:r>
          </w:p>
        </w:tc>
        <w:tc>
          <w:tcPr>
            <w:tcW w:w="939" w:type="dxa"/>
            <w:tcBorders>
              <w:top w:val="nil"/>
              <w:left w:val="nil"/>
              <w:bottom w:val="single" w:sz="4" w:space="0" w:color="auto"/>
              <w:right w:val="single" w:sz="4" w:space="0" w:color="auto"/>
            </w:tcBorders>
            <w:shd w:val="clear" w:color="auto" w:fill="auto"/>
            <w:noWrap/>
            <w:vAlign w:val="center"/>
            <w:hideMark/>
          </w:tcPr>
          <w:p w14:paraId="449D5805"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34 573</w:t>
            </w:r>
          </w:p>
        </w:tc>
        <w:tc>
          <w:tcPr>
            <w:tcW w:w="1292" w:type="dxa"/>
            <w:tcBorders>
              <w:top w:val="nil"/>
              <w:left w:val="nil"/>
              <w:bottom w:val="single" w:sz="4" w:space="0" w:color="auto"/>
              <w:right w:val="single" w:sz="4" w:space="0" w:color="auto"/>
            </w:tcBorders>
            <w:shd w:val="clear" w:color="auto" w:fill="auto"/>
            <w:noWrap/>
            <w:vAlign w:val="center"/>
            <w:hideMark/>
          </w:tcPr>
          <w:p w14:paraId="6346A416"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4,5%</w:t>
            </w:r>
          </w:p>
        </w:tc>
        <w:tc>
          <w:tcPr>
            <w:tcW w:w="1339" w:type="dxa"/>
            <w:tcBorders>
              <w:top w:val="nil"/>
              <w:left w:val="nil"/>
              <w:bottom w:val="single" w:sz="4" w:space="0" w:color="auto"/>
              <w:right w:val="single" w:sz="4" w:space="0" w:color="auto"/>
            </w:tcBorders>
            <w:shd w:val="clear" w:color="auto" w:fill="auto"/>
            <w:noWrap/>
            <w:vAlign w:val="center"/>
            <w:hideMark/>
          </w:tcPr>
          <w:p w14:paraId="2811CBE4" w14:textId="77777777" w:rsidR="009E0093" w:rsidRPr="00454780" w:rsidRDefault="009E0093" w:rsidP="009E0093">
            <w:pPr>
              <w:jc w:val="right"/>
              <w:rPr>
                <w:rFonts w:eastAsia="Times New Roman" w:cs="Arial"/>
                <w:sz w:val="20"/>
                <w:szCs w:val="20"/>
                <w:lang w:eastAsia="en-ZA"/>
              </w:rPr>
            </w:pPr>
            <w:r w:rsidRPr="00454780">
              <w:rPr>
                <w:rFonts w:eastAsia="Times New Roman" w:cs="Arial"/>
                <w:sz w:val="20"/>
                <w:szCs w:val="20"/>
                <w:lang w:eastAsia="en-ZA"/>
              </w:rPr>
              <w:t>0,4%</w:t>
            </w:r>
          </w:p>
        </w:tc>
      </w:tr>
    </w:tbl>
    <w:p w14:paraId="012665C4" w14:textId="31E175F5" w:rsidR="009E0093" w:rsidRPr="000977B0" w:rsidRDefault="009E0093" w:rsidP="009E0093">
      <w:pPr>
        <w:rPr>
          <w:sz w:val="20"/>
          <w:szCs w:val="18"/>
        </w:rPr>
      </w:pPr>
      <w:r w:rsidRPr="000977B0">
        <w:rPr>
          <w:rFonts w:eastAsia="Calibri" w:cs="Arial"/>
          <w:b/>
          <w:sz w:val="20"/>
          <w:szCs w:val="18"/>
        </w:rPr>
        <w:t>Source</w:t>
      </w:r>
      <w:r w:rsidRPr="000977B0">
        <w:rPr>
          <w:rFonts w:eastAsia="Calibri" w:cs="Arial"/>
          <w:sz w:val="20"/>
          <w:szCs w:val="18"/>
        </w:rPr>
        <w:t>: National Treasury (2018</w:t>
      </w:r>
      <w:r w:rsidR="00525E59">
        <w:rPr>
          <w:rFonts w:eastAsia="Calibri" w:cs="Arial"/>
          <w:sz w:val="20"/>
          <w:szCs w:val="18"/>
        </w:rPr>
        <w:t>a</w:t>
      </w:r>
      <w:r w:rsidRPr="000977B0">
        <w:rPr>
          <w:rFonts w:eastAsia="Calibri" w:cs="Arial"/>
          <w:sz w:val="20"/>
          <w:szCs w:val="18"/>
        </w:rPr>
        <w:t>)</w:t>
      </w:r>
    </w:p>
    <w:p w14:paraId="58713100" w14:textId="77777777" w:rsidR="009E0093" w:rsidRDefault="009E0093" w:rsidP="0062246E">
      <w:pPr>
        <w:rPr>
          <w:b/>
          <w:lang w:eastAsia="en-ZA"/>
        </w:rPr>
      </w:pPr>
    </w:p>
    <w:p w14:paraId="5D012819" w14:textId="7E8892B5" w:rsidR="0079637C" w:rsidRPr="00520D28" w:rsidRDefault="002145D8" w:rsidP="0062246E">
      <w:pPr>
        <w:rPr>
          <w:rFonts w:cs="Times New Roman"/>
          <w:szCs w:val="24"/>
        </w:rPr>
      </w:pPr>
      <w:r w:rsidRPr="00520D28">
        <w:rPr>
          <w:rFonts w:cs="Times New Roman"/>
          <w:szCs w:val="24"/>
        </w:rPr>
        <w:t xml:space="preserve">In </w:t>
      </w:r>
      <w:r w:rsidR="0079637C" w:rsidRPr="00520D28">
        <w:rPr>
          <w:rFonts w:cs="Times New Roman"/>
          <w:szCs w:val="24"/>
        </w:rPr>
        <w:t>the previous financial year</w:t>
      </w:r>
      <w:r>
        <w:rPr>
          <w:rFonts w:cs="Times New Roman"/>
          <w:szCs w:val="24"/>
        </w:rPr>
        <w:t>,</w:t>
      </w:r>
      <w:r w:rsidR="0079637C" w:rsidRPr="00520D28">
        <w:rPr>
          <w:rFonts w:cs="Times New Roman"/>
          <w:szCs w:val="24"/>
        </w:rPr>
        <w:t xml:space="preserve"> the B-BBEE Commission </w:t>
      </w:r>
      <w:r>
        <w:rPr>
          <w:rFonts w:cs="Times New Roman"/>
          <w:szCs w:val="24"/>
        </w:rPr>
        <w:t>had</w:t>
      </w:r>
      <w:r w:rsidR="0079637C" w:rsidRPr="00520D28">
        <w:rPr>
          <w:rFonts w:cs="Times New Roman"/>
          <w:szCs w:val="24"/>
        </w:rPr>
        <w:t xml:space="preserve"> not </w:t>
      </w:r>
      <w:r>
        <w:rPr>
          <w:rFonts w:cs="Times New Roman"/>
          <w:szCs w:val="24"/>
        </w:rPr>
        <w:t xml:space="preserve">been allocated </w:t>
      </w:r>
      <w:r w:rsidR="0079637C" w:rsidRPr="00520D28">
        <w:rPr>
          <w:rFonts w:cs="Times New Roman"/>
          <w:szCs w:val="24"/>
        </w:rPr>
        <w:t xml:space="preserve">its own funds, and it operated under the </w:t>
      </w:r>
      <w:r>
        <w:rPr>
          <w:rFonts w:cs="Times New Roman"/>
          <w:szCs w:val="24"/>
        </w:rPr>
        <w:t>DTI</w:t>
      </w:r>
      <w:r w:rsidR="0079637C" w:rsidRPr="00520D28">
        <w:rPr>
          <w:rFonts w:cs="Times New Roman"/>
          <w:szCs w:val="24"/>
        </w:rPr>
        <w:t xml:space="preserve">. For the 2018/19 financial year, transfers to the Department’s entities are illustrated in the table below.   </w:t>
      </w:r>
    </w:p>
    <w:p w14:paraId="106C1D54" w14:textId="77777777" w:rsidR="0079637C" w:rsidRDefault="0079637C" w:rsidP="0062246E">
      <w:pPr>
        <w:rPr>
          <w:lang w:eastAsia="en-ZA"/>
        </w:rPr>
      </w:pPr>
    </w:p>
    <w:p w14:paraId="590A448D" w14:textId="07CC6AE3" w:rsidR="009E0093" w:rsidRDefault="009E0093" w:rsidP="009E0093">
      <w:pPr>
        <w:rPr>
          <w:rFonts w:cs="Times New Roman"/>
          <w:szCs w:val="24"/>
        </w:rPr>
      </w:pPr>
      <w:r w:rsidRPr="00520D28">
        <w:rPr>
          <w:rFonts w:cs="Times New Roman"/>
          <w:szCs w:val="24"/>
        </w:rPr>
        <w:t>In addition to these transfers, during the financial year National Metrology Institute of South Africa will receive funding to the value of R123.1 million for capital expenditure. In the previous financial year, NMISA received R146.1 million.</w:t>
      </w:r>
    </w:p>
    <w:p w14:paraId="628AA3D1" w14:textId="60F56693" w:rsidR="00BD0E7B" w:rsidRPr="00052A2F" w:rsidRDefault="00BD0E7B" w:rsidP="0062246E">
      <w:pPr>
        <w:rPr>
          <w:rFonts w:eastAsia="Calibri" w:cs="Times New Roman"/>
          <w:szCs w:val="24"/>
        </w:rPr>
      </w:pPr>
    </w:p>
    <w:p w14:paraId="7BBB62C3" w14:textId="77777777" w:rsidR="00313391" w:rsidRPr="00520D28" w:rsidRDefault="00313391" w:rsidP="0062246E">
      <w:pPr>
        <w:pStyle w:val="ListParagraph"/>
        <w:numPr>
          <w:ilvl w:val="1"/>
          <w:numId w:val="2"/>
        </w:numPr>
        <w:ind w:left="567" w:right="-23" w:hanging="567"/>
        <w:rPr>
          <w:rFonts w:cs="Times New Roman"/>
          <w:b/>
          <w:szCs w:val="24"/>
        </w:rPr>
      </w:pPr>
      <w:r w:rsidRPr="00520D28">
        <w:rPr>
          <w:rFonts w:cs="Times New Roman"/>
          <w:b/>
          <w:szCs w:val="24"/>
        </w:rPr>
        <w:t xml:space="preserve">Key issues raised by the </w:t>
      </w:r>
      <w:r w:rsidR="0044041F" w:rsidRPr="00520D28">
        <w:rPr>
          <w:rFonts w:cs="Times New Roman"/>
          <w:b/>
          <w:szCs w:val="24"/>
        </w:rPr>
        <w:t xml:space="preserve">Committee </w:t>
      </w:r>
      <w:r w:rsidRPr="00520D28">
        <w:rPr>
          <w:rFonts w:cs="Times New Roman"/>
          <w:b/>
          <w:szCs w:val="24"/>
        </w:rPr>
        <w:t>during its deliberations</w:t>
      </w:r>
    </w:p>
    <w:p w14:paraId="5EC8CAE0" w14:textId="77777777" w:rsidR="00313391" w:rsidRPr="00052A2F" w:rsidRDefault="00313391" w:rsidP="0062246E">
      <w:pPr>
        <w:rPr>
          <w:rFonts w:cs="Times New Roman"/>
          <w:szCs w:val="24"/>
        </w:rPr>
      </w:pPr>
    </w:p>
    <w:p w14:paraId="581BCCEA" w14:textId="77777777" w:rsidR="00C241A0" w:rsidRPr="00052A2F" w:rsidRDefault="00C241A0" w:rsidP="0062246E">
      <w:pPr>
        <w:rPr>
          <w:rFonts w:cs="Times New Roman"/>
          <w:szCs w:val="24"/>
        </w:rPr>
      </w:pPr>
      <w:r w:rsidRPr="00052A2F">
        <w:rPr>
          <w:rFonts w:cs="Times New Roman"/>
          <w:szCs w:val="24"/>
        </w:rPr>
        <w:t>During it</w:t>
      </w:r>
      <w:r w:rsidR="00361A02" w:rsidRPr="00052A2F">
        <w:rPr>
          <w:rFonts w:cs="Times New Roman"/>
          <w:szCs w:val="24"/>
        </w:rPr>
        <w:t>s</w:t>
      </w:r>
      <w:r w:rsidRPr="00052A2F">
        <w:rPr>
          <w:rFonts w:cs="Times New Roman"/>
          <w:szCs w:val="24"/>
        </w:rPr>
        <w:t xml:space="preserve"> deliberations</w:t>
      </w:r>
      <w:r w:rsidR="000C70C5" w:rsidRPr="00052A2F">
        <w:rPr>
          <w:rFonts w:cs="Times New Roman"/>
          <w:szCs w:val="24"/>
        </w:rPr>
        <w:t>,</w:t>
      </w:r>
      <w:r w:rsidRPr="00052A2F">
        <w:rPr>
          <w:rFonts w:cs="Times New Roman"/>
          <w:szCs w:val="24"/>
        </w:rPr>
        <w:t xml:space="preserve"> the </w:t>
      </w:r>
      <w:r w:rsidR="0044041F" w:rsidRPr="00052A2F">
        <w:rPr>
          <w:rFonts w:cs="Times New Roman"/>
          <w:szCs w:val="24"/>
        </w:rPr>
        <w:t xml:space="preserve">Committee </w:t>
      </w:r>
      <w:r w:rsidRPr="00052A2F">
        <w:rPr>
          <w:rFonts w:cs="Times New Roman"/>
          <w:szCs w:val="24"/>
        </w:rPr>
        <w:t>raised a number of concerns</w:t>
      </w:r>
      <w:r w:rsidR="00361A02" w:rsidRPr="00052A2F">
        <w:rPr>
          <w:rFonts w:cs="Times New Roman"/>
          <w:szCs w:val="24"/>
        </w:rPr>
        <w:t>:</w:t>
      </w:r>
    </w:p>
    <w:p w14:paraId="3D91092C" w14:textId="77777777" w:rsidR="00AC769D" w:rsidRDefault="00AC769D" w:rsidP="0062246E">
      <w:pPr>
        <w:rPr>
          <w:rFonts w:cs="Times New Roman"/>
          <w:szCs w:val="24"/>
        </w:rPr>
      </w:pPr>
    </w:p>
    <w:p w14:paraId="0019A080" w14:textId="77777777" w:rsidR="00212989" w:rsidRDefault="00FF638E" w:rsidP="00212989">
      <w:pPr>
        <w:pStyle w:val="ListParagraph"/>
        <w:numPr>
          <w:ilvl w:val="2"/>
          <w:numId w:val="23"/>
        </w:numPr>
        <w:rPr>
          <w:rFonts w:cs="Times New Roman"/>
          <w:szCs w:val="24"/>
        </w:rPr>
      </w:pPr>
      <w:r w:rsidRPr="00FF638E">
        <w:rPr>
          <w:rFonts w:cs="Times New Roman"/>
          <w:b/>
          <w:i/>
          <w:szCs w:val="24"/>
        </w:rPr>
        <w:t>Concerns raised by the Office of the Auditor-General</w:t>
      </w:r>
      <w:r>
        <w:rPr>
          <w:rFonts w:cs="Times New Roman"/>
          <w:szCs w:val="24"/>
        </w:rPr>
        <w:t xml:space="preserve">: In its report to the Committee, the </w:t>
      </w:r>
      <w:r w:rsidRPr="00FF638E">
        <w:rPr>
          <w:rFonts w:cs="Times New Roman"/>
          <w:szCs w:val="24"/>
        </w:rPr>
        <w:t>Office of the Auditor-General</w:t>
      </w:r>
      <w:r>
        <w:rPr>
          <w:rFonts w:cs="Times New Roman"/>
          <w:szCs w:val="24"/>
        </w:rPr>
        <w:t xml:space="preserve"> </w:t>
      </w:r>
      <w:r w:rsidR="000D74F7">
        <w:rPr>
          <w:rFonts w:cs="Times New Roman"/>
          <w:szCs w:val="24"/>
        </w:rPr>
        <w:t xml:space="preserve">(AGSA) </w:t>
      </w:r>
      <w:r>
        <w:rPr>
          <w:rFonts w:cs="Times New Roman"/>
          <w:szCs w:val="24"/>
        </w:rPr>
        <w:t>highlighted areas of concern it had raised with the DTI</w:t>
      </w:r>
      <w:r w:rsidR="00212989" w:rsidRPr="00212989">
        <w:rPr>
          <w:rFonts w:cs="Times New Roman"/>
          <w:szCs w:val="24"/>
        </w:rPr>
        <w:t>.</w:t>
      </w:r>
      <w:r>
        <w:rPr>
          <w:rFonts w:cs="Times New Roman"/>
          <w:szCs w:val="24"/>
        </w:rPr>
        <w:t xml:space="preserve"> This related to certain performance indicators in the DTI’s draft Annual Performance Plan and its </w:t>
      </w:r>
      <w:r w:rsidR="00F84AD5">
        <w:rPr>
          <w:rFonts w:cs="Times New Roman"/>
          <w:szCs w:val="24"/>
        </w:rPr>
        <w:t xml:space="preserve">interim </w:t>
      </w:r>
      <w:r>
        <w:rPr>
          <w:rFonts w:cs="Times New Roman"/>
          <w:szCs w:val="24"/>
        </w:rPr>
        <w:t xml:space="preserve">findings regarding </w:t>
      </w:r>
      <w:r w:rsidR="00F84AD5">
        <w:rPr>
          <w:rFonts w:cs="Times New Roman"/>
          <w:szCs w:val="24"/>
        </w:rPr>
        <w:t xml:space="preserve">the status </w:t>
      </w:r>
      <w:r>
        <w:rPr>
          <w:rFonts w:cs="Times New Roman"/>
          <w:szCs w:val="24"/>
        </w:rPr>
        <w:t xml:space="preserve">of the DTI’s </w:t>
      </w:r>
      <w:r w:rsidR="00F84AD5">
        <w:rPr>
          <w:rFonts w:cs="Times New Roman"/>
          <w:szCs w:val="24"/>
        </w:rPr>
        <w:t xml:space="preserve">records in terms of </w:t>
      </w:r>
      <w:r>
        <w:rPr>
          <w:rFonts w:cs="Times New Roman"/>
          <w:szCs w:val="24"/>
        </w:rPr>
        <w:t xml:space="preserve">governance </w:t>
      </w:r>
      <w:r w:rsidR="00F84AD5">
        <w:rPr>
          <w:rFonts w:cs="Times New Roman"/>
          <w:szCs w:val="24"/>
        </w:rPr>
        <w:t xml:space="preserve">controls for the first two quarters of the 2017/18 financial year. The Committee was concerned by the findings and requested the DTI to indicate what measures were being implemented to address these matters. The DTI responded that </w:t>
      </w:r>
      <w:r w:rsidR="002B2D14">
        <w:rPr>
          <w:rFonts w:cs="Times New Roman"/>
          <w:szCs w:val="24"/>
        </w:rPr>
        <w:t xml:space="preserve">the AGSA considers the usefulness of the performance indicators and targets, namely whether the indicators are well-defined and verifiable and the targets meet the “SMART” principles. The DTI had factored in the AGSA’s comments before finalising its Annual </w:t>
      </w:r>
      <w:r w:rsidR="00C17DEE">
        <w:rPr>
          <w:rFonts w:cs="Times New Roman"/>
          <w:szCs w:val="24"/>
        </w:rPr>
        <w:t>Performance</w:t>
      </w:r>
      <w:r w:rsidR="002B2D14">
        <w:rPr>
          <w:rFonts w:cs="Times New Roman"/>
          <w:szCs w:val="24"/>
        </w:rPr>
        <w:t xml:space="preserve"> Plan. </w:t>
      </w:r>
      <w:r w:rsidR="000D74F7">
        <w:rPr>
          <w:rFonts w:cs="Times New Roman"/>
          <w:szCs w:val="24"/>
        </w:rPr>
        <w:t>In terms of the status of records review, these findings are to alert departments of possible issues that may arise during the audit process, for the departments to be able to address these issues before the financial year ends. The DTI takes the issues and the AGSA’s recommendations on board and updates its internal processes where necessary. The DTI also has an internal audit function, which conducts quality reviews of its quarterly reported performance and highlights areas/concerns for management’s attention. Finally, any findings raised during the AGSA’</w:t>
      </w:r>
      <w:r w:rsidR="002B2D14">
        <w:rPr>
          <w:rFonts w:cs="Times New Roman"/>
          <w:szCs w:val="24"/>
        </w:rPr>
        <w:t>s interim audit</w:t>
      </w:r>
      <w:r w:rsidR="000D74F7">
        <w:rPr>
          <w:rFonts w:cs="Times New Roman"/>
          <w:szCs w:val="24"/>
        </w:rPr>
        <w:t xml:space="preserve"> are presented to management and the DTI’s audit committee for action and implementation. This is captured in an audit action plan, which is tracked and monitored by the DTI’s audit committee.</w:t>
      </w:r>
    </w:p>
    <w:p w14:paraId="722EF4DC" w14:textId="77777777" w:rsidR="004A3A27" w:rsidRDefault="004A3A27" w:rsidP="004A3A27">
      <w:pPr>
        <w:pStyle w:val="ListParagraph"/>
        <w:rPr>
          <w:rFonts w:cs="Times New Roman"/>
          <w:szCs w:val="24"/>
        </w:rPr>
      </w:pPr>
    </w:p>
    <w:p w14:paraId="0E749C21" w14:textId="77777777" w:rsidR="002B2D14" w:rsidRDefault="000A0AE0" w:rsidP="00212989">
      <w:pPr>
        <w:pStyle w:val="ListParagraph"/>
        <w:numPr>
          <w:ilvl w:val="2"/>
          <w:numId w:val="23"/>
        </w:numPr>
        <w:rPr>
          <w:rFonts w:cs="Times New Roman"/>
          <w:szCs w:val="24"/>
        </w:rPr>
      </w:pPr>
      <w:r>
        <w:rPr>
          <w:rFonts w:cs="Times New Roman"/>
          <w:b/>
          <w:i/>
          <w:szCs w:val="24"/>
        </w:rPr>
        <w:t>Impact of incentives on jobs</w:t>
      </w:r>
      <w:r w:rsidRPr="000A0AE0">
        <w:rPr>
          <w:rFonts w:cs="Times New Roman"/>
          <w:szCs w:val="24"/>
        </w:rPr>
        <w:t>:</w:t>
      </w:r>
      <w:r>
        <w:rPr>
          <w:rFonts w:cs="Times New Roman"/>
          <w:szCs w:val="24"/>
        </w:rPr>
        <w:t xml:space="preserve"> The Committee enquired what the impact of incentives is on job retention and/or creation. The DTI clarified that the incentive support was mainly to assist firms to become globally competitive. Thus, it focused on investment in machinery and equipment and used commitments related to job retention and/or creation as one of the criteria to access support where </w:t>
      </w:r>
      <w:r w:rsidR="002A2BAA">
        <w:rPr>
          <w:rFonts w:cs="Times New Roman"/>
          <w:szCs w:val="24"/>
        </w:rPr>
        <w:t>applicable. Furthermore, a comprehensive list of beneficiaries of incentives, overall number of jobs created and retained and overall B-BBEE levels of companies will be published in the 2017/18 incentive report after AGSA’s audit has been completed.</w:t>
      </w:r>
    </w:p>
    <w:p w14:paraId="2A965703" w14:textId="77777777" w:rsidR="004A3A27" w:rsidRPr="004A3A27" w:rsidRDefault="004A3A27" w:rsidP="004A3A27">
      <w:pPr>
        <w:rPr>
          <w:rFonts w:cs="Times New Roman"/>
          <w:szCs w:val="24"/>
        </w:rPr>
      </w:pPr>
    </w:p>
    <w:p w14:paraId="6494CA55" w14:textId="77777777" w:rsidR="004A3A27" w:rsidRPr="004A3A27" w:rsidRDefault="002A2BAA" w:rsidP="004A3A27">
      <w:pPr>
        <w:pStyle w:val="ListParagraph"/>
        <w:numPr>
          <w:ilvl w:val="2"/>
          <w:numId w:val="23"/>
        </w:numPr>
        <w:rPr>
          <w:rFonts w:cs="Times New Roman"/>
          <w:szCs w:val="24"/>
        </w:rPr>
      </w:pPr>
      <w:r w:rsidRPr="002A2BAA">
        <w:rPr>
          <w:rFonts w:cs="Times New Roman"/>
          <w:b/>
          <w:i/>
          <w:szCs w:val="24"/>
        </w:rPr>
        <w:t>Update on the Black Industrialist Programme</w:t>
      </w:r>
      <w:r>
        <w:rPr>
          <w:rFonts w:cs="Times New Roman"/>
          <w:szCs w:val="24"/>
        </w:rPr>
        <w:t xml:space="preserve">: </w:t>
      </w:r>
      <w:r w:rsidR="00212989" w:rsidRPr="00A20E73">
        <w:rPr>
          <w:rFonts w:cs="Times New Roman"/>
          <w:szCs w:val="24"/>
        </w:rPr>
        <w:t xml:space="preserve">The </w:t>
      </w:r>
      <w:r>
        <w:rPr>
          <w:rFonts w:cs="Times New Roman"/>
          <w:szCs w:val="24"/>
        </w:rPr>
        <w:t xml:space="preserve">Committee requested </w:t>
      </w:r>
      <w:r w:rsidR="00212989" w:rsidRPr="00A20E73">
        <w:rPr>
          <w:rFonts w:cs="Times New Roman"/>
          <w:szCs w:val="24"/>
        </w:rPr>
        <w:t xml:space="preserve">an update on </w:t>
      </w:r>
      <w:r>
        <w:rPr>
          <w:rFonts w:cs="Times New Roman"/>
          <w:szCs w:val="24"/>
        </w:rPr>
        <w:t xml:space="preserve">interventions under </w:t>
      </w:r>
      <w:r w:rsidR="00212989" w:rsidRPr="00A20E73">
        <w:rPr>
          <w:rFonts w:cs="Times New Roman"/>
          <w:szCs w:val="24"/>
        </w:rPr>
        <w:t>the Black Industrialist Programme, detailing the beneficiaries</w:t>
      </w:r>
      <w:r>
        <w:rPr>
          <w:rFonts w:cs="Times New Roman"/>
          <w:szCs w:val="24"/>
        </w:rPr>
        <w:t>, the ration of</w:t>
      </w:r>
      <w:r w:rsidR="003836B9">
        <w:rPr>
          <w:rFonts w:cs="Times New Roman"/>
          <w:szCs w:val="24"/>
        </w:rPr>
        <w:t xml:space="preserve"> public</w:t>
      </w:r>
      <w:r>
        <w:rPr>
          <w:rFonts w:cs="Times New Roman"/>
          <w:szCs w:val="24"/>
        </w:rPr>
        <w:t xml:space="preserve"> spending to private spending and the projected contribution to GDP</w:t>
      </w:r>
      <w:r w:rsidR="00212989" w:rsidRPr="00A20E73">
        <w:rPr>
          <w:rFonts w:cs="Times New Roman"/>
          <w:szCs w:val="24"/>
        </w:rPr>
        <w:t>.</w:t>
      </w:r>
      <w:r>
        <w:rPr>
          <w:rFonts w:cs="Times New Roman"/>
          <w:szCs w:val="24"/>
        </w:rPr>
        <w:t xml:space="preserve"> The DTI indicated that this information would also be captured in the 2017/18 incentive report mentioned above.</w:t>
      </w:r>
    </w:p>
    <w:p w14:paraId="3B22FA38" w14:textId="77777777" w:rsidR="004A3A27" w:rsidRPr="004A3A27" w:rsidRDefault="004A3A27" w:rsidP="004A3A27">
      <w:pPr>
        <w:rPr>
          <w:rFonts w:cs="Times New Roman"/>
          <w:szCs w:val="24"/>
        </w:rPr>
      </w:pPr>
    </w:p>
    <w:p w14:paraId="47E5F9EE" w14:textId="77777777" w:rsidR="002A2BAA" w:rsidRDefault="003836B9" w:rsidP="00212989">
      <w:pPr>
        <w:pStyle w:val="ListParagraph"/>
        <w:numPr>
          <w:ilvl w:val="2"/>
          <w:numId w:val="23"/>
        </w:numPr>
        <w:rPr>
          <w:rFonts w:cs="Times New Roman"/>
          <w:szCs w:val="24"/>
        </w:rPr>
      </w:pPr>
      <w:r>
        <w:rPr>
          <w:rFonts w:cs="Times New Roman"/>
          <w:b/>
          <w:i/>
          <w:szCs w:val="24"/>
        </w:rPr>
        <w:t>An update on the SEZ</w:t>
      </w:r>
      <w:r w:rsidR="002A2BAA">
        <w:rPr>
          <w:rFonts w:cs="Times New Roman"/>
          <w:b/>
          <w:i/>
          <w:szCs w:val="24"/>
        </w:rPr>
        <w:t xml:space="preserve"> programme</w:t>
      </w:r>
      <w:r w:rsidR="002A2BAA" w:rsidRPr="002A2BAA">
        <w:rPr>
          <w:rFonts w:cs="Times New Roman"/>
          <w:szCs w:val="24"/>
        </w:rPr>
        <w:t>:</w:t>
      </w:r>
      <w:r w:rsidR="002A2BAA">
        <w:rPr>
          <w:rFonts w:cs="Times New Roman"/>
          <w:szCs w:val="24"/>
        </w:rPr>
        <w:t xml:space="preserve"> The Committee requested </w:t>
      </w:r>
      <w:r w:rsidR="002A2BAA" w:rsidRPr="00A20E73">
        <w:rPr>
          <w:rFonts w:cs="Times New Roman"/>
          <w:szCs w:val="24"/>
        </w:rPr>
        <w:t xml:space="preserve">an update on the </w:t>
      </w:r>
      <w:r>
        <w:rPr>
          <w:rFonts w:cs="Times New Roman"/>
          <w:szCs w:val="24"/>
        </w:rPr>
        <w:t xml:space="preserve">SEZ </w:t>
      </w:r>
      <w:r w:rsidR="002A2BAA" w:rsidRPr="00A20E73">
        <w:rPr>
          <w:rFonts w:cs="Times New Roman"/>
          <w:szCs w:val="24"/>
        </w:rPr>
        <w:t xml:space="preserve">Programme, </w:t>
      </w:r>
      <w:r>
        <w:rPr>
          <w:rFonts w:cs="Times New Roman"/>
          <w:szCs w:val="24"/>
        </w:rPr>
        <w:t xml:space="preserve">in terms of </w:t>
      </w:r>
      <w:r w:rsidR="002A2BAA" w:rsidRPr="00A20E73">
        <w:rPr>
          <w:rFonts w:cs="Times New Roman"/>
          <w:szCs w:val="24"/>
        </w:rPr>
        <w:t>the</w:t>
      </w:r>
      <w:r>
        <w:rPr>
          <w:rFonts w:cs="Times New Roman"/>
          <w:szCs w:val="24"/>
        </w:rPr>
        <w:t xml:space="preserve"> comparative cost in relation to other countries, the rationale for establishing an SEZ per province, the ratio</w:t>
      </w:r>
      <w:r w:rsidR="002A2BAA">
        <w:rPr>
          <w:rFonts w:cs="Times New Roman"/>
          <w:szCs w:val="24"/>
        </w:rPr>
        <w:t xml:space="preserve"> of </w:t>
      </w:r>
      <w:r>
        <w:rPr>
          <w:rFonts w:cs="Times New Roman"/>
          <w:szCs w:val="24"/>
        </w:rPr>
        <w:t xml:space="preserve">public </w:t>
      </w:r>
      <w:r w:rsidR="002A2BAA">
        <w:rPr>
          <w:rFonts w:cs="Times New Roman"/>
          <w:szCs w:val="24"/>
        </w:rPr>
        <w:t xml:space="preserve">spending to private spending </w:t>
      </w:r>
      <w:r>
        <w:rPr>
          <w:rFonts w:cs="Times New Roman"/>
          <w:szCs w:val="24"/>
        </w:rPr>
        <w:t xml:space="preserve">within the SEZs, the ratio of staff costs against total operating expenses, the impact on and contribution to transformation, </w:t>
      </w:r>
      <w:r w:rsidR="002A2BAA">
        <w:rPr>
          <w:rFonts w:cs="Times New Roman"/>
          <w:szCs w:val="24"/>
        </w:rPr>
        <w:t xml:space="preserve">and the </w:t>
      </w:r>
      <w:r>
        <w:rPr>
          <w:rFonts w:cs="Times New Roman"/>
          <w:szCs w:val="24"/>
        </w:rPr>
        <w:t>challenges experienced within SEZs</w:t>
      </w:r>
      <w:r w:rsidR="002A2BAA" w:rsidRPr="00A20E73">
        <w:rPr>
          <w:rFonts w:cs="Times New Roman"/>
          <w:szCs w:val="24"/>
        </w:rPr>
        <w:t>.</w:t>
      </w:r>
      <w:r w:rsidR="002A2BAA">
        <w:rPr>
          <w:rFonts w:cs="Times New Roman"/>
          <w:szCs w:val="24"/>
        </w:rPr>
        <w:t xml:space="preserve"> The DTI</w:t>
      </w:r>
      <w:r>
        <w:rPr>
          <w:rFonts w:cs="Times New Roman"/>
          <w:szCs w:val="24"/>
        </w:rPr>
        <w:t xml:space="preserve"> indicated that there has not been any detailed comparative cost study conducted or a study on the costs associated in South Africa to develop each of these zones; however, practice in other developed countries revealed that the establishment of these zones requires a large state capital outlay. Internationally, costs were determined by: (i) the size and location of the SEZ; (ii) the level of development of the host region; (iii) the type of industries/clusters targeted by the SEZ; (iv) private sector involvement in the development of the SEZ; and (v) the level and type of human resources available.</w:t>
      </w:r>
      <w:r w:rsidR="00A82EBC">
        <w:rPr>
          <w:rFonts w:cs="Times New Roman"/>
          <w:szCs w:val="24"/>
        </w:rPr>
        <w:t xml:space="preserve"> </w:t>
      </w:r>
    </w:p>
    <w:p w14:paraId="5CB1F328" w14:textId="77777777" w:rsidR="003836B9" w:rsidRDefault="003836B9" w:rsidP="00544EB6">
      <w:pPr>
        <w:pStyle w:val="ListParagraph"/>
        <w:rPr>
          <w:rFonts w:cs="Times New Roman"/>
          <w:szCs w:val="24"/>
        </w:rPr>
      </w:pPr>
    </w:p>
    <w:p w14:paraId="31CA1B40" w14:textId="77777777" w:rsidR="00544EB6" w:rsidRDefault="00544EB6" w:rsidP="00544EB6">
      <w:pPr>
        <w:pStyle w:val="ListParagraph"/>
        <w:rPr>
          <w:rFonts w:cs="Times New Roman"/>
          <w:szCs w:val="24"/>
        </w:rPr>
      </w:pPr>
      <w:r>
        <w:rPr>
          <w:rFonts w:cs="Times New Roman"/>
          <w:szCs w:val="24"/>
        </w:rPr>
        <w:t xml:space="preserve">The Economic MINMEC in 2012 resolved that each province would be invited to submit proposals or concepts concerning new SEZs. The criteria for assessing these were: (i) long-term viability (affordability and sustainability for the host regions); (ii) economic and industrial policy fit; (iii) equity in terms of contributing to industrial decentralisation; and (iv) economic impact for the host regions. A total of 29 </w:t>
      </w:r>
      <w:r>
        <w:rPr>
          <w:rFonts w:cs="Times New Roman"/>
          <w:szCs w:val="24"/>
        </w:rPr>
        <w:lastRenderedPageBreak/>
        <w:t>proposals were received and reduced to 10 proposals with each province having one with the exception of the Limpopo province. MINMEC resolved that a feasibility study would be conducted to determine, which of the two proposals for platinum beneficiation would be more viable.</w:t>
      </w:r>
    </w:p>
    <w:p w14:paraId="3184384C" w14:textId="77777777" w:rsidR="00544EB6" w:rsidRDefault="00544EB6" w:rsidP="00544EB6">
      <w:pPr>
        <w:pStyle w:val="ListParagraph"/>
        <w:rPr>
          <w:rFonts w:cs="Times New Roman"/>
          <w:szCs w:val="24"/>
        </w:rPr>
      </w:pPr>
    </w:p>
    <w:p w14:paraId="3870917A" w14:textId="77777777" w:rsidR="00B707C4" w:rsidRDefault="00914B79" w:rsidP="00544EB6">
      <w:pPr>
        <w:pStyle w:val="ListParagraph"/>
        <w:rPr>
          <w:rFonts w:cs="Times New Roman"/>
          <w:szCs w:val="24"/>
        </w:rPr>
      </w:pPr>
      <w:r>
        <w:rPr>
          <w:rFonts w:cs="Times New Roman"/>
          <w:szCs w:val="24"/>
        </w:rPr>
        <w:t>The DTI has designated eight (8)</w:t>
      </w:r>
      <w:r w:rsidR="00544EB6">
        <w:rPr>
          <w:rFonts w:cs="Times New Roman"/>
          <w:szCs w:val="24"/>
        </w:rPr>
        <w:t xml:space="preserve"> SEZs </w:t>
      </w:r>
      <w:r>
        <w:rPr>
          <w:rFonts w:cs="Times New Roman"/>
          <w:szCs w:val="24"/>
        </w:rPr>
        <w:t xml:space="preserve">in five of the nine provinces in the country, four </w:t>
      </w:r>
      <w:r w:rsidR="00544EB6">
        <w:rPr>
          <w:rFonts w:cs="Times New Roman"/>
          <w:szCs w:val="24"/>
        </w:rPr>
        <w:t xml:space="preserve">are </w:t>
      </w:r>
      <w:r>
        <w:rPr>
          <w:rFonts w:cs="Times New Roman"/>
          <w:szCs w:val="24"/>
        </w:rPr>
        <w:t xml:space="preserve">fully </w:t>
      </w:r>
      <w:r w:rsidR="00544EB6">
        <w:rPr>
          <w:rFonts w:cs="Times New Roman"/>
          <w:szCs w:val="24"/>
        </w:rPr>
        <w:t xml:space="preserve">operational at this stage, with other establishing their administrative systems. </w:t>
      </w:r>
      <w:r w:rsidR="008669A2">
        <w:rPr>
          <w:rFonts w:cs="Times New Roman"/>
          <w:szCs w:val="24"/>
        </w:rPr>
        <w:t>The four operational SEZs are Coega, East London, Richards Bay and Dube Tradeport.</w:t>
      </w:r>
      <w:r w:rsidR="001F2744" w:rsidRPr="001F2744">
        <w:rPr>
          <w:rFonts w:cs="Times New Roman"/>
          <w:szCs w:val="24"/>
        </w:rPr>
        <w:t xml:space="preserve"> </w:t>
      </w:r>
      <w:r w:rsidR="001F2744">
        <w:rPr>
          <w:rFonts w:cs="Times New Roman"/>
          <w:szCs w:val="24"/>
        </w:rPr>
        <w:t xml:space="preserve">Other designated SEZs are the Saldanha Bay IDZ in the Western Cape, Maluti-a-Phofung SEZ in the Free State and the Musina Makhado SEZ in Limpopo. </w:t>
      </w:r>
      <w:r w:rsidR="008669A2">
        <w:rPr>
          <w:rFonts w:cs="Times New Roman"/>
          <w:szCs w:val="24"/>
        </w:rPr>
        <w:t>Accumulatively, they have 84 operational investors, with an investment value of R9.736 billion and have created 13 948 direct jobs. From 2002/03 until the end of the 2017/18 financial year, the DTI ha</w:t>
      </w:r>
      <w:r>
        <w:rPr>
          <w:rFonts w:cs="Times New Roman"/>
          <w:szCs w:val="24"/>
        </w:rPr>
        <w:t>d</w:t>
      </w:r>
      <w:r w:rsidR="008669A2">
        <w:rPr>
          <w:rFonts w:cs="Times New Roman"/>
          <w:szCs w:val="24"/>
        </w:rPr>
        <w:t xml:space="preserve"> invested about R11 billion into 7 </w:t>
      </w:r>
      <w:r>
        <w:rPr>
          <w:rFonts w:cs="Times New Roman"/>
          <w:szCs w:val="24"/>
        </w:rPr>
        <w:t>I</w:t>
      </w:r>
      <w:r w:rsidR="008669A2">
        <w:rPr>
          <w:rFonts w:cs="Times New Roman"/>
          <w:szCs w:val="24"/>
        </w:rPr>
        <w:t xml:space="preserve">ndustrial </w:t>
      </w:r>
      <w:r>
        <w:rPr>
          <w:rFonts w:cs="Times New Roman"/>
          <w:szCs w:val="24"/>
        </w:rPr>
        <w:t>D</w:t>
      </w:r>
      <w:r w:rsidR="008669A2">
        <w:rPr>
          <w:rFonts w:cs="Times New Roman"/>
          <w:szCs w:val="24"/>
        </w:rPr>
        <w:t xml:space="preserve">evelopment </w:t>
      </w:r>
      <w:r>
        <w:rPr>
          <w:rFonts w:cs="Times New Roman"/>
          <w:szCs w:val="24"/>
        </w:rPr>
        <w:t>Z</w:t>
      </w:r>
      <w:r w:rsidR="008669A2">
        <w:rPr>
          <w:rFonts w:cs="Times New Roman"/>
          <w:szCs w:val="24"/>
        </w:rPr>
        <w:t>ones (now SEZs) mostly for infrastructural development</w:t>
      </w:r>
      <w:r w:rsidR="00B707C4">
        <w:rPr>
          <w:rFonts w:cs="Times New Roman"/>
          <w:szCs w:val="24"/>
        </w:rPr>
        <w:t>,</w:t>
      </w:r>
      <w:r w:rsidR="008669A2">
        <w:rPr>
          <w:rFonts w:cs="Times New Roman"/>
          <w:szCs w:val="24"/>
        </w:rPr>
        <w:t xml:space="preserve"> such as bulk infrastructure, roads, storm water drainage, perimeter fencing and top infrastructure</w:t>
      </w:r>
      <w:r w:rsidR="00B707C4">
        <w:rPr>
          <w:rFonts w:cs="Times New Roman"/>
          <w:szCs w:val="24"/>
        </w:rPr>
        <w:t>; and other related feasibility studies</w:t>
      </w:r>
      <w:r w:rsidR="008669A2">
        <w:rPr>
          <w:rFonts w:cs="Times New Roman"/>
          <w:szCs w:val="24"/>
        </w:rPr>
        <w:t>.</w:t>
      </w:r>
    </w:p>
    <w:p w14:paraId="5189D54D" w14:textId="77777777" w:rsidR="00B707C4" w:rsidRDefault="00B707C4" w:rsidP="00544EB6">
      <w:pPr>
        <w:pStyle w:val="ListParagraph"/>
        <w:rPr>
          <w:rFonts w:cs="Times New Roman"/>
          <w:szCs w:val="24"/>
        </w:rPr>
      </w:pPr>
    </w:p>
    <w:p w14:paraId="2FC8DEF7" w14:textId="77777777" w:rsidR="00544EB6" w:rsidRDefault="00B707C4" w:rsidP="00544EB6">
      <w:pPr>
        <w:pStyle w:val="ListParagraph"/>
        <w:rPr>
          <w:rFonts w:cs="Times New Roman"/>
          <w:szCs w:val="24"/>
        </w:rPr>
      </w:pPr>
      <w:r>
        <w:rPr>
          <w:rFonts w:cs="Times New Roman"/>
          <w:szCs w:val="24"/>
        </w:rPr>
        <w:t xml:space="preserve">The proportion of staff costs to total operational costs varied among SEZs and were dependent on the size of the SEZ, the number of investors, its sectorial </w:t>
      </w:r>
      <w:r w:rsidR="002C6CB9">
        <w:rPr>
          <w:rFonts w:cs="Times New Roman"/>
          <w:szCs w:val="24"/>
        </w:rPr>
        <w:t>focus,</w:t>
      </w:r>
      <w:r>
        <w:rPr>
          <w:rFonts w:cs="Times New Roman"/>
          <w:szCs w:val="24"/>
        </w:rPr>
        <w:t xml:space="preserve"> and the stage of growth of the SEZ. The DTI also highlighted that the SEZ program positively contributed to transformation by integrating local SMMEs into the SEZ’s value chain, technology and skills transfer to semi-skilled and unskilled workers from the host regions, job creation in and around the SEZ and inclusion of black industrialists, black suppliers, and women and people with disabilities into SEZ value chains.</w:t>
      </w:r>
    </w:p>
    <w:p w14:paraId="481E6419" w14:textId="77777777" w:rsidR="00B707C4" w:rsidRDefault="00B707C4" w:rsidP="00544EB6">
      <w:pPr>
        <w:pStyle w:val="ListParagraph"/>
        <w:rPr>
          <w:rFonts w:cs="Times New Roman"/>
          <w:szCs w:val="24"/>
        </w:rPr>
      </w:pPr>
    </w:p>
    <w:p w14:paraId="50F30007" w14:textId="77777777" w:rsidR="00D147C5" w:rsidRDefault="00B707C4" w:rsidP="00544EB6">
      <w:pPr>
        <w:pStyle w:val="ListParagraph"/>
        <w:rPr>
          <w:rFonts w:cs="Times New Roman"/>
          <w:szCs w:val="24"/>
        </w:rPr>
      </w:pPr>
      <w:r>
        <w:rPr>
          <w:rFonts w:cs="Times New Roman"/>
          <w:szCs w:val="24"/>
        </w:rPr>
        <w:t xml:space="preserve">The DTI also listed the main challenges reported by investors and SEZ management. </w:t>
      </w:r>
      <w:r w:rsidR="00D147C5">
        <w:rPr>
          <w:rFonts w:cs="Times New Roman"/>
          <w:szCs w:val="24"/>
        </w:rPr>
        <w:t xml:space="preserve">These included: </w:t>
      </w:r>
    </w:p>
    <w:p w14:paraId="1554EA6E" w14:textId="77777777" w:rsidR="00B707C4" w:rsidRDefault="00D147C5" w:rsidP="00D147C5">
      <w:pPr>
        <w:pStyle w:val="ListParagraph"/>
        <w:numPr>
          <w:ilvl w:val="0"/>
          <w:numId w:val="31"/>
        </w:numPr>
        <w:ind w:left="1134" w:hanging="283"/>
        <w:rPr>
          <w:rFonts w:cs="Times New Roman"/>
          <w:szCs w:val="24"/>
        </w:rPr>
      </w:pPr>
      <w:r>
        <w:rPr>
          <w:rFonts w:cs="Times New Roman"/>
          <w:szCs w:val="24"/>
        </w:rPr>
        <w:t xml:space="preserve">The need to invest in large scale processing, reticulation and storage facilities within the SEZs and adjoining municipalities to meet environmental requirements regarding water use from return effluent rather than potable water. </w:t>
      </w:r>
    </w:p>
    <w:p w14:paraId="75B24849" w14:textId="77777777" w:rsidR="00D147C5" w:rsidRDefault="00D147C5" w:rsidP="00D147C5">
      <w:pPr>
        <w:pStyle w:val="ListParagraph"/>
        <w:numPr>
          <w:ilvl w:val="0"/>
          <w:numId w:val="31"/>
        </w:numPr>
        <w:ind w:left="1134" w:hanging="283"/>
        <w:rPr>
          <w:rFonts w:cs="Times New Roman"/>
          <w:szCs w:val="24"/>
        </w:rPr>
      </w:pPr>
      <w:r>
        <w:rPr>
          <w:rFonts w:cs="Times New Roman"/>
          <w:szCs w:val="24"/>
        </w:rPr>
        <w:t>The lack of predictability for future electricity costs for large energy intensive investment projects.</w:t>
      </w:r>
    </w:p>
    <w:p w14:paraId="538C1FEA" w14:textId="77777777" w:rsidR="00D147C5" w:rsidRDefault="00D147C5" w:rsidP="00D147C5">
      <w:pPr>
        <w:pStyle w:val="ListParagraph"/>
        <w:numPr>
          <w:ilvl w:val="0"/>
          <w:numId w:val="31"/>
        </w:numPr>
        <w:ind w:left="1134" w:hanging="283"/>
        <w:rPr>
          <w:rFonts w:cs="Times New Roman"/>
          <w:szCs w:val="24"/>
        </w:rPr>
      </w:pPr>
      <w:r>
        <w:rPr>
          <w:rFonts w:cs="Times New Roman"/>
          <w:szCs w:val="24"/>
        </w:rPr>
        <w:t>The need for incentives to curb deindustrialisation.</w:t>
      </w:r>
    </w:p>
    <w:p w14:paraId="41B1368A" w14:textId="77777777" w:rsidR="00D147C5" w:rsidRDefault="00D147C5" w:rsidP="00D147C5">
      <w:pPr>
        <w:pStyle w:val="ListParagraph"/>
        <w:numPr>
          <w:ilvl w:val="0"/>
          <w:numId w:val="31"/>
        </w:numPr>
        <w:ind w:left="1134" w:hanging="283"/>
        <w:rPr>
          <w:rFonts w:cs="Times New Roman"/>
          <w:szCs w:val="24"/>
        </w:rPr>
      </w:pPr>
      <w:r>
        <w:rPr>
          <w:rFonts w:cs="Times New Roman"/>
          <w:szCs w:val="24"/>
        </w:rPr>
        <w:t>There is currently no state funding to maintain and upgrade physical infrastructure, especially for older SEZs.</w:t>
      </w:r>
    </w:p>
    <w:p w14:paraId="46862081" w14:textId="77777777" w:rsidR="00D147C5" w:rsidRDefault="00362A27" w:rsidP="00D147C5">
      <w:pPr>
        <w:pStyle w:val="ListParagraph"/>
        <w:numPr>
          <w:ilvl w:val="0"/>
          <w:numId w:val="31"/>
        </w:numPr>
        <w:ind w:left="1134" w:hanging="283"/>
        <w:rPr>
          <w:rFonts w:cs="Times New Roman"/>
          <w:szCs w:val="24"/>
        </w:rPr>
      </w:pPr>
      <w:r>
        <w:rPr>
          <w:rFonts w:cs="Times New Roman"/>
          <w:szCs w:val="24"/>
        </w:rPr>
        <w:lastRenderedPageBreak/>
        <w:t xml:space="preserve">Uncertainty among investors due to delays in operationalisation of tax incentive benefits. This also negatively affects the credibility of the programme. </w:t>
      </w:r>
    </w:p>
    <w:p w14:paraId="2299BC92" w14:textId="77777777" w:rsidR="004A3A27" w:rsidRPr="004A3A27" w:rsidRDefault="004A3A27" w:rsidP="004A3A27">
      <w:pPr>
        <w:ind w:left="851"/>
        <w:rPr>
          <w:rFonts w:cs="Times New Roman"/>
          <w:szCs w:val="24"/>
        </w:rPr>
      </w:pPr>
    </w:p>
    <w:p w14:paraId="7EE4005B" w14:textId="77777777" w:rsidR="00212989" w:rsidRDefault="001D030B" w:rsidP="00212989">
      <w:pPr>
        <w:pStyle w:val="ListParagraph"/>
        <w:numPr>
          <w:ilvl w:val="2"/>
          <w:numId w:val="23"/>
        </w:numPr>
        <w:rPr>
          <w:rFonts w:cs="Times New Roman"/>
          <w:szCs w:val="24"/>
        </w:rPr>
      </w:pPr>
      <w:r w:rsidRPr="001D030B">
        <w:rPr>
          <w:rFonts w:cs="Times New Roman"/>
          <w:b/>
          <w:i/>
          <w:szCs w:val="24"/>
        </w:rPr>
        <w:t xml:space="preserve">Update on the investigation at the </w:t>
      </w:r>
      <w:r w:rsidR="00480BF1">
        <w:rPr>
          <w:rFonts w:cs="Times New Roman"/>
          <w:b/>
          <w:i/>
          <w:szCs w:val="24"/>
        </w:rPr>
        <w:t>NGB</w:t>
      </w:r>
      <w:r>
        <w:rPr>
          <w:rFonts w:cs="Times New Roman"/>
          <w:szCs w:val="24"/>
        </w:rPr>
        <w:t xml:space="preserve">: The Committee enquired what the outcome of the investigation on the board of the </w:t>
      </w:r>
      <w:r w:rsidR="00480BF1">
        <w:rPr>
          <w:rFonts w:cs="Times New Roman"/>
          <w:szCs w:val="24"/>
        </w:rPr>
        <w:t xml:space="preserve">NGB </w:t>
      </w:r>
      <w:r>
        <w:rPr>
          <w:rFonts w:cs="Times New Roman"/>
          <w:szCs w:val="24"/>
        </w:rPr>
        <w:t xml:space="preserve">was and whether anyone had been charged in relation to this. The DTI responded that the investigation had been conducted in 2015 following the submission of a protected disclosure to the Executive Authority on 26 August 2014. On 26 and 29 August 2014, the Minister informed the board members of his intention to temporarily remove them and invited them to make representations within five days and the temporary removal was </w:t>
      </w:r>
      <w:r w:rsidR="00480BF1">
        <w:rPr>
          <w:rFonts w:cs="Times New Roman"/>
          <w:szCs w:val="24"/>
        </w:rPr>
        <w:t>initiated on 9 September 2014. Subsequent to this, the Minister appointed two DTI employees as co-administrators</w:t>
      </w:r>
      <w:r>
        <w:rPr>
          <w:rFonts w:cs="Times New Roman"/>
          <w:szCs w:val="24"/>
        </w:rPr>
        <w:t>.</w:t>
      </w:r>
      <w:r w:rsidR="00480BF1">
        <w:rPr>
          <w:rFonts w:cs="Times New Roman"/>
          <w:szCs w:val="24"/>
        </w:rPr>
        <w:t xml:space="preserve"> Following deliberations between the DTI and the NGB’s</w:t>
      </w:r>
      <w:r>
        <w:rPr>
          <w:rFonts w:cs="Times New Roman"/>
          <w:szCs w:val="24"/>
        </w:rPr>
        <w:t xml:space="preserve"> </w:t>
      </w:r>
      <w:r w:rsidR="00480BF1">
        <w:rPr>
          <w:rFonts w:cs="Times New Roman"/>
          <w:szCs w:val="24"/>
        </w:rPr>
        <w:t>Audit and</w:t>
      </w:r>
      <w:r>
        <w:rPr>
          <w:rFonts w:cs="Times New Roman"/>
          <w:szCs w:val="24"/>
        </w:rPr>
        <w:t xml:space="preserve"> </w:t>
      </w:r>
      <w:r w:rsidR="00480BF1">
        <w:rPr>
          <w:rFonts w:cs="Times New Roman"/>
          <w:szCs w:val="24"/>
        </w:rPr>
        <w:t>Risk Committee, the recommendations were implemented but no action was taken against the board members as they had already been removed and it would not be cost effective to pursue the matter further.</w:t>
      </w:r>
      <w:r w:rsidR="003E7A11">
        <w:rPr>
          <w:rFonts w:cs="Times New Roman"/>
          <w:szCs w:val="24"/>
        </w:rPr>
        <w:t xml:space="preserve"> </w:t>
      </w:r>
      <w:r w:rsidR="003E7A11" w:rsidRPr="003E7A11">
        <w:rPr>
          <w:rFonts w:cs="Times New Roman"/>
          <w:b/>
          <w:szCs w:val="24"/>
        </w:rPr>
        <w:t>The DTI also reported that it was reviewing the legislation to establish the NGB as a regulator, as its mandate did not necessitate a board.</w:t>
      </w:r>
    </w:p>
    <w:p w14:paraId="0BEEA2AA" w14:textId="77777777" w:rsidR="004A3A27" w:rsidRDefault="004A3A27" w:rsidP="004A3A27">
      <w:pPr>
        <w:pStyle w:val="ListParagraph"/>
        <w:rPr>
          <w:rFonts w:cs="Times New Roman"/>
          <w:szCs w:val="24"/>
        </w:rPr>
      </w:pPr>
    </w:p>
    <w:p w14:paraId="5CE3141F" w14:textId="77777777" w:rsidR="00480BF1" w:rsidRPr="00A20E73" w:rsidRDefault="00480BF1" w:rsidP="00212989">
      <w:pPr>
        <w:pStyle w:val="ListParagraph"/>
        <w:numPr>
          <w:ilvl w:val="2"/>
          <w:numId w:val="23"/>
        </w:numPr>
        <w:rPr>
          <w:rFonts w:cs="Times New Roman"/>
          <w:szCs w:val="24"/>
        </w:rPr>
      </w:pPr>
      <w:r>
        <w:rPr>
          <w:rFonts w:cs="Times New Roman"/>
          <w:b/>
          <w:i/>
          <w:szCs w:val="24"/>
        </w:rPr>
        <w:t>Filling the position of Chief Information Officer</w:t>
      </w:r>
      <w:r w:rsidRPr="00480BF1">
        <w:rPr>
          <w:rFonts w:cs="Times New Roman"/>
          <w:szCs w:val="24"/>
        </w:rPr>
        <w:t>:</w:t>
      </w:r>
      <w:r>
        <w:rPr>
          <w:rFonts w:cs="Times New Roman"/>
          <w:szCs w:val="24"/>
        </w:rPr>
        <w:t xml:space="preserve"> The Committee sought clarity on why the acting Chief Information Officer had been </w:t>
      </w:r>
      <w:r>
        <w:t xml:space="preserve">acting for </w:t>
      </w:r>
      <w:r w:rsidR="004A3A27">
        <w:t xml:space="preserve">more than 12 months </w:t>
      </w:r>
      <w:r>
        <w:t>uninterrupted</w:t>
      </w:r>
      <w:r w:rsidR="004A3A27">
        <w:t>ly</w:t>
      </w:r>
      <w:r>
        <w:t>, which was in contravention of the</w:t>
      </w:r>
      <w:r w:rsidR="001C6262">
        <w:t xml:space="preserve"> Public Service Regulations,</w:t>
      </w:r>
      <w:r>
        <w:t xml:space="preserve"> </w:t>
      </w:r>
      <w:r w:rsidR="001C6262">
        <w:t>2016. The DTI clarified that the position of the Chief Information Officer is currently filled; however, the incumbent is suspended and the matter has not yet been finalised.</w:t>
      </w:r>
    </w:p>
    <w:p w14:paraId="0E87C43A" w14:textId="77777777" w:rsidR="000977B0" w:rsidRPr="00052A2F" w:rsidRDefault="000977B0" w:rsidP="0062246E">
      <w:pPr>
        <w:rPr>
          <w:rFonts w:cs="Times New Roman"/>
          <w:szCs w:val="24"/>
        </w:rPr>
      </w:pPr>
    </w:p>
    <w:p w14:paraId="097FAC2E" w14:textId="77777777" w:rsidR="000121A3" w:rsidRPr="00052A2F" w:rsidRDefault="000121A3" w:rsidP="0062246E">
      <w:pPr>
        <w:pStyle w:val="ListParagraph"/>
        <w:numPr>
          <w:ilvl w:val="0"/>
          <w:numId w:val="2"/>
        </w:numPr>
        <w:ind w:left="284" w:hanging="284"/>
        <w:rPr>
          <w:rFonts w:cs="Times New Roman"/>
          <w:b/>
          <w:szCs w:val="24"/>
        </w:rPr>
      </w:pPr>
      <w:r w:rsidRPr="00052A2F">
        <w:rPr>
          <w:rFonts w:cs="Times New Roman"/>
          <w:b/>
          <w:szCs w:val="24"/>
        </w:rPr>
        <w:t>Entities reporting to the Minister of Trade and Industry</w:t>
      </w:r>
    </w:p>
    <w:p w14:paraId="01FD22A7" w14:textId="77777777" w:rsidR="000121A3" w:rsidRPr="00052A2F" w:rsidRDefault="000121A3" w:rsidP="0062246E">
      <w:pPr>
        <w:rPr>
          <w:rFonts w:cs="Times New Roman"/>
          <w:szCs w:val="24"/>
        </w:rPr>
      </w:pPr>
    </w:p>
    <w:p w14:paraId="67270E26" w14:textId="77777777" w:rsidR="00196694" w:rsidRPr="00052A2F" w:rsidRDefault="00BD2C51" w:rsidP="0062246E">
      <w:pPr>
        <w:rPr>
          <w:rFonts w:cs="Times New Roman"/>
          <w:szCs w:val="24"/>
        </w:rPr>
      </w:pPr>
      <w:r w:rsidRPr="00052A2F">
        <w:rPr>
          <w:rFonts w:cs="Times New Roman"/>
          <w:szCs w:val="24"/>
        </w:rPr>
        <w:t>For this</w:t>
      </w:r>
      <w:r w:rsidR="000D079A" w:rsidRPr="00052A2F">
        <w:rPr>
          <w:rFonts w:cs="Times New Roman"/>
          <w:szCs w:val="24"/>
        </w:rPr>
        <w:t xml:space="preserve"> budget process</w:t>
      </w:r>
      <w:r w:rsidR="00524B8E" w:rsidRPr="00052A2F">
        <w:rPr>
          <w:rFonts w:cs="Times New Roman"/>
          <w:szCs w:val="24"/>
        </w:rPr>
        <w:t>,</w:t>
      </w:r>
      <w:r w:rsidR="000D079A" w:rsidRPr="00052A2F">
        <w:rPr>
          <w:rFonts w:cs="Times New Roman"/>
          <w:szCs w:val="24"/>
        </w:rPr>
        <w:t xml:space="preserve"> the </w:t>
      </w:r>
      <w:r w:rsidR="003E1DDF" w:rsidRPr="00052A2F">
        <w:rPr>
          <w:rFonts w:cs="Times New Roman"/>
          <w:szCs w:val="24"/>
        </w:rPr>
        <w:t xml:space="preserve">Committee </w:t>
      </w:r>
      <w:r w:rsidR="000D079A" w:rsidRPr="00052A2F">
        <w:rPr>
          <w:rFonts w:cs="Times New Roman"/>
          <w:szCs w:val="24"/>
        </w:rPr>
        <w:t xml:space="preserve">agreed to consider the strategic </w:t>
      </w:r>
      <w:r w:rsidR="001D51D5" w:rsidRPr="00052A2F">
        <w:rPr>
          <w:rFonts w:cs="Times New Roman"/>
          <w:szCs w:val="24"/>
        </w:rPr>
        <w:t xml:space="preserve">plans </w:t>
      </w:r>
      <w:r w:rsidR="000D079A" w:rsidRPr="00052A2F">
        <w:rPr>
          <w:rFonts w:cs="Times New Roman"/>
          <w:szCs w:val="24"/>
        </w:rPr>
        <w:t>a</w:t>
      </w:r>
      <w:r w:rsidR="00A05EDB" w:rsidRPr="00052A2F">
        <w:rPr>
          <w:rFonts w:cs="Times New Roman"/>
          <w:szCs w:val="24"/>
        </w:rPr>
        <w:t xml:space="preserve">nd </w:t>
      </w:r>
      <w:r w:rsidR="001D51D5" w:rsidRPr="00052A2F">
        <w:rPr>
          <w:rFonts w:cs="Times New Roman"/>
          <w:szCs w:val="24"/>
        </w:rPr>
        <w:t xml:space="preserve">APPs </w:t>
      </w:r>
      <w:r w:rsidR="00A05EDB" w:rsidRPr="00052A2F">
        <w:rPr>
          <w:rFonts w:cs="Times New Roman"/>
          <w:szCs w:val="24"/>
        </w:rPr>
        <w:t xml:space="preserve">of </w:t>
      </w:r>
      <w:r w:rsidR="00911B2F">
        <w:rPr>
          <w:rFonts w:cs="Times New Roman"/>
          <w:szCs w:val="24"/>
        </w:rPr>
        <w:t>three</w:t>
      </w:r>
      <w:r w:rsidRPr="00052A2F">
        <w:rPr>
          <w:rFonts w:cs="Times New Roman"/>
          <w:szCs w:val="24"/>
        </w:rPr>
        <w:t xml:space="preserve"> </w:t>
      </w:r>
      <w:r w:rsidR="000D079A" w:rsidRPr="00052A2F">
        <w:rPr>
          <w:rFonts w:cs="Times New Roman"/>
          <w:szCs w:val="24"/>
        </w:rPr>
        <w:t xml:space="preserve">entities. The </w:t>
      </w:r>
      <w:r w:rsidR="003E1DDF" w:rsidRPr="00052A2F">
        <w:rPr>
          <w:rFonts w:cs="Times New Roman"/>
          <w:szCs w:val="24"/>
        </w:rPr>
        <w:t xml:space="preserve">Committee </w:t>
      </w:r>
      <w:r w:rsidR="000D079A" w:rsidRPr="00052A2F">
        <w:rPr>
          <w:rFonts w:cs="Times New Roman"/>
          <w:szCs w:val="24"/>
        </w:rPr>
        <w:t xml:space="preserve">based this decision on </w:t>
      </w:r>
      <w:r w:rsidR="005A3646" w:rsidRPr="00052A2F">
        <w:rPr>
          <w:rFonts w:cs="Times New Roman"/>
          <w:szCs w:val="24"/>
        </w:rPr>
        <w:t xml:space="preserve">the </w:t>
      </w:r>
      <w:r w:rsidR="008B5534" w:rsidRPr="00052A2F">
        <w:rPr>
          <w:rFonts w:cs="Times New Roman"/>
          <w:szCs w:val="24"/>
        </w:rPr>
        <w:t xml:space="preserve">frequency that it had overseen these </w:t>
      </w:r>
      <w:r w:rsidR="000D079A" w:rsidRPr="00052A2F">
        <w:rPr>
          <w:rFonts w:cs="Times New Roman"/>
          <w:szCs w:val="24"/>
        </w:rPr>
        <w:t>entities</w:t>
      </w:r>
      <w:r w:rsidR="00911B2F">
        <w:rPr>
          <w:rFonts w:cs="Times New Roman"/>
          <w:szCs w:val="24"/>
        </w:rPr>
        <w:t>,</w:t>
      </w:r>
      <w:r w:rsidR="008B5534" w:rsidRPr="00052A2F">
        <w:rPr>
          <w:rFonts w:cs="Times New Roman"/>
          <w:szCs w:val="24"/>
        </w:rPr>
        <w:t xml:space="preserve"> and their</w:t>
      </w:r>
      <w:r w:rsidR="000D079A" w:rsidRPr="00052A2F">
        <w:rPr>
          <w:rFonts w:cs="Times New Roman"/>
          <w:szCs w:val="24"/>
        </w:rPr>
        <w:t xml:space="preserve"> </w:t>
      </w:r>
      <w:r w:rsidR="005A3646" w:rsidRPr="00052A2F">
        <w:rPr>
          <w:rFonts w:cs="Times New Roman"/>
          <w:szCs w:val="24"/>
        </w:rPr>
        <w:t>contribution</w:t>
      </w:r>
      <w:r w:rsidR="000D079A" w:rsidRPr="00052A2F">
        <w:rPr>
          <w:rFonts w:cs="Times New Roman"/>
          <w:szCs w:val="24"/>
        </w:rPr>
        <w:t xml:space="preserve"> to economic transformation</w:t>
      </w:r>
      <w:r w:rsidR="003E1DDF" w:rsidRPr="00052A2F">
        <w:rPr>
          <w:rFonts w:cs="Times New Roman"/>
          <w:szCs w:val="24"/>
        </w:rPr>
        <w:t xml:space="preserve"> and/or industrialisation</w:t>
      </w:r>
      <w:r w:rsidR="000D079A" w:rsidRPr="00052A2F">
        <w:rPr>
          <w:rFonts w:cs="Times New Roman"/>
          <w:szCs w:val="24"/>
        </w:rPr>
        <w:t xml:space="preserve">. </w:t>
      </w:r>
    </w:p>
    <w:p w14:paraId="6056AB76" w14:textId="77777777" w:rsidR="00656B82" w:rsidRPr="00052A2F" w:rsidRDefault="00656B82" w:rsidP="0062246E">
      <w:pPr>
        <w:rPr>
          <w:rFonts w:cs="Times New Roman"/>
          <w:b/>
          <w:i/>
          <w:szCs w:val="24"/>
        </w:rPr>
      </w:pPr>
    </w:p>
    <w:p w14:paraId="77FCAEAC" w14:textId="77777777" w:rsidR="00D27D12" w:rsidRPr="00052A2F" w:rsidRDefault="00BD2C51" w:rsidP="007D60EF">
      <w:pPr>
        <w:pStyle w:val="Heading2"/>
        <w:numPr>
          <w:ilvl w:val="1"/>
          <w:numId w:val="6"/>
        </w:numPr>
        <w:spacing w:before="0"/>
        <w:ind w:left="567" w:hanging="567"/>
        <w:rPr>
          <w:rFonts w:ascii="Times New Roman" w:hAnsi="Times New Roman" w:cs="Times New Roman"/>
          <w:b/>
          <w:color w:val="auto"/>
          <w:sz w:val="24"/>
          <w:szCs w:val="24"/>
          <w:lang w:eastAsia="en-ZA"/>
        </w:rPr>
      </w:pPr>
      <w:r w:rsidRPr="00052A2F">
        <w:rPr>
          <w:rFonts w:ascii="Times New Roman" w:hAnsi="Times New Roman" w:cs="Times New Roman"/>
          <w:b/>
          <w:color w:val="auto"/>
          <w:sz w:val="24"/>
          <w:szCs w:val="24"/>
          <w:lang w:eastAsia="en-ZA"/>
        </w:rPr>
        <w:t>Broad-based Black Economic Empowerment Commission</w:t>
      </w:r>
    </w:p>
    <w:p w14:paraId="33C5F066" w14:textId="77777777" w:rsidR="008178FF" w:rsidRPr="001E4218" w:rsidRDefault="008178FF" w:rsidP="0062246E">
      <w:pPr>
        <w:rPr>
          <w:rFonts w:cs="Times New Roman"/>
          <w:szCs w:val="24"/>
          <w:lang w:eastAsia="en-ZA"/>
        </w:rPr>
      </w:pPr>
    </w:p>
    <w:p w14:paraId="4BA452E5" w14:textId="4A4F606E" w:rsidR="001E4218" w:rsidRPr="001E4218" w:rsidRDefault="001E4218" w:rsidP="0062246E">
      <w:pPr>
        <w:widowControl w:val="0"/>
        <w:autoSpaceDE w:val="0"/>
        <w:autoSpaceDN w:val="0"/>
        <w:adjustRightInd w:val="0"/>
        <w:ind w:left="3"/>
        <w:rPr>
          <w:rFonts w:cs="Arial"/>
          <w:szCs w:val="24"/>
        </w:rPr>
      </w:pPr>
      <w:r w:rsidRPr="001E4218">
        <w:rPr>
          <w:rFonts w:cs="Arial"/>
          <w:szCs w:val="24"/>
        </w:rPr>
        <w:t xml:space="preserve">The Broad-Based Black Economic Empowerment </w:t>
      </w:r>
      <w:r w:rsidR="000977B0">
        <w:rPr>
          <w:rFonts w:cs="Arial"/>
          <w:szCs w:val="24"/>
        </w:rPr>
        <w:t xml:space="preserve">(B-BBEE) </w:t>
      </w:r>
      <w:r w:rsidRPr="001E4218">
        <w:rPr>
          <w:rFonts w:cs="Arial"/>
          <w:szCs w:val="24"/>
        </w:rPr>
        <w:t>Commission was established by the B-BBEE Amendment Act, 2013 (Act No.</w:t>
      </w:r>
      <w:r w:rsidR="00805AA4">
        <w:rPr>
          <w:rFonts w:cs="Arial"/>
          <w:szCs w:val="24"/>
        </w:rPr>
        <w:t xml:space="preserve"> </w:t>
      </w:r>
      <w:r w:rsidRPr="001E4218">
        <w:rPr>
          <w:rFonts w:cs="Arial"/>
          <w:szCs w:val="24"/>
        </w:rPr>
        <w:t xml:space="preserve">46 of 2013) and became operational in the 2017/18 financial year. Section 13B of the Act provides for the establishment of this </w:t>
      </w:r>
      <w:r w:rsidRPr="001E4218">
        <w:rPr>
          <w:rFonts w:cs="Arial"/>
          <w:szCs w:val="24"/>
        </w:rPr>
        <w:lastRenderedPageBreak/>
        <w:t>Commission “as an entity within the administration of the Department”</w:t>
      </w:r>
      <w:r w:rsidRPr="001E4218">
        <w:rPr>
          <w:rStyle w:val="FootnoteReference"/>
          <w:rFonts w:cs="Arial"/>
          <w:szCs w:val="24"/>
        </w:rPr>
        <w:footnoteReference w:id="13"/>
      </w:r>
      <w:r w:rsidRPr="001E4218">
        <w:rPr>
          <w:rFonts w:cs="Arial"/>
          <w:szCs w:val="24"/>
        </w:rPr>
        <w:t xml:space="preserve">.  The </w:t>
      </w:r>
      <w:r w:rsidRPr="001E4218">
        <w:rPr>
          <w:rFonts w:cs="Arial"/>
          <w:szCs w:val="24"/>
          <w:lang w:eastAsia="en-ZA"/>
        </w:rPr>
        <w:t>B-BBEE Commission’s</w:t>
      </w:r>
      <w:r w:rsidRPr="001E4218">
        <w:rPr>
          <w:rFonts w:cs="Arial"/>
          <w:szCs w:val="24"/>
        </w:rPr>
        <w:t xml:space="preserve"> core mandate </w:t>
      </w:r>
      <w:r>
        <w:rPr>
          <w:rFonts w:cs="Arial"/>
          <w:szCs w:val="24"/>
        </w:rPr>
        <w:t xml:space="preserve">is </w:t>
      </w:r>
      <w:r w:rsidRPr="001E4218">
        <w:rPr>
          <w:rFonts w:cs="Arial"/>
          <w:szCs w:val="24"/>
        </w:rPr>
        <w:t>to monitor the implementation of and compliance with the B-BBEE Act. The functions of the Commission are set out in Section 13F of the Act as:</w:t>
      </w:r>
    </w:p>
    <w:p w14:paraId="7A0CECDC" w14:textId="77777777" w:rsidR="001E4218" w:rsidRPr="001E4218" w:rsidRDefault="001E4218" w:rsidP="0062246E">
      <w:pPr>
        <w:widowControl w:val="0"/>
        <w:autoSpaceDE w:val="0"/>
        <w:autoSpaceDN w:val="0"/>
        <w:adjustRightInd w:val="0"/>
        <w:rPr>
          <w:rFonts w:cs="Arial"/>
          <w:szCs w:val="24"/>
        </w:rPr>
      </w:pPr>
    </w:p>
    <w:p w14:paraId="5CE7B3AC" w14:textId="77777777" w:rsidR="001E4218" w:rsidRPr="001E4218" w:rsidRDefault="001E4218" w:rsidP="007D60EF">
      <w:pPr>
        <w:widowControl w:val="0"/>
        <w:numPr>
          <w:ilvl w:val="0"/>
          <w:numId w:val="18"/>
        </w:numPr>
        <w:overflowPunct w:val="0"/>
        <w:autoSpaceDE w:val="0"/>
        <w:autoSpaceDN w:val="0"/>
        <w:adjustRightInd w:val="0"/>
        <w:rPr>
          <w:rFonts w:cs="Arial"/>
          <w:szCs w:val="24"/>
        </w:rPr>
      </w:pPr>
      <w:r w:rsidRPr="001E4218">
        <w:rPr>
          <w:rFonts w:cs="Arial"/>
          <w:szCs w:val="24"/>
        </w:rPr>
        <w:t xml:space="preserve">To oversee, supervise and promote adherence to the Act in the interest of the public; </w:t>
      </w:r>
    </w:p>
    <w:p w14:paraId="3FE4C226" w14:textId="77777777" w:rsidR="001E4218" w:rsidRPr="001E4218" w:rsidRDefault="001E4218" w:rsidP="007D60EF">
      <w:pPr>
        <w:widowControl w:val="0"/>
        <w:numPr>
          <w:ilvl w:val="0"/>
          <w:numId w:val="18"/>
        </w:numPr>
        <w:overflowPunct w:val="0"/>
        <w:autoSpaceDE w:val="0"/>
        <w:autoSpaceDN w:val="0"/>
        <w:adjustRightInd w:val="0"/>
        <w:rPr>
          <w:rFonts w:cs="Arial"/>
          <w:szCs w:val="24"/>
        </w:rPr>
      </w:pPr>
      <w:r w:rsidRPr="001E4218">
        <w:rPr>
          <w:rFonts w:cs="Arial"/>
          <w:szCs w:val="24"/>
        </w:rPr>
        <w:t xml:space="preserve">To strengthen and foster collaboration between the public and private sector in order to promote and safeguard the objectives of broad-based black economic empowerment; </w:t>
      </w:r>
    </w:p>
    <w:p w14:paraId="45F8FE87" w14:textId="77777777" w:rsidR="001E4218" w:rsidRPr="001E4218" w:rsidRDefault="001E4218" w:rsidP="007D60EF">
      <w:pPr>
        <w:widowControl w:val="0"/>
        <w:numPr>
          <w:ilvl w:val="0"/>
          <w:numId w:val="18"/>
        </w:numPr>
        <w:autoSpaceDE w:val="0"/>
        <w:autoSpaceDN w:val="0"/>
        <w:adjustRightInd w:val="0"/>
        <w:rPr>
          <w:rFonts w:cs="Arial"/>
          <w:szCs w:val="24"/>
        </w:rPr>
      </w:pPr>
      <w:r w:rsidRPr="001E4218">
        <w:rPr>
          <w:rFonts w:cs="Arial"/>
          <w:szCs w:val="24"/>
        </w:rPr>
        <w:t xml:space="preserve">To receive complaints relating to broad-based black economic empowerment in accordance with the Act; </w:t>
      </w:r>
    </w:p>
    <w:p w14:paraId="7C4948E5" w14:textId="77777777" w:rsidR="001E4218" w:rsidRPr="001E4218" w:rsidRDefault="001E4218" w:rsidP="007D60EF">
      <w:pPr>
        <w:widowControl w:val="0"/>
        <w:numPr>
          <w:ilvl w:val="0"/>
          <w:numId w:val="18"/>
        </w:numPr>
        <w:autoSpaceDE w:val="0"/>
        <w:autoSpaceDN w:val="0"/>
        <w:adjustRightInd w:val="0"/>
        <w:rPr>
          <w:rFonts w:cs="Arial"/>
          <w:szCs w:val="24"/>
        </w:rPr>
      </w:pPr>
      <w:r w:rsidRPr="001E4218">
        <w:rPr>
          <w:rFonts w:cs="Arial"/>
          <w:szCs w:val="24"/>
        </w:rPr>
        <w:t xml:space="preserve">To investigate, either on its own initiative or in response to complaints received, any matter concerning broad-based black economic empowerment; </w:t>
      </w:r>
    </w:p>
    <w:p w14:paraId="227E80D0" w14:textId="77777777" w:rsidR="001E4218" w:rsidRPr="001E4218" w:rsidRDefault="001E4218" w:rsidP="007D60EF">
      <w:pPr>
        <w:widowControl w:val="0"/>
        <w:numPr>
          <w:ilvl w:val="0"/>
          <w:numId w:val="18"/>
        </w:numPr>
        <w:autoSpaceDE w:val="0"/>
        <w:autoSpaceDN w:val="0"/>
        <w:adjustRightInd w:val="0"/>
        <w:rPr>
          <w:rFonts w:cs="Arial"/>
          <w:szCs w:val="24"/>
        </w:rPr>
      </w:pPr>
      <w:r w:rsidRPr="001E4218">
        <w:rPr>
          <w:rFonts w:cs="Arial"/>
          <w:szCs w:val="24"/>
        </w:rPr>
        <w:t xml:space="preserve">To promote advocacy; access to opportunities and educational programmes and initiatives of broad-based black economic empowerment; </w:t>
      </w:r>
    </w:p>
    <w:p w14:paraId="6A207CB5" w14:textId="77777777" w:rsidR="001E4218" w:rsidRPr="001E4218" w:rsidRDefault="001E4218" w:rsidP="007D60EF">
      <w:pPr>
        <w:widowControl w:val="0"/>
        <w:numPr>
          <w:ilvl w:val="0"/>
          <w:numId w:val="18"/>
        </w:numPr>
        <w:autoSpaceDE w:val="0"/>
        <w:autoSpaceDN w:val="0"/>
        <w:adjustRightInd w:val="0"/>
        <w:rPr>
          <w:rFonts w:cs="Arial"/>
          <w:szCs w:val="24"/>
        </w:rPr>
      </w:pPr>
      <w:r w:rsidRPr="001E4218">
        <w:rPr>
          <w:rFonts w:cs="Arial"/>
          <w:szCs w:val="24"/>
        </w:rPr>
        <w:t xml:space="preserve">To maintain a register of major broad-based black economic empowerment transactions, above a threshold determined by the Minister in the Gazette; </w:t>
      </w:r>
    </w:p>
    <w:p w14:paraId="7B5D2117" w14:textId="77777777" w:rsidR="001E4218" w:rsidRPr="001E4218" w:rsidRDefault="001E4218" w:rsidP="007D60EF">
      <w:pPr>
        <w:widowControl w:val="0"/>
        <w:numPr>
          <w:ilvl w:val="0"/>
          <w:numId w:val="18"/>
        </w:numPr>
        <w:autoSpaceDE w:val="0"/>
        <w:autoSpaceDN w:val="0"/>
        <w:adjustRightInd w:val="0"/>
        <w:rPr>
          <w:rFonts w:cs="Arial"/>
          <w:szCs w:val="24"/>
        </w:rPr>
      </w:pPr>
      <w:r w:rsidRPr="001E4218">
        <w:rPr>
          <w:rFonts w:cs="Arial"/>
          <w:szCs w:val="24"/>
        </w:rPr>
        <w:t xml:space="preserve">To receive and analyse such reports as may be prescribed concerning broad-based economic empowerment compliance from organs of state, public entities and private sector enterprises; </w:t>
      </w:r>
    </w:p>
    <w:p w14:paraId="3ECB5A6E" w14:textId="77777777" w:rsidR="001E4218" w:rsidRPr="001E4218" w:rsidRDefault="001E4218" w:rsidP="007D60EF">
      <w:pPr>
        <w:widowControl w:val="0"/>
        <w:numPr>
          <w:ilvl w:val="0"/>
          <w:numId w:val="18"/>
        </w:numPr>
        <w:autoSpaceDE w:val="0"/>
        <w:autoSpaceDN w:val="0"/>
        <w:adjustRightInd w:val="0"/>
        <w:rPr>
          <w:rFonts w:cs="Arial"/>
          <w:szCs w:val="24"/>
        </w:rPr>
      </w:pPr>
      <w:r w:rsidRPr="001E4218">
        <w:rPr>
          <w:rFonts w:cs="Arial"/>
          <w:szCs w:val="24"/>
        </w:rPr>
        <w:t xml:space="preserve">To promote good governance and accountability by creating an effective environment for the promotion and implementation of broad-based black economic empowerment; </w:t>
      </w:r>
    </w:p>
    <w:p w14:paraId="1A58F72B" w14:textId="77777777" w:rsidR="001E4218" w:rsidRPr="001E4218" w:rsidRDefault="001E4218" w:rsidP="007D60EF">
      <w:pPr>
        <w:widowControl w:val="0"/>
        <w:numPr>
          <w:ilvl w:val="0"/>
          <w:numId w:val="18"/>
        </w:numPr>
        <w:overflowPunct w:val="0"/>
        <w:autoSpaceDE w:val="0"/>
        <w:autoSpaceDN w:val="0"/>
        <w:adjustRightInd w:val="0"/>
        <w:rPr>
          <w:rFonts w:cs="Arial"/>
          <w:szCs w:val="24"/>
        </w:rPr>
      </w:pPr>
      <w:r w:rsidRPr="001E4218">
        <w:rPr>
          <w:rFonts w:cs="Arial"/>
          <w:szCs w:val="24"/>
        </w:rPr>
        <w:t xml:space="preserve">To exercise such other powers which are not in conflict with the Act as may be conferred on the B-BBEE Commission in writing by the Minister; and </w:t>
      </w:r>
    </w:p>
    <w:p w14:paraId="620EF1DA" w14:textId="77777777" w:rsidR="001E4218" w:rsidRPr="001E4218" w:rsidRDefault="001E4218" w:rsidP="007D60EF">
      <w:pPr>
        <w:widowControl w:val="0"/>
        <w:numPr>
          <w:ilvl w:val="0"/>
          <w:numId w:val="18"/>
        </w:numPr>
        <w:overflowPunct w:val="0"/>
        <w:autoSpaceDE w:val="0"/>
        <w:autoSpaceDN w:val="0"/>
        <w:adjustRightInd w:val="0"/>
        <w:rPr>
          <w:rFonts w:cs="Arial"/>
          <w:szCs w:val="24"/>
        </w:rPr>
      </w:pPr>
      <w:r w:rsidRPr="001E4218">
        <w:rPr>
          <w:rFonts w:cs="Arial"/>
          <w:szCs w:val="24"/>
        </w:rPr>
        <w:t>Increase knowledge of the nature and dynamics and promote public awareness of matters relating to broad-b</w:t>
      </w:r>
      <w:r>
        <w:rPr>
          <w:rFonts w:cs="Arial"/>
          <w:szCs w:val="24"/>
        </w:rPr>
        <w:t>ased black economic empowerment.</w:t>
      </w:r>
    </w:p>
    <w:p w14:paraId="7261321A" w14:textId="77777777" w:rsidR="001E4218" w:rsidRPr="001E4218" w:rsidRDefault="001E4218" w:rsidP="0062246E">
      <w:pPr>
        <w:shd w:val="clear" w:color="auto" w:fill="FFFFFF" w:themeFill="background1"/>
        <w:rPr>
          <w:rFonts w:cs="Arial"/>
          <w:szCs w:val="24"/>
        </w:rPr>
      </w:pPr>
    </w:p>
    <w:p w14:paraId="15CBFD98" w14:textId="77777777" w:rsidR="001E4218" w:rsidRPr="001E4218" w:rsidRDefault="001E4218" w:rsidP="0062246E">
      <w:pPr>
        <w:shd w:val="clear" w:color="auto" w:fill="FFFFFF" w:themeFill="background1"/>
        <w:rPr>
          <w:rFonts w:cs="Arial"/>
          <w:szCs w:val="24"/>
        </w:rPr>
      </w:pPr>
      <w:r w:rsidRPr="001E4218">
        <w:rPr>
          <w:rFonts w:cs="Arial"/>
          <w:szCs w:val="24"/>
        </w:rPr>
        <w:t>This core mandate falls within the Department’s strategic objective of “facilitating broad-based economic participation through targeted interventions to achieve more inclusive growth”. The B-BBEE Commission, therefore, has a critical role to play in creating a transformed, empowered and an inclusive economy.</w:t>
      </w:r>
    </w:p>
    <w:p w14:paraId="4DCC644B" w14:textId="77777777" w:rsidR="008178FF" w:rsidRPr="00052A2F" w:rsidRDefault="008178FF" w:rsidP="0062246E"/>
    <w:p w14:paraId="3530744D" w14:textId="77777777" w:rsidR="00473DFB" w:rsidRPr="00052A2F" w:rsidRDefault="00473DFB" w:rsidP="007D60EF">
      <w:pPr>
        <w:pStyle w:val="ListParagraph"/>
        <w:numPr>
          <w:ilvl w:val="2"/>
          <w:numId w:val="6"/>
        </w:numPr>
        <w:ind w:left="709" w:hanging="709"/>
        <w:rPr>
          <w:rFonts w:cs="Times New Roman"/>
          <w:b/>
          <w:szCs w:val="24"/>
        </w:rPr>
      </w:pPr>
      <w:r w:rsidRPr="00052A2F">
        <w:rPr>
          <w:rFonts w:cs="Times New Roman"/>
          <w:b/>
          <w:szCs w:val="24"/>
        </w:rPr>
        <w:t xml:space="preserve">Strategic Goals </w:t>
      </w:r>
    </w:p>
    <w:p w14:paraId="1EEA8CC2" w14:textId="77777777" w:rsidR="00473DFB" w:rsidRPr="00052A2F" w:rsidRDefault="00473DFB" w:rsidP="0062246E">
      <w:pPr>
        <w:pStyle w:val="Default"/>
        <w:spacing w:line="360" w:lineRule="auto"/>
        <w:jc w:val="both"/>
        <w:rPr>
          <w:rFonts w:ascii="Times New Roman" w:hAnsi="Times New Roman" w:cs="Times New Roman"/>
          <w:color w:val="auto"/>
          <w:highlight w:val="yellow"/>
        </w:rPr>
      </w:pPr>
    </w:p>
    <w:p w14:paraId="2726BFB3" w14:textId="77777777" w:rsidR="008178FF" w:rsidRPr="00052A2F" w:rsidRDefault="008178FF" w:rsidP="0062246E">
      <w:pPr>
        <w:rPr>
          <w:rFonts w:cs="Times New Roman"/>
          <w:lang w:eastAsia="en-ZA"/>
        </w:rPr>
      </w:pPr>
      <w:r w:rsidRPr="00052A2F">
        <w:rPr>
          <w:rFonts w:cs="Times New Roman"/>
          <w:lang w:eastAsia="en-ZA"/>
        </w:rPr>
        <w:t xml:space="preserve">In line with </w:t>
      </w:r>
      <w:r w:rsidR="00D9574A" w:rsidRPr="00052A2F">
        <w:rPr>
          <w:rFonts w:cs="Times New Roman"/>
          <w:lang w:eastAsia="en-ZA"/>
        </w:rPr>
        <w:t xml:space="preserve">its legislative </w:t>
      </w:r>
      <w:r w:rsidRPr="00052A2F">
        <w:rPr>
          <w:rFonts w:cs="Times New Roman"/>
          <w:lang w:eastAsia="en-ZA"/>
        </w:rPr>
        <w:t xml:space="preserve">mandate, the Commission published the following strategic </w:t>
      </w:r>
      <w:r w:rsidR="00D9574A" w:rsidRPr="00052A2F">
        <w:rPr>
          <w:rFonts w:cs="Times New Roman"/>
          <w:lang w:eastAsia="en-ZA"/>
        </w:rPr>
        <w:t>goals and objectives</w:t>
      </w:r>
      <w:r w:rsidRPr="00052A2F">
        <w:rPr>
          <w:rFonts w:cs="Times New Roman"/>
          <w:lang w:eastAsia="en-ZA"/>
        </w:rPr>
        <w:t xml:space="preserve">:  </w:t>
      </w:r>
    </w:p>
    <w:p w14:paraId="14950BF9" w14:textId="77777777" w:rsidR="008178FF" w:rsidRPr="00052A2F" w:rsidRDefault="008178FF" w:rsidP="0062246E">
      <w:pPr>
        <w:rPr>
          <w:rFonts w:cs="Times New Roman"/>
          <w:b/>
          <w:lang w:eastAsia="en-ZA"/>
        </w:rPr>
      </w:pPr>
    </w:p>
    <w:p w14:paraId="34F9100C" w14:textId="77777777" w:rsidR="008178FF" w:rsidRPr="00052A2F" w:rsidRDefault="008178FF" w:rsidP="007D60EF">
      <w:pPr>
        <w:pStyle w:val="ListParagraph"/>
        <w:numPr>
          <w:ilvl w:val="0"/>
          <w:numId w:val="10"/>
        </w:numPr>
        <w:contextualSpacing w:val="0"/>
        <w:rPr>
          <w:lang w:eastAsia="en-ZA"/>
        </w:rPr>
      </w:pPr>
      <w:r w:rsidRPr="00052A2F">
        <w:rPr>
          <w:rFonts w:cs="Times New Roman"/>
          <w:lang w:eastAsia="en-ZA"/>
        </w:rPr>
        <w:t xml:space="preserve">Safeguarding the outcomes of an inclusive </w:t>
      </w:r>
      <w:r w:rsidR="00D9574A" w:rsidRPr="00052A2F">
        <w:rPr>
          <w:rFonts w:cs="Times New Roman"/>
          <w:lang w:eastAsia="en-ZA"/>
        </w:rPr>
        <w:t>economy by:</w:t>
      </w:r>
      <w:r w:rsidR="00947858" w:rsidRPr="00052A2F">
        <w:rPr>
          <w:rFonts w:cs="Times New Roman"/>
          <w:lang w:eastAsia="en-ZA"/>
        </w:rPr>
        <w:t xml:space="preserve"> (i) guiding </w:t>
      </w:r>
      <w:r w:rsidRPr="00052A2F">
        <w:rPr>
          <w:rFonts w:cs="Times New Roman"/>
          <w:lang w:eastAsia="en-ZA"/>
        </w:rPr>
        <w:t>the implementation of the Act</w:t>
      </w:r>
      <w:r w:rsidR="00D9574A" w:rsidRPr="00052A2F">
        <w:rPr>
          <w:rFonts w:cs="Times New Roman"/>
          <w:lang w:eastAsia="en-ZA"/>
        </w:rPr>
        <w:t>, and</w:t>
      </w:r>
      <w:r w:rsidR="00947858" w:rsidRPr="00052A2F">
        <w:rPr>
          <w:rFonts w:cs="Times New Roman"/>
          <w:lang w:eastAsia="en-ZA"/>
        </w:rPr>
        <w:t xml:space="preserve"> (ii) assessing </w:t>
      </w:r>
      <w:r w:rsidRPr="00052A2F">
        <w:rPr>
          <w:rFonts w:cs="Times New Roman"/>
          <w:lang w:eastAsia="en-ZA"/>
        </w:rPr>
        <w:t>B-BBEE Transactions and provide advice</w:t>
      </w:r>
      <w:r w:rsidR="00D9574A" w:rsidRPr="00052A2F">
        <w:rPr>
          <w:rFonts w:cs="Times New Roman"/>
          <w:lang w:eastAsia="en-ZA"/>
        </w:rPr>
        <w:t>.</w:t>
      </w:r>
    </w:p>
    <w:p w14:paraId="51E965DD" w14:textId="77777777" w:rsidR="008178FF" w:rsidRPr="00052A2F" w:rsidRDefault="008178FF" w:rsidP="007D60EF">
      <w:pPr>
        <w:pStyle w:val="ListParagraph"/>
        <w:numPr>
          <w:ilvl w:val="0"/>
          <w:numId w:val="10"/>
        </w:numPr>
        <w:contextualSpacing w:val="0"/>
        <w:rPr>
          <w:rFonts w:cs="Times New Roman"/>
          <w:szCs w:val="24"/>
          <w:lang w:eastAsia="en-ZA"/>
        </w:rPr>
      </w:pPr>
      <w:r w:rsidRPr="00052A2F">
        <w:rPr>
          <w:rFonts w:cs="Times New Roman"/>
          <w:lang w:eastAsia="en-ZA"/>
        </w:rPr>
        <w:t>Implementing corrective enforcement to achieve compliance</w:t>
      </w:r>
      <w:r w:rsidR="00D9574A" w:rsidRPr="00052A2F">
        <w:rPr>
          <w:rFonts w:cs="Times New Roman"/>
          <w:lang w:eastAsia="en-ZA"/>
        </w:rPr>
        <w:t xml:space="preserve"> by:</w:t>
      </w:r>
      <w:r w:rsidR="00947858" w:rsidRPr="00052A2F">
        <w:rPr>
          <w:rFonts w:cs="Times New Roman"/>
          <w:lang w:eastAsia="en-ZA"/>
        </w:rPr>
        <w:t xml:space="preserve"> (i) conducting </w:t>
      </w:r>
      <w:r w:rsidRPr="00052A2F">
        <w:rPr>
          <w:rFonts w:cs="Times New Roman"/>
          <w:lang w:eastAsia="en-ZA"/>
        </w:rPr>
        <w:t xml:space="preserve">both proactive and reactive </w:t>
      </w:r>
      <w:r w:rsidR="00D9574A" w:rsidRPr="00052A2F">
        <w:rPr>
          <w:rFonts w:cs="Times New Roman"/>
          <w:lang w:eastAsia="en-ZA"/>
        </w:rPr>
        <w:t>investigations,</w:t>
      </w:r>
      <w:r w:rsidR="00947858" w:rsidRPr="00052A2F">
        <w:rPr>
          <w:rFonts w:cs="Times New Roman"/>
          <w:lang w:eastAsia="en-ZA"/>
        </w:rPr>
        <w:t xml:space="preserve"> </w:t>
      </w:r>
      <w:r w:rsidR="00947858" w:rsidRPr="00052A2F">
        <w:rPr>
          <w:rFonts w:cs="Times New Roman"/>
          <w:szCs w:val="24"/>
          <w:lang w:eastAsia="en-ZA"/>
        </w:rPr>
        <w:t>(ii) encouraging</w:t>
      </w:r>
      <w:r w:rsidRPr="00052A2F">
        <w:rPr>
          <w:rFonts w:cs="Times New Roman"/>
          <w:szCs w:val="24"/>
          <w:lang w:eastAsia="en-ZA"/>
        </w:rPr>
        <w:t xml:space="preserve"> and guid</w:t>
      </w:r>
      <w:r w:rsidR="00D9574A" w:rsidRPr="00052A2F">
        <w:rPr>
          <w:rFonts w:cs="Times New Roman"/>
          <w:szCs w:val="24"/>
          <w:lang w:eastAsia="en-ZA"/>
        </w:rPr>
        <w:t>ing</w:t>
      </w:r>
      <w:r w:rsidRPr="00052A2F">
        <w:rPr>
          <w:rFonts w:cs="Times New Roman"/>
          <w:szCs w:val="24"/>
          <w:lang w:eastAsia="en-ZA"/>
        </w:rPr>
        <w:t xml:space="preserve"> resolution to disputes</w:t>
      </w:r>
      <w:r w:rsidR="00D9574A" w:rsidRPr="00052A2F">
        <w:rPr>
          <w:rFonts w:cs="Times New Roman"/>
          <w:szCs w:val="24"/>
          <w:lang w:eastAsia="en-ZA"/>
        </w:rPr>
        <w:t>, and</w:t>
      </w:r>
      <w:r w:rsidR="00947858" w:rsidRPr="00052A2F">
        <w:rPr>
          <w:rFonts w:cs="Times New Roman"/>
          <w:szCs w:val="24"/>
          <w:lang w:eastAsia="en-ZA"/>
        </w:rPr>
        <w:t xml:space="preserve"> (iii) initiating </w:t>
      </w:r>
      <w:r w:rsidRPr="00052A2F">
        <w:rPr>
          <w:rFonts w:cs="Times New Roman"/>
          <w:szCs w:val="24"/>
          <w:lang w:eastAsia="en-ZA"/>
        </w:rPr>
        <w:t>prosecution when necessary</w:t>
      </w:r>
      <w:r w:rsidR="00D9574A" w:rsidRPr="00052A2F">
        <w:rPr>
          <w:rFonts w:cs="Times New Roman"/>
          <w:szCs w:val="24"/>
          <w:lang w:eastAsia="en-ZA"/>
        </w:rPr>
        <w:t>.</w:t>
      </w:r>
    </w:p>
    <w:p w14:paraId="01F5B065" w14:textId="77777777" w:rsidR="008178FF" w:rsidRPr="00052A2F" w:rsidRDefault="008178FF" w:rsidP="007D60EF">
      <w:pPr>
        <w:pStyle w:val="ListParagraph"/>
        <w:numPr>
          <w:ilvl w:val="0"/>
          <w:numId w:val="10"/>
        </w:numPr>
        <w:contextualSpacing w:val="0"/>
        <w:rPr>
          <w:rFonts w:cs="Times New Roman"/>
          <w:lang w:eastAsia="en-ZA"/>
        </w:rPr>
      </w:pPr>
      <w:r w:rsidRPr="00052A2F">
        <w:rPr>
          <w:rFonts w:cs="Times New Roman"/>
          <w:lang w:eastAsia="en-ZA"/>
        </w:rPr>
        <w:t>Researching, analysing and reporting on the state of transformation</w:t>
      </w:r>
      <w:r w:rsidR="00D9574A" w:rsidRPr="00052A2F">
        <w:rPr>
          <w:rFonts w:cs="Times New Roman"/>
          <w:lang w:eastAsia="en-ZA"/>
        </w:rPr>
        <w:t xml:space="preserve"> by</w:t>
      </w:r>
      <w:r w:rsidR="00947858" w:rsidRPr="00052A2F">
        <w:rPr>
          <w:rFonts w:cs="Times New Roman"/>
          <w:lang w:eastAsia="en-ZA"/>
        </w:rPr>
        <w:t xml:space="preserve">: (i) collecting </w:t>
      </w:r>
      <w:r w:rsidRPr="00052A2F">
        <w:rPr>
          <w:rFonts w:cs="Times New Roman"/>
          <w:lang w:eastAsia="en-ZA"/>
        </w:rPr>
        <w:t>and analys</w:t>
      </w:r>
      <w:r w:rsidR="00D9574A" w:rsidRPr="00052A2F">
        <w:rPr>
          <w:rFonts w:cs="Times New Roman"/>
          <w:lang w:eastAsia="en-ZA"/>
        </w:rPr>
        <w:t>ing</w:t>
      </w:r>
      <w:r w:rsidRPr="00052A2F">
        <w:rPr>
          <w:rFonts w:cs="Times New Roman"/>
          <w:lang w:eastAsia="en-ZA"/>
        </w:rPr>
        <w:t xml:space="preserve"> real time data by economic sectors</w:t>
      </w:r>
      <w:r w:rsidR="00D9574A" w:rsidRPr="00052A2F">
        <w:rPr>
          <w:rFonts w:cs="Times New Roman"/>
          <w:lang w:eastAsia="en-ZA"/>
        </w:rPr>
        <w:t>, and</w:t>
      </w:r>
      <w:r w:rsidR="00947858" w:rsidRPr="00052A2F">
        <w:rPr>
          <w:rFonts w:cs="Times New Roman"/>
          <w:lang w:eastAsia="en-ZA"/>
        </w:rPr>
        <w:t xml:space="preserve"> (ii) reporting </w:t>
      </w:r>
      <w:r w:rsidRPr="00052A2F">
        <w:rPr>
          <w:rFonts w:cs="Times New Roman"/>
          <w:lang w:eastAsia="en-ZA"/>
        </w:rPr>
        <w:t>on National Status and Transformation Trends</w:t>
      </w:r>
      <w:r w:rsidR="00D9574A" w:rsidRPr="00052A2F">
        <w:rPr>
          <w:rFonts w:cs="Times New Roman"/>
          <w:lang w:eastAsia="en-ZA"/>
        </w:rPr>
        <w:t>.</w:t>
      </w:r>
    </w:p>
    <w:p w14:paraId="497CD5C1" w14:textId="77777777" w:rsidR="008178FF" w:rsidRPr="00052A2F" w:rsidRDefault="008178FF" w:rsidP="007D60EF">
      <w:pPr>
        <w:pStyle w:val="ListParagraph"/>
        <w:numPr>
          <w:ilvl w:val="0"/>
          <w:numId w:val="10"/>
        </w:numPr>
        <w:contextualSpacing w:val="0"/>
        <w:rPr>
          <w:rFonts w:cs="Times New Roman"/>
          <w:lang w:eastAsia="en-ZA"/>
        </w:rPr>
      </w:pPr>
      <w:r w:rsidRPr="00052A2F">
        <w:rPr>
          <w:rFonts w:cs="Times New Roman"/>
          <w:lang w:eastAsia="en-ZA"/>
        </w:rPr>
        <w:t>Collaborating with relevant stakeholders to advance transformation</w:t>
      </w:r>
      <w:r w:rsidR="00D9574A" w:rsidRPr="00052A2F">
        <w:rPr>
          <w:rFonts w:cs="Times New Roman"/>
          <w:lang w:eastAsia="en-ZA"/>
        </w:rPr>
        <w:t xml:space="preserve"> by</w:t>
      </w:r>
      <w:r w:rsidR="00947858" w:rsidRPr="00052A2F">
        <w:rPr>
          <w:rFonts w:cs="Times New Roman"/>
          <w:lang w:eastAsia="en-ZA"/>
        </w:rPr>
        <w:t xml:space="preserve"> building </w:t>
      </w:r>
      <w:r w:rsidRPr="00052A2F">
        <w:rPr>
          <w:rFonts w:cs="Times New Roman"/>
          <w:lang w:eastAsia="en-ZA"/>
        </w:rPr>
        <w:t>mutual relationships with selected partners</w:t>
      </w:r>
      <w:r w:rsidR="00D9574A" w:rsidRPr="00052A2F">
        <w:rPr>
          <w:rFonts w:cs="Times New Roman"/>
          <w:lang w:eastAsia="en-ZA"/>
        </w:rPr>
        <w:t>.</w:t>
      </w:r>
    </w:p>
    <w:p w14:paraId="55211665" w14:textId="77777777" w:rsidR="008178FF" w:rsidRPr="00052A2F" w:rsidRDefault="008178FF" w:rsidP="007D60EF">
      <w:pPr>
        <w:pStyle w:val="ListParagraph"/>
        <w:numPr>
          <w:ilvl w:val="0"/>
          <w:numId w:val="10"/>
        </w:numPr>
        <w:contextualSpacing w:val="0"/>
        <w:rPr>
          <w:rFonts w:cs="Times New Roman"/>
          <w:lang w:eastAsia="en-ZA"/>
        </w:rPr>
      </w:pPr>
      <w:r w:rsidRPr="00052A2F">
        <w:rPr>
          <w:rFonts w:cs="Times New Roman"/>
          <w:lang w:eastAsia="en-ZA"/>
        </w:rPr>
        <w:t>Developing capability and capacity of the Commission to deliver on its mandate</w:t>
      </w:r>
      <w:r w:rsidR="00D9574A" w:rsidRPr="00052A2F">
        <w:rPr>
          <w:rFonts w:cs="Times New Roman"/>
          <w:lang w:eastAsia="en-ZA"/>
        </w:rPr>
        <w:t xml:space="preserve"> by</w:t>
      </w:r>
      <w:r w:rsidR="00947858" w:rsidRPr="00052A2F">
        <w:rPr>
          <w:rFonts w:cs="Times New Roman"/>
          <w:lang w:eastAsia="en-ZA"/>
        </w:rPr>
        <w:t xml:space="preserve">: (i) developing </w:t>
      </w:r>
      <w:r w:rsidRPr="00052A2F">
        <w:rPr>
          <w:rFonts w:cs="Times New Roman"/>
          <w:lang w:eastAsia="en-ZA"/>
        </w:rPr>
        <w:t>an ICT</w:t>
      </w:r>
      <w:r w:rsidR="001D51D5" w:rsidRPr="00052A2F">
        <w:rPr>
          <w:rFonts w:cs="Times New Roman"/>
          <w:lang w:eastAsia="en-ZA"/>
        </w:rPr>
        <w:t xml:space="preserve"> (Information Communication Technology)</w:t>
      </w:r>
      <w:r w:rsidRPr="00052A2F">
        <w:rPr>
          <w:rFonts w:cs="Times New Roman"/>
          <w:lang w:eastAsia="en-ZA"/>
        </w:rPr>
        <w:t xml:space="preserve"> </w:t>
      </w:r>
      <w:r w:rsidR="00D9574A" w:rsidRPr="00052A2F">
        <w:rPr>
          <w:rFonts w:cs="Times New Roman"/>
          <w:lang w:eastAsia="en-ZA"/>
        </w:rPr>
        <w:t xml:space="preserve">strategy </w:t>
      </w:r>
      <w:r w:rsidRPr="00052A2F">
        <w:rPr>
          <w:rFonts w:cs="Times New Roman"/>
          <w:lang w:eastAsia="en-ZA"/>
        </w:rPr>
        <w:t>and infrastructure</w:t>
      </w:r>
      <w:r w:rsidR="00D9574A" w:rsidRPr="00052A2F">
        <w:rPr>
          <w:rFonts w:cs="Times New Roman"/>
          <w:lang w:eastAsia="en-ZA"/>
        </w:rPr>
        <w:t>,</w:t>
      </w:r>
      <w:r w:rsidR="00947858" w:rsidRPr="00052A2F">
        <w:rPr>
          <w:rFonts w:cs="Times New Roman"/>
          <w:lang w:eastAsia="en-ZA"/>
        </w:rPr>
        <w:t xml:space="preserve"> (ii) developing </w:t>
      </w:r>
      <w:r w:rsidRPr="00052A2F">
        <w:rPr>
          <w:rFonts w:cs="Times New Roman"/>
          <w:lang w:eastAsia="en-ZA"/>
        </w:rPr>
        <w:t>and maintain</w:t>
      </w:r>
      <w:r w:rsidR="00D9574A" w:rsidRPr="00052A2F">
        <w:rPr>
          <w:rFonts w:cs="Times New Roman"/>
          <w:lang w:eastAsia="en-ZA"/>
        </w:rPr>
        <w:t>ing</w:t>
      </w:r>
      <w:r w:rsidRPr="00052A2F">
        <w:rPr>
          <w:rFonts w:cs="Times New Roman"/>
          <w:lang w:eastAsia="en-ZA"/>
        </w:rPr>
        <w:t xml:space="preserve"> </w:t>
      </w:r>
      <w:r w:rsidR="00D9574A" w:rsidRPr="00052A2F">
        <w:rPr>
          <w:rFonts w:cs="Times New Roman"/>
          <w:lang w:eastAsia="en-ZA"/>
        </w:rPr>
        <w:t>support systems, and</w:t>
      </w:r>
      <w:r w:rsidR="00947858" w:rsidRPr="00052A2F">
        <w:rPr>
          <w:rFonts w:cs="Times New Roman"/>
          <w:lang w:eastAsia="en-ZA"/>
        </w:rPr>
        <w:t xml:space="preserve"> (iii) staffing </w:t>
      </w:r>
      <w:r w:rsidRPr="00052A2F">
        <w:rPr>
          <w:rFonts w:cs="Times New Roman"/>
          <w:lang w:eastAsia="en-ZA"/>
        </w:rPr>
        <w:t>the Commission and develop</w:t>
      </w:r>
      <w:r w:rsidR="00D9574A" w:rsidRPr="00052A2F">
        <w:rPr>
          <w:rFonts w:cs="Times New Roman"/>
          <w:lang w:eastAsia="en-ZA"/>
        </w:rPr>
        <w:t>ing</w:t>
      </w:r>
      <w:r w:rsidRPr="00052A2F">
        <w:rPr>
          <w:rFonts w:cs="Times New Roman"/>
          <w:lang w:eastAsia="en-ZA"/>
        </w:rPr>
        <w:t xml:space="preserve"> a talent pipeline with capability capacity ahead of demand.</w:t>
      </w:r>
      <w:r w:rsidRPr="007A4626">
        <w:rPr>
          <w:vertAlign w:val="superscript"/>
        </w:rPr>
        <w:footnoteReference w:id="14"/>
      </w:r>
    </w:p>
    <w:p w14:paraId="716503E5" w14:textId="77777777" w:rsidR="00473DFB" w:rsidRDefault="00473DFB" w:rsidP="0062246E">
      <w:pPr>
        <w:pStyle w:val="Default"/>
        <w:spacing w:line="360" w:lineRule="auto"/>
        <w:jc w:val="both"/>
        <w:rPr>
          <w:rFonts w:ascii="Times New Roman" w:hAnsi="Times New Roman" w:cs="Times New Roman"/>
          <w:b/>
          <w:bCs/>
          <w:color w:val="auto"/>
          <w:highlight w:val="yellow"/>
        </w:rPr>
      </w:pPr>
    </w:p>
    <w:p w14:paraId="56ED5E10" w14:textId="77777777" w:rsidR="00473DFB" w:rsidRPr="00052A2F" w:rsidRDefault="00473DFB" w:rsidP="007D60EF">
      <w:pPr>
        <w:pStyle w:val="ListParagraph"/>
        <w:numPr>
          <w:ilvl w:val="2"/>
          <w:numId w:val="6"/>
        </w:numPr>
        <w:ind w:left="709" w:hanging="709"/>
        <w:rPr>
          <w:rFonts w:cs="Times New Roman"/>
          <w:b/>
          <w:szCs w:val="24"/>
        </w:rPr>
      </w:pPr>
      <w:r w:rsidRPr="00052A2F">
        <w:rPr>
          <w:rFonts w:cs="Times New Roman"/>
          <w:b/>
          <w:szCs w:val="24"/>
        </w:rPr>
        <w:t xml:space="preserve">Annual Performance Plan </w:t>
      </w:r>
    </w:p>
    <w:p w14:paraId="6B3E6978" w14:textId="77777777" w:rsidR="00473DFB" w:rsidRPr="00052A2F" w:rsidRDefault="00473DFB" w:rsidP="0062246E">
      <w:pPr>
        <w:pStyle w:val="Default"/>
        <w:spacing w:line="360" w:lineRule="auto"/>
        <w:jc w:val="both"/>
        <w:rPr>
          <w:rFonts w:ascii="Times New Roman" w:hAnsi="Times New Roman" w:cs="Times New Roman"/>
          <w:b/>
          <w:bCs/>
          <w:color w:val="auto"/>
          <w:highlight w:val="yellow"/>
        </w:rPr>
      </w:pPr>
    </w:p>
    <w:p w14:paraId="546122BE" w14:textId="77777777" w:rsidR="007A4626" w:rsidRPr="0062246E" w:rsidRDefault="007A4626" w:rsidP="0062246E">
      <w:pPr>
        <w:rPr>
          <w:rFonts w:cs="Arial"/>
          <w:lang w:eastAsia="en-ZA"/>
        </w:rPr>
      </w:pPr>
      <w:r w:rsidRPr="0062246E">
        <w:rPr>
          <w:rFonts w:cs="Arial"/>
          <w:lang w:eastAsia="en-ZA"/>
        </w:rPr>
        <w:t xml:space="preserve">The Commission’s mandate is mainly focused on its core strategic objective of implementing corrective and enforcement measures to achieve compliance. Therefore a large share of the Commission’s financial resources, and staff should continue to be allocated towards this Strategic Objective to ensure that the Commission undertakes its mandate. The Commission is going on its third year of operations in this 2018/19 financial year, since the last financial year a number of its Performance Indicators have been refined, some removed from the previous year’s Performance Indicators. Performance Indicators have therefore decreased from 25 in the previous financial year to 18. </w:t>
      </w:r>
    </w:p>
    <w:p w14:paraId="2D7EC07F" w14:textId="77777777" w:rsidR="007A4626" w:rsidRPr="00DB75D8" w:rsidRDefault="007A4626" w:rsidP="0062246E">
      <w:pPr>
        <w:rPr>
          <w:rFonts w:cs="Arial"/>
          <w:sz w:val="22"/>
        </w:rPr>
      </w:pPr>
    </w:p>
    <w:p w14:paraId="231A77AC" w14:textId="77777777" w:rsidR="00040184" w:rsidRPr="0062246E" w:rsidRDefault="00040184" w:rsidP="00040184">
      <w:pPr>
        <w:rPr>
          <w:rFonts w:cs="Arial"/>
        </w:rPr>
      </w:pPr>
      <w:r w:rsidRPr="0062246E">
        <w:rPr>
          <w:rFonts w:cs="Arial"/>
        </w:rPr>
        <w:t xml:space="preserve">To perform its functions in the financial year, the B-BBEE Commission projects a total of 115 employees, of which 113 permanent employees and 2 trainees/interns. Over the outer years of the MTEF, the number of interns is expected to increase to 10 therefore total employees is projected to increase to 123.  </w:t>
      </w:r>
    </w:p>
    <w:p w14:paraId="496DD780" w14:textId="77777777" w:rsidR="00040184" w:rsidRPr="00DB75D8" w:rsidRDefault="00040184" w:rsidP="00040184">
      <w:pPr>
        <w:rPr>
          <w:rFonts w:cs="Arial"/>
          <w:sz w:val="22"/>
        </w:rPr>
      </w:pPr>
    </w:p>
    <w:p w14:paraId="438EF7DB" w14:textId="77777777" w:rsidR="00040184" w:rsidRDefault="00040184" w:rsidP="0062246E">
      <w:pPr>
        <w:rPr>
          <w:rFonts w:cs="Arial"/>
          <w:b/>
          <w:sz w:val="22"/>
        </w:rPr>
      </w:pPr>
    </w:p>
    <w:p w14:paraId="7AA3D071" w14:textId="77777777" w:rsidR="00040184" w:rsidRDefault="00040184" w:rsidP="0062246E">
      <w:pPr>
        <w:rPr>
          <w:rFonts w:cs="Arial"/>
          <w:b/>
          <w:sz w:val="22"/>
        </w:rPr>
      </w:pPr>
    </w:p>
    <w:p w14:paraId="2A015953" w14:textId="77777777" w:rsidR="00040184" w:rsidRDefault="00040184" w:rsidP="0062246E">
      <w:pPr>
        <w:rPr>
          <w:rFonts w:cs="Arial"/>
          <w:b/>
          <w:sz w:val="22"/>
        </w:rPr>
      </w:pPr>
    </w:p>
    <w:p w14:paraId="6EFD0E5A" w14:textId="77777777" w:rsidR="00040184" w:rsidRDefault="00040184" w:rsidP="0062246E">
      <w:pPr>
        <w:rPr>
          <w:rFonts w:cs="Arial"/>
          <w:b/>
          <w:sz w:val="22"/>
        </w:rPr>
      </w:pPr>
    </w:p>
    <w:p w14:paraId="761B3BB7" w14:textId="77777777" w:rsidR="00040184" w:rsidRDefault="00040184" w:rsidP="0062246E">
      <w:pPr>
        <w:rPr>
          <w:rFonts w:cs="Arial"/>
          <w:b/>
          <w:sz w:val="22"/>
        </w:rPr>
      </w:pPr>
    </w:p>
    <w:p w14:paraId="72AB8A12" w14:textId="68A752AA" w:rsidR="007A4626" w:rsidRPr="00DB75D8" w:rsidRDefault="000977B0" w:rsidP="0062246E">
      <w:pPr>
        <w:rPr>
          <w:rFonts w:cs="Arial"/>
          <w:b/>
          <w:sz w:val="22"/>
        </w:rPr>
      </w:pPr>
      <w:r>
        <w:rPr>
          <w:rFonts w:cs="Arial"/>
          <w:b/>
          <w:sz w:val="22"/>
        </w:rPr>
        <w:t>Table 3</w:t>
      </w:r>
      <w:r w:rsidR="007A4626" w:rsidRPr="00DB75D8">
        <w:rPr>
          <w:rFonts w:cs="Arial"/>
          <w:b/>
          <w:sz w:val="22"/>
        </w:rPr>
        <w:t xml:space="preserve">: Performance indicators by programme </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535"/>
        <w:gridCol w:w="1134"/>
        <w:gridCol w:w="1084"/>
      </w:tblGrid>
      <w:tr w:rsidR="007A4626" w:rsidRPr="00DB75D8" w14:paraId="7FDE656C" w14:textId="77777777" w:rsidTr="002145D8">
        <w:trPr>
          <w:trHeight w:val="556"/>
        </w:trPr>
        <w:tc>
          <w:tcPr>
            <w:tcW w:w="2263" w:type="dxa"/>
            <w:shd w:val="clear" w:color="auto" w:fill="A6A6A6" w:themeFill="background1" w:themeFillShade="A6"/>
            <w:noWrap/>
            <w:vAlign w:val="center"/>
            <w:hideMark/>
          </w:tcPr>
          <w:p w14:paraId="39DCCEBF" w14:textId="77777777" w:rsidR="007A4626" w:rsidRPr="00DB75D8" w:rsidRDefault="007A4626" w:rsidP="0062246E">
            <w:pPr>
              <w:jc w:val="center"/>
              <w:rPr>
                <w:rFonts w:cs="Arial"/>
                <w:b/>
                <w:sz w:val="22"/>
                <w:lang w:eastAsia="en-ZA"/>
              </w:rPr>
            </w:pPr>
            <w:r w:rsidRPr="00DB75D8">
              <w:rPr>
                <w:rFonts w:cs="Arial"/>
                <w:b/>
                <w:sz w:val="22"/>
                <w:lang w:eastAsia="en-ZA"/>
              </w:rPr>
              <w:t>Programme</w:t>
            </w:r>
          </w:p>
        </w:tc>
        <w:tc>
          <w:tcPr>
            <w:tcW w:w="4535" w:type="dxa"/>
            <w:shd w:val="clear" w:color="auto" w:fill="A6A6A6" w:themeFill="background1" w:themeFillShade="A6"/>
            <w:noWrap/>
            <w:vAlign w:val="center"/>
            <w:hideMark/>
          </w:tcPr>
          <w:p w14:paraId="66F4591D" w14:textId="77777777" w:rsidR="007A4626" w:rsidRPr="00DB75D8" w:rsidRDefault="007A4626" w:rsidP="0062246E">
            <w:pPr>
              <w:jc w:val="center"/>
              <w:rPr>
                <w:rFonts w:cs="Arial"/>
                <w:b/>
                <w:sz w:val="22"/>
                <w:lang w:eastAsia="en-ZA"/>
              </w:rPr>
            </w:pPr>
            <w:r w:rsidRPr="00DB75D8">
              <w:rPr>
                <w:rFonts w:cs="Arial"/>
                <w:b/>
                <w:sz w:val="22"/>
                <w:lang w:eastAsia="en-ZA"/>
              </w:rPr>
              <w:t>Strategic Objective</w:t>
            </w:r>
          </w:p>
        </w:tc>
        <w:tc>
          <w:tcPr>
            <w:tcW w:w="1134" w:type="dxa"/>
            <w:shd w:val="clear" w:color="auto" w:fill="A6A6A6" w:themeFill="background1" w:themeFillShade="A6"/>
            <w:noWrap/>
            <w:vAlign w:val="center"/>
            <w:hideMark/>
          </w:tcPr>
          <w:p w14:paraId="470BA4AC" w14:textId="77777777" w:rsidR="007A4626" w:rsidRPr="00DB75D8" w:rsidRDefault="007A4626" w:rsidP="0062246E">
            <w:pPr>
              <w:jc w:val="center"/>
              <w:rPr>
                <w:rFonts w:cs="Arial"/>
                <w:b/>
                <w:sz w:val="22"/>
                <w:lang w:eastAsia="en-ZA"/>
              </w:rPr>
            </w:pPr>
            <w:r w:rsidRPr="00DB75D8">
              <w:rPr>
                <w:rFonts w:cs="Arial"/>
                <w:b/>
                <w:sz w:val="22"/>
                <w:lang w:eastAsia="en-ZA"/>
              </w:rPr>
              <w:t>Number of PIs</w:t>
            </w:r>
            <w:r w:rsidRPr="00DB75D8">
              <w:rPr>
                <w:rStyle w:val="FootnoteReference"/>
                <w:rFonts w:cs="Arial"/>
                <w:b/>
                <w:sz w:val="22"/>
                <w:lang w:eastAsia="en-ZA"/>
              </w:rPr>
              <w:footnoteReference w:id="15"/>
            </w:r>
          </w:p>
          <w:p w14:paraId="24B92CFB" w14:textId="77777777" w:rsidR="007A4626" w:rsidRPr="00DB75D8" w:rsidRDefault="007A4626" w:rsidP="0062246E">
            <w:pPr>
              <w:jc w:val="center"/>
              <w:rPr>
                <w:rFonts w:cs="Arial"/>
                <w:b/>
                <w:sz w:val="22"/>
                <w:lang w:eastAsia="en-ZA"/>
              </w:rPr>
            </w:pPr>
            <w:r w:rsidRPr="00DB75D8">
              <w:rPr>
                <w:rFonts w:cs="Arial"/>
                <w:b/>
                <w:sz w:val="22"/>
                <w:lang w:eastAsia="en-ZA"/>
              </w:rPr>
              <w:t>2017/18</w:t>
            </w:r>
          </w:p>
        </w:tc>
        <w:tc>
          <w:tcPr>
            <w:tcW w:w="1084" w:type="dxa"/>
            <w:shd w:val="clear" w:color="auto" w:fill="A6A6A6" w:themeFill="background1" w:themeFillShade="A6"/>
          </w:tcPr>
          <w:p w14:paraId="6EFF727F" w14:textId="77777777" w:rsidR="007A4626" w:rsidRPr="00DB75D8" w:rsidRDefault="007A4626" w:rsidP="0062246E">
            <w:pPr>
              <w:jc w:val="center"/>
              <w:rPr>
                <w:rFonts w:cs="Arial"/>
                <w:b/>
                <w:sz w:val="22"/>
                <w:lang w:eastAsia="en-ZA"/>
              </w:rPr>
            </w:pPr>
            <w:r w:rsidRPr="00DB75D8">
              <w:rPr>
                <w:rFonts w:cs="Arial"/>
                <w:b/>
                <w:sz w:val="22"/>
                <w:lang w:eastAsia="en-ZA"/>
              </w:rPr>
              <w:t>Number of PIs</w:t>
            </w:r>
          </w:p>
          <w:p w14:paraId="58D85FC1" w14:textId="77777777" w:rsidR="007A4626" w:rsidRPr="00DB75D8" w:rsidRDefault="007A4626" w:rsidP="0062246E">
            <w:pPr>
              <w:jc w:val="center"/>
              <w:rPr>
                <w:rFonts w:cs="Arial"/>
                <w:b/>
                <w:sz w:val="22"/>
                <w:lang w:eastAsia="en-ZA"/>
              </w:rPr>
            </w:pPr>
            <w:r w:rsidRPr="00DB75D8">
              <w:rPr>
                <w:rFonts w:cs="Arial"/>
                <w:b/>
                <w:sz w:val="22"/>
                <w:lang w:eastAsia="en-ZA"/>
              </w:rPr>
              <w:t>2018/19</w:t>
            </w:r>
          </w:p>
        </w:tc>
      </w:tr>
      <w:tr w:rsidR="007A4626" w:rsidRPr="00DB75D8" w14:paraId="03F49FD4" w14:textId="77777777" w:rsidTr="002145D8">
        <w:trPr>
          <w:trHeight w:val="510"/>
        </w:trPr>
        <w:tc>
          <w:tcPr>
            <w:tcW w:w="2263" w:type="dxa"/>
            <w:shd w:val="clear" w:color="auto" w:fill="auto"/>
            <w:vAlign w:val="center"/>
            <w:hideMark/>
          </w:tcPr>
          <w:p w14:paraId="11E5D92C" w14:textId="77777777" w:rsidR="007A4626" w:rsidRPr="00DB75D8" w:rsidRDefault="007A4626" w:rsidP="0062246E">
            <w:pPr>
              <w:rPr>
                <w:rFonts w:cs="Arial"/>
                <w:sz w:val="22"/>
                <w:lang w:eastAsia="en-ZA"/>
              </w:rPr>
            </w:pPr>
            <w:r w:rsidRPr="00DB75D8">
              <w:rPr>
                <w:rFonts w:cs="Arial"/>
                <w:b/>
                <w:sz w:val="22"/>
                <w:lang w:eastAsia="en-ZA"/>
              </w:rPr>
              <w:t>Programme 1:</w:t>
            </w:r>
            <w:r w:rsidRPr="00DB75D8">
              <w:rPr>
                <w:rFonts w:cs="Arial"/>
                <w:sz w:val="22"/>
                <w:lang w:eastAsia="en-ZA"/>
              </w:rPr>
              <w:t xml:space="preserve"> Compliance</w:t>
            </w:r>
          </w:p>
        </w:tc>
        <w:tc>
          <w:tcPr>
            <w:tcW w:w="4535" w:type="dxa"/>
            <w:shd w:val="clear" w:color="auto" w:fill="auto"/>
            <w:vAlign w:val="center"/>
            <w:hideMark/>
          </w:tcPr>
          <w:p w14:paraId="39C9270E" w14:textId="77777777" w:rsidR="007A4626" w:rsidRPr="00DB75D8" w:rsidRDefault="007A4626" w:rsidP="0062246E">
            <w:pPr>
              <w:rPr>
                <w:rFonts w:cs="Arial"/>
                <w:sz w:val="22"/>
                <w:lang w:eastAsia="en-ZA"/>
              </w:rPr>
            </w:pPr>
            <w:r w:rsidRPr="00DB75D8">
              <w:rPr>
                <w:rFonts w:cs="Arial"/>
                <w:sz w:val="22"/>
                <w:lang w:eastAsia="en-ZA"/>
              </w:rPr>
              <w:t>Safeguarding the outcomes of an inclusive Economy</w:t>
            </w:r>
          </w:p>
        </w:tc>
        <w:tc>
          <w:tcPr>
            <w:tcW w:w="1134" w:type="dxa"/>
            <w:shd w:val="clear" w:color="auto" w:fill="auto"/>
            <w:noWrap/>
            <w:vAlign w:val="center"/>
            <w:hideMark/>
          </w:tcPr>
          <w:p w14:paraId="74EC1528" w14:textId="77777777" w:rsidR="007A4626" w:rsidRPr="00DB75D8" w:rsidRDefault="007A4626" w:rsidP="0062246E">
            <w:pPr>
              <w:jc w:val="center"/>
              <w:rPr>
                <w:rFonts w:cs="Arial"/>
                <w:sz w:val="22"/>
                <w:lang w:eastAsia="en-ZA"/>
              </w:rPr>
            </w:pPr>
            <w:r w:rsidRPr="00DB75D8">
              <w:rPr>
                <w:rFonts w:cs="Arial"/>
                <w:sz w:val="22"/>
                <w:lang w:eastAsia="en-ZA"/>
              </w:rPr>
              <w:t>8</w:t>
            </w:r>
          </w:p>
        </w:tc>
        <w:tc>
          <w:tcPr>
            <w:tcW w:w="1084" w:type="dxa"/>
            <w:vAlign w:val="center"/>
          </w:tcPr>
          <w:p w14:paraId="1FF48DE7" w14:textId="77777777" w:rsidR="007A4626" w:rsidRPr="00DB75D8" w:rsidRDefault="007A4626" w:rsidP="0062246E">
            <w:pPr>
              <w:jc w:val="center"/>
              <w:rPr>
                <w:rFonts w:cs="Arial"/>
                <w:sz w:val="22"/>
                <w:lang w:eastAsia="en-ZA"/>
              </w:rPr>
            </w:pPr>
            <w:r w:rsidRPr="00DB75D8">
              <w:rPr>
                <w:rFonts w:cs="Arial"/>
                <w:sz w:val="22"/>
                <w:lang w:eastAsia="en-ZA"/>
              </w:rPr>
              <w:t>5</w:t>
            </w:r>
          </w:p>
        </w:tc>
      </w:tr>
      <w:tr w:rsidR="007A4626" w:rsidRPr="00DB75D8" w14:paraId="3446FFD4" w14:textId="77777777" w:rsidTr="002145D8">
        <w:trPr>
          <w:trHeight w:val="765"/>
        </w:trPr>
        <w:tc>
          <w:tcPr>
            <w:tcW w:w="2263" w:type="dxa"/>
            <w:shd w:val="clear" w:color="auto" w:fill="auto"/>
            <w:vAlign w:val="center"/>
            <w:hideMark/>
          </w:tcPr>
          <w:p w14:paraId="5AA43160" w14:textId="77777777" w:rsidR="007A4626" w:rsidRPr="00DB75D8" w:rsidRDefault="007A4626" w:rsidP="0062246E">
            <w:pPr>
              <w:rPr>
                <w:rFonts w:cs="Arial"/>
                <w:sz w:val="22"/>
                <w:lang w:eastAsia="en-ZA"/>
              </w:rPr>
            </w:pPr>
            <w:r w:rsidRPr="00DB75D8">
              <w:rPr>
                <w:rFonts w:cs="Arial"/>
                <w:b/>
                <w:sz w:val="22"/>
                <w:lang w:eastAsia="en-ZA"/>
              </w:rPr>
              <w:t>Programme 2:</w:t>
            </w:r>
            <w:r w:rsidRPr="00DB75D8">
              <w:rPr>
                <w:rFonts w:cs="Arial"/>
                <w:sz w:val="22"/>
                <w:lang w:eastAsia="en-ZA"/>
              </w:rPr>
              <w:t xml:space="preserve"> Investigations and enforcement</w:t>
            </w:r>
          </w:p>
        </w:tc>
        <w:tc>
          <w:tcPr>
            <w:tcW w:w="4535" w:type="dxa"/>
            <w:shd w:val="clear" w:color="auto" w:fill="auto"/>
            <w:vAlign w:val="center"/>
            <w:hideMark/>
          </w:tcPr>
          <w:p w14:paraId="680713E7" w14:textId="77777777" w:rsidR="007A4626" w:rsidRPr="00DB75D8" w:rsidRDefault="007A4626" w:rsidP="0062246E">
            <w:pPr>
              <w:rPr>
                <w:rFonts w:cs="Arial"/>
                <w:sz w:val="22"/>
                <w:lang w:eastAsia="en-ZA"/>
              </w:rPr>
            </w:pPr>
            <w:r w:rsidRPr="00DB75D8">
              <w:rPr>
                <w:rFonts w:cs="Arial"/>
                <w:sz w:val="22"/>
                <w:lang w:eastAsia="en-ZA"/>
              </w:rPr>
              <w:t>Implementing corrective enforcement to achieve compliance</w:t>
            </w:r>
          </w:p>
        </w:tc>
        <w:tc>
          <w:tcPr>
            <w:tcW w:w="1134" w:type="dxa"/>
            <w:shd w:val="clear" w:color="auto" w:fill="auto"/>
            <w:noWrap/>
            <w:vAlign w:val="center"/>
            <w:hideMark/>
          </w:tcPr>
          <w:p w14:paraId="72937190" w14:textId="77777777" w:rsidR="007A4626" w:rsidRPr="00DB75D8" w:rsidRDefault="007A4626" w:rsidP="0062246E">
            <w:pPr>
              <w:jc w:val="center"/>
              <w:rPr>
                <w:rFonts w:cs="Arial"/>
                <w:sz w:val="22"/>
                <w:lang w:eastAsia="en-ZA"/>
              </w:rPr>
            </w:pPr>
            <w:r w:rsidRPr="00DB75D8">
              <w:rPr>
                <w:rFonts w:cs="Arial"/>
                <w:sz w:val="22"/>
                <w:lang w:eastAsia="en-ZA"/>
              </w:rPr>
              <w:t>5</w:t>
            </w:r>
          </w:p>
        </w:tc>
        <w:tc>
          <w:tcPr>
            <w:tcW w:w="1084" w:type="dxa"/>
            <w:vAlign w:val="center"/>
          </w:tcPr>
          <w:p w14:paraId="1D7889B1" w14:textId="77777777" w:rsidR="007A4626" w:rsidRPr="00DB75D8" w:rsidRDefault="007A4626" w:rsidP="0062246E">
            <w:pPr>
              <w:jc w:val="center"/>
              <w:rPr>
                <w:rFonts w:cs="Arial"/>
                <w:sz w:val="22"/>
                <w:lang w:eastAsia="en-ZA"/>
              </w:rPr>
            </w:pPr>
            <w:r w:rsidRPr="00DB75D8">
              <w:rPr>
                <w:rFonts w:cs="Arial"/>
                <w:sz w:val="22"/>
                <w:lang w:eastAsia="en-ZA"/>
              </w:rPr>
              <w:t>5</w:t>
            </w:r>
          </w:p>
        </w:tc>
      </w:tr>
      <w:tr w:rsidR="007A4626" w:rsidRPr="00DB75D8" w14:paraId="0E099FEE" w14:textId="77777777" w:rsidTr="002145D8">
        <w:trPr>
          <w:trHeight w:val="765"/>
        </w:trPr>
        <w:tc>
          <w:tcPr>
            <w:tcW w:w="2263" w:type="dxa"/>
            <w:shd w:val="clear" w:color="auto" w:fill="auto"/>
            <w:vAlign w:val="center"/>
            <w:hideMark/>
          </w:tcPr>
          <w:p w14:paraId="22D12828" w14:textId="77777777" w:rsidR="007A4626" w:rsidRPr="00DB75D8" w:rsidRDefault="007A4626" w:rsidP="0062246E">
            <w:pPr>
              <w:rPr>
                <w:rFonts w:cs="Arial"/>
                <w:sz w:val="22"/>
                <w:lang w:eastAsia="en-ZA"/>
              </w:rPr>
            </w:pPr>
            <w:r w:rsidRPr="00DB75D8">
              <w:rPr>
                <w:rFonts w:cs="Arial"/>
                <w:b/>
                <w:sz w:val="22"/>
                <w:lang w:eastAsia="en-ZA"/>
              </w:rPr>
              <w:t>Programme 3:</w:t>
            </w:r>
            <w:r w:rsidRPr="00DB75D8">
              <w:rPr>
                <w:rFonts w:cs="Arial"/>
                <w:sz w:val="22"/>
                <w:lang w:eastAsia="en-ZA"/>
              </w:rPr>
              <w:t xml:space="preserve"> Research, analysis and reporting</w:t>
            </w:r>
          </w:p>
        </w:tc>
        <w:tc>
          <w:tcPr>
            <w:tcW w:w="4535" w:type="dxa"/>
            <w:shd w:val="clear" w:color="auto" w:fill="auto"/>
            <w:vAlign w:val="center"/>
            <w:hideMark/>
          </w:tcPr>
          <w:p w14:paraId="4CFE4C97" w14:textId="77777777" w:rsidR="007A4626" w:rsidRPr="00DB75D8" w:rsidRDefault="007A4626" w:rsidP="0062246E">
            <w:pPr>
              <w:rPr>
                <w:rFonts w:cs="Arial"/>
                <w:sz w:val="22"/>
                <w:lang w:eastAsia="en-ZA"/>
              </w:rPr>
            </w:pPr>
            <w:r w:rsidRPr="00DB75D8">
              <w:rPr>
                <w:rFonts w:cs="Arial"/>
                <w:sz w:val="22"/>
                <w:lang w:eastAsia="en-ZA"/>
              </w:rPr>
              <w:t>Researching, analysing and reporting on the state of transformation</w:t>
            </w:r>
          </w:p>
        </w:tc>
        <w:tc>
          <w:tcPr>
            <w:tcW w:w="1134" w:type="dxa"/>
            <w:shd w:val="clear" w:color="auto" w:fill="auto"/>
            <w:noWrap/>
            <w:vAlign w:val="center"/>
            <w:hideMark/>
          </w:tcPr>
          <w:p w14:paraId="52CD1053" w14:textId="77777777" w:rsidR="007A4626" w:rsidRPr="00DB75D8" w:rsidRDefault="007A4626" w:rsidP="0062246E">
            <w:pPr>
              <w:jc w:val="center"/>
              <w:rPr>
                <w:rFonts w:cs="Arial"/>
                <w:sz w:val="22"/>
                <w:lang w:eastAsia="en-ZA"/>
              </w:rPr>
            </w:pPr>
            <w:r w:rsidRPr="00DB75D8">
              <w:rPr>
                <w:rFonts w:cs="Arial"/>
                <w:sz w:val="22"/>
                <w:lang w:eastAsia="en-ZA"/>
              </w:rPr>
              <w:t>6</w:t>
            </w:r>
          </w:p>
        </w:tc>
        <w:tc>
          <w:tcPr>
            <w:tcW w:w="1084" w:type="dxa"/>
            <w:vAlign w:val="center"/>
          </w:tcPr>
          <w:p w14:paraId="1FF82755" w14:textId="77777777" w:rsidR="007A4626" w:rsidRPr="00DB75D8" w:rsidRDefault="007A4626" w:rsidP="0062246E">
            <w:pPr>
              <w:jc w:val="center"/>
              <w:rPr>
                <w:rFonts w:cs="Arial"/>
                <w:sz w:val="22"/>
                <w:lang w:eastAsia="en-ZA"/>
              </w:rPr>
            </w:pPr>
            <w:r w:rsidRPr="00DB75D8">
              <w:rPr>
                <w:rFonts w:cs="Arial"/>
                <w:sz w:val="22"/>
                <w:lang w:eastAsia="en-ZA"/>
              </w:rPr>
              <w:t>2</w:t>
            </w:r>
          </w:p>
        </w:tc>
      </w:tr>
      <w:tr w:rsidR="007A4626" w:rsidRPr="00DB75D8" w14:paraId="5D8F8D8B" w14:textId="77777777" w:rsidTr="002145D8">
        <w:trPr>
          <w:trHeight w:val="765"/>
        </w:trPr>
        <w:tc>
          <w:tcPr>
            <w:tcW w:w="2263" w:type="dxa"/>
            <w:shd w:val="clear" w:color="auto" w:fill="auto"/>
            <w:vAlign w:val="center"/>
            <w:hideMark/>
          </w:tcPr>
          <w:p w14:paraId="22491BD8" w14:textId="77777777" w:rsidR="007A4626" w:rsidRPr="00DB75D8" w:rsidRDefault="007A4626" w:rsidP="0062246E">
            <w:pPr>
              <w:rPr>
                <w:rFonts w:cs="Arial"/>
                <w:sz w:val="22"/>
                <w:lang w:eastAsia="en-ZA"/>
              </w:rPr>
            </w:pPr>
            <w:r w:rsidRPr="00DB75D8">
              <w:rPr>
                <w:rFonts w:cs="Arial"/>
                <w:b/>
                <w:sz w:val="22"/>
                <w:lang w:eastAsia="en-ZA"/>
              </w:rPr>
              <w:t>Programme 4:</w:t>
            </w:r>
            <w:r w:rsidRPr="00DB75D8">
              <w:rPr>
                <w:rFonts w:cs="Arial"/>
                <w:sz w:val="22"/>
                <w:lang w:eastAsia="en-ZA"/>
              </w:rPr>
              <w:t xml:space="preserve"> Relationship Building/Stakeholder Relations</w:t>
            </w:r>
          </w:p>
        </w:tc>
        <w:tc>
          <w:tcPr>
            <w:tcW w:w="4535" w:type="dxa"/>
            <w:shd w:val="clear" w:color="auto" w:fill="auto"/>
            <w:vAlign w:val="center"/>
            <w:hideMark/>
          </w:tcPr>
          <w:p w14:paraId="69BDF1A7" w14:textId="77777777" w:rsidR="007A4626" w:rsidRPr="00DB75D8" w:rsidRDefault="007A4626" w:rsidP="0062246E">
            <w:pPr>
              <w:rPr>
                <w:rFonts w:cs="Arial"/>
                <w:sz w:val="22"/>
                <w:lang w:eastAsia="en-ZA"/>
              </w:rPr>
            </w:pPr>
            <w:r w:rsidRPr="00DB75D8">
              <w:rPr>
                <w:rFonts w:cs="Arial"/>
                <w:sz w:val="22"/>
                <w:lang w:eastAsia="en-ZA"/>
              </w:rPr>
              <w:t>Collaborating with relevant stakeholders to advance transformation</w:t>
            </w:r>
          </w:p>
        </w:tc>
        <w:tc>
          <w:tcPr>
            <w:tcW w:w="1134" w:type="dxa"/>
            <w:shd w:val="clear" w:color="auto" w:fill="auto"/>
            <w:noWrap/>
            <w:vAlign w:val="center"/>
            <w:hideMark/>
          </w:tcPr>
          <w:p w14:paraId="36EC78BF" w14:textId="77777777" w:rsidR="007A4626" w:rsidRPr="00DB75D8" w:rsidRDefault="007A4626" w:rsidP="0062246E">
            <w:pPr>
              <w:jc w:val="center"/>
              <w:rPr>
                <w:rFonts w:cs="Arial"/>
                <w:sz w:val="22"/>
                <w:lang w:eastAsia="en-ZA"/>
              </w:rPr>
            </w:pPr>
            <w:r w:rsidRPr="00DB75D8">
              <w:rPr>
                <w:rFonts w:cs="Arial"/>
                <w:sz w:val="22"/>
                <w:lang w:eastAsia="en-ZA"/>
              </w:rPr>
              <w:t>1</w:t>
            </w:r>
          </w:p>
        </w:tc>
        <w:tc>
          <w:tcPr>
            <w:tcW w:w="1084" w:type="dxa"/>
            <w:vAlign w:val="center"/>
          </w:tcPr>
          <w:p w14:paraId="28E11280" w14:textId="77777777" w:rsidR="007A4626" w:rsidRPr="00DB75D8" w:rsidRDefault="007A4626" w:rsidP="0062246E">
            <w:pPr>
              <w:jc w:val="center"/>
              <w:rPr>
                <w:rFonts w:cs="Arial"/>
                <w:sz w:val="22"/>
                <w:lang w:eastAsia="en-ZA"/>
              </w:rPr>
            </w:pPr>
            <w:r w:rsidRPr="00DB75D8">
              <w:rPr>
                <w:rFonts w:cs="Arial"/>
                <w:sz w:val="22"/>
                <w:lang w:eastAsia="en-ZA"/>
              </w:rPr>
              <w:t>1</w:t>
            </w:r>
          </w:p>
        </w:tc>
      </w:tr>
      <w:tr w:rsidR="007A4626" w:rsidRPr="00DB75D8" w14:paraId="5F4F9989" w14:textId="77777777" w:rsidTr="002145D8">
        <w:trPr>
          <w:trHeight w:val="765"/>
        </w:trPr>
        <w:tc>
          <w:tcPr>
            <w:tcW w:w="2263" w:type="dxa"/>
            <w:shd w:val="clear" w:color="auto" w:fill="auto"/>
            <w:vAlign w:val="center"/>
            <w:hideMark/>
          </w:tcPr>
          <w:p w14:paraId="6735ED8D" w14:textId="77777777" w:rsidR="007A4626" w:rsidRPr="00DB75D8" w:rsidRDefault="007A4626" w:rsidP="0062246E">
            <w:pPr>
              <w:rPr>
                <w:rFonts w:cs="Arial"/>
                <w:sz w:val="22"/>
                <w:lang w:eastAsia="en-ZA"/>
              </w:rPr>
            </w:pPr>
            <w:r w:rsidRPr="00DB75D8">
              <w:rPr>
                <w:rFonts w:cs="Arial"/>
                <w:b/>
                <w:sz w:val="22"/>
                <w:lang w:eastAsia="en-ZA"/>
              </w:rPr>
              <w:t>Programme 5:</w:t>
            </w:r>
            <w:r w:rsidRPr="00DB75D8">
              <w:rPr>
                <w:rFonts w:cs="Arial"/>
                <w:sz w:val="22"/>
                <w:lang w:eastAsia="en-ZA"/>
              </w:rPr>
              <w:t xml:space="preserve"> Administration</w:t>
            </w:r>
          </w:p>
        </w:tc>
        <w:tc>
          <w:tcPr>
            <w:tcW w:w="4535" w:type="dxa"/>
            <w:shd w:val="clear" w:color="auto" w:fill="auto"/>
            <w:vAlign w:val="center"/>
            <w:hideMark/>
          </w:tcPr>
          <w:p w14:paraId="1AE7352F" w14:textId="77777777" w:rsidR="007A4626" w:rsidRPr="00DB75D8" w:rsidRDefault="007A4626" w:rsidP="0062246E">
            <w:pPr>
              <w:rPr>
                <w:rFonts w:cs="Arial"/>
                <w:sz w:val="22"/>
                <w:lang w:eastAsia="en-ZA"/>
              </w:rPr>
            </w:pPr>
            <w:r w:rsidRPr="00DB75D8">
              <w:rPr>
                <w:rFonts w:cs="Arial"/>
                <w:sz w:val="22"/>
                <w:lang w:eastAsia="en-ZA"/>
              </w:rPr>
              <w:t>Developing capability and capacity of the Commission to deliver on its mandate</w:t>
            </w:r>
          </w:p>
        </w:tc>
        <w:tc>
          <w:tcPr>
            <w:tcW w:w="1134" w:type="dxa"/>
            <w:shd w:val="clear" w:color="auto" w:fill="auto"/>
            <w:noWrap/>
            <w:vAlign w:val="center"/>
            <w:hideMark/>
          </w:tcPr>
          <w:p w14:paraId="32F00253" w14:textId="77777777" w:rsidR="007A4626" w:rsidRPr="00DB75D8" w:rsidRDefault="007A4626" w:rsidP="0062246E">
            <w:pPr>
              <w:jc w:val="center"/>
              <w:rPr>
                <w:rFonts w:cs="Arial"/>
                <w:sz w:val="22"/>
                <w:lang w:eastAsia="en-ZA"/>
              </w:rPr>
            </w:pPr>
            <w:r w:rsidRPr="00DB75D8">
              <w:rPr>
                <w:rFonts w:cs="Arial"/>
                <w:sz w:val="22"/>
                <w:lang w:eastAsia="en-ZA"/>
              </w:rPr>
              <w:t>7</w:t>
            </w:r>
          </w:p>
        </w:tc>
        <w:tc>
          <w:tcPr>
            <w:tcW w:w="1084" w:type="dxa"/>
            <w:vAlign w:val="center"/>
          </w:tcPr>
          <w:p w14:paraId="3C95F11C" w14:textId="77777777" w:rsidR="007A4626" w:rsidRPr="00DB75D8" w:rsidRDefault="007A4626" w:rsidP="0062246E">
            <w:pPr>
              <w:jc w:val="center"/>
              <w:rPr>
                <w:rFonts w:cs="Arial"/>
                <w:sz w:val="22"/>
                <w:lang w:eastAsia="en-ZA"/>
              </w:rPr>
            </w:pPr>
            <w:r w:rsidRPr="00DB75D8">
              <w:rPr>
                <w:rFonts w:cs="Arial"/>
                <w:sz w:val="22"/>
                <w:lang w:eastAsia="en-ZA"/>
              </w:rPr>
              <w:t>3</w:t>
            </w:r>
          </w:p>
        </w:tc>
      </w:tr>
      <w:tr w:rsidR="007A4626" w:rsidRPr="00DB75D8" w14:paraId="0F2652BC" w14:textId="77777777" w:rsidTr="002145D8">
        <w:trPr>
          <w:trHeight w:val="255"/>
        </w:trPr>
        <w:tc>
          <w:tcPr>
            <w:tcW w:w="6798" w:type="dxa"/>
            <w:gridSpan w:val="2"/>
            <w:shd w:val="clear" w:color="auto" w:fill="auto"/>
            <w:noWrap/>
            <w:vAlign w:val="center"/>
            <w:hideMark/>
          </w:tcPr>
          <w:p w14:paraId="0BC1F8DC" w14:textId="77777777" w:rsidR="007A4626" w:rsidRPr="00DB75D8" w:rsidRDefault="007A4626" w:rsidP="0062246E">
            <w:pPr>
              <w:rPr>
                <w:rFonts w:cs="Arial"/>
                <w:b/>
                <w:bCs/>
                <w:sz w:val="22"/>
                <w:lang w:eastAsia="en-ZA"/>
              </w:rPr>
            </w:pPr>
            <w:r w:rsidRPr="00DB75D8">
              <w:rPr>
                <w:rFonts w:cs="Arial"/>
                <w:b/>
                <w:bCs/>
                <w:sz w:val="22"/>
                <w:lang w:eastAsia="en-ZA"/>
              </w:rPr>
              <w:t>Total</w:t>
            </w:r>
          </w:p>
        </w:tc>
        <w:tc>
          <w:tcPr>
            <w:tcW w:w="1134" w:type="dxa"/>
            <w:shd w:val="clear" w:color="auto" w:fill="auto"/>
            <w:noWrap/>
            <w:vAlign w:val="center"/>
            <w:hideMark/>
          </w:tcPr>
          <w:p w14:paraId="2B74CC77" w14:textId="77777777" w:rsidR="007A4626" w:rsidRPr="00DB75D8" w:rsidRDefault="007A4626" w:rsidP="0062246E">
            <w:pPr>
              <w:jc w:val="center"/>
              <w:rPr>
                <w:rFonts w:cs="Arial"/>
                <w:b/>
                <w:bCs/>
                <w:sz w:val="22"/>
                <w:lang w:eastAsia="en-ZA"/>
              </w:rPr>
            </w:pPr>
            <w:r w:rsidRPr="00DB75D8">
              <w:rPr>
                <w:rFonts w:cs="Arial"/>
                <w:b/>
                <w:bCs/>
                <w:sz w:val="22"/>
                <w:lang w:eastAsia="en-ZA"/>
              </w:rPr>
              <w:t>25</w:t>
            </w:r>
          </w:p>
        </w:tc>
        <w:tc>
          <w:tcPr>
            <w:tcW w:w="1084" w:type="dxa"/>
            <w:vAlign w:val="center"/>
          </w:tcPr>
          <w:p w14:paraId="3AD4C214" w14:textId="77777777" w:rsidR="007A4626" w:rsidRPr="00DB75D8" w:rsidRDefault="007A4626" w:rsidP="0062246E">
            <w:pPr>
              <w:jc w:val="center"/>
              <w:rPr>
                <w:rFonts w:cs="Arial"/>
                <w:b/>
                <w:bCs/>
                <w:sz w:val="22"/>
                <w:lang w:eastAsia="en-ZA"/>
              </w:rPr>
            </w:pPr>
            <w:r w:rsidRPr="00DB75D8">
              <w:rPr>
                <w:rFonts w:cs="Arial"/>
                <w:b/>
                <w:bCs/>
                <w:sz w:val="22"/>
                <w:lang w:eastAsia="en-ZA"/>
              </w:rPr>
              <w:t>18</w:t>
            </w:r>
          </w:p>
        </w:tc>
      </w:tr>
    </w:tbl>
    <w:p w14:paraId="4C40A520" w14:textId="77777777" w:rsidR="007A4626" w:rsidRPr="00034886" w:rsidRDefault="007A4626" w:rsidP="0062246E">
      <w:pPr>
        <w:rPr>
          <w:rFonts w:cs="Arial"/>
          <w:sz w:val="20"/>
          <w:szCs w:val="20"/>
        </w:rPr>
      </w:pPr>
      <w:r w:rsidRPr="00034886">
        <w:rPr>
          <w:rFonts w:cs="Arial"/>
          <w:sz w:val="20"/>
          <w:szCs w:val="20"/>
        </w:rPr>
        <w:t>Source: B-BBEE Commission (2017b) &amp; (2018)</w:t>
      </w:r>
    </w:p>
    <w:p w14:paraId="670BAA9E" w14:textId="77777777" w:rsidR="007A4626" w:rsidRPr="00DB75D8" w:rsidRDefault="007A4626" w:rsidP="0062246E">
      <w:pPr>
        <w:pStyle w:val="Default"/>
        <w:spacing w:line="360" w:lineRule="auto"/>
        <w:jc w:val="both"/>
        <w:rPr>
          <w:b/>
          <w:bCs/>
          <w:color w:val="auto"/>
          <w:sz w:val="22"/>
          <w:szCs w:val="22"/>
          <w:highlight w:val="yellow"/>
        </w:rPr>
      </w:pPr>
    </w:p>
    <w:p w14:paraId="76396A77" w14:textId="77777777" w:rsidR="007A4626" w:rsidRPr="00DB75D8" w:rsidRDefault="007A4626" w:rsidP="007D60EF">
      <w:pPr>
        <w:pStyle w:val="ListParagraph"/>
        <w:numPr>
          <w:ilvl w:val="1"/>
          <w:numId w:val="19"/>
        </w:numPr>
        <w:ind w:left="709"/>
        <w:rPr>
          <w:rFonts w:cs="Arial"/>
          <w:b/>
          <w:sz w:val="22"/>
        </w:rPr>
      </w:pPr>
      <w:r w:rsidRPr="00DB75D8">
        <w:rPr>
          <w:rFonts w:cs="Arial"/>
          <w:b/>
          <w:sz w:val="22"/>
        </w:rPr>
        <w:t>Medium Term Budget Analysis</w:t>
      </w:r>
      <w:r w:rsidRPr="00DB75D8" w:rsidDel="0004053A">
        <w:rPr>
          <w:rFonts w:cs="Arial"/>
          <w:b/>
          <w:sz w:val="22"/>
        </w:rPr>
        <w:t xml:space="preserve"> </w:t>
      </w:r>
    </w:p>
    <w:p w14:paraId="13B6551D" w14:textId="77777777" w:rsidR="007A4626" w:rsidRPr="00DB75D8" w:rsidRDefault="007A4626" w:rsidP="0062246E">
      <w:pPr>
        <w:rPr>
          <w:rFonts w:cs="Arial"/>
          <w:sz w:val="22"/>
          <w:highlight w:val="yellow"/>
        </w:rPr>
      </w:pPr>
    </w:p>
    <w:p w14:paraId="54EBF301" w14:textId="77777777" w:rsidR="007A4626" w:rsidRPr="0062246E" w:rsidRDefault="007A4626" w:rsidP="000977B0">
      <w:pPr>
        <w:rPr>
          <w:rFonts w:cs="Arial"/>
        </w:rPr>
      </w:pPr>
      <w:r w:rsidRPr="0062246E">
        <w:rPr>
          <w:rFonts w:cs="Arial"/>
        </w:rPr>
        <w:t>The Act prescribes two sources of funding for the Commission</w:t>
      </w:r>
      <w:r w:rsidR="000977B0">
        <w:rPr>
          <w:rFonts w:cs="Arial"/>
        </w:rPr>
        <w:t xml:space="preserve">, namely: (i) </w:t>
      </w:r>
      <w:r w:rsidRPr="0062246E">
        <w:rPr>
          <w:rFonts w:cs="Arial"/>
        </w:rPr>
        <w:t xml:space="preserve">money that is appropriated by Parliament for the Commission; and </w:t>
      </w:r>
      <w:r w:rsidR="000977B0">
        <w:rPr>
          <w:rFonts w:cs="Arial"/>
        </w:rPr>
        <w:t xml:space="preserve">(ii) </w:t>
      </w:r>
      <w:r w:rsidRPr="0062246E">
        <w:rPr>
          <w:rFonts w:cs="Arial"/>
        </w:rPr>
        <w:t>money lawfully received from any other source.</w:t>
      </w:r>
    </w:p>
    <w:p w14:paraId="7AD6536A" w14:textId="77777777" w:rsidR="007A4626" w:rsidRPr="0062246E" w:rsidRDefault="007A4626" w:rsidP="0062246E">
      <w:pPr>
        <w:pStyle w:val="ListParagraph"/>
        <w:rPr>
          <w:rFonts w:cs="Arial"/>
        </w:rPr>
      </w:pPr>
    </w:p>
    <w:p w14:paraId="0B4AF27C" w14:textId="77777777" w:rsidR="007A4626" w:rsidRPr="0062246E" w:rsidRDefault="004A3A27" w:rsidP="0062246E">
      <w:pPr>
        <w:shd w:val="clear" w:color="auto" w:fill="FFFFFF" w:themeFill="background1"/>
        <w:rPr>
          <w:rFonts w:cs="Arial"/>
        </w:rPr>
      </w:pPr>
      <w:r>
        <w:rPr>
          <w:rFonts w:cs="Arial"/>
        </w:rPr>
        <w:t>For the 2018/1</w:t>
      </w:r>
      <w:r w:rsidR="007A4626" w:rsidRPr="0062246E">
        <w:rPr>
          <w:rFonts w:cs="Arial"/>
        </w:rPr>
        <w:t xml:space="preserve">9 financial year, the National Treasury through the Estimates of National Expenditure notes that the Commission has been appropriated an amount of R50 million for the financial year. However, the B-BBEE Commission in its APP and Strategic Plan notes that the Department has committed to R70 million while its estimates its funding requirements for the financial year to total R123 million. It is not clear how the Commission will acquire the rest of the required funding for its operations. </w:t>
      </w:r>
    </w:p>
    <w:p w14:paraId="554544F4" w14:textId="77777777" w:rsidR="007A4626" w:rsidRPr="0062246E" w:rsidRDefault="007A4626" w:rsidP="0062246E">
      <w:pPr>
        <w:shd w:val="clear" w:color="auto" w:fill="FFFFFF" w:themeFill="background1"/>
        <w:rPr>
          <w:rFonts w:cs="Arial"/>
        </w:rPr>
      </w:pPr>
    </w:p>
    <w:p w14:paraId="5D733089" w14:textId="0D1CF6C0" w:rsidR="007A4626" w:rsidRPr="0062246E" w:rsidRDefault="007A4626" w:rsidP="0062246E">
      <w:pPr>
        <w:shd w:val="clear" w:color="auto" w:fill="FFFFFF" w:themeFill="background1"/>
        <w:rPr>
          <w:rFonts w:cs="Arial"/>
        </w:rPr>
      </w:pPr>
      <w:r w:rsidRPr="0062246E">
        <w:rPr>
          <w:rFonts w:cs="Arial"/>
        </w:rPr>
        <w:t>In the 2018/19 financial year proposed budget, expenditure mainly comprises of compensation for employees, which accounts for 64 per</w:t>
      </w:r>
      <w:r w:rsidR="00805AA4">
        <w:rPr>
          <w:rFonts w:cs="Arial"/>
        </w:rPr>
        <w:t xml:space="preserve"> </w:t>
      </w:r>
      <w:r w:rsidRPr="0062246E">
        <w:rPr>
          <w:rFonts w:cs="Arial"/>
        </w:rPr>
        <w:t>cent of total expenditure (accounted for 59 per</w:t>
      </w:r>
      <w:r w:rsidR="00805AA4">
        <w:rPr>
          <w:rFonts w:cs="Arial"/>
        </w:rPr>
        <w:t xml:space="preserve"> </w:t>
      </w:r>
      <w:r w:rsidRPr="0062246E">
        <w:rPr>
          <w:rFonts w:cs="Arial"/>
        </w:rPr>
        <w:t>cent in the previous financial year). Goods and services for the financial year will be 29 per</w:t>
      </w:r>
      <w:r w:rsidR="00805AA4">
        <w:rPr>
          <w:rFonts w:cs="Arial"/>
        </w:rPr>
        <w:t xml:space="preserve"> </w:t>
      </w:r>
      <w:r w:rsidRPr="0062246E">
        <w:rPr>
          <w:rFonts w:cs="Arial"/>
        </w:rPr>
        <w:t>cent (accounted for 23 per</w:t>
      </w:r>
      <w:r w:rsidR="00805AA4">
        <w:rPr>
          <w:rFonts w:cs="Arial"/>
        </w:rPr>
        <w:t xml:space="preserve"> </w:t>
      </w:r>
      <w:r w:rsidRPr="0062246E">
        <w:rPr>
          <w:rFonts w:cs="Arial"/>
        </w:rPr>
        <w:t xml:space="preserve">cent </w:t>
      </w:r>
      <w:r w:rsidR="00A14CD1" w:rsidRPr="0062246E">
        <w:rPr>
          <w:rFonts w:cs="Arial"/>
        </w:rPr>
        <w:t>in the previous financial year)</w:t>
      </w:r>
      <w:r w:rsidRPr="0062246E">
        <w:rPr>
          <w:rFonts w:cs="Arial"/>
        </w:rPr>
        <w:t xml:space="preserve"> and expenditure on capital assets will amount to 7 per</w:t>
      </w:r>
      <w:r w:rsidR="00805AA4">
        <w:rPr>
          <w:rFonts w:cs="Arial"/>
        </w:rPr>
        <w:t xml:space="preserve"> </w:t>
      </w:r>
      <w:r w:rsidRPr="0062246E">
        <w:rPr>
          <w:rFonts w:cs="Arial"/>
        </w:rPr>
        <w:t>cent of total expenditure</w:t>
      </w:r>
      <w:r w:rsidR="0062246E" w:rsidRPr="0062246E">
        <w:rPr>
          <w:rFonts w:cs="Arial"/>
        </w:rPr>
        <w:t xml:space="preserve"> </w:t>
      </w:r>
      <w:r w:rsidRPr="0062246E">
        <w:rPr>
          <w:rFonts w:cs="Arial"/>
        </w:rPr>
        <w:t>(accounted for 18 per</w:t>
      </w:r>
      <w:r w:rsidR="00805AA4">
        <w:rPr>
          <w:rFonts w:cs="Arial"/>
        </w:rPr>
        <w:t xml:space="preserve"> </w:t>
      </w:r>
      <w:r w:rsidRPr="0062246E">
        <w:rPr>
          <w:rFonts w:cs="Arial"/>
        </w:rPr>
        <w:t xml:space="preserve">cent in the previous financial year). </w:t>
      </w:r>
    </w:p>
    <w:p w14:paraId="2719E731" w14:textId="77777777" w:rsidR="007A4626" w:rsidRPr="00DB75D8" w:rsidRDefault="007A4626" w:rsidP="0062246E">
      <w:pPr>
        <w:rPr>
          <w:rFonts w:cs="Arial"/>
          <w:sz w:val="22"/>
        </w:rPr>
      </w:pPr>
    </w:p>
    <w:p w14:paraId="27C6FA1A" w14:textId="77777777" w:rsidR="007A4626" w:rsidRPr="00DB75D8" w:rsidRDefault="000977B0" w:rsidP="0062246E">
      <w:pPr>
        <w:rPr>
          <w:rFonts w:cs="Arial"/>
          <w:b/>
          <w:sz w:val="22"/>
        </w:rPr>
      </w:pPr>
      <w:r>
        <w:rPr>
          <w:rFonts w:cs="Arial"/>
          <w:b/>
          <w:sz w:val="22"/>
        </w:rPr>
        <w:t>Table 4</w:t>
      </w:r>
      <w:r w:rsidR="007A4626" w:rsidRPr="00DB75D8">
        <w:rPr>
          <w:rFonts w:cs="Arial"/>
          <w:b/>
          <w:sz w:val="22"/>
        </w:rPr>
        <w:t>: Projected expenditure by economic classification for the 2018/19 financial year (R thousands)</w:t>
      </w:r>
    </w:p>
    <w:tbl>
      <w:tblPr>
        <w:tblW w:w="9000" w:type="dxa"/>
        <w:tblLook w:val="04A0" w:firstRow="1" w:lastRow="0" w:firstColumn="1" w:lastColumn="0" w:noHBand="0" w:noVBand="1"/>
      </w:tblPr>
      <w:tblGrid>
        <w:gridCol w:w="3100"/>
        <w:gridCol w:w="1290"/>
        <w:gridCol w:w="1070"/>
        <w:gridCol w:w="1180"/>
        <w:gridCol w:w="1180"/>
        <w:gridCol w:w="1180"/>
      </w:tblGrid>
      <w:tr w:rsidR="007A4626" w:rsidRPr="00DB75D8" w14:paraId="79E1BD4E" w14:textId="77777777" w:rsidTr="002145D8">
        <w:trPr>
          <w:trHeight w:val="435"/>
        </w:trPr>
        <w:tc>
          <w:tcPr>
            <w:tcW w:w="31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756CDF" w14:textId="77777777" w:rsidR="007A4626" w:rsidRPr="00DB75D8" w:rsidRDefault="007A4626" w:rsidP="0062246E">
            <w:pPr>
              <w:jc w:val="center"/>
              <w:rPr>
                <w:rFonts w:cs="Arial"/>
                <w:sz w:val="22"/>
                <w:lang w:eastAsia="en-ZA"/>
              </w:rPr>
            </w:pPr>
          </w:p>
        </w:tc>
        <w:tc>
          <w:tcPr>
            <w:tcW w:w="12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EDE6E0C" w14:textId="77777777" w:rsidR="007A4626" w:rsidRPr="00DB75D8" w:rsidRDefault="007A4626" w:rsidP="0062246E">
            <w:pPr>
              <w:jc w:val="center"/>
              <w:rPr>
                <w:rFonts w:cs="Arial"/>
                <w:b/>
                <w:bCs/>
                <w:sz w:val="22"/>
                <w:lang w:eastAsia="en-ZA"/>
              </w:rPr>
            </w:pPr>
            <w:r w:rsidRPr="00DB75D8">
              <w:rPr>
                <w:rFonts w:cs="Arial"/>
                <w:b/>
                <w:bCs/>
                <w:sz w:val="22"/>
                <w:lang w:eastAsia="en-ZA"/>
              </w:rPr>
              <w:t>2018/19</w:t>
            </w:r>
          </w:p>
        </w:tc>
        <w:tc>
          <w:tcPr>
            <w:tcW w:w="107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6307D55" w14:textId="77777777" w:rsidR="007A4626" w:rsidRPr="00DB75D8" w:rsidRDefault="007A4626" w:rsidP="0062246E">
            <w:pPr>
              <w:jc w:val="center"/>
              <w:rPr>
                <w:rFonts w:cs="Arial"/>
                <w:b/>
                <w:bCs/>
                <w:sz w:val="22"/>
                <w:lang w:eastAsia="en-ZA"/>
              </w:rPr>
            </w:pPr>
            <w:r w:rsidRPr="00DB75D8">
              <w:rPr>
                <w:rFonts w:cs="Arial"/>
                <w:b/>
                <w:bCs/>
                <w:sz w:val="22"/>
                <w:lang w:eastAsia="en-ZA"/>
              </w:rPr>
              <w:t>2019/20</w:t>
            </w:r>
          </w:p>
        </w:tc>
        <w:tc>
          <w:tcPr>
            <w:tcW w:w="118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D44D77C" w14:textId="77777777" w:rsidR="007A4626" w:rsidRPr="00DB75D8" w:rsidRDefault="007A4626" w:rsidP="0062246E">
            <w:pPr>
              <w:jc w:val="center"/>
              <w:rPr>
                <w:rFonts w:cs="Arial"/>
                <w:b/>
                <w:bCs/>
                <w:sz w:val="22"/>
                <w:lang w:eastAsia="en-ZA"/>
              </w:rPr>
            </w:pPr>
            <w:r w:rsidRPr="00DB75D8">
              <w:rPr>
                <w:rFonts w:cs="Arial"/>
                <w:b/>
                <w:bCs/>
                <w:sz w:val="22"/>
                <w:lang w:eastAsia="en-ZA"/>
              </w:rPr>
              <w:t>2020/21</w:t>
            </w:r>
          </w:p>
        </w:tc>
        <w:tc>
          <w:tcPr>
            <w:tcW w:w="118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50B6CF7" w14:textId="77777777" w:rsidR="007A4626" w:rsidRPr="00DB75D8" w:rsidRDefault="007A4626" w:rsidP="0062246E">
            <w:pPr>
              <w:jc w:val="center"/>
              <w:rPr>
                <w:rFonts w:cs="Arial"/>
                <w:b/>
                <w:bCs/>
                <w:sz w:val="22"/>
                <w:lang w:eastAsia="en-ZA"/>
              </w:rPr>
            </w:pPr>
            <w:r w:rsidRPr="00DB75D8">
              <w:rPr>
                <w:rFonts w:cs="Arial"/>
                <w:b/>
                <w:bCs/>
                <w:sz w:val="22"/>
                <w:lang w:eastAsia="en-ZA"/>
              </w:rPr>
              <w:t>2021/22</w:t>
            </w:r>
          </w:p>
        </w:tc>
        <w:tc>
          <w:tcPr>
            <w:tcW w:w="118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2600D0F" w14:textId="77777777" w:rsidR="007A4626" w:rsidRPr="00DB75D8" w:rsidRDefault="007A4626" w:rsidP="0062246E">
            <w:pPr>
              <w:jc w:val="center"/>
              <w:rPr>
                <w:rFonts w:cs="Arial"/>
                <w:b/>
                <w:bCs/>
                <w:sz w:val="22"/>
                <w:lang w:eastAsia="en-ZA"/>
              </w:rPr>
            </w:pPr>
            <w:r w:rsidRPr="00DB75D8">
              <w:rPr>
                <w:rFonts w:cs="Arial"/>
                <w:b/>
                <w:bCs/>
                <w:sz w:val="22"/>
                <w:lang w:eastAsia="en-ZA"/>
              </w:rPr>
              <w:t>2022/23</w:t>
            </w:r>
          </w:p>
        </w:tc>
      </w:tr>
      <w:tr w:rsidR="007A4626" w:rsidRPr="00DB75D8" w14:paraId="06A106F9" w14:textId="77777777" w:rsidTr="002145D8">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42856C4" w14:textId="77777777" w:rsidR="007A4626" w:rsidRPr="00DB75D8" w:rsidRDefault="007A4626" w:rsidP="0062246E">
            <w:pPr>
              <w:rPr>
                <w:rFonts w:cs="Arial"/>
                <w:sz w:val="22"/>
                <w:lang w:eastAsia="en-ZA"/>
              </w:rPr>
            </w:pPr>
            <w:r w:rsidRPr="00DB75D8">
              <w:rPr>
                <w:rFonts w:cs="Arial"/>
                <w:sz w:val="22"/>
                <w:lang w:eastAsia="en-ZA"/>
              </w:rPr>
              <w:t>Compensation of Employees</w:t>
            </w:r>
          </w:p>
        </w:tc>
        <w:tc>
          <w:tcPr>
            <w:tcW w:w="1290" w:type="dxa"/>
            <w:tcBorders>
              <w:top w:val="nil"/>
              <w:left w:val="nil"/>
              <w:bottom w:val="single" w:sz="4" w:space="0" w:color="auto"/>
              <w:right w:val="single" w:sz="4" w:space="0" w:color="auto"/>
            </w:tcBorders>
            <w:shd w:val="clear" w:color="auto" w:fill="auto"/>
            <w:vAlign w:val="center"/>
            <w:hideMark/>
          </w:tcPr>
          <w:p w14:paraId="7A9579BC" w14:textId="77777777" w:rsidR="007A4626" w:rsidRPr="00DB75D8" w:rsidRDefault="007A4626" w:rsidP="0062246E">
            <w:pPr>
              <w:ind w:firstLineChars="100" w:firstLine="220"/>
              <w:jc w:val="right"/>
              <w:rPr>
                <w:rFonts w:cs="Arial"/>
                <w:sz w:val="22"/>
                <w:lang w:eastAsia="en-ZA"/>
              </w:rPr>
            </w:pPr>
            <w:r w:rsidRPr="00DB75D8">
              <w:rPr>
                <w:rFonts w:cs="Arial"/>
                <w:sz w:val="22"/>
                <w:lang w:eastAsia="en-ZA"/>
              </w:rPr>
              <w:t>78 500</w:t>
            </w:r>
          </w:p>
        </w:tc>
        <w:tc>
          <w:tcPr>
            <w:tcW w:w="1070" w:type="dxa"/>
            <w:tcBorders>
              <w:top w:val="nil"/>
              <w:left w:val="nil"/>
              <w:bottom w:val="single" w:sz="4" w:space="0" w:color="auto"/>
              <w:right w:val="single" w:sz="4" w:space="0" w:color="auto"/>
            </w:tcBorders>
            <w:shd w:val="clear" w:color="auto" w:fill="auto"/>
            <w:vAlign w:val="center"/>
            <w:hideMark/>
          </w:tcPr>
          <w:p w14:paraId="536C2E03" w14:textId="77777777" w:rsidR="007A4626" w:rsidRPr="00DB75D8" w:rsidRDefault="007A4626" w:rsidP="0062246E">
            <w:pPr>
              <w:jc w:val="right"/>
              <w:rPr>
                <w:rFonts w:cs="Arial"/>
                <w:sz w:val="22"/>
                <w:lang w:eastAsia="en-ZA"/>
              </w:rPr>
            </w:pPr>
            <w:r w:rsidRPr="00DB75D8">
              <w:rPr>
                <w:rFonts w:cs="Arial"/>
                <w:sz w:val="22"/>
                <w:lang w:eastAsia="en-ZA"/>
              </w:rPr>
              <w:t>83 0000</w:t>
            </w:r>
          </w:p>
        </w:tc>
        <w:tc>
          <w:tcPr>
            <w:tcW w:w="1180" w:type="dxa"/>
            <w:tcBorders>
              <w:top w:val="nil"/>
              <w:left w:val="nil"/>
              <w:bottom w:val="single" w:sz="4" w:space="0" w:color="auto"/>
              <w:right w:val="single" w:sz="4" w:space="0" w:color="auto"/>
            </w:tcBorders>
            <w:shd w:val="clear" w:color="auto" w:fill="auto"/>
            <w:vAlign w:val="center"/>
            <w:hideMark/>
          </w:tcPr>
          <w:p w14:paraId="782E07B9" w14:textId="77777777" w:rsidR="007A4626" w:rsidRPr="00DB75D8" w:rsidRDefault="007A4626" w:rsidP="0062246E">
            <w:pPr>
              <w:jc w:val="right"/>
              <w:rPr>
                <w:rFonts w:cs="Arial"/>
                <w:sz w:val="22"/>
                <w:lang w:eastAsia="en-ZA"/>
              </w:rPr>
            </w:pPr>
            <w:r w:rsidRPr="00DB75D8">
              <w:rPr>
                <w:rFonts w:cs="Arial"/>
                <w:sz w:val="22"/>
                <w:lang w:eastAsia="en-ZA"/>
              </w:rPr>
              <w:t>88 000</w:t>
            </w:r>
          </w:p>
        </w:tc>
        <w:tc>
          <w:tcPr>
            <w:tcW w:w="1180" w:type="dxa"/>
            <w:tcBorders>
              <w:top w:val="nil"/>
              <w:left w:val="nil"/>
              <w:bottom w:val="single" w:sz="4" w:space="0" w:color="auto"/>
              <w:right w:val="single" w:sz="4" w:space="0" w:color="auto"/>
            </w:tcBorders>
            <w:shd w:val="clear" w:color="auto" w:fill="auto"/>
            <w:vAlign w:val="center"/>
            <w:hideMark/>
          </w:tcPr>
          <w:p w14:paraId="18EB2DDC" w14:textId="77777777" w:rsidR="007A4626" w:rsidRPr="00DB75D8" w:rsidRDefault="007A4626" w:rsidP="0062246E">
            <w:pPr>
              <w:jc w:val="right"/>
              <w:rPr>
                <w:rFonts w:cs="Arial"/>
                <w:sz w:val="22"/>
                <w:lang w:eastAsia="en-ZA"/>
              </w:rPr>
            </w:pPr>
            <w:r w:rsidRPr="00DB75D8">
              <w:rPr>
                <w:rFonts w:cs="Arial"/>
                <w:sz w:val="22"/>
                <w:lang w:eastAsia="en-ZA"/>
              </w:rPr>
              <w:t>94 000</w:t>
            </w:r>
          </w:p>
        </w:tc>
        <w:tc>
          <w:tcPr>
            <w:tcW w:w="1180" w:type="dxa"/>
            <w:tcBorders>
              <w:top w:val="nil"/>
              <w:left w:val="nil"/>
              <w:bottom w:val="single" w:sz="4" w:space="0" w:color="auto"/>
              <w:right w:val="single" w:sz="4" w:space="0" w:color="auto"/>
            </w:tcBorders>
            <w:shd w:val="clear" w:color="auto" w:fill="auto"/>
            <w:vAlign w:val="center"/>
            <w:hideMark/>
          </w:tcPr>
          <w:p w14:paraId="114B08E6" w14:textId="77777777" w:rsidR="007A4626" w:rsidRPr="00DB75D8" w:rsidRDefault="007A4626" w:rsidP="0062246E">
            <w:pPr>
              <w:jc w:val="right"/>
              <w:rPr>
                <w:rFonts w:cs="Arial"/>
                <w:sz w:val="22"/>
                <w:lang w:eastAsia="en-ZA"/>
              </w:rPr>
            </w:pPr>
            <w:r w:rsidRPr="00DB75D8">
              <w:rPr>
                <w:rFonts w:cs="Arial"/>
                <w:sz w:val="22"/>
                <w:lang w:eastAsia="en-ZA"/>
              </w:rPr>
              <w:t>99 000</w:t>
            </w:r>
          </w:p>
        </w:tc>
      </w:tr>
      <w:tr w:rsidR="007A4626" w:rsidRPr="00DB75D8" w14:paraId="3476C4A5" w14:textId="77777777" w:rsidTr="002145D8">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A952066" w14:textId="77777777" w:rsidR="007A4626" w:rsidRPr="00DB75D8" w:rsidRDefault="007A4626" w:rsidP="0062246E">
            <w:pPr>
              <w:rPr>
                <w:rFonts w:cs="Arial"/>
                <w:sz w:val="22"/>
                <w:lang w:eastAsia="en-ZA"/>
              </w:rPr>
            </w:pPr>
            <w:r w:rsidRPr="00DB75D8">
              <w:rPr>
                <w:rFonts w:cs="Arial"/>
                <w:sz w:val="22"/>
                <w:lang w:eastAsia="en-ZA"/>
              </w:rPr>
              <w:t>Goods and services</w:t>
            </w:r>
          </w:p>
        </w:tc>
        <w:tc>
          <w:tcPr>
            <w:tcW w:w="1290" w:type="dxa"/>
            <w:tcBorders>
              <w:top w:val="nil"/>
              <w:left w:val="nil"/>
              <w:bottom w:val="single" w:sz="4" w:space="0" w:color="auto"/>
              <w:right w:val="single" w:sz="4" w:space="0" w:color="auto"/>
            </w:tcBorders>
            <w:shd w:val="clear" w:color="auto" w:fill="auto"/>
            <w:vAlign w:val="center"/>
            <w:hideMark/>
          </w:tcPr>
          <w:p w14:paraId="7608CDC1" w14:textId="77777777" w:rsidR="007A4626" w:rsidRPr="00DB75D8" w:rsidRDefault="007A4626" w:rsidP="0062246E">
            <w:pPr>
              <w:ind w:firstLineChars="100" w:firstLine="220"/>
              <w:jc w:val="right"/>
              <w:rPr>
                <w:rFonts w:cs="Arial"/>
                <w:sz w:val="22"/>
                <w:lang w:eastAsia="en-ZA"/>
              </w:rPr>
            </w:pPr>
            <w:r w:rsidRPr="00DB75D8">
              <w:rPr>
                <w:rFonts w:cs="Arial"/>
                <w:sz w:val="22"/>
                <w:lang w:eastAsia="en-ZA"/>
              </w:rPr>
              <w:t>36 000</w:t>
            </w:r>
          </w:p>
        </w:tc>
        <w:tc>
          <w:tcPr>
            <w:tcW w:w="1070" w:type="dxa"/>
            <w:tcBorders>
              <w:top w:val="nil"/>
              <w:left w:val="nil"/>
              <w:bottom w:val="single" w:sz="4" w:space="0" w:color="auto"/>
              <w:right w:val="single" w:sz="4" w:space="0" w:color="auto"/>
            </w:tcBorders>
            <w:shd w:val="clear" w:color="auto" w:fill="auto"/>
            <w:vAlign w:val="center"/>
            <w:hideMark/>
          </w:tcPr>
          <w:p w14:paraId="4ACA6A1C" w14:textId="77777777" w:rsidR="007A4626" w:rsidRPr="00DB75D8" w:rsidRDefault="007A4626" w:rsidP="0062246E">
            <w:pPr>
              <w:jc w:val="right"/>
              <w:rPr>
                <w:rFonts w:cs="Arial"/>
                <w:sz w:val="22"/>
                <w:lang w:eastAsia="en-ZA"/>
              </w:rPr>
            </w:pPr>
            <w:r w:rsidRPr="00DB75D8">
              <w:rPr>
                <w:rFonts w:cs="Arial"/>
                <w:sz w:val="22"/>
                <w:lang w:eastAsia="en-ZA"/>
              </w:rPr>
              <w:t>38 000</w:t>
            </w:r>
          </w:p>
        </w:tc>
        <w:tc>
          <w:tcPr>
            <w:tcW w:w="1180" w:type="dxa"/>
            <w:tcBorders>
              <w:top w:val="nil"/>
              <w:left w:val="nil"/>
              <w:bottom w:val="single" w:sz="4" w:space="0" w:color="auto"/>
              <w:right w:val="single" w:sz="4" w:space="0" w:color="auto"/>
            </w:tcBorders>
            <w:shd w:val="clear" w:color="auto" w:fill="auto"/>
            <w:vAlign w:val="center"/>
            <w:hideMark/>
          </w:tcPr>
          <w:p w14:paraId="52559DE5" w14:textId="77777777" w:rsidR="007A4626" w:rsidRPr="00DB75D8" w:rsidRDefault="007A4626" w:rsidP="0062246E">
            <w:pPr>
              <w:jc w:val="right"/>
              <w:rPr>
                <w:rFonts w:cs="Arial"/>
                <w:sz w:val="22"/>
                <w:lang w:eastAsia="en-ZA"/>
              </w:rPr>
            </w:pPr>
            <w:r w:rsidRPr="00DB75D8">
              <w:rPr>
                <w:rFonts w:cs="Arial"/>
                <w:sz w:val="22"/>
                <w:lang w:eastAsia="en-ZA"/>
              </w:rPr>
              <w:t>40 000</w:t>
            </w:r>
          </w:p>
        </w:tc>
        <w:tc>
          <w:tcPr>
            <w:tcW w:w="1180" w:type="dxa"/>
            <w:tcBorders>
              <w:top w:val="nil"/>
              <w:left w:val="nil"/>
              <w:bottom w:val="single" w:sz="4" w:space="0" w:color="auto"/>
              <w:right w:val="single" w:sz="4" w:space="0" w:color="auto"/>
            </w:tcBorders>
            <w:shd w:val="clear" w:color="auto" w:fill="auto"/>
            <w:vAlign w:val="center"/>
            <w:hideMark/>
          </w:tcPr>
          <w:p w14:paraId="39973F58" w14:textId="77777777" w:rsidR="007A4626" w:rsidRPr="00DB75D8" w:rsidRDefault="007A4626" w:rsidP="0062246E">
            <w:pPr>
              <w:jc w:val="right"/>
              <w:rPr>
                <w:rFonts w:cs="Arial"/>
                <w:sz w:val="22"/>
                <w:lang w:eastAsia="en-ZA"/>
              </w:rPr>
            </w:pPr>
            <w:r w:rsidRPr="00DB75D8">
              <w:rPr>
                <w:rFonts w:cs="Arial"/>
                <w:sz w:val="22"/>
                <w:lang w:eastAsia="en-ZA"/>
              </w:rPr>
              <w:t>43 000</w:t>
            </w:r>
          </w:p>
        </w:tc>
        <w:tc>
          <w:tcPr>
            <w:tcW w:w="1180" w:type="dxa"/>
            <w:tcBorders>
              <w:top w:val="nil"/>
              <w:left w:val="nil"/>
              <w:bottom w:val="single" w:sz="4" w:space="0" w:color="auto"/>
              <w:right w:val="single" w:sz="4" w:space="0" w:color="auto"/>
            </w:tcBorders>
            <w:shd w:val="clear" w:color="auto" w:fill="auto"/>
            <w:vAlign w:val="center"/>
            <w:hideMark/>
          </w:tcPr>
          <w:p w14:paraId="7A65F50C" w14:textId="77777777" w:rsidR="007A4626" w:rsidRPr="00DB75D8" w:rsidRDefault="007A4626" w:rsidP="0062246E">
            <w:pPr>
              <w:jc w:val="right"/>
              <w:rPr>
                <w:rFonts w:cs="Arial"/>
                <w:sz w:val="22"/>
                <w:lang w:eastAsia="en-ZA"/>
              </w:rPr>
            </w:pPr>
            <w:r w:rsidRPr="00DB75D8">
              <w:rPr>
                <w:rFonts w:cs="Arial"/>
                <w:sz w:val="22"/>
                <w:lang w:eastAsia="en-ZA"/>
              </w:rPr>
              <w:t>45 000</w:t>
            </w:r>
          </w:p>
        </w:tc>
      </w:tr>
      <w:tr w:rsidR="007A4626" w:rsidRPr="00DB75D8" w14:paraId="44D5185E" w14:textId="77777777" w:rsidTr="002145D8">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4B62CE60" w14:textId="77777777" w:rsidR="007A4626" w:rsidRPr="00DB75D8" w:rsidRDefault="007A4626" w:rsidP="0062246E">
            <w:pPr>
              <w:rPr>
                <w:rFonts w:cs="Arial"/>
                <w:b/>
                <w:bCs/>
                <w:sz w:val="22"/>
                <w:lang w:eastAsia="en-ZA"/>
              </w:rPr>
            </w:pPr>
            <w:r w:rsidRPr="00DB75D8">
              <w:rPr>
                <w:rFonts w:cs="Arial"/>
                <w:b/>
                <w:bCs/>
                <w:sz w:val="22"/>
                <w:lang w:eastAsia="en-ZA"/>
              </w:rPr>
              <w:t xml:space="preserve">Total operational expenditure </w:t>
            </w:r>
          </w:p>
        </w:tc>
        <w:tc>
          <w:tcPr>
            <w:tcW w:w="1290" w:type="dxa"/>
            <w:tcBorders>
              <w:top w:val="nil"/>
              <w:left w:val="nil"/>
              <w:bottom w:val="single" w:sz="4" w:space="0" w:color="auto"/>
              <w:right w:val="single" w:sz="4" w:space="0" w:color="auto"/>
            </w:tcBorders>
            <w:shd w:val="clear" w:color="auto" w:fill="auto"/>
            <w:vAlign w:val="center"/>
            <w:hideMark/>
          </w:tcPr>
          <w:p w14:paraId="289409F3" w14:textId="77777777" w:rsidR="007A4626" w:rsidRPr="00DB75D8" w:rsidRDefault="007A4626" w:rsidP="00FA35FF">
            <w:pPr>
              <w:ind w:firstLineChars="100" w:firstLine="221"/>
              <w:jc w:val="right"/>
              <w:rPr>
                <w:rFonts w:cs="Arial"/>
                <w:b/>
                <w:bCs/>
                <w:sz w:val="22"/>
                <w:lang w:eastAsia="en-ZA"/>
              </w:rPr>
            </w:pPr>
            <w:r w:rsidRPr="00DB75D8">
              <w:rPr>
                <w:rFonts w:cs="Arial"/>
                <w:b/>
                <w:bCs/>
                <w:sz w:val="22"/>
                <w:lang w:eastAsia="en-ZA"/>
              </w:rPr>
              <w:t>114 500</w:t>
            </w:r>
          </w:p>
        </w:tc>
        <w:tc>
          <w:tcPr>
            <w:tcW w:w="1070" w:type="dxa"/>
            <w:tcBorders>
              <w:top w:val="nil"/>
              <w:left w:val="nil"/>
              <w:bottom w:val="single" w:sz="4" w:space="0" w:color="auto"/>
              <w:right w:val="single" w:sz="4" w:space="0" w:color="auto"/>
            </w:tcBorders>
            <w:shd w:val="clear" w:color="auto" w:fill="auto"/>
            <w:vAlign w:val="center"/>
            <w:hideMark/>
          </w:tcPr>
          <w:p w14:paraId="524E7748" w14:textId="77777777" w:rsidR="007A4626" w:rsidRPr="00DB75D8" w:rsidRDefault="007A4626" w:rsidP="0062246E">
            <w:pPr>
              <w:jc w:val="right"/>
              <w:rPr>
                <w:rFonts w:cs="Arial"/>
                <w:b/>
                <w:bCs/>
                <w:sz w:val="22"/>
                <w:lang w:eastAsia="en-ZA"/>
              </w:rPr>
            </w:pPr>
            <w:r w:rsidRPr="00DB75D8">
              <w:rPr>
                <w:rFonts w:cs="Arial"/>
                <w:b/>
                <w:bCs/>
                <w:sz w:val="22"/>
                <w:lang w:eastAsia="en-ZA"/>
              </w:rPr>
              <w:t>121 000</w:t>
            </w:r>
          </w:p>
        </w:tc>
        <w:tc>
          <w:tcPr>
            <w:tcW w:w="1180" w:type="dxa"/>
            <w:tcBorders>
              <w:top w:val="nil"/>
              <w:left w:val="nil"/>
              <w:bottom w:val="single" w:sz="4" w:space="0" w:color="auto"/>
              <w:right w:val="single" w:sz="4" w:space="0" w:color="auto"/>
            </w:tcBorders>
            <w:shd w:val="clear" w:color="auto" w:fill="auto"/>
            <w:vAlign w:val="center"/>
            <w:hideMark/>
          </w:tcPr>
          <w:p w14:paraId="2742F45A" w14:textId="77777777" w:rsidR="007A4626" w:rsidRPr="00DB75D8" w:rsidRDefault="007A4626" w:rsidP="0062246E">
            <w:pPr>
              <w:jc w:val="right"/>
              <w:rPr>
                <w:rFonts w:cs="Arial"/>
                <w:b/>
                <w:bCs/>
                <w:sz w:val="22"/>
                <w:lang w:eastAsia="en-ZA"/>
              </w:rPr>
            </w:pPr>
            <w:r w:rsidRPr="00DB75D8">
              <w:rPr>
                <w:rFonts w:cs="Arial"/>
                <w:b/>
                <w:bCs/>
                <w:sz w:val="22"/>
                <w:lang w:eastAsia="en-ZA"/>
              </w:rPr>
              <w:t>128 000</w:t>
            </w:r>
          </w:p>
        </w:tc>
        <w:tc>
          <w:tcPr>
            <w:tcW w:w="1180" w:type="dxa"/>
            <w:tcBorders>
              <w:top w:val="nil"/>
              <w:left w:val="nil"/>
              <w:bottom w:val="single" w:sz="4" w:space="0" w:color="auto"/>
              <w:right w:val="single" w:sz="4" w:space="0" w:color="auto"/>
            </w:tcBorders>
            <w:shd w:val="clear" w:color="auto" w:fill="auto"/>
            <w:vAlign w:val="center"/>
            <w:hideMark/>
          </w:tcPr>
          <w:p w14:paraId="4EA4E973" w14:textId="77777777" w:rsidR="007A4626" w:rsidRPr="00DB75D8" w:rsidRDefault="007A4626" w:rsidP="0062246E">
            <w:pPr>
              <w:jc w:val="right"/>
              <w:rPr>
                <w:rFonts w:cs="Arial"/>
                <w:b/>
                <w:bCs/>
                <w:sz w:val="22"/>
                <w:lang w:eastAsia="en-ZA"/>
              </w:rPr>
            </w:pPr>
            <w:r w:rsidRPr="00DB75D8">
              <w:rPr>
                <w:rFonts w:cs="Arial"/>
                <w:b/>
                <w:bCs/>
                <w:sz w:val="22"/>
                <w:lang w:eastAsia="en-ZA"/>
              </w:rPr>
              <w:t>137 000</w:t>
            </w:r>
          </w:p>
        </w:tc>
        <w:tc>
          <w:tcPr>
            <w:tcW w:w="1180" w:type="dxa"/>
            <w:tcBorders>
              <w:top w:val="nil"/>
              <w:left w:val="nil"/>
              <w:bottom w:val="single" w:sz="4" w:space="0" w:color="auto"/>
              <w:right w:val="single" w:sz="4" w:space="0" w:color="auto"/>
            </w:tcBorders>
            <w:shd w:val="clear" w:color="auto" w:fill="auto"/>
            <w:vAlign w:val="center"/>
            <w:hideMark/>
          </w:tcPr>
          <w:p w14:paraId="279CC8EE" w14:textId="77777777" w:rsidR="007A4626" w:rsidRPr="00DB75D8" w:rsidRDefault="007A4626" w:rsidP="0062246E">
            <w:pPr>
              <w:jc w:val="right"/>
              <w:rPr>
                <w:rFonts w:cs="Arial"/>
                <w:b/>
                <w:bCs/>
                <w:sz w:val="22"/>
                <w:lang w:eastAsia="en-ZA"/>
              </w:rPr>
            </w:pPr>
            <w:r w:rsidRPr="00DB75D8">
              <w:rPr>
                <w:rFonts w:cs="Arial"/>
                <w:b/>
                <w:bCs/>
                <w:sz w:val="22"/>
                <w:lang w:eastAsia="en-ZA"/>
              </w:rPr>
              <w:t>144 000</w:t>
            </w:r>
          </w:p>
        </w:tc>
      </w:tr>
      <w:tr w:rsidR="007A4626" w:rsidRPr="00DB75D8" w14:paraId="33954F12" w14:textId="77777777" w:rsidTr="002145D8">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E14BA0C" w14:textId="77777777" w:rsidR="007A4626" w:rsidRPr="00DB75D8" w:rsidRDefault="007A4626" w:rsidP="0062246E">
            <w:pPr>
              <w:rPr>
                <w:rFonts w:cs="Arial"/>
                <w:sz w:val="22"/>
                <w:lang w:eastAsia="en-ZA"/>
              </w:rPr>
            </w:pPr>
            <w:r w:rsidRPr="00DB75D8">
              <w:rPr>
                <w:rFonts w:cs="Arial"/>
                <w:sz w:val="22"/>
                <w:lang w:eastAsia="en-ZA"/>
              </w:rPr>
              <w:t>Payment for capital assets</w:t>
            </w:r>
          </w:p>
        </w:tc>
        <w:tc>
          <w:tcPr>
            <w:tcW w:w="1290" w:type="dxa"/>
            <w:tcBorders>
              <w:top w:val="nil"/>
              <w:left w:val="nil"/>
              <w:bottom w:val="single" w:sz="4" w:space="0" w:color="auto"/>
              <w:right w:val="single" w:sz="4" w:space="0" w:color="auto"/>
            </w:tcBorders>
            <w:shd w:val="clear" w:color="auto" w:fill="auto"/>
            <w:vAlign w:val="center"/>
            <w:hideMark/>
          </w:tcPr>
          <w:p w14:paraId="3C32276A" w14:textId="77777777" w:rsidR="007A4626" w:rsidRPr="00DB75D8" w:rsidRDefault="007A4626" w:rsidP="0062246E">
            <w:pPr>
              <w:ind w:firstLineChars="100" w:firstLine="220"/>
              <w:jc w:val="right"/>
              <w:rPr>
                <w:rFonts w:cs="Arial"/>
                <w:sz w:val="22"/>
                <w:lang w:eastAsia="en-ZA"/>
              </w:rPr>
            </w:pPr>
            <w:r w:rsidRPr="00DB75D8">
              <w:rPr>
                <w:rFonts w:cs="Arial"/>
                <w:sz w:val="22"/>
                <w:lang w:eastAsia="en-ZA"/>
              </w:rPr>
              <w:t>8 500</w:t>
            </w:r>
          </w:p>
        </w:tc>
        <w:tc>
          <w:tcPr>
            <w:tcW w:w="1070" w:type="dxa"/>
            <w:tcBorders>
              <w:top w:val="nil"/>
              <w:left w:val="nil"/>
              <w:bottom w:val="single" w:sz="4" w:space="0" w:color="auto"/>
              <w:right w:val="single" w:sz="4" w:space="0" w:color="auto"/>
            </w:tcBorders>
            <w:shd w:val="clear" w:color="auto" w:fill="auto"/>
            <w:vAlign w:val="center"/>
            <w:hideMark/>
          </w:tcPr>
          <w:p w14:paraId="6B1EEB2A" w14:textId="77777777" w:rsidR="007A4626" w:rsidRPr="00DB75D8" w:rsidRDefault="007A4626" w:rsidP="0062246E">
            <w:pPr>
              <w:jc w:val="right"/>
              <w:rPr>
                <w:rFonts w:cs="Arial"/>
                <w:sz w:val="22"/>
                <w:lang w:eastAsia="en-ZA"/>
              </w:rPr>
            </w:pPr>
            <w:r w:rsidRPr="00DB75D8">
              <w:rPr>
                <w:rFonts w:cs="Arial"/>
                <w:sz w:val="22"/>
                <w:lang w:eastAsia="en-ZA"/>
              </w:rPr>
              <w:t>3 000</w:t>
            </w:r>
          </w:p>
        </w:tc>
        <w:tc>
          <w:tcPr>
            <w:tcW w:w="1180" w:type="dxa"/>
            <w:tcBorders>
              <w:top w:val="nil"/>
              <w:left w:val="nil"/>
              <w:bottom w:val="single" w:sz="4" w:space="0" w:color="auto"/>
              <w:right w:val="single" w:sz="4" w:space="0" w:color="auto"/>
            </w:tcBorders>
            <w:shd w:val="clear" w:color="auto" w:fill="auto"/>
            <w:vAlign w:val="center"/>
            <w:hideMark/>
          </w:tcPr>
          <w:p w14:paraId="1C30AC69" w14:textId="77777777" w:rsidR="007A4626" w:rsidRPr="00DB75D8" w:rsidRDefault="007A4626" w:rsidP="0062246E">
            <w:pPr>
              <w:jc w:val="right"/>
              <w:rPr>
                <w:rFonts w:cs="Arial"/>
                <w:sz w:val="22"/>
                <w:lang w:eastAsia="en-ZA"/>
              </w:rPr>
            </w:pPr>
            <w:r w:rsidRPr="00DB75D8">
              <w:rPr>
                <w:rFonts w:cs="Arial"/>
                <w:sz w:val="22"/>
                <w:lang w:eastAsia="en-ZA"/>
              </w:rPr>
              <w:t>5 000</w:t>
            </w:r>
          </w:p>
        </w:tc>
        <w:tc>
          <w:tcPr>
            <w:tcW w:w="1180" w:type="dxa"/>
            <w:tcBorders>
              <w:top w:val="nil"/>
              <w:left w:val="nil"/>
              <w:bottom w:val="single" w:sz="4" w:space="0" w:color="auto"/>
              <w:right w:val="single" w:sz="4" w:space="0" w:color="auto"/>
            </w:tcBorders>
            <w:shd w:val="clear" w:color="auto" w:fill="auto"/>
            <w:vAlign w:val="center"/>
            <w:hideMark/>
          </w:tcPr>
          <w:p w14:paraId="1252FF41" w14:textId="77777777" w:rsidR="007A4626" w:rsidRPr="00DB75D8" w:rsidRDefault="007A4626" w:rsidP="0062246E">
            <w:pPr>
              <w:jc w:val="right"/>
              <w:rPr>
                <w:rFonts w:cs="Arial"/>
                <w:sz w:val="22"/>
                <w:lang w:eastAsia="en-ZA"/>
              </w:rPr>
            </w:pPr>
            <w:r w:rsidRPr="00DB75D8">
              <w:rPr>
                <w:rFonts w:cs="Arial"/>
                <w:sz w:val="22"/>
                <w:lang w:eastAsia="en-ZA"/>
              </w:rPr>
              <w:t>3 000</w:t>
            </w:r>
          </w:p>
        </w:tc>
        <w:tc>
          <w:tcPr>
            <w:tcW w:w="1180" w:type="dxa"/>
            <w:tcBorders>
              <w:top w:val="nil"/>
              <w:left w:val="nil"/>
              <w:bottom w:val="single" w:sz="4" w:space="0" w:color="auto"/>
              <w:right w:val="single" w:sz="4" w:space="0" w:color="auto"/>
            </w:tcBorders>
            <w:shd w:val="clear" w:color="auto" w:fill="auto"/>
            <w:vAlign w:val="center"/>
            <w:hideMark/>
          </w:tcPr>
          <w:p w14:paraId="1517228E" w14:textId="77777777" w:rsidR="007A4626" w:rsidRPr="00DB75D8" w:rsidRDefault="007A4626" w:rsidP="0062246E">
            <w:pPr>
              <w:jc w:val="right"/>
              <w:rPr>
                <w:rFonts w:cs="Arial"/>
                <w:sz w:val="22"/>
                <w:lang w:eastAsia="en-ZA"/>
              </w:rPr>
            </w:pPr>
            <w:r w:rsidRPr="00DB75D8">
              <w:rPr>
                <w:rFonts w:cs="Arial"/>
                <w:sz w:val="22"/>
                <w:lang w:eastAsia="en-ZA"/>
              </w:rPr>
              <w:t>3 000</w:t>
            </w:r>
          </w:p>
        </w:tc>
      </w:tr>
      <w:tr w:rsidR="007A4626" w:rsidRPr="00DB75D8" w14:paraId="420E3C1F" w14:textId="77777777" w:rsidTr="002145D8">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20722D6" w14:textId="77777777" w:rsidR="007A4626" w:rsidRPr="00DB75D8" w:rsidRDefault="007A4626" w:rsidP="0062246E">
            <w:pPr>
              <w:rPr>
                <w:rFonts w:cs="Arial"/>
                <w:b/>
                <w:bCs/>
                <w:sz w:val="22"/>
                <w:lang w:eastAsia="en-ZA"/>
              </w:rPr>
            </w:pPr>
            <w:r w:rsidRPr="00DB75D8">
              <w:rPr>
                <w:rFonts w:cs="Arial"/>
                <w:b/>
                <w:bCs/>
                <w:sz w:val="22"/>
                <w:lang w:eastAsia="en-ZA"/>
              </w:rPr>
              <w:t xml:space="preserve">Total expenditure </w:t>
            </w:r>
          </w:p>
        </w:tc>
        <w:tc>
          <w:tcPr>
            <w:tcW w:w="1290" w:type="dxa"/>
            <w:tcBorders>
              <w:top w:val="nil"/>
              <w:left w:val="nil"/>
              <w:bottom w:val="single" w:sz="4" w:space="0" w:color="auto"/>
              <w:right w:val="single" w:sz="4" w:space="0" w:color="auto"/>
            </w:tcBorders>
            <w:shd w:val="clear" w:color="auto" w:fill="auto"/>
            <w:vAlign w:val="center"/>
            <w:hideMark/>
          </w:tcPr>
          <w:p w14:paraId="66D00F2E" w14:textId="77777777" w:rsidR="007A4626" w:rsidRPr="00DB75D8" w:rsidRDefault="007A4626" w:rsidP="00FA35FF">
            <w:pPr>
              <w:ind w:firstLineChars="100" w:firstLine="221"/>
              <w:jc w:val="right"/>
              <w:rPr>
                <w:rFonts w:cs="Arial"/>
                <w:b/>
                <w:bCs/>
                <w:sz w:val="22"/>
                <w:lang w:eastAsia="en-ZA"/>
              </w:rPr>
            </w:pPr>
            <w:r w:rsidRPr="00DB75D8">
              <w:rPr>
                <w:rFonts w:cs="Arial"/>
                <w:b/>
                <w:bCs/>
                <w:sz w:val="22"/>
                <w:lang w:eastAsia="en-ZA"/>
              </w:rPr>
              <w:t>123 000</w:t>
            </w:r>
          </w:p>
        </w:tc>
        <w:tc>
          <w:tcPr>
            <w:tcW w:w="1070" w:type="dxa"/>
            <w:tcBorders>
              <w:top w:val="nil"/>
              <w:left w:val="nil"/>
              <w:bottom w:val="single" w:sz="4" w:space="0" w:color="auto"/>
              <w:right w:val="single" w:sz="4" w:space="0" w:color="auto"/>
            </w:tcBorders>
            <w:shd w:val="clear" w:color="auto" w:fill="auto"/>
            <w:vAlign w:val="center"/>
            <w:hideMark/>
          </w:tcPr>
          <w:p w14:paraId="56E354B1" w14:textId="77777777" w:rsidR="007A4626" w:rsidRPr="00DB75D8" w:rsidRDefault="007A4626" w:rsidP="0062246E">
            <w:pPr>
              <w:jc w:val="right"/>
              <w:rPr>
                <w:rFonts w:cs="Arial"/>
                <w:b/>
                <w:bCs/>
                <w:sz w:val="22"/>
                <w:lang w:eastAsia="en-ZA"/>
              </w:rPr>
            </w:pPr>
            <w:r w:rsidRPr="00DB75D8">
              <w:rPr>
                <w:rFonts w:cs="Arial"/>
                <w:b/>
                <w:bCs/>
                <w:sz w:val="22"/>
                <w:lang w:eastAsia="en-ZA"/>
              </w:rPr>
              <w:t>124 000</w:t>
            </w:r>
          </w:p>
        </w:tc>
        <w:tc>
          <w:tcPr>
            <w:tcW w:w="1180" w:type="dxa"/>
            <w:tcBorders>
              <w:top w:val="nil"/>
              <w:left w:val="nil"/>
              <w:bottom w:val="single" w:sz="4" w:space="0" w:color="auto"/>
              <w:right w:val="single" w:sz="4" w:space="0" w:color="auto"/>
            </w:tcBorders>
            <w:shd w:val="clear" w:color="auto" w:fill="auto"/>
            <w:vAlign w:val="center"/>
            <w:hideMark/>
          </w:tcPr>
          <w:p w14:paraId="6A34FA3E" w14:textId="77777777" w:rsidR="007A4626" w:rsidRPr="00DB75D8" w:rsidRDefault="007A4626" w:rsidP="0062246E">
            <w:pPr>
              <w:jc w:val="right"/>
              <w:rPr>
                <w:rFonts w:cs="Arial"/>
                <w:b/>
                <w:bCs/>
                <w:sz w:val="22"/>
                <w:lang w:eastAsia="en-ZA"/>
              </w:rPr>
            </w:pPr>
            <w:r w:rsidRPr="00DB75D8">
              <w:rPr>
                <w:rFonts w:cs="Arial"/>
                <w:b/>
                <w:bCs/>
                <w:sz w:val="22"/>
                <w:lang w:eastAsia="en-ZA"/>
              </w:rPr>
              <w:t>133 000</w:t>
            </w:r>
          </w:p>
        </w:tc>
        <w:tc>
          <w:tcPr>
            <w:tcW w:w="1180" w:type="dxa"/>
            <w:tcBorders>
              <w:top w:val="nil"/>
              <w:left w:val="nil"/>
              <w:bottom w:val="single" w:sz="4" w:space="0" w:color="auto"/>
              <w:right w:val="single" w:sz="4" w:space="0" w:color="auto"/>
            </w:tcBorders>
            <w:shd w:val="clear" w:color="auto" w:fill="auto"/>
            <w:vAlign w:val="center"/>
            <w:hideMark/>
          </w:tcPr>
          <w:p w14:paraId="0D71049A" w14:textId="77777777" w:rsidR="007A4626" w:rsidRPr="00DB75D8" w:rsidRDefault="007A4626" w:rsidP="0062246E">
            <w:pPr>
              <w:jc w:val="right"/>
              <w:rPr>
                <w:rFonts w:cs="Arial"/>
                <w:b/>
                <w:bCs/>
                <w:sz w:val="22"/>
                <w:lang w:eastAsia="en-ZA"/>
              </w:rPr>
            </w:pPr>
            <w:r w:rsidRPr="00DB75D8">
              <w:rPr>
                <w:rFonts w:cs="Arial"/>
                <w:b/>
                <w:bCs/>
                <w:sz w:val="22"/>
                <w:lang w:eastAsia="en-ZA"/>
              </w:rPr>
              <w:t>140 000</w:t>
            </w:r>
          </w:p>
        </w:tc>
        <w:tc>
          <w:tcPr>
            <w:tcW w:w="1180" w:type="dxa"/>
            <w:tcBorders>
              <w:top w:val="nil"/>
              <w:left w:val="nil"/>
              <w:bottom w:val="single" w:sz="4" w:space="0" w:color="auto"/>
              <w:right w:val="single" w:sz="4" w:space="0" w:color="auto"/>
            </w:tcBorders>
            <w:shd w:val="clear" w:color="auto" w:fill="auto"/>
            <w:vAlign w:val="center"/>
            <w:hideMark/>
          </w:tcPr>
          <w:p w14:paraId="43CA46E3" w14:textId="77777777" w:rsidR="007A4626" w:rsidRPr="00DB75D8" w:rsidRDefault="007A4626" w:rsidP="0062246E">
            <w:pPr>
              <w:jc w:val="right"/>
              <w:rPr>
                <w:rFonts w:cs="Arial"/>
                <w:b/>
                <w:bCs/>
                <w:sz w:val="22"/>
                <w:lang w:eastAsia="en-ZA"/>
              </w:rPr>
            </w:pPr>
            <w:r w:rsidRPr="00DB75D8">
              <w:rPr>
                <w:rFonts w:cs="Arial"/>
                <w:b/>
                <w:bCs/>
                <w:sz w:val="22"/>
                <w:lang w:eastAsia="en-ZA"/>
              </w:rPr>
              <w:t>147 000</w:t>
            </w:r>
          </w:p>
        </w:tc>
      </w:tr>
    </w:tbl>
    <w:p w14:paraId="372539F1" w14:textId="77777777" w:rsidR="007A4626" w:rsidRPr="00034886" w:rsidRDefault="007A4626" w:rsidP="0062246E">
      <w:pPr>
        <w:rPr>
          <w:rFonts w:cs="Arial"/>
          <w:sz w:val="20"/>
          <w:szCs w:val="20"/>
        </w:rPr>
      </w:pPr>
      <w:r w:rsidRPr="00034886">
        <w:rPr>
          <w:rFonts w:cs="Arial"/>
          <w:sz w:val="20"/>
          <w:szCs w:val="20"/>
        </w:rPr>
        <w:t>Source: B-BBEE Commission (2018)</w:t>
      </w:r>
    </w:p>
    <w:p w14:paraId="2A2CB3BC" w14:textId="77777777" w:rsidR="00C87219" w:rsidRPr="00052A2F" w:rsidRDefault="00C87219" w:rsidP="0062246E">
      <w:pPr>
        <w:rPr>
          <w:rFonts w:cs="Times New Roman"/>
          <w:szCs w:val="24"/>
        </w:rPr>
      </w:pPr>
    </w:p>
    <w:p w14:paraId="0FF7FD54" w14:textId="77777777" w:rsidR="00D27D12" w:rsidRPr="00052A2F" w:rsidRDefault="00D27D12" w:rsidP="007D60EF">
      <w:pPr>
        <w:pStyle w:val="ListParagraph"/>
        <w:numPr>
          <w:ilvl w:val="2"/>
          <w:numId w:val="6"/>
        </w:numPr>
        <w:ind w:left="709" w:hanging="709"/>
        <w:rPr>
          <w:rFonts w:cs="Times New Roman"/>
          <w:b/>
          <w:szCs w:val="24"/>
        </w:rPr>
      </w:pPr>
      <w:r w:rsidRPr="00052A2F">
        <w:rPr>
          <w:rFonts w:cs="Times New Roman"/>
          <w:b/>
          <w:szCs w:val="24"/>
        </w:rPr>
        <w:t xml:space="preserve">Key issues raised by the </w:t>
      </w:r>
      <w:r w:rsidR="00911B2F" w:rsidRPr="00052A2F">
        <w:rPr>
          <w:rFonts w:cs="Times New Roman"/>
          <w:b/>
          <w:szCs w:val="24"/>
        </w:rPr>
        <w:t xml:space="preserve">Committee </w:t>
      </w:r>
      <w:r w:rsidRPr="00052A2F">
        <w:rPr>
          <w:rFonts w:cs="Times New Roman"/>
          <w:b/>
          <w:szCs w:val="24"/>
        </w:rPr>
        <w:t>during its deliberations</w:t>
      </w:r>
    </w:p>
    <w:p w14:paraId="37BE44AD" w14:textId="77777777" w:rsidR="00D27D12" w:rsidRPr="00052A2F" w:rsidRDefault="00D27D12" w:rsidP="0062246E">
      <w:pPr>
        <w:autoSpaceDE w:val="0"/>
        <w:autoSpaceDN w:val="0"/>
        <w:adjustRightInd w:val="0"/>
        <w:rPr>
          <w:rFonts w:cs="Times New Roman"/>
          <w:b/>
          <w:szCs w:val="24"/>
        </w:rPr>
      </w:pPr>
    </w:p>
    <w:p w14:paraId="195D6D6D" w14:textId="77777777" w:rsidR="00D27D12" w:rsidRPr="00052A2F" w:rsidRDefault="00D27D12" w:rsidP="0062246E">
      <w:pPr>
        <w:rPr>
          <w:rFonts w:cs="Times New Roman"/>
          <w:szCs w:val="24"/>
        </w:rPr>
      </w:pPr>
      <w:r w:rsidRPr="00052A2F">
        <w:rPr>
          <w:rFonts w:cs="Times New Roman"/>
          <w:szCs w:val="24"/>
        </w:rPr>
        <w:t xml:space="preserve">During its deliberations, the </w:t>
      </w:r>
      <w:r w:rsidR="00911B2F" w:rsidRPr="00052A2F">
        <w:rPr>
          <w:rFonts w:cs="Times New Roman"/>
          <w:szCs w:val="24"/>
        </w:rPr>
        <w:t xml:space="preserve">Committee </w:t>
      </w:r>
      <w:r w:rsidRPr="00052A2F">
        <w:rPr>
          <w:rFonts w:cs="Times New Roman"/>
          <w:szCs w:val="24"/>
        </w:rPr>
        <w:t>raised a number of</w:t>
      </w:r>
      <w:r w:rsidR="006F2694" w:rsidRPr="00052A2F">
        <w:rPr>
          <w:rFonts w:cs="Times New Roman"/>
          <w:szCs w:val="24"/>
        </w:rPr>
        <w:t xml:space="preserve"> </w:t>
      </w:r>
      <w:r w:rsidR="00A15410" w:rsidRPr="00052A2F">
        <w:rPr>
          <w:rFonts w:cs="Times New Roman"/>
          <w:szCs w:val="24"/>
        </w:rPr>
        <w:t xml:space="preserve">issues </w:t>
      </w:r>
      <w:r w:rsidR="006F2694" w:rsidRPr="00052A2F">
        <w:rPr>
          <w:rFonts w:cs="Times New Roman"/>
          <w:szCs w:val="24"/>
        </w:rPr>
        <w:t>which are captured below:</w:t>
      </w:r>
    </w:p>
    <w:p w14:paraId="303BBA80" w14:textId="77777777" w:rsidR="005257FD" w:rsidRDefault="005257FD" w:rsidP="0062246E">
      <w:pPr>
        <w:pStyle w:val="ListParagraph"/>
        <w:ind w:left="0"/>
        <w:rPr>
          <w:rFonts w:eastAsia="Times New Roman" w:cs="Times New Roman"/>
          <w:szCs w:val="24"/>
        </w:rPr>
      </w:pPr>
    </w:p>
    <w:p w14:paraId="7E6E9A69" w14:textId="2C97BE1C" w:rsidR="00F12957" w:rsidRPr="00F12957" w:rsidRDefault="00F12957" w:rsidP="00F12957">
      <w:pPr>
        <w:pStyle w:val="ListParagraph"/>
        <w:numPr>
          <w:ilvl w:val="3"/>
          <w:numId w:val="6"/>
        </w:numPr>
        <w:ind w:left="851" w:hanging="851"/>
        <w:rPr>
          <w:rFonts w:cs="Times New Roman"/>
          <w:szCs w:val="24"/>
        </w:rPr>
      </w:pPr>
      <w:r w:rsidRPr="00F12957">
        <w:rPr>
          <w:rFonts w:cs="Times New Roman"/>
          <w:b/>
          <w:i/>
          <w:szCs w:val="24"/>
        </w:rPr>
        <w:t>Lack of legislative certainty with respect to B-BBEE legislation</w:t>
      </w:r>
      <w:r w:rsidRPr="00F12957">
        <w:rPr>
          <w:rFonts w:cs="Times New Roman"/>
          <w:szCs w:val="24"/>
        </w:rPr>
        <w:t>: The Committee raised concerns around the ineffectiveness of provisions within the B-BBEE legislative framework. According to the Committee</w:t>
      </w:r>
      <w:r w:rsidR="00346FF1">
        <w:rPr>
          <w:rFonts w:cs="Times New Roman"/>
          <w:szCs w:val="24"/>
        </w:rPr>
        <w:t>,</w:t>
      </w:r>
      <w:r w:rsidRPr="00F12957">
        <w:rPr>
          <w:rFonts w:cs="Times New Roman"/>
          <w:szCs w:val="24"/>
        </w:rPr>
        <w:t xml:space="preserve"> it would appear that current legislation does not provide the Commission with effective provisions to address non-compliance. The B-BBEE Commission concurs with the Committee in that the Act only address</w:t>
      </w:r>
      <w:r w:rsidR="00346FF1">
        <w:rPr>
          <w:rFonts w:cs="Times New Roman"/>
          <w:szCs w:val="24"/>
        </w:rPr>
        <w:t>es</w:t>
      </w:r>
      <w:r w:rsidRPr="00F12957">
        <w:rPr>
          <w:rFonts w:cs="Times New Roman"/>
          <w:szCs w:val="24"/>
        </w:rPr>
        <w:t xml:space="preserve"> criminal offences, that once investigated by the </w:t>
      </w:r>
      <w:r w:rsidR="00346FF1">
        <w:rPr>
          <w:rFonts w:cs="Times New Roman"/>
          <w:szCs w:val="24"/>
        </w:rPr>
        <w:t>Commission</w:t>
      </w:r>
      <w:r w:rsidRPr="00F12957">
        <w:rPr>
          <w:rFonts w:cs="Times New Roman"/>
          <w:szCs w:val="24"/>
        </w:rPr>
        <w:t xml:space="preserve"> and evidence of misconduct is found, the matter should be referred to the South African Police Services (SAPS). The current Act excludes administrative provisions that would brand fronting practices and misrepresentation as criminal. The Committee is of the view that</w:t>
      </w:r>
      <w:r w:rsidR="00346FF1">
        <w:rPr>
          <w:rFonts w:cs="Times New Roman"/>
          <w:szCs w:val="24"/>
        </w:rPr>
        <w:t xml:space="preserve"> the</w:t>
      </w:r>
      <w:r w:rsidRPr="00F12957">
        <w:rPr>
          <w:rFonts w:cs="Times New Roman"/>
          <w:szCs w:val="24"/>
        </w:rPr>
        <w:t xml:space="preserve"> Act should include fronting practices and misrepresentation as criminal offences in line with the Competition Act, </w:t>
      </w:r>
      <w:r w:rsidR="00346FF1">
        <w:rPr>
          <w:rFonts w:cs="Times New Roman"/>
          <w:szCs w:val="24"/>
        </w:rPr>
        <w:t xml:space="preserve">the </w:t>
      </w:r>
      <w:r w:rsidRPr="00F12957">
        <w:rPr>
          <w:rFonts w:cs="Times New Roman"/>
          <w:szCs w:val="24"/>
        </w:rPr>
        <w:t xml:space="preserve">Consumer Protection Act, </w:t>
      </w:r>
      <w:r w:rsidR="00346FF1">
        <w:rPr>
          <w:rFonts w:cs="Times New Roman"/>
          <w:szCs w:val="24"/>
        </w:rPr>
        <w:t xml:space="preserve">the </w:t>
      </w:r>
      <w:r w:rsidRPr="00F12957">
        <w:rPr>
          <w:rFonts w:cs="Times New Roman"/>
          <w:szCs w:val="24"/>
        </w:rPr>
        <w:t>National Credit Act and</w:t>
      </w:r>
      <w:r w:rsidR="00346FF1">
        <w:rPr>
          <w:rFonts w:cs="Times New Roman"/>
          <w:szCs w:val="24"/>
        </w:rPr>
        <w:t xml:space="preserve"> the</w:t>
      </w:r>
      <w:r w:rsidRPr="00F12957">
        <w:rPr>
          <w:rFonts w:cs="Times New Roman"/>
          <w:szCs w:val="24"/>
        </w:rPr>
        <w:t xml:space="preserve"> Companies Act, which were amended between 2005 and 2010 specifically to include administrative processes to complement criminal procedure. The Committee was further of the view that a review of the Act should </w:t>
      </w:r>
      <w:r w:rsidRPr="00F12957">
        <w:rPr>
          <w:rFonts w:cs="Times New Roman"/>
          <w:szCs w:val="24"/>
        </w:rPr>
        <w:lastRenderedPageBreak/>
        <w:t xml:space="preserve">include provisions that would permit the Commission to search and raid entities under investigation. </w:t>
      </w:r>
    </w:p>
    <w:p w14:paraId="7426AD25" w14:textId="77777777" w:rsidR="00F12957" w:rsidRPr="00F12957" w:rsidRDefault="00F12957" w:rsidP="00F12957">
      <w:pPr>
        <w:pStyle w:val="ListParagraph"/>
        <w:ind w:left="851"/>
        <w:rPr>
          <w:rFonts w:cs="Times New Roman"/>
          <w:b/>
          <w:i/>
          <w:szCs w:val="24"/>
        </w:rPr>
      </w:pPr>
    </w:p>
    <w:p w14:paraId="0ACD6027" w14:textId="1C44EC35" w:rsidR="00F12957" w:rsidRDefault="00F12957" w:rsidP="00F12957">
      <w:pPr>
        <w:pStyle w:val="ListParagraph"/>
        <w:numPr>
          <w:ilvl w:val="3"/>
          <w:numId w:val="6"/>
        </w:numPr>
        <w:ind w:left="851" w:hanging="851"/>
        <w:rPr>
          <w:rFonts w:cs="Times New Roman"/>
          <w:szCs w:val="24"/>
        </w:rPr>
      </w:pPr>
      <w:r w:rsidRPr="00F12957">
        <w:rPr>
          <w:rFonts w:cs="Times New Roman"/>
          <w:b/>
          <w:i/>
          <w:szCs w:val="24"/>
        </w:rPr>
        <w:t>The absence of a specialised tribunal to deal effectively with B-BBEE matters</w:t>
      </w:r>
      <w:r w:rsidRPr="00F12957">
        <w:rPr>
          <w:rFonts w:cs="Times New Roman"/>
          <w:szCs w:val="24"/>
        </w:rPr>
        <w:t xml:space="preserve">: The Committee was concerned that the current Act does not make provision for a speedy resolution of </w:t>
      </w:r>
      <w:r w:rsidR="00346FF1" w:rsidRPr="00F12957">
        <w:rPr>
          <w:rFonts w:cs="Times New Roman"/>
          <w:szCs w:val="24"/>
        </w:rPr>
        <w:t xml:space="preserve">cases </w:t>
      </w:r>
      <w:r w:rsidR="00346FF1">
        <w:rPr>
          <w:rFonts w:cs="Times New Roman"/>
          <w:szCs w:val="24"/>
        </w:rPr>
        <w:t xml:space="preserve">of </w:t>
      </w:r>
      <w:r w:rsidRPr="00F12957">
        <w:rPr>
          <w:rFonts w:cs="Times New Roman"/>
          <w:szCs w:val="24"/>
        </w:rPr>
        <w:t xml:space="preserve">abusive and fronting practices through a specialised tribunal. The Commission informed the Committee that currently all cases were referred to the courts which proved to be lengthy and costly. They further informed the Committee that the effective parties only have recourse through civil action against persons and companies found guilty. The Commission was of the view that provisions could be considered for the establishment of such a special tribunal with the power to issue consent orders. This could include financial compensation after a specialised tribunal found a company had engaged in prohibitive practices. </w:t>
      </w:r>
      <w:r w:rsidR="00346FF1">
        <w:rPr>
          <w:rFonts w:cs="Times New Roman"/>
          <w:szCs w:val="24"/>
        </w:rPr>
        <w:t xml:space="preserve">However, </w:t>
      </w:r>
      <w:r w:rsidR="00346FF1" w:rsidRPr="00F12957">
        <w:rPr>
          <w:rFonts w:cs="Times New Roman"/>
          <w:szCs w:val="24"/>
        </w:rPr>
        <w:t xml:space="preserve">the </w:t>
      </w:r>
      <w:r w:rsidRPr="00F12957">
        <w:rPr>
          <w:rFonts w:cs="Times New Roman"/>
          <w:szCs w:val="24"/>
        </w:rPr>
        <w:t>Commission was of the view that the Companies Tribunal should hear B-BBEE matters</w:t>
      </w:r>
      <w:r w:rsidR="00346FF1">
        <w:rPr>
          <w:rFonts w:cs="Times New Roman"/>
          <w:szCs w:val="24"/>
        </w:rPr>
        <w:t>,</w:t>
      </w:r>
      <w:r w:rsidRPr="00F12957">
        <w:rPr>
          <w:rFonts w:cs="Times New Roman"/>
          <w:szCs w:val="24"/>
        </w:rPr>
        <w:t xml:space="preserve"> which would eliminate the need for the</w:t>
      </w:r>
      <w:r>
        <w:rPr>
          <w:rFonts w:cs="Times New Roman"/>
          <w:szCs w:val="24"/>
        </w:rPr>
        <w:t xml:space="preserve"> establishment</w:t>
      </w:r>
      <w:r w:rsidRPr="00F12957">
        <w:rPr>
          <w:rFonts w:cs="Times New Roman"/>
          <w:szCs w:val="24"/>
        </w:rPr>
        <w:t xml:space="preserve"> of a</w:t>
      </w:r>
      <w:r w:rsidR="00346FF1">
        <w:rPr>
          <w:rFonts w:cs="Times New Roman"/>
          <w:szCs w:val="24"/>
        </w:rPr>
        <w:t>nother</w:t>
      </w:r>
      <w:r w:rsidRPr="00F12957">
        <w:rPr>
          <w:rFonts w:cs="Times New Roman"/>
          <w:szCs w:val="24"/>
        </w:rPr>
        <w:t xml:space="preserve"> special tribunal.</w:t>
      </w:r>
    </w:p>
    <w:p w14:paraId="03EE6774" w14:textId="77777777" w:rsidR="00F12957" w:rsidRPr="00F12957" w:rsidRDefault="00F12957" w:rsidP="00F12957">
      <w:pPr>
        <w:rPr>
          <w:rFonts w:cs="Times New Roman"/>
          <w:szCs w:val="24"/>
        </w:rPr>
      </w:pPr>
    </w:p>
    <w:p w14:paraId="6C0371DA" w14:textId="77777777" w:rsidR="00F12957" w:rsidRDefault="00F12957" w:rsidP="00F12957">
      <w:pPr>
        <w:pStyle w:val="ListParagraph"/>
        <w:numPr>
          <w:ilvl w:val="3"/>
          <w:numId w:val="6"/>
        </w:numPr>
        <w:ind w:left="851" w:hanging="851"/>
        <w:rPr>
          <w:rFonts w:cs="Times New Roman"/>
          <w:szCs w:val="24"/>
        </w:rPr>
      </w:pPr>
      <w:r w:rsidRPr="00F12957">
        <w:rPr>
          <w:rFonts w:cs="Times New Roman"/>
          <w:b/>
          <w:i/>
          <w:szCs w:val="24"/>
        </w:rPr>
        <w:t>The ineffectiveness of the Act to hold state organs and public entities accountable for non-compliance</w:t>
      </w:r>
      <w:r w:rsidRPr="00F12957">
        <w:rPr>
          <w:rFonts w:cs="Times New Roman"/>
          <w:szCs w:val="24"/>
        </w:rPr>
        <w:t xml:space="preserve">: </w:t>
      </w:r>
      <w:r>
        <w:rPr>
          <w:rFonts w:cs="Times New Roman"/>
          <w:szCs w:val="24"/>
        </w:rPr>
        <w:t>The Committee raised</w:t>
      </w:r>
      <w:r w:rsidRPr="00F12957">
        <w:rPr>
          <w:rFonts w:cs="Times New Roman"/>
          <w:szCs w:val="24"/>
        </w:rPr>
        <w:t xml:space="preserve"> concerns around the high level of non-compliance of state organs and public entities with respect to the Act. According to the Commission</w:t>
      </w:r>
      <w:r>
        <w:rPr>
          <w:rFonts w:cs="Times New Roman"/>
          <w:szCs w:val="24"/>
        </w:rPr>
        <w:t>,</w:t>
      </w:r>
      <w:r w:rsidRPr="00F12957">
        <w:rPr>
          <w:rFonts w:cs="Times New Roman"/>
          <w:szCs w:val="24"/>
        </w:rPr>
        <w:t xml:space="preserve"> the current Act does not have any effective mechanisms that would make it an obligation for state organs and public entities to comply. The lack of</w:t>
      </w:r>
      <w:r>
        <w:rPr>
          <w:rFonts w:cs="Times New Roman"/>
          <w:szCs w:val="24"/>
        </w:rPr>
        <w:t xml:space="preserve"> enforcement mechanisms </w:t>
      </w:r>
      <w:r w:rsidR="0096705B">
        <w:rPr>
          <w:rFonts w:cs="Times New Roman"/>
          <w:szCs w:val="24"/>
        </w:rPr>
        <w:t>renders</w:t>
      </w:r>
      <w:r w:rsidRPr="00F12957">
        <w:rPr>
          <w:rFonts w:cs="Times New Roman"/>
          <w:szCs w:val="24"/>
        </w:rPr>
        <w:t xml:space="preserve"> the Commission ineffective in dealing with state organs and public entities. </w:t>
      </w:r>
      <w:r>
        <w:rPr>
          <w:rFonts w:cs="Times New Roman"/>
          <w:szCs w:val="24"/>
        </w:rPr>
        <w:t xml:space="preserve">This may </w:t>
      </w:r>
      <w:r w:rsidRPr="00F12957">
        <w:rPr>
          <w:rFonts w:cs="Times New Roman"/>
          <w:szCs w:val="24"/>
        </w:rPr>
        <w:t>compromise Government’s drive to ensure compliance within the private sector, and further undermine the principles of the B-BBEE legislation.</w:t>
      </w:r>
    </w:p>
    <w:p w14:paraId="5B33B88C" w14:textId="77777777" w:rsidR="00F12957" w:rsidRPr="00F12957" w:rsidRDefault="00F12957" w:rsidP="00F12957">
      <w:pPr>
        <w:rPr>
          <w:rFonts w:cs="Times New Roman"/>
          <w:szCs w:val="24"/>
        </w:rPr>
      </w:pPr>
    </w:p>
    <w:p w14:paraId="6A3BB28A" w14:textId="18F2E77D" w:rsidR="00F12957" w:rsidRDefault="00F12957" w:rsidP="00F12957">
      <w:pPr>
        <w:pStyle w:val="ListParagraph"/>
        <w:numPr>
          <w:ilvl w:val="3"/>
          <w:numId w:val="6"/>
        </w:numPr>
        <w:ind w:left="851" w:hanging="851"/>
        <w:rPr>
          <w:rFonts w:cs="Times New Roman"/>
          <w:szCs w:val="24"/>
        </w:rPr>
      </w:pPr>
      <w:r w:rsidRPr="00F12957">
        <w:rPr>
          <w:rFonts w:cs="Times New Roman"/>
          <w:b/>
          <w:i/>
          <w:szCs w:val="24"/>
        </w:rPr>
        <w:t>The need for an integrated approach in dealing with non-compliance</w:t>
      </w:r>
      <w:r w:rsidRPr="00F12957">
        <w:rPr>
          <w:rFonts w:cs="Times New Roman"/>
          <w:szCs w:val="24"/>
        </w:rPr>
        <w:t xml:space="preserve">: The Committee highlighted the need for an integrated approach when dealing with non-compliance with the provisions of the B-BBEE Act. The Commission informed the Committee </w:t>
      </w:r>
      <w:r w:rsidR="00346FF1">
        <w:rPr>
          <w:rFonts w:cs="Times New Roman"/>
          <w:szCs w:val="24"/>
        </w:rPr>
        <w:t>that it had recently concluded</w:t>
      </w:r>
      <w:r w:rsidRPr="00F12957">
        <w:rPr>
          <w:rFonts w:cs="Times New Roman"/>
          <w:szCs w:val="24"/>
        </w:rPr>
        <w:t xml:space="preserve"> Memorandum</w:t>
      </w:r>
      <w:r w:rsidR="00346FF1">
        <w:rPr>
          <w:rFonts w:cs="Times New Roman"/>
          <w:szCs w:val="24"/>
        </w:rPr>
        <w:t>s</w:t>
      </w:r>
      <w:r w:rsidRPr="00F12957">
        <w:rPr>
          <w:rFonts w:cs="Times New Roman"/>
          <w:szCs w:val="24"/>
        </w:rPr>
        <w:t xml:space="preserve"> of Understanding (MOU) with </w:t>
      </w:r>
      <w:r w:rsidR="00346FF1">
        <w:rPr>
          <w:rFonts w:cs="Times New Roman"/>
          <w:szCs w:val="24"/>
        </w:rPr>
        <w:t xml:space="preserve">the </w:t>
      </w:r>
      <w:r w:rsidRPr="00F12957">
        <w:rPr>
          <w:rFonts w:cs="Times New Roman"/>
          <w:szCs w:val="24"/>
        </w:rPr>
        <w:t xml:space="preserve">Competition Commission, the </w:t>
      </w:r>
      <w:r w:rsidR="00BE4223">
        <w:rPr>
          <w:rFonts w:cs="Times New Roman"/>
          <w:szCs w:val="24"/>
        </w:rPr>
        <w:t>CIPC</w:t>
      </w:r>
      <w:r w:rsidRPr="00F12957">
        <w:rPr>
          <w:rFonts w:cs="Times New Roman"/>
          <w:szCs w:val="24"/>
        </w:rPr>
        <w:t xml:space="preserve">, the Commission for Employment Equity, the </w:t>
      </w:r>
      <w:r w:rsidR="00BE4223">
        <w:rPr>
          <w:rFonts w:cs="Times New Roman"/>
          <w:szCs w:val="24"/>
        </w:rPr>
        <w:t>NGB</w:t>
      </w:r>
      <w:r w:rsidRPr="00F12957">
        <w:rPr>
          <w:rFonts w:cs="Times New Roman"/>
          <w:szCs w:val="24"/>
        </w:rPr>
        <w:t>, and the SANAS in dealing with B-BBEE violations. Currently, MOUs with the National Prosecuting Authority (NPA) and th</w:t>
      </w:r>
      <w:r w:rsidR="00BE4223">
        <w:rPr>
          <w:rFonts w:cs="Times New Roman"/>
          <w:szCs w:val="24"/>
        </w:rPr>
        <w:t>e South African Revenue Service</w:t>
      </w:r>
      <w:r w:rsidR="0096705B">
        <w:rPr>
          <w:rFonts w:cs="Times New Roman"/>
          <w:szCs w:val="24"/>
        </w:rPr>
        <w:t xml:space="preserve"> (SARS)</w:t>
      </w:r>
      <w:r w:rsidRPr="00F12957">
        <w:rPr>
          <w:rFonts w:cs="Times New Roman"/>
          <w:szCs w:val="24"/>
        </w:rPr>
        <w:t xml:space="preserve">, had been finalised but </w:t>
      </w:r>
      <w:r w:rsidR="00BE4223">
        <w:rPr>
          <w:rFonts w:cs="Times New Roman"/>
          <w:szCs w:val="24"/>
        </w:rPr>
        <w:t xml:space="preserve">were </w:t>
      </w:r>
      <w:r w:rsidRPr="00F12957">
        <w:rPr>
          <w:rFonts w:cs="Times New Roman"/>
          <w:szCs w:val="24"/>
        </w:rPr>
        <w:t xml:space="preserve">awaiting signature, with </w:t>
      </w:r>
      <w:r w:rsidRPr="00F12957">
        <w:rPr>
          <w:rFonts w:cs="Times New Roman"/>
          <w:szCs w:val="24"/>
        </w:rPr>
        <w:lastRenderedPageBreak/>
        <w:t xml:space="preserve">negotiations with the </w:t>
      </w:r>
      <w:r w:rsidR="0096705B">
        <w:rPr>
          <w:rFonts w:cs="Times New Roman"/>
          <w:szCs w:val="24"/>
        </w:rPr>
        <w:t>SAPS</w:t>
      </w:r>
      <w:r w:rsidR="00BE4223">
        <w:rPr>
          <w:rFonts w:cs="Times New Roman"/>
          <w:szCs w:val="24"/>
        </w:rPr>
        <w:t xml:space="preserve"> yet</w:t>
      </w:r>
      <w:r w:rsidRPr="00F12957">
        <w:rPr>
          <w:rFonts w:cs="Times New Roman"/>
          <w:szCs w:val="24"/>
        </w:rPr>
        <w:t xml:space="preserve"> to commence. The Committee we</w:t>
      </w:r>
      <w:r w:rsidR="00BE4223">
        <w:rPr>
          <w:rFonts w:cs="Times New Roman"/>
          <w:szCs w:val="24"/>
        </w:rPr>
        <w:t>lcomed the approach</w:t>
      </w:r>
      <w:r w:rsidRPr="00F12957">
        <w:rPr>
          <w:rFonts w:cs="Times New Roman"/>
          <w:szCs w:val="24"/>
        </w:rPr>
        <w:t xml:space="preserve"> </w:t>
      </w:r>
      <w:r w:rsidR="00BE4223">
        <w:rPr>
          <w:rFonts w:cs="Times New Roman"/>
          <w:szCs w:val="24"/>
        </w:rPr>
        <w:t>taken to deal</w:t>
      </w:r>
      <w:r w:rsidRPr="00F12957">
        <w:rPr>
          <w:rFonts w:cs="Times New Roman"/>
          <w:szCs w:val="24"/>
        </w:rPr>
        <w:t xml:space="preserve"> with non-compliance.</w:t>
      </w:r>
    </w:p>
    <w:p w14:paraId="0F3D569D" w14:textId="77777777" w:rsidR="00F12957" w:rsidRPr="00F12957" w:rsidRDefault="00F12957" w:rsidP="00F12957">
      <w:pPr>
        <w:rPr>
          <w:rFonts w:cs="Times New Roman"/>
          <w:szCs w:val="24"/>
        </w:rPr>
      </w:pPr>
    </w:p>
    <w:p w14:paraId="3F308FE4" w14:textId="4500BDAF" w:rsidR="00F12957" w:rsidRDefault="00F12957" w:rsidP="00F12957">
      <w:pPr>
        <w:pStyle w:val="ListParagraph"/>
        <w:numPr>
          <w:ilvl w:val="3"/>
          <w:numId w:val="6"/>
        </w:numPr>
        <w:ind w:left="851" w:hanging="851"/>
        <w:rPr>
          <w:rFonts w:cs="Times New Roman"/>
          <w:szCs w:val="24"/>
        </w:rPr>
      </w:pPr>
      <w:r w:rsidRPr="00F12957">
        <w:rPr>
          <w:rFonts w:cs="Times New Roman"/>
          <w:b/>
          <w:i/>
          <w:szCs w:val="24"/>
        </w:rPr>
        <w:t>The need for the development of a new IT system</w:t>
      </w:r>
      <w:r w:rsidRPr="00F12957">
        <w:rPr>
          <w:rFonts w:cs="Times New Roman"/>
          <w:szCs w:val="24"/>
        </w:rPr>
        <w:t>: The Committee expressed its concern with regard to the development of a new IT system. The Commissioner informed the Committee that where poss</w:t>
      </w:r>
      <w:r w:rsidR="00BE4223">
        <w:rPr>
          <w:rFonts w:cs="Times New Roman"/>
          <w:szCs w:val="24"/>
        </w:rPr>
        <w:t>ible it uses IT systems such as</w:t>
      </w:r>
      <w:r w:rsidRPr="00F12957">
        <w:rPr>
          <w:rFonts w:cs="Times New Roman"/>
          <w:szCs w:val="24"/>
        </w:rPr>
        <w:t xml:space="preserve"> Human Resource and financial systems available within government. T</w:t>
      </w:r>
      <w:r w:rsidR="00BE4223">
        <w:rPr>
          <w:rFonts w:cs="Times New Roman"/>
          <w:szCs w:val="24"/>
        </w:rPr>
        <w:t xml:space="preserve">he Commission did not need to </w:t>
      </w:r>
      <w:r w:rsidRPr="00F12957">
        <w:rPr>
          <w:rFonts w:cs="Times New Roman"/>
          <w:szCs w:val="24"/>
        </w:rPr>
        <w:t>develop systems where information would be held by other Government agencies such as the CIPC, Departments of Home Affairs and of Labour. However, the Commissioner informed the Committee that, because of new processes which should be automated to increase the efficiencies</w:t>
      </w:r>
      <w:r w:rsidR="00BE4223">
        <w:rPr>
          <w:rFonts w:cs="Times New Roman"/>
          <w:szCs w:val="24"/>
        </w:rPr>
        <w:t xml:space="preserve"> of the Commission,</w:t>
      </w:r>
      <w:r w:rsidRPr="00F12957">
        <w:rPr>
          <w:rFonts w:cs="Times New Roman"/>
          <w:szCs w:val="24"/>
        </w:rPr>
        <w:t xml:space="preserve"> a new IT infrastructure had to be developed that would enable these functionalities. The Commissioner informed the Committee that New Zealand </w:t>
      </w:r>
      <w:r w:rsidR="00BE4223">
        <w:rPr>
          <w:rFonts w:cs="Times New Roman"/>
          <w:szCs w:val="24"/>
        </w:rPr>
        <w:t xml:space="preserve">had </w:t>
      </w:r>
      <w:r w:rsidRPr="00F12957">
        <w:rPr>
          <w:rFonts w:cs="Times New Roman"/>
          <w:szCs w:val="24"/>
        </w:rPr>
        <w:t>developed a single platform, e-commerce, where all IT systems of government link to this to avoid duplication.</w:t>
      </w:r>
    </w:p>
    <w:p w14:paraId="450CE2E9" w14:textId="77777777" w:rsidR="00F12957" w:rsidRPr="00F12957" w:rsidRDefault="00F12957" w:rsidP="00F12957">
      <w:pPr>
        <w:rPr>
          <w:rFonts w:cs="Times New Roman"/>
          <w:szCs w:val="24"/>
        </w:rPr>
      </w:pPr>
    </w:p>
    <w:p w14:paraId="1A69F09E" w14:textId="6EE2144E" w:rsidR="00F12957" w:rsidRDefault="00F12957" w:rsidP="00F12957">
      <w:pPr>
        <w:pStyle w:val="ListParagraph"/>
        <w:numPr>
          <w:ilvl w:val="3"/>
          <w:numId w:val="6"/>
        </w:numPr>
        <w:ind w:left="851" w:hanging="851"/>
        <w:rPr>
          <w:rFonts w:cs="Times New Roman"/>
          <w:szCs w:val="24"/>
        </w:rPr>
      </w:pPr>
      <w:r w:rsidRPr="00F12957">
        <w:rPr>
          <w:rFonts w:cs="Times New Roman"/>
          <w:b/>
          <w:i/>
          <w:szCs w:val="24"/>
        </w:rPr>
        <w:t>Human resource constraints that compromises the effectiveness of the B-BBEE Commission</w:t>
      </w:r>
      <w:r w:rsidRPr="00F12957">
        <w:rPr>
          <w:rFonts w:cs="Times New Roman"/>
          <w:szCs w:val="24"/>
        </w:rPr>
        <w:t xml:space="preserve">: The Committee raised concerns around the ability of the B-BBEE Commission to effectively fulfil its mandate given </w:t>
      </w:r>
      <w:r w:rsidR="00BE4223">
        <w:rPr>
          <w:rFonts w:cs="Times New Roman"/>
          <w:szCs w:val="24"/>
        </w:rPr>
        <w:t>its</w:t>
      </w:r>
      <w:r w:rsidRPr="00F12957">
        <w:rPr>
          <w:rFonts w:cs="Times New Roman"/>
          <w:szCs w:val="24"/>
        </w:rPr>
        <w:t xml:space="preserve"> current human resource const</w:t>
      </w:r>
      <w:r w:rsidR="00BE4223">
        <w:rPr>
          <w:rFonts w:cs="Times New Roman"/>
          <w:szCs w:val="24"/>
        </w:rPr>
        <w:t>raints. The Commissioner concurred</w:t>
      </w:r>
      <w:r w:rsidRPr="00F12957">
        <w:rPr>
          <w:rFonts w:cs="Times New Roman"/>
          <w:szCs w:val="24"/>
        </w:rPr>
        <w:t xml:space="preserve"> that more investigators, analyst</w:t>
      </w:r>
      <w:r w:rsidR="00BE4223">
        <w:rPr>
          <w:rFonts w:cs="Times New Roman"/>
          <w:szCs w:val="24"/>
        </w:rPr>
        <w:t>s</w:t>
      </w:r>
      <w:r w:rsidRPr="00F12957">
        <w:rPr>
          <w:rFonts w:cs="Times New Roman"/>
          <w:szCs w:val="24"/>
        </w:rPr>
        <w:t xml:space="preserve"> and assessors should be appointed and informed </w:t>
      </w:r>
      <w:r w:rsidR="00BE4223">
        <w:rPr>
          <w:rFonts w:cs="Times New Roman"/>
          <w:szCs w:val="24"/>
        </w:rPr>
        <w:t>the Committee that the Commission had a staff comple</w:t>
      </w:r>
      <w:r w:rsidRPr="00F12957">
        <w:rPr>
          <w:rFonts w:cs="Times New Roman"/>
          <w:szCs w:val="24"/>
        </w:rPr>
        <w:t xml:space="preserve">ment of 14 </w:t>
      </w:r>
      <w:r w:rsidR="00BE4223">
        <w:rPr>
          <w:rFonts w:cs="Times New Roman"/>
          <w:szCs w:val="24"/>
        </w:rPr>
        <w:t xml:space="preserve">people </w:t>
      </w:r>
      <w:r w:rsidRPr="00F12957">
        <w:rPr>
          <w:rFonts w:cs="Times New Roman"/>
          <w:szCs w:val="24"/>
        </w:rPr>
        <w:t xml:space="preserve">out of </w:t>
      </w:r>
      <w:r w:rsidR="00BE4223">
        <w:rPr>
          <w:rFonts w:cs="Times New Roman"/>
          <w:szCs w:val="24"/>
        </w:rPr>
        <w:t>a projected staff complement of 113 people. The Commission</w:t>
      </w:r>
      <w:r w:rsidRPr="00F12957">
        <w:rPr>
          <w:rFonts w:cs="Times New Roman"/>
          <w:szCs w:val="24"/>
        </w:rPr>
        <w:t xml:space="preserve"> had not yet been allocated a budget that</w:t>
      </w:r>
      <w:r w:rsidR="00BE4223">
        <w:rPr>
          <w:rFonts w:cs="Times New Roman"/>
          <w:szCs w:val="24"/>
        </w:rPr>
        <w:t xml:space="preserve"> could </w:t>
      </w:r>
      <w:r w:rsidRPr="00F12957">
        <w:rPr>
          <w:rFonts w:cs="Times New Roman"/>
          <w:szCs w:val="24"/>
        </w:rPr>
        <w:t xml:space="preserve">implement its Strategic Plan and Annual Performance Plan, which severely compromises the ability of the Commission to fulfil its mandate. </w:t>
      </w:r>
    </w:p>
    <w:p w14:paraId="6D40AD6B" w14:textId="77777777" w:rsidR="00F12957" w:rsidRPr="00F12957" w:rsidRDefault="00F12957" w:rsidP="00F12957">
      <w:pPr>
        <w:rPr>
          <w:rFonts w:cs="Times New Roman"/>
          <w:szCs w:val="24"/>
        </w:rPr>
      </w:pPr>
    </w:p>
    <w:p w14:paraId="6549E1C6" w14:textId="398A00A8" w:rsidR="00F12957" w:rsidRDefault="00F12957" w:rsidP="00F12957">
      <w:pPr>
        <w:pStyle w:val="ListParagraph"/>
        <w:numPr>
          <w:ilvl w:val="3"/>
          <w:numId w:val="6"/>
        </w:numPr>
        <w:ind w:left="851" w:hanging="851"/>
        <w:rPr>
          <w:rFonts w:cs="Times New Roman"/>
          <w:szCs w:val="24"/>
        </w:rPr>
      </w:pPr>
      <w:r w:rsidRPr="00F12957">
        <w:rPr>
          <w:rFonts w:cs="Times New Roman"/>
          <w:b/>
          <w:i/>
          <w:szCs w:val="24"/>
        </w:rPr>
        <w:t>Referral of complaints of non-compliance with B-BBEE legislation</w:t>
      </w:r>
      <w:r w:rsidRPr="00F12957">
        <w:rPr>
          <w:rFonts w:cs="Times New Roman"/>
          <w:szCs w:val="24"/>
        </w:rPr>
        <w:t>: The Committee welcomed the complaint lodge</w:t>
      </w:r>
      <w:r w:rsidR="00BE4223">
        <w:rPr>
          <w:rFonts w:cs="Times New Roman"/>
          <w:szCs w:val="24"/>
        </w:rPr>
        <w:t>d by one of its Member</w:t>
      </w:r>
      <w:r w:rsidRPr="00F12957">
        <w:rPr>
          <w:rFonts w:cs="Times New Roman"/>
          <w:szCs w:val="24"/>
        </w:rPr>
        <w:t xml:space="preserve">s regarding Trillion’s deal with Eskom. The complaint alleged that Trillion misrepresented its B-BBEE status by classifying itself as an exempted micro-enterprise. The Commissioner informed the Committee that it welcomed such information and had initiated an investigation into the matter and would report to the Committee once the investigation </w:t>
      </w:r>
      <w:r w:rsidR="00BE4223">
        <w:rPr>
          <w:rFonts w:cs="Times New Roman"/>
          <w:szCs w:val="24"/>
        </w:rPr>
        <w:t>was</w:t>
      </w:r>
      <w:r w:rsidRPr="00F12957">
        <w:rPr>
          <w:rFonts w:cs="Times New Roman"/>
          <w:szCs w:val="24"/>
        </w:rPr>
        <w:t xml:space="preserve"> concluded.</w:t>
      </w:r>
    </w:p>
    <w:p w14:paraId="5E67452A" w14:textId="77777777" w:rsidR="00F12957" w:rsidRPr="00F12957" w:rsidRDefault="00F12957" w:rsidP="00F12957">
      <w:pPr>
        <w:rPr>
          <w:rFonts w:cs="Times New Roman"/>
          <w:szCs w:val="24"/>
        </w:rPr>
      </w:pPr>
    </w:p>
    <w:p w14:paraId="3AD54D1A" w14:textId="77777777" w:rsidR="00F12957" w:rsidRPr="00F12957" w:rsidRDefault="00F12957" w:rsidP="00F12957">
      <w:pPr>
        <w:pStyle w:val="ListParagraph"/>
        <w:numPr>
          <w:ilvl w:val="3"/>
          <w:numId w:val="6"/>
        </w:numPr>
        <w:ind w:left="851" w:hanging="851"/>
        <w:rPr>
          <w:rFonts w:cs="Times New Roman"/>
          <w:szCs w:val="24"/>
        </w:rPr>
      </w:pPr>
      <w:r w:rsidRPr="00F12957">
        <w:rPr>
          <w:rFonts w:cs="Times New Roman"/>
          <w:b/>
          <w:i/>
          <w:szCs w:val="24"/>
        </w:rPr>
        <w:lastRenderedPageBreak/>
        <w:t>The number of cases that led to prosecution under B-BBEE legislation</w:t>
      </w:r>
      <w:r w:rsidRPr="00F12957">
        <w:rPr>
          <w:rFonts w:cs="Times New Roman"/>
          <w:szCs w:val="24"/>
        </w:rPr>
        <w:t>: The Committee enquired to the number of cases or individuals that had been prosecuted under the B-BBEE legislation. The Commissioner informed the Committee that it is not in a position to provide such</w:t>
      </w:r>
      <w:r w:rsidR="00884A11">
        <w:rPr>
          <w:rFonts w:cs="Times New Roman"/>
          <w:szCs w:val="24"/>
        </w:rPr>
        <w:t xml:space="preserve"> information as it is constrained by provisions in the</w:t>
      </w:r>
      <w:r w:rsidRPr="00F12957">
        <w:rPr>
          <w:rFonts w:cs="Times New Roman"/>
          <w:szCs w:val="24"/>
        </w:rPr>
        <w:t xml:space="preserve"> B-BBEE legislation. </w:t>
      </w:r>
    </w:p>
    <w:p w14:paraId="23FBA70E" w14:textId="77777777" w:rsidR="000977B0" w:rsidRPr="00052A2F" w:rsidRDefault="000977B0" w:rsidP="0062246E">
      <w:pPr>
        <w:pStyle w:val="ListParagraph"/>
        <w:ind w:left="0"/>
        <w:rPr>
          <w:rFonts w:eastAsia="Times New Roman" w:cs="Times New Roman"/>
          <w:szCs w:val="24"/>
        </w:rPr>
      </w:pPr>
    </w:p>
    <w:p w14:paraId="084477F1" w14:textId="77777777" w:rsidR="00911B2F" w:rsidRPr="00911B2F" w:rsidRDefault="00911B2F" w:rsidP="007D60EF">
      <w:pPr>
        <w:pStyle w:val="Heading2"/>
        <w:numPr>
          <w:ilvl w:val="1"/>
          <w:numId w:val="6"/>
        </w:numPr>
        <w:spacing w:before="0"/>
        <w:ind w:left="567" w:hanging="567"/>
        <w:rPr>
          <w:rFonts w:ascii="Times New Roman" w:hAnsi="Times New Roman" w:cs="Times New Roman"/>
          <w:b/>
          <w:color w:val="auto"/>
          <w:sz w:val="24"/>
          <w:szCs w:val="24"/>
          <w:lang w:eastAsia="en-ZA"/>
        </w:rPr>
      </w:pPr>
      <w:r w:rsidRPr="00911B2F">
        <w:rPr>
          <w:rFonts w:ascii="Times New Roman" w:hAnsi="Times New Roman" w:cs="Times New Roman"/>
          <w:b/>
          <w:color w:val="auto"/>
          <w:sz w:val="24"/>
          <w:szCs w:val="24"/>
          <w:lang w:eastAsia="en-ZA"/>
        </w:rPr>
        <w:t>National Metrology Institute of South Africa (NMISA)</w:t>
      </w:r>
    </w:p>
    <w:p w14:paraId="45BA0056" w14:textId="77777777" w:rsidR="00911B2F" w:rsidRPr="00052A2F" w:rsidRDefault="00911B2F" w:rsidP="0062246E">
      <w:pPr>
        <w:rPr>
          <w:rFonts w:cs="Times New Roman"/>
          <w:szCs w:val="24"/>
        </w:rPr>
      </w:pPr>
    </w:p>
    <w:p w14:paraId="0BABCE65" w14:textId="77777777" w:rsidR="00911B2F" w:rsidRPr="004D77AA" w:rsidRDefault="00911B2F" w:rsidP="0062246E">
      <w:pPr>
        <w:rPr>
          <w:rFonts w:cs="Times New Roman"/>
          <w:szCs w:val="24"/>
        </w:rPr>
      </w:pPr>
      <w:r w:rsidRPr="004D77AA">
        <w:rPr>
          <w:rFonts w:cs="Times New Roman"/>
          <w:szCs w:val="24"/>
        </w:rPr>
        <w:t xml:space="preserve">NMISA was established through the Measurement Units and Measurement Standards Act (No. 18 of 2006). NMISA is one of four technical infrastructure institutions in South Africa. The institution plays an underpinning role </w:t>
      </w:r>
      <w:r>
        <w:rPr>
          <w:rFonts w:cs="Times New Roman"/>
          <w:szCs w:val="24"/>
        </w:rPr>
        <w:t>for South Africa’s technical</w:t>
      </w:r>
      <w:r w:rsidRPr="004D77AA">
        <w:rPr>
          <w:rFonts w:cs="Times New Roman"/>
          <w:szCs w:val="24"/>
        </w:rPr>
        <w:t xml:space="preserve"> infrastructure as it is the custodian of metrology or measurement standards.  It maintains primary scientific standards of physical quantities, certifies reference materials and performs “referee analysis” in cases of measurement disputes to ensure accurate measurement in South Africa. It also provides internationally recognised measurement standards and measurement services, which provide for the local use of measurement and derived units of the International System of Units (SI). Therefore, it plays a critical role in maintaining the country’s ability to ensure that trade, industrial, and safety measurements, among others are accurate and comparable internationally.</w:t>
      </w:r>
    </w:p>
    <w:p w14:paraId="5919A26D" w14:textId="77777777" w:rsidR="00911B2F" w:rsidRPr="004D77AA" w:rsidRDefault="00911B2F" w:rsidP="0062246E">
      <w:pPr>
        <w:rPr>
          <w:rFonts w:cs="Times New Roman"/>
          <w:szCs w:val="24"/>
        </w:rPr>
      </w:pPr>
    </w:p>
    <w:p w14:paraId="4779101B" w14:textId="77777777" w:rsidR="00911B2F" w:rsidRPr="004D77AA" w:rsidRDefault="00911B2F" w:rsidP="0062246E">
      <w:pPr>
        <w:pStyle w:val="Default"/>
        <w:spacing w:line="360" w:lineRule="auto"/>
        <w:jc w:val="both"/>
        <w:rPr>
          <w:rFonts w:ascii="Times New Roman" w:hAnsi="Times New Roman" w:cs="Times New Roman"/>
          <w:bCs/>
          <w:color w:val="auto"/>
        </w:rPr>
      </w:pPr>
      <w:r w:rsidRPr="004D77AA">
        <w:rPr>
          <w:rFonts w:ascii="Times New Roman" w:hAnsi="Times New Roman" w:cs="Times New Roman"/>
          <w:bCs/>
          <w:color w:val="auto"/>
        </w:rPr>
        <w:t>NMISA provides the following products, namely</w:t>
      </w:r>
      <w:r>
        <w:rPr>
          <w:rFonts w:ascii="Times New Roman" w:hAnsi="Times New Roman" w:cs="Times New Roman"/>
          <w:bCs/>
          <w:color w:val="auto"/>
        </w:rPr>
        <w:t>;</w:t>
      </w:r>
      <w:r w:rsidRPr="004D77AA">
        <w:rPr>
          <w:rFonts w:ascii="Times New Roman" w:hAnsi="Times New Roman" w:cs="Times New Roman"/>
          <w:bCs/>
          <w:color w:val="auto"/>
        </w:rPr>
        <w:t xml:space="preserve"> national measurement standards, reference measurements, and certified reference materials; and services, namely calibrations, certification of reference materials, measurement, testing and analysis, and training.</w:t>
      </w:r>
    </w:p>
    <w:p w14:paraId="0A6BB3DA" w14:textId="77777777" w:rsidR="00911B2F" w:rsidRPr="004D77AA" w:rsidRDefault="00911B2F" w:rsidP="0062246E">
      <w:pPr>
        <w:rPr>
          <w:rFonts w:cs="Times New Roman"/>
          <w:szCs w:val="24"/>
        </w:rPr>
      </w:pPr>
    </w:p>
    <w:p w14:paraId="60DF7614" w14:textId="77777777" w:rsidR="00911B2F" w:rsidRPr="004D77AA" w:rsidRDefault="00911B2F" w:rsidP="007D60EF">
      <w:pPr>
        <w:pStyle w:val="ListParagraph"/>
        <w:numPr>
          <w:ilvl w:val="2"/>
          <w:numId w:val="6"/>
        </w:numPr>
        <w:ind w:left="709" w:hanging="709"/>
        <w:rPr>
          <w:rFonts w:cs="Times New Roman"/>
          <w:b/>
          <w:szCs w:val="24"/>
        </w:rPr>
      </w:pPr>
      <w:r w:rsidRPr="004D77AA">
        <w:rPr>
          <w:rFonts w:cs="Times New Roman"/>
          <w:b/>
          <w:szCs w:val="24"/>
        </w:rPr>
        <w:t xml:space="preserve">Strategic </w:t>
      </w:r>
      <w:r>
        <w:rPr>
          <w:rFonts w:cs="Times New Roman"/>
          <w:b/>
          <w:szCs w:val="24"/>
        </w:rPr>
        <w:t xml:space="preserve">Oriented </w:t>
      </w:r>
      <w:r w:rsidRPr="004D77AA">
        <w:rPr>
          <w:rFonts w:cs="Times New Roman"/>
          <w:b/>
          <w:szCs w:val="24"/>
        </w:rPr>
        <w:t xml:space="preserve">Goals </w:t>
      </w:r>
    </w:p>
    <w:p w14:paraId="77C1CCD5" w14:textId="77777777" w:rsidR="00911B2F" w:rsidRPr="004D77AA" w:rsidRDefault="00911B2F" w:rsidP="0062246E">
      <w:pPr>
        <w:pStyle w:val="Default"/>
        <w:spacing w:line="360" w:lineRule="auto"/>
        <w:jc w:val="both"/>
        <w:rPr>
          <w:rFonts w:ascii="Times New Roman" w:hAnsi="Times New Roman" w:cs="Times New Roman"/>
          <w:color w:val="auto"/>
        </w:rPr>
      </w:pPr>
    </w:p>
    <w:p w14:paraId="60DBF2F9" w14:textId="77777777" w:rsidR="00911B2F" w:rsidRPr="004D77AA" w:rsidRDefault="00911B2F" w:rsidP="0062246E">
      <w:pPr>
        <w:pStyle w:val="Default"/>
        <w:spacing w:line="360" w:lineRule="auto"/>
        <w:jc w:val="both"/>
        <w:rPr>
          <w:rFonts w:ascii="Times New Roman" w:hAnsi="Times New Roman" w:cs="Times New Roman"/>
          <w:bCs/>
          <w:color w:val="auto"/>
        </w:rPr>
      </w:pPr>
      <w:r w:rsidRPr="004D77AA">
        <w:rPr>
          <w:rFonts w:ascii="Times New Roman" w:hAnsi="Times New Roman" w:cs="Times New Roman"/>
          <w:bCs/>
          <w:color w:val="auto"/>
        </w:rPr>
        <w:t xml:space="preserve">NMISA published its APP for the 2018/19 financial year. It has identified seven outcome-oriented strategic goals, namely:  </w:t>
      </w:r>
    </w:p>
    <w:p w14:paraId="7105345D" w14:textId="77777777" w:rsidR="00911B2F" w:rsidRPr="004D77AA" w:rsidRDefault="00911B2F" w:rsidP="0062246E">
      <w:pPr>
        <w:pStyle w:val="Default"/>
        <w:spacing w:line="360" w:lineRule="auto"/>
        <w:jc w:val="both"/>
        <w:rPr>
          <w:rFonts w:ascii="Times New Roman" w:hAnsi="Times New Roman" w:cs="Times New Roman"/>
          <w:bCs/>
          <w:color w:val="auto"/>
        </w:rPr>
      </w:pPr>
    </w:p>
    <w:p w14:paraId="6FB6C1ED" w14:textId="77777777" w:rsidR="00911B2F" w:rsidRPr="004D77AA" w:rsidRDefault="00911B2F" w:rsidP="007D60EF">
      <w:pPr>
        <w:pStyle w:val="Default"/>
        <w:numPr>
          <w:ilvl w:val="0"/>
          <w:numId w:val="7"/>
        </w:numPr>
        <w:spacing w:line="360" w:lineRule="auto"/>
        <w:jc w:val="both"/>
        <w:rPr>
          <w:rFonts w:ascii="Times New Roman" w:hAnsi="Times New Roman" w:cs="Times New Roman"/>
          <w:bCs/>
          <w:color w:val="auto"/>
        </w:rPr>
      </w:pPr>
      <w:r w:rsidRPr="004D77AA">
        <w:rPr>
          <w:rFonts w:ascii="Times New Roman" w:hAnsi="Times New Roman" w:cs="Times New Roman"/>
          <w:bCs/>
          <w:color w:val="auto"/>
        </w:rPr>
        <w:t>Strategic Goal 1: Keep, maintain and develop the national measurement standards and provide for the use of the national measurement units.</w:t>
      </w:r>
    </w:p>
    <w:p w14:paraId="513AA1E6" w14:textId="77777777" w:rsidR="00911B2F" w:rsidRPr="004D77AA" w:rsidRDefault="00911B2F" w:rsidP="007D60EF">
      <w:pPr>
        <w:pStyle w:val="Default"/>
        <w:numPr>
          <w:ilvl w:val="0"/>
          <w:numId w:val="7"/>
        </w:numPr>
        <w:spacing w:line="360" w:lineRule="auto"/>
        <w:jc w:val="both"/>
        <w:rPr>
          <w:rFonts w:ascii="Times New Roman" w:hAnsi="Times New Roman" w:cs="Times New Roman"/>
          <w:bCs/>
          <w:color w:val="auto"/>
        </w:rPr>
      </w:pPr>
      <w:r w:rsidRPr="004D77AA">
        <w:rPr>
          <w:rFonts w:ascii="Times New Roman" w:hAnsi="Times New Roman" w:cs="Times New Roman"/>
          <w:bCs/>
          <w:color w:val="auto"/>
        </w:rPr>
        <w:t>Strategic Goal 2: To ensure that the South African measurement system is internationally comparable, by participating in the activities of the International Committee for Weights and Measures as per the Mutual Recognition Arrangement (CIPM MRA).</w:t>
      </w:r>
    </w:p>
    <w:p w14:paraId="5161D7AF" w14:textId="77777777" w:rsidR="00911B2F" w:rsidRPr="004D77AA" w:rsidRDefault="00911B2F" w:rsidP="007D60EF">
      <w:pPr>
        <w:pStyle w:val="Default"/>
        <w:numPr>
          <w:ilvl w:val="0"/>
          <w:numId w:val="7"/>
        </w:numPr>
        <w:spacing w:line="360" w:lineRule="auto"/>
        <w:jc w:val="both"/>
        <w:rPr>
          <w:rFonts w:ascii="Times New Roman" w:hAnsi="Times New Roman" w:cs="Times New Roman"/>
          <w:bCs/>
          <w:color w:val="auto"/>
        </w:rPr>
      </w:pPr>
      <w:r w:rsidRPr="004D77AA">
        <w:rPr>
          <w:rFonts w:ascii="Times New Roman" w:hAnsi="Times New Roman" w:cs="Times New Roman"/>
          <w:bCs/>
          <w:color w:val="auto"/>
        </w:rPr>
        <w:lastRenderedPageBreak/>
        <w:t>Strategic Goal 3: To modernise NMISA’s infrastructure and equipment through recapitalisation.</w:t>
      </w:r>
    </w:p>
    <w:p w14:paraId="319C3A54" w14:textId="77777777" w:rsidR="00911B2F" w:rsidRPr="004D77AA" w:rsidRDefault="00911B2F" w:rsidP="007D60EF">
      <w:pPr>
        <w:pStyle w:val="Default"/>
        <w:numPr>
          <w:ilvl w:val="0"/>
          <w:numId w:val="7"/>
        </w:numPr>
        <w:spacing w:line="360" w:lineRule="auto"/>
        <w:jc w:val="both"/>
        <w:rPr>
          <w:rFonts w:ascii="Times New Roman" w:hAnsi="Times New Roman" w:cs="Times New Roman"/>
          <w:bCs/>
          <w:color w:val="auto"/>
        </w:rPr>
      </w:pPr>
      <w:r w:rsidRPr="004D77AA">
        <w:rPr>
          <w:rFonts w:ascii="Times New Roman" w:hAnsi="Times New Roman" w:cs="Times New Roman"/>
          <w:bCs/>
          <w:color w:val="auto"/>
        </w:rPr>
        <w:t>Strategic Goal 4: Provide measurement knowledge and expertise as a key component of the Technical Infrastructure with regard to public policy objectives measurement, compliance issues in terms of health, safety and the environment.</w:t>
      </w:r>
    </w:p>
    <w:p w14:paraId="5176759E" w14:textId="77777777" w:rsidR="00911B2F" w:rsidRPr="004D77AA" w:rsidRDefault="00911B2F" w:rsidP="007D60EF">
      <w:pPr>
        <w:pStyle w:val="Default"/>
        <w:numPr>
          <w:ilvl w:val="0"/>
          <w:numId w:val="7"/>
        </w:numPr>
        <w:spacing w:line="360" w:lineRule="auto"/>
        <w:jc w:val="both"/>
        <w:rPr>
          <w:rFonts w:ascii="Times New Roman" w:hAnsi="Times New Roman" w:cs="Times New Roman"/>
          <w:bCs/>
          <w:color w:val="auto"/>
        </w:rPr>
      </w:pPr>
      <w:r w:rsidRPr="004D77AA">
        <w:rPr>
          <w:rFonts w:ascii="Times New Roman" w:hAnsi="Times New Roman" w:cs="Times New Roman"/>
          <w:bCs/>
          <w:color w:val="auto"/>
        </w:rPr>
        <w:t>Strategic Goal 5: Provide an integrated human capital development programme for metrology.</w:t>
      </w:r>
    </w:p>
    <w:p w14:paraId="488B04B7" w14:textId="77777777" w:rsidR="00911B2F" w:rsidRPr="005D7C0F" w:rsidRDefault="00911B2F" w:rsidP="007D60EF">
      <w:pPr>
        <w:pStyle w:val="Default"/>
        <w:numPr>
          <w:ilvl w:val="0"/>
          <w:numId w:val="7"/>
        </w:numPr>
        <w:spacing w:line="360" w:lineRule="auto"/>
        <w:jc w:val="both"/>
        <w:rPr>
          <w:rFonts w:ascii="Times New Roman" w:hAnsi="Times New Roman" w:cs="Times New Roman"/>
          <w:bCs/>
          <w:color w:val="auto"/>
        </w:rPr>
      </w:pPr>
      <w:r w:rsidRPr="005D7C0F">
        <w:rPr>
          <w:rFonts w:ascii="Times New Roman" w:hAnsi="Times New Roman" w:cs="Times New Roman"/>
          <w:bCs/>
          <w:color w:val="auto"/>
        </w:rPr>
        <w:t>Strategic Goal 6: Provide essential support to South African public and private enterprises through dissemination of the national measurement standards, units and expertise.</w:t>
      </w:r>
    </w:p>
    <w:p w14:paraId="1840C3EA" w14:textId="77777777" w:rsidR="00911B2F" w:rsidRPr="005D7C0F" w:rsidRDefault="00911B2F" w:rsidP="007D60EF">
      <w:pPr>
        <w:pStyle w:val="Default"/>
        <w:numPr>
          <w:ilvl w:val="0"/>
          <w:numId w:val="7"/>
        </w:numPr>
        <w:spacing w:line="360" w:lineRule="auto"/>
        <w:jc w:val="both"/>
        <w:rPr>
          <w:rFonts w:ascii="Times New Roman" w:hAnsi="Times New Roman" w:cs="Times New Roman"/>
          <w:bCs/>
          <w:color w:val="auto"/>
        </w:rPr>
      </w:pPr>
      <w:r w:rsidRPr="005D7C0F">
        <w:rPr>
          <w:rFonts w:ascii="Times New Roman" w:hAnsi="Times New Roman" w:cs="Times New Roman"/>
          <w:bCs/>
          <w:color w:val="auto"/>
        </w:rPr>
        <w:t>Strategic Goal 7: Adhere to the regulatory requirements of a type 3A public entity and sound corporate governance.</w:t>
      </w:r>
    </w:p>
    <w:p w14:paraId="07A89CE9" w14:textId="77777777" w:rsidR="00911B2F" w:rsidRPr="00B66120" w:rsidRDefault="00911B2F" w:rsidP="0062246E">
      <w:pPr>
        <w:pStyle w:val="Default"/>
        <w:spacing w:line="360" w:lineRule="auto"/>
        <w:jc w:val="both"/>
        <w:rPr>
          <w:rFonts w:ascii="Times New Roman" w:hAnsi="Times New Roman" w:cs="Times New Roman"/>
          <w:bCs/>
          <w:color w:val="auto"/>
          <w:highlight w:val="yellow"/>
        </w:rPr>
      </w:pPr>
    </w:p>
    <w:p w14:paraId="6A985342" w14:textId="77777777" w:rsidR="00911B2F" w:rsidRPr="007F3EA1" w:rsidRDefault="00911B2F" w:rsidP="007D60EF">
      <w:pPr>
        <w:pStyle w:val="ListParagraph"/>
        <w:numPr>
          <w:ilvl w:val="2"/>
          <w:numId w:val="6"/>
        </w:numPr>
        <w:ind w:left="709" w:hanging="709"/>
        <w:rPr>
          <w:rFonts w:cs="Times New Roman"/>
          <w:b/>
          <w:szCs w:val="24"/>
        </w:rPr>
      </w:pPr>
      <w:r>
        <w:rPr>
          <w:rFonts w:cs="Times New Roman"/>
          <w:b/>
          <w:szCs w:val="24"/>
        </w:rPr>
        <w:t>Annual Performance Plan</w:t>
      </w:r>
    </w:p>
    <w:p w14:paraId="70BF0927" w14:textId="77777777" w:rsidR="00911B2F" w:rsidRPr="00B66120" w:rsidRDefault="00911B2F" w:rsidP="0062246E">
      <w:pPr>
        <w:pStyle w:val="Default"/>
        <w:spacing w:line="360" w:lineRule="auto"/>
        <w:jc w:val="both"/>
        <w:rPr>
          <w:rFonts w:ascii="Times New Roman" w:hAnsi="Times New Roman" w:cs="Times New Roman"/>
          <w:bCs/>
          <w:color w:val="auto"/>
          <w:highlight w:val="yellow"/>
        </w:rPr>
      </w:pPr>
    </w:p>
    <w:p w14:paraId="6BCF18DF" w14:textId="77777777" w:rsidR="00911B2F" w:rsidRPr="001647B0" w:rsidRDefault="00911B2F" w:rsidP="0062246E">
      <w:pPr>
        <w:rPr>
          <w:rFonts w:cs="Times New Roman"/>
          <w:szCs w:val="24"/>
        </w:rPr>
      </w:pPr>
      <w:r w:rsidRPr="001647B0">
        <w:rPr>
          <w:rFonts w:cs="Times New Roman"/>
          <w:szCs w:val="24"/>
        </w:rPr>
        <w:t>Over the MTEF period, NMISA is focusing on a number of projects that supports national priorities, such as improving manufacturing competitiveness, agro-processing, and regional integration. These are:</w:t>
      </w:r>
    </w:p>
    <w:p w14:paraId="02FA1F06" w14:textId="77777777" w:rsidR="00911B2F" w:rsidRPr="00B66120" w:rsidRDefault="00911B2F" w:rsidP="0062246E">
      <w:pPr>
        <w:rPr>
          <w:rFonts w:cs="Times New Roman"/>
          <w:szCs w:val="24"/>
          <w:highlight w:val="yellow"/>
        </w:rPr>
      </w:pPr>
      <w:r w:rsidRPr="00B66120">
        <w:rPr>
          <w:rFonts w:cs="Times New Roman"/>
          <w:szCs w:val="24"/>
          <w:highlight w:val="yellow"/>
        </w:rPr>
        <w:t xml:space="preserve"> </w:t>
      </w:r>
    </w:p>
    <w:p w14:paraId="5084CDF8" w14:textId="77777777" w:rsidR="00911B2F" w:rsidRPr="001647B0" w:rsidRDefault="00911B2F" w:rsidP="007D60EF">
      <w:pPr>
        <w:pStyle w:val="ListParagraph"/>
        <w:numPr>
          <w:ilvl w:val="0"/>
          <w:numId w:val="8"/>
        </w:numPr>
        <w:contextualSpacing w:val="0"/>
        <w:rPr>
          <w:rFonts w:cs="Times New Roman"/>
          <w:szCs w:val="24"/>
        </w:rPr>
      </w:pPr>
      <w:r w:rsidRPr="001647B0">
        <w:rPr>
          <w:rFonts w:cs="Times New Roman"/>
          <w:szCs w:val="24"/>
        </w:rPr>
        <w:t xml:space="preserve">Reference Materials and the Green Economy </w:t>
      </w:r>
    </w:p>
    <w:p w14:paraId="11DE840E" w14:textId="77777777" w:rsidR="00911B2F" w:rsidRPr="001647B0" w:rsidRDefault="00911B2F" w:rsidP="007D60EF">
      <w:pPr>
        <w:pStyle w:val="ListParagraph"/>
        <w:numPr>
          <w:ilvl w:val="0"/>
          <w:numId w:val="8"/>
        </w:numPr>
        <w:contextualSpacing w:val="0"/>
        <w:rPr>
          <w:rFonts w:cs="Times New Roman"/>
          <w:szCs w:val="24"/>
        </w:rPr>
      </w:pPr>
      <w:r w:rsidRPr="001647B0">
        <w:rPr>
          <w:rFonts w:cs="Times New Roman"/>
          <w:szCs w:val="24"/>
        </w:rPr>
        <w:t>Energy Efficiency</w:t>
      </w:r>
    </w:p>
    <w:p w14:paraId="207CD937" w14:textId="77777777" w:rsidR="00911B2F" w:rsidRPr="001647B0" w:rsidRDefault="00911B2F" w:rsidP="007D60EF">
      <w:pPr>
        <w:pStyle w:val="ListParagraph"/>
        <w:numPr>
          <w:ilvl w:val="0"/>
          <w:numId w:val="8"/>
        </w:numPr>
        <w:contextualSpacing w:val="0"/>
        <w:rPr>
          <w:rFonts w:cs="Times New Roman"/>
          <w:szCs w:val="24"/>
        </w:rPr>
      </w:pPr>
      <w:r w:rsidRPr="001647B0">
        <w:rPr>
          <w:rFonts w:cs="Times New Roman"/>
          <w:szCs w:val="24"/>
        </w:rPr>
        <w:t>Manufacturing Competitiveness</w:t>
      </w:r>
    </w:p>
    <w:p w14:paraId="70A5DB6F" w14:textId="77777777" w:rsidR="00911B2F" w:rsidRDefault="00911B2F" w:rsidP="007D60EF">
      <w:pPr>
        <w:pStyle w:val="ListParagraph"/>
        <w:numPr>
          <w:ilvl w:val="0"/>
          <w:numId w:val="8"/>
        </w:numPr>
        <w:contextualSpacing w:val="0"/>
        <w:rPr>
          <w:rFonts w:cs="Times New Roman"/>
          <w:szCs w:val="24"/>
        </w:rPr>
      </w:pPr>
      <w:r w:rsidRPr="001647B0">
        <w:rPr>
          <w:rFonts w:cs="Times New Roman"/>
          <w:szCs w:val="24"/>
        </w:rPr>
        <w:t>Advanced Measurement Solutions</w:t>
      </w:r>
    </w:p>
    <w:p w14:paraId="25E023F7" w14:textId="77777777" w:rsidR="00911B2F" w:rsidRPr="001647B0" w:rsidRDefault="00911B2F" w:rsidP="007D60EF">
      <w:pPr>
        <w:pStyle w:val="ListParagraph"/>
        <w:numPr>
          <w:ilvl w:val="0"/>
          <w:numId w:val="8"/>
        </w:numPr>
        <w:contextualSpacing w:val="0"/>
        <w:rPr>
          <w:rFonts w:cs="Times New Roman"/>
          <w:szCs w:val="24"/>
        </w:rPr>
      </w:pPr>
      <w:r>
        <w:rPr>
          <w:rFonts w:cs="Times New Roman"/>
          <w:szCs w:val="24"/>
        </w:rPr>
        <w:t>Regional and International Integration</w:t>
      </w:r>
    </w:p>
    <w:p w14:paraId="22D09146" w14:textId="77777777" w:rsidR="00911B2F" w:rsidRDefault="00911B2F" w:rsidP="007D60EF">
      <w:pPr>
        <w:pStyle w:val="ListParagraph"/>
        <w:numPr>
          <w:ilvl w:val="0"/>
          <w:numId w:val="8"/>
        </w:numPr>
        <w:contextualSpacing w:val="0"/>
        <w:rPr>
          <w:rFonts w:cs="Times New Roman"/>
          <w:szCs w:val="24"/>
        </w:rPr>
      </w:pPr>
      <w:r>
        <w:rPr>
          <w:rFonts w:cs="Times New Roman"/>
          <w:szCs w:val="24"/>
        </w:rPr>
        <w:t>Redefinition of the Revised SI</w:t>
      </w:r>
    </w:p>
    <w:p w14:paraId="3661FC67" w14:textId="77777777" w:rsidR="00911B2F" w:rsidRPr="001647B0" w:rsidRDefault="00911B2F" w:rsidP="007D60EF">
      <w:pPr>
        <w:pStyle w:val="ListParagraph"/>
        <w:numPr>
          <w:ilvl w:val="0"/>
          <w:numId w:val="8"/>
        </w:numPr>
        <w:contextualSpacing w:val="0"/>
        <w:rPr>
          <w:rFonts w:cs="Times New Roman"/>
          <w:szCs w:val="24"/>
        </w:rPr>
      </w:pPr>
      <w:r w:rsidRPr="001647B0">
        <w:rPr>
          <w:rFonts w:cs="Times New Roman"/>
          <w:szCs w:val="24"/>
        </w:rPr>
        <w:t>Quality of Life</w:t>
      </w:r>
    </w:p>
    <w:p w14:paraId="681CCA51" w14:textId="77777777" w:rsidR="00911B2F" w:rsidRPr="001647B0" w:rsidRDefault="00911B2F" w:rsidP="007D60EF">
      <w:pPr>
        <w:pStyle w:val="ListParagraph"/>
        <w:numPr>
          <w:ilvl w:val="0"/>
          <w:numId w:val="8"/>
        </w:numPr>
        <w:contextualSpacing w:val="0"/>
        <w:rPr>
          <w:rFonts w:cs="Times New Roman"/>
          <w:szCs w:val="24"/>
        </w:rPr>
      </w:pPr>
      <w:r w:rsidRPr="001647B0">
        <w:rPr>
          <w:rFonts w:cs="Times New Roman"/>
          <w:szCs w:val="24"/>
        </w:rPr>
        <w:t>Commercial Services</w:t>
      </w:r>
    </w:p>
    <w:p w14:paraId="338A6988" w14:textId="77777777" w:rsidR="00911B2F" w:rsidRPr="008A456F" w:rsidRDefault="00911B2F" w:rsidP="0062246E">
      <w:pPr>
        <w:rPr>
          <w:rFonts w:cs="Times New Roman"/>
          <w:highlight w:val="yellow"/>
        </w:rPr>
      </w:pPr>
    </w:p>
    <w:p w14:paraId="5FFF53A8" w14:textId="77777777" w:rsidR="00911B2F" w:rsidRDefault="00911B2F" w:rsidP="0062246E">
      <w:pPr>
        <w:rPr>
          <w:rFonts w:cs="Times New Roman"/>
        </w:rPr>
      </w:pPr>
      <w:r w:rsidRPr="008A456F">
        <w:rPr>
          <w:rFonts w:cs="Times New Roman"/>
        </w:rPr>
        <w:t>NMISA has 15 performance indicators for the 2018/19 financial year compared to 21 performance indicators in the 2017/18 financial year.</w:t>
      </w:r>
      <w:r>
        <w:rPr>
          <w:rFonts w:cs="Times New Roman"/>
        </w:rPr>
        <w:t xml:space="preserve"> </w:t>
      </w:r>
      <w:r w:rsidRPr="008A456F">
        <w:rPr>
          <w:rFonts w:cs="Times New Roman"/>
        </w:rPr>
        <w:t>In order to demonstrate competence and excellence in measurement through science outputs, NMISA has introduced two new indicators, namely</w:t>
      </w:r>
      <w:r w:rsidR="000977B0">
        <w:rPr>
          <w:rFonts w:cs="Times New Roman"/>
        </w:rPr>
        <w:t>:</w:t>
      </w:r>
    </w:p>
    <w:p w14:paraId="61393849" w14:textId="77777777" w:rsidR="00911B2F" w:rsidRPr="007D08D1" w:rsidRDefault="00911B2F" w:rsidP="000977B0">
      <w:pPr>
        <w:pStyle w:val="ListParagraph"/>
        <w:numPr>
          <w:ilvl w:val="0"/>
          <w:numId w:val="17"/>
        </w:numPr>
        <w:ind w:left="426" w:hanging="426"/>
        <w:rPr>
          <w:rFonts w:cs="Times New Roman"/>
        </w:rPr>
      </w:pPr>
      <w:r w:rsidRPr="007D08D1">
        <w:rPr>
          <w:rFonts w:cs="Times New Roman"/>
        </w:rPr>
        <w:t xml:space="preserve">the number of refereed and/or peer-reviewed publications, and </w:t>
      </w:r>
    </w:p>
    <w:p w14:paraId="6B3123B4" w14:textId="77777777" w:rsidR="00911B2F" w:rsidRPr="007D08D1" w:rsidRDefault="00911B2F" w:rsidP="000977B0">
      <w:pPr>
        <w:pStyle w:val="ListParagraph"/>
        <w:numPr>
          <w:ilvl w:val="0"/>
          <w:numId w:val="17"/>
        </w:numPr>
        <w:ind w:left="426" w:hanging="426"/>
        <w:rPr>
          <w:rFonts w:cs="Times New Roman"/>
        </w:rPr>
      </w:pPr>
      <w:r w:rsidRPr="007D08D1">
        <w:rPr>
          <w:rFonts w:cs="Times New Roman"/>
        </w:rPr>
        <w:t xml:space="preserve">the number of articles, application, conference proceedings or technical notes published. </w:t>
      </w:r>
    </w:p>
    <w:p w14:paraId="5733B2C4" w14:textId="77777777" w:rsidR="00911B2F" w:rsidRDefault="00911B2F" w:rsidP="0062246E">
      <w:pPr>
        <w:ind w:left="60"/>
        <w:rPr>
          <w:rFonts w:cs="Times New Roman"/>
        </w:rPr>
      </w:pPr>
    </w:p>
    <w:p w14:paraId="755DE523" w14:textId="77777777" w:rsidR="00911B2F" w:rsidRPr="007D08D1" w:rsidRDefault="00911B2F" w:rsidP="0062246E">
      <w:pPr>
        <w:ind w:left="60"/>
        <w:rPr>
          <w:rFonts w:cs="Times New Roman"/>
        </w:rPr>
      </w:pPr>
      <w:r w:rsidRPr="007D08D1">
        <w:rPr>
          <w:rFonts w:cs="Times New Roman"/>
        </w:rPr>
        <w:lastRenderedPageBreak/>
        <w:t>It had also removed a number of indicators linked to the recapitalisation project (namely the number of tenders awarded for modernisation of the national metrology system); participation in and contribution to national technical infrastructure institutions; bursaries for post-graduate and undergraduate students; and the financial performance indicators, which were replaced by a single indicator (namely actual expenditure to budget).</w:t>
      </w:r>
    </w:p>
    <w:p w14:paraId="2E2C6B0C" w14:textId="77777777" w:rsidR="00911B2F" w:rsidRPr="008A456F" w:rsidRDefault="00911B2F" w:rsidP="0062246E">
      <w:pPr>
        <w:rPr>
          <w:rFonts w:cs="Times New Roman"/>
          <w:highlight w:val="yellow"/>
        </w:rPr>
      </w:pPr>
    </w:p>
    <w:p w14:paraId="79138499" w14:textId="77777777" w:rsidR="00911B2F" w:rsidRPr="00B66120" w:rsidRDefault="00911B2F" w:rsidP="0062246E">
      <w:pPr>
        <w:pStyle w:val="Default"/>
        <w:spacing w:line="360" w:lineRule="auto"/>
        <w:jc w:val="both"/>
        <w:rPr>
          <w:rFonts w:ascii="Times New Roman" w:hAnsi="Times New Roman" w:cs="Times New Roman"/>
          <w:bCs/>
          <w:color w:val="auto"/>
          <w:highlight w:val="yellow"/>
        </w:rPr>
      </w:pPr>
      <w:r w:rsidRPr="001647B0">
        <w:rPr>
          <w:rFonts w:ascii="Times New Roman" w:hAnsi="Times New Roman" w:cs="Times New Roman"/>
          <w:bCs/>
          <w:color w:val="auto"/>
        </w:rPr>
        <w:t>NMISA requires state-of-the-art equipment and buildings that are able to technically support the growing demands of metrology. Its buildings at the C</w:t>
      </w:r>
      <w:r>
        <w:rPr>
          <w:rFonts w:ascii="Times New Roman" w:hAnsi="Times New Roman" w:cs="Times New Roman"/>
          <w:bCs/>
          <w:color w:val="auto"/>
        </w:rPr>
        <w:t xml:space="preserve">entre for </w:t>
      </w:r>
      <w:r w:rsidRPr="001647B0">
        <w:rPr>
          <w:rFonts w:ascii="Times New Roman" w:hAnsi="Times New Roman" w:cs="Times New Roman"/>
          <w:bCs/>
          <w:color w:val="auto"/>
        </w:rPr>
        <w:t>S</w:t>
      </w:r>
      <w:r>
        <w:rPr>
          <w:rFonts w:ascii="Times New Roman" w:hAnsi="Times New Roman" w:cs="Times New Roman"/>
          <w:bCs/>
          <w:color w:val="auto"/>
        </w:rPr>
        <w:t xml:space="preserve">cientific and </w:t>
      </w:r>
      <w:r w:rsidRPr="001647B0">
        <w:rPr>
          <w:rFonts w:ascii="Times New Roman" w:hAnsi="Times New Roman" w:cs="Times New Roman"/>
          <w:bCs/>
          <w:color w:val="auto"/>
        </w:rPr>
        <w:t>I</w:t>
      </w:r>
      <w:r>
        <w:rPr>
          <w:rFonts w:ascii="Times New Roman" w:hAnsi="Times New Roman" w:cs="Times New Roman"/>
          <w:bCs/>
          <w:color w:val="auto"/>
        </w:rPr>
        <w:t xml:space="preserve">ndustrial </w:t>
      </w:r>
      <w:r w:rsidRPr="001647B0">
        <w:rPr>
          <w:rFonts w:ascii="Times New Roman" w:hAnsi="Times New Roman" w:cs="Times New Roman"/>
          <w:bCs/>
          <w:color w:val="auto"/>
        </w:rPr>
        <w:t>R</w:t>
      </w:r>
      <w:r>
        <w:rPr>
          <w:rFonts w:ascii="Times New Roman" w:hAnsi="Times New Roman" w:cs="Times New Roman"/>
          <w:bCs/>
          <w:color w:val="auto"/>
        </w:rPr>
        <w:t>esearch (CSIR)</w:t>
      </w:r>
      <w:r w:rsidRPr="001647B0">
        <w:rPr>
          <w:rFonts w:ascii="Times New Roman" w:hAnsi="Times New Roman" w:cs="Times New Roman"/>
          <w:bCs/>
          <w:color w:val="auto"/>
        </w:rPr>
        <w:t xml:space="preserve"> campus have reached their technical limit for modification and thus a new building is necessary. </w:t>
      </w:r>
      <w:r w:rsidRPr="00D1564A">
        <w:rPr>
          <w:rFonts w:ascii="Times New Roman" w:hAnsi="Times New Roman" w:cs="Times New Roman"/>
          <w:bCs/>
          <w:color w:val="auto"/>
        </w:rPr>
        <w:t>The feasibility study for the new buildings to be built as a public-private partnership</w:t>
      </w:r>
      <w:r>
        <w:rPr>
          <w:rFonts w:ascii="Times New Roman" w:hAnsi="Times New Roman" w:cs="Times New Roman"/>
          <w:bCs/>
          <w:color w:val="auto"/>
        </w:rPr>
        <w:t xml:space="preserve"> (PPP)</w:t>
      </w:r>
      <w:r w:rsidRPr="00D1564A">
        <w:rPr>
          <w:rFonts w:ascii="Times New Roman" w:hAnsi="Times New Roman" w:cs="Times New Roman"/>
          <w:bCs/>
          <w:color w:val="auto"/>
        </w:rPr>
        <w:t xml:space="preserve"> had been completed and submitted to National Treasury for approval, but this was not approved due to affordability. </w:t>
      </w:r>
      <w:r>
        <w:rPr>
          <w:rFonts w:ascii="Times New Roman" w:hAnsi="Times New Roman" w:cs="Times New Roman"/>
          <w:bCs/>
          <w:color w:val="auto"/>
        </w:rPr>
        <w:t>National Treasury had indicated that the recapitalisation project should be financed through the DTI’s budget allocation. NMISA is in the process of securing the land for development and will develop its campus in a phased in approach. It estimated this to cost R1.7 billion based on a PPP. The DTI is currently able to commit R130 million per annum over a 25-year period for the project.</w:t>
      </w:r>
    </w:p>
    <w:p w14:paraId="7CD2C83B" w14:textId="77777777" w:rsidR="00911B2F" w:rsidRPr="00B66120" w:rsidRDefault="00911B2F" w:rsidP="0062246E">
      <w:pPr>
        <w:pStyle w:val="Default"/>
        <w:spacing w:line="360" w:lineRule="auto"/>
        <w:jc w:val="both"/>
        <w:rPr>
          <w:rFonts w:ascii="Times New Roman" w:hAnsi="Times New Roman" w:cs="Times New Roman"/>
          <w:bCs/>
          <w:color w:val="auto"/>
          <w:highlight w:val="yellow"/>
        </w:rPr>
      </w:pPr>
    </w:p>
    <w:p w14:paraId="3D5879F1" w14:textId="77777777" w:rsidR="00911B2F" w:rsidRPr="007F3EA1" w:rsidRDefault="00911B2F" w:rsidP="007D60EF">
      <w:pPr>
        <w:pStyle w:val="ListParagraph"/>
        <w:numPr>
          <w:ilvl w:val="2"/>
          <w:numId w:val="6"/>
        </w:numPr>
        <w:ind w:left="709" w:hanging="709"/>
        <w:rPr>
          <w:rFonts w:cs="Times New Roman"/>
          <w:b/>
          <w:szCs w:val="24"/>
        </w:rPr>
      </w:pPr>
      <w:r w:rsidRPr="007F3EA1">
        <w:rPr>
          <w:rFonts w:cs="Times New Roman"/>
          <w:b/>
          <w:szCs w:val="24"/>
        </w:rPr>
        <w:t>Medium Term Budget Analysis</w:t>
      </w:r>
      <w:r w:rsidRPr="007F3EA1" w:rsidDel="0004053A">
        <w:rPr>
          <w:rFonts w:cs="Times New Roman"/>
          <w:b/>
          <w:szCs w:val="24"/>
        </w:rPr>
        <w:t xml:space="preserve"> </w:t>
      </w:r>
    </w:p>
    <w:p w14:paraId="064AEBCB" w14:textId="77777777" w:rsidR="00911B2F" w:rsidRPr="00B66120" w:rsidRDefault="00911B2F" w:rsidP="0062246E">
      <w:pPr>
        <w:rPr>
          <w:rFonts w:cs="Times New Roman"/>
          <w:szCs w:val="24"/>
          <w:highlight w:val="yellow"/>
        </w:rPr>
      </w:pPr>
    </w:p>
    <w:p w14:paraId="03448B0A" w14:textId="4F1E93CD" w:rsidR="00911B2F" w:rsidRPr="00B66120" w:rsidRDefault="00911B2F" w:rsidP="0062246E">
      <w:pPr>
        <w:rPr>
          <w:rFonts w:cs="Times New Roman"/>
          <w:szCs w:val="24"/>
          <w:highlight w:val="yellow"/>
        </w:rPr>
      </w:pPr>
      <w:r w:rsidRPr="00DC1C79">
        <w:rPr>
          <w:rFonts w:cs="Times New Roman"/>
          <w:szCs w:val="24"/>
        </w:rPr>
        <w:t>For the 2018/19 financial year, NMISA’s budget allocation from the DTI is R232.8 million for its operations (R109.7 million) and towards its infrastructure and equipment upgrades (R123.1 million). In the previous financial year, NMISA received R106.5 million and R146.3 million for operations and infrastructure upgrades respectively.</w:t>
      </w:r>
      <w:r w:rsidRPr="00DC1C79">
        <w:rPr>
          <w:rStyle w:val="FootnoteReference"/>
          <w:rFonts w:cs="Times New Roman"/>
          <w:szCs w:val="24"/>
        </w:rPr>
        <w:footnoteReference w:id="16"/>
      </w:r>
      <w:r w:rsidRPr="00DC1C79">
        <w:rPr>
          <w:rFonts w:cs="Times New Roman"/>
          <w:szCs w:val="24"/>
        </w:rPr>
        <w:t xml:space="preserve"> Other income for the entity, as shown in the table below, include</w:t>
      </w:r>
      <w:r w:rsidR="0062246E">
        <w:rPr>
          <w:rFonts w:cs="Times New Roman"/>
          <w:szCs w:val="24"/>
        </w:rPr>
        <w:t>s</w:t>
      </w:r>
      <w:r w:rsidRPr="00DC1C79">
        <w:rPr>
          <w:rFonts w:cs="Times New Roman"/>
          <w:szCs w:val="24"/>
        </w:rPr>
        <w:t xml:space="preserve"> income from services rendered and investment income. However, transfers from the DTI still constitute the largest share of income for the entity, namely 85.2 per</w:t>
      </w:r>
      <w:r w:rsidR="00B17B5D">
        <w:rPr>
          <w:rFonts w:cs="Times New Roman"/>
          <w:szCs w:val="24"/>
        </w:rPr>
        <w:t xml:space="preserve"> </w:t>
      </w:r>
      <w:r w:rsidRPr="00DC1C79">
        <w:rPr>
          <w:rFonts w:cs="Times New Roman"/>
          <w:szCs w:val="24"/>
        </w:rPr>
        <w:t>cent of total income. NMISA has</w:t>
      </w:r>
      <w:r>
        <w:rPr>
          <w:rFonts w:cs="Times New Roman"/>
          <w:szCs w:val="24"/>
        </w:rPr>
        <w:t xml:space="preserve"> been looking at expanding its external revenue earnings to counter the reducing budget allocation due to fiscal constraints.</w:t>
      </w:r>
    </w:p>
    <w:p w14:paraId="7796AC43" w14:textId="77777777" w:rsidR="00911B2F" w:rsidRPr="00B66120" w:rsidRDefault="00911B2F" w:rsidP="0062246E">
      <w:pPr>
        <w:rPr>
          <w:rFonts w:cs="Times New Roman"/>
          <w:szCs w:val="24"/>
          <w:highlight w:val="yellow"/>
        </w:rPr>
      </w:pPr>
    </w:p>
    <w:p w14:paraId="066EFDDD" w14:textId="77777777" w:rsidR="00040184" w:rsidRPr="00B66120" w:rsidRDefault="00040184" w:rsidP="00040184">
      <w:pPr>
        <w:rPr>
          <w:rFonts w:cs="Times New Roman"/>
          <w:szCs w:val="24"/>
          <w:highlight w:val="yellow"/>
        </w:rPr>
      </w:pPr>
      <w:r w:rsidRPr="00B30B10">
        <w:rPr>
          <w:rFonts w:cs="Times New Roman"/>
          <w:szCs w:val="24"/>
        </w:rPr>
        <w:t xml:space="preserve">In the Committee’s 2015 and 2017 Budget Vote Reports, it had </w:t>
      </w:r>
      <w:r>
        <w:rPr>
          <w:rFonts w:cs="Times New Roman"/>
          <w:szCs w:val="24"/>
        </w:rPr>
        <w:t xml:space="preserve">been </w:t>
      </w:r>
      <w:r w:rsidRPr="00B30B10">
        <w:rPr>
          <w:rFonts w:cs="Times New Roman"/>
          <w:szCs w:val="24"/>
        </w:rPr>
        <w:t xml:space="preserve">recommended that the Minister should engage the Minister of Finance to secure the necessary financial resources </w:t>
      </w:r>
      <w:r w:rsidRPr="00052A2F">
        <w:rPr>
          <w:rFonts w:cs="Times New Roman"/>
          <w:szCs w:val="24"/>
        </w:rPr>
        <w:t xml:space="preserve">for </w:t>
      </w:r>
      <w:r>
        <w:rPr>
          <w:rFonts w:cs="Times New Roman"/>
          <w:szCs w:val="24"/>
        </w:rPr>
        <w:t xml:space="preserve">NMISA’s </w:t>
      </w:r>
      <w:r w:rsidRPr="00052A2F">
        <w:rPr>
          <w:rFonts w:cs="Times New Roman"/>
          <w:szCs w:val="24"/>
        </w:rPr>
        <w:t xml:space="preserve">recapitalisation programme </w:t>
      </w:r>
      <w:r>
        <w:rPr>
          <w:rFonts w:cs="Times New Roman"/>
          <w:szCs w:val="24"/>
        </w:rPr>
        <w:t>given the entity’s strategic importance to the economy and the well-being of South Africans</w:t>
      </w:r>
      <w:r w:rsidRPr="00B30B10">
        <w:rPr>
          <w:rStyle w:val="FootnoteReference"/>
          <w:rFonts w:cs="Times New Roman"/>
          <w:szCs w:val="24"/>
        </w:rPr>
        <w:footnoteReference w:id="17"/>
      </w:r>
      <w:r>
        <w:rPr>
          <w:rFonts w:cs="Times New Roman"/>
          <w:szCs w:val="24"/>
        </w:rPr>
        <w:t xml:space="preserve">. Although the budget </w:t>
      </w:r>
      <w:r w:rsidRPr="00B30B10">
        <w:rPr>
          <w:rFonts w:cs="Times New Roman"/>
          <w:szCs w:val="24"/>
        </w:rPr>
        <w:t xml:space="preserve">for capital works/infrastructure had increased in the 2017/18 financial year, this had once again been cut </w:t>
      </w:r>
      <w:r w:rsidRPr="00B30B10">
        <w:rPr>
          <w:rFonts w:cs="Times New Roman"/>
          <w:szCs w:val="24"/>
        </w:rPr>
        <w:lastRenderedPageBreak/>
        <w:t>to R123.1 million in the 2018/19 financial year and would increase to R130 million in the 2019/20 financial year and R137.1 million in the 2020/21 financial year. to ensure that NMISA</w:t>
      </w:r>
      <w:r w:rsidRPr="00B30B10">
        <w:rPr>
          <w:rStyle w:val="FootnoteReference"/>
          <w:rFonts w:cs="Times New Roman"/>
          <w:szCs w:val="24"/>
        </w:rPr>
        <w:footnoteReference w:id="18"/>
      </w:r>
      <w:r w:rsidRPr="00B30B10">
        <w:rPr>
          <w:rFonts w:cs="Times New Roman"/>
          <w:szCs w:val="24"/>
        </w:rPr>
        <w:t>.</w:t>
      </w:r>
      <w:r w:rsidRPr="00B66120">
        <w:rPr>
          <w:rFonts w:cs="Times New Roman"/>
          <w:szCs w:val="24"/>
          <w:highlight w:val="yellow"/>
        </w:rPr>
        <w:t xml:space="preserve"> </w:t>
      </w:r>
    </w:p>
    <w:p w14:paraId="6B0DB0DE" w14:textId="77777777" w:rsidR="00040184" w:rsidRDefault="00040184" w:rsidP="00040184">
      <w:pPr>
        <w:rPr>
          <w:rFonts w:cs="Times New Roman"/>
        </w:rPr>
      </w:pPr>
    </w:p>
    <w:p w14:paraId="6A5B77EE" w14:textId="77777777" w:rsidR="00911B2F" w:rsidRPr="005D7C0F" w:rsidRDefault="00911B2F" w:rsidP="0062246E">
      <w:pPr>
        <w:rPr>
          <w:rFonts w:cs="Times New Roman"/>
          <w:b/>
          <w:szCs w:val="24"/>
        </w:rPr>
      </w:pPr>
      <w:r w:rsidRPr="005D7C0F">
        <w:rPr>
          <w:rFonts w:cs="Times New Roman"/>
          <w:b/>
          <w:szCs w:val="24"/>
        </w:rPr>
        <w:t>Table</w:t>
      </w:r>
      <w:r w:rsidR="000977B0">
        <w:rPr>
          <w:rFonts w:cs="Times New Roman"/>
          <w:b/>
          <w:szCs w:val="24"/>
        </w:rPr>
        <w:t xml:space="preserve"> 5</w:t>
      </w:r>
      <w:r w:rsidRPr="005D7C0F">
        <w:rPr>
          <w:rFonts w:cs="Times New Roman"/>
          <w:b/>
          <w:szCs w:val="24"/>
        </w:rPr>
        <w:t>: Budget 2018/19 Financial Year (R thousands)</w:t>
      </w:r>
    </w:p>
    <w:tbl>
      <w:tblPr>
        <w:tblStyle w:val="TableGrid"/>
        <w:tblW w:w="0" w:type="auto"/>
        <w:tblLook w:val="04A0" w:firstRow="1" w:lastRow="0" w:firstColumn="1" w:lastColumn="0" w:noHBand="0" w:noVBand="1"/>
      </w:tblPr>
      <w:tblGrid>
        <w:gridCol w:w="3964"/>
        <w:gridCol w:w="1684"/>
        <w:gridCol w:w="1684"/>
        <w:gridCol w:w="1684"/>
      </w:tblGrid>
      <w:tr w:rsidR="00911B2F" w:rsidRPr="005D7C0F" w14:paraId="1BFDBE96" w14:textId="77777777" w:rsidTr="00911B2F">
        <w:tc>
          <w:tcPr>
            <w:tcW w:w="3964" w:type="dxa"/>
            <w:shd w:val="clear" w:color="auto" w:fill="A6A6A6" w:themeFill="background1" w:themeFillShade="A6"/>
          </w:tcPr>
          <w:p w14:paraId="5214E477" w14:textId="77777777" w:rsidR="00911B2F" w:rsidRPr="005D7C0F" w:rsidRDefault="00911B2F" w:rsidP="0062246E">
            <w:pPr>
              <w:rPr>
                <w:rFonts w:cs="Times New Roman"/>
                <w:b/>
                <w:sz w:val="20"/>
                <w:szCs w:val="24"/>
              </w:rPr>
            </w:pPr>
          </w:p>
        </w:tc>
        <w:tc>
          <w:tcPr>
            <w:tcW w:w="1684" w:type="dxa"/>
            <w:shd w:val="clear" w:color="auto" w:fill="A6A6A6" w:themeFill="background1" w:themeFillShade="A6"/>
            <w:vAlign w:val="center"/>
          </w:tcPr>
          <w:p w14:paraId="068D7E81" w14:textId="77777777" w:rsidR="00911B2F" w:rsidRPr="005D7C0F" w:rsidRDefault="00911B2F" w:rsidP="0062246E">
            <w:pPr>
              <w:jc w:val="center"/>
              <w:rPr>
                <w:rFonts w:cs="Times New Roman"/>
                <w:b/>
                <w:sz w:val="20"/>
                <w:szCs w:val="24"/>
              </w:rPr>
            </w:pPr>
            <w:r w:rsidRPr="005D7C0F">
              <w:rPr>
                <w:rFonts w:cs="Times New Roman"/>
                <w:b/>
                <w:sz w:val="20"/>
                <w:szCs w:val="24"/>
              </w:rPr>
              <w:t>2018/19</w:t>
            </w:r>
          </w:p>
        </w:tc>
        <w:tc>
          <w:tcPr>
            <w:tcW w:w="1684" w:type="dxa"/>
            <w:shd w:val="clear" w:color="auto" w:fill="A6A6A6" w:themeFill="background1" w:themeFillShade="A6"/>
            <w:vAlign w:val="center"/>
          </w:tcPr>
          <w:p w14:paraId="7D3AC319" w14:textId="77777777" w:rsidR="00911B2F" w:rsidRPr="005D7C0F" w:rsidRDefault="00911B2F" w:rsidP="0062246E">
            <w:pPr>
              <w:jc w:val="center"/>
              <w:rPr>
                <w:rFonts w:cs="Times New Roman"/>
                <w:b/>
                <w:sz w:val="20"/>
                <w:szCs w:val="24"/>
              </w:rPr>
            </w:pPr>
            <w:r w:rsidRPr="005D7C0F">
              <w:rPr>
                <w:rFonts w:cs="Times New Roman"/>
                <w:b/>
                <w:sz w:val="20"/>
                <w:szCs w:val="24"/>
              </w:rPr>
              <w:t>2019/20</w:t>
            </w:r>
          </w:p>
        </w:tc>
        <w:tc>
          <w:tcPr>
            <w:tcW w:w="1684" w:type="dxa"/>
            <w:shd w:val="clear" w:color="auto" w:fill="A6A6A6" w:themeFill="background1" w:themeFillShade="A6"/>
            <w:vAlign w:val="center"/>
          </w:tcPr>
          <w:p w14:paraId="525B84AD" w14:textId="77777777" w:rsidR="00911B2F" w:rsidRPr="005D7C0F" w:rsidRDefault="00911B2F" w:rsidP="0062246E">
            <w:pPr>
              <w:jc w:val="center"/>
              <w:rPr>
                <w:rFonts w:cs="Times New Roman"/>
                <w:b/>
                <w:sz w:val="20"/>
                <w:szCs w:val="24"/>
              </w:rPr>
            </w:pPr>
            <w:r w:rsidRPr="005D7C0F">
              <w:rPr>
                <w:rFonts w:cs="Times New Roman"/>
                <w:b/>
                <w:sz w:val="20"/>
                <w:szCs w:val="24"/>
              </w:rPr>
              <w:t>2020/21</w:t>
            </w:r>
          </w:p>
        </w:tc>
      </w:tr>
      <w:tr w:rsidR="00911B2F" w:rsidRPr="005D7C0F" w14:paraId="53070AF8" w14:textId="77777777" w:rsidTr="00911B2F">
        <w:tc>
          <w:tcPr>
            <w:tcW w:w="3964" w:type="dxa"/>
          </w:tcPr>
          <w:p w14:paraId="70853CE2" w14:textId="77777777" w:rsidR="00911B2F" w:rsidRPr="005D7C0F" w:rsidRDefault="00911B2F" w:rsidP="0062246E">
            <w:pPr>
              <w:rPr>
                <w:rFonts w:cs="Times New Roman"/>
                <w:b/>
                <w:sz w:val="20"/>
                <w:szCs w:val="24"/>
              </w:rPr>
            </w:pPr>
            <w:r w:rsidRPr="005D7C0F">
              <w:rPr>
                <w:rFonts w:cs="Times New Roman"/>
                <w:b/>
                <w:sz w:val="20"/>
                <w:szCs w:val="24"/>
              </w:rPr>
              <w:t>Revenue</w:t>
            </w:r>
          </w:p>
        </w:tc>
        <w:tc>
          <w:tcPr>
            <w:tcW w:w="1684" w:type="dxa"/>
            <w:vAlign w:val="center"/>
          </w:tcPr>
          <w:p w14:paraId="427D9360" w14:textId="77777777" w:rsidR="00911B2F" w:rsidRPr="005D7C0F" w:rsidRDefault="00911B2F" w:rsidP="0062246E">
            <w:pPr>
              <w:jc w:val="right"/>
              <w:rPr>
                <w:rFonts w:cs="Times New Roman"/>
                <w:b/>
                <w:sz w:val="20"/>
                <w:szCs w:val="24"/>
              </w:rPr>
            </w:pPr>
            <w:r w:rsidRPr="005D7C0F">
              <w:rPr>
                <w:rFonts w:cs="Times New Roman"/>
                <w:b/>
                <w:sz w:val="20"/>
                <w:szCs w:val="24"/>
              </w:rPr>
              <w:t>273 156</w:t>
            </w:r>
          </w:p>
        </w:tc>
        <w:tc>
          <w:tcPr>
            <w:tcW w:w="1684" w:type="dxa"/>
            <w:vAlign w:val="center"/>
          </w:tcPr>
          <w:p w14:paraId="668BABA8" w14:textId="77777777" w:rsidR="00911B2F" w:rsidRPr="005D7C0F" w:rsidRDefault="00911B2F" w:rsidP="0062246E">
            <w:pPr>
              <w:jc w:val="right"/>
              <w:rPr>
                <w:rFonts w:cs="Times New Roman"/>
                <w:b/>
                <w:sz w:val="20"/>
                <w:szCs w:val="24"/>
              </w:rPr>
            </w:pPr>
            <w:r w:rsidRPr="005D7C0F">
              <w:rPr>
                <w:rFonts w:cs="Times New Roman"/>
                <w:b/>
                <w:sz w:val="20"/>
                <w:szCs w:val="24"/>
              </w:rPr>
              <w:t>288 453</w:t>
            </w:r>
          </w:p>
        </w:tc>
        <w:tc>
          <w:tcPr>
            <w:tcW w:w="1684" w:type="dxa"/>
            <w:vAlign w:val="center"/>
          </w:tcPr>
          <w:p w14:paraId="17452772" w14:textId="77777777" w:rsidR="00911B2F" w:rsidRPr="005D7C0F" w:rsidRDefault="00911B2F" w:rsidP="0062246E">
            <w:pPr>
              <w:jc w:val="right"/>
              <w:rPr>
                <w:rFonts w:cs="Times New Roman"/>
                <w:b/>
                <w:sz w:val="20"/>
                <w:szCs w:val="24"/>
              </w:rPr>
            </w:pPr>
            <w:r w:rsidRPr="005D7C0F">
              <w:rPr>
                <w:rFonts w:cs="Times New Roman"/>
                <w:b/>
                <w:sz w:val="20"/>
                <w:szCs w:val="24"/>
              </w:rPr>
              <w:t>304 318</w:t>
            </w:r>
          </w:p>
        </w:tc>
      </w:tr>
      <w:tr w:rsidR="00911B2F" w:rsidRPr="00B66120" w14:paraId="19E7AE45" w14:textId="77777777" w:rsidTr="00911B2F">
        <w:tc>
          <w:tcPr>
            <w:tcW w:w="3964" w:type="dxa"/>
          </w:tcPr>
          <w:p w14:paraId="503C9BAB" w14:textId="77777777" w:rsidR="00911B2F" w:rsidRPr="005D7C0F" w:rsidRDefault="00911B2F" w:rsidP="0062246E">
            <w:pPr>
              <w:rPr>
                <w:rFonts w:cs="Times New Roman"/>
                <w:sz w:val="20"/>
                <w:szCs w:val="24"/>
              </w:rPr>
            </w:pPr>
            <w:r w:rsidRPr="005D7C0F">
              <w:rPr>
                <w:rFonts w:cs="Times New Roman"/>
                <w:sz w:val="20"/>
                <w:szCs w:val="24"/>
              </w:rPr>
              <w:t>Transfer received</w:t>
            </w:r>
          </w:p>
        </w:tc>
        <w:tc>
          <w:tcPr>
            <w:tcW w:w="1684" w:type="dxa"/>
            <w:vAlign w:val="center"/>
          </w:tcPr>
          <w:p w14:paraId="402CC537" w14:textId="77777777" w:rsidR="00911B2F" w:rsidRPr="005D7C0F" w:rsidRDefault="00911B2F" w:rsidP="0062246E">
            <w:pPr>
              <w:jc w:val="right"/>
              <w:rPr>
                <w:rFonts w:cs="Times New Roman"/>
                <w:sz w:val="20"/>
                <w:szCs w:val="24"/>
              </w:rPr>
            </w:pPr>
            <w:r w:rsidRPr="005D7C0F">
              <w:rPr>
                <w:rFonts w:cs="Times New Roman"/>
                <w:sz w:val="20"/>
                <w:szCs w:val="24"/>
              </w:rPr>
              <w:t>232 784</w:t>
            </w:r>
          </w:p>
        </w:tc>
        <w:tc>
          <w:tcPr>
            <w:tcW w:w="1684" w:type="dxa"/>
            <w:vAlign w:val="center"/>
          </w:tcPr>
          <w:p w14:paraId="10969D82" w14:textId="77777777" w:rsidR="00911B2F" w:rsidRPr="005D7C0F" w:rsidRDefault="00911B2F" w:rsidP="0062246E">
            <w:pPr>
              <w:jc w:val="right"/>
              <w:rPr>
                <w:rFonts w:cs="Times New Roman"/>
                <w:sz w:val="20"/>
                <w:szCs w:val="24"/>
              </w:rPr>
            </w:pPr>
            <w:r w:rsidRPr="005D7C0F">
              <w:rPr>
                <w:rFonts w:cs="Times New Roman"/>
                <w:sz w:val="20"/>
                <w:szCs w:val="24"/>
              </w:rPr>
              <w:t>245 820</w:t>
            </w:r>
          </w:p>
        </w:tc>
        <w:tc>
          <w:tcPr>
            <w:tcW w:w="1684" w:type="dxa"/>
            <w:vAlign w:val="center"/>
          </w:tcPr>
          <w:p w14:paraId="7D25457C" w14:textId="77777777" w:rsidR="00911B2F" w:rsidRPr="005D7C0F" w:rsidRDefault="00911B2F" w:rsidP="0062246E">
            <w:pPr>
              <w:jc w:val="right"/>
              <w:rPr>
                <w:rFonts w:cs="Times New Roman"/>
                <w:sz w:val="20"/>
                <w:szCs w:val="24"/>
              </w:rPr>
            </w:pPr>
            <w:r w:rsidRPr="005D7C0F">
              <w:rPr>
                <w:rFonts w:cs="Times New Roman"/>
                <w:sz w:val="20"/>
                <w:szCs w:val="24"/>
              </w:rPr>
              <w:t>259 340</w:t>
            </w:r>
          </w:p>
        </w:tc>
      </w:tr>
      <w:tr w:rsidR="00911B2F" w:rsidRPr="00B66120" w14:paraId="066783FC" w14:textId="77777777" w:rsidTr="00911B2F">
        <w:tc>
          <w:tcPr>
            <w:tcW w:w="3964" w:type="dxa"/>
          </w:tcPr>
          <w:p w14:paraId="6815493B" w14:textId="77777777" w:rsidR="00911B2F" w:rsidRPr="005D7C0F" w:rsidRDefault="00911B2F" w:rsidP="0062246E">
            <w:pPr>
              <w:rPr>
                <w:rFonts w:cs="Times New Roman"/>
                <w:sz w:val="20"/>
                <w:szCs w:val="24"/>
              </w:rPr>
            </w:pPr>
            <w:r w:rsidRPr="005D7C0F">
              <w:rPr>
                <w:rFonts w:cs="Times New Roman"/>
                <w:sz w:val="20"/>
                <w:szCs w:val="24"/>
              </w:rPr>
              <w:t>Rendering of services</w:t>
            </w:r>
          </w:p>
        </w:tc>
        <w:tc>
          <w:tcPr>
            <w:tcW w:w="1684" w:type="dxa"/>
            <w:vAlign w:val="center"/>
          </w:tcPr>
          <w:p w14:paraId="13A7572B" w14:textId="77777777" w:rsidR="00911B2F" w:rsidRPr="005D7C0F" w:rsidRDefault="00911B2F" w:rsidP="0062246E">
            <w:pPr>
              <w:jc w:val="right"/>
              <w:rPr>
                <w:rFonts w:cs="Times New Roman"/>
                <w:sz w:val="20"/>
                <w:szCs w:val="24"/>
              </w:rPr>
            </w:pPr>
            <w:r w:rsidRPr="005D7C0F">
              <w:rPr>
                <w:rFonts w:cs="Times New Roman"/>
                <w:sz w:val="20"/>
                <w:szCs w:val="24"/>
              </w:rPr>
              <w:t>31 561</w:t>
            </w:r>
          </w:p>
        </w:tc>
        <w:tc>
          <w:tcPr>
            <w:tcW w:w="1684" w:type="dxa"/>
            <w:vAlign w:val="center"/>
          </w:tcPr>
          <w:p w14:paraId="15C7D455" w14:textId="77777777" w:rsidR="00911B2F" w:rsidRPr="005D7C0F" w:rsidRDefault="00911B2F" w:rsidP="0062246E">
            <w:pPr>
              <w:jc w:val="right"/>
              <w:rPr>
                <w:rFonts w:cs="Times New Roman"/>
                <w:sz w:val="20"/>
                <w:szCs w:val="24"/>
              </w:rPr>
            </w:pPr>
            <w:r w:rsidRPr="005D7C0F">
              <w:rPr>
                <w:rFonts w:cs="Times New Roman"/>
                <w:sz w:val="20"/>
                <w:szCs w:val="24"/>
              </w:rPr>
              <w:t>33 328</w:t>
            </w:r>
          </w:p>
        </w:tc>
        <w:tc>
          <w:tcPr>
            <w:tcW w:w="1684" w:type="dxa"/>
            <w:vAlign w:val="center"/>
          </w:tcPr>
          <w:p w14:paraId="2E296DD6" w14:textId="77777777" w:rsidR="00911B2F" w:rsidRPr="005D7C0F" w:rsidRDefault="00911B2F" w:rsidP="0062246E">
            <w:pPr>
              <w:jc w:val="right"/>
              <w:rPr>
                <w:rFonts w:cs="Times New Roman"/>
                <w:sz w:val="20"/>
                <w:szCs w:val="24"/>
              </w:rPr>
            </w:pPr>
            <w:r w:rsidRPr="005D7C0F">
              <w:rPr>
                <w:rFonts w:cs="Times New Roman"/>
                <w:sz w:val="20"/>
                <w:szCs w:val="24"/>
              </w:rPr>
              <w:t>35 161</w:t>
            </w:r>
          </w:p>
        </w:tc>
      </w:tr>
      <w:tr w:rsidR="00911B2F" w:rsidRPr="00B66120" w14:paraId="7FA307C4" w14:textId="77777777" w:rsidTr="00911B2F">
        <w:tc>
          <w:tcPr>
            <w:tcW w:w="3964" w:type="dxa"/>
          </w:tcPr>
          <w:p w14:paraId="4C3F1AD6" w14:textId="77777777" w:rsidR="00911B2F" w:rsidRPr="005D7C0F" w:rsidRDefault="00911B2F" w:rsidP="0062246E">
            <w:pPr>
              <w:rPr>
                <w:rFonts w:cs="Times New Roman"/>
                <w:sz w:val="20"/>
                <w:szCs w:val="24"/>
              </w:rPr>
            </w:pPr>
            <w:r w:rsidRPr="005D7C0F">
              <w:rPr>
                <w:rFonts w:cs="Times New Roman"/>
                <w:sz w:val="20"/>
                <w:szCs w:val="24"/>
              </w:rPr>
              <w:t>Investment income</w:t>
            </w:r>
          </w:p>
        </w:tc>
        <w:tc>
          <w:tcPr>
            <w:tcW w:w="1684" w:type="dxa"/>
            <w:vAlign w:val="center"/>
          </w:tcPr>
          <w:p w14:paraId="2BF557BD" w14:textId="77777777" w:rsidR="00911B2F" w:rsidRPr="005D7C0F" w:rsidRDefault="00911B2F" w:rsidP="0062246E">
            <w:pPr>
              <w:jc w:val="right"/>
              <w:rPr>
                <w:rFonts w:cs="Times New Roman"/>
                <w:sz w:val="20"/>
                <w:szCs w:val="24"/>
              </w:rPr>
            </w:pPr>
            <w:r w:rsidRPr="005D7C0F">
              <w:rPr>
                <w:rFonts w:cs="Times New Roman"/>
                <w:sz w:val="20"/>
                <w:szCs w:val="24"/>
              </w:rPr>
              <w:t>8 811</w:t>
            </w:r>
          </w:p>
        </w:tc>
        <w:tc>
          <w:tcPr>
            <w:tcW w:w="1684" w:type="dxa"/>
            <w:vAlign w:val="center"/>
          </w:tcPr>
          <w:p w14:paraId="7E33B8E2" w14:textId="77777777" w:rsidR="00911B2F" w:rsidRPr="005D7C0F" w:rsidRDefault="00911B2F" w:rsidP="0062246E">
            <w:pPr>
              <w:jc w:val="right"/>
              <w:rPr>
                <w:rFonts w:cs="Times New Roman"/>
                <w:sz w:val="20"/>
                <w:szCs w:val="24"/>
              </w:rPr>
            </w:pPr>
            <w:r w:rsidRPr="005D7C0F">
              <w:rPr>
                <w:rFonts w:cs="Times New Roman"/>
                <w:sz w:val="20"/>
                <w:szCs w:val="24"/>
              </w:rPr>
              <w:t>9 304</w:t>
            </w:r>
          </w:p>
        </w:tc>
        <w:tc>
          <w:tcPr>
            <w:tcW w:w="1684" w:type="dxa"/>
            <w:vAlign w:val="center"/>
          </w:tcPr>
          <w:p w14:paraId="2148C465" w14:textId="77777777" w:rsidR="00911B2F" w:rsidRPr="005D7C0F" w:rsidRDefault="00911B2F" w:rsidP="0062246E">
            <w:pPr>
              <w:jc w:val="right"/>
              <w:rPr>
                <w:rFonts w:cs="Times New Roman"/>
                <w:sz w:val="20"/>
                <w:szCs w:val="24"/>
              </w:rPr>
            </w:pPr>
            <w:r w:rsidRPr="005D7C0F">
              <w:rPr>
                <w:rFonts w:cs="Times New Roman"/>
                <w:sz w:val="20"/>
                <w:szCs w:val="24"/>
              </w:rPr>
              <w:t>9 816</w:t>
            </w:r>
          </w:p>
        </w:tc>
      </w:tr>
      <w:tr w:rsidR="00911B2F" w:rsidRPr="00B66120" w14:paraId="10CE3637" w14:textId="77777777" w:rsidTr="00911B2F">
        <w:tc>
          <w:tcPr>
            <w:tcW w:w="3964" w:type="dxa"/>
          </w:tcPr>
          <w:p w14:paraId="2C6DE96F" w14:textId="77777777" w:rsidR="00911B2F" w:rsidRPr="005D7C0F" w:rsidRDefault="00911B2F" w:rsidP="0062246E">
            <w:pPr>
              <w:rPr>
                <w:rFonts w:cs="Times New Roman"/>
                <w:b/>
                <w:sz w:val="20"/>
                <w:szCs w:val="24"/>
              </w:rPr>
            </w:pPr>
            <w:r w:rsidRPr="005D7C0F">
              <w:rPr>
                <w:rFonts w:cs="Times New Roman"/>
                <w:b/>
                <w:sz w:val="20"/>
                <w:szCs w:val="24"/>
              </w:rPr>
              <w:t>Expenditure</w:t>
            </w:r>
          </w:p>
        </w:tc>
        <w:tc>
          <w:tcPr>
            <w:tcW w:w="1684" w:type="dxa"/>
            <w:vAlign w:val="center"/>
          </w:tcPr>
          <w:p w14:paraId="0FA10B4A" w14:textId="77777777" w:rsidR="00911B2F" w:rsidRPr="00B66120" w:rsidRDefault="00911B2F" w:rsidP="0062246E">
            <w:pPr>
              <w:jc w:val="right"/>
              <w:rPr>
                <w:rFonts w:cs="Times New Roman"/>
                <w:b/>
                <w:sz w:val="20"/>
                <w:szCs w:val="24"/>
                <w:highlight w:val="yellow"/>
              </w:rPr>
            </w:pPr>
            <w:r w:rsidRPr="005D7C0F">
              <w:rPr>
                <w:rFonts w:cs="Times New Roman"/>
                <w:b/>
                <w:sz w:val="20"/>
                <w:szCs w:val="24"/>
              </w:rPr>
              <w:t>273 156</w:t>
            </w:r>
          </w:p>
        </w:tc>
        <w:tc>
          <w:tcPr>
            <w:tcW w:w="1684" w:type="dxa"/>
            <w:vAlign w:val="center"/>
          </w:tcPr>
          <w:p w14:paraId="303ABFB2" w14:textId="77777777" w:rsidR="00911B2F" w:rsidRPr="00B66120" w:rsidRDefault="00911B2F" w:rsidP="0062246E">
            <w:pPr>
              <w:jc w:val="right"/>
              <w:rPr>
                <w:rFonts w:cs="Times New Roman"/>
                <w:b/>
                <w:sz w:val="20"/>
                <w:szCs w:val="24"/>
                <w:highlight w:val="yellow"/>
              </w:rPr>
            </w:pPr>
            <w:r w:rsidRPr="005D7C0F">
              <w:rPr>
                <w:rFonts w:cs="Times New Roman"/>
                <w:b/>
                <w:sz w:val="20"/>
                <w:szCs w:val="24"/>
              </w:rPr>
              <w:t>288 453</w:t>
            </w:r>
          </w:p>
        </w:tc>
        <w:tc>
          <w:tcPr>
            <w:tcW w:w="1684" w:type="dxa"/>
            <w:vAlign w:val="center"/>
          </w:tcPr>
          <w:p w14:paraId="58D8D0C7" w14:textId="77777777" w:rsidR="00911B2F" w:rsidRPr="00B66120" w:rsidRDefault="00911B2F" w:rsidP="0062246E">
            <w:pPr>
              <w:jc w:val="right"/>
              <w:rPr>
                <w:rFonts w:cs="Times New Roman"/>
                <w:b/>
                <w:sz w:val="20"/>
                <w:szCs w:val="24"/>
                <w:highlight w:val="yellow"/>
              </w:rPr>
            </w:pPr>
            <w:r w:rsidRPr="005D7C0F">
              <w:rPr>
                <w:rFonts w:cs="Times New Roman"/>
                <w:b/>
                <w:sz w:val="20"/>
                <w:szCs w:val="24"/>
              </w:rPr>
              <w:t>304 318</w:t>
            </w:r>
          </w:p>
        </w:tc>
      </w:tr>
      <w:tr w:rsidR="00911B2F" w:rsidRPr="00B66120" w14:paraId="09FFF2E0" w14:textId="77777777" w:rsidTr="00911B2F">
        <w:tc>
          <w:tcPr>
            <w:tcW w:w="3964" w:type="dxa"/>
          </w:tcPr>
          <w:p w14:paraId="5202A03D" w14:textId="77777777" w:rsidR="00911B2F" w:rsidRPr="005D7C0F" w:rsidRDefault="00911B2F" w:rsidP="0062246E">
            <w:pPr>
              <w:rPr>
                <w:rFonts w:cs="Times New Roman"/>
                <w:sz w:val="20"/>
                <w:szCs w:val="24"/>
              </w:rPr>
            </w:pPr>
            <w:r w:rsidRPr="005D7C0F">
              <w:rPr>
                <w:rFonts w:cs="Times New Roman"/>
                <w:sz w:val="20"/>
                <w:szCs w:val="24"/>
              </w:rPr>
              <w:t>Administrative and operating expenditure</w:t>
            </w:r>
          </w:p>
        </w:tc>
        <w:tc>
          <w:tcPr>
            <w:tcW w:w="1684" w:type="dxa"/>
            <w:vAlign w:val="center"/>
          </w:tcPr>
          <w:p w14:paraId="49CA3035" w14:textId="77777777" w:rsidR="00911B2F" w:rsidRPr="005D7C0F" w:rsidRDefault="00911B2F" w:rsidP="0062246E">
            <w:pPr>
              <w:jc w:val="right"/>
              <w:rPr>
                <w:rFonts w:cs="Times New Roman"/>
                <w:sz w:val="20"/>
                <w:szCs w:val="24"/>
              </w:rPr>
            </w:pPr>
            <w:r w:rsidRPr="005D7C0F">
              <w:rPr>
                <w:rFonts w:cs="Times New Roman"/>
                <w:sz w:val="20"/>
                <w:szCs w:val="24"/>
              </w:rPr>
              <w:t>68 558</w:t>
            </w:r>
          </w:p>
        </w:tc>
        <w:tc>
          <w:tcPr>
            <w:tcW w:w="1684" w:type="dxa"/>
            <w:vAlign w:val="center"/>
          </w:tcPr>
          <w:p w14:paraId="6CA8383E" w14:textId="77777777" w:rsidR="00911B2F" w:rsidRPr="005D7C0F" w:rsidRDefault="00911B2F" w:rsidP="0062246E">
            <w:pPr>
              <w:jc w:val="right"/>
              <w:rPr>
                <w:rFonts w:cs="Times New Roman"/>
                <w:sz w:val="20"/>
                <w:szCs w:val="24"/>
              </w:rPr>
            </w:pPr>
            <w:r w:rsidRPr="005D7C0F">
              <w:rPr>
                <w:rFonts w:cs="Times New Roman"/>
                <w:sz w:val="20"/>
                <w:szCs w:val="24"/>
              </w:rPr>
              <w:t>72 397</w:t>
            </w:r>
          </w:p>
        </w:tc>
        <w:tc>
          <w:tcPr>
            <w:tcW w:w="1684" w:type="dxa"/>
            <w:vAlign w:val="center"/>
          </w:tcPr>
          <w:p w14:paraId="0C829E4F" w14:textId="77777777" w:rsidR="00911B2F" w:rsidRPr="00517251" w:rsidRDefault="00911B2F" w:rsidP="0062246E">
            <w:pPr>
              <w:jc w:val="right"/>
              <w:rPr>
                <w:rFonts w:cs="Times New Roman"/>
                <w:sz w:val="20"/>
                <w:szCs w:val="24"/>
              </w:rPr>
            </w:pPr>
            <w:r w:rsidRPr="00517251">
              <w:rPr>
                <w:rFonts w:cs="Times New Roman"/>
                <w:sz w:val="20"/>
                <w:szCs w:val="24"/>
              </w:rPr>
              <w:t>76 379</w:t>
            </w:r>
          </w:p>
        </w:tc>
      </w:tr>
      <w:tr w:rsidR="00911B2F" w:rsidRPr="00B66120" w14:paraId="6DA5C34B" w14:textId="77777777" w:rsidTr="00911B2F">
        <w:tc>
          <w:tcPr>
            <w:tcW w:w="3964" w:type="dxa"/>
          </w:tcPr>
          <w:p w14:paraId="3B153B5D" w14:textId="77777777" w:rsidR="00911B2F" w:rsidRPr="005D7C0F" w:rsidRDefault="00911B2F" w:rsidP="0062246E">
            <w:pPr>
              <w:rPr>
                <w:rFonts w:cs="Times New Roman"/>
                <w:sz w:val="20"/>
                <w:szCs w:val="24"/>
              </w:rPr>
            </w:pPr>
            <w:r w:rsidRPr="005D7C0F">
              <w:rPr>
                <w:rFonts w:cs="Times New Roman"/>
                <w:sz w:val="20"/>
                <w:szCs w:val="24"/>
              </w:rPr>
              <w:t>Employee cost</w:t>
            </w:r>
          </w:p>
        </w:tc>
        <w:tc>
          <w:tcPr>
            <w:tcW w:w="1684" w:type="dxa"/>
            <w:vAlign w:val="center"/>
          </w:tcPr>
          <w:p w14:paraId="38933D45" w14:textId="77777777" w:rsidR="00911B2F" w:rsidRPr="005D7C0F" w:rsidRDefault="00911B2F" w:rsidP="0062246E">
            <w:pPr>
              <w:jc w:val="right"/>
              <w:rPr>
                <w:rFonts w:cs="Times New Roman"/>
                <w:sz w:val="20"/>
                <w:szCs w:val="24"/>
              </w:rPr>
            </w:pPr>
            <w:r w:rsidRPr="005D7C0F">
              <w:rPr>
                <w:rFonts w:cs="Times New Roman"/>
                <w:sz w:val="20"/>
                <w:szCs w:val="24"/>
              </w:rPr>
              <w:t>122 653</w:t>
            </w:r>
          </w:p>
        </w:tc>
        <w:tc>
          <w:tcPr>
            <w:tcW w:w="1684" w:type="dxa"/>
            <w:vAlign w:val="center"/>
          </w:tcPr>
          <w:p w14:paraId="03A25BC8" w14:textId="77777777" w:rsidR="00911B2F" w:rsidRPr="005D7C0F" w:rsidRDefault="00911B2F" w:rsidP="0062246E">
            <w:pPr>
              <w:jc w:val="right"/>
              <w:rPr>
                <w:rFonts w:cs="Times New Roman"/>
                <w:sz w:val="20"/>
                <w:szCs w:val="24"/>
              </w:rPr>
            </w:pPr>
            <w:r w:rsidRPr="005D7C0F">
              <w:rPr>
                <w:rFonts w:cs="Times New Roman"/>
                <w:sz w:val="20"/>
                <w:szCs w:val="24"/>
              </w:rPr>
              <w:t>129 522</w:t>
            </w:r>
          </w:p>
        </w:tc>
        <w:tc>
          <w:tcPr>
            <w:tcW w:w="1684" w:type="dxa"/>
            <w:vAlign w:val="center"/>
          </w:tcPr>
          <w:p w14:paraId="06A7C7B9" w14:textId="77777777" w:rsidR="00911B2F" w:rsidRPr="00517251" w:rsidRDefault="00911B2F" w:rsidP="0062246E">
            <w:pPr>
              <w:jc w:val="right"/>
              <w:rPr>
                <w:rFonts w:cs="Times New Roman"/>
                <w:sz w:val="20"/>
                <w:szCs w:val="24"/>
              </w:rPr>
            </w:pPr>
            <w:r w:rsidRPr="00517251">
              <w:rPr>
                <w:rFonts w:cs="Times New Roman"/>
                <w:sz w:val="20"/>
                <w:szCs w:val="24"/>
              </w:rPr>
              <w:t>136 645</w:t>
            </w:r>
          </w:p>
        </w:tc>
      </w:tr>
      <w:tr w:rsidR="00911B2F" w:rsidRPr="00B66120" w14:paraId="33D46438" w14:textId="77777777" w:rsidTr="00911B2F">
        <w:tc>
          <w:tcPr>
            <w:tcW w:w="3964" w:type="dxa"/>
          </w:tcPr>
          <w:p w14:paraId="0B421234" w14:textId="77777777" w:rsidR="00911B2F" w:rsidRPr="005D7C0F" w:rsidRDefault="00911B2F" w:rsidP="0062246E">
            <w:pPr>
              <w:rPr>
                <w:rFonts w:cs="Times New Roman"/>
                <w:sz w:val="20"/>
                <w:szCs w:val="24"/>
              </w:rPr>
            </w:pPr>
            <w:r w:rsidRPr="005D7C0F">
              <w:rPr>
                <w:rFonts w:cs="Times New Roman"/>
                <w:sz w:val="20"/>
                <w:szCs w:val="24"/>
              </w:rPr>
              <w:t>Repairs and maintenance</w:t>
            </w:r>
          </w:p>
        </w:tc>
        <w:tc>
          <w:tcPr>
            <w:tcW w:w="1684" w:type="dxa"/>
            <w:vAlign w:val="center"/>
          </w:tcPr>
          <w:p w14:paraId="00C11568" w14:textId="77777777" w:rsidR="00911B2F" w:rsidRPr="005D7C0F" w:rsidRDefault="00911B2F" w:rsidP="0062246E">
            <w:pPr>
              <w:jc w:val="right"/>
              <w:rPr>
                <w:rFonts w:cs="Times New Roman"/>
                <w:sz w:val="20"/>
                <w:szCs w:val="24"/>
              </w:rPr>
            </w:pPr>
            <w:r w:rsidRPr="005D7C0F">
              <w:rPr>
                <w:rFonts w:cs="Times New Roman"/>
                <w:sz w:val="20"/>
                <w:szCs w:val="24"/>
              </w:rPr>
              <w:t>8 312</w:t>
            </w:r>
          </w:p>
        </w:tc>
        <w:tc>
          <w:tcPr>
            <w:tcW w:w="1684" w:type="dxa"/>
            <w:vAlign w:val="center"/>
          </w:tcPr>
          <w:p w14:paraId="0A5EF952" w14:textId="77777777" w:rsidR="00911B2F" w:rsidRPr="005D7C0F" w:rsidRDefault="00911B2F" w:rsidP="0062246E">
            <w:pPr>
              <w:jc w:val="right"/>
              <w:rPr>
                <w:rFonts w:cs="Times New Roman"/>
                <w:sz w:val="20"/>
                <w:szCs w:val="24"/>
              </w:rPr>
            </w:pPr>
            <w:r w:rsidRPr="005D7C0F">
              <w:rPr>
                <w:rFonts w:cs="Times New Roman"/>
                <w:sz w:val="20"/>
                <w:szCs w:val="24"/>
              </w:rPr>
              <w:t>8 777</w:t>
            </w:r>
          </w:p>
        </w:tc>
        <w:tc>
          <w:tcPr>
            <w:tcW w:w="1684" w:type="dxa"/>
            <w:vAlign w:val="center"/>
          </w:tcPr>
          <w:p w14:paraId="788F7DA7" w14:textId="77777777" w:rsidR="00911B2F" w:rsidRPr="00517251" w:rsidRDefault="00911B2F" w:rsidP="0062246E">
            <w:pPr>
              <w:jc w:val="right"/>
              <w:rPr>
                <w:rFonts w:cs="Times New Roman"/>
                <w:sz w:val="20"/>
                <w:szCs w:val="24"/>
              </w:rPr>
            </w:pPr>
            <w:r w:rsidRPr="00517251">
              <w:rPr>
                <w:rFonts w:cs="Times New Roman"/>
                <w:sz w:val="20"/>
                <w:szCs w:val="24"/>
              </w:rPr>
              <w:t>9 260</w:t>
            </w:r>
          </w:p>
        </w:tc>
      </w:tr>
      <w:tr w:rsidR="00911B2F" w:rsidRPr="00B66120" w14:paraId="0CF41257" w14:textId="77777777" w:rsidTr="00911B2F">
        <w:tc>
          <w:tcPr>
            <w:tcW w:w="3964" w:type="dxa"/>
          </w:tcPr>
          <w:p w14:paraId="761593D4" w14:textId="77777777" w:rsidR="00911B2F" w:rsidRPr="005D7C0F" w:rsidRDefault="00911B2F" w:rsidP="0062246E">
            <w:pPr>
              <w:rPr>
                <w:rFonts w:cs="Times New Roman"/>
                <w:sz w:val="20"/>
                <w:szCs w:val="24"/>
              </w:rPr>
            </w:pPr>
            <w:r w:rsidRPr="005D7C0F">
              <w:rPr>
                <w:rFonts w:cs="Times New Roman"/>
                <w:sz w:val="20"/>
                <w:szCs w:val="24"/>
              </w:rPr>
              <w:t>Recapitalisation project</w:t>
            </w:r>
          </w:p>
        </w:tc>
        <w:tc>
          <w:tcPr>
            <w:tcW w:w="1684" w:type="dxa"/>
            <w:vAlign w:val="center"/>
          </w:tcPr>
          <w:p w14:paraId="34D523E7" w14:textId="77777777" w:rsidR="00911B2F" w:rsidRPr="005D7C0F" w:rsidRDefault="00911B2F" w:rsidP="0062246E">
            <w:pPr>
              <w:jc w:val="right"/>
              <w:rPr>
                <w:rFonts w:cs="Times New Roman"/>
                <w:sz w:val="20"/>
                <w:szCs w:val="24"/>
              </w:rPr>
            </w:pPr>
            <w:r w:rsidRPr="005D7C0F">
              <w:rPr>
                <w:rFonts w:cs="Times New Roman"/>
                <w:sz w:val="20"/>
                <w:szCs w:val="24"/>
              </w:rPr>
              <w:t>72 753</w:t>
            </w:r>
          </w:p>
        </w:tc>
        <w:tc>
          <w:tcPr>
            <w:tcW w:w="1684" w:type="dxa"/>
            <w:vAlign w:val="center"/>
          </w:tcPr>
          <w:p w14:paraId="6FCF205E" w14:textId="77777777" w:rsidR="00911B2F" w:rsidRPr="005D7C0F" w:rsidRDefault="00911B2F" w:rsidP="0062246E">
            <w:pPr>
              <w:jc w:val="right"/>
              <w:rPr>
                <w:rFonts w:cs="Times New Roman"/>
                <w:sz w:val="20"/>
                <w:szCs w:val="24"/>
              </w:rPr>
            </w:pPr>
            <w:r w:rsidRPr="005D7C0F">
              <w:rPr>
                <w:rFonts w:cs="Times New Roman"/>
                <w:sz w:val="20"/>
                <w:szCs w:val="24"/>
              </w:rPr>
              <w:t>76 827</w:t>
            </w:r>
          </w:p>
        </w:tc>
        <w:tc>
          <w:tcPr>
            <w:tcW w:w="1684" w:type="dxa"/>
            <w:vAlign w:val="center"/>
          </w:tcPr>
          <w:p w14:paraId="7819B2FA" w14:textId="77777777" w:rsidR="00911B2F" w:rsidRPr="00517251" w:rsidRDefault="00911B2F" w:rsidP="0062246E">
            <w:pPr>
              <w:jc w:val="right"/>
              <w:rPr>
                <w:rFonts w:cs="Times New Roman"/>
                <w:sz w:val="20"/>
                <w:szCs w:val="24"/>
              </w:rPr>
            </w:pPr>
            <w:r w:rsidRPr="00517251">
              <w:rPr>
                <w:rFonts w:cs="Times New Roman"/>
                <w:sz w:val="20"/>
                <w:szCs w:val="24"/>
              </w:rPr>
              <w:t>81 053</w:t>
            </w:r>
          </w:p>
        </w:tc>
      </w:tr>
      <w:tr w:rsidR="00911B2F" w:rsidRPr="00B66120" w14:paraId="34088D44" w14:textId="77777777" w:rsidTr="00911B2F">
        <w:tc>
          <w:tcPr>
            <w:tcW w:w="3964" w:type="dxa"/>
          </w:tcPr>
          <w:p w14:paraId="0A704E47" w14:textId="77777777" w:rsidR="00911B2F" w:rsidRPr="005D7C0F" w:rsidRDefault="00911B2F" w:rsidP="0062246E">
            <w:pPr>
              <w:rPr>
                <w:rFonts w:cs="Times New Roman"/>
                <w:sz w:val="20"/>
                <w:szCs w:val="24"/>
              </w:rPr>
            </w:pPr>
            <w:r w:rsidRPr="005D7C0F">
              <w:rPr>
                <w:rFonts w:cs="Times New Roman"/>
                <w:sz w:val="20"/>
                <w:szCs w:val="24"/>
              </w:rPr>
              <w:t>Audit fees</w:t>
            </w:r>
          </w:p>
        </w:tc>
        <w:tc>
          <w:tcPr>
            <w:tcW w:w="1684" w:type="dxa"/>
            <w:vAlign w:val="center"/>
          </w:tcPr>
          <w:p w14:paraId="1177B5E3" w14:textId="77777777" w:rsidR="00911B2F" w:rsidRPr="005D7C0F" w:rsidRDefault="00911B2F" w:rsidP="0062246E">
            <w:pPr>
              <w:jc w:val="right"/>
              <w:rPr>
                <w:rFonts w:cs="Times New Roman"/>
                <w:sz w:val="20"/>
                <w:szCs w:val="24"/>
              </w:rPr>
            </w:pPr>
            <w:r w:rsidRPr="005D7C0F">
              <w:rPr>
                <w:rFonts w:cs="Times New Roman"/>
                <w:sz w:val="20"/>
                <w:szCs w:val="24"/>
              </w:rPr>
              <w:t>880</w:t>
            </w:r>
          </w:p>
        </w:tc>
        <w:tc>
          <w:tcPr>
            <w:tcW w:w="1684" w:type="dxa"/>
            <w:vAlign w:val="center"/>
          </w:tcPr>
          <w:p w14:paraId="388992DE" w14:textId="77777777" w:rsidR="00911B2F" w:rsidRPr="005D7C0F" w:rsidRDefault="00911B2F" w:rsidP="0062246E">
            <w:pPr>
              <w:jc w:val="right"/>
              <w:rPr>
                <w:rFonts w:cs="Times New Roman"/>
                <w:sz w:val="20"/>
                <w:szCs w:val="24"/>
              </w:rPr>
            </w:pPr>
            <w:r w:rsidRPr="005D7C0F">
              <w:rPr>
                <w:rFonts w:cs="Times New Roman"/>
                <w:sz w:val="20"/>
                <w:szCs w:val="24"/>
              </w:rPr>
              <w:t>929</w:t>
            </w:r>
          </w:p>
        </w:tc>
        <w:tc>
          <w:tcPr>
            <w:tcW w:w="1684" w:type="dxa"/>
            <w:vAlign w:val="center"/>
          </w:tcPr>
          <w:p w14:paraId="10D41A7B" w14:textId="77777777" w:rsidR="00911B2F" w:rsidRPr="00517251" w:rsidRDefault="00911B2F" w:rsidP="0062246E">
            <w:pPr>
              <w:jc w:val="right"/>
              <w:rPr>
                <w:rFonts w:cs="Times New Roman"/>
                <w:sz w:val="20"/>
                <w:szCs w:val="24"/>
              </w:rPr>
            </w:pPr>
            <w:r w:rsidRPr="00517251">
              <w:rPr>
                <w:rFonts w:cs="Times New Roman"/>
                <w:sz w:val="20"/>
                <w:szCs w:val="24"/>
              </w:rPr>
              <w:t>980</w:t>
            </w:r>
          </w:p>
        </w:tc>
      </w:tr>
    </w:tbl>
    <w:p w14:paraId="47204677" w14:textId="77777777" w:rsidR="00911B2F" w:rsidRPr="005D7C0F" w:rsidRDefault="00911B2F" w:rsidP="0062246E">
      <w:pPr>
        <w:rPr>
          <w:rFonts w:cs="Times New Roman"/>
          <w:szCs w:val="24"/>
        </w:rPr>
      </w:pPr>
      <w:r w:rsidRPr="005D7C0F">
        <w:rPr>
          <w:rFonts w:cs="Times New Roman"/>
          <w:szCs w:val="24"/>
        </w:rPr>
        <w:t>Source: National Metrology Institute of South Africa (2018: 10)</w:t>
      </w:r>
    </w:p>
    <w:p w14:paraId="3C3C1820" w14:textId="77777777" w:rsidR="00911B2F" w:rsidRDefault="00911B2F" w:rsidP="0062246E">
      <w:pPr>
        <w:rPr>
          <w:rFonts w:cs="Times New Roman"/>
        </w:rPr>
      </w:pPr>
    </w:p>
    <w:p w14:paraId="6E392F91" w14:textId="77777777" w:rsidR="00911B2F" w:rsidRPr="00052A2F" w:rsidRDefault="00911B2F" w:rsidP="007D60EF">
      <w:pPr>
        <w:pStyle w:val="ListParagraph"/>
        <w:numPr>
          <w:ilvl w:val="2"/>
          <w:numId w:val="6"/>
        </w:numPr>
        <w:ind w:left="709" w:hanging="709"/>
        <w:rPr>
          <w:rFonts w:cs="Times New Roman"/>
          <w:b/>
          <w:szCs w:val="24"/>
        </w:rPr>
      </w:pPr>
      <w:r w:rsidRPr="00052A2F">
        <w:rPr>
          <w:rFonts w:cs="Times New Roman"/>
          <w:b/>
          <w:szCs w:val="24"/>
        </w:rPr>
        <w:t xml:space="preserve">Key issues raised by the </w:t>
      </w:r>
      <w:r w:rsidR="00C83555" w:rsidRPr="00052A2F">
        <w:rPr>
          <w:rFonts w:cs="Times New Roman"/>
          <w:b/>
          <w:szCs w:val="24"/>
        </w:rPr>
        <w:t xml:space="preserve">Committee </w:t>
      </w:r>
      <w:r w:rsidRPr="00052A2F">
        <w:rPr>
          <w:rFonts w:cs="Times New Roman"/>
          <w:b/>
          <w:szCs w:val="24"/>
        </w:rPr>
        <w:t>during its deliberations</w:t>
      </w:r>
    </w:p>
    <w:p w14:paraId="22E2C20B" w14:textId="77777777" w:rsidR="00911B2F" w:rsidRPr="00052A2F" w:rsidRDefault="00911B2F" w:rsidP="0062246E">
      <w:pPr>
        <w:autoSpaceDE w:val="0"/>
        <w:autoSpaceDN w:val="0"/>
        <w:adjustRightInd w:val="0"/>
        <w:rPr>
          <w:rFonts w:cs="Times New Roman"/>
          <w:b/>
          <w:szCs w:val="24"/>
        </w:rPr>
      </w:pPr>
    </w:p>
    <w:p w14:paraId="703AD6EA" w14:textId="77777777" w:rsidR="00911B2F" w:rsidRPr="00052A2F" w:rsidRDefault="00911B2F" w:rsidP="0062246E">
      <w:pPr>
        <w:rPr>
          <w:rFonts w:cs="Times New Roman"/>
          <w:szCs w:val="24"/>
        </w:rPr>
      </w:pPr>
      <w:r w:rsidRPr="00052A2F">
        <w:rPr>
          <w:rFonts w:cs="Times New Roman"/>
          <w:szCs w:val="24"/>
        </w:rPr>
        <w:t xml:space="preserve">During its deliberations, the </w:t>
      </w:r>
      <w:r w:rsidR="00C83555" w:rsidRPr="00052A2F">
        <w:rPr>
          <w:rFonts w:cs="Times New Roman"/>
          <w:szCs w:val="24"/>
        </w:rPr>
        <w:t xml:space="preserve">Committee </w:t>
      </w:r>
      <w:r w:rsidRPr="00052A2F">
        <w:rPr>
          <w:rFonts w:cs="Times New Roman"/>
          <w:szCs w:val="24"/>
        </w:rPr>
        <w:t>raised a number of issues which are captured below:</w:t>
      </w:r>
    </w:p>
    <w:p w14:paraId="1C53D4AF" w14:textId="77777777" w:rsidR="00911B2F" w:rsidRPr="00052A2F" w:rsidRDefault="00911B2F" w:rsidP="0062246E">
      <w:pPr>
        <w:rPr>
          <w:rFonts w:cs="Times New Roman"/>
          <w:szCs w:val="24"/>
        </w:rPr>
      </w:pPr>
    </w:p>
    <w:p w14:paraId="5712F2D9" w14:textId="77777777" w:rsidR="00C37189" w:rsidRDefault="00212989" w:rsidP="00C37189">
      <w:pPr>
        <w:pStyle w:val="ListParagraph"/>
        <w:numPr>
          <w:ilvl w:val="3"/>
          <w:numId w:val="6"/>
        </w:numPr>
        <w:ind w:left="851" w:hanging="851"/>
      </w:pPr>
      <w:r w:rsidRPr="009C1406">
        <w:rPr>
          <w:rFonts w:cs="Times New Roman"/>
          <w:b/>
          <w:i/>
          <w:szCs w:val="24"/>
        </w:rPr>
        <w:t>Human Resources</w:t>
      </w:r>
      <w:r w:rsidR="009C1406" w:rsidRPr="009C1406">
        <w:rPr>
          <w:rFonts w:cs="Times New Roman"/>
          <w:szCs w:val="24"/>
        </w:rPr>
        <w:t xml:space="preserve">: </w:t>
      </w:r>
      <w:r w:rsidRPr="009C1406">
        <w:rPr>
          <w:rFonts w:cs="Times New Roman"/>
        </w:rPr>
        <w:t>The Committee sought clarity on NMISA’s current vacancy rate</w:t>
      </w:r>
      <w:r w:rsidR="009C1406">
        <w:rPr>
          <w:rFonts w:cs="Times New Roman"/>
        </w:rPr>
        <w:t xml:space="preserve">, in particular the </w:t>
      </w:r>
      <w:r w:rsidR="00770B9C">
        <w:rPr>
          <w:rFonts w:cs="Times New Roman"/>
        </w:rPr>
        <w:t>Chief Financial Officer</w:t>
      </w:r>
      <w:r w:rsidR="009C1406">
        <w:rPr>
          <w:rFonts w:cs="Times New Roman"/>
        </w:rPr>
        <w:t>’s position</w:t>
      </w:r>
      <w:r w:rsidRPr="009C1406">
        <w:rPr>
          <w:rFonts w:cs="Times New Roman"/>
        </w:rPr>
        <w:t>.</w:t>
      </w:r>
      <w:r w:rsidR="009C1406">
        <w:rPr>
          <w:rFonts w:cs="Times New Roman"/>
        </w:rPr>
        <w:t xml:space="preserve"> It also requested information regarding NMISA’s skills development and retention policies.</w:t>
      </w:r>
      <w:r w:rsidRPr="009C1406">
        <w:rPr>
          <w:rFonts w:cs="Times New Roman"/>
        </w:rPr>
        <w:t xml:space="preserve"> NMISA </w:t>
      </w:r>
      <w:r w:rsidR="009C1406">
        <w:rPr>
          <w:rFonts w:cs="Times New Roman"/>
        </w:rPr>
        <w:t xml:space="preserve">indicated that it recruited through partnership with most universities and filled its positions with </w:t>
      </w:r>
      <w:r w:rsidR="009C1406">
        <w:t>PHD and MSc students who are work on joint research with NMISA through their universities</w:t>
      </w:r>
      <w:r w:rsidRPr="009C1406">
        <w:rPr>
          <w:rFonts w:cs="Times New Roman"/>
        </w:rPr>
        <w:t>.</w:t>
      </w:r>
      <w:r w:rsidR="00770B9C" w:rsidRPr="00770B9C">
        <w:t xml:space="preserve"> </w:t>
      </w:r>
      <w:r w:rsidR="00770B9C">
        <w:t xml:space="preserve">NMISA noted that it can take up to five years to fully train a metrologist but they have managed to shorten this to 6 months once someone is a specialist in their field. To retain employees, they have a career ladder process for specialist scientists and managers. They also focus on creating an environment to retain metrologists but other areas like human resources and financial management tend to get poached. NMISA qualified that the existing critical vacancy was for a </w:t>
      </w:r>
      <w:r w:rsidR="009C1406">
        <w:t>director in the C</w:t>
      </w:r>
      <w:r w:rsidR="00770B9C">
        <w:t xml:space="preserve">hief </w:t>
      </w:r>
      <w:r w:rsidR="009C1406">
        <w:t>E</w:t>
      </w:r>
      <w:r w:rsidR="00770B9C">
        <w:t xml:space="preserve">xecutive </w:t>
      </w:r>
      <w:r w:rsidR="009C1406">
        <w:t>O</w:t>
      </w:r>
      <w:r w:rsidR="00770B9C">
        <w:t>fficer</w:t>
      </w:r>
      <w:r w:rsidR="009C1406">
        <w:t>’s office</w:t>
      </w:r>
      <w:r w:rsidR="00770B9C">
        <w:t xml:space="preserve"> and not the </w:t>
      </w:r>
      <w:r w:rsidR="00770B9C">
        <w:rPr>
          <w:rFonts w:cs="Times New Roman"/>
        </w:rPr>
        <w:t>Chief Financial Officer</w:t>
      </w:r>
      <w:r w:rsidR="009C1406">
        <w:t>.</w:t>
      </w:r>
    </w:p>
    <w:p w14:paraId="0CFB4E4B" w14:textId="77777777" w:rsidR="00C37189" w:rsidRDefault="00C37189" w:rsidP="00C37189">
      <w:pPr>
        <w:pStyle w:val="ListParagraph"/>
        <w:ind w:left="851"/>
      </w:pPr>
    </w:p>
    <w:p w14:paraId="1FF75676" w14:textId="77777777" w:rsidR="00212989" w:rsidRPr="00C37189" w:rsidRDefault="00C37189" w:rsidP="00C37189">
      <w:pPr>
        <w:pStyle w:val="ListParagraph"/>
        <w:numPr>
          <w:ilvl w:val="3"/>
          <w:numId w:val="6"/>
        </w:numPr>
        <w:ind w:left="851" w:hanging="851"/>
      </w:pPr>
      <w:r>
        <w:rPr>
          <w:rFonts w:cs="Times New Roman"/>
          <w:b/>
          <w:i/>
          <w:szCs w:val="24"/>
        </w:rPr>
        <w:lastRenderedPageBreak/>
        <w:t xml:space="preserve">Ageing </w:t>
      </w:r>
      <w:r w:rsidR="00212989" w:rsidRPr="00C37189">
        <w:rPr>
          <w:rFonts w:cs="Times New Roman"/>
          <w:b/>
          <w:i/>
          <w:szCs w:val="24"/>
        </w:rPr>
        <w:t>Technical Infrastructure</w:t>
      </w:r>
      <w:r w:rsidRPr="00C37189">
        <w:rPr>
          <w:rFonts w:cs="Times New Roman"/>
          <w:szCs w:val="24"/>
        </w:rPr>
        <w:t>:</w:t>
      </w:r>
      <w:r>
        <w:rPr>
          <w:rFonts w:cs="Times New Roman"/>
          <w:szCs w:val="24"/>
        </w:rPr>
        <w:t xml:space="preserve"> The Committee remained concerned about the slow process and lack of funding being made available to develop a new building and procure appropriate equipment to ensure that NMISA is able to keep up to date with constantly changing metrology standards. Failure to do so posed a risk to the economy and health and safety of citizens and the environment. </w:t>
      </w:r>
      <w:r w:rsidR="00610221">
        <w:rPr>
          <w:rFonts w:cs="Times New Roman"/>
          <w:szCs w:val="24"/>
        </w:rPr>
        <w:t xml:space="preserve">NMISA indicated that thus far they had </w:t>
      </w:r>
      <w:r w:rsidR="00610221">
        <w:t>identified land owned by the Department of Public Works for the new building and were working on acquiring this land. Other phases would include geotechnical analyses to ensure that the design of the building will be suitable for its purpose.</w:t>
      </w:r>
      <w:r w:rsidR="00610221">
        <w:rPr>
          <w:rFonts w:cs="Times New Roman"/>
          <w:szCs w:val="24"/>
        </w:rPr>
        <w:t xml:space="preserve"> The DTI assured the Committee that NMISA’s recapitalisation was being taken seriously and it was in continuous engagements with National Treasury to secure further funding. In the meantime, it had committed to extending the annual grant over </w:t>
      </w:r>
      <w:r w:rsidR="00610221" w:rsidRPr="00A84467">
        <w:rPr>
          <w:rFonts w:cs="Times New Roman"/>
          <w:szCs w:val="24"/>
        </w:rPr>
        <w:t>the next 25 years</w:t>
      </w:r>
      <w:r w:rsidR="00610221">
        <w:rPr>
          <w:rFonts w:cs="Times New Roman"/>
          <w:szCs w:val="24"/>
        </w:rPr>
        <w:t xml:space="preserve"> for this purpose from its baseline. This would amount to </w:t>
      </w:r>
      <w:r w:rsidR="00610221" w:rsidRPr="00A84467">
        <w:rPr>
          <w:rFonts w:cs="Times New Roman"/>
          <w:szCs w:val="24"/>
        </w:rPr>
        <w:t>R130 million</w:t>
      </w:r>
      <w:r w:rsidR="00610221">
        <w:rPr>
          <w:rFonts w:cs="Times New Roman"/>
          <w:szCs w:val="24"/>
        </w:rPr>
        <w:t xml:space="preserve"> annually</w:t>
      </w:r>
      <w:r w:rsidR="00610221" w:rsidRPr="00A84467">
        <w:rPr>
          <w:rFonts w:cs="Times New Roman"/>
          <w:szCs w:val="24"/>
        </w:rPr>
        <w:t>.</w:t>
      </w:r>
      <w:r w:rsidR="00610221">
        <w:rPr>
          <w:rFonts w:cs="Times New Roman"/>
          <w:szCs w:val="24"/>
        </w:rPr>
        <w:t xml:space="preserve"> However, the Committee was of the view that this would be grossly insufficient to meet the needs of such a crucial institution.</w:t>
      </w:r>
    </w:p>
    <w:p w14:paraId="6EBC9DB8" w14:textId="77777777" w:rsidR="00C37189" w:rsidRDefault="00C37189" w:rsidP="00C37189">
      <w:pPr>
        <w:pStyle w:val="ListParagraph"/>
      </w:pPr>
    </w:p>
    <w:p w14:paraId="54FB862B" w14:textId="77777777" w:rsidR="00F33062" w:rsidRDefault="00610221" w:rsidP="00F33062">
      <w:pPr>
        <w:pStyle w:val="ListParagraph"/>
        <w:numPr>
          <w:ilvl w:val="3"/>
          <w:numId w:val="6"/>
        </w:numPr>
        <w:ind w:left="851" w:hanging="851"/>
      </w:pPr>
      <w:r w:rsidRPr="00610221">
        <w:rPr>
          <w:b/>
          <w:i/>
        </w:rPr>
        <w:t>Scope to increase revenue</w:t>
      </w:r>
      <w:r>
        <w:t xml:space="preserve">: The Committee enquired what NMISA’s plans were to </w:t>
      </w:r>
      <w:r w:rsidR="00F33062">
        <w:t>increase its external revenue. NMISA responded that they were engaging with industry on further ways to partner with them. They also noted that in the past they had not actively marketed their services and would be placing more emphasis on this in future.</w:t>
      </w:r>
    </w:p>
    <w:p w14:paraId="5056EFDE" w14:textId="77777777" w:rsidR="00F33062" w:rsidRPr="00F33062" w:rsidRDefault="00F33062" w:rsidP="00F33062">
      <w:pPr>
        <w:pStyle w:val="ListParagraph"/>
        <w:rPr>
          <w:rFonts w:cs="Times New Roman"/>
          <w:b/>
          <w:szCs w:val="24"/>
        </w:rPr>
      </w:pPr>
    </w:p>
    <w:p w14:paraId="323D0618" w14:textId="77777777" w:rsidR="00212989" w:rsidRPr="00F33062" w:rsidRDefault="00212989" w:rsidP="0044041F">
      <w:pPr>
        <w:pStyle w:val="ListParagraph"/>
        <w:numPr>
          <w:ilvl w:val="3"/>
          <w:numId w:val="6"/>
        </w:numPr>
        <w:ind w:left="851" w:hanging="851"/>
        <w:rPr>
          <w:rFonts w:cs="Times New Roman"/>
        </w:rPr>
      </w:pPr>
      <w:r w:rsidRPr="00F33062">
        <w:rPr>
          <w:rFonts w:cs="Times New Roman"/>
          <w:b/>
          <w:i/>
          <w:szCs w:val="24"/>
        </w:rPr>
        <w:t>Fourth Industrial Revolution</w:t>
      </w:r>
      <w:r w:rsidR="00F33062" w:rsidRPr="00F33062">
        <w:rPr>
          <w:rFonts w:cs="Times New Roman"/>
          <w:szCs w:val="24"/>
        </w:rPr>
        <w:t xml:space="preserve">: </w:t>
      </w:r>
      <w:r w:rsidRPr="00F33062">
        <w:rPr>
          <w:rFonts w:cs="Times New Roman"/>
          <w:szCs w:val="24"/>
        </w:rPr>
        <w:t xml:space="preserve">The Committee </w:t>
      </w:r>
      <w:r w:rsidR="00F33062" w:rsidRPr="00F33062">
        <w:rPr>
          <w:rFonts w:cs="Times New Roman"/>
          <w:szCs w:val="24"/>
        </w:rPr>
        <w:t xml:space="preserve">enquired what </w:t>
      </w:r>
      <w:r w:rsidRPr="00F33062">
        <w:rPr>
          <w:rFonts w:cs="Times New Roman"/>
          <w:szCs w:val="24"/>
        </w:rPr>
        <w:t xml:space="preserve">role </w:t>
      </w:r>
      <w:r w:rsidR="00F33062" w:rsidRPr="00F33062">
        <w:rPr>
          <w:rFonts w:cs="Times New Roman"/>
          <w:szCs w:val="24"/>
        </w:rPr>
        <w:t xml:space="preserve">NMISA could </w:t>
      </w:r>
      <w:r w:rsidRPr="00F33062">
        <w:rPr>
          <w:rFonts w:cs="Times New Roman"/>
          <w:szCs w:val="24"/>
        </w:rPr>
        <w:t>play</w:t>
      </w:r>
      <w:r w:rsidR="00F33062" w:rsidRPr="00F33062">
        <w:rPr>
          <w:rFonts w:cs="Times New Roman"/>
          <w:szCs w:val="24"/>
        </w:rPr>
        <w:t xml:space="preserve"> in preparing for t</w:t>
      </w:r>
      <w:r w:rsidRPr="00F33062">
        <w:rPr>
          <w:rFonts w:cs="Times New Roman"/>
          <w:szCs w:val="24"/>
        </w:rPr>
        <w:t xml:space="preserve">he Fourth Industrial Revolution. </w:t>
      </w:r>
      <w:r w:rsidR="00F33062" w:rsidRPr="00F33062">
        <w:rPr>
          <w:rFonts w:cs="Times New Roman"/>
          <w:szCs w:val="24"/>
        </w:rPr>
        <w:t xml:space="preserve">NMISA indicated that </w:t>
      </w:r>
      <w:r w:rsidR="00F33062">
        <w:rPr>
          <w:rFonts w:cs="Times New Roman"/>
          <w:szCs w:val="24"/>
        </w:rPr>
        <w:t xml:space="preserve">the </w:t>
      </w:r>
      <w:r w:rsidR="00F33062">
        <w:t>metrology world was working on digitisation and were looking at requirements in this regard. The main area was ensuring the accuracy of sensors as measuring tools. They were developing a strategy to move from a conformity based quality system to an input based one and were one of three national metrology institutions developing the standards for 3D printing.</w:t>
      </w:r>
    </w:p>
    <w:p w14:paraId="6A1F9684" w14:textId="77777777" w:rsidR="00F33062" w:rsidRPr="00F33062" w:rsidRDefault="00F33062" w:rsidP="00F33062">
      <w:pPr>
        <w:rPr>
          <w:rFonts w:cs="Times New Roman"/>
        </w:rPr>
      </w:pPr>
    </w:p>
    <w:p w14:paraId="58DE30F3" w14:textId="77777777" w:rsidR="00911B2F" w:rsidRDefault="00911B2F" w:rsidP="007D60EF">
      <w:pPr>
        <w:pStyle w:val="ListParagraph"/>
        <w:numPr>
          <w:ilvl w:val="1"/>
          <w:numId w:val="6"/>
        </w:numPr>
        <w:ind w:left="567" w:hanging="567"/>
        <w:rPr>
          <w:rFonts w:cs="Times New Roman"/>
          <w:b/>
        </w:rPr>
      </w:pPr>
      <w:r w:rsidRPr="00B66120">
        <w:rPr>
          <w:rFonts w:cs="Times New Roman"/>
          <w:b/>
        </w:rPr>
        <w:t>South African National Accreditation System</w:t>
      </w:r>
      <w:r>
        <w:rPr>
          <w:rFonts w:cs="Times New Roman"/>
          <w:b/>
        </w:rPr>
        <w:t xml:space="preserve"> (SANAS)</w:t>
      </w:r>
    </w:p>
    <w:p w14:paraId="5F08C2CD" w14:textId="77777777" w:rsidR="00911B2F" w:rsidRDefault="00911B2F" w:rsidP="0062246E">
      <w:pPr>
        <w:rPr>
          <w:rFonts w:cs="Times New Roman"/>
        </w:rPr>
      </w:pPr>
    </w:p>
    <w:p w14:paraId="6E261B38" w14:textId="77777777" w:rsidR="00911B2F" w:rsidRDefault="00911B2F" w:rsidP="0062246E">
      <w:pPr>
        <w:rPr>
          <w:rFonts w:cs="Times New Roman"/>
        </w:rPr>
      </w:pPr>
      <w:r w:rsidRPr="005C773F">
        <w:rPr>
          <w:rFonts w:cs="Times New Roman"/>
        </w:rPr>
        <w:t xml:space="preserve">SANAS is the </w:t>
      </w:r>
      <w:r>
        <w:rPr>
          <w:rFonts w:cs="Times New Roman"/>
        </w:rPr>
        <w:t>s</w:t>
      </w:r>
      <w:r w:rsidRPr="005C773F">
        <w:rPr>
          <w:rFonts w:cs="Times New Roman"/>
        </w:rPr>
        <w:t>ole National Accreditation Body</w:t>
      </w:r>
      <w:r>
        <w:rPr>
          <w:rFonts w:cs="Times New Roman"/>
        </w:rPr>
        <w:t xml:space="preserve"> in South Africa and its mandate is set out in the </w:t>
      </w:r>
      <w:r w:rsidRPr="005C773F">
        <w:rPr>
          <w:rFonts w:cs="Times New Roman"/>
        </w:rPr>
        <w:t xml:space="preserve">Accreditation for Conformity Assessment, Calibration and Good Laboratory Practice Act </w:t>
      </w:r>
      <w:r w:rsidRPr="005C773F">
        <w:rPr>
          <w:rFonts w:cs="Times New Roman"/>
        </w:rPr>
        <w:lastRenderedPageBreak/>
        <w:t>(No. 19 of 2006)</w:t>
      </w:r>
      <w:r>
        <w:rPr>
          <w:rFonts w:cs="Times New Roman"/>
        </w:rPr>
        <w:t xml:space="preserve">. It </w:t>
      </w:r>
      <w:r w:rsidRPr="005C773F">
        <w:rPr>
          <w:rFonts w:cs="Times New Roman"/>
        </w:rPr>
        <w:t>provides an internationally recognised and effective accreditation and monitoring system for the Republic of South Africa by:</w:t>
      </w:r>
    </w:p>
    <w:p w14:paraId="46EF3100" w14:textId="77777777" w:rsidR="00911B2F" w:rsidRPr="005C773F" w:rsidRDefault="00911B2F" w:rsidP="0062246E">
      <w:pPr>
        <w:rPr>
          <w:rFonts w:cs="Times New Roman"/>
        </w:rPr>
      </w:pPr>
    </w:p>
    <w:p w14:paraId="61379800" w14:textId="77777777" w:rsidR="00911B2F" w:rsidRPr="005C773F" w:rsidRDefault="00911B2F" w:rsidP="007D60EF">
      <w:pPr>
        <w:numPr>
          <w:ilvl w:val="0"/>
          <w:numId w:val="14"/>
        </w:numPr>
        <w:rPr>
          <w:rFonts w:cs="Times New Roman"/>
        </w:rPr>
      </w:pPr>
      <w:r w:rsidRPr="005C773F">
        <w:rPr>
          <w:rFonts w:cs="Times New Roman"/>
        </w:rPr>
        <w:t>Accredit</w:t>
      </w:r>
      <w:r>
        <w:rPr>
          <w:rFonts w:cs="Times New Roman"/>
        </w:rPr>
        <w:t>ing</w:t>
      </w:r>
      <w:r w:rsidRPr="005C773F">
        <w:rPr>
          <w:rFonts w:cs="Times New Roman"/>
        </w:rPr>
        <w:t xml:space="preserve"> or monitor</w:t>
      </w:r>
      <w:r>
        <w:rPr>
          <w:rFonts w:cs="Times New Roman"/>
        </w:rPr>
        <w:t>ing</w:t>
      </w:r>
      <w:r w:rsidRPr="005C773F">
        <w:rPr>
          <w:rFonts w:cs="Times New Roman"/>
        </w:rPr>
        <w:t xml:space="preserve"> organisations falling within its scope of activity for good laboratory practice complian</w:t>
      </w:r>
      <w:r>
        <w:rPr>
          <w:rFonts w:cs="Times New Roman"/>
        </w:rPr>
        <w:t>ce purposes;</w:t>
      </w:r>
    </w:p>
    <w:p w14:paraId="2CCF3163" w14:textId="77777777" w:rsidR="00911B2F" w:rsidRPr="005C773F" w:rsidRDefault="00911B2F" w:rsidP="007D60EF">
      <w:pPr>
        <w:numPr>
          <w:ilvl w:val="0"/>
          <w:numId w:val="14"/>
        </w:numPr>
        <w:rPr>
          <w:rFonts w:cs="Times New Roman"/>
        </w:rPr>
      </w:pPr>
      <w:r>
        <w:rPr>
          <w:rFonts w:cs="Times New Roman"/>
        </w:rPr>
        <w:t>Promoting</w:t>
      </w:r>
      <w:r w:rsidRPr="005C773F">
        <w:rPr>
          <w:rFonts w:cs="Times New Roman"/>
        </w:rPr>
        <w:t xml:space="preserve"> accreditation as a means of facilitating international trade and enhancing South Africa’s economic performance and transformation</w:t>
      </w:r>
      <w:r>
        <w:rPr>
          <w:rFonts w:cs="Times New Roman"/>
        </w:rPr>
        <w:t>;</w:t>
      </w:r>
    </w:p>
    <w:p w14:paraId="23A66055" w14:textId="77777777" w:rsidR="00911B2F" w:rsidRPr="005C773F" w:rsidRDefault="00911B2F" w:rsidP="007D60EF">
      <w:pPr>
        <w:numPr>
          <w:ilvl w:val="0"/>
          <w:numId w:val="14"/>
        </w:numPr>
        <w:rPr>
          <w:rFonts w:cs="Times New Roman"/>
        </w:rPr>
      </w:pPr>
      <w:r>
        <w:rPr>
          <w:rFonts w:cs="Times New Roman"/>
        </w:rPr>
        <w:t>Promoting</w:t>
      </w:r>
      <w:r w:rsidRPr="005C773F">
        <w:rPr>
          <w:rFonts w:cs="Times New Roman"/>
        </w:rPr>
        <w:t xml:space="preserve"> the competence and equivalence of accredited bodies</w:t>
      </w:r>
      <w:r>
        <w:rPr>
          <w:rFonts w:cs="Times New Roman"/>
        </w:rPr>
        <w:t xml:space="preserve">; and </w:t>
      </w:r>
      <w:r w:rsidRPr="005C773F">
        <w:rPr>
          <w:rFonts w:cs="Times New Roman"/>
        </w:rPr>
        <w:t xml:space="preserve"> </w:t>
      </w:r>
    </w:p>
    <w:p w14:paraId="40CA6DA7" w14:textId="77777777" w:rsidR="00911B2F" w:rsidRPr="005C773F" w:rsidRDefault="00911B2F" w:rsidP="007D60EF">
      <w:pPr>
        <w:numPr>
          <w:ilvl w:val="0"/>
          <w:numId w:val="14"/>
        </w:numPr>
        <w:tabs>
          <w:tab w:val="num" w:pos="3016"/>
        </w:tabs>
        <w:jc w:val="left"/>
        <w:rPr>
          <w:rFonts w:cs="Times New Roman"/>
        </w:rPr>
      </w:pPr>
      <w:r>
        <w:rPr>
          <w:rFonts w:cs="Times New Roman"/>
        </w:rPr>
        <w:t>Promoting</w:t>
      </w:r>
      <w:r w:rsidRPr="005C773F">
        <w:rPr>
          <w:rFonts w:cs="Times New Roman"/>
        </w:rPr>
        <w:t xml:space="preserve"> the competence and equivalence of good laboratory practice-compliant facilities</w:t>
      </w:r>
      <w:r>
        <w:rPr>
          <w:rFonts w:cs="Times New Roman"/>
        </w:rPr>
        <w:t>.</w:t>
      </w:r>
    </w:p>
    <w:p w14:paraId="30DD722A" w14:textId="77777777" w:rsidR="00911B2F" w:rsidRDefault="00911B2F" w:rsidP="0062246E">
      <w:pPr>
        <w:rPr>
          <w:rFonts w:cs="Times New Roman"/>
        </w:rPr>
      </w:pPr>
    </w:p>
    <w:p w14:paraId="3A718E93" w14:textId="77777777" w:rsidR="00911B2F" w:rsidRDefault="00911B2F" w:rsidP="0062246E">
      <w:pPr>
        <w:rPr>
          <w:rFonts w:cs="Times New Roman"/>
        </w:rPr>
      </w:pPr>
      <w:r>
        <w:rPr>
          <w:rFonts w:cs="Times New Roman"/>
        </w:rPr>
        <w:t>The areas falling under SANAS’s mandate include calibration laboratories and proficiency testing schemes; testing laboratories; pharmaceutical laboratories; inspection bodies; legal metrology verification laboratories; certification bodies; blood transfusion facilities; forensic laboratories; and B-BBEE verification agencies.</w:t>
      </w:r>
    </w:p>
    <w:p w14:paraId="317764A9" w14:textId="77777777" w:rsidR="00911B2F" w:rsidRDefault="00911B2F" w:rsidP="0062246E">
      <w:pPr>
        <w:rPr>
          <w:rFonts w:cs="Times New Roman"/>
        </w:rPr>
      </w:pPr>
    </w:p>
    <w:p w14:paraId="4C5D7745" w14:textId="77777777" w:rsidR="00911B2F" w:rsidRPr="005C773F" w:rsidRDefault="00911B2F" w:rsidP="0062246E">
      <w:pPr>
        <w:rPr>
          <w:rFonts w:cs="Times New Roman"/>
        </w:rPr>
      </w:pPr>
      <w:r>
        <w:rPr>
          <w:rFonts w:cs="Times New Roman"/>
        </w:rPr>
        <w:t xml:space="preserve">In addition, SANAS </w:t>
      </w:r>
      <w:r w:rsidRPr="005C773F">
        <w:rPr>
          <w:rFonts w:cs="Times New Roman"/>
        </w:rPr>
        <w:t xml:space="preserve">is the official Good Laboratory Practices </w:t>
      </w:r>
      <w:r>
        <w:rPr>
          <w:rFonts w:cs="Times New Roman"/>
        </w:rPr>
        <w:t>(</w:t>
      </w:r>
      <w:r w:rsidRPr="005C773F">
        <w:rPr>
          <w:rFonts w:cs="Times New Roman"/>
        </w:rPr>
        <w:t>GLP</w:t>
      </w:r>
      <w:r>
        <w:rPr>
          <w:rFonts w:cs="Times New Roman"/>
        </w:rPr>
        <w:t>)</w:t>
      </w:r>
      <w:r w:rsidRPr="005C773F">
        <w:rPr>
          <w:rFonts w:cs="Times New Roman"/>
        </w:rPr>
        <w:t xml:space="preserve"> Compliance Monitoring Agency for the Organisation for Economic Cooperation and Development (OECD) on behalf of South Africa</w:t>
      </w:r>
      <w:r>
        <w:rPr>
          <w:rFonts w:cs="Times New Roman"/>
        </w:rPr>
        <w:t xml:space="preserve">. Furthermore, </w:t>
      </w:r>
      <w:r w:rsidRPr="005C773F">
        <w:rPr>
          <w:rFonts w:cs="Times New Roman"/>
        </w:rPr>
        <w:t>in any legal proceedings</w:t>
      </w:r>
      <w:r>
        <w:rPr>
          <w:rFonts w:cs="Times New Roman"/>
        </w:rPr>
        <w:t>,</w:t>
      </w:r>
      <w:r w:rsidRPr="005C773F">
        <w:rPr>
          <w:rFonts w:cs="Times New Roman"/>
        </w:rPr>
        <w:t xml:space="preserve"> SANAS certificates issued is upon its production evidence of the facts contained therein.</w:t>
      </w:r>
    </w:p>
    <w:p w14:paraId="38B55DAB" w14:textId="77777777" w:rsidR="00911B2F" w:rsidRDefault="00911B2F" w:rsidP="0062246E">
      <w:pPr>
        <w:rPr>
          <w:rFonts w:cs="Times New Roman"/>
        </w:rPr>
      </w:pPr>
    </w:p>
    <w:p w14:paraId="0B9A109C" w14:textId="77777777" w:rsidR="00911B2F" w:rsidRPr="004D77AA" w:rsidRDefault="00911B2F" w:rsidP="007D60EF">
      <w:pPr>
        <w:pStyle w:val="ListParagraph"/>
        <w:numPr>
          <w:ilvl w:val="2"/>
          <w:numId w:val="6"/>
        </w:numPr>
        <w:ind w:left="709" w:hanging="709"/>
        <w:rPr>
          <w:rFonts w:cs="Times New Roman"/>
          <w:b/>
          <w:szCs w:val="24"/>
        </w:rPr>
      </w:pPr>
      <w:r w:rsidRPr="004D77AA">
        <w:rPr>
          <w:rFonts w:cs="Times New Roman"/>
          <w:b/>
          <w:szCs w:val="24"/>
        </w:rPr>
        <w:t xml:space="preserve">Strategic </w:t>
      </w:r>
      <w:r>
        <w:rPr>
          <w:rFonts w:cs="Times New Roman"/>
          <w:b/>
          <w:szCs w:val="24"/>
        </w:rPr>
        <w:t>Outcome-oriented Goals</w:t>
      </w:r>
    </w:p>
    <w:p w14:paraId="307BE725" w14:textId="77777777" w:rsidR="00911B2F" w:rsidRDefault="00911B2F" w:rsidP="0062246E">
      <w:pPr>
        <w:pStyle w:val="Default"/>
        <w:spacing w:line="360" w:lineRule="auto"/>
        <w:jc w:val="both"/>
        <w:rPr>
          <w:rFonts w:ascii="Times New Roman" w:hAnsi="Times New Roman" w:cs="Times New Roman"/>
          <w:color w:val="auto"/>
        </w:rPr>
      </w:pPr>
    </w:p>
    <w:p w14:paraId="1C5F524E" w14:textId="77777777" w:rsidR="00911B2F" w:rsidRDefault="00911B2F" w:rsidP="0062246E">
      <w:pPr>
        <w:pStyle w:val="Default"/>
        <w:spacing w:line="360" w:lineRule="auto"/>
        <w:jc w:val="both"/>
        <w:rPr>
          <w:rFonts w:ascii="Times New Roman" w:hAnsi="Times New Roman" w:cs="Times New Roman"/>
          <w:color w:val="auto"/>
        </w:rPr>
      </w:pPr>
      <w:r>
        <w:rPr>
          <w:rFonts w:ascii="Times New Roman" w:hAnsi="Times New Roman" w:cs="Times New Roman"/>
          <w:color w:val="auto"/>
        </w:rPr>
        <w:t>In its 2018/19 Annual Performance Plan, it outlines its strategic objectives as follows, to:</w:t>
      </w:r>
    </w:p>
    <w:p w14:paraId="0FE54857" w14:textId="77777777" w:rsidR="00911B2F" w:rsidRDefault="00911B2F" w:rsidP="0062246E">
      <w:pPr>
        <w:pStyle w:val="Default"/>
        <w:spacing w:line="360" w:lineRule="auto"/>
        <w:jc w:val="both"/>
        <w:rPr>
          <w:rFonts w:ascii="Times New Roman" w:hAnsi="Times New Roman" w:cs="Times New Roman"/>
          <w:color w:val="auto"/>
        </w:rPr>
      </w:pPr>
    </w:p>
    <w:p w14:paraId="6A14E873" w14:textId="77777777" w:rsidR="00911B2F" w:rsidRPr="00E03EC6" w:rsidRDefault="00911B2F" w:rsidP="007D60EF">
      <w:pPr>
        <w:pStyle w:val="Default"/>
        <w:numPr>
          <w:ilvl w:val="0"/>
          <w:numId w:val="15"/>
        </w:numPr>
        <w:spacing w:line="360" w:lineRule="auto"/>
        <w:jc w:val="both"/>
        <w:rPr>
          <w:rFonts w:ascii="Times New Roman" w:hAnsi="Times New Roman" w:cs="Times New Roman"/>
          <w:color w:val="auto"/>
        </w:rPr>
      </w:pPr>
      <w:r w:rsidRPr="00E03EC6">
        <w:rPr>
          <w:rFonts w:ascii="Times New Roman" w:hAnsi="Times New Roman" w:cs="Times New Roman"/>
          <w:bCs/>
        </w:rPr>
        <w:t>Improve SANAS’s operational efficiency to deliver services with a spirit of excellence</w:t>
      </w:r>
      <w:r>
        <w:rPr>
          <w:rFonts w:ascii="Times New Roman" w:hAnsi="Times New Roman" w:cs="Times New Roman"/>
          <w:bCs/>
        </w:rPr>
        <w:t>;</w:t>
      </w:r>
    </w:p>
    <w:p w14:paraId="3F26827B" w14:textId="77777777" w:rsidR="00911B2F" w:rsidRDefault="00911B2F" w:rsidP="007D60EF">
      <w:pPr>
        <w:pStyle w:val="Default"/>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Pr>
        <w:t>Contribute to industrial development and the protection of health, safety and the environment;</w:t>
      </w:r>
    </w:p>
    <w:p w14:paraId="43688871" w14:textId="77777777" w:rsidR="00911B2F" w:rsidRDefault="00911B2F" w:rsidP="007D60EF">
      <w:pPr>
        <w:pStyle w:val="Default"/>
        <w:numPr>
          <w:ilvl w:val="0"/>
          <w:numId w:val="15"/>
        </w:numPr>
        <w:spacing w:line="360" w:lineRule="auto"/>
        <w:jc w:val="both"/>
        <w:rPr>
          <w:rFonts w:ascii="Times New Roman" w:hAnsi="Times New Roman" w:cs="Times New Roman"/>
          <w:color w:val="auto"/>
        </w:rPr>
      </w:pPr>
      <w:r>
        <w:rPr>
          <w:rFonts w:ascii="Times New Roman" w:hAnsi="Times New Roman" w:cs="Times New Roman"/>
          <w:color w:val="auto"/>
        </w:rPr>
        <w:t xml:space="preserve">Promote </w:t>
      </w:r>
      <w:r w:rsidRPr="00E03EC6">
        <w:rPr>
          <w:rFonts w:ascii="Times New Roman" w:hAnsi="Times New Roman" w:cs="Times New Roman"/>
          <w:color w:val="auto"/>
        </w:rPr>
        <w:t xml:space="preserve">acceptance of SANAS-accredited results among global partners to advance South Africa’s trade and </w:t>
      </w:r>
      <w:r>
        <w:rPr>
          <w:rFonts w:ascii="Times New Roman" w:hAnsi="Times New Roman" w:cs="Times New Roman"/>
          <w:color w:val="auto"/>
        </w:rPr>
        <w:t>industry</w:t>
      </w:r>
      <w:r w:rsidRPr="00E03EC6">
        <w:rPr>
          <w:rFonts w:ascii="Times New Roman" w:hAnsi="Times New Roman" w:cs="Times New Roman"/>
          <w:color w:val="auto"/>
        </w:rPr>
        <w:t xml:space="preserve"> development objectives</w:t>
      </w:r>
      <w:r>
        <w:rPr>
          <w:rFonts w:ascii="Times New Roman" w:hAnsi="Times New Roman" w:cs="Times New Roman"/>
          <w:color w:val="auto"/>
        </w:rPr>
        <w:t>; and</w:t>
      </w:r>
    </w:p>
    <w:p w14:paraId="1C473623" w14:textId="77777777" w:rsidR="00911B2F" w:rsidRPr="00E03EC6" w:rsidRDefault="00911B2F" w:rsidP="007D60EF">
      <w:pPr>
        <w:pStyle w:val="Default"/>
        <w:numPr>
          <w:ilvl w:val="0"/>
          <w:numId w:val="15"/>
        </w:numPr>
        <w:spacing w:line="360" w:lineRule="auto"/>
        <w:jc w:val="both"/>
        <w:rPr>
          <w:rFonts w:ascii="Times New Roman" w:hAnsi="Times New Roman" w:cs="Times New Roman"/>
        </w:rPr>
      </w:pPr>
      <w:r w:rsidRPr="00E03EC6">
        <w:rPr>
          <w:rFonts w:ascii="Times New Roman" w:hAnsi="Times New Roman" w:cs="Times New Roman"/>
        </w:rPr>
        <w:t>Support regional integration and relations to advance South Africa’s trade, industrial policy and economic development objectives</w:t>
      </w:r>
      <w:r>
        <w:rPr>
          <w:rFonts w:ascii="Times New Roman" w:hAnsi="Times New Roman" w:cs="Times New Roman"/>
        </w:rPr>
        <w:t>.</w:t>
      </w:r>
      <w:r w:rsidRPr="00E03EC6">
        <w:rPr>
          <w:rFonts w:ascii="Times New Roman" w:hAnsi="Times New Roman" w:cs="Times New Roman"/>
        </w:rPr>
        <w:t xml:space="preserve"> </w:t>
      </w:r>
    </w:p>
    <w:p w14:paraId="72F4A372" w14:textId="77777777" w:rsidR="00911B2F" w:rsidRPr="00B66120" w:rsidRDefault="00911B2F" w:rsidP="0062246E">
      <w:pPr>
        <w:pStyle w:val="Default"/>
        <w:spacing w:line="360" w:lineRule="auto"/>
        <w:jc w:val="both"/>
        <w:rPr>
          <w:rFonts w:ascii="Times New Roman" w:hAnsi="Times New Roman" w:cs="Times New Roman"/>
          <w:bCs/>
          <w:color w:val="auto"/>
          <w:highlight w:val="yellow"/>
        </w:rPr>
      </w:pPr>
    </w:p>
    <w:p w14:paraId="2E2F383D" w14:textId="77777777" w:rsidR="00911B2F" w:rsidRPr="007F3EA1" w:rsidRDefault="00911B2F" w:rsidP="007D60EF">
      <w:pPr>
        <w:pStyle w:val="ListParagraph"/>
        <w:numPr>
          <w:ilvl w:val="2"/>
          <w:numId w:val="6"/>
        </w:numPr>
        <w:ind w:left="709" w:hanging="709"/>
        <w:rPr>
          <w:rFonts w:cs="Times New Roman"/>
          <w:b/>
          <w:szCs w:val="24"/>
        </w:rPr>
      </w:pPr>
      <w:r>
        <w:rPr>
          <w:rFonts w:cs="Times New Roman"/>
          <w:b/>
          <w:szCs w:val="24"/>
        </w:rPr>
        <w:t>Annual Performance Plan</w:t>
      </w:r>
    </w:p>
    <w:p w14:paraId="648D3E52" w14:textId="77777777" w:rsidR="00911B2F" w:rsidRDefault="00911B2F" w:rsidP="0062246E">
      <w:pPr>
        <w:pStyle w:val="Default"/>
        <w:spacing w:line="360" w:lineRule="auto"/>
        <w:jc w:val="both"/>
        <w:rPr>
          <w:rFonts w:ascii="Times New Roman" w:hAnsi="Times New Roman" w:cs="Times New Roman"/>
          <w:bCs/>
          <w:color w:val="auto"/>
          <w:highlight w:val="yellow"/>
        </w:rPr>
      </w:pPr>
    </w:p>
    <w:p w14:paraId="199CB88B" w14:textId="77777777" w:rsidR="00911B2F" w:rsidRDefault="00911B2F" w:rsidP="0062246E">
      <w:pPr>
        <w:pStyle w:val="Default"/>
        <w:spacing w:line="360" w:lineRule="auto"/>
        <w:jc w:val="both"/>
        <w:rPr>
          <w:rFonts w:ascii="Times New Roman" w:hAnsi="Times New Roman" w:cs="Times New Roman"/>
          <w:bCs/>
          <w:color w:val="auto"/>
        </w:rPr>
      </w:pPr>
      <w:r w:rsidRPr="00C278A9">
        <w:rPr>
          <w:rFonts w:ascii="Times New Roman" w:hAnsi="Times New Roman" w:cs="Times New Roman"/>
          <w:bCs/>
          <w:color w:val="auto"/>
        </w:rPr>
        <w:lastRenderedPageBreak/>
        <w:t xml:space="preserve">SANAS </w:t>
      </w:r>
      <w:r>
        <w:rPr>
          <w:rFonts w:ascii="Times New Roman" w:hAnsi="Times New Roman" w:cs="Times New Roman"/>
          <w:bCs/>
          <w:color w:val="auto"/>
        </w:rPr>
        <w:t>has four programmes responsible for performing its mandate and</w:t>
      </w:r>
      <w:r w:rsidRPr="00C278A9">
        <w:rPr>
          <w:rFonts w:ascii="Times New Roman" w:hAnsi="Times New Roman" w:cs="Times New Roman"/>
          <w:bCs/>
          <w:color w:val="auto"/>
        </w:rPr>
        <w:t xml:space="preserve"> </w:t>
      </w:r>
      <w:r>
        <w:rPr>
          <w:rFonts w:ascii="Times New Roman" w:hAnsi="Times New Roman" w:cs="Times New Roman"/>
          <w:bCs/>
          <w:color w:val="auto"/>
        </w:rPr>
        <w:t>has developed 11</w:t>
      </w:r>
      <w:r w:rsidRPr="00C278A9">
        <w:rPr>
          <w:rFonts w:ascii="Times New Roman" w:hAnsi="Times New Roman" w:cs="Times New Roman"/>
          <w:bCs/>
          <w:color w:val="auto"/>
        </w:rPr>
        <w:t xml:space="preserve"> performance indicators</w:t>
      </w:r>
      <w:r>
        <w:rPr>
          <w:rFonts w:ascii="Times New Roman" w:hAnsi="Times New Roman" w:cs="Times New Roman"/>
          <w:bCs/>
          <w:color w:val="auto"/>
        </w:rPr>
        <w:t xml:space="preserve"> for the 2018/19 financial year, namely:</w:t>
      </w:r>
    </w:p>
    <w:p w14:paraId="2C605D6D" w14:textId="77777777" w:rsidR="00911B2F" w:rsidRDefault="00911B2F" w:rsidP="0062246E">
      <w:pPr>
        <w:pStyle w:val="Default"/>
        <w:spacing w:line="360" w:lineRule="auto"/>
        <w:jc w:val="both"/>
        <w:rPr>
          <w:rFonts w:ascii="Times New Roman" w:hAnsi="Times New Roman" w:cs="Times New Roman"/>
          <w:bCs/>
          <w:color w:val="auto"/>
        </w:rPr>
      </w:pPr>
    </w:p>
    <w:p w14:paraId="07ECE988" w14:textId="77777777" w:rsidR="00911B2F" w:rsidRDefault="00911B2F" w:rsidP="007D60EF">
      <w:pPr>
        <w:pStyle w:val="Default"/>
        <w:numPr>
          <w:ilvl w:val="0"/>
          <w:numId w:val="16"/>
        </w:numPr>
        <w:spacing w:line="360" w:lineRule="auto"/>
        <w:jc w:val="both"/>
        <w:rPr>
          <w:rFonts w:ascii="Times New Roman" w:hAnsi="Times New Roman" w:cs="Times New Roman"/>
          <w:bCs/>
          <w:color w:val="auto"/>
        </w:rPr>
      </w:pPr>
      <w:r>
        <w:rPr>
          <w:rFonts w:ascii="Times New Roman" w:hAnsi="Times New Roman" w:cs="Times New Roman"/>
          <w:bCs/>
          <w:color w:val="auto"/>
        </w:rPr>
        <w:t>Administration Services (responsible for policy development, financial management, legal and administrative support):</w:t>
      </w:r>
    </w:p>
    <w:p w14:paraId="26C7AC19" w14:textId="77777777" w:rsidR="00911B2F" w:rsidRDefault="00911B2F" w:rsidP="007D60EF">
      <w:pPr>
        <w:pStyle w:val="Default"/>
        <w:numPr>
          <w:ilvl w:val="1"/>
          <w:numId w:val="16"/>
        </w:numPr>
        <w:spacing w:line="360" w:lineRule="auto"/>
        <w:jc w:val="both"/>
        <w:rPr>
          <w:rFonts w:ascii="Times New Roman" w:hAnsi="Times New Roman" w:cs="Times New Roman"/>
          <w:bCs/>
          <w:color w:val="auto"/>
        </w:rPr>
      </w:pPr>
      <w:r>
        <w:rPr>
          <w:rFonts w:ascii="Times New Roman" w:hAnsi="Times New Roman" w:cs="Times New Roman"/>
          <w:bCs/>
          <w:color w:val="auto"/>
        </w:rPr>
        <w:t>Processing eligible creditor payments within 18 days.</w:t>
      </w:r>
    </w:p>
    <w:p w14:paraId="5521FC92" w14:textId="77777777" w:rsidR="00911B2F" w:rsidRDefault="00911B2F" w:rsidP="007D60EF">
      <w:pPr>
        <w:pStyle w:val="Default"/>
        <w:numPr>
          <w:ilvl w:val="0"/>
          <w:numId w:val="16"/>
        </w:numPr>
        <w:spacing w:line="360" w:lineRule="auto"/>
        <w:jc w:val="both"/>
        <w:rPr>
          <w:rFonts w:ascii="Times New Roman" w:hAnsi="Times New Roman" w:cs="Times New Roman"/>
          <w:bCs/>
          <w:color w:val="auto"/>
        </w:rPr>
      </w:pPr>
      <w:r>
        <w:rPr>
          <w:rFonts w:ascii="Times New Roman" w:hAnsi="Times New Roman" w:cs="Times New Roman"/>
          <w:bCs/>
          <w:color w:val="auto"/>
        </w:rPr>
        <w:t>Corporate Services (responsible for human resource management, quality management, information and communication technology, and communication and marketing):</w:t>
      </w:r>
    </w:p>
    <w:p w14:paraId="13E33D71" w14:textId="77777777" w:rsidR="00911B2F" w:rsidRDefault="00911B2F" w:rsidP="007D60EF">
      <w:pPr>
        <w:pStyle w:val="Default"/>
        <w:numPr>
          <w:ilvl w:val="1"/>
          <w:numId w:val="16"/>
        </w:numPr>
        <w:spacing w:line="360" w:lineRule="auto"/>
        <w:jc w:val="both"/>
        <w:rPr>
          <w:rFonts w:ascii="Times New Roman" w:hAnsi="Times New Roman" w:cs="Times New Roman"/>
          <w:bCs/>
          <w:color w:val="auto"/>
        </w:rPr>
      </w:pPr>
      <w:r>
        <w:rPr>
          <w:rFonts w:ascii="Times New Roman" w:hAnsi="Times New Roman" w:cs="Times New Roman"/>
          <w:bCs/>
          <w:color w:val="auto"/>
        </w:rPr>
        <w:t>Reducing the vacancy rate to 7% of budgeted positions.</w:t>
      </w:r>
    </w:p>
    <w:p w14:paraId="0FB8C7B5" w14:textId="77777777" w:rsidR="00911B2F" w:rsidRDefault="00911B2F" w:rsidP="007D60EF">
      <w:pPr>
        <w:pStyle w:val="Default"/>
        <w:numPr>
          <w:ilvl w:val="1"/>
          <w:numId w:val="16"/>
        </w:numPr>
        <w:spacing w:line="360" w:lineRule="auto"/>
        <w:jc w:val="both"/>
        <w:rPr>
          <w:rFonts w:ascii="Times New Roman" w:hAnsi="Times New Roman" w:cs="Times New Roman"/>
          <w:bCs/>
          <w:color w:val="auto"/>
        </w:rPr>
      </w:pPr>
      <w:r>
        <w:rPr>
          <w:rFonts w:ascii="Times New Roman" w:hAnsi="Times New Roman" w:cs="Times New Roman"/>
          <w:bCs/>
          <w:color w:val="auto"/>
        </w:rPr>
        <w:t>Automating the online processing process for the online accreditation application, completing the development of the procurement process and developing automated email templates.</w:t>
      </w:r>
    </w:p>
    <w:p w14:paraId="3ED23250" w14:textId="77777777" w:rsidR="00911B2F" w:rsidRDefault="00911B2F" w:rsidP="007D60EF">
      <w:pPr>
        <w:pStyle w:val="Default"/>
        <w:numPr>
          <w:ilvl w:val="1"/>
          <w:numId w:val="16"/>
        </w:numPr>
        <w:spacing w:line="360" w:lineRule="auto"/>
        <w:jc w:val="both"/>
        <w:rPr>
          <w:rFonts w:ascii="Times New Roman" w:hAnsi="Times New Roman" w:cs="Times New Roman"/>
          <w:bCs/>
          <w:color w:val="auto"/>
        </w:rPr>
      </w:pPr>
      <w:r>
        <w:rPr>
          <w:rFonts w:ascii="Times New Roman" w:hAnsi="Times New Roman" w:cs="Times New Roman"/>
          <w:bCs/>
          <w:color w:val="auto"/>
        </w:rPr>
        <w:t>Holding and participating in 18 communication events.</w:t>
      </w:r>
    </w:p>
    <w:p w14:paraId="20E0EC73" w14:textId="77777777" w:rsidR="00911B2F" w:rsidRDefault="00911B2F" w:rsidP="007D60EF">
      <w:pPr>
        <w:pStyle w:val="Default"/>
        <w:numPr>
          <w:ilvl w:val="1"/>
          <w:numId w:val="16"/>
        </w:numPr>
        <w:spacing w:line="360" w:lineRule="auto"/>
        <w:jc w:val="both"/>
        <w:rPr>
          <w:rFonts w:ascii="Times New Roman" w:hAnsi="Times New Roman" w:cs="Times New Roman"/>
          <w:bCs/>
          <w:color w:val="auto"/>
        </w:rPr>
      </w:pPr>
      <w:r>
        <w:rPr>
          <w:rFonts w:ascii="Times New Roman" w:hAnsi="Times New Roman" w:cs="Times New Roman"/>
          <w:bCs/>
          <w:color w:val="auto"/>
        </w:rPr>
        <w:t>Providing 95% inputs into the international accreditation requirements of the International Laboratory Accreditation Cooperation and the International Accreditation Forum.</w:t>
      </w:r>
    </w:p>
    <w:p w14:paraId="6FDBB2E5" w14:textId="77777777" w:rsidR="00911B2F" w:rsidRDefault="00911B2F" w:rsidP="007D60EF">
      <w:pPr>
        <w:pStyle w:val="Default"/>
        <w:numPr>
          <w:ilvl w:val="0"/>
          <w:numId w:val="16"/>
        </w:numPr>
        <w:spacing w:line="360" w:lineRule="auto"/>
        <w:jc w:val="both"/>
        <w:rPr>
          <w:rFonts w:ascii="Times New Roman" w:hAnsi="Times New Roman" w:cs="Times New Roman"/>
          <w:bCs/>
          <w:color w:val="auto"/>
        </w:rPr>
      </w:pPr>
      <w:r>
        <w:rPr>
          <w:rFonts w:ascii="Times New Roman" w:hAnsi="Times New Roman" w:cs="Times New Roman"/>
          <w:bCs/>
          <w:color w:val="auto"/>
        </w:rPr>
        <w:t>Strategy and Development Services (responsible for research and development of new accreditation programmes, knowledge transfer</w:t>
      </w:r>
      <w:r>
        <w:rPr>
          <w:rStyle w:val="FootnoteReference"/>
          <w:rFonts w:ascii="Times New Roman" w:hAnsi="Times New Roman" w:cs="Times New Roman"/>
          <w:bCs/>
          <w:color w:val="auto"/>
        </w:rPr>
        <w:footnoteReference w:id="19"/>
      </w:r>
      <w:r>
        <w:rPr>
          <w:rFonts w:ascii="Times New Roman" w:hAnsi="Times New Roman" w:cs="Times New Roman"/>
          <w:bCs/>
          <w:color w:val="auto"/>
        </w:rPr>
        <w:t>, and regional and international development):</w:t>
      </w:r>
    </w:p>
    <w:p w14:paraId="5A6AE118" w14:textId="77777777" w:rsidR="00911B2F" w:rsidRDefault="00911B2F" w:rsidP="007D60EF">
      <w:pPr>
        <w:pStyle w:val="Default"/>
        <w:numPr>
          <w:ilvl w:val="1"/>
          <w:numId w:val="16"/>
        </w:numPr>
        <w:spacing w:line="360" w:lineRule="auto"/>
        <w:jc w:val="both"/>
        <w:rPr>
          <w:rFonts w:ascii="Times New Roman" w:hAnsi="Times New Roman" w:cs="Times New Roman"/>
          <w:bCs/>
          <w:color w:val="auto"/>
        </w:rPr>
      </w:pPr>
      <w:r>
        <w:rPr>
          <w:rFonts w:ascii="Times New Roman" w:hAnsi="Times New Roman" w:cs="Times New Roman"/>
          <w:bCs/>
          <w:color w:val="auto"/>
        </w:rPr>
        <w:t>Providing secretariat support to four SADC Cooperation in Accreditation meetings.</w:t>
      </w:r>
    </w:p>
    <w:p w14:paraId="514A30C2" w14:textId="77777777" w:rsidR="00911B2F" w:rsidRPr="00975C05" w:rsidRDefault="00911B2F" w:rsidP="007D60EF">
      <w:pPr>
        <w:pStyle w:val="Default"/>
        <w:numPr>
          <w:ilvl w:val="1"/>
          <w:numId w:val="16"/>
        </w:numPr>
        <w:spacing w:line="360" w:lineRule="auto"/>
        <w:jc w:val="both"/>
        <w:rPr>
          <w:rFonts w:ascii="Times New Roman" w:hAnsi="Times New Roman" w:cs="Times New Roman"/>
          <w:bCs/>
          <w:color w:val="auto"/>
        </w:rPr>
      </w:pPr>
      <w:r>
        <w:rPr>
          <w:rFonts w:ascii="Times New Roman" w:hAnsi="Times New Roman" w:cs="Times New Roman"/>
          <w:bCs/>
          <w:color w:val="auto"/>
        </w:rPr>
        <w:t>Providing secretariat support to four intra-African Accreditation Cooperation meetings.</w:t>
      </w:r>
    </w:p>
    <w:p w14:paraId="263D508E" w14:textId="77777777" w:rsidR="00911B2F" w:rsidRDefault="00911B2F" w:rsidP="007D60EF">
      <w:pPr>
        <w:pStyle w:val="Default"/>
        <w:numPr>
          <w:ilvl w:val="0"/>
          <w:numId w:val="16"/>
        </w:numPr>
        <w:spacing w:line="360" w:lineRule="auto"/>
        <w:jc w:val="both"/>
        <w:rPr>
          <w:rFonts w:ascii="Times New Roman" w:hAnsi="Times New Roman" w:cs="Times New Roman"/>
          <w:bCs/>
          <w:color w:val="auto"/>
        </w:rPr>
      </w:pPr>
      <w:r>
        <w:rPr>
          <w:rFonts w:ascii="Times New Roman" w:hAnsi="Times New Roman" w:cs="Times New Roman"/>
          <w:bCs/>
          <w:color w:val="auto"/>
        </w:rPr>
        <w:t>Accreditation Provision (responsible for accreditation services and GLP monitoring):</w:t>
      </w:r>
    </w:p>
    <w:p w14:paraId="19481568" w14:textId="77777777" w:rsidR="00911B2F" w:rsidRDefault="00911B2F" w:rsidP="007D60EF">
      <w:pPr>
        <w:pStyle w:val="Default"/>
        <w:numPr>
          <w:ilvl w:val="1"/>
          <w:numId w:val="16"/>
        </w:numPr>
        <w:spacing w:line="360" w:lineRule="auto"/>
        <w:jc w:val="both"/>
        <w:rPr>
          <w:rFonts w:ascii="Times New Roman" w:hAnsi="Times New Roman" w:cs="Times New Roman"/>
          <w:bCs/>
          <w:color w:val="auto"/>
        </w:rPr>
      </w:pPr>
      <w:r>
        <w:rPr>
          <w:rFonts w:ascii="Times New Roman" w:hAnsi="Times New Roman" w:cs="Times New Roman"/>
          <w:bCs/>
          <w:color w:val="auto"/>
        </w:rPr>
        <w:t>Expanding the total number of accredited facilities from 1 540 to 1 550.</w:t>
      </w:r>
    </w:p>
    <w:p w14:paraId="7D69E4A2" w14:textId="77777777" w:rsidR="00911B2F" w:rsidRDefault="00911B2F" w:rsidP="007D60EF">
      <w:pPr>
        <w:pStyle w:val="Default"/>
        <w:numPr>
          <w:ilvl w:val="1"/>
          <w:numId w:val="16"/>
        </w:numPr>
        <w:spacing w:line="360" w:lineRule="auto"/>
        <w:jc w:val="both"/>
        <w:rPr>
          <w:rFonts w:ascii="Times New Roman" w:hAnsi="Times New Roman" w:cs="Times New Roman"/>
          <w:bCs/>
          <w:color w:val="auto"/>
        </w:rPr>
      </w:pPr>
      <w:r>
        <w:rPr>
          <w:rFonts w:ascii="Times New Roman" w:hAnsi="Times New Roman" w:cs="Times New Roman"/>
          <w:bCs/>
          <w:color w:val="auto"/>
        </w:rPr>
        <w:t>Assessing 1 418 facilities.</w:t>
      </w:r>
    </w:p>
    <w:p w14:paraId="62752159" w14:textId="77777777" w:rsidR="00911B2F" w:rsidRDefault="00911B2F" w:rsidP="007D60EF">
      <w:pPr>
        <w:pStyle w:val="Default"/>
        <w:numPr>
          <w:ilvl w:val="1"/>
          <w:numId w:val="16"/>
        </w:numPr>
        <w:spacing w:line="360" w:lineRule="auto"/>
        <w:jc w:val="both"/>
        <w:rPr>
          <w:rFonts w:ascii="Times New Roman" w:hAnsi="Times New Roman" w:cs="Times New Roman"/>
          <w:bCs/>
          <w:color w:val="auto"/>
        </w:rPr>
      </w:pPr>
      <w:r>
        <w:rPr>
          <w:rFonts w:ascii="Times New Roman" w:hAnsi="Times New Roman" w:cs="Times New Roman"/>
          <w:bCs/>
          <w:color w:val="auto"/>
        </w:rPr>
        <w:t>Issuing certificates after completing the approval process within 16 days.</w:t>
      </w:r>
    </w:p>
    <w:p w14:paraId="428D2EF8" w14:textId="77777777" w:rsidR="00911B2F" w:rsidRDefault="00911B2F" w:rsidP="007D60EF">
      <w:pPr>
        <w:pStyle w:val="Default"/>
        <w:numPr>
          <w:ilvl w:val="1"/>
          <w:numId w:val="16"/>
        </w:numPr>
        <w:spacing w:line="360" w:lineRule="auto"/>
        <w:jc w:val="both"/>
        <w:rPr>
          <w:rFonts w:ascii="Times New Roman" w:hAnsi="Times New Roman" w:cs="Times New Roman"/>
          <w:bCs/>
          <w:color w:val="auto"/>
        </w:rPr>
      </w:pPr>
      <w:r>
        <w:rPr>
          <w:rFonts w:ascii="Times New Roman" w:hAnsi="Times New Roman" w:cs="Times New Roman"/>
          <w:bCs/>
          <w:color w:val="auto"/>
        </w:rPr>
        <w:t>Increasing the number of registered previously disadvantaged assessors from 270 to 280 in the pool of 500 assessors.</w:t>
      </w:r>
    </w:p>
    <w:p w14:paraId="3D4FBF8E" w14:textId="77777777" w:rsidR="00911B2F" w:rsidRPr="00B66120" w:rsidRDefault="00911B2F" w:rsidP="0062246E">
      <w:pPr>
        <w:pStyle w:val="Default"/>
        <w:spacing w:line="360" w:lineRule="auto"/>
        <w:jc w:val="both"/>
        <w:rPr>
          <w:rFonts w:ascii="Times New Roman" w:hAnsi="Times New Roman" w:cs="Times New Roman"/>
          <w:bCs/>
          <w:color w:val="auto"/>
          <w:highlight w:val="yellow"/>
        </w:rPr>
      </w:pPr>
    </w:p>
    <w:p w14:paraId="37746DCC" w14:textId="77777777" w:rsidR="00911B2F" w:rsidRPr="007F3EA1" w:rsidRDefault="00911B2F" w:rsidP="007D60EF">
      <w:pPr>
        <w:pStyle w:val="ListParagraph"/>
        <w:numPr>
          <w:ilvl w:val="2"/>
          <w:numId w:val="6"/>
        </w:numPr>
        <w:ind w:left="709" w:hanging="709"/>
        <w:rPr>
          <w:rFonts w:cs="Times New Roman"/>
          <w:b/>
          <w:szCs w:val="24"/>
        </w:rPr>
      </w:pPr>
      <w:r w:rsidRPr="007F3EA1">
        <w:rPr>
          <w:rFonts w:cs="Times New Roman"/>
          <w:b/>
          <w:szCs w:val="24"/>
        </w:rPr>
        <w:t>Medium Term Budget Analysis</w:t>
      </w:r>
      <w:r w:rsidRPr="007F3EA1" w:rsidDel="0004053A">
        <w:rPr>
          <w:rFonts w:cs="Times New Roman"/>
          <w:b/>
          <w:szCs w:val="24"/>
        </w:rPr>
        <w:t xml:space="preserve"> </w:t>
      </w:r>
    </w:p>
    <w:p w14:paraId="08A50254" w14:textId="77777777" w:rsidR="00911B2F" w:rsidRPr="00B66120" w:rsidRDefault="00911B2F" w:rsidP="0062246E">
      <w:pPr>
        <w:rPr>
          <w:rFonts w:cs="Times New Roman"/>
          <w:szCs w:val="24"/>
          <w:highlight w:val="yellow"/>
        </w:rPr>
      </w:pPr>
    </w:p>
    <w:p w14:paraId="3D57147A" w14:textId="77777777" w:rsidR="00911B2F" w:rsidRPr="005C773F" w:rsidRDefault="00911B2F" w:rsidP="0062246E">
      <w:pPr>
        <w:rPr>
          <w:rFonts w:cs="Times New Roman"/>
          <w:szCs w:val="24"/>
          <w:highlight w:val="yellow"/>
        </w:rPr>
      </w:pPr>
      <w:r w:rsidRPr="00463AF5">
        <w:rPr>
          <w:rFonts w:cs="Times New Roman"/>
          <w:szCs w:val="24"/>
        </w:rPr>
        <w:lastRenderedPageBreak/>
        <w:t>For the 2018/19 financial year, SANAS’s budgeted income is R104.5 million</w:t>
      </w:r>
      <w:r>
        <w:rPr>
          <w:rStyle w:val="FootnoteReference"/>
          <w:rFonts w:cs="Times New Roman"/>
          <w:szCs w:val="24"/>
        </w:rPr>
        <w:footnoteReference w:id="20"/>
      </w:r>
      <w:r w:rsidRPr="00463AF5">
        <w:rPr>
          <w:rFonts w:cs="Times New Roman"/>
          <w:szCs w:val="24"/>
        </w:rPr>
        <w:t xml:space="preserve">. </w:t>
      </w:r>
      <w:r>
        <w:rPr>
          <w:rFonts w:cs="Times New Roman"/>
          <w:szCs w:val="24"/>
        </w:rPr>
        <w:t xml:space="preserve">The transfer received </w:t>
      </w:r>
      <w:r w:rsidRPr="00A7097E">
        <w:rPr>
          <w:rFonts w:cs="Times New Roman"/>
          <w:szCs w:val="24"/>
        </w:rPr>
        <w:t xml:space="preserve">from the DTI is R31 million </w:t>
      </w:r>
      <w:r>
        <w:rPr>
          <w:rFonts w:cs="Times New Roman"/>
          <w:szCs w:val="24"/>
        </w:rPr>
        <w:t xml:space="preserve">(29.7% of total budgeted income) </w:t>
      </w:r>
      <w:r w:rsidRPr="00A7097E">
        <w:rPr>
          <w:rFonts w:cs="Times New Roman"/>
          <w:szCs w:val="24"/>
        </w:rPr>
        <w:t>compared to R30.3 million in the 2017/18 financial year</w:t>
      </w:r>
      <w:r w:rsidRPr="00AF56F8">
        <w:rPr>
          <w:rStyle w:val="FootnoteReference"/>
          <w:rFonts w:cs="Times New Roman"/>
          <w:szCs w:val="24"/>
        </w:rPr>
        <w:footnoteReference w:id="21"/>
      </w:r>
      <w:r w:rsidRPr="00AF56F8">
        <w:rPr>
          <w:rFonts w:cs="Times New Roman"/>
          <w:szCs w:val="24"/>
        </w:rPr>
        <w:t xml:space="preserve">. Other budgeted income to be earned by the entity is </w:t>
      </w:r>
      <w:r>
        <w:rPr>
          <w:rFonts w:cs="Times New Roman"/>
          <w:szCs w:val="24"/>
        </w:rPr>
        <w:t>from</w:t>
      </w:r>
      <w:r w:rsidRPr="00AF56F8">
        <w:rPr>
          <w:rFonts w:cs="Times New Roman"/>
          <w:szCs w:val="24"/>
        </w:rPr>
        <w:t xml:space="preserve"> services, namely accreditation provision and knowledge transfer, as shown in the table below. In terms of accreditation provision, which is its core mandate, it is budgeting R60.3</w:t>
      </w:r>
      <w:r>
        <w:rPr>
          <w:rFonts w:cs="Times New Roman"/>
          <w:szCs w:val="24"/>
        </w:rPr>
        <w:t> </w:t>
      </w:r>
      <w:r w:rsidRPr="00AF56F8">
        <w:rPr>
          <w:rFonts w:cs="Times New Roman"/>
          <w:szCs w:val="24"/>
        </w:rPr>
        <w:t xml:space="preserve">million or 57.7% of </w:t>
      </w:r>
      <w:r>
        <w:rPr>
          <w:rFonts w:cs="Times New Roman"/>
          <w:szCs w:val="24"/>
        </w:rPr>
        <w:t>total budgeted income. For knowledge transfer, it has budgeted an income of R11.1 million.</w:t>
      </w:r>
      <w:r w:rsidRPr="00AF56F8">
        <w:rPr>
          <w:rStyle w:val="FootnoteReference"/>
          <w:rFonts w:cs="Times New Roman"/>
          <w:szCs w:val="24"/>
        </w:rPr>
        <w:t xml:space="preserve"> </w:t>
      </w:r>
      <w:r>
        <w:rPr>
          <w:rStyle w:val="FootnoteReference"/>
          <w:rFonts w:cs="Times New Roman"/>
          <w:szCs w:val="24"/>
        </w:rPr>
        <w:footnoteReference w:id="22"/>
      </w:r>
    </w:p>
    <w:p w14:paraId="50B95C7E" w14:textId="77777777" w:rsidR="00911B2F" w:rsidRPr="00B66120" w:rsidRDefault="00911B2F" w:rsidP="0062246E">
      <w:pPr>
        <w:rPr>
          <w:rFonts w:cs="Times New Roman"/>
          <w:szCs w:val="24"/>
          <w:highlight w:val="yellow"/>
        </w:rPr>
      </w:pPr>
    </w:p>
    <w:p w14:paraId="403BD87F" w14:textId="77777777" w:rsidR="00040184" w:rsidRPr="005D7C0F" w:rsidRDefault="00040184" w:rsidP="00040184">
      <w:pPr>
        <w:rPr>
          <w:rFonts w:cs="Times New Roman"/>
          <w:b/>
          <w:szCs w:val="24"/>
        </w:rPr>
      </w:pPr>
      <w:r w:rsidRPr="005D7C0F">
        <w:rPr>
          <w:rFonts w:cs="Times New Roman"/>
          <w:b/>
          <w:szCs w:val="24"/>
        </w:rPr>
        <w:t>Table</w:t>
      </w:r>
      <w:r>
        <w:rPr>
          <w:rFonts w:cs="Times New Roman"/>
          <w:b/>
          <w:szCs w:val="24"/>
        </w:rPr>
        <w:t xml:space="preserve"> 6</w:t>
      </w:r>
      <w:r w:rsidRPr="005D7C0F">
        <w:rPr>
          <w:rFonts w:cs="Times New Roman"/>
          <w:b/>
          <w:szCs w:val="24"/>
        </w:rPr>
        <w:t xml:space="preserve">: </w:t>
      </w:r>
      <w:r>
        <w:rPr>
          <w:rFonts w:cs="Times New Roman"/>
          <w:b/>
          <w:szCs w:val="24"/>
        </w:rPr>
        <w:t xml:space="preserve">Thematic </w:t>
      </w:r>
      <w:r w:rsidRPr="005D7C0F">
        <w:rPr>
          <w:rFonts w:cs="Times New Roman"/>
          <w:b/>
          <w:szCs w:val="24"/>
        </w:rPr>
        <w:t xml:space="preserve">Budget </w:t>
      </w:r>
      <w:r>
        <w:rPr>
          <w:rFonts w:cs="Times New Roman"/>
          <w:b/>
          <w:szCs w:val="24"/>
        </w:rPr>
        <w:t xml:space="preserve">for the </w:t>
      </w:r>
      <w:r w:rsidRPr="005D7C0F">
        <w:rPr>
          <w:rFonts w:cs="Times New Roman"/>
          <w:b/>
          <w:szCs w:val="24"/>
        </w:rPr>
        <w:t>2018/19 Financial Year (R thousands)</w:t>
      </w:r>
    </w:p>
    <w:tbl>
      <w:tblPr>
        <w:tblStyle w:val="TableGrid"/>
        <w:tblW w:w="0" w:type="auto"/>
        <w:tblLook w:val="04A0" w:firstRow="1" w:lastRow="0" w:firstColumn="1" w:lastColumn="0" w:noHBand="0" w:noVBand="1"/>
      </w:tblPr>
      <w:tblGrid>
        <w:gridCol w:w="4248"/>
        <w:gridCol w:w="1589"/>
        <w:gridCol w:w="1589"/>
        <w:gridCol w:w="1590"/>
      </w:tblGrid>
      <w:tr w:rsidR="00040184" w:rsidRPr="005D7C0F" w14:paraId="62196187" w14:textId="77777777" w:rsidTr="00E940ED">
        <w:tc>
          <w:tcPr>
            <w:tcW w:w="4248" w:type="dxa"/>
            <w:shd w:val="clear" w:color="auto" w:fill="A6A6A6" w:themeFill="background1" w:themeFillShade="A6"/>
          </w:tcPr>
          <w:p w14:paraId="52ED5268" w14:textId="77777777" w:rsidR="00040184" w:rsidRPr="005D7C0F" w:rsidRDefault="00040184" w:rsidP="00E940ED">
            <w:pPr>
              <w:rPr>
                <w:rFonts w:cs="Times New Roman"/>
                <w:b/>
                <w:sz w:val="20"/>
                <w:szCs w:val="24"/>
              </w:rPr>
            </w:pPr>
          </w:p>
        </w:tc>
        <w:tc>
          <w:tcPr>
            <w:tcW w:w="1589" w:type="dxa"/>
            <w:shd w:val="clear" w:color="auto" w:fill="A6A6A6" w:themeFill="background1" w:themeFillShade="A6"/>
            <w:vAlign w:val="center"/>
          </w:tcPr>
          <w:p w14:paraId="757F4A8D" w14:textId="77777777" w:rsidR="00040184" w:rsidRPr="005D7C0F" w:rsidRDefault="00040184" w:rsidP="00E940ED">
            <w:pPr>
              <w:jc w:val="center"/>
              <w:rPr>
                <w:rFonts w:cs="Times New Roman"/>
                <w:b/>
                <w:sz w:val="20"/>
                <w:szCs w:val="24"/>
              </w:rPr>
            </w:pPr>
            <w:r w:rsidRPr="005D7C0F">
              <w:rPr>
                <w:rFonts w:cs="Times New Roman"/>
                <w:b/>
                <w:sz w:val="20"/>
                <w:szCs w:val="24"/>
              </w:rPr>
              <w:t>2018/19</w:t>
            </w:r>
          </w:p>
        </w:tc>
        <w:tc>
          <w:tcPr>
            <w:tcW w:w="1589" w:type="dxa"/>
            <w:shd w:val="clear" w:color="auto" w:fill="A6A6A6" w:themeFill="background1" w:themeFillShade="A6"/>
            <w:vAlign w:val="center"/>
          </w:tcPr>
          <w:p w14:paraId="2F5BFD35" w14:textId="77777777" w:rsidR="00040184" w:rsidRPr="005D7C0F" w:rsidRDefault="00040184" w:rsidP="00E940ED">
            <w:pPr>
              <w:jc w:val="center"/>
              <w:rPr>
                <w:rFonts w:cs="Times New Roman"/>
                <w:b/>
                <w:sz w:val="20"/>
                <w:szCs w:val="24"/>
              </w:rPr>
            </w:pPr>
            <w:r w:rsidRPr="005D7C0F">
              <w:rPr>
                <w:rFonts w:cs="Times New Roman"/>
                <w:b/>
                <w:sz w:val="20"/>
                <w:szCs w:val="24"/>
              </w:rPr>
              <w:t>2019/20</w:t>
            </w:r>
          </w:p>
        </w:tc>
        <w:tc>
          <w:tcPr>
            <w:tcW w:w="1590" w:type="dxa"/>
            <w:shd w:val="clear" w:color="auto" w:fill="A6A6A6" w:themeFill="background1" w:themeFillShade="A6"/>
            <w:vAlign w:val="center"/>
          </w:tcPr>
          <w:p w14:paraId="770DA900" w14:textId="77777777" w:rsidR="00040184" w:rsidRPr="005D7C0F" w:rsidRDefault="00040184" w:rsidP="00E940ED">
            <w:pPr>
              <w:jc w:val="center"/>
              <w:rPr>
                <w:rFonts w:cs="Times New Roman"/>
                <w:b/>
                <w:sz w:val="20"/>
                <w:szCs w:val="24"/>
              </w:rPr>
            </w:pPr>
            <w:r w:rsidRPr="005D7C0F">
              <w:rPr>
                <w:rFonts w:cs="Times New Roman"/>
                <w:b/>
                <w:sz w:val="20"/>
                <w:szCs w:val="24"/>
              </w:rPr>
              <w:t>2020/21</w:t>
            </w:r>
          </w:p>
        </w:tc>
      </w:tr>
      <w:tr w:rsidR="00040184" w:rsidRPr="005D7C0F" w14:paraId="07A9D2CB" w14:textId="77777777" w:rsidTr="00E940ED">
        <w:tc>
          <w:tcPr>
            <w:tcW w:w="4248" w:type="dxa"/>
          </w:tcPr>
          <w:p w14:paraId="02BF740E" w14:textId="77777777" w:rsidR="00040184" w:rsidRPr="005D7C0F" w:rsidRDefault="00040184" w:rsidP="00E940ED">
            <w:pPr>
              <w:rPr>
                <w:rFonts w:cs="Times New Roman"/>
                <w:b/>
                <w:sz w:val="20"/>
                <w:szCs w:val="24"/>
              </w:rPr>
            </w:pPr>
            <w:r>
              <w:rPr>
                <w:rFonts w:cs="Times New Roman"/>
                <w:b/>
                <w:sz w:val="20"/>
                <w:szCs w:val="24"/>
              </w:rPr>
              <w:t>Income</w:t>
            </w:r>
          </w:p>
        </w:tc>
        <w:tc>
          <w:tcPr>
            <w:tcW w:w="1589" w:type="dxa"/>
            <w:vAlign w:val="center"/>
          </w:tcPr>
          <w:p w14:paraId="05D3E1CE" w14:textId="77777777" w:rsidR="00040184" w:rsidRPr="005D7C0F" w:rsidRDefault="00040184" w:rsidP="00E940ED">
            <w:pPr>
              <w:jc w:val="right"/>
              <w:rPr>
                <w:rFonts w:cs="Times New Roman"/>
                <w:b/>
                <w:sz w:val="20"/>
                <w:szCs w:val="24"/>
              </w:rPr>
            </w:pPr>
            <w:r>
              <w:rPr>
                <w:rFonts w:cs="Times New Roman"/>
                <w:b/>
                <w:sz w:val="20"/>
                <w:szCs w:val="24"/>
              </w:rPr>
              <w:t>104 526.5</w:t>
            </w:r>
          </w:p>
        </w:tc>
        <w:tc>
          <w:tcPr>
            <w:tcW w:w="1589" w:type="dxa"/>
            <w:vAlign w:val="center"/>
          </w:tcPr>
          <w:p w14:paraId="2C8A4F77" w14:textId="77777777" w:rsidR="00040184" w:rsidRPr="005D7C0F" w:rsidRDefault="00040184" w:rsidP="00E940ED">
            <w:pPr>
              <w:jc w:val="right"/>
              <w:rPr>
                <w:rFonts w:cs="Times New Roman"/>
                <w:b/>
                <w:sz w:val="20"/>
                <w:szCs w:val="24"/>
              </w:rPr>
            </w:pPr>
            <w:r>
              <w:rPr>
                <w:rFonts w:cs="Times New Roman"/>
                <w:b/>
                <w:sz w:val="20"/>
                <w:szCs w:val="24"/>
              </w:rPr>
              <w:t>110 086.8</w:t>
            </w:r>
          </w:p>
        </w:tc>
        <w:tc>
          <w:tcPr>
            <w:tcW w:w="1590" w:type="dxa"/>
            <w:vAlign w:val="center"/>
          </w:tcPr>
          <w:p w14:paraId="51175878" w14:textId="77777777" w:rsidR="00040184" w:rsidRPr="005D7C0F" w:rsidRDefault="00040184" w:rsidP="00E940ED">
            <w:pPr>
              <w:jc w:val="right"/>
              <w:rPr>
                <w:rFonts w:cs="Times New Roman"/>
                <w:b/>
                <w:sz w:val="20"/>
                <w:szCs w:val="24"/>
              </w:rPr>
            </w:pPr>
            <w:r>
              <w:rPr>
                <w:rFonts w:cs="Times New Roman"/>
                <w:b/>
                <w:sz w:val="20"/>
                <w:szCs w:val="24"/>
              </w:rPr>
              <w:t>117 998.2</w:t>
            </w:r>
          </w:p>
        </w:tc>
      </w:tr>
      <w:tr w:rsidR="00040184" w:rsidRPr="00B66120" w14:paraId="34C48401" w14:textId="77777777" w:rsidTr="00E940ED">
        <w:tc>
          <w:tcPr>
            <w:tcW w:w="4248" w:type="dxa"/>
          </w:tcPr>
          <w:p w14:paraId="190873CA" w14:textId="77777777" w:rsidR="00040184" w:rsidRPr="005D7C0F" w:rsidRDefault="00040184" w:rsidP="00E940ED">
            <w:pPr>
              <w:rPr>
                <w:rFonts w:cs="Times New Roman"/>
                <w:sz w:val="20"/>
                <w:szCs w:val="24"/>
              </w:rPr>
            </w:pPr>
            <w:r>
              <w:rPr>
                <w:rFonts w:cs="Times New Roman"/>
                <w:sz w:val="20"/>
                <w:szCs w:val="24"/>
              </w:rPr>
              <w:t>Accreditation provision</w:t>
            </w:r>
          </w:p>
        </w:tc>
        <w:tc>
          <w:tcPr>
            <w:tcW w:w="1589" w:type="dxa"/>
            <w:vAlign w:val="center"/>
          </w:tcPr>
          <w:p w14:paraId="744ECF24" w14:textId="77777777" w:rsidR="00040184" w:rsidRPr="005D7C0F" w:rsidRDefault="00040184" w:rsidP="00E940ED">
            <w:pPr>
              <w:jc w:val="right"/>
              <w:rPr>
                <w:rFonts w:cs="Times New Roman"/>
                <w:sz w:val="20"/>
                <w:szCs w:val="24"/>
              </w:rPr>
            </w:pPr>
            <w:r>
              <w:rPr>
                <w:rFonts w:cs="Times New Roman"/>
                <w:sz w:val="20"/>
                <w:szCs w:val="24"/>
              </w:rPr>
              <w:t>60 260.5</w:t>
            </w:r>
          </w:p>
        </w:tc>
        <w:tc>
          <w:tcPr>
            <w:tcW w:w="1589" w:type="dxa"/>
            <w:vAlign w:val="center"/>
          </w:tcPr>
          <w:p w14:paraId="0E6D9237" w14:textId="77777777" w:rsidR="00040184" w:rsidRPr="005D7C0F" w:rsidRDefault="00040184" w:rsidP="00E940ED">
            <w:pPr>
              <w:jc w:val="right"/>
              <w:rPr>
                <w:rFonts w:cs="Times New Roman"/>
                <w:sz w:val="20"/>
                <w:szCs w:val="24"/>
              </w:rPr>
            </w:pPr>
            <w:r>
              <w:rPr>
                <w:rFonts w:cs="Times New Roman"/>
                <w:sz w:val="20"/>
                <w:szCs w:val="24"/>
              </w:rPr>
              <w:t>65 081.3</w:t>
            </w:r>
          </w:p>
        </w:tc>
        <w:tc>
          <w:tcPr>
            <w:tcW w:w="1590" w:type="dxa"/>
            <w:vAlign w:val="center"/>
          </w:tcPr>
          <w:p w14:paraId="1C8EFE75" w14:textId="77777777" w:rsidR="00040184" w:rsidRPr="005D7C0F" w:rsidRDefault="00040184" w:rsidP="00E940ED">
            <w:pPr>
              <w:jc w:val="right"/>
              <w:rPr>
                <w:rFonts w:cs="Times New Roman"/>
                <w:sz w:val="20"/>
                <w:szCs w:val="24"/>
              </w:rPr>
            </w:pPr>
            <w:r>
              <w:rPr>
                <w:rFonts w:cs="Times New Roman"/>
                <w:sz w:val="20"/>
                <w:szCs w:val="24"/>
              </w:rPr>
              <w:t>70 287.8</w:t>
            </w:r>
          </w:p>
        </w:tc>
      </w:tr>
      <w:tr w:rsidR="00040184" w:rsidRPr="00B66120" w14:paraId="3D1FACDA" w14:textId="77777777" w:rsidTr="00E940ED">
        <w:tc>
          <w:tcPr>
            <w:tcW w:w="4248" w:type="dxa"/>
          </w:tcPr>
          <w:p w14:paraId="7208E85C" w14:textId="77777777" w:rsidR="00040184" w:rsidRPr="005D7C0F" w:rsidRDefault="00040184" w:rsidP="00E940ED">
            <w:pPr>
              <w:rPr>
                <w:rFonts w:cs="Times New Roman"/>
                <w:sz w:val="20"/>
                <w:szCs w:val="24"/>
              </w:rPr>
            </w:pPr>
            <w:r>
              <w:rPr>
                <w:rFonts w:cs="Times New Roman"/>
                <w:sz w:val="20"/>
                <w:szCs w:val="24"/>
              </w:rPr>
              <w:t>Knowledge transfer (research and development)</w:t>
            </w:r>
          </w:p>
        </w:tc>
        <w:tc>
          <w:tcPr>
            <w:tcW w:w="1589" w:type="dxa"/>
            <w:vAlign w:val="center"/>
          </w:tcPr>
          <w:p w14:paraId="5AC714FF" w14:textId="77777777" w:rsidR="00040184" w:rsidRPr="005D7C0F" w:rsidRDefault="00040184" w:rsidP="00E940ED">
            <w:pPr>
              <w:jc w:val="right"/>
              <w:rPr>
                <w:rFonts w:cs="Times New Roman"/>
                <w:sz w:val="20"/>
                <w:szCs w:val="24"/>
              </w:rPr>
            </w:pPr>
            <w:r>
              <w:rPr>
                <w:rFonts w:cs="Times New Roman"/>
                <w:sz w:val="20"/>
                <w:szCs w:val="24"/>
              </w:rPr>
              <w:t>11 124.0</w:t>
            </w:r>
          </w:p>
        </w:tc>
        <w:tc>
          <w:tcPr>
            <w:tcW w:w="1589" w:type="dxa"/>
            <w:vAlign w:val="center"/>
          </w:tcPr>
          <w:p w14:paraId="227D52FB" w14:textId="77777777" w:rsidR="00040184" w:rsidRPr="005D7C0F" w:rsidRDefault="00040184" w:rsidP="00E940ED">
            <w:pPr>
              <w:jc w:val="right"/>
              <w:rPr>
                <w:rFonts w:cs="Times New Roman"/>
                <w:sz w:val="20"/>
                <w:szCs w:val="24"/>
              </w:rPr>
            </w:pPr>
            <w:r>
              <w:rPr>
                <w:rFonts w:cs="Times New Roman"/>
                <w:sz w:val="20"/>
                <w:szCs w:val="24"/>
              </w:rPr>
              <w:t>10 007.3</w:t>
            </w:r>
          </w:p>
        </w:tc>
        <w:tc>
          <w:tcPr>
            <w:tcW w:w="1590" w:type="dxa"/>
            <w:vAlign w:val="center"/>
          </w:tcPr>
          <w:p w14:paraId="3CE52094" w14:textId="77777777" w:rsidR="00040184" w:rsidRPr="005D7C0F" w:rsidRDefault="00040184" w:rsidP="00E940ED">
            <w:pPr>
              <w:jc w:val="right"/>
              <w:rPr>
                <w:rFonts w:cs="Times New Roman"/>
                <w:sz w:val="20"/>
                <w:szCs w:val="24"/>
              </w:rPr>
            </w:pPr>
            <w:r>
              <w:rPr>
                <w:rFonts w:cs="Times New Roman"/>
                <w:sz w:val="20"/>
                <w:szCs w:val="24"/>
              </w:rPr>
              <w:t>10 786.7</w:t>
            </w:r>
          </w:p>
        </w:tc>
      </w:tr>
      <w:tr w:rsidR="00040184" w:rsidRPr="00B66120" w14:paraId="4885971E" w14:textId="77777777" w:rsidTr="00E940ED">
        <w:tc>
          <w:tcPr>
            <w:tcW w:w="4248" w:type="dxa"/>
          </w:tcPr>
          <w:p w14:paraId="0336EDEF" w14:textId="77777777" w:rsidR="00040184" w:rsidRPr="005D7C0F" w:rsidRDefault="00040184" w:rsidP="00E940ED">
            <w:pPr>
              <w:rPr>
                <w:rFonts w:cs="Times New Roman"/>
                <w:sz w:val="20"/>
                <w:szCs w:val="24"/>
              </w:rPr>
            </w:pPr>
            <w:r w:rsidRPr="005D7C0F">
              <w:rPr>
                <w:rFonts w:cs="Times New Roman"/>
                <w:sz w:val="20"/>
                <w:szCs w:val="24"/>
              </w:rPr>
              <w:t xml:space="preserve">Transfer </w:t>
            </w:r>
            <w:r>
              <w:rPr>
                <w:rFonts w:cs="Times New Roman"/>
                <w:sz w:val="20"/>
                <w:szCs w:val="24"/>
              </w:rPr>
              <w:t>from the DTI</w:t>
            </w:r>
          </w:p>
        </w:tc>
        <w:tc>
          <w:tcPr>
            <w:tcW w:w="1589" w:type="dxa"/>
            <w:vAlign w:val="center"/>
          </w:tcPr>
          <w:p w14:paraId="6D5288EB" w14:textId="77777777" w:rsidR="00040184" w:rsidRPr="005D7C0F" w:rsidRDefault="00040184" w:rsidP="00E940ED">
            <w:pPr>
              <w:jc w:val="right"/>
              <w:rPr>
                <w:rFonts w:cs="Times New Roman"/>
                <w:sz w:val="20"/>
                <w:szCs w:val="24"/>
              </w:rPr>
            </w:pPr>
            <w:r>
              <w:rPr>
                <w:rFonts w:cs="Times New Roman"/>
                <w:sz w:val="20"/>
                <w:szCs w:val="24"/>
              </w:rPr>
              <w:t>31 032.0</w:t>
            </w:r>
          </w:p>
        </w:tc>
        <w:tc>
          <w:tcPr>
            <w:tcW w:w="1589" w:type="dxa"/>
            <w:vAlign w:val="center"/>
          </w:tcPr>
          <w:p w14:paraId="125B87D4" w14:textId="77777777" w:rsidR="00040184" w:rsidRPr="005D7C0F" w:rsidRDefault="00040184" w:rsidP="00E940ED">
            <w:pPr>
              <w:jc w:val="right"/>
              <w:rPr>
                <w:rFonts w:cs="Times New Roman"/>
                <w:sz w:val="20"/>
                <w:szCs w:val="24"/>
              </w:rPr>
            </w:pPr>
            <w:r>
              <w:rPr>
                <w:rFonts w:cs="Times New Roman"/>
                <w:sz w:val="20"/>
                <w:szCs w:val="24"/>
              </w:rPr>
              <w:t>32 770.0</w:t>
            </w:r>
          </w:p>
        </w:tc>
        <w:tc>
          <w:tcPr>
            <w:tcW w:w="1590" w:type="dxa"/>
            <w:vAlign w:val="center"/>
          </w:tcPr>
          <w:p w14:paraId="5C767C26" w14:textId="77777777" w:rsidR="00040184" w:rsidRPr="005D7C0F" w:rsidRDefault="00040184" w:rsidP="00E940ED">
            <w:pPr>
              <w:jc w:val="right"/>
              <w:rPr>
                <w:rFonts w:cs="Times New Roman"/>
                <w:sz w:val="20"/>
                <w:szCs w:val="24"/>
              </w:rPr>
            </w:pPr>
            <w:r>
              <w:rPr>
                <w:rFonts w:cs="Times New Roman"/>
                <w:sz w:val="20"/>
                <w:szCs w:val="24"/>
              </w:rPr>
              <w:t>34 573.0</w:t>
            </w:r>
          </w:p>
        </w:tc>
      </w:tr>
      <w:tr w:rsidR="00040184" w:rsidRPr="00B66120" w14:paraId="18C0B06B" w14:textId="77777777" w:rsidTr="00E940ED">
        <w:tc>
          <w:tcPr>
            <w:tcW w:w="4248" w:type="dxa"/>
          </w:tcPr>
          <w:p w14:paraId="48034785" w14:textId="77777777" w:rsidR="00040184" w:rsidRPr="005D7C0F" w:rsidRDefault="00040184" w:rsidP="00E940ED">
            <w:pPr>
              <w:rPr>
                <w:rFonts w:cs="Times New Roman"/>
                <w:sz w:val="20"/>
                <w:szCs w:val="24"/>
              </w:rPr>
            </w:pPr>
            <w:r>
              <w:rPr>
                <w:rFonts w:cs="Times New Roman"/>
                <w:sz w:val="20"/>
                <w:szCs w:val="24"/>
              </w:rPr>
              <w:t>Utilisation of the approved reserve</w:t>
            </w:r>
          </w:p>
        </w:tc>
        <w:tc>
          <w:tcPr>
            <w:tcW w:w="1589" w:type="dxa"/>
            <w:vAlign w:val="center"/>
          </w:tcPr>
          <w:p w14:paraId="40DB8931" w14:textId="77777777" w:rsidR="00040184" w:rsidRPr="005D7C0F" w:rsidRDefault="00040184" w:rsidP="00E940ED">
            <w:pPr>
              <w:jc w:val="right"/>
              <w:rPr>
                <w:rFonts w:cs="Times New Roman"/>
                <w:sz w:val="20"/>
                <w:szCs w:val="24"/>
              </w:rPr>
            </w:pPr>
            <w:r>
              <w:rPr>
                <w:rFonts w:cs="Times New Roman"/>
                <w:sz w:val="20"/>
                <w:szCs w:val="24"/>
              </w:rPr>
              <w:t>-</w:t>
            </w:r>
          </w:p>
        </w:tc>
        <w:tc>
          <w:tcPr>
            <w:tcW w:w="1589" w:type="dxa"/>
            <w:vAlign w:val="center"/>
          </w:tcPr>
          <w:p w14:paraId="412AE867" w14:textId="77777777" w:rsidR="00040184" w:rsidRPr="005D7C0F" w:rsidRDefault="00040184" w:rsidP="00E940ED">
            <w:pPr>
              <w:jc w:val="right"/>
              <w:rPr>
                <w:rFonts w:cs="Times New Roman"/>
                <w:sz w:val="20"/>
                <w:szCs w:val="24"/>
              </w:rPr>
            </w:pPr>
            <w:r>
              <w:rPr>
                <w:rFonts w:cs="Times New Roman"/>
                <w:sz w:val="20"/>
                <w:szCs w:val="24"/>
              </w:rPr>
              <w:t>-</w:t>
            </w:r>
          </w:p>
        </w:tc>
        <w:tc>
          <w:tcPr>
            <w:tcW w:w="1590" w:type="dxa"/>
            <w:vAlign w:val="center"/>
          </w:tcPr>
          <w:p w14:paraId="26229BD3" w14:textId="77777777" w:rsidR="00040184" w:rsidRPr="005D7C0F" w:rsidRDefault="00040184" w:rsidP="00E940ED">
            <w:pPr>
              <w:jc w:val="right"/>
              <w:rPr>
                <w:rFonts w:cs="Times New Roman"/>
                <w:sz w:val="20"/>
                <w:szCs w:val="24"/>
              </w:rPr>
            </w:pPr>
            <w:r>
              <w:rPr>
                <w:rFonts w:cs="Times New Roman"/>
                <w:sz w:val="20"/>
                <w:szCs w:val="24"/>
              </w:rPr>
              <w:t>-</w:t>
            </w:r>
          </w:p>
        </w:tc>
      </w:tr>
      <w:tr w:rsidR="00040184" w:rsidRPr="00B66120" w14:paraId="54F0AD78" w14:textId="77777777" w:rsidTr="00E940ED">
        <w:tc>
          <w:tcPr>
            <w:tcW w:w="4248" w:type="dxa"/>
          </w:tcPr>
          <w:p w14:paraId="333CA647" w14:textId="77777777" w:rsidR="00040184" w:rsidRPr="005D7C0F" w:rsidRDefault="00040184" w:rsidP="00E940ED">
            <w:pPr>
              <w:rPr>
                <w:rFonts w:cs="Times New Roman"/>
                <w:sz w:val="20"/>
                <w:szCs w:val="24"/>
              </w:rPr>
            </w:pPr>
            <w:r>
              <w:rPr>
                <w:rFonts w:cs="Times New Roman"/>
                <w:sz w:val="20"/>
                <w:szCs w:val="24"/>
              </w:rPr>
              <w:t>Interest</w:t>
            </w:r>
          </w:p>
        </w:tc>
        <w:tc>
          <w:tcPr>
            <w:tcW w:w="1589" w:type="dxa"/>
            <w:vAlign w:val="center"/>
          </w:tcPr>
          <w:p w14:paraId="38C3CE7B" w14:textId="77777777" w:rsidR="00040184" w:rsidRPr="005D7C0F" w:rsidRDefault="00040184" w:rsidP="00E940ED">
            <w:pPr>
              <w:jc w:val="right"/>
              <w:rPr>
                <w:rFonts w:cs="Times New Roman"/>
                <w:sz w:val="20"/>
                <w:szCs w:val="24"/>
              </w:rPr>
            </w:pPr>
            <w:r>
              <w:rPr>
                <w:rFonts w:cs="Times New Roman"/>
                <w:sz w:val="20"/>
                <w:szCs w:val="24"/>
              </w:rPr>
              <w:t>2 000.0</w:t>
            </w:r>
          </w:p>
        </w:tc>
        <w:tc>
          <w:tcPr>
            <w:tcW w:w="1589" w:type="dxa"/>
            <w:vAlign w:val="center"/>
          </w:tcPr>
          <w:p w14:paraId="4AD5129C" w14:textId="77777777" w:rsidR="00040184" w:rsidRPr="005D7C0F" w:rsidRDefault="00040184" w:rsidP="00E940ED">
            <w:pPr>
              <w:jc w:val="right"/>
              <w:rPr>
                <w:rFonts w:cs="Times New Roman"/>
                <w:sz w:val="20"/>
                <w:szCs w:val="24"/>
              </w:rPr>
            </w:pPr>
            <w:r>
              <w:rPr>
                <w:rFonts w:cs="Times New Roman"/>
                <w:sz w:val="20"/>
                <w:szCs w:val="24"/>
              </w:rPr>
              <w:t>2 112.0</w:t>
            </w:r>
          </w:p>
        </w:tc>
        <w:tc>
          <w:tcPr>
            <w:tcW w:w="1590" w:type="dxa"/>
            <w:vAlign w:val="center"/>
          </w:tcPr>
          <w:p w14:paraId="6B37C0E9" w14:textId="77777777" w:rsidR="00040184" w:rsidRPr="005D7C0F" w:rsidRDefault="00040184" w:rsidP="00E940ED">
            <w:pPr>
              <w:jc w:val="right"/>
              <w:rPr>
                <w:rFonts w:cs="Times New Roman"/>
                <w:sz w:val="20"/>
                <w:szCs w:val="24"/>
              </w:rPr>
            </w:pPr>
            <w:r>
              <w:rPr>
                <w:rFonts w:cs="Times New Roman"/>
                <w:sz w:val="20"/>
                <w:szCs w:val="24"/>
              </w:rPr>
              <w:t>2 228.2</w:t>
            </w:r>
          </w:p>
        </w:tc>
      </w:tr>
      <w:tr w:rsidR="00040184" w:rsidRPr="00B66120" w14:paraId="695F303B" w14:textId="77777777" w:rsidTr="00E940ED">
        <w:tc>
          <w:tcPr>
            <w:tcW w:w="4248" w:type="dxa"/>
          </w:tcPr>
          <w:p w14:paraId="303BB421" w14:textId="77777777" w:rsidR="00040184" w:rsidRPr="005D7C0F" w:rsidRDefault="00040184" w:rsidP="00E940ED">
            <w:pPr>
              <w:rPr>
                <w:rFonts w:cs="Times New Roman"/>
                <w:sz w:val="20"/>
                <w:szCs w:val="24"/>
              </w:rPr>
            </w:pPr>
            <w:r>
              <w:rPr>
                <w:rFonts w:cs="Times New Roman"/>
                <w:sz w:val="20"/>
                <w:szCs w:val="24"/>
              </w:rPr>
              <w:t>Sundry income</w:t>
            </w:r>
          </w:p>
        </w:tc>
        <w:tc>
          <w:tcPr>
            <w:tcW w:w="1589" w:type="dxa"/>
            <w:vAlign w:val="center"/>
          </w:tcPr>
          <w:p w14:paraId="7D7A202A" w14:textId="77777777" w:rsidR="00040184" w:rsidRPr="005D7C0F" w:rsidRDefault="00040184" w:rsidP="00E940ED">
            <w:pPr>
              <w:jc w:val="right"/>
              <w:rPr>
                <w:rFonts w:cs="Times New Roman"/>
                <w:sz w:val="20"/>
                <w:szCs w:val="24"/>
              </w:rPr>
            </w:pPr>
            <w:r>
              <w:rPr>
                <w:rFonts w:cs="Times New Roman"/>
                <w:sz w:val="20"/>
                <w:szCs w:val="24"/>
              </w:rPr>
              <w:t>110.0</w:t>
            </w:r>
          </w:p>
        </w:tc>
        <w:tc>
          <w:tcPr>
            <w:tcW w:w="1589" w:type="dxa"/>
            <w:vAlign w:val="center"/>
          </w:tcPr>
          <w:p w14:paraId="5130E4B7" w14:textId="77777777" w:rsidR="00040184" w:rsidRPr="005D7C0F" w:rsidRDefault="00040184" w:rsidP="00E940ED">
            <w:pPr>
              <w:jc w:val="right"/>
              <w:rPr>
                <w:rFonts w:cs="Times New Roman"/>
                <w:sz w:val="20"/>
                <w:szCs w:val="24"/>
              </w:rPr>
            </w:pPr>
            <w:r>
              <w:rPr>
                <w:rFonts w:cs="Times New Roman"/>
                <w:sz w:val="20"/>
                <w:szCs w:val="24"/>
              </w:rPr>
              <w:t>116.2</w:t>
            </w:r>
          </w:p>
        </w:tc>
        <w:tc>
          <w:tcPr>
            <w:tcW w:w="1590" w:type="dxa"/>
            <w:vAlign w:val="center"/>
          </w:tcPr>
          <w:p w14:paraId="5BC32B40" w14:textId="77777777" w:rsidR="00040184" w:rsidRPr="005D7C0F" w:rsidRDefault="00040184" w:rsidP="00E940ED">
            <w:pPr>
              <w:jc w:val="right"/>
              <w:rPr>
                <w:rFonts w:cs="Times New Roman"/>
                <w:sz w:val="20"/>
                <w:szCs w:val="24"/>
              </w:rPr>
            </w:pPr>
            <w:r>
              <w:rPr>
                <w:rFonts w:cs="Times New Roman"/>
                <w:sz w:val="20"/>
                <w:szCs w:val="24"/>
              </w:rPr>
              <w:t>122.5</w:t>
            </w:r>
          </w:p>
        </w:tc>
      </w:tr>
      <w:tr w:rsidR="00040184" w:rsidRPr="00B66120" w14:paraId="542EE8A9" w14:textId="77777777" w:rsidTr="00E940ED">
        <w:tc>
          <w:tcPr>
            <w:tcW w:w="4248" w:type="dxa"/>
          </w:tcPr>
          <w:p w14:paraId="03CA3C8D" w14:textId="77777777" w:rsidR="00040184" w:rsidRPr="005D7C0F" w:rsidRDefault="00040184" w:rsidP="00E940ED">
            <w:pPr>
              <w:rPr>
                <w:rFonts w:cs="Times New Roman"/>
                <w:b/>
                <w:sz w:val="20"/>
                <w:szCs w:val="24"/>
              </w:rPr>
            </w:pPr>
            <w:r w:rsidRPr="005D7C0F">
              <w:rPr>
                <w:rFonts w:cs="Times New Roman"/>
                <w:b/>
                <w:sz w:val="20"/>
                <w:szCs w:val="24"/>
              </w:rPr>
              <w:t>Expenditure</w:t>
            </w:r>
          </w:p>
        </w:tc>
        <w:tc>
          <w:tcPr>
            <w:tcW w:w="1589" w:type="dxa"/>
            <w:vAlign w:val="center"/>
          </w:tcPr>
          <w:p w14:paraId="00819D08" w14:textId="77777777" w:rsidR="00040184" w:rsidRPr="00B66120" w:rsidRDefault="00040184" w:rsidP="00E940ED">
            <w:pPr>
              <w:jc w:val="right"/>
              <w:rPr>
                <w:rFonts w:cs="Times New Roman"/>
                <w:b/>
                <w:sz w:val="20"/>
                <w:szCs w:val="24"/>
                <w:highlight w:val="yellow"/>
              </w:rPr>
            </w:pPr>
            <w:r>
              <w:rPr>
                <w:rFonts w:cs="Times New Roman"/>
                <w:b/>
                <w:sz w:val="20"/>
                <w:szCs w:val="24"/>
              </w:rPr>
              <w:t>104 526.5</w:t>
            </w:r>
          </w:p>
        </w:tc>
        <w:tc>
          <w:tcPr>
            <w:tcW w:w="1589" w:type="dxa"/>
            <w:vAlign w:val="center"/>
          </w:tcPr>
          <w:p w14:paraId="0771EB0A" w14:textId="77777777" w:rsidR="00040184" w:rsidRPr="00B66120" w:rsidRDefault="00040184" w:rsidP="00E940ED">
            <w:pPr>
              <w:jc w:val="right"/>
              <w:rPr>
                <w:rFonts w:cs="Times New Roman"/>
                <w:b/>
                <w:sz w:val="20"/>
                <w:szCs w:val="24"/>
                <w:highlight w:val="yellow"/>
              </w:rPr>
            </w:pPr>
            <w:r>
              <w:rPr>
                <w:rFonts w:cs="Times New Roman"/>
                <w:b/>
                <w:sz w:val="20"/>
                <w:szCs w:val="24"/>
              </w:rPr>
              <w:t>110 086.8</w:t>
            </w:r>
          </w:p>
        </w:tc>
        <w:tc>
          <w:tcPr>
            <w:tcW w:w="1590" w:type="dxa"/>
            <w:vAlign w:val="center"/>
          </w:tcPr>
          <w:p w14:paraId="38529BC7" w14:textId="77777777" w:rsidR="00040184" w:rsidRPr="00B66120" w:rsidRDefault="00040184" w:rsidP="00E940ED">
            <w:pPr>
              <w:jc w:val="right"/>
              <w:rPr>
                <w:rFonts w:cs="Times New Roman"/>
                <w:b/>
                <w:sz w:val="20"/>
                <w:szCs w:val="24"/>
                <w:highlight w:val="yellow"/>
              </w:rPr>
            </w:pPr>
            <w:r>
              <w:rPr>
                <w:rFonts w:cs="Times New Roman"/>
                <w:b/>
                <w:sz w:val="20"/>
                <w:szCs w:val="24"/>
              </w:rPr>
              <w:t>117 998.2</w:t>
            </w:r>
          </w:p>
        </w:tc>
      </w:tr>
      <w:tr w:rsidR="00040184" w:rsidRPr="00B66120" w14:paraId="6D3C6ABA" w14:textId="77777777" w:rsidTr="00E940ED">
        <w:tc>
          <w:tcPr>
            <w:tcW w:w="4248" w:type="dxa"/>
          </w:tcPr>
          <w:p w14:paraId="26A088F1" w14:textId="77777777" w:rsidR="00040184" w:rsidRPr="005D7C0F" w:rsidRDefault="00040184" w:rsidP="00E940ED">
            <w:pPr>
              <w:rPr>
                <w:rFonts w:cs="Times New Roman"/>
                <w:sz w:val="20"/>
                <w:szCs w:val="24"/>
              </w:rPr>
            </w:pPr>
            <w:r w:rsidRPr="005D7C0F">
              <w:rPr>
                <w:rFonts w:cs="Times New Roman"/>
                <w:sz w:val="20"/>
                <w:szCs w:val="24"/>
              </w:rPr>
              <w:t>Administrati</w:t>
            </w:r>
            <w:r>
              <w:rPr>
                <w:rFonts w:cs="Times New Roman"/>
                <w:sz w:val="20"/>
                <w:szCs w:val="24"/>
              </w:rPr>
              <w:t>on</w:t>
            </w:r>
          </w:p>
        </w:tc>
        <w:tc>
          <w:tcPr>
            <w:tcW w:w="1589" w:type="dxa"/>
            <w:vAlign w:val="center"/>
          </w:tcPr>
          <w:p w14:paraId="77B24E74" w14:textId="77777777" w:rsidR="00040184" w:rsidRPr="005D7C0F" w:rsidRDefault="00040184" w:rsidP="00E940ED">
            <w:pPr>
              <w:jc w:val="right"/>
              <w:rPr>
                <w:rFonts w:cs="Times New Roman"/>
                <w:sz w:val="20"/>
                <w:szCs w:val="24"/>
              </w:rPr>
            </w:pPr>
            <w:r>
              <w:rPr>
                <w:rFonts w:cs="Times New Roman"/>
                <w:sz w:val="20"/>
                <w:szCs w:val="24"/>
              </w:rPr>
              <w:t>41 785.4</w:t>
            </w:r>
          </w:p>
        </w:tc>
        <w:tc>
          <w:tcPr>
            <w:tcW w:w="1589" w:type="dxa"/>
            <w:vAlign w:val="center"/>
          </w:tcPr>
          <w:p w14:paraId="0E78AE3B" w14:textId="77777777" w:rsidR="00040184" w:rsidRPr="005D7C0F" w:rsidRDefault="00040184" w:rsidP="00E940ED">
            <w:pPr>
              <w:jc w:val="right"/>
              <w:rPr>
                <w:rFonts w:cs="Times New Roman"/>
                <w:sz w:val="20"/>
                <w:szCs w:val="24"/>
              </w:rPr>
            </w:pPr>
            <w:r>
              <w:rPr>
                <w:rFonts w:cs="Times New Roman"/>
                <w:sz w:val="20"/>
                <w:szCs w:val="24"/>
              </w:rPr>
              <w:t>44 382.9</w:t>
            </w:r>
          </w:p>
        </w:tc>
        <w:tc>
          <w:tcPr>
            <w:tcW w:w="1590" w:type="dxa"/>
            <w:vAlign w:val="center"/>
          </w:tcPr>
          <w:p w14:paraId="46C0CB19" w14:textId="77777777" w:rsidR="00040184" w:rsidRPr="00517251" w:rsidRDefault="00040184" w:rsidP="00E940ED">
            <w:pPr>
              <w:jc w:val="right"/>
              <w:rPr>
                <w:rFonts w:cs="Times New Roman"/>
                <w:sz w:val="20"/>
                <w:szCs w:val="24"/>
              </w:rPr>
            </w:pPr>
            <w:r>
              <w:rPr>
                <w:rFonts w:cs="Times New Roman"/>
                <w:sz w:val="20"/>
                <w:szCs w:val="24"/>
              </w:rPr>
              <w:t>47 241.6</w:t>
            </w:r>
          </w:p>
        </w:tc>
      </w:tr>
      <w:tr w:rsidR="00040184" w:rsidRPr="00B66120" w14:paraId="7CC29434" w14:textId="77777777" w:rsidTr="00E940ED">
        <w:tc>
          <w:tcPr>
            <w:tcW w:w="4248" w:type="dxa"/>
            <w:vAlign w:val="center"/>
          </w:tcPr>
          <w:p w14:paraId="41D749F2" w14:textId="77777777" w:rsidR="00040184" w:rsidRPr="005D7C0F" w:rsidRDefault="00040184" w:rsidP="00E940ED">
            <w:pPr>
              <w:rPr>
                <w:rFonts w:cs="Times New Roman"/>
                <w:sz w:val="20"/>
                <w:szCs w:val="24"/>
              </w:rPr>
            </w:pPr>
            <w:r>
              <w:rPr>
                <w:rFonts w:cs="Times New Roman"/>
                <w:sz w:val="20"/>
                <w:szCs w:val="24"/>
              </w:rPr>
              <w:t xml:space="preserve"> </w:t>
            </w:r>
            <w:r w:rsidRPr="00724AB3">
              <w:rPr>
                <w:rFonts w:cs="Times New Roman"/>
                <w:sz w:val="20"/>
                <w:szCs w:val="24"/>
              </w:rPr>
              <w:t xml:space="preserve">Accreditation provision </w:t>
            </w:r>
          </w:p>
        </w:tc>
        <w:tc>
          <w:tcPr>
            <w:tcW w:w="1589" w:type="dxa"/>
            <w:vAlign w:val="center"/>
          </w:tcPr>
          <w:p w14:paraId="7B3CA3CC" w14:textId="77777777" w:rsidR="00040184" w:rsidRPr="005D7C0F" w:rsidRDefault="00040184" w:rsidP="00E940ED">
            <w:pPr>
              <w:jc w:val="right"/>
              <w:rPr>
                <w:rFonts w:cs="Times New Roman"/>
                <w:sz w:val="20"/>
                <w:szCs w:val="24"/>
              </w:rPr>
            </w:pPr>
            <w:r>
              <w:rPr>
                <w:rFonts w:cs="Times New Roman"/>
                <w:sz w:val="20"/>
                <w:szCs w:val="24"/>
              </w:rPr>
              <w:t>49 019.4</w:t>
            </w:r>
          </w:p>
        </w:tc>
        <w:tc>
          <w:tcPr>
            <w:tcW w:w="1589" w:type="dxa"/>
            <w:vAlign w:val="center"/>
          </w:tcPr>
          <w:p w14:paraId="6064D5F9" w14:textId="77777777" w:rsidR="00040184" w:rsidRPr="005D7C0F" w:rsidRDefault="00040184" w:rsidP="00E940ED">
            <w:pPr>
              <w:jc w:val="right"/>
              <w:rPr>
                <w:rFonts w:cs="Times New Roman"/>
                <w:sz w:val="20"/>
                <w:szCs w:val="24"/>
              </w:rPr>
            </w:pPr>
            <w:r>
              <w:rPr>
                <w:rFonts w:cs="Times New Roman"/>
                <w:sz w:val="20"/>
                <w:szCs w:val="24"/>
              </w:rPr>
              <w:t>51 985.8</w:t>
            </w:r>
          </w:p>
        </w:tc>
        <w:tc>
          <w:tcPr>
            <w:tcW w:w="1590" w:type="dxa"/>
            <w:vAlign w:val="center"/>
          </w:tcPr>
          <w:p w14:paraId="17719DE2" w14:textId="77777777" w:rsidR="00040184" w:rsidRPr="00517251" w:rsidRDefault="00040184" w:rsidP="00E940ED">
            <w:pPr>
              <w:jc w:val="right"/>
              <w:rPr>
                <w:rFonts w:cs="Times New Roman"/>
                <w:sz w:val="20"/>
                <w:szCs w:val="24"/>
              </w:rPr>
            </w:pPr>
            <w:r>
              <w:rPr>
                <w:rFonts w:cs="Times New Roman"/>
                <w:sz w:val="20"/>
                <w:szCs w:val="24"/>
              </w:rPr>
              <w:t>55 106.8</w:t>
            </w:r>
          </w:p>
        </w:tc>
      </w:tr>
      <w:tr w:rsidR="00040184" w:rsidRPr="00B66120" w14:paraId="64F9D92C" w14:textId="77777777" w:rsidTr="00E940ED">
        <w:tc>
          <w:tcPr>
            <w:tcW w:w="4248" w:type="dxa"/>
            <w:vAlign w:val="center"/>
          </w:tcPr>
          <w:p w14:paraId="4FBC9C6E" w14:textId="77777777" w:rsidR="00040184" w:rsidRPr="005D7C0F" w:rsidRDefault="00040184" w:rsidP="00E940ED">
            <w:pPr>
              <w:rPr>
                <w:rFonts w:cs="Times New Roman"/>
                <w:sz w:val="20"/>
                <w:szCs w:val="24"/>
              </w:rPr>
            </w:pPr>
            <w:r>
              <w:rPr>
                <w:rFonts w:cs="Times New Roman"/>
                <w:sz w:val="20"/>
                <w:szCs w:val="24"/>
              </w:rPr>
              <w:t xml:space="preserve"> </w:t>
            </w:r>
            <w:r w:rsidRPr="00724AB3">
              <w:rPr>
                <w:rFonts w:cs="Times New Roman"/>
                <w:sz w:val="20"/>
                <w:szCs w:val="24"/>
              </w:rPr>
              <w:t xml:space="preserve">Marketing and communication </w:t>
            </w:r>
          </w:p>
        </w:tc>
        <w:tc>
          <w:tcPr>
            <w:tcW w:w="1589" w:type="dxa"/>
            <w:vAlign w:val="center"/>
          </w:tcPr>
          <w:p w14:paraId="11CA0673" w14:textId="77777777" w:rsidR="00040184" w:rsidRPr="005D7C0F" w:rsidRDefault="00040184" w:rsidP="00E940ED">
            <w:pPr>
              <w:jc w:val="right"/>
              <w:rPr>
                <w:rFonts w:cs="Times New Roman"/>
                <w:sz w:val="20"/>
                <w:szCs w:val="24"/>
              </w:rPr>
            </w:pPr>
            <w:r>
              <w:rPr>
                <w:rFonts w:cs="Times New Roman"/>
                <w:sz w:val="20"/>
                <w:szCs w:val="24"/>
              </w:rPr>
              <w:t>2 919.0</w:t>
            </w:r>
          </w:p>
        </w:tc>
        <w:tc>
          <w:tcPr>
            <w:tcW w:w="1589" w:type="dxa"/>
            <w:vAlign w:val="center"/>
          </w:tcPr>
          <w:p w14:paraId="0E661F21" w14:textId="77777777" w:rsidR="00040184" w:rsidRPr="005D7C0F" w:rsidRDefault="00040184" w:rsidP="00E940ED">
            <w:pPr>
              <w:jc w:val="right"/>
              <w:rPr>
                <w:rFonts w:cs="Times New Roman"/>
                <w:sz w:val="20"/>
                <w:szCs w:val="24"/>
              </w:rPr>
            </w:pPr>
            <w:r>
              <w:rPr>
                <w:rFonts w:cs="Times New Roman"/>
                <w:sz w:val="20"/>
                <w:szCs w:val="24"/>
              </w:rPr>
              <w:t>3 082.5</w:t>
            </w:r>
          </w:p>
        </w:tc>
        <w:tc>
          <w:tcPr>
            <w:tcW w:w="1590" w:type="dxa"/>
            <w:vAlign w:val="center"/>
          </w:tcPr>
          <w:p w14:paraId="7EC4F50C" w14:textId="77777777" w:rsidR="00040184" w:rsidRPr="00517251" w:rsidRDefault="00040184" w:rsidP="00E940ED">
            <w:pPr>
              <w:jc w:val="right"/>
              <w:rPr>
                <w:rFonts w:cs="Times New Roman"/>
                <w:sz w:val="20"/>
                <w:szCs w:val="24"/>
              </w:rPr>
            </w:pPr>
            <w:r>
              <w:rPr>
                <w:rFonts w:cs="Times New Roman"/>
                <w:sz w:val="20"/>
                <w:szCs w:val="24"/>
              </w:rPr>
              <w:t>3 252.0</w:t>
            </w:r>
          </w:p>
        </w:tc>
      </w:tr>
      <w:tr w:rsidR="00040184" w:rsidRPr="00B66120" w14:paraId="76A4146C" w14:textId="77777777" w:rsidTr="00E940ED">
        <w:tc>
          <w:tcPr>
            <w:tcW w:w="4248" w:type="dxa"/>
            <w:vAlign w:val="center"/>
          </w:tcPr>
          <w:p w14:paraId="600D6B16" w14:textId="77777777" w:rsidR="00040184" w:rsidRPr="005D7C0F" w:rsidRDefault="00040184" w:rsidP="00E940ED">
            <w:pPr>
              <w:rPr>
                <w:rFonts w:cs="Times New Roman"/>
                <w:sz w:val="20"/>
                <w:szCs w:val="24"/>
              </w:rPr>
            </w:pPr>
            <w:r w:rsidRPr="00724AB3">
              <w:rPr>
                <w:rFonts w:cs="Times New Roman"/>
                <w:sz w:val="20"/>
                <w:szCs w:val="24"/>
              </w:rPr>
              <w:t xml:space="preserve"> Regional development </w:t>
            </w:r>
          </w:p>
        </w:tc>
        <w:tc>
          <w:tcPr>
            <w:tcW w:w="1589" w:type="dxa"/>
            <w:vAlign w:val="center"/>
          </w:tcPr>
          <w:p w14:paraId="7DD21FBA" w14:textId="77777777" w:rsidR="00040184" w:rsidRPr="005D7C0F" w:rsidRDefault="00040184" w:rsidP="00E940ED">
            <w:pPr>
              <w:jc w:val="right"/>
              <w:rPr>
                <w:rFonts w:cs="Times New Roman"/>
                <w:sz w:val="20"/>
                <w:szCs w:val="24"/>
              </w:rPr>
            </w:pPr>
            <w:r>
              <w:rPr>
                <w:rFonts w:cs="Times New Roman"/>
                <w:sz w:val="20"/>
                <w:szCs w:val="24"/>
              </w:rPr>
              <w:t>445.6</w:t>
            </w:r>
          </w:p>
        </w:tc>
        <w:tc>
          <w:tcPr>
            <w:tcW w:w="1589" w:type="dxa"/>
            <w:vAlign w:val="center"/>
          </w:tcPr>
          <w:p w14:paraId="011822A0" w14:textId="77777777" w:rsidR="00040184" w:rsidRPr="005D7C0F" w:rsidRDefault="00040184" w:rsidP="00E940ED">
            <w:pPr>
              <w:jc w:val="right"/>
              <w:rPr>
                <w:rFonts w:cs="Times New Roman"/>
                <w:sz w:val="20"/>
                <w:szCs w:val="24"/>
              </w:rPr>
            </w:pPr>
            <w:r>
              <w:rPr>
                <w:rFonts w:cs="Times New Roman"/>
                <w:sz w:val="20"/>
                <w:szCs w:val="24"/>
              </w:rPr>
              <w:t>470.6</w:t>
            </w:r>
          </w:p>
        </w:tc>
        <w:tc>
          <w:tcPr>
            <w:tcW w:w="1590" w:type="dxa"/>
            <w:vAlign w:val="center"/>
          </w:tcPr>
          <w:p w14:paraId="15F517F0" w14:textId="77777777" w:rsidR="00040184" w:rsidRPr="00517251" w:rsidRDefault="00040184" w:rsidP="00E940ED">
            <w:pPr>
              <w:jc w:val="right"/>
              <w:rPr>
                <w:rFonts w:cs="Times New Roman"/>
                <w:sz w:val="20"/>
                <w:szCs w:val="24"/>
              </w:rPr>
            </w:pPr>
            <w:r>
              <w:rPr>
                <w:rFonts w:cs="Times New Roman"/>
                <w:sz w:val="20"/>
                <w:szCs w:val="24"/>
              </w:rPr>
              <w:t>496.4</w:t>
            </w:r>
          </w:p>
        </w:tc>
      </w:tr>
      <w:tr w:rsidR="00040184" w:rsidRPr="00B66120" w14:paraId="2004E325" w14:textId="77777777" w:rsidTr="00E940ED">
        <w:tc>
          <w:tcPr>
            <w:tcW w:w="4248" w:type="dxa"/>
            <w:vAlign w:val="center"/>
          </w:tcPr>
          <w:p w14:paraId="0FB06E75" w14:textId="77777777" w:rsidR="00040184" w:rsidRPr="005D7C0F" w:rsidRDefault="00040184" w:rsidP="00E940ED">
            <w:pPr>
              <w:rPr>
                <w:rFonts w:cs="Times New Roman"/>
                <w:sz w:val="20"/>
                <w:szCs w:val="24"/>
              </w:rPr>
            </w:pPr>
            <w:r w:rsidRPr="00724AB3">
              <w:rPr>
                <w:rFonts w:cs="Times New Roman"/>
                <w:sz w:val="20"/>
                <w:szCs w:val="24"/>
              </w:rPr>
              <w:t xml:space="preserve"> International trade facilitation </w:t>
            </w:r>
          </w:p>
        </w:tc>
        <w:tc>
          <w:tcPr>
            <w:tcW w:w="1589" w:type="dxa"/>
            <w:vAlign w:val="center"/>
          </w:tcPr>
          <w:p w14:paraId="7E8A3A12" w14:textId="77777777" w:rsidR="00040184" w:rsidRPr="005D7C0F" w:rsidRDefault="00040184" w:rsidP="00E940ED">
            <w:pPr>
              <w:jc w:val="right"/>
              <w:rPr>
                <w:rFonts w:cs="Times New Roman"/>
                <w:sz w:val="20"/>
                <w:szCs w:val="24"/>
              </w:rPr>
            </w:pPr>
            <w:r>
              <w:rPr>
                <w:rFonts w:cs="Times New Roman"/>
                <w:sz w:val="20"/>
                <w:szCs w:val="24"/>
              </w:rPr>
              <w:t>1 815.1</w:t>
            </w:r>
          </w:p>
        </w:tc>
        <w:tc>
          <w:tcPr>
            <w:tcW w:w="1589" w:type="dxa"/>
            <w:vAlign w:val="center"/>
          </w:tcPr>
          <w:p w14:paraId="17E2ADE4" w14:textId="77777777" w:rsidR="00040184" w:rsidRPr="005D7C0F" w:rsidRDefault="00040184" w:rsidP="00E940ED">
            <w:pPr>
              <w:jc w:val="right"/>
              <w:rPr>
                <w:rFonts w:cs="Times New Roman"/>
                <w:sz w:val="20"/>
                <w:szCs w:val="24"/>
              </w:rPr>
            </w:pPr>
            <w:r>
              <w:rPr>
                <w:rFonts w:cs="Times New Roman"/>
                <w:sz w:val="20"/>
                <w:szCs w:val="24"/>
              </w:rPr>
              <w:t>1 916.7</w:t>
            </w:r>
          </w:p>
        </w:tc>
        <w:tc>
          <w:tcPr>
            <w:tcW w:w="1590" w:type="dxa"/>
            <w:vAlign w:val="center"/>
          </w:tcPr>
          <w:p w14:paraId="6E35C649" w14:textId="77777777" w:rsidR="00040184" w:rsidRPr="00517251" w:rsidRDefault="00040184" w:rsidP="00E940ED">
            <w:pPr>
              <w:jc w:val="right"/>
              <w:rPr>
                <w:rFonts w:cs="Times New Roman"/>
                <w:sz w:val="20"/>
                <w:szCs w:val="24"/>
              </w:rPr>
            </w:pPr>
            <w:r>
              <w:rPr>
                <w:rFonts w:cs="Times New Roman"/>
                <w:sz w:val="20"/>
                <w:szCs w:val="24"/>
              </w:rPr>
              <w:t>2 022.1</w:t>
            </w:r>
          </w:p>
        </w:tc>
      </w:tr>
      <w:tr w:rsidR="00040184" w:rsidRPr="00B66120" w14:paraId="098BF047" w14:textId="77777777" w:rsidTr="00E940ED">
        <w:tc>
          <w:tcPr>
            <w:tcW w:w="4248" w:type="dxa"/>
            <w:vAlign w:val="center"/>
          </w:tcPr>
          <w:p w14:paraId="768AC965" w14:textId="77777777" w:rsidR="00040184" w:rsidRPr="005D7C0F" w:rsidRDefault="00040184" w:rsidP="00E940ED">
            <w:pPr>
              <w:rPr>
                <w:rFonts w:cs="Times New Roman"/>
                <w:sz w:val="20"/>
                <w:szCs w:val="24"/>
              </w:rPr>
            </w:pPr>
            <w:r w:rsidRPr="00724AB3">
              <w:rPr>
                <w:rFonts w:cs="Times New Roman"/>
                <w:sz w:val="20"/>
                <w:szCs w:val="24"/>
              </w:rPr>
              <w:t xml:space="preserve"> Research and development </w:t>
            </w:r>
          </w:p>
        </w:tc>
        <w:tc>
          <w:tcPr>
            <w:tcW w:w="1589" w:type="dxa"/>
            <w:vAlign w:val="center"/>
          </w:tcPr>
          <w:p w14:paraId="455D286B" w14:textId="77777777" w:rsidR="00040184" w:rsidRPr="005D7C0F" w:rsidRDefault="00040184" w:rsidP="00E940ED">
            <w:pPr>
              <w:jc w:val="right"/>
              <w:rPr>
                <w:rFonts w:cs="Times New Roman"/>
                <w:sz w:val="20"/>
                <w:szCs w:val="24"/>
              </w:rPr>
            </w:pPr>
            <w:r>
              <w:rPr>
                <w:rFonts w:cs="Times New Roman"/>
                <w:sz w:val="20"/>
                <w:szCs w:val="24"/>
              </w:rPr>
              <w:t>8 538.0</w:t>
            </w:r>
          </w:p>
        </w:tc>
        <w:tc>
          <w:tcPr>
            <w:tcW w:w="1589" w:type="dxa"/>
            <w:vAlign w:val="center"/>
          </w:tcPr>
          <w:p w14:paraId="21E46D1C" w14:textId="77777777" w:rsidR="00040184" w:rsidRPr="005D7C0F" w:rsidRDefault="00040184" w:rsidP="00E940ED">
            <w:pPr>
              <w:jc w:val="right"/>
              <w:rPr>
                <w:rFonts w:cs="Times New Roman"/>
                <w:sz w:val="20"/>
                <w:szCs w:val="24"/>
              </w:rPr>
            </w:pPr>
            <w:r>
              <w:rPr>
                <w:rFonts w:cs="Times New Roman"/>
                <w:sz w:val="20"/>
                <w:szCs w:val="24"/>
              </w:rPr>
              <w:t>8 244.4</w:t>
            </w:r>
          </w:p>
        </w:tc>
        <w:tc>
          <w:tcPr>
            <w:tcW w:w="1590" w:type="dxa"/>
            <w:vAlign w:val="center"/>
          </w:tcPr>
          <w:p w14:paraId="533A95A6" w14:textId="77777777" w:rsidR="00040184" w:rsidRPr="00517251" w:rsidRDefault="00040184" w:rsidP="00E940ED">
            <w:pPr>
              <w:jc w:val="right"/>
              <w:rPr>
                <w:rFonts w:cs="Times New Roman"/>
                <w:sz w:val="20"/>
                <w:szCs w:val="24"/>
              </w:rPr>
            </w:pPr>
            <w:r>
              <w:rPr>
                <w:rFonts w:cs="Times New Roman"/>
                <w:sz w:val="20"/>
                <w:szCs w:val="24"/>
              </w:rPr>
              <w:t>9 875.0</w:t>
            </w:r>
          </w:p>
        </w:tc>
      </w:tr>
    </w:tbl>
    <w:p w14:paraId="588D87A4" w14:textId="77777777" w:rsidR="00040184" w:rsidRPr="005D7C0F" w:rsidRDefault="00040184" w:rsidP="00040184">
      <w:pPr>
        <w:rPr>
          <w:rFonts w:cs="Times New Roman"/>
          <w:szCs w:val="24"/>
        </w:rPr>
      </w:pPr>
      <w:r w:rsidRPr="005D7C0F">
        <w:rPr>
          <w:rFonts w:cs="Times New Roman"/>
          <w:szCs w:val="24"/>
        </w:rPr>
        <w:t xml:space="preserve">Source: </w:t>
      </w:r>
      <w:r>
        <w:rPr>
          <w:rFonts w:cs="Times New Roman"/>
          <w:szCs w:val="24"/>
        </w:rPr>
        <w:t>South African National Accreditation System</w:t>
      </w:r>
      <w:r w:rsidRPr="005D7C0F">
        <w:rPr>
          <w:rFonts w:cs="Times New Roman"/>
          <w:szCs w:val="24"/>
        </w:rPr>
        <w:t xml:space="preserve"> (2018</w:t>
      </w:r>
      <w:r>
        <w:rPr>
          <w:rFonts w:cs="Times New Roman"/>
          <w:szCs w:val="24"/>
        </w:rPr>
        <w:t>b</w:t>
      </w:r>
      <w:r w:rsidRPr="005D7C0F">
        <w:rPr>
          <w:rFonts w:cs="Times New Roman"/>
          <w:szCs w:val="24"/>
        </w:rPr>
        <w:t>)</w:t>
      </w:r>
    </w:p>
    <w:p w14:paraId="48999317" w14:textId="77777777" w:rsidR="00040184" w:rsidRDefault="00040184" w:rsidP="00040184">
      <w:pPr>
        <w:rPr>
          <w:rFonts w:cs="Times New Roman"/>
        </w:rPr>
      </w:pPr>
    </w:p>
    <w:p w14:paraId="721E353F" w14:textId="77777777" w:rsidR="000977B0" w:rsidRDefault="000977B0" w:rsidP="000977B0">
      <w:pPr>
        <w:rPr>
          <w:rFonts w:cs="Times New Roman"/>
        </w:rPr>
      </w:pPr>
      <w:r>
        <w:rPr>
          <w:rFonts w:cs="Times New Roman"/>
        </w:rPr>
        <w:t>In terms of expenditure, SANAS will spend R53.1 million on compensation to employees (or 50.8% of budgeted expenditure) during the 2018/19 financial year; while R51.4 million will be spent on goods and services. SANAS is also in the process of completing its new office building in Pretoria East and intends relocating by May 2018. In light of this, it has budgeted R74.6 million for payments of capital assets in the 2018/19 financial year.</w:t>
      </w:r>
      <w:r>
        <w:rPr>
          <w:rStyle w:val="FootnoteReference"/>
          <w:rFonts w:cs="Times New Roman"/>
          <w:szCs w:val="24"/>
        </w:rPr>
        <w:footnoteReference w:id="23"/>
      </w:r>
    </w:p>
    <w:p w14:paraId="0BEDAC2C" w14:textId="77777777" w:rsidR="000977B0" w:rsidRDefault="000977B0" w:rsidP="000977B0">
      <w:pPr>
        <w:rPr>
          <w:rFonts w:cs="Times New Roman"/>
        </w:rPr>
      </w:pPr>
    </w:p>
    <w:p w14:paraId="37F2D83F" w14:textId="77777777" w:rsidR="000977B0" w:rsidRDefault="000977B0" w:rsidP="000977B0">
      <w:pPr>
        <w:rPr>
          <w:rFonts w:cs="Times New Roman"/>
        </w:rPr>
      </w:pPr>
      <w:r>
        <w:rPr>
          <w:rFonts w:cs="Times New Roman"/>
        </w:rPr>
        <w:t xml:space="preserve">In its presentation, SANAS provided a thematic breakdown in terms of its expenditure. This relates to the core services it offers (see table above). As mentioned above, the core service </w:t>
      </w:r>
      <w:r>
        <w:rPr>
          <w:rFonts w:cs="Times New Roman"/>
        </w:rPr>
        <w:lastRenderedPageBreak/>
        <w:t xml:space="preserve">offered is accreditation provision, where 46.9% of the budgeted expenditure was allocated to. The second largest budgeted expense is for administration, 40% of the budget.  </w:t>
      </w:r>
    </w:p>
    <w:p w14:paraId="7A5EAE91" w14:textId="231567EF" w:rsidR="000977B0" w:rsidRDefault="000977B0" w:rsidP="000977B0">
      <w:pPr>
        <w:rPr>
          <w:rFonts w:cs="Times New Roman"/>
          <w:szCs w:val="24"/>
        </w:rPr>
      </w:pPr>
    </w:p>
    <w:p w14:paraId="074107BB" w14:textId="77777777" w:rsidR="00040184" w:rsidRDefault="00040184" w:rsidP="000977B0">
      <w:pPr>
        <w:rPr>
          <w:rFonts w:cs="Times New Roman"/>
          <w:szCs w:val="24"/>
        </w:rPr>
      </w:pPr>
    </w:p>
    <w:p w14:paraId="6A59E45B" w14:textId="77777777" w:rsidR="00911B2F" w:rsidRPr="00052A2F" w:rsidRDefault="00911B2F" w:rsidP="007D60EF">
      <w:pPr>
        <w:pStyle w:val="ListParagraph"/>
        <w:numPr>
          <w:ilvl w:val="2"/>
          <w:numId w:val="6"/>
        </w:numPr>
        <w:ind w:left="709" w:hanging="709"/>
        <w:rPr>
          <w:rFonts w:cs="Times New Roman"/>
          <w:b/>
          <w:szCs w:val="24"/>
        </w:rPr>
      </w:pPr>
      <w:r w:rsidRPr="00052A2F">
        <w:rPr>
          <w:rFonts w:cs="Times New Roman"/>
          <w:b/>
          <w:szCs w:val="24"/>
        </w:rPr>
        <w:t xml:space="preserve">Key issues raised by the </w:t>
      </w:r>
      <w:r w:rsidR="00C83555" w:rsidRPr="00052A2F">
        <w:rPr>
          <w:rFonts w:cs="Times New Roman"/>
          <w:b/>
          <w:szCs w:val="24"/>
        </w:rPr>
        <w:t xml:space="preserve">Committee </w:t>
      </w:r>
      <w:r w:rsidRPr="00052A2F">
        <w:rPr>
          <w:rFonts w:cs="Times New Roman"/>
          <w:b/>
          <w:szCs w:val="24"/>
        </w:rPr>
        <w:t>during its deliberations</w:t>
      </w:r>
    </w:p>
    <w:p w14:paraId="159A6787" w14:textId="77777777" w:rsidR="00911B2F" w:rsidRPr="00052A2F" w:rsidRDefault="00911B2F" w:rsidP="0062246E">
      <w:pPr>
        <w:autoSpaceDE w:val="0"/>
        <w:autoSpaceDN w:val="0"/>
        <w:adjustRightInd w:val="0"/>
        <w:rPr>
          <w:rFonts w:cs="Times New Roman"/>
          <w:b/>
          <w:szCs w:val="24"/>
        </w:rPr>
      </w:pPr>
    </w:p>
    <w:p w14:paraId="5F82722B" w14:textId="77777777" w:rsidR="00911B2F" w:rsidRPr="00052A2F" w:rsidRDefault="00911B2F" w:rsidP="0062246E">
      <w:pPr>
        <w:rPr>
          <w:rFonts w:cs="Times New Roman"/>
          <w:szCs w:val="24"/>
        </w:rPr>
      </w:pPr>
      <w:r w:rsidRPr="00052A2F">
        <w:rPr>
          <w:rFonts w:cs="Times New Roman"/>
          <w:szCs w:val="24"/>
        </w:rPr>
        <w:t xml:space="preserve">During its deliberations, the </w:t>
      </w:r>
      <w:r w:rsidR="00C83555" w:rsidRPr="00052A2F">
        <w:rPr>
          <w:rFonts w:cs="Times New Roman"/>
          <w:szCs w:val="24"/>
        </w:rPr>
        <w:t xml:space="preserve">Committee </w:t>
      </w:r>
      <w:r w:rsidRPr="00052A2F">
        <w:rPr>
          <w:rFonts w:cs="Times New Roman"/>
          <w:szCs w:val="24"/>
        </w:rPr>
        <w:t>raised a number of issues which are captured below:</w:t>
      </w:r>
    </w:p>
    <w:p w14:paraId="2A62CA71" w14:textId="77777777" w:rsidR="00911B2F" w:rsidRDefault="00911B2F" w:rsidP="0062246E">
      <w:pPr>
        <w:rPr>
          <w:rFonts w:cs="Times New Roman"/>
          <w:szCs w:val="24"/>
        </w:rPr>
      </w:pPr>
    </w:p>
    <w:p w14:paraId="2AFD1D54" w14:textId="77777777" w:rsidR="00E31CE5" w:rsidRPr="00040184" w:rsidRDefault="00A85CFE" w:rsidP="00E31CE5">
      <w:pPr>
        <w:pStyle w:val="ListParagraph"/>
        <w:numPr>
          <w:ilvl w:val="3"/>
          <w:numId w:val="6"/>
        </w:numPr>
        <w:ind w:left="360" w:hanging="851"/>
        <w:rPr>
          <w:rFonts w:cs="Times New Roman"/>
        </w:rPr>
      </w:pPr>
      <w:r w:rsidRPr="00A85CFE">
        <w:rPr>
          <w:rFonts w:cs="Times New Roman"/>
          <w:b/>
          <w:i/>
          <w:szCs w:val="24"/>
        </w:rPr>
        <w:t xml:space="preserve">Risk to </w:t>
      </w:r>
      <w:r w:rsidR="00F33062" w:rsidRPr="00A85CFE">
        <w:rPr>
          <w:rFonts w:cs="Times New Roman"/>
          <w:b/>
          <w:i/>
          <w:szCs w:val="24"/>
        </w:rPr>
        <w:t>Human Resource</w:t>
      </w:r>
      <w:r w:rsidRPr="00A85CFE">
        <w:rPr>
          <w:rFonts w:cs="Times New Roman"/>
          <w:b/>
          <w:i/>
          <w:szCs w:val="24"/>
        </w:rPr>
        <w:t>s</w:t>
      </w:r>
      <w:r w:rsidRPr="00A85CFE">
        <w:rPr>
          <w:rFonts w:cs="Times New Roman"/>
          <w:szCs w:val="24"/>
        </w:rPr>
        <w:t xml:space="preserve">: </w:t>
      </w:r>
      <w:r w:rsidR="00212989" w:rsidRPr="00A85CFE">
        <w:rPr>
          <w:rFonts w:cs="Times New Roman"/>
        </w:rPr>
        <w:t xml:space="preserve">The Committee noted that SANAS had </w:t>
      </w:r>
      <w:r>
        <w:rPr>
          <w:rFonts w:cs="Times New Roman"/>
        </w:rPr>
        <w:t>identified the retentio</w:t>
      </w:r>
      <w:r w:rsidRPr="00A85CFE">
        <w:rPr>
          <w:rFonts w:cs="Times New Roman"/>
        </w:rPr>
        <w:t xml:space="preserve">n </w:t>
      </w:r>
      <w:r>
        <w:rPr>
          <w:rFonts w:cs="Times New Roman"/>
        </w:rPr>
        <w:t xml:space="preserve">of </w:t>
      </w:r>
      <w:r w:rsidRPr="00A85CFE">
        <w:rPr>
          <w:rFonts w:cs="Times New Roman"/>
        </w:rPr>
        <w:t xml:space="preserve">current critical staff </w:t>
      </w:r>
      <w:r w:rsidR="00212989" w:rsidRPr="00A85CFE">
        <w:rPr>
          <w:rFonts w:cs="Times New Roman"/>
        </w:rPr>
        <w:t>a</w:t>
      </w:r>
      <w:r>
        <w:rPr>
          <w:rFonts w:cs="Times New Roman"/>
        </w:rPr>
        <w:t>s a possible</w:t>
      </w:r>
      <w:r w:rsidR="00212989" w:rsidRPr="00A85CFE">
        <w:rPr>
          <w:rFonts w:cs="Times New Roman"/>
        </w:rPr>
        <w:t xml:space="preserve"> risk</w:t>
      </w:r>
      <w:r>
        <w:rPr>
          <w:rFonts w:cs="Times New Roman"/>
        </w:rPr>
        <w:t xml:space="preserve"> and sought further clarity on this</w:t>
      </w:r>
      <w:r w:rsidR="00212989" w:rsidRPr="00A85CFE">
        <w:rPr>
          <w:rFonts w:cs="Times New Roman"/>
        </w:rPr>
        <w:t xml:space="preserve">. </w:t>
      </w:r>
      <w:r>
        <w:rPr>
          <w:rFonts w:cs="Times New Roman"/>
        </w:rPr>
        <w:t xml:space="preserve">SANAS informed the Committee that this was a probable risk, particularly if a senior management position became vacant. In order to mitigate this risk, </w:t>
      </w:r>
      <w:r w:rsidR="00B05C08" w:rsidRPr="00040184">
        <w:rPr>
          <w:rFonts w:cs="Times New Roman"/>
        </w:rPr>
        <w:t>they had employed permanent lead assessors to allow for succession planning.</w:t>
      </w:r>
      <w:r w:rsidR="00F942D0" w:rsidRPr="00040184">
        <w:rPr>
          <w:rFonts w:cs="Times New Roman"/>
        </w:rPr>
        <w:t xml:space="preserve"> </w:t>
      </w:r>
    </w:p>
    <w:p w14:paraId="4B5AF5E8" w14:textId="77777777" w:rsidR="00E31CE5" w:rsidRDefault="00E31CE5" w:rsidP="00E31CE5">
      <w:pPr>
        <w:pStyle w:val="ListParagraph"/>
        <w:ind w:left="360"/>
        <w:rPr>
          <w:rFonts w:cs="Times New Roman"/>
        </w:rPr>
      </w:pPr>
    </w:p>
    <w:p w14:paraId="7B98AFAD" w14:textId="77777777" w:rsidR="00212989" w:rsidRPr="00E31CE5" w:rsidRDefault="00E31CE5" w:rsidP="00E31CE5">
      <w:pPr>
        <w:pStyle w:val="ListParagraph"/>
        <w:numPr>
          <w:ilvl w:val="3"/>
          <w:numId w:val="6"/>
        </w:numPr>
        <w:ind w:left="360" w:hanging="851"/>
        <w:rPr>
          <w:rFonts w:cs="Times New Roman"/>
        </w:rPr>
      </w:pPr>
      <w:r w:rsidRPr="00E31CE5">
        <w:rPr>
          <w:rFonts w:cs="Times New Roman"/>
          <w:b/>
          <w:i/>
        </w:rPr>
        <w:t>Non-availability of assessor</w:t>
      </w:r>
      <w:r w:rsidR="00212989" w:rsidRPr="00E31CE5">
        <w:rPr>
          <w:rFonts w:cs="Times New Roman"/>
          <w:b/>
          <w:i/>
        </w:rPr>
        <w:t>s</w:t>
      </w:r>
      <w:r w:rsidRPr="00E31CE5">
        <w:rPr>
          <w:rFonts w:cs="Times New Roman"/>
        </w:rPr>
        <w:t xml:space="preserve">: </w:t>
      </w:r>
      <w:r>
        <w:rPr>
          <w:rFonts w:cs="Times New Roman"/>
        </w:rPr>
        <w:t xml:space="preserve">SANAS had highlighted a further risk of assessors not being available for assessments. </w:t>
      </w:r>
      <w:r w:rsidR="00212989" w:rsidRPr="00E31CE5">
        <w:rPr>
          <w:rFonts w:cs="Times New Roman"/>
        </w:rPr>
        <w:t xml:space="preserve">The Committee </w:t>
      </w:r>
      <w:r>
        <w:rPr>
          <w:rFonts w:cs="Times New Roman"/>
        </w:rPr>
        <w:t xml:space="preserve">enquired about the reason for this </w:t>
      </w:r>
      <w:r w:rsidR="00212989" w:rsidRPr="00E31CE5">
        <w:rPr>
          <w:rFonts w:cs="Times New Roman"/>
        </w:rPr>
        <w:t xml:space="preserve">non-availability </w:t>
      </w:r>
      <w:r>
        <w:rPr>
          <w:rFonts w:cs="Times New Roman"/>
        </w:rPr>
        <w:t xml:space="preserve">and why there was a reliance on external assessors. SANAS indicated that they currently had </w:t>
      </w:r>
      <w:r>
        <w:t>76 full-time staff members and 8 lead assessors. Their intention was to reach 82 staff members. However, this had not been possible due to their space constraint. They clarified that they sourced external technical assessors, as these needed to have current technical skills and to be working in the industry; therefore, they never employ technical assessors. Lead assessors, on the other hand, were responsible for standards and were responsible for the overall assessment. External technical assessors are normally identified through advertisements or by ear and new assessors must be found when there is a new area that requires assessment. Technical specialists are then taught assessment techniques before being qualified to perform assessments. Project 500 has been concluded recently to recruit 500 demographically representative assessors to address this risk.</w:t>
      </w:r>
    </w:p>
    <w:p w14:paraId="2B987D5B" w14:textId="77777777" w:rsidR="00E31CE5" w:rsidRPr="00E31CE5" w:rsidRDefault="00E31CE5" w:rsidP="00E31CE5">
      <w:pPr>
        <w:pStyle w:val="ListParagraph"/>
        <w:ind w:left="360"/>
        <w:rPr>
          <w:rFonts w:cs="Times New Roman"/>
        </w:rPr>
      </w:pPr>
    </w:p>
    <w:p w14:paraId="140DC921" w14:textId="77777777" w:rsidR="00212989" w:rsidRPr="00F942D0" w:rsidRDefault="00212989" w:rsidP="0044041F">
      <w:pPr>
        <w:pStyle w:val="ListParagraph"/>
        <w:numPr>
          <w:ilvl w:val="3"/>
          <w:numId w:val="6"/>
        </w:numPr>
        <w:ind w:left="360" w:hanging="851"/>
        <w:rPr>
          <w:rFonts w:cs="Times New Roman"/>
        </w:rPr>
      </w:pPr>
      <w:r w:rsidRPr="00F942D0">
        <w:rPr>
          <w:b/>
          <w:i/>
        </w:rPr>
        <w:t>A</w:t>
      </w:r>
      <w:r w:rsidR="00BA088B" w:rsidRPr="00F942D0">
        <w:rPr>
          <w:b/>
          <w:i/>
        </w:rPr>
        <w:t>utomation of the a</w:t>
      </w:r>
      <w:r w:rsidRPr="00F942D0">
        <w:rPr>
          <w:b/>
          <w:i/>
        </w:rPr>
        <w:t>ccreditation</w:t>
      </w:r>
      <w:r w:rsidR="00BA088B" w:rsidRPr="00F942D0">
        <w:rPr>
          <w:b/>
          <w:i/>
        </w:rPr>
        <w:t xml:space="preserve"> system</w:t>
      </w:r>
      <w:r w:rsidR="00BA088B" w:rsidRPr="00BA088B">
        <w:t>:</w:t>
      </w:r>
      <w:r w:rsidR="00F942D0">
        <w:t xml:space="preserve"> </w:t>
      </w:r>
      <w:r w:rsidRPr="00F942D0">
        <w:rPr>
          <w:rFonts w:cs="Times New Roman"/>
        </w:rPr>
        <w:t xml:space="preserve">The Committee </w:t>
      </w:r>
      <w:r w:rsidR="00F942D0" w:rsidRPr="00F942D0">
        <w:rPr>
          <w:rFonts w:cs="Times New Roman"/>
        </w:rPr>
        <w:t>questioned the</w:t>
      </w:r>
      <w:r w:rsidRPr="00F942D0">
        <w:rPr>
          <w:rFonts w:cs="Times New Roman"/>
        </w:rPr>
        <w:t xml:space="preserve"> timeframes for developing the automated accreditation system. </w:t>
      </w:r>
      <w:r w:rsidR="00F942D0">
        <w:rPr>
          <w:rFonts w:cs="Times New Roman"/>
        </w:rPr>
        <w:t xml:space="preserve">SANAS responded that it had set out a </w:t>
      </w:r>
      <w:r w:rsidR="0029114D">
        <w:rPr>
          <w:rFonts w:cs="Times New Roman"/>
        </w:rPr>
        <w:t>five-year</w:t>
      </w:r>
      <w:r w:rsidR="00F942D0">
        <w:rPr>
          <w:rFonts w:cs="Times New Roman"/>
        </w:rPr>
        <w:t xml:space="preserve"> window to develop and test various modules for its automated accreditation system. It was busy with the final phase of the process.</w:t>
      </w:r>
    </w:p>
    <w:p w14:paraId="6FE9ABE3" w14:textId="77777777" w:rsidR="00212989" w:rsidRPr="00A01AE7" w:rsidRDefault="00212989" w:rsidP="00212989">
      <w:pPr>
        <w:rPr>
          <w:rFonts w:cs="Times New Roman"/>
        </w:rPr>
      </w:pPr>
    </w:p>
    <w:p w14:paraId="72740671" w14:textId="77777777" w:rsidR="00911B2F" w:rsidRPr="00D42787" w:rsidRDefault="00212989" w:rsidP="00C17DEE">
      <w:pPr>
        <w:pStyle w:val="ListParagraph"/>
        <w:numPr>
          <w:ilvl w:val="3"/>
          <w:numId w:val="6"/>
        </w:numPr>
        <w:ind w:left="360" w:hanging="851"/>
        <w:rPr>
          <w:rFonts w:cs="Times New Roman"/>
          <w:szCs w:val="24"/>
        </w:rPr>
      </w:pPr>
      <w:r w:rsidRPr="007D0C3D">
        <w:rPr>
          <w:rFonts w:cs="Times New Roman"/>
          <w:b/>
          <w:i/>
        </w:rPr>
        <w:t>The role played by SANAS on health matters</w:t>
      </w:r>
      <w:r w:rsidR="00F50F5B" w:rsidRPr="007D0C3D">
        <w:rPr>
          <w:rFonts w:cs="Times New Roman"/>
        </w:rPr>
        <w:t xml:space="preserve">: The Committee enquired what SANAS role </w:t>
      </w:r>
      <w:r w:rsidR="00F50F5B" w:rsidRPr="00D42787">
        <w:rPr>
          <w:rFonts w:cs="Times New Roman"/>
        </w:rPr>
        <w:t xml:space="preserve">was in relation to the recent listeriosis outbreak. </w:t>
      </w:r>
      <w:r w:rsidRPr="00D42787">
        <w:rPr>
          <w:rFonts w:cs="Times New Roman"/>
        </w:rPr>
        <w:t xml:space="preserve">SANAS explained </w:t>
      </w:r>
      <w:r w:rsidR="00F50F5B" w:rsidRPr="00D42787">
        <w:rPr>
          <w:rFonts w:cs="Times New Roman"/>
        </w:rPr>
        <w:t xml:space="preserve">that </w:t>
      </w:r>
      <w:r w:rsidRPr="00D42787">
        <w:rPr>
          <w:rFonts w:cs="Times New Roman"/>
        </w:rPr>
        <w:t>it</w:t>
      </w:r>
      <w:r w:rsidR="00F50F5B" w:rsidRPr="00D42787">
        <w:rPr>
          <w:rFonts w:cs="Times New Roman"/>
        </w:rPr>
        <w:t xml:space="preserve"> had been </w:t>
      </w:r>
      <w:r w:rsidR="00F50F5B" w:rsidRPr="00D42787">
        <w:rPr>
          <w:rFonts w:cs="Times New Roman"/>
        </w:rPr>
        <w:lastRenderedPageBreak/>
        <w:t xml:space="preserve">part of the advisory group in relation to laboratories. </w:t>
      </w:r>
      <w:r w:rsidR="00F50F5B" w:rsidRPr="00D42787">
        <w:t xml:space="preserve">However, as listeriosis was not a notifiable disease, </w:t>
      </w:r>
      <w:r w:rsidR="007D0C3D" w:rsidRPr="00D42787">
        <w:t>at the time of the outbreak, this was not subject to compulsory reporting. In spite of this, most laboratories cooperated. SANAS noted that every manufacturer should be obliged to comply with certain standards. SANAS/Government will be looking at a new system to handle and prevent similar instances in future.</w:t>
      </w:r>
    </w:p>
    <w:p w14:paraId="68281B4E" w14:textId="77777777" w:rsidR="007D0C3D" w:rsidRPr="00D42787" w:rsidRDefault="007D0C3D" w:rsidP="007D0C3D">
      <w:pPr>
        <w:rPr>
          <w:rFonts w:cs="Times New Roman"/>
          <w:szCs w:val="24"/>
        </w:rPr>
      </w:pPr>
    </w:p>
    <w:p w14:paraId="65AC5BB8" w14:textId="77777777" w:rsidR="00DA4858" w:rsidRPr="00052A2F" w:rsidRDefault="00DA4858" w:rsidP="007D60EF">
      <w:pPr>
        <w:pStyle w:val="ListParagraph"/>
        <w:numPr>
          <w:ilvl w:val="0"/>
          <w:numId w:val="6"/>
        </w:numPr>
        <w:ind w:left="284" w:hanging="284"/>
        <w:rPr>
          <w:rFonts w:cs="Times New Roman"/>
          <w:b/>
          <w:szCs w:val="24"/>
        </w:rPr>
      </w:pPr>
      <w:r w:rsidRPr="00052A2F">
        <w:rPr>
          <w:rFonts w:cs="Times New Roman"/>
          <w:b/>
          <w:szCs w:val="24"/>
        </w:rPr>
        <w:t>Conclusions</w:t>
      </w:r>
    </w:p>
    <w:p w14:paraId="2047A0A0" w14:textId="77777777" w:rsidR="004770F9" w:rsidRPr="00052A2F" w:rsidRDefault="004770F9" w:rsidP="0062246E">
      <w:pPr>
        <w:rPr>
          <w:rFonts w:cs="Times New Roman"/>
          <w:szCs w:val="24"/>
        </w:rPr>
      </w:pPr>
    </w:p>
    <w:p w14:paraId="76E9DA7C" w14:textId="227FF58E" w:rsidR="002D4FEA" w:rsidRPr="0068210D" w:rsidRDefault="004770F9" w:rsidP="0062246E">
      <w:pPr>
        <w:rPr>
          <w:rFonts w:cs="Times New Roman"/>
          <w:szCs w:val="24"/>
        </w:rPr>
      </w:pPr>
      <w:r w:rsidRPr="0068210D">
        <w:rPr>
          <w:rFonts w:cs="Times New Roman"/>
          <w:szCs w:val="24"/>
        </w:rPr>
        <w:t>Having considered the information shared and reports from the D</w:t>
      </w:r>
      <w:r w:rsidR="00817A33" w:rsidRPr="0068210D">
        <w:rPr>
          <w:rFonts w:cs="Times New Roman"/>
          <w:szCs w:val="24"/>
        </w:rPr>
        <w:t>epartment of Trade and Industry</w:t>
      </w:r>
      <w:r w:rsidR="0068210D">
        <w:rPr>
          <w:rFonts w:cs="Times New Roman"/>
          <w:szCs w:val="24"/>
        </w:rPr>
        <w:t xml:space="preserve"> </w:t>
      </w:r>
      <w:r w:rsidRPr="0068210D">
        <w:rPr>
          <w:rFonts w:cs="Times New Roman"/>
          <w:szCs w:val="24"/>
        </w:rPr>
        <w:t xml:space="preserve">and its entities with respect to their strategic and annual performance plans, the </w:t>
      </w:r>
      <w:r w:rsidR="009609EB" w:rsidRPr="0068210D">
        <w:rPr>
          <w:rFonts w:cs="Times New Roman"/>
          <w:szCs w:val="24"/>
        </w:rPr>
        <w:t xml:space="preserve">Committee </w:t>
      </w:r>
      <w:r w:rsidRPr="0068210D">
        <w:rPr>
          <w:rFonts w:cs="Times New Roman"/>
          <w:szCs w:val="24"/>
        </w:rPr>
        <w:t>has reached the following conclusions</w:t>
      </w:r>
      <w:r w:rsidR="00C22195" w:rsidRPr="0068210D">
        <w:rPr>
          <w:rFonts w:cs="Times New Roman"/>
          <w:szCs w:val="24"/>
        </w:rPr>
        <w:t>:</w:t>
      </w:r>
    </w:p>
    <w:p w14:paraId="046FC861" w14:textId="77777777" w:rsidR="004770F9" w:rsidRPr="0068210D" w:rsidRDefault="004770F9" w:rsidP="0062246E">
      <w:pPr>
        <w:rPr>
          <w:rFonts w:eastAsia="Times New Roman" w:cs="Times New Roman"/>
          <w:caps/>
          <w:szCs w:val="24"/>
        </w:rPr>
      </w:pPr>
    </w:p>
    <w:p w14:paraId="049B9817" w14:textId="44C85105" w:rsidR="00CF0FD1" w:rsidRDefault="002012C6" w:rsidP="00DC7A6A">
      <w:pPr>
        <w:pStyle w:val="ListParagraph"/>
        <w:numPr>
          <w:ilvl w:val="1"/>
          <w:numId w:val="42"/>
        </w:numPr>
        <w:ind w:left="630" w:hanging="630"/>
        <w:rPr>
          <w:rFonts w:cs="Times New Roman"/>
          <w:szCs w:val="24"/>
        </w:rPr>
      </w:pPr>
      <w:r w:rsidRPr="00CF0FD1">
        <w:rPr>
          <w:rFonts w:cs="Times New Roman"/>
          <w:szCs w:val="24"/>
        </w:rPr>
        <w:t xml:space="preserve">The Committee welcomes the achievements by the </w:t>
      </w:r>
      <w:r w:rsidR="00D76806" w:rsidRPr="00CF0FD1">
        <w:rPr>
          <w:rFonts w:cs="Times New Roman"/>
          <w:szCs w:val="24"/>
        </w:rPr>
        <w:t>Department of Trade and Industry</w:t>
      </w:r>
      <w:r w:rsidRPr="00CF0FD1">
        <w:rPr>
          <w:rFonts w:cs="Times New Roman"/>
          <w:szCs w:val="24"/>
        </w:rPr>
        <w:t xml:space="preserve"> despite the budget constraints</w:t>
      </w:r>
      <w:r w:rsidR="00D76806" w:rsidRPr="00CF0FD1">
        <w:rPr>
          <w:rFonts w:cs="Times New Roman"/>
          <w:szCs w:val="24"/>
        </w:rPr>
        <w:t>.</w:t>
      </w:r>
      <w:r w:rsidRPr="00CF0FD1">
        <w:rPr>
          <w:rFonts w:cs="Times New Roman"/>
          <w:szCs w:val="24"/>
        </w:rPr>
        <w:t xml:space="preserve"> </w:t>
      </w:r>
      <w:r w:rsidR="00D76806" w:rsidRPr="00CF0FD1">
        <w:rPr>
          <w:rFonts w:cs="Times New Roman"/>
          <w:szCs w:val="24"/>
        </w:rPr>
        <w:t>H</w:t>
      </w:r>
      <w:r w:rsidRPr="00CF0FD1">
        <w:rPr>
          <w:rFonts w:cs="Times New Roman"/>
          <w:szCs w:val="24"/>
        </w:rPr>
        <w:t>owever</w:t>
      </w:r>
      <w:r w:rsidR="00D76806" w:rsidRPr="00CF0FD1">
        <w:rPr>
          <w:rFonts w:cs="Times New Roman"/>
          <w:szCs w:val="24"/>
        </w:rPr>
        <w:t>,</w:t>
      </w:r>
      <w:r w:rsidRPr="00CF0FD1">
        <w:rPr>
          <w:rFonts w:cs="Times New Roman"/>
          <w:szCs w:val="24"/>
        </w:rPr>
        <w:t xml:space="preserve"> it also recognizes the challenges </w:t>
      </w:r>
      <w:r w:rsidR="00D76806" w:rsidRPr="00CF0FD1">
        <w:rPr>
          <w:rFonts w:cs="Times New Roman"/>
          <w:szCs w:val="24"/>
        </w:rPr>
        <w:t xml:space="preserve">that </w:t>
      </w:r>
      <w:r w:rsidRPr="00CF0FD1">
        <w:rPr>
          <w:rFonts w:cs="Times New Roman"/>
          <w:szCs w:val="24"/>
        </w:rPr>
        <w:t xml:space="preserve">the Department continues to face and </w:t>
      </w:r>
      <w:r w:rsidR="00D76806" w:rsidRPr="00CF0FD1">
        <w:rPr>
          <w:rFonts w:cs="Times New Roman"/>
          <w:szCs w:val="24"/>
        </w:rPr>
        <w:t xml:space="preserve">the </w:t>
      </w:r>
      <w:r w:rsidRPr="00CF0FD1">
        <w:rPr>
          <w:rFonts w:cs="Times New Roman"/>
          <w:szCs w:val="24"/>
        </w:rPr>
        <w:t xml:space="preserve">mechanisms </w:t>
      </w:r>
      <w:r w:rsidR="00D76806" w:rsidRPr="00CF0FD1">
        <w:rPr>
          <w:rFonts w:cs="Times New Roman"/>
          <w:szCs w:val="24"/>
        </w:rPr>
        <w:t xml:space="preserve">developed </w:t>
      </w:r>
      <w:r w:rsidRPr="00CF0FD1">
        <w:rPr>
          <w:rFonts w:cs="Times New Roman"/>
          <w:szCs w:val="24"/>
        </w:rPr>
        <w:t>to address</w:t>
      </w:r>
      <w:r w:rsidR="00D76806" w:rsidRPr="00CF0FD1">
        <w:rPr>
          <w:rFonts w:cs="Times New Roman"/>
          <w:szCs w:val="24"/>
        </w:rPr>
        <w:t xml:space="preserve"> these</w:t>
      </w:r>
      <w:r w:rsidRPr="00CF0FD1">
        <w:rPr>
          <w:rFonts w:cs="Times New Roman"/>
          <w:szCs w:val="24"/>
        </w:rPr>
        <w:t>.</w:t>
      </w:r>
    </w:p>
    <w:p w14:paraId="53D91424" w14:textId="77777777" w:rsidR="00CF0FD1" w:rsidRDefault="00CF0FD1" w:rsidP="00DC7A6A">
      <w:pPr>
        <w:pStyle w:val="ListParagraph"/>
        <w:ind w:left="630" w:hanging="630"/>
        <w:rPr>
          <w:rFonts w:cs="Times New Roman"/>
          <w:szCs w:val="24"/>
        </w:rPr>
      </w:pPr>
    </w:p>
    <w:p w14:paraId="36CD026B" w14:textId="30F192B1" w:rsidR="00CF0FD1" w:rsidRPr="00CF0FD1" w:rsidRDefault="002012C6" w:rsidP="00DC7A6A">
      <w:pPr>
        <w:pStyle w:val="ListParagraph"/>
        <w:numPr>
          <w:ilvl w:val="1"/>
          <w:numId w:val="42"/>
        </w:numPr>
        <w:ind w:left="630" w:hanging="630"/>
        <w:rPr>
          <w:rFonts w:cs="Times New Roman"/>
          <w:szCs w:val="24"/>
        </w:rPr>
      </w:pPr>
      <w:r w:rsidRPr="00CF0FD1">
        <w:rPr>
          <w:rFonts w:cs="Times New Roman"/>
          <w:szCs w:val="24"/>
        </w:rPr>
        <w:t xml:space="preserve">The continued focus on beneficiated industrialisation and the creation of an inclusive economy to promote employment by the </w:t>
      </w:r>
      <w:r w:rsidR="00D76806" w:rsidRPr="00CF0FD1">
        <w:rPr>
          <w:rFonts w:cs="Times New Roman"/>
          <w:szCs w:val="24"/>
        </w:rPr>
        <w:t>Department of Trade and Industry</w:t>
      </w:r>
      <w:r w:rsidR="007051BD" w:rsidRPr="00CF0FD1">
        <w:rPr>
          <w:rFonts w:cs="Times New Roman"/>
          <w:szCs w:val="24"/>
        </w:rPr>
        <w:t xml:space="preserve"> and its entities</w:t>
      </w:r>
      <w:r w:rsidRPr="00CF0FD1">
        <w:rPr>
          <w:rFonts w:cs="Times New Roman"/>
          <w:szCs w:val="24"/>
        </w:rPr>
        <w:t xml:space="preserve"> is evident in the budget allocations and targeted expenditure. This is particularly evident in the significant budget share allocation to the highly successful </w:t>
      </w:r>
      <w:r w:rsidR="007051BD" w:rsidRPr="00CF0FD1">
        <w:rPr>
          <w:rFonts w:cs="Times New Roman"/>
          <w:szCs w:val="24"/>
        </w:rPr>
        <w:t xml:space="preserve">Incentive Development and Administration, Industrial Development and </w:t>
      </w:r>
      <w:r w:rsidRPr="00CF0FD1">
        <w:rPr>
          <w:rFonts w:cs="Times New Roman"/>
          <w:szCs w:val="24"/>
        </w:rPr>
        <w:t xml:space="preserve">Investment South Africa </w:t>
      </w:r>
      <w:r w:rsidR="007051BD" w:rsidRPr="00CF0FD1">
        <w:rPr>
          <w:rFonts w:cs="Times New Roman"/>
          <w:szCs w:val="24"/>
        </w:rPr>
        <w:t>Programmes</w:t>
      </w:r>
      <w:r w:rsidRPr="00CF0FD1">
        <w:rPr>
          <w:rFonts w:cs="Times New Roman"/>
          <w:szCs w:val="24"/>
        </w:rPr>
        <w:t xml:space="preserve">. </w:t>
      </w:r>
      <w:r w:rsidR="00113BD9" w:rsidRPr="00CF0FD1">
        <w:rPr>
          <w:rFonts w:eastAsia="Times New Roman" w:cs="Times New Roman"/>
          <w:szCs w:val="24"/>
        </w:rPr>
        <w:t>The Committee is of the view that the new proposed Film Production Incentive should comply with the</w:t>
      </w:r>
      <w:r w:rsidR="007051BD" w:rsidRPr="00CF0FD1">
        <w:rPr>
          <w:rFonts w:eastAsia="Times New Roman" w:cs="Times New Roman"/>
          <w:szCs w:val="24"/>
        </w:rPr>
        <w:t xml:space="preserve"> differentiated</w:t>
      </w:r>
      <w:r w:rsidR="00113BD9" w:rsidRPr="00CF0FD1">
        <w:rPr>
          <w:rFonts w:eastAsia="Times New Roman" w:cs="Times New Roman"/>
          <w:szCs w:val="24"/>
        </w:rPr>
        <w:t xml:space="preserve"> needs of the local and international audio-visual production industry to ensure increased investment and the growth of the local film, television and general </w:t>
      </w:r>
      <w:r w:rsidR="007051BD" w:rsidRPr="00CF0FD1">
        <w:rPr>
          <w:rFonts w:eastAsia="Times New Roman" w:cs="Times New Roman"/>
          <w:szCs w:val="24"/>
        </w:rPr>
        <w:t>audio-visual production industries.</w:t>
      </w:r>
    </w:p>
    <w:p w14:paraId="3E9560C6" w14:textId="058CB876" w:rsidR="00CF0FD1" w:rsidRPr="00CF0FD1" w:rsidRDefault="00CF0FD1" w:rsidP="00DC7A6A">
      <w:pPr>
        <w:ind w:left="630" w:hanging="630"/>
        <w:rPr>
          <w:rFonts w:cs="Times New Roman"/>
          <w:szCs w:val="24"/>
        </w:rPr>
      </w:pPr>
    </w:p>
    <w:p w14:paraId="16C44420" w14:textId="25E2AAC3" w:rsidR="00CF0FD1" w:rsidRDefault="002012C6" w:rsidP="00DC7A6A">
      <w:pPr>
        <w:pStyle w:val="ListParagraph"/>
        <w:numPr>
          <w:ilvl w:val="1"/>
          <w:numId w:val="42"/>
        </w:numPr>
        <w:ind w:left="630" w:hanging="630"/>
        <w:rPr>
          <w:rFonts w:cs="Times New Roman"/>
          <w:szCs w:val="24"/>
        </w:rPr>
      </w:pPr>
      <w:r w:rsidRPr="00CF0FD1">
        <w:rPr>
          <w:rFonts w:cs="Times New Roman"/>
          <w:szCs w:val="24"/>
        </w:rPr>
        <w:t xml:space="preserve">The Committee welcomes the integrated approach adopted to deal effectively with non-compliance with the </w:t>
      </w:r>
      <w:r w:rsidR="00AD316A" w:rsidRPr="00CF0FD1">
        <w:rPr>
          <w:rFonts w:cs="Times New Roman"/>
          <w:szCs w:val="24"/>
        </w:rPr>
        <w:t xml:space="preserve">Broad-Based Black Economic Empowerment </w:t>
      </w:r>
      <w:r w:rsidR="00416E37" w:rsidRPr="00CF0FD1">
        <w:rPr>
          <w:rFonts w:cs="Times New Roman"/>
          <w:szCs w:val="24"/>
        </w:rPr>
        <w:t>Act using</w:t>
      </w:r>
      <w:r w:rsidRPr="00CF0FD1">
        <w:rPr>
          <w:rFonts w:cs="Times New Roman"/>
          <w:szCs w:val="24"/>
        </w:rPr>
        <w:t xml:space="preserve"> established relationships with other government entities. This is reflected in the </w:t>
      </w:r>
      <w:r w:rsidR="00416E37" w:rsidRPr="00CF0FD1">
        <w:rPr>
          <w:rFonts w:cs="Times New Roman"/>
          <w:szCs w:val="24"/>
        </w:rPr>
        <w:t xml:space="preserve">conclusion of the </w:t>
      </w:r>
      <w:r w:rsidR="00AD316A" w:rsidRPr="00CF0FD1">
        <w:rPr>
          <w:rFonts w:cs="Times New Roman"/>
          <w:szCs w:val="24"/>
        </w:rPr>
        <w:t>Memorand</w:t>
      </w:r>
      <w:r w:rsidR="00416E37" w:rsidRPr="00CF0FD1">
        <w:rPr>
          <w:rFonts w:cs="Times New Roman"/>
          <w:szCs w:val="24"/>
        </w:rPr>
        <w:t>ums</w:t>
      </w:r>
      <w:r w:rsidR="00AD316A" w:rsidRPr="00CF0FD1">
        <w:rPr>
          <w:rFonts w:cs="Times New Roman"/>
          <w:szCs w:val="24"/>
        </w:rPr>
        <w:t xml:space="preserve"> </w:t>
      </w:r>
      <w:r w:rsidR="00416E37" w:rsidRPr="00CF0FD1">
        <w:rPr>
          <w:rFonts w:cs="Times New Roman"/>
          <w:szCs w:val="24"/>
        </w:rPr>
        <w:t>o</w:t>
      </w:r>
      <w:r w:rsidR="00AD316A" w:rsidRPr="00CF0FD1">
        <w:rPr>
          <w:rFonts w:cs="Times New Roman"/>
          <w:szCs w:val="24"/>
        </w:rPr>
        <w:t>f Understanding (</w:t>
      </w:r>
      <w:r w:rsidRPr="00CF0FD1">
        <w:rPr>
          <w:rFonts w:cs="Times New Roman"/>
          <w:szCs w:val="24"/>
        </w:rPr>
        <w:t>MOUs</w:t>
      </w:r>
      <w:r w:rsidR="00AD316A" w:rsidRPr="00CF0FD1">
        <w:rPr>
          <w:rFonts w:cs="Times New Roman"/>
          <w:szCs w:val="24"/>
        </w:rPr>
        <w:t>)</w:t>
      </w:r>
      <w:r w:rsidRPr="00CF0FD1">
        <w:rPr>
          <w:rFonts w:cs="Times New Roman"/>
          <w:szCs w:val="24"/>
        </w:rPr>
        <w:t xml:space="preserve"> with the Competition Commission, the Companies and Intellectual Property Commission, the Commission for Employment Equity, the National Gambling Board, and the South African National Accreditation System. However, the Committee would like to encourage the conclusion of MOUs with the National Prosecuting Authority, South African Revenue Service and the South African Police Service.</w:t>
      </w:r>
    </w:p>
    <w:p w14:paraId="03BDB331" w14:textId="77777777" w:rsidR="00CF0FD1" w:rsidRPr="00CF0FD1" w:rsidRDefault="00CF0FD1" w:rsidP="00DC7A6A">
      <w:pPr>
        <w:ind w:left="630" w:hanging="630"/>
        <w:rPr>
          <w:rFonts w:cs="Times New Roman"/>
          <w:szCs w:val="24"/>
        </w:rPr>
      </w:pPr>
    </w:p>
    <w:p w14:paraId="7E37F05D" w14:textId="697BB6C4" w:rsidR="00CF0FD1" w:rsidRDefault="002012C6" w:rsidP="00DC7A6A">
      <w:pPr>
        <w:pStyle w:val="ListParagraph"/>
        <w:numPr>
          <w:ilvl w:val="1"/>
          <w:numId w:val="42"/>
        </w:numPr>
        <w:ind w:left="630" w:hanging="630"/>
        <w:rPr>
          <w:rFonts w:cs="Times New Roman"/>
          <w:szCs w:val="24"/>
        </w:rPr>
      </w:pPr>
      <w:r w:rsidRPr="00CF0FD1">
        <w:rPr>
          <w:rFonts w:cs="Times New Roman"/>
          <w:szCs w:val="24"/>
        </w:rPr>
        <w:t xml:space="preserve">The proposal by the </w:t>
      </w:r>
      <w:r w:rsidR="00AD316A" w:rsidRPr="00CF0FD1">
        <w:rPr>
          <w:rFonts w:cs="Times New Roman"/>
          <w:szCs w:val="24"/>
        </w:rPr>
        <w:t xml:space="preserve">Broad-Based Black Economic Empowerment </w:t>
      </w:r>
      <w:r w:rsidRPr="00CF0FD1">
        <w:rPr>
          <w:rFonts w:cs="Times New Roman"/>
          <w:szCs w:val="24"/>
        </w:rPr>
        <w:t xml:space="preserve">Commission that the Companies Tribunal should hear </w:t>
      </w:r>
      <w:r w:rsidR="00AD316A" w:rsidRPr="00CF0FD1">
        <w:rPr>
          <w:rFonts w:cs="Times New Roman"/>
          <w:szCs w:val="24"/>
        </w:rPr>
        <w:t>Broad-Based Black Economic Empowerment</w:t>
      </w:r>
      <w:r w:rsidRPr="00CF0FD1">
        <w:rPr>
          <w:rFonts w:cs="Times New Roman"/>
          <w:szCs w:val="24"/>
        </w:rPr>
        <w:t xml:space="preserve"> matters, as this is cost-effective and more importantly could streamline service delivery</w:t>
      </w:r>
      <w:r w:rsidR="00416E37" w:rsidRPr="00CF0FD1">
        <w:rPr>
          <w:rFonts w:cs="Times New Roman"/>
          <w:szCs w:val="24"/>
        </w:rPr>
        <w:t>,</w:t>
      </w:r>
      <w:r w:rsidR="00F46E1D" w:rsidRPr="00CF0FD1">
        <w:rPr>
          <w:rFonts w:cs="Times New Roman"/>
          <w:szCs w:val="24"/>
        </w:rPr>
        <w:t xml:space="preserve"> is welcomed</w:t>
      </w:r>
      <w:r w:rsidRPr="00CF0FD1">
        <w:rPr>
          <w:rFonts w:cs="Times New Roman"/>
          <w:szCs w:val="24"/>
        </w:rPr>
        <w:t xml:space="preserve">. However, this may require amendments to existing legislation. </w:t>
      </w:r>
    </w:p>
    <w:p w14:paraId="47909D06" w14:textId="3F4F9EA0" w:rsidR="00CF0FD1" w:rsidRPr="00CF0FD1" w:rsidRDefault="00CF0FD1" w:rsidP="00DC7A6A">
      <w:pPr>
        <w:ind w:left="630" w:hanging="630"/>
        <w:rPr>
          <w:rFonts w:cs="Times New Roman"/>
          <w:szCs w:val="24"/>
        </w:rPr>
      </w:pPr>
    </w:p>
    <w:p w14:paraId="38A3F095" w14:textId="224DDC1A" w:rsidR="00CF0FD1" w:rsidRDefault="00774E6B" w:rsidP="00DC7A6A">
      <w:pPr>
        <w:pStyle w:val="ListParagraph"/>
        <w:numPr>
          <w:ilvl w:val="1"/>
          <w:numId w:val="42"/>
        </w:numPr>
        <w:ind w:left="630" w:hanging="630"/>
        <w:rPr>
          <w:rFonts w:cs="Times New Roman"/>
          <w:szCs w:val="24"/>
        </w:rPr>
      </w:pPr>
      <w:r w:rsidRPr="00CF0FD1">
        <w:rPr>
          <w:rFonts w:cs="Times New Roman"/>
          <w:szCs w:val="24"/>
        </w:rPr>
        <w:t>T</w:t>
      </w:r>
      <w:r w:rsidR="002012C6" w:rsidRPr="00CF0FD1">
        <w:rPr>
          <w:rFonts w:cs="Times New Roman"/>
          <w:szCs w:val="24"/>
        </w:rPr>
        <w:t xml:space="preserve">he Committee welcomed the additional funding of R27 million committed by the </w:t>
      </w:r>
      <w:r w:rsidR="00D76806" w:rsidRPr="00CF0FD1">
        <w:rPr>
          <w:rFonts w:cs="Times New Roman"/>
          <w:szCs w:val="24"/>
        </w:rPr>
        <w:t>Department of Trade and Industry</w:t>
      </w:r>
      <w:r w:rsidR="00416E37" w:rsidRPr="00CF0FD1">
        <w:rPr>
          <w:rFonts w:cs="Times New Roman"/>
          <w:szCs w:val="24"/>
        </w:rPr>
        <w:t xml:space="preserve"> </w:t>
      </w:r>
      <w:r w:rsidR="002012C6" w:rsidRPr="00CF0FD1">
        <w:rPr>
          <w:rFonts w:cs="Times New Roman"/>
          <w:szCs w:val="24"/>
        </w:rPr>
        <w:t xml:space="preserve">to the </w:t>
      </w:r>
      <w:r w:rsidR="00AD316A" w:rsidRPr="00CF0FD1">
        <w:rPr>
          <w:rFonts w:cs="Times New Roman"/>
          <w:szCs w:val="24"/>
        </w:rPr>
        <w:t xml:space="preserve">Broad-Based Black Economic Empowerment </w:t>
      </w:r>
      <w:r w:rsidR="002012C6" w:rsidRPr="00CF0FD1">
        <w:rPr>
          <w:rFonts w:cs="Times New Roman"/>
          <w:szCs w:val="24"/>
        </w:rPr>
        <w:t xml:space="preserve">Commission. This should </w:t>
      </w:r>
      <w:r w:rsidR="00416E37" w:rsidRPr="00CF0FD1">
        <w:rPr>
          <w:rFonts w:cs="Times New Roman"/>
          <w:szCs w:val="24"/>
        </w:rPr>
        <w:t xml:space="preserve">directly </w:t>
      </w:r>
      <w:r w:rsidR="002012C6" w:rsidRPr="00CF0FD1">
        <w:rPr>
          <w:rFonts w:cs="Times New Roman"/>
          <w:szCs w:val="24"/>
        </w:rPr>
        <w:t xml:space="preserve">contribute to addressing </w:t>
      </w:r>
      <w:r w:rsidR="00416E37" w:rsidRPr="00CF0FD1">
        <w:rPr>
          <w:rFonts w:cs="Times New Roman"/>
          <w:szCs w:val="24"/>
        </w:rPr>
        <w:t xml:space="preserve">its ability to effectively </w:t>
      </w:r>
      <w:r w:rsidR="002012C6" w:rsidRPr="00CF0FD1">
        <w:rPr>
          <w:rFonts w:cs="Times New Roman"/>
          <w:szCs w:val="24"/>
        </w:rPr>
        <w:t>discharge its mandate</w:t>
      </w:r>
      <w:r w:rsidR="00416E37" w:rsidRPr="00CF0FD1">
        <w:rPr>
          <w:rFonts w:cs="Times New Roman"/>
          <w:szCs w:val="24"/>
        </w:rPr>
        <w:t xml:space="preserve"> by alleviating current capacity constraints</w:t>
      </w:r>
      <w:r w:rsidR="002012C6" w:rsidRPr="00CF0FD1">
        <w:rPr>
          <w:rFonts w:cs="Times New Roman"/>
          <w:szCs w:val="24"/>
        </w:rPr>
        <w:t xml:space="preserve">. </w:t>
      </w:r>
    </w:p>
    <w:p w14:paraId="2001A0DF" w14:textId="37499FEA" w:rsidR="00CF0FD1" w:rsidRPr="00CF0FD1" w:rsidRDefault="00CF0FD1" w:rsidP="00DC7A6A">
      <w:pPr>
        <w:ind w:left="630" w:hanging="630"/>
        <w:rPr>
          <w:rFonts w:cs="Times New Roman"/>
          <w:szCs w:val="24"/>
        </w:rPr>
      </w:pPr>
    </w:p>
    <w:p w14:paraId="7D41A21B" w14:textId="7EFD1EA2" w:rsidR="00CF0FD1" w:rsidRDefault="002012C6" w:rsidP="00DC7A6A">
      <w:pPr>
        <w:pStyle w:val="ListParagraph"/>
        <w:numPr>
          <w:ilvl w:val="1"/>
          <w:numId w:val="42"/>
        </w:numPr>
        <w:ind w:left="630" w:hanging="630"/>
        <w:rPr>
          <w:rFonts w:cs="Times New Roman"/>
          <w:szCs w:val="24"/>
        </w:rPr>
      </w:pPr>
      <w:r w:rsidRPr="00CF0FD1">
        <w:rPr>
          <w:rFonts w:cs="Times New Roman"/>
          <w:szCs w:val="24"/>
        </w:rPr>
        <w:t xml:space="preserve">The Committee acknowledged </w:t>
      </w:r>
      <w:r w:rsidR="00416E37" w:rsidRPr="00CF0FD1">
        <w:rPr>
          <w:rFonts w:cs="Times New Roman"/>
          <w:szCs w:val="24"/>
        </w:rPr>
        <w:t xml:space="preserve">that the </w:t>
      </w:r>
      <w:r w:rsidR="00AD316A" w:rsidRPr="00CF0FD1">
        <w:rPr>
          <w:rFonts w:cs="Times New Roman"/>
          <w:szCs w:val="24"/>
        </w:rPr>
        <w:t xml:space="preserve">Broad-Based Black Economic Empowerment </w:t>
      </w:r>
      <w:r w:rsidRPr="00CF0FD1">
        <w:rPr>
          <w:rFonts w:cs="Times New Roman"/>
          <w:szCs w:val="24"/>
        </w:rPr>
        <w:t xml:space="preserve">Commission is expected to play </w:t>
      </w:r>
      <w:r w:rsidR="00A74E30" w:rsidRPr="00CF0FD1">
        <w:rPr>
          <w:rFonts w:cs="Times New Roman"/>
          <w:szCs w:val="24"/>
        </w:rPr>
        <w:t xml:space="preserve">and </w:t>
      </w:r>
      <w:r w:rsidRPr="00CF0FD1">
        <w:rPr>
          <w:rFonts w:cs="Times New Roman"/>
          <w:szCs w:val="24"/>
        </w:rPr>
        <w:t xml:space="preserve">important role in monitoring compliance with transformation targets. Furthermore, the Committee is of the view that given the transformation challenges such as sophisticated fronting, there is a need to review the </w:t>
      </w:r>
      <w:r w:rsidR="00AD316A" w:rsidRPr="00CF0FD1">
        <w:rPr>
          <w:rFonts w:cs="Times New Roman"/>
          <w:szCs w:val="24"/>
        </w:rPr>
        <w:t>Broad-B</w:t>
      </w:r>
      <w:r w:rsidR="00011214" w:rsidRPr="00CF0FD1">
        <w:rPr>
          <w:rFonts w:cs="Times New Roman"/>
          <w:szCs w:val="24"/>
        </w:rPr>
        <w:t xml:space="preserve">ased Black Economic Empowerment </w:t>
      </w:r>
      <w:r w:rsidRPr="00CF0FD1">
        <w:rPr>
          <w:rFonts w:cs="Times New Roman"/>
          <w:szCs w:val="24"/>
        </w:rPr>
        <w:t xml:space="preserve">Act including how effective its implementation has been to ensure that transformation </w:t>
      </w:r>
      <w:r w:rsidR="00A74E30" w:rsidRPr="00CF0FD1">
        <w:rPr>
          <w:rFonts w:cs="Times New Roman"/>
          <w:szCs w:val="24"/>
        </w:rPr>
        <w:t xml:space="preserve">is </w:t>
      </w:r>
      <w:r w:rsidRPr="00CF0FD1">
        <w:rPr>
          <w:rFonts w:cs="Times New Roman"/>
          <w:szCs w:val="24"/>
        </w:rPr>
        <w:t>meaningful and authentic.</w:t>
      </w:r>
    </w:p>
    <w:p w14:paraId="4F8D202A" w14:textId="5339F769" w:rsidR="00CF0FD1" w:rsidRPr="00CF0FD1" w:rsidRDefault="00CF0FD1" w:rsidP="00DC7A6A">
      <w:pPr>
        <w:ind w:left="630" w:hanging="630"/>
        <w:rPr>
          <w:rFonts w:cs="Times New Roman"/>
          <w:szCs w:val="24"/>
        </w:rPr>
      </w:pPr>
    </w:p>
    <w:p w14:paraId="722B163F" w14:textId="5F140B8F" w:rsidR="00CF0FD1" w:rsidRDefault="00FE4778" w:rsidP="00DC7A6A">
      <w:pPr>
        <w:pStyle w:val="ListParagraph"/>
        <w:numPr>
          <w:ilvl w:val="1"/>
          <w:numId w:val="42"/>
        </w:numPr>
        <w:ind w:left="630" w:hanging="630"/>
        <w:rPr>
          <w:rFonts w:cs="Times New Roman"/>
          <w:szCs w:val="24"/>
        </w:rPr>
      </w:pPr>
      <w:r w:rsidRPr="00CF0FD1">
        <w:rPr>
          <w:rFonts w:cs="Times New Roman"/>
          <w:szCs w:val="24"/>
        </w:rPr>
        <w:t xml:space="preserve">The Committee remains concerned with the significant number of </w:t>
      </w:r>
      <w:r w:rsidR="00F3636E" w:rsidRPr="00CF0FD1">
        <w:rPr>
          <w:rFonts w:cs="Times New Roman"/>
          <w:szCs w:val="24"/>
        </w:rPr>
        <w:t xml:space="preserve">public and private </w:t>
      </w:r>
      <w:r w:rsidRPr="00CF0FD1">
        <w:rPr>
          <w:rFonts w:cs="Times New Roman"/>
          <w:szCs w:val="24"/>
        </w:rPr>
        <w:t>institutions and companies</w:t>
      </w:r>
      <w:r w:rsidR="00F3636E" w:rsidRPr="00CF0FD1">
        <w:rPr>
          <w:rFonts w:cs="Times New Roman"/>
          <w:szCs w:val="24"/>
        </w:rPr>
        <w:t xml:space="preserve">’ </w:t>
      </w:r>
      <w:r w:rsidRPr="00CF0FD1">
        <w:rPr>
          <w:rFonts w:cs="Times New Roman"/>
          <w:szCs w:val="24"/>
        </w:rPr>
        <w:t xml:space="preserve">continued failure to comply with provisions of the Broad-Based Black Economic Empowerment Act. </w:t>
      </w:r>
    </w:p>
    <w:p w14:paraId="1F0C6463" w14:textId="3DC15CA1" w:rsidR="00CF0FD1" w:rsidRPr="00CF0FD1" w:rsidRDefault="00CF0FD1" w:rsidP="00DC7A6A">
      <w:pPr>
        <w:ind w:left="630" w:hanging="630"/>
        <w:rPr>
          <w:rFonts w:cs="Times New Roman"/>
          <w:szCs w:val="24"/>
        </w:rPr>
      </w:pPr>
    </w:p>
    <w:p w14:paraId="4F61FAE2" w14:textId="3F635FEB" w:rsidR="00CF0FD1" w:rsidRPr="00CF0FD1" w:rsidRDefault="002012C6" w:rsidP="00DC7A6A">
      <w:pPr>
        <w:pStyle w:val="ListParagraph"/>
        <w:numPr>
          <w:ilvl w:val="1"/>
          <w:numId w:val="42"/>
        </w:numPr>
        <w:ind w:left="630" w:hanging="630"/>
        <w:rPr>
          <w:rFonts w:cs="Times New Roman"/>
          <w:szCs w:val="24"/>
        </w:rPr>
      </w:pPr>
      <w:r w:rsidRPr="00CF0FD1">
        <w:rPr>
          <w:rFonts w:cs="Times New Roman"/>
          <w:szCs w:val="24"/>
        </w:rPr>
        <w:t xml:space="preserve">Efforts to create an </w:t>
      </w:r>
      <w:r w:rsidR="00A74E30" w:rsidRPr="00CF0FD1">
        <w:rPr>
          <w:rFonts w:cs="Times New Roman"/>
          <w:szCs w:val="24"/>
        </w:rPr>
        <w:t xml:space="preserve">economically </w:t>
      </w:r>
      <w:r w:rsidRPr="00CF0FD1">
        <w:rPr>
          <w:rFonts w:cs="Times New Roman"/>
          <w:szCs w:val="24"/>
        </w:rPr>
        <w:t xml:space="preserve">inclusive South Africa by designating </w:t>
      </w:r>
      <w:r w:rsidR="00A74E30" w:rsidRPr="00CF0FD1">
        <w:rPr>
          <w:rFonts w:cs="Times New Roman"/>
          <w:szCs w:val="24"/>
        </w:rPr>
        <w:t xml:space="preserve">Special Economic Zones </w:t>
      </w:r>
      <w:r w:rsidRPr="00CF0FD1">
        <w:rPr>
          <w:rFonts w:cs="Times New Roman"/>
          <w:szCs w:val="24"/>
        </w:rPr>
        <w:t xml:space="preserve">in </w:t>
      </w:r>
      <w:r w:rsidR="00A74E30" w:rsidRPr="00CF0FD1">
        <w:rPr>
          <w:rFonts w:cs="Times New Roman"/>
          <w:szCs w:val="24"/>
        </w:rPr>
        <w:t>all provinces</w:t>
      </w:r>
      <w:r w:rsidRPr="00CF0FD1">
        <w:rPr>
          <w:rFonts w:cs="Times New Roman"/>
          <w:szCs w:val="24"/>
        </w:rPr>
        <w:t xml:space="preserve"> the country are welcomed by the Committee. </w:t>
      </w:r>
      <w:r w:rsidR="005F37C7" w:rsidRPr="00CF0FD1">
        <w:rPr>
          <w:rFonts w:cs="Times New Roman"/>
          <w:szCs w:val="24"/>
        </w:rPr>
        <w:t>Indeed,</w:t>
      </w:r>
      <w:r w:rsidRPr="00CF0FD1">
        <w:rPr>
          <w:rFonts w:cs="Times New Roman"/>
          <w:szCs w:val="24"/>
        </w:rPr>
        <w:t xml:space="preserve"> the impact on the local economy as evidenced in the</w:t>
      </w:r>
      <w:r w:rsidR="00A74E30" w:rsidRPr="00CF0FD1">
        <w:rPr>
          <w:rFonts w:cs="Times New Roman"/>
          <w:szCs w:val="24"/>
        </w:rPr>
        <w:t xml:space="preserve"> enhanced value chain for dairy farmers in the areas surrounding the </w:t>
      </w:r>
      <w:r w:rsidR="005F37C7" w:rsidRPr="00CF0FD1">
        <w:rPr>
          <w:rFonts w:cs="Times New Roman"/>
          <w:szCs w:val="24"/>
        </w:rPr>
        <w:t>Coega</w:t>
      </w:r>
      <w:r w:rsidR="00A74E30" w:rsidRPr="00CF0FD1">
        <w:rPr>
          <w:rFonts w:cs="Times New Roman"/>
          <w:szCs w:val="24"/>
        </w:rPr>
        <w:t xml:space="preserve"> Special Economic Zone.  </w:t>
      </w:r>
      <w:r w:rsidRPr="00CF0FD1">
        <w:rPr>
          <w:rFonts w:cs="Times New Roman"/>
          <w:szCs w:val="24"/>
        </w:rPr>
        <w:t>However, the Committe</w:t>
      </w:r>
      <w:r w:rsidR="006D0DC2" w:rsidRPr="00CF0FD1">
        <w:rPr>
          <w:rFonts w:cs="Times New Roman"/>
          <w:szCs w:val="24"/>
        </w:rPr>
        <w:t>e noted with concern that</w:t>
      </w:r>
      <w:r w:rsidR="00774E6B" w:rsidRPr="00CF0FD1">
        <w:rPr>
          <w:rFonts w:cs="Times New Roman"/>
          <w:szCs w:val="24"/>
        </w:rPr>
        <w:t xml:space="preserve"> </w:t>
      </w:r>
      <w:r w:rsidRPr="00CF0FD1">
        <w:rPr>
          <w:rFonts w:cs="Times New Roman"/>
          <w:szCs w:val="24"/>
        </w:rPr>
        <w:t xml:space="preserve">some of the </w:t>
      </w:r>
      <w:r w:rsidR="00A74E30" w:rsidRPr="00CF0FD1">
        <w:rPr>
          <w:rFonts w:cs="Times New Roman"/>
          <w:szCs w:val="24"/>
        </w:rPr>
        <w:t>Special Economic Zone</w:t>
      </w:r>
      <w:r w:rsidRPr="00CF0FD1">
        <w:rPr>
          <w:rFonts w:cs="Times New Roman"/>
          <w:szCs w:val="24"/>
        </w:rPr>
        <w:t>s</w:t>
      </w:r>
      <w:r w:rsidR="006D0DC2" w:rsidRPr="00CF0FD1">
        <w:rPr>
          <w:rFonts w:cs="Times New Roman"/>
          <w:szCs w:val="24"/>
        </w:rPr>
        <w:t>,</w:t>
      </w:r>
      <w:r w:rsidRPr="00CF0FD1">
        <w:rPr>
          <w:rFonts w:cs="Times New Roman"/>
          <w:szCs w:val="24"/>
        </w:rPr>
        <w:t xml:space="preserve"> in particular the Saldanha Bay </w:t>
      </w:r>
      <w:r w:rsidR="00A74E30" w:rsidRPr="00CF0FD1">
        <w:rPr>
          <w:rFonts w:cs="Times New Roman"/>
          <w:szCs w:val="24"/>
        </w:rPr>
        <w:t>Special Economic Zone</w:t>
      </w:r>
      <w:r w:rsidR="006D0DC2" w:rsidRPr="00CF0FD1">
        <w:rPr>
          <w:rFonts w:cs="Times New Roman"/>
          <w:szCs w:val="24"/>
        </w:rPr>
        <w:t>,</w:t>
      </w:r>
      <w:r w:rsidR="00774E6B" w:rsidRPr="00CF0FD1">
        <w:rPr>
          <w:rFonts w:cs="Times New Roman"/>
          <w:szCs w:val="24"/>
        </w:rPr>
        <w:t xml:space="preserve"> </w:t>
      </w:r>
      <w:r w:rsidR="006D0DC2" w:rsidRPr="00CF0FD1">
        <w:rPr>
          <w:rFonts w:cs="Times New Roman"/>
          <w:szCs w:val="24"/>
        </w:rPr>
        <w:t xml:space="preserve">are </w:t>
      </w:r>
      <w:r w:rsidRPr="00CF0FD1">
        <w:rPr>
          <w:rFonts w:cs="Times New Roman"/>
          <w:szCs w:val="24"/>
        </w:rPr>
        <w:t>experiencing</w:t>
      </w:r>
      <w:r w:rsidR="00774E6B" w:rsidRPr="00CF0FD1">
        <w:rPr>
          <w:rFonts w:cs="Times New Roman"/>
          <w:szCs w:val="24"/>
        </w:rPr>
        <w:t xml:space="preserve"> delays</w:t>
      </w:r>
      <w:r w:rsidRPr="00CF0FD1">
        <w:rPr>
          <w:rFonts w:cs="Times New Roman"/>
          <w:szCs w:val="24"/>
        </w:rPr>
        <w:t xml:space="preserve"> in becoming </w:t>
      </w:r>
      <w:r w:rsidR="006D0DC2" w:rsidRPr="00CF0FD1">
        <w:rPr>
          <w:rFonts w:cs="Times New Roman"/>
          <w:szCs w:val="24"/>
        </w:rPr>
        <w:t xml:space="preserve">operational. These delays </w:t>
      </w:r>
      <w:r w:rsidRPr="00CF0FD1">
        <w:rPr>
          <w:rFonts w:cs="Times New Roman"/>
          <w:szCs w:val="24"/>
        </w:rPr>
        <w:t>comp</w:t>
      </w:r>
      <w:r w:rsidR="006D0DC2" w:rsidRPr="00CF0FD1">
        <w:rPr>
          <w:rFonts w:cs="Times New Roman"/>
          <w:szCs w:val="24"/>
        </w:rPr>
        <w:t>romise</w:t>
      </w:r>
      <w:r w:rsidRPr="00CF0FD1">
        <w:rPr>
          <w:rFonts w:cs="Times New Roman"/>
          <w:szCs w:val="24"/>
        </w:rPr>
        <w:t xml:space="preserve"> </w:t>
      </w:r>
      <w:r w:rsidR="006D0DC2" w:rsidRPr="00CF0FD1">
        <w:rPr>
          <w:rFonts w:cs="Times New Roman"/>
          <w:szCs w:val="24"/>
        </w:rPr>
        <w:t>their</w:t>
      </w:r>
      <w:r w:rsidRPr="00CF0FD1">
        <w:rPr>
          <w:rFonts w:cs="Times New Roman"/>
          <w:szCs w:val="24"/>
        </w:rPr>
        <w:t xml:space="preserve"> ability to contribute to expanding the strategic industrial base in a decentralised manner. </w:t>
      </w:r>
      <w:r w:rsidR="00113BD9" w:rsidRPr="00CF0FD1">
        <w:rPr>
          <w:rFonts w:eastAsia="Times New Roman" w:cs="Times New Roman"/>
          <w:szCs w:val="24"/>
        </w:rPr>
        <w:t xml:space="preserve">The Committee would welcome the acceleration of the designation of more </w:t>
      </w:r>
      <w:r w:rsidR="006D0DC2" w:rsidRPr="00CF0FD1">
        <w:rPr>
          <w:rFonts w:cs="Times New Roman"/>
          <w:szCs w:val="24"/>
        </w:rPr>
        <w:t>Special Economic Zones</w:t>
      </w:r>
      <w:r w:rsidR="00113BD9" w:rsidRPr="00CF0FD1">
        <w:rPr>
          <w:rFonts w:eastAsia="Times New Roman" w:cs="Times New Roman"/>
          <w:szCs w:val="24"/>
        </w:rPr>
        <w:t xml:space="preserve"> across the country so to encourage investment and job creation</w:t>
      </w:r>
      <w:r w:rsidR="007356D0" w:rsidRPr="00CF0FD1">
        <w:rPr>
          <w:rFonts w:eastAsia="Times New Roman" w:cs="Times New Roman"/>
          <w:szCs w:val="24"/>
        </w:rPr>
        <w:t>.</w:t>
      </w:r>
    </w:p>
    <w:p w14:paraId="62637F61" w14:textId="6FF9B6C5" w:rsidR="00CF0FD1" w:rsidRPr="00CF0FD1" w:rsidRDefault="00CF0FD1" w:rsidP="00DC7A6A">
      <w:pPr>
        <w:ind w:left="630" w:hanging="630"/>
        <w:rPr>
          <w:rFonts w:cs="Times New Roman"/>
          <w:szCs w:val="24"/>
        </w:rPr>
      </w:pPr>
    </w:p>
    <w:p w14:paraId="113D345B" w14:textId="36E998D1" w:rsidR="00CF0FD1" w:rsidRDefault="002012C6" w:rsidP="00DC7A6A">
      <w:pPr>
        <w:pStyle w:val="ListParagraph"/>
        <w:numPr>
          <w:ilvl w:val="1"/>
          <w:numId w:val="42"/>
        </w:numPr>
        <w:ind w:left="630" w:hanging="630"/>
        <w:rPr>
          <w:rFonts w:cs="Times New Roman"/>
          <w:szCs w:val="24"/>
        </w:rPr>
      </w:pPr>
      <w:r w:rsidRPr="00CF0FD1">
        <w:rPr>
          <w:rFonts w:cs="Times New Roman"/>
          <w:szCs w:val="24"/>
        </w:rPr>
        <w:t xml:space="preserve">The Committee welcomed the decision by the </w:t>
      </w:r>
      <w:r w:rsidR="007356D0" w:rsidRPr="00CF0FD1">
        <w:rPr>
          <w:rFonts w:cs="Times New Roman"/>
          <w:szCs w:val="24"/>
        </w:rPr>
        <w:t>Department of Trade and Industry</w:t>
      </w:r>
      <w:r w:rsidRPr="00CF0FD1">
        <w:rPr>
          <w:rFonts w:cs="Times New Roman"/>
          <w:szCs w:val="24"/>
        </w:rPr>
        <w:t xml:space="preserve"> to review legislation that would address the challenges facing the National Gambling </w:t>
      </w:r>
      <w:r w:rsidR="007356D0" w:rsidRPr="00CF0FD1">
        <w:rPr>
          <w:rFonts w:cs="Times New Roman"/>
          <w:szCs w:val="24"/>
        </w:rPr>
        <w:lastRenderedPageBreak/>
        <w:t>Board and</w:t>
      </w:r>
      <w:r w:rsidRPr="00CF0FD1">
        <w:rPr>
          <w:rFonts w:cs="Times New Roman"/>
          <w:szCs w:val="24"/>
        </w:rPr>
        <w:t xml:space="preserve"> lead to the </w:t>
      </w:r>
      <w:r w:rsidR="00AD316A" w:rsidRPr="00CF0FD1">
        <w:rPr>
          <w:rFonts w:cs="Times New Roman"/>
          <w:szCs w:val="24"/>
        </w:rPr>
        <w:t xml:space="preserve">board </w:t>
      </w:r>
      <w:r w:rsidRPr="00CF0FD1">
        <w:rPr>
          <w:rFonts w:cs="Times New Roman"/>
          <w:szCs w:val="24"/>
        </w:rPr>
        <w:t>becoming a regulator, however, this</w:t>
      </w:r>
      <w:r w:rsidR="00011214" w:rsidRPr="00CF0FD1">
        <w:rPr>
          <w:rFonts w:cs="Times New Roman"/>
          <w:szCs w:val="24"/>
        </w:rPr>
        <w:t xml:space="preserve"> process should be fast-tracked.</w:t>
      </w:r>
    </w:p>
    <w:p w14:paraId="3A98668A" w14:textId="01345199" w:rsidR="00CF0FD1" w:rsidRPr="00CF0FD1" w:rsidRDefault="00CF0FD1" w:rsidP="00DC7A6A">
      <w:pPr>
        <w:ind w:left="630" w:hanging="630"/>
        <w:rPr>
          <w:rFonts w:cs="Times New Roman"/>
          <w:szCs w:val="24"/>
        </w:rPr>
      </w:pPr>
    </w:p>
    <w:p w14:paraId="564BD073" w14:textId="4CFC84EC" w:rsidR="00CF0FD1" w:rsidRDefault="002012C6" w:rsidP="00DC7A6A">
      <w:pPr>
        <w:pStyle w:val="ListParagraph"/>
        <w:numPr>
          <w:ilvl w:val="1"/>
          <w:numId w:val="42"/>
        </w:numPr>
        <w:ind w:left="630" w:hanging="630"/>
        <w:rPr>
          <w:rFonts w:cs="Times New Roman"/>
          <w:szCs w:val="24"/>
        </w:rPr>
      </w:pPr>
      <w:r w:rsidRPr="00CF0FD1">
        <w:rPr>
          <w:rFonts w:cs="Times New Roman"/>
          <w:szCs w:val="24"/>
        </w:rPr>
        <w:t xml:space="preserve">The completion of </w:t>
      </w:r>
      <w:r w:rsidR="00817A33" w:rsidRPr="00CF0FD1">
        <w:rPr>
          <w:rFonts w:cs="Times New Roman"/>
          <w:szCs w:val="24"/>
        </w:rPr>
        <w:t xml:space="preserve">the </w:t>
      </w:r>
      <w:r w:rsidR="00AD316A" w:rsidRPr="00CF0FD1">
        <w:rPr>
          <w:rFonts w:cs="Times New Roman"/>
          <w:szCs w:val="24"/>
        </w:rPr>
        <w:t xml:space="preserve">South African National Accreditation </w:t>
      </w:r>
      <w:r w:rsidR="00510F59" w:rsidRPr="00CF0FD1">
        <w:rPr>
          <w:rFonts w:cs="Times New Roman"/>
          <w:szCs w:val="24"/>
        </w:rPr>
        <w:t>System’s new</w:t>
      </w:r>
      <w:r w:rsidRPr="00CF0FD1">
        <w:rPr>
          <w:rFonts w:cs="Times New Roman"/>
          <w:szCs w:val="24"/>
        </w:rPr>
        <w:t xml:space="preserve"> premises is welcome</w:t>
      </w:r>
      <w:r w:rsidR="00774E6B" w:rsidRPr="00CF0FD1">
        <w:rPr>
          <w:rFonts w:cs="Times New Roman"/>
          <w:szCs w:val="24"/>
        </w:rPr>
        <w:t>d</w:t>
      </w:r>
      <w:r w:rsidRPr="00CF0FD1">
        <w:rPr>
          <w:rFonts w:cs="Times New Roman"/>
          <w:szCs w:val="24"/>
        </w:rPr>
        <w:t xml:space="preserve"> which should enable the entity to expand their staff complement, and overcome the impediments of capacity constraints. </w:t>
      </w:r>
      <w:r w:rsidR="00510F59" w:rsidRPr="00CF0FD1">
        <w:rPr>
          <w:rFonts w:cs="Times New Roman"/>
          <w:szCs w:val="24"/>
        </w:rPr>
        <w:t>The Committee also welcomed the conclusion of Project 500 which recruited 500 specialists that were more demographically representative to be trained in a period of 6 months as technical assessors on the job by the South African National Accreditation System   to address the capacity shortages in this area</w:t>
      </w:r>
      <w:r w:rsidR="00D15AC2" w:rsidRPr="00CF0FD1">
        <w:rPr>
          <w:rFonts w:cs="Times New Roman"/>
          <w:szCs w:val="24"/>
        </w:rPr>
        <w:t>.</w:t>
      </w:r>
    </w:p>
    <w:p w14:paraId="0E843F96" w14:textId="4505899C" w:rsidR="00CF0FD1" w:rsidRPr="00CF0FD1" w:rsidRDefault="00CF0FD1" w:rsidP="00DC7A6A">
      <w:pPr>
        <w:ind w:left="630" w:hanging="630"/>
        <w:rPr>
          <w:rFonts w:cs="Times New Roman"/>
          <w:szCs w:val="24"/>
        </w:rPr>
      </w:pPr>
    </w:p>
    <w:p w14:paraId="0D4E3981" w14:textId="75365BC1" w:rsidR="00CF0FD1" w:rsidRDefault="00D15AC2" w:rsidP="00DC7A6A">
      <w:pPr>
        <w:pStyle w:val="ListParagraph"/>
        <w:numPr>
          <w:ilvl w:val="1"/>
          <w:numId w:val="42"/>
        </w:numPr>
        <w:ind w:left="630" w:hanging="630"/>
        <w:rPr>
          <w:rFonts w:cs="Times New Roman"/>
          <w:szCs w:val="24"/>
        </w:rPr>
      </w:pPr>
      <w:r w:rsidRPr="00CF0FD1">
        <w:rPr>
          <w:rFonts w:cs="Times New Roman"/>
          <w:szCs w:val="24"/>
        </w:rPr>
        <w:t xml:space="preserve">The Committee welcomed the proactive decision of the National Metrology Institute of South Africa to supplement its budget through the provision of service to industry players. </w:t>
      </w:r>
      <w:r w:rsidR="002012C6" w:rsidRPr="00CF0FD1">
        <w:rPr>
          <w:rFonts w:cs="Times New Roman"/>
          <w:szCs w:val="24"/>
        </w:rPr>
        <w:t xml:space="preserve">However, the ageing technical infrastructure at </w:t>
      </w:r>
      <w:r w:rsidR="00AD316A" w:rsidRPr="00CF0FD1">
        <w:rPr>
          <w:rFonts w:cs="Times New Roman"/>
          <w:szCs w:val="24"/>
        </w:rPr>
        <w:t xml:space="preserve">National Metrology Institute of South Africa </w:t>
      </w:r>
      <w:r w:rsidR="002012C6" w:rsidRPr="00CF0FD1">
        <w:rPr>
          <w:rFonts w:cs="Times New Roman"/>
          <w:szCs w:val="24"/>
        </w:rPr>
        <w:t xml:space="preserve">remains a </w:t>
      </w:r>
      <w:r w:rsidR="00510F59" w:rsidRPr="00CF0FD1">
        <w:rPr>
          <w:rFonts w:cs="Times New Roman"/>
          <w:szCs w:val="24"/>
        </w:rPr>
        <w:t>challenge, which</w:t>
      </w:r>
      <w:r w:rsidR="002012C6" w:rsidRPr="00CF0FD1">
        <w:rPr>
          <w:rFonts w:cs="Times New Roman"/>
          <w:szCs w:val="24"/>
        </w:rPr>
        <w:t xml:space="preserve"> should be urgently </w:t>
      </w:r>
      <w:r w:rsidR="00510F59" w:rsidRPr="00CF0FD1">
        <w:rPr>
          <w:rFonts w:cs="Times New Roman"/>
          <w:szCs w:val="24"/>
        </w:rPr>
        <w:t>addressed</w:t>
      </w:r>
      <w:r w:rsidR="002012C6" w:rsidRPr="00CF0FD1">
        <w:rPr>
          <w:rFonts w:cs="Times New Roman"/>
          <w:szCs w:val="24"/>
        </w:rPr>
        <w:t xml:space="preserve">. </w:t>
      </w:r>
    </w:p>
    <w:p w14:paraId="416AFB9E" w14:textId="2C471BC6" w:rsidR="00CF0FD1" w:rsidRPr="00CF0FD1" w:rsidRDefault="00CF0FD1" w:rsidP="00DC7A6A">
      <w:pPr>
        <w:ind w:left="630" w:hanging="630"/>
        <w:rPr>
          <w:rFonts w:cs="Times New Roman"/>
          <w:szCs w:val="24"/>
        </w:rPr>
      </w:pPr>
    </w:p>
    <w:p w14:paraId="21FFB9DA" w14:textId="491E696B" w:rsidR="00CF0FD1" w:rsidRPr="00CF0FD1" w:rsidRDefault="00113BD9" w:rsidP="00DC7A6A">
      <w:pPr>
        <w:pStyle w:val="ListParagraph"/>
        <w:numPr>
          <w:ilvl w:val="1"/>
          <w:numId w:val="42"/>
        </w:numPr>
        <w:ind w:left="630" w:hanging="630"/>
        <w:rPr>
          <w:rFonts w:cs="Times New Roman"/>
          <w:szCs w:val="24"/>
        </w:rPr>
      </w:pPr>
      <w:r w:rsidRPr="00CF0FD1">
        <w:rPr>
          <w:rFonts w:eastAsia="Times New Roman" w:cs="Times New Roman"/>
          <w:szCs w:val="24"/>
        </w:rPr>
        <w:t xml:space="preserve">The Department </w:t>
      </w:r>
      <w:r w:rsidR="00D15AC2" w:rsidRPr="00CF0FD1">
        <w:rPr>
          <w:rFonts w:eastAsia="Times New Roman" w:cs="Times New Roman"/>
          <w:szCs w:val="24"/>
        </w:rPr>
        <w:t xml:space="preserve">should </w:t>
      </w:r>
      <w:r w:rsidRPr="00CF0FD1">
        <w:rPr>
          <w:rFonts w:eastAsia="Times New Roman" w:cs="Times New Roman"/>
          <w:szCs w:val="24"/>
        </w:rPr>
        <w:t xml:space="preserve">ensure that the capacity of </w:t>
      </w:r>
      <w:r w:rsidR="00817A33" w:rsidRPr="00CF0FD1">
        <w:rPr>
          <w:rFonts w:cs="Times New Roman"/>
          <w:szCs w:val="24"/>
        </w:rPr>
        <w:t>the National Metrology Institute of South Africa</w:t>
      </w:r>
      <w:r w:rsidR="00040184">
        <w:rPr>
          <w:rFonts w:cs="Times New Roman"/>
          <w:szCs w:val="24"/>
        </w:rPr>
        <w:t>,</w:t>
      </w:r>
      <w:r w:rsidR="00817A33" w:rsidRPr="00CF0FD1">
        <w:rPr>
          <w:rFonts w:eastAsia="Times New Roman" w:cs="Times New Roman"/>
          <w:szCs w:val="24"/>
        </w:rPr>
        <w:t xml:space="preserve"> </w:t>
      </w:r>
      <w:r w:rsidR="00817A33" w:rsidRPr="00CF0FD1">
        <w:rPr>
          <w:rFonts w:cs="Times New Roman"/>
          <w:szCs w:val="24"/>
        </w:rPr>
        <w:t>the South African National Accreditation System</w:t>
      </w:r>
      <w:r w:rsidRPr="00CF0FD1">
        <w:rPr>
          <w:rFonts w:eastAsia="Times New Roman" w:cs="Times New Roman"/>
          <w:szCs w:val="24"/>
        </w:rPr>
        <w:t xml:space="preserve"> and related institutions</w:t>
      </w:r>
      <w:r w:rsidR="00040184">
        <w:rPr>
          <w:rFonts w:eastAsia="Times New Roman" w:cs="Times New Roman"/>
          <w:szCs w:val="24"/>
        </w:rPr>
        <w:t>,</w:t>
      </w:r>
      <w:r w:rsidRPr="00CF0FD1">
        <w:rPr>
          <w:rFonts w:eastAsia="Times New Roman" w:cs="Times New Roman"/>
          <w:szCs w:val="24"/>
        </w:rPr>
        <w:t xml:space="preserve"> like the </w:t>
      </w:r>
      <w:r w:rsidR="00817A33" w:rsidRPr="00CF0FD1">
        <w:rPr>
          <w:rFonts w:eastAsia="Times New Roman" w:cs="Times New Roman"/>
          <w:szCs w:val="24"/>
        </w:rPr>
        <w:t>National Regulat</w:t>
      </w:r>
      <w:r w:rsidR="00510F59" w:rsidRPr="00CF0FD1">
        <w:rPr>
          <w:rFonts w:eastAsia="Times New Roman" w:cs="Times New Roman"/>
          <w:szCs w:val="24"/>
        </w:rPr>
        <w:t>or</w:t>
      </w:r>
      <w:r w:rsidR="00817A33" w:rsidRPr="00CF0FD1">
        <w:rPr>
          <w:rFonts w:eastAsia="Times New Roman" w:cs="Times New Roman"/>
          <w:szCs w:val="24"/>
        </w:rPr>
        <w:t xml:space="preserve"> for Compulsory Specifications</w:t>
      </w:r>
      <w:r w:rsidRPr="00CF0FD1">
        <w:rPr>
          <w:rFonts w:eastAsia="Times New Roman" w:cs="Times New Roman"/>
          <w:szCs w:val="24"/>
        </w:rPr>
        <w:t xml:space="preserve"> and </w:t>
      </w:r>
      <w:r w:rsidR="00817A33" w:rsidRPr="00CF0FD1">
        <w:rPr>
          <w:rFonts w:eastAsia="Times New Roman" w:cs="Times New Roman"/>
          <w:szCs w:val="24"/>
        </w:rPr>
        <w:t>the South African Bureau of Standards</w:t>
      </w:r>
      <w:r w:rsidRPr="00CF0FD1">
        <w:rPr>
          <w:rFonts w:eastAsia="Times New Roman" w:cs="Times New Roman"/>
          <w:szCs w:val="24"/>
        </w:rPr>
        <w:t xml:space="preserve">, is improved to ensure </w:t>
      </w:r>
      <w:r w:rsidR="00510F59" w:rsidRPr="00CF0FD1">
        <w:rPr>
          <w:rFonts w:eastAsia="Times New Roman" w:cs="Times New Roman"/>
          <w:szCs w:val="24"/>
        </w:rPr>
        <w:t xml:space="preserve">appropriate </w:t>
      </w:r>
      <w:r w:rsidRPr="00CF0FD1">
        <w:rPr>
          <w:rFonts w:eastAsia="Times New Roman" w:cs="Times New Roman"/>
          <w:szCs w:val="24"/>
        </w:rPr>
        <w:t>standards for technical instruments and product</w:t>
      </w:r>
      <w:r w:rsidR="00510F59" w:rsidRPr="00CF0FD1">
        <w:rPr>
          <w:rFonts w:eastAsia="Times New Roman" w:cs="Times New Roman"/>
          <w:szCs w:val="24"/>
        </w:rPr>
        <w:t xml:space="preserve">s are created and complied with. This is essential </w:t>
      </w:r>
      <w:r w:rsidRPr="00CF0FD1">
        <w:rPr>
          <w:rFonts w:eastAsia="Times New Roman" w:cs="Times New Roman"/>
          <w:szCs w:val="24"/>
        </w:rPr>
        <w:t xml:space="preserve">to ensure that importation, manufacture and use of instruments and products without compliance does not take place and are safe for use. </w:t>
      </w:r>
    </w:p>
    <w:p w14:paraId="3EA9042D" w14:textId="2AD309F4" w:rsidR="00CF0FD1" w:rsidRPr="00CF0FD1" w:rsidRDefault="00CF0FD1" w:rsidP="00DC7A6A">
      <w:pPr>
        <w:ind w:left="630" w:hanging="630"/>
        <w:rPr>
          <w:rFonts w:cs="Times New Roman"/>
          <w:szCs w:val="24"/>
        </w:rPr>
      </w:pPr>
    </w:p>
    <w:p w14:paraId="6A5BC625" w14:textId="28E5DE11" w:rsidR="00CF0FD1" w:rsidRPr="00CF0FD1" w:rsidRDefault="00113BD9" w:rsidP="00DC7A6A">
      <w:pPr>
        <w:pStyle w:val="ListParagraph"/>
        <w:numPr>
          <w:ilvl w:val="1"/>
          <w:numId w:val="42"/>
        </w:numPr>
        <w:ind w:left="630" w:hanging="630"/>
        <w:rPr>
          <w:rFonts w:cs="Times New Roman"/>
          <w:szCs w:val="24"/>
        </w:rPr>
      </w:pPr>
      <w:r w:rsidRPr="00CF0FD1">
        <w:rPr>
          <w:rFonts w:eastAsia="Times New Roman" w:cs="Times New Roman"/>
          <w:szCs w:val="24"/>
        </w:rPr>
        <w:t xml:space="preserve">The </w:t>
      </w:r>
      <w:r w:rsidR="00D15AC2" w:rsidRPr="00CF0FD1">
        <w:rPr>
          <w:rFonts w:eastAsia="Times New Roman" w:cs="Times New Roman"/>
          <w:szCs w:val="24"/>
        </w:rPr>
        <w:t xml:space="preserve">future </w:t>
      </w:r>
      <w:r w:rsidRPr="00CF0FD1">
        <w:rPr>
          <w:rFonts w:eastAsia="Times New Roman" w:cs="Times New Roman"/>
          <w:szCs w:val="24"/>
        </w:rPr>
        <w:t xml:space="preserve">iterations of </w:t>
      </w:r>
      <w:r w:rsidR="00AD316A" w:rsidRPr="00CF0FD1">
        <w:rPr>
          <w:rFonts w:eastAsia="Times New Roman" w:cs="Times New Roman"/>
          <w:szCs w:val="24"/>
        </w:rPr>
        <w:t>the Industrial Polic</w:t>
      </w:r>
      <w:r w:rsidR="00510F59" w:rsidRPr="00CF0FD1">
        <w:rPr>
          <w:rFonts w:eastAsia="Times New Roman" w:cs="Times New Roman"/>
          <w:szCs w:val="24"/>
        </w:rPr>
        <w:t>y</w:t>
      </w:r>
      <w:r w:rsidR="00AD316A" w:rsidRPr="00CF0FD1">
        <w:rPr>
          <w:rFonts w:eastAsia="Times New Roman" w:cs="Times New Roman"/>
          <w:szCs w:val="24"/>
        </w:rPr>
        <w:t xml:space="preserve"> Action Plan </w:t>
      </w:r>
      <w:r w:rsidRPr="00CF0FD1">
        <w:rPr>
          <w:rFonts w:eastAsia="Times New Roman" w:cs="Times New Roman"/>
          <w:szCs w:val="24"/>
        </w:rPr>
        <w:t xml:space="preserve">or any other policies should take cognisance of the nature and effect of the Fourth Industrial Revolution to ensure that it plans to ameliorate the negative effects thereof and uses the positives </w:t>
      </w:r>
      <w:r w:rsidR="00510F59" w:rsidRPr="00CF0FD1">
        <w:rPr>
          <w:rFonts w:eastAsia="Times New Roman" w:cs="Times New Roman"/>
          <w:szCs w:val="24"/>
        </w:rPr>
        <w:t xml:space="preserve">to </w:t>
      </w:r>
      <w:r w:rsidRPr="00CF0FD1">
        <w:rPr>
          <w:rFonts w:eastAsia="Times New Roman" w:cs="Times New Roman"/>
          <w:szCs w:val="24"/>
        </w:rPr>
        <w:t>leverage enhanced ec</w:t>
      </w:r>
      <w:r w:rsidR="00CF0FD1">
        <w:rPr>
          <w:rFonts w:eastAsia="Times New Roman" w:cs="Times New Roman"/>
          <w:szCs w:val="24"/>
        </w:rPr>
        <w:t>onomic growth and job creation.</w:t>
      </w:r>
    </w:p>
    <w:p w14:paraId="1584FF5B" w14:textId="440EC8D4" w:rsidR="00CF0FD1" w:rsidRPr="00CF0FD1" w:rsidRDefault="00CF0FD1" w:rsidP="00DC7A6A">
      <w:pPr>
        <w:ind w:left="630" w:hanging="630"/>
        <w:rPr>
          <w:rFonts w:cs="Times New Roman"/>
          <w:szCs w:val="24"/>
        </w:rPr>
      </w:pPr>
    </w:p>
    <w:p w14:paraId="0B29511C" w14:textId="12C0AA1B" w:rsidR="00F43E94" w:rsidRPr="00040184" w:rsidRDefault="00F03D1E" w:rsidP="00DC7A6A">
      <w:pPr>
        <w:pStyle w:val="ListParagraph"/>
        <w:numPr>
          <w:ilvl w:val="1"/>
          <w:numId w:val="42"/>
        </w:numPr>
        <w:ind w:left="630" w:hanging="630"/>
        <w:rPr>
          <w:rFonts w:cs="Times New Roman"/>
          <w:szCs w:val="24"/>
        </w:rPr>
      </w:pPr>
      <w:r w:rsidRPr="00CF0FD1">
        <w:rPr>
          <w:rFonts w:eastAsia="Times New Roman" w:cs="Times New Roman"/>
          <w:szCs w:val="24"/>
        </w:rPr>
        <w:t xml:space="preserve">The Committee </w:t>
      </w:r>
      <w:r w:rsidR="00C900BB" w:rsidRPr="00CF0FD1">
        <w:rPr>
          <w:rFonts w:eastAsia="Times New Roman" w:cs="Times New Roman"/>
          <w:szCs w:val="24"/>
        </w:rPr>
        <w:t xml:space="preserve">supports the work done to develop the Continental Free Trade Area framework thus far and </w:t>
      </w:r>
      <w:r w:rsidRPr="00CF0FD1">
        <w:rPr>
          <w:rFonts w:eastAsia="Times New Roman" w:cs="Times New Roman"/>
          <w:szCs w:val="24"/>
        </w:rPr>
        <w:t>encourage</w:t>
      </w:r>
      <w:r w:rsidR="00C900BB" w:rsidRPr="00CF0FD1">
        <w:rPr>
          <w:rFonts w:eastAsia="Times New Roman" w:cs="Times New Roman"/>
          <w:szCs w:val="24"/>
        </w:rPr>
        <w:t>s</w:t>
      </w:r>
      <w:r w:rsidRPr="00CF0FD1">
        <w:rPr>
          <w:rFonts w:eastAsia="Times New Roman" w:cs="Times New Roman"/>
          <w:szCs w:val="24"/>
        </w:rPr>
        <w:t xml:space="preserve"> all efforts </w:t>
      </w:r>
      <w:r w:rsidR="00C900BB" w:rsidRPr="00CF0FD1">
        <w:rPr>
          <w:rFonts w:eastAsia="Times New Roman" w:cs="Times New Roman"/>
          <w:szCs w:val="24"/>
        </w:rPr>
        <w:t xml:space="preserve">to </w:t>
      </w:r>
      <w:r w:rsidRPr="00CF0FD1">
        <w:rPr>
          <w:rFonts w:eastAsia="Times New Roman" w:cs="Times New Roman"/>
          <w:szCs w:val="24"/>
        </w:rPr>
        <w:t>strengthen intra-Africa</w:t>
      </w:r>
      <w:r w:rsidR="00510F59" w:rsidRPr="00CF0FD1">
        <w:rPr>
          <w:rFonts w:eastAsia="Times New Roman" w:cs="Times New Roman"/>
          <w:szCs w:val="24"/>
        </w:rPr>
        <w:t>n</w:t>
      </w:r>
      <w:r w:rsidRPr="00CF0FD1">
        <w:rPr>
          <w:rFonts w:eastAsia="Times New Roman" w:cs="Times New Roman"/>
          <w:szCs w:val="24"/>
        </w:rPr>
        <w:t xml:space="preserve"> trade.</w:t>
      </w:r>
    </w:p>
    <w:p w14:paraId="611FB5C5" w14:textId="77777777" w:rsidR="00040184" w:rsidRPr="00040184" w:rsidRDefault="00040184" w:rsidP="00DC7A6A">
      <w:pPr>
        <w:pStyle w:val="ListParagraph"/>
        <w:ind w:left="630" w:hanging="630"/>
        <w:rPr>
          <w:rFonts w:cs="Times New Roman"/>
          <w:szCs w:val="24"/>
        </w:rPr>
      </w:pPr>
    </w:p>
    <w:p w14:paraId="044A7B38" w14:textId="0A2487AA" w:rsidR="00040184" w:rsidRPr="00CF0FD1" w:rsidRDefault="00040184" w:rsidP="00DC7A6A">
      <w:pPr>
        <w:pStyle w:val="ListParagraph"/>
        <w:numPr>
          <w:ilvl w:val="1"/>
          <w:numId w:val="42"/>
        </w:numPr>
        <w:ind w:left="630" w:hanging="630"/>
        <w:rPr>
          <w:rFonts w:cs="Times New Roman"/>
          <w:szCs w:val="24"/>
        </w:rPr>
      </w:pPr>
      <w:r>
        <w:rPr>
          <w:rFonts w:cs="Times New Roman"/>
          <w:szCs w:val="24"/>
        </w:rPr>
        <w:t xml:space="preserve">The Committee continues to support the need to ensure government compliance with the procurement of designated products and sectors, as this is a fundamental leverage of the Industrial Policy Action Plan to ensure the success of the localisation drive. </w:t>
      </w:r>
      <w:r>
        <w:rPr>
          <w:rFonts w:cs="Times New Roman"/>
          <w:szCs w:val="24"/>
        </w:rPr>
        <w:lastRenderedPageBreak/>
        <w:t>Failure to comply significantly diminishes the demand for locally manufactured products, and impacts on job creation, transformation of the economy</w:t>
      </w:r>
      <w:r w:rsidR="00B74D16">
        <w:rPr>
          <w:rFonts w:cs="Times New Roman"/>
          <w:szCs w:val="24"/>
        </w:rPr>
        <w:t>, the establishment of deeper value chains</w:t>
      </w:r>
      <w:r>
        <w:rPr>
          <w:rFonts w:cs="Times New Roman"/>
          <w:szCs w:val="24"/>
        </w:rPr>
        <w:t xml:space="preserve"> and </w:t>
      </w:r>
      <w:r w:rsidR="00B74D16">
        <w:rPr>
          <w:rFonts w:cs="Times New Roman"/>
          <w:szCs w:val="24"/>
        </w:rPr>
        <w:t xml:space="preserve">ultimately </w:t>
      </w:r>
      <w:r>
        <w:rPr>
          <w:rFonts w:cs="Times New Roman"/>
          <w:szCs w:val="24"/>
        </w:rPr>
        <w:t>the trade deficit</w:t>
      </w:r>
      <w:r w:rsidR="00B74D16">
        <w:rPr>
          <w:rFonts w:cs="Times New Roman"/>
          <w:szCs w:val="24"/>
        </w:rPr>
        <w:t>.</w:t>
      </w:r>
    </w:p>
    <w:p w14:paraId="400DFAF5" w14:textId="77777777" w:rsidR="002012C6" w:rsidRPr="00040184" w:rsidRDefault="002012C6" w:rsidP="00F6592C">
      <w:pPr>
        <w:rPr>
          <w:rFonts w:cs="Times New Roman"/>
          <w:szCs w:val="24"/>
        </w:rPr>
      </w:pPr>
    </w:p>
    <w:p w14:paraId="38FA2359" w14:textId="77777777" w:rsidR="00DA4858" w:rsidRPr="00052A2F" w:rsidRDefault="00DA4858" w:rsidP="007D60EF">
      <w:pPr>
        <w:pStyle w:val="ListParagraph"/>
        <w:numPr>
          <w:ilvl w:val="0"/>
          <w:numId w:val="6"/>
        </w:numPr>
        <w:ind w:left="284" w:hanging="284"/>
        <w:rPr>
          <w:rFonts w:cs="Times New Roman"/>
          <w:b/>
          <w:szCs w:val="24"/>
        </w:rPr>
      </w:pPr>
      <w:r w:rsidRPr="00052A2F">
        <w:rPr>
          <w:rFonts w:cs="Times New Roman"/>
          <w:b/>
          <w:szCs w:val="24"/>
        </w:rPr>
        <w:t>Acknowledgements</w:t>
      </w:r>
    </w:p>
    <w:p w14:paraId="6F2ADF60" w14:textId="77777777" w:rsidR="004770F9" w:rsidRPr="00052A2F" w:rsidRDefault="004770F9" w:rsidP="0062246E">
      <w:pPr>
        <w:rPr>
          <w:rFonts w:cs="Times New Roman"/>
          <w:bCs/>
          <w:szCs w:val="24"/>
        </w:rPr>
      </w:pPr>
    </w:p>
    <w:p w14:paraId="5AC8621B" w14:textId="77777777" w:rsidR="00034E13" w:rsidRPr="00052A2F" w:rsidRDefault="004770F9" w:rsidP="0062246E">
      <w:pPr>
        <w:rPr>
          <w:rFonts w:cs="Times New Roman"/>
          <w:szCs w:val="24"/>
        </w:rPr>
      </w:pPr>
      <w:r w:rsidRPr="00052A2F">
        <w:rPr>
          <w:rFonts w:cs="Times New Roman"/>
          <w:bCs/>
          <w:szCs w:val="24"/>
        </w:rPr>
        <w:t xml:space="preserve">The </w:t>
      </w:r>
      <w:r w:rsidR="00400152" w:rsidRPr="00052A2F">
        <w:rPr>
          <w:rFonts w:cs="Times New Roman"/>
          <w:bCs/>
          <w:szCs w:val="24"/>
        </w:rPr>
        <w:t xml:space="preserve">Committee </w:t>
      </w:r>
      <w:r w:rsidRPr="00052A2F">
        <w:rPr>
          <w:rFonts w:cs="Times New Roman"/>
          <w:bCs/>
          <w:szCs w:val="24"/>
        </w:rPr>
        <w:t xml:space="preserve">would like to thank participants from the Ministry of Trade and Industry, the DTI and its entities </w:t>
      </w:r>
      <w:r w:rsidR="00753D3C" w:rsidRPr="00052A2F">
        <w:rPr>
          <w:rFonts w:cs="Times New Roman"/>
          <w:bCs/>
          <w:szCs w:val="24"/>
        </w:rPr>
        <w:t>during this process</w:t>
      </w:r>
      <w:r w:rsidRPr="00052A2F">
        <w:rPr>
          <w:rFonts w:cs="Times New Roman"/>
          <w:bCs/>
          <w:szCs w:val="24"/>
        </w:rPr>
        <w:t xml:space="preserve">. </w:t>
      </w:r>
      <w:r w:rsidRPr="00052A2F">
        <w:rPr>
          <w:rFonts w:cs="Times New Roman"/>
          <w:szCs w:val="24"/>
        </w:rPr>
        <w:t xml:space="preserve">The </w:t>
      </w:r>
      <w:r w:rsidR="00400152" w:rsidRPr="00052A2F">
        <w:rPr>
          <w:rFonts w:cs="Times New Roman"/>
          <w:szCs w:val="24"/>
        </w:rPr>
        <w:t xml:space="preserve">Committee </w:t>
      </w:r>
      <w:r w:rsidRPr="00052A2F">
        <w:rPr>
          <w:rFonts w:cs="Times New Roman"/>
          <w:szCs w:val="24"/>
        </w:rPr>
        <w:t>also wishes to thank its support staff</w:t>
      </w:r>
      <w:r w:rsidR="009804FC" w:rsidRPr="00052A2F">
        <w:rPr>
          <w:rFonts w:cs="Times New Roman"/>
          <w:szCs w:val="24"/>
        </w:rPr>
        <w:t>,</w:t>
      </w:r>
      <w:r w:rsidRPr="00052A2F">
        <w:rPr>
          <w:rFonts w:cs="Times New Roman"/>
          <w:szCs w:val="24"/>
        </w:rPr>
        <w:t xml:space="preserve"> in particular the Committee Secretar</w:t>
      </w:r>
      <w:r w:rsidR="009B2BF7" w:rsidRPr="00052A2F">
        <w:rPr>
          <w:rFonts w:cs="Times New Roman"/>
          <w:szCs w:val="24"/>
        </w:rPr>
        <w:t>ies</w:t>
      </w:r>
      <w:r w:rsidR="002B6201" w:rsidRPr="00052A2F">
        <w:rPr>
          <w:rFonts w:cs="Times New Roman"/>
          <w:szCs w:val="24"/>
        </w:rPr>
        <w:t xml:space="preserve">, </w:t>
      </w:r>
      <w:r w:rsidR="009804FC" w:rsidRPr="00052A2F">
        <w:rPr>
          <w:rFonts w:cs="Times New Roman"/>
          <w:szCs w:val="24"/>
        </w:rPr>
        <w:t>Mr A Hermans</w:t>
      </w:r>
      <w:r w:rsidR="009B2BF7" w:rsidRPr="00052A2F">
        <w:rPr>
          <w:rFonts w:cs="Times New Roman"/>
          <w:szCs w:val="24"/>
        </w:rPr>
        <w:t xml:space="preserve"> and Mr T Madima</w:t>
      </w:r>
      <w:r w:rsidR="009804FC" w:rsidRPr="00052A2F">
        <w:rPr>
          <w:rFonts w:cs="Times New Roman"/>
          <w:szCs w:val="24"/>
        </w:rPr>
        <w:t>;</w:t>
      </w:r>
      <w:r w:rsidRPr="00052A2F">
        <w:rPr>
          <w:rFonts w:cs="Times New Roman"/>
          <w:szCs w:val="24"/>
        </w:rPr>
        <w:t xml:space="preserve"> the Content Advisor, Ms M </w:t>
      </w:r>
      <w:r w:rsidR="00753D3C" w:rsidRPr="00052A2F">
        <w:rPr>
          <w:rFonts w:cs="Times New Roman"/>
          <w:szCs w:val="24"/>
        </w:rPr>
        <w:t>Sheldon</w:t>
      </w:r>
      <w:r w:rsidR="009804FC" w:rsidRPr="00052A2F">
        <w:rPr>
          <w:rFonts w:cs="Times New Roman"/>
          <w:szCs w:val="24"/>
        </w:rPr>
        <w:t>; the Researcher, Ms Z Madalane;</w:t>
      </w:r>
      <w:r w:rsidRPr="00052A2F">
        <w:rPr>
          <w:rFonts w:cs="Times New Roman"/>
          <w:szCs w:val="24"/>
        </w:rPr>
        <w:t xml:space="preserve"> </w:t>
      </w:r>
      <w:r w:rsidR="00400152">
        <w:rPr>
          <w:rFonts w:cs="Times New Roman"/>
          <w:szCs w:val="24"/>
        </w:rPr>
        <w:t xml:space="preserve">the Committee Assistant, Ms O Siebritz; </w:t>
      </w:r>
      <w:r w:rsidR="00FB2C65" w:rsidRPr="00052A2F">
        <w:rPr>
          <w:rFonts w:cs="Times New Roman"/>
          <w:szCs w:val="24"/>
        </w:rPr>
        <w:t xml:space="preserve">and </w:t>
      </w:r>
      <w:r w:rsidR="00F60DF3" w:rsidRPr="00052A2F">
        <w:rPr>
          <w:rFonts w:cs="Times New Roman"/>
          <w:szCs w:val="24"/>
        </w:rPr>
        <w:t>the Executive Assistant</w:t>
      </w:r>
      <w:r w:rsidR="00400152">
        <w:rPr>
          <w:rFonts w:cs="Times New Roman"/>
          <w:szCs w:val="24"/>
        </w:rPr>
        <w:t>s</w:t>
      </w:r>
      <w:r w:rsidR="00F60DF3" w:rsidRPr="00052A2F">
        <w:rPr>
          <w:rFonts w:cs="Times New Roman"/>
          <w:szCs w:val="24"/>
        </w:rPr>
        <w:t xml:space="preserve">, </w:t>
      </w:r>
      <w:r w:rsidR="009804FC" w:rsidRPr="00052A2F">
        <w:rPr>
          <w:rFonts w:cs="Times New Roman"/>
          <w:szCs w:val="24"/>
        </w:rPr>
        <w:t>Ms T Macanda</w:t>
      </w:r>
      <w:r w:rsidR="00400152">
        <w:rPr>
          <w:rFonts w:cs="Times New Roman"/>
          <w:szCs w:val="24"/>
        </w:rPr>
        <w:t xml:space="preserve"> and Mr A Sokupa</w:t>
      </w:r>
      <w:r w:rsidR="001005CB" w:rsidRPr="00052A2F">
        <w:rPr>
          <w:rFonts w:cs="Times New Roman"/>
          <w:szCs w:val="24"/>
        </w:rPr>
        <w:t xml:space="preserve">, </w:t>
      </w:r>
      <w:r w:rsidRPr="00052A2F">
        <w:rPr>
          <w:rFonts w:cs="Times New Roman"/>
          <w:szCs w:val="24"/>
        </w:rPr>
        <w:t xml:space="preserve">for their professional support and conscientious commitment to their work.  The Chairperson thanks all Members of the </w:t>
      </w:r>
      <w:r w:rsidR="00400152" w:rsidRPr="00052A2F">
        <w:rPr>
          <w:rFonts w:cs="Times New Roman"/>
          <w:szCs w:val="24"/>
        </w:rPr>
        <w:t xml:space="preserve">Committee </w:t>
      </w:r>
      <w:r w:rsidRPr="00052A2F">
        <w:rPr>
          <w:rFonts w:cs="Times New Roman"/>
          <w:szCs w:val="24"/>
        </w:rPr>
        <w:t>for their active participation during the process of engagement and deliberations and their constructive recommendations made in this report.</w:t>
      </w:r>
    </w:p>
    <w:p w14:paraId="546885F1" w14:textId="77777777" w:rsidR="00101603" w:rsidRPr="00052A2F" w:rsidRDefault="00101603" w:rsidP="0062246E">
      <w:pPr>
        <w:rPr>
          <w:rFonts w:cs="Times New Roman"/>
          <w:szCs w:val="24"/>
        </w:rPr>
      </w:pPr>
    </w:p>
    <w:p w14:paraId="48E74A1D" w14:textId="77777777" w:rsidR="008F1E6C" w:rsidRPr="00052A2F" w:rsidRDefault="00DA4858" w:rsidP="007D60EF">
      <w:pPr>
        <w:pStyle w:val="ListParagraph"/>
        <w:numPr>
          <w:ilvl w:val="0"/>
          <w:numId w:val="6"/>
        </w:numPr>
        <w:ind w:left="284" w:hanging="284"/>
        <w:rPr>
          <w:rFonts w:cs="Times New Roman"/>
          <w:b/>
          <w:szCs w:val="24"/>
        </w:rPr>
      </w:pPr>
      <w:r w:rsidRPr="00052A2F">
        <w:rPr>
          <w:rFonts w:cs="Times New Roman"/>
          <w:b/>
          <w:szCs w:val="24"/>
        </w:rPr>
        <w:t>Recommendations</w:t>
      </w:r>
    </w:p>
    <w:p w14:paraId="6C131306" w14:textId="77777777" w:rsidR="008F1E6C" w:rsidRPr="00052A2F" w:rsidRDefault="008F1E6C" w:rsidP="0062246E">
      <w:pPr>
        <w:pStyle w:val="ListParagraph"/>
        <w:ind w:left="284"/>
        <w:rPr>
          <w:rFonts w:cs="Times New Roman"/>
          <w:b/>
          <w:szCs w:val="24"/>
        </w:rPr>
      </w:pPr>
    </w:p>
    <w:p w14:paraId="32CDBAE0" w14:textId="77777777" w:rsidR="00FC524E" w:rsidRPr="00052A2F" w:rsidRDefault="004770F9" w:rsidP="0062246E">
      <w:pPr>
        <w:rPr>
          <w:rFonts w:cs="Times New Roman"/>
          <w:szCs w:val="24"/>
        </w:rPr>
      </w:pPr>
      <w:r w:rsidRPr="00052A2F">
        <w:rPr>
          <w:rFonts w:cs="Times New Roman"/>
          <w:szCs w:val="24"/>
        </w:rPr>
        <w:t>The Portfolio Committ</w:t>
      </w:r>
      <w:r w:rsidR="001B487E" w:rsidRPr="00052A2F">
        <w:rPr>
          <w:rFonts w:cs="Times New Roman"/>
          <w:szCs w:val="24"/>
        </w:rPr>
        <w:t>ee on Trade and Industry</w:t>
      </w:r>
      <w:r w:rsidR="007433E1" w:rsidRPr="00052A2F">
        <w:rPr>
          <w:rFonts w:cs="Times New Roman"/>
          <w:szCs w:val="24"/>
        </w:rPr>
        <w:t>,</w:t>
      </w:r>
      <w:r w:rsidR="001B487E" w:rsidRPr="00052A2F">
        <w:rPr>
          <w:rFonts w:cs="Times New Roman"/>
          <w:szCs w:val="24"/>
        </w:rPr>
        <w:t xml:space="preserve"> having</w:t>
      </w:r>
      <w:r w:rsidRPr="00052A2F">
        <w:rPr>
          <w:rFonts w:cs="Times New Roman"/>
          <w:szCs w:val="24"/>
        </w:rPr>
        <w:t xml:space="preserve"> considered the 201</w:t>
      </w:r>
      <w:r w:rsidR="00400152">
        <w:rPr>
          <w:rFonts w:cs="Times New Roman"/>
          <w:szCs w:val="24"/>
        </w:rPr>
        <w:t>8</w:t>
      </w:r>
      <w:r w:rsidRPr="00052A2F">
        <w:rPr>
          <w:rFonts w:cs="Times New Roman"/>
          <w:szCs w:val="24"/>
        </w:rPr>
        <w:t xml:space="preserve"> proposed Budget Vote 3</w:t>
      </w:r>
      <w:r w:rsidR="00C22195" w:rsidRPr="00052A2F">
        <w:rPr>
          <w:rFonts w:cs="Times New Roman"/>
          <w:szCs w:val="24"/>
        </w:rPr>
        <w:t>4</w:t>
      </w:r>
      <w:r w:rsidRPr="00052A2F">
        <w:rPr>
          <w:rFonts w:cs="Times New Roman"/>
          <w:szCs w:val="24"/>
        </w:rPr>
        <w:t>: Trad</w:t>
      </w:r>
      <w:r w:rsidR="001B487E" w:rsidRPr="00052A2F">
        <w:rPr>
          <w:rFonts w:cs="Times New Roman"/>
          <w:szCs w:val="24"/>
        </w:rPr>
        <w:t>e and Industry, recommends that</w:t>
      </w:r>
      <w:r w:rsidR="00183353" w:rsidRPr="00052A2F">
        <w:rPr>
          <w:rFonts w:cs="Times New Roman"/>
          <w:szCs w:val="24"/>
        </w:rPr>
        <w:t xml:space="preserve"> the House adopts Budget Vote 34: Trade and Industry. </w:t>
      </w:r>
    </w:p>
    <w:p w14:paraId="1986FA38" w14:textId="77777777" w:rsidR="00FC524E" w:rsidRPr="00052A2F" w:rsidRDefault="00FC524E" w:rsidP="0062246E">
      <w:pPr>
        <w:rPr>
          <w:rFonts w:cs="Times New Roman"/>
          <w:szCs w:val="24"/>
        </w:rPr>
      </w:pPr>
    </w:p>
    <w:p w14:paraId="6A39FDD3" w14:textId="77777777" w:rsidR="00332F4A" w:rsidRPr="00052A2F" w:rsidRDefault="00183353" w:rsidP="0062246E">
      <w:pPr>
        <w:rPr>
          <w:rFonts w:cs="Times New Roman"/>
          <w:szCs w:val="24"/>
        </w:rPr>
      </w:pPr>
      <w:r w:rsidRPr="00052A2F">
        <w:rPr>
          <w:rFonts w:cs="Times New Roman"/>
          <w:szCs w:val="24"/>
        </w:rPr>
        <w:t xml:space="preserve">The </w:t>
      </w:r>
      <w:r w:rsidR="00321ECB" w:rsidRPr="00052A2F">
        <w:rPr>
          <w:rFonts w:cs="Times New Roman"/>
          <w:szCs w:val="24"/>
        </w:rPr>
        <w:t xml:space="preserve">Committee </w:t>
      </w:r>
      <w:r w:rsidRPr="00052A2F">
        <w:rPr>
          <w:rFonts w:cs="Times New Roman"/>
          <w:szCs w:val="24"/>
        </w:rPr>
        <w:t>further recommends that the House request that the Minister of Trad</w:t>
      </w:r>
      <w:r w:rsidR="002B788E" w:rsidRPr="00052A2F">
        <w:rPr>
          <w:rFonts w:cs="Times New Roman"/>
          <w:szCs w:val="24"/>
        </w:rPr>
        <w:t>e and Industry should consider</w:t>
      </w:r>
      <w:r w:rsidR="00332F4A" w:rsidRPr="00052A2F">
        <w:rPr>
          <w:rFonts w:cs="Times New Roman"/>
          <w:szCs w:val="24"/>
        </w:rPr>
        <w:t>:</w:t>
      </w:r>
    </w:p>
    <w:p w14:paraId="15781B43" w14:textId="77777777" w:rsidR="002012C6" w:rsidRPr="00040184" w:rsidRDefault="002012C6" w:rsidP="00F6592C">
      <w:pPr>
        <w:rPr>
          <w:rFonts w:cs="Times New Roman"/>
          <w:szCs w:val="24"/>
        </w:rPr>
      </w:pPr>
    </w:p>
    <w:p w14:paraId="193BF07A" w14:textId="341F250E" w:rsidR="002012C6" w:rsidRPr="00DC7A6A" w:rsidRDefault="00F61302" w:rsidP="00DC7A6A">
      <w:pPr>
        <w:pStyle w:val="ListParagraph"/>
        <w:numPr>
          <w:ilvl w:val="1"/>
          <w:numId w:val="41"/>
        </w:numPr>
        <w:ind w:left="540" w:hanging="540"/>
        <w:rPr>
          <w:rFonts w:cs="Times New Roman"/>
          <w:szCs w:val="24"/>
        </w:rPr>
      </w:pPr>
      <w:r w:rsidRPr="00DC7A6A">
        <w:rPr>
          <w:rFonts w:cs="Times New Roman"/>
          <w:szCs w:val="24"/>
        </w:rPr>
        <w:t>Engag</w:t>
      </w:r>
      <w:r w:rsidR="00196E99" w:rsidRPr="00DC7A6A">
        <w:rPr>
          <w:rFonts w:cs="Times New Roman"/>
          <w:szCs w:val="24"/>
        </w:rPr>
        <w:t>ing</w:t>
      </w:r>
      <w:r w:rsidRPr="00DC7A6A">
        <w:rPr>
          <w:rFonts w:cs="Times New Roman"/>
          <w:szCs w:val="24"/>
        </w:rPr>
        <w:t xml:space="preserve"> with other Ministers to</w:t>
      </w:r>
      <w:r w:rsidR="00196E99" w:rsidRPr="00DC7A6A">
        <w:rPr>
          <w:rFonts w:cs="Times New Roman"/>
          <w:szCs w:val="24"/>
        </w:rPr>
        <w:t xml:space="preserve"> ensure </w:t>
      </w:r>
      <w:r w:rsidR="00817A33" w:rsidRPr="00DC7A6A">
        <w:rPr>
          <w:rFonts w:cs="Times New Roman"/>
          <w:szCs w:val="24"/>
        </w:rPr>
        <w:t xml:space="preserve">the adoption of </w:t>
      </w:r>
      <w:r w:rsidR="007A007C" w:rsidRPr="00DC7A6A">
        <w:rPr>
          <w:rFonts w:cs="Times New Roman"/>
          <w:szCs w:val="24"/>
        </w:rPr>
        <w:t>a coordinated</w:t>
      </w:r>
      <w:r w:rsidRPr="00DC7A6A">
        <w:rPr>
          <w:rFonts w:cs="Times New Roman"/>
          <w:szCs w:val="24"/>
        </w:rPr>
        <w:t xml:space="preserve"> approach </w:t>
      </w:r>
      <w:r w:rsidR="002012C6" w:rsidRPr="00DC7A6A">
        <w:rPr>
          <w:rFonts w:cs="Times New Roman"/>
          <w:szCs w:val="24"/>
        </w:rPr>
        <w:t xml:space="preserve">to overcome the impediments that have arisen with respect to tenders </w:t>
      </w:r>
      <w:r w:rsidR="007A007C" w:rsidRPr="00DC7A6A">
        <w:rPr>
          <w:rFonts w:cs="Times New Roman"/>
          <w:szCs w:val="24"/>
        </w:rPr>
        <w:t>related to designated products and se</w:t>
      </w:r>
      <w:r w:rsidR="006D1BB5" w:rsidRPr="00DC7A6A">
        <w:rPr>
          <w:rFonts w:cs="Times New Roman"/>
          <w:szCs w:val="24"/>
        </w:rPr>
        <w:t xml:space="preserve">ctors </w:t>
      </w:r>
      <w:r w:rsidR="007A007C" w:rsidRPr="00DC7A6A">
        <w:rPr>
          <w:rFonts w:cs="Times New Roman"/>
          <w:szCs w:val="24"/>
        </w:rPr>
        <w:t xml:space="preserve">being </w:t>
      </w:r>
      <w:r w:rsidR="002012C6" w:rsidRPr="00DC7A6A">
        <w:rPr>
          <w:rFonts w:cs="Times New Roman"/>
          <w:szCs w:val="24"/>
        </w:rPr>
        <w:t>awarded but not followed through with the related orders.</w:t>
      </w:r>
    </w:p>
    <w:p w14:paraId="72D0F308" w14:textId="77777777" w:rsidR="007A007C" w:rsidRPr="00DC7A6A" w:rsidRDefault="007A007C" w:rsidP="00DC7A6A">
      <w:pPr>
        <w:pStyle w:val="ListParagraph"/>
        <w:ind w:left="540" w:hanging="540"/>
        <w:rPr>
          <w:rFonts w:cs="Times New Roman"/>
          <w:szCs w:val="24"/>
        </w:rPr>
      </w:pPr>
    </w:p>
    <w:p w14:paraId="3A4F5705" w14:textId="77777777" w:rsidR="007A007C" w:rsidRPr="00DC7A6A" w:rsidRDefault="007A007C" w:rsidP="00DC7A6A">
      <w:pPr>
        <w:pStyle w:val="ListParagraph"/>
        <w:numPr>
          <w:ilvl w:val="1"/>
          <w:numId w:val="41"/>
        </w:numPr>
        <w:ind w:left="540" w:hanging="540"/>
        <w:rPr>
          <w:rFonts w:cs="Times New Roman"/>
          <w:szCs w:val="24"/>
        </w:rPr>
      </w:pPr>
      <w:r w:rsidRPr="00DC7A6A">
        <w:rPr>
          <w:rFonts w:cs="Times New Roman"/>
          <w:szCs w:val="24"/>
        </w:rPr>
        <w:t xml:space="preserve">Engaging with the Auditor-General to ensure the finalisation of the audit outcomes by the Auditor-General for local public procurement. </w:t>
      </w:r>
    </w:p>
    <w:p w14:paraId="0AC6503C" w14:textId="77777777" w:rsidR="00A14118" w:rsidRPr="00DC7A6A" w:rsidRDefault="00A14118" w:rsidP="00DC7A6A">
      <w:pPr>
        <w:pStyle w:val="ListParagraph"/>
        <w:ind w:left="540" w:hanging="540"/>
        <w:rPr>
          <w:rFonts w:cs="Times New Roman"/>
          <w:szCs w:val="24"/>
        </w:rPr>
      </w:pPr>
    </w:p>
    <w:p w14:paraId="43AACEA4" w14:textId="6DC9CA55" w:rsidR="00A14118" w:rsidRPr="00DC7A6A" w:rsidRDefault="00A14118" w:rsidP="00DC7A6A">
      <w:pPr>
        <w:pStyle w:val="ListParagraph"/>
        <w:numPr>
          <w:ilvl w:val="1"/>
          <w:numId w:val="41"/>
        </w:numPr>
        <w:ind w:left="540" w:hanging="540"/>
        <w:rPr>
          <w:rFonts w:cs="Times New Roman"/>
          <w:szCs w:val="24"/>
        </w:rPr>
      </w:pPr>
      <w:r w:rsidRPr="00DC7A6A">
        <w:rPr>
          <w:rFonts w:eastAsia="Times New Roman" w:cs="Times New Roman"/>
          <w:szCs w:val="24"/>
        </w:rPr>
        <w:t>Additional funding for the Manufacturing Competitive Enhancement Programme</w:t>
      </w:r>
      <w:r w:rsidR="00E2054D" w:rsidRPr="00DC7A6A">
        <w:rPr>
          <w:rFonts w:eastAsia="Times New Roman" w:cs="Times New Roman"/>
          <w:szCs w:val="24"/>
        </w:rPr>
        <w:t xml:space="preserve"> </w:t>
      </w:r>
      <w:r w:rsidRPr="00DC7A6A">
        <w:rPr>
          <w:rFonts w:eastAsia="Times New Roman" w:cs="Times New Roman"/>
          <w:szCs w:val="24"/>
        </w:rPr>
        <w:t xml:space="preserve">and </w:t>
      </w:r>
      <w:r w:rsidR="004B317C" w:rsidRPr="00DC7A6A">
        <w:rPr>
          <w:rFonts w:eastAsia="Times New Roman" w:cs="Times New Roman"/>
          <w:szCs w:val="24"/>
        </w:rPr>
        <w:t xml:space="preserve">the </w:t>
      </w:r>
      <w:r w:rsidR="005F37C7" w:rsidRPr="00DC7A6A">
        <w:rPr>
          <w:rFonts w:eastAsia="Times New Roman" w:cs="Times New Roman"/>
          <w:szCs w:val="24"/>
        </w:rPr>
        <w:t xml:space="preserve">tabling of </w:t>
      </w:r>
      <w:r w:rsidRPr="00DC7A6A">
        <w:rPr>
          <w:rFonts w:eastAsia="Times New Roman" w:cs="Times New Roman"/>
          <w:szCs w:val="24"/>
        </w:rPr>
        <w:t>a long-term plan</w:t>
      </w:r>
      <w:r w:rsidR="007A007C" w:rsidRPr="00DC7A6A">
        <w:rPr>
          <w:rFonts w:eastAsia="Times New Roman" w:cs="Times New Roman"/>
          <w:szCs w:val="24"/>
        </w:rPr>
        <w:t xml:space="preserve"> </w:t>
      </w:r>
      <w:r w:rsidR="004B317C" w:rsidRPr="00DC7A6A">
        <w:rPr>
          <w:rFonts w:eastAsia="Times New Roman" w:cs="Times New Roman"/>
          <w:szCs w:val="24"/>
        </w:rPr>
        <w:t xml:space="preserve">in the current financial year. </w:t>
      </w:r>
    </w:p>
    <w:p w14:paraId="6AF4A9E6" w14:textId="77777777" w:rsidR="00F43E94" w:rsidRPr="00DC7A6A" w:rsidRDefault="00F43E94" w:rsidP="00DC7A6A">
      <w:pPr>
        <w:pStyle w:val="ListParagraph"/>
        <w:ind w:left="540" w:hanging="540"/>
        <w:rPr>
          <w:rFonts w:cs="Times New Roman"/>
          <w:szCs w:val="24"/>
        </w:rPr>
      </w:pPr>
    </w:p>
    <w:p w14:paraId="70132186" w14:textId="4F9B4E03" w:rsidR="00F43E94" w:rsidRPr="00DC7A6A" w:rsidRDefault="00F43E94" w:rsidP="00DC7A6A">
      <w:pPr>
        <w:pStyle w:val="ListParagraph"/>
        <w:numPr>
          <w:ilvl w:val="1"/>
          <w:numId w:val="41"/>
        </w:numPr>
        <w:ind w:left="540" w:hanging="540"/>
        <w:rPr>
          <w:rFonts w:cs="Times New Roman"/>
          <w:szCs w:val="24"/>
        </w:rPr>
      </w:pPr>
      <w:r w:rsidRPr="00DC7A6A">
        <w:rPr>
          <w:rFonts w:eastAsia="Times New Roman" w:cs="Times New Roman"/>
          <w:szCs w:val="24"/>
        </w:rPr>
        <w:lastRenderedPageBreak/>
        <w:t>Finalising the South African Automotive Master Plan and the Automotive Industrial Development Plan.</w:t>
      </w:r>
    </w:p>
    <w:p w14:paraId="56107276" w14:textId="017F797C" w:rsidR="00F43196" w:rsidRPr="00DC7A6A" w:rsidRDefault="00F43196" w:rsidP="00DC7A6A">
      <w:pPr>
        <w:ind w:left="540" w:hanging="540"/>
        <w:rPr>
          <w:rFonts w:cs="Times New Roman"/>
          <w:szCs w:val="24"/>
        </w:rPr>
      </w:pPr>
    </w:p>
    <w:p w14:paraId="58D6C5CC" w14:textId="78512EDD" w:rsidR="002012C6" w:rsidRPr="00DC7A6A" w:rsidRDefault="009177D7" w:rsidP="00DC7A6A">
      <w:pPr>
        <w:pStyle w:val="ListParagraph"/>
        <w:numPr>
          <w:ilvl w:val="1"/>
          <w:numId w:val="41"/>
        </w:numPr>
        <w:ind w:left="540" w:hanging="540"/>
        <w:rPr>
          <w:rFonts w:cs="Times New Roman"/>
          <w:szCs w:val="24"/>
        </w:rPr>
      </w:pPr>
      <w:r w:rsidRPr="00DC7A6A">
        <w:rPr>
          <w:rFonts w:cs="Times New Roman"/>
          <w:szCs w:val="24"/>
        </w:rPr>
        <w:t>C</w:t>
      </w:r>
      <w:r w:rsidR="00F61302" w:rsidRPr="00DC7A6A">
        <w:rPr>
          <w:rFonts w:cs="Times New Roman"/>
          <w:szCs w:val="24"/>
        </w:rPr>
        <w:t>apitalising on the positive business environment</w:t>
      </w:r>
      <w:r w:rsidRPr="00DC7A6A">
        <w:rPr>
          <w:rFonts w:cs="Times New Roman"/>
          <w:szCs w:val="24"/>
        </w:rPr>
        <w:t xml:space="preserve"> to accelerate the productive investment initiatives </w:t>
      </w:r>
      <w:r w:rsidR="002012C6" w:rsidRPr="00DC7A6A">
        <w:rPr>
          <w:rFonts w:cs="Times New Roman"/>
          <w:szCs w:val="24"/>
        </w:rPr>
        <w:t xml:space="preserve">and promoting increased competitiveness particularly in South </w:t>
      </w:r>
      <w:r w:rsidR="007A007C" w:rsidRPr="00DC7A6A">
        <w:rPr>
          <w:rFonts w:cs="Times New Roman"/>
          <w:szCs w:val="24"/>
        </w:rPr>
        <w:t>Africa’s comparative advantages.</w:t>
      </w:r>
    </w:p>
    <w:p w14:paraId="5D7FC7E6" w14:textId="4D5235E2" w:rsidR="007A007C" w:rsidRPr="00DC7A6A" w:rsidRDefault="007A007C" w:rsidP="00DC7A6A">
      <w:pPr>
        <w:ind w:left="540" w:hanging="540"/>
        <w:rPr>
          <w:rFonts w:cs="Times New Roman"/>
          <w:szCs w:val="24"/>
        </w:rPr>
      </w:pPr>
    </w:p>
    <w:p w14:paraId="752F05C6" w14:textId="21D4694F" w:rsidR="002012C6" w:rsidRPr="00DC7A6A" w:rsidRDefault="007A007C" w:rsidP="00DC7A6A">
      <w:pPr>
        <w:pStyle w:val="ListParagraph"/>
        <w:numPr>
          <w:ilvl w:val="1"/>
          <w:numId w:val="41"/>
        </w:numPr>
        <w:ind w:left="540" w:hanging="540"/>
        <w:rPr>
          <w:rFonts w:cs="Times New Roman"/>
          <w:szCs w:val="24"/>
        </w:rPr>
      </w:pPr>
      <w:r w:rsidRPr="00DC7A6A">
        <w:rPr>
          <w:rFonts w:cs="Times New Roman"/>
          <w:szCs w:val="24"/>
        </w:rPr>
        <w:t>A</w:t>
      </w:r>
      <w:r w:rsidR="002012C6" w:rsidRPr="00DC7A6A">
        <w:rPr>
          <w:rFonts w:cs="Times New Roman"/>
          <w:szCs w:val="24"/>
        </w:rPr>
        <w:t xml:space="preserve">mending the </w:t>
      </w:r>
      <w:r w:rsidRPr="00DC7A6A">
        <w:rPr>
          <w:rFonts w:cs="Times New Roman"/>
          <w:szCs w:val="24"/>
        </w:rPr>
        <w:t xml:space="preserve">Broad-Based Black Economic Empowerment </w:t>
      </w:r>
      <w:r w:rsidR="002012C6" w:rsidRPr="00DC7A6A">
        <w:rPr>
          <w:rFonts w:cs="Times New Roman"/>
          <w:szCs w:val="24"/>
        </w:rPr>
        <w:t xml:space="preserve">legislation to ensure that the </w:t>
      </w:r>
      <w:r w:rsidRPr="00DC7A6A">
        <w:rPr>
          <w:rFonts w:cs="Times New Roman"/>
          <w:szCs w:val="24"/>
        </w:rPr>
        <w:t xml:space="preserve">Broad-Based Black Economic Empowerment </w:t>
      </w:r>
      <w:r w:rsidR="002012C6" w:rsidRPr="00DC7A6A">
        <w:rPr>
          <w:rFonts w:cs="Times New Roman"/>
          <w:szCs w:val="24"/>
        </w:rPr>
        <w:t xml:space="preserve">Commission is able to effectively monitor and enforce </w:t>
      </w:r>
      <w:r w:rsidRPr="00DC7A6A">
        <w:rPr>
          <w:rFonts w:cs="Times New Roman"/>
          <w:szCs w:val="24"/>
        </w:rPr>
        <w:t xml:space="preserve">the </w:t>
      </w:r>
      <w:r w:rsidR="002012C6" w:rsidRPr="00DC7A6A">
        <w:rPr>
          <w:rFonts w:cs="Times New Roman"/>
          <w:szCs w:val="24"/>
        </w:rPr>
        <w:t>provisions</w:t>
      </w:r>
      <w:r w:rsidRPr="00DC7A6A">
        <w:rPr>
          <w:rFonts w:cs="Times New Roman"/>
          <w:szCs w:val="24"/>
        </w:rPr>
        <w:t xml:space="preserve"> of the Act</w:t>
      </w:r>
      <w:r w:rsidR="002012C6" w:rsidRPr="00DC7A6A">
        <w:rPr>
          <w:rFonts w:cs="Times New Roman"/>
          <w:szCs w:val="24"/>
        </w:rPr>
        <w:t>.</w:t>
      </w:r>
    </w:p>
    <w:p w14:paraId="4035C03E" w14:textId="77777777" w:rsidR="007A007C" w:rsidRPr="00DC7A6A" w:rsidRDefault="007A007C" w:rsidP="00DC7A6A">
      <w:pPr>
        <w:pStyle w:val="ListParagraph"/>
        <w:ind w:left="540" w:hanging="540"/>
        <w:rPr>
          <w:rFonts w:cs="Times New Roman"/>
          <w:szCs w:val="24"/>
        </w:rPr>
      </w:pPr>
    </w:p>
    <w:p w14:paraId="770A412E" w14:textId="479077A9" w:rsidR="00DA2511" w:rsidRPr="00DA2511" w:rsidRDefault="00DA2511" w:rsidP="00DA2511">
      <w:pPr>
        <w:pStyle w:val="ListParagraph"/>
        <w:numPr>
          <w:ilvl w:val="1"/>
          <w:numId w:val="41"/>
        </w:numPr>
        <w:ind w:left="540" w:hanging="540"/>
        <w:rPr>
          <w:rFonts w:cs="Times New Roman"/>
          <w:szCs w:val="24"/>
        </w:rPr>
      </w:pPr>
      <w:r w:rsidRPr="00DA2511">
        <w:t>Strengthening public-private partnerships as well as developing constructive social compacts with civil society so that the country sustains its economic development</w:t>
      </w:r>
      <w:r w:rsidRPr="00DA2511">
        <w:rPr>
          <w:color w:val="1F497D"/>
        </w:rPr>
        <w:t>.</w:t>
      </w:r>
    </w:p>
    <w:p w14:paraId="0A833500" w14:textId="5D4F1352" w:rsidR="006A7D40" w:rsidRPr="006A7D40" w:rsidRDefault="006A7D40" w:rsidP="006A7D40">
      <w:pPr>
        <w:rPr>
          <w:rFonts w:cs="Times New Roman"/>
          <w:szCs w:val="24"/>
        </w:rPr>
      </w:pPr>
    </w:p>
    <w:p w14:paraId="5E77787D" w14:textId="50DDE61C" w:rsidR="00F6592C" w:rsidRDefault="006A7D40" w:rsidP="00F6592C">
      <w:r>
        <w:t>The Democratic Alliance abstained.</w:t>
      </w:r>
    </w:p>
    <w:p w14:paraId="6BD1A28D" w14:textId="77777777" w:rsidR="006A7D40" w:rsidRPr="00052A2F" w:rsidRDefault="006A7D40" w:rsidP="00F6592C"/>
    <w:p w14:paraId="28563EA2" w14:textId="5443AD1B" w:rsidR="00DA4858" w:rsidRDefault="000F612D" w:rsidP="0062246E">
      <w:pPr>
        <w:pBdr>
          <w:bottom w:val="single" w:sz="12" w:space="1" w:color="auto"/>
        </w:pBdr>
        <w:rPr>
          <w:rFonts w:cs="Times New Roman"/>
          <w:szCs w:val="24"/>
        </w:rPr>
      </w:pPr>
      <w:r w:rsidRPr="00052A2F">
        <w:rPr>
          <w:rFonts w:cs="Times New Roman"/>
          <w:szCs w:val="24"/>
        </w:rPr>
        <w:t xml:space="preserve">Report to be considered. </w:t>
      </w:r>
    </w:p>
    <w:p w14:paraId="4354C0F8" w14:textId="77777777" w:rsidR="006A7D40" w:rsidRPr="00052A2F" w:rsidRDefault="006A7D40" w:rsidP="0062246E">
      <w:pPr>
        <w:pBdr>
          <w:bottom w:val="single" w:sz="12" w:space="1" w:color="auto"/>
        </w:pBdr>
        <w:rPr>
          <w:rFonts w:cs="Times New Roman"/>
          <w:szCs w:val="24"/>
        </w:rPr>
      </w:pPr>
    </w:p>
    <w:p w14:paraId="0FADA3EC" w14:textId="77777777" w:rsidR="004476D6" w:rsidRPr="00052A2F" w:rsidRDefault="004476D6" w:rsidP="0062246E">
      <w:pPr>
        <w:rPr>
          <w:rFonts w:cs="Times New Roman"/>
          <w:b/>
          <w:szCs w:val="24"/>
        </w:rPr>
      </w:pPr>
    </w:p>
    <w:p w14:paraId="13764AC3" w14:textId="77777777" w:rsidR="00F350B5" w:rsidRPr="00052A2F" w:rsidRDefault="00F350B5" w:rsidP="0062246E">
      <w:pPr>
        <w:rPr>
          <w:rFonts w:cs="Times New Roman"/>
          <w:b/>
          <w:szCs w:val="24"/>
        </w:rPr>
      </w:pPr>
      <w:r w:rsidRPr="00052A2F">
        <w:rPr>
          <w:rFonts w:cs="Times New Roman"/>
          <w:b/>
          <w:szCs w:val="24"/>
        </w:rPr>
        <w:t>References</w:t>
      </w:r>
    </w:p>
    <w:p w14:paraId="3C1ECCE4" w14:textId="77777777" w:rsidR="00400152" w:rsidRDefault="00400152" w:rsidP="0062246E">
      <w:pPr>
        <w:rPr>
          <w:rFonts w:cs="Arial"/>
          <w:sz w:val="22"/>
          <w:lang w:eastAsia="en-ZA"/>
        </w:rPr>
      </w:pPr>
    </w:p>
    <w:p w14:paraId="04A72D8F" w14:textId="77777777" w:rsidR="00400152" w:rsidRPr="00400152" w:rsidRDefault="00400152" w:rsidP="0062246E">
      <w:pPr>
        <w:rPr>
          <w:szCs w:val="24"/>
        </w:rPr>
      </w:pPr>
      <w:r w:rsidRPr="00400152">
        <w:rPr>
          <w:szCs w:val="24"/>
        </w:rPr>
        <w:t>African Union Commission (2015).</w:t>
      </w:r>
      <w:r w:rsidRPr="00040184">
        <w:rPr>
          <w:i/>
          <w:szCs w:val="24"/>
        </w:rPr>
        <w:t xml:space="preserve"> Agenda 2063: The Africa We Want</w:t>
      </w:r>
      <w:r w:rsidRPr="00400152">
        <w:rPr>
          <w:szCs w:val="24"/>
        </w:rPr>
        <w:t>.  Internet. Available from &lt; https://au.int/en/agenda2063&gt;. Retrieved: 22 February 2018.</w:t>
      </w:r>
    </w:p>
    <w:p w14:paraId="1C8B7B8D" w14:textId="77777777" w:rsidR="00400152" w:rsidRPr="00400152" w:rsidRDefault="00400152" w:rsidP="0062246E">
      <w:pPr>
        <w:rPr>
          <w:rFonts w:cs="Arial"/>
          <w:szCs w:val="24"/>
        </w:rPr>
      </w:pPr>
      <w:r w:rsidRPr="00400152">
        <w:rPr>
          <w:rFonts w:cs="Arial"/>
          <w:szCs w:val="24"/>
          <w:lang w:eastAsia="en-ZA"/>
        </w:rPr>
        <w:t xml:space="preserve">Broad-Based Black Economic Empowerment Commission </w:t>
      </w:r>
      <w:r w:rsidRPr="00400152">
        <w:rPr>
          <w:rFonts w:cs="Arial"/>
          <w:szCs w:val="24"/>
        </w:rPr>
        <w:t xml:space="preserve">(2017b). </w:t>
      </w:r>
      <w:r w:rsidRPr="00040184">
        <w:rPr>
          <w:rFonts w:cs="Arial"/>
          <w:i/>
          <w:szCs w:val="24"/>
        </w:rPr>
        <w:t>Strategic Plan 2017/18 – 2019/20</w:t>
      </w:r>
      <w:r>
        <w:rPr>
          <w:rFonts w:cs="Arial"/>
          <w:szCs w:val="24"/>
        </w:rPr>
        <w:t>.</w:t>
      </w:r>
    </w:p>
    <w:p w14:paraId="2E0F9755" w14:textId="77777777" w:rsidR="00400152" w:rsidRPr="00400152" w:rsidRDefault="00400152" w:rsidP="0062246E">
      <w:pPr>
        <w:rPr>
          <w:rFonts w:cs="Arial"/>
          <w:szCs w:val="24"/>
        </w:rPr>
      </w:pPr>
      <w:r w:rsidRPr="00400152">
        <w:rPr>
          <w:rFonts w:cs="Arial"/>
          <w:szCs w:val="24"/>
          <w:lang w:eastAsia="en-ZA"/>
        </w:rPr>
        <w:t>Broad-Based Black Economic Empowerment Commission</w:t>
      </w:r>
      <w:r w:rsidRPr="00400152">
        <w:rPr>
          <w:rFonts w:cs="Arial"/>
          <w:szCs w:val="24"/>
        </w:rPr>
        <w:t xml:space="preserve"> (2018). </w:t>
      </w:r>
      <w:r w:rsidRPr="00040184">
        <w:rPr>
          <w:rFonts w:cs="Arial"/>
          <w:i/>
          <w:szCs w:val="24"/>
        </w:rPr>
        <w:t>Annual Performance Plan 2018/19</w:t>
      </w:r>
      <w:r w:rsidRPr="00400152">
        <w:rPr>
          <w:rFonts w:cs="Arial"/>
          <w:szCs w:val="24"/>
        </w:rPr>
        <w:t xml:space="preserve">. </w:t>
      </w:r>
    </w:p>
    <w:p w14:paraId="272D59D1" w14:textId="77777777" w:rsidR="00400152" w:rsidRPr="00400152" w:rsidRDefault="00400152" w:rsidP="0062246E">
      <w:pPr>
        <w:rPr>
          <w:szCs w:val="24"/>
        </w:rPr>
      </w:pPr>
      <w:r w:rsidRPr="00400152">
        <w:rPr>
          <w:szCs w:val="24"/>
        </w:rPr>
        <w:t xml:space="preserve">Department of Trade and Industry (2017). </w:t>
      </w:r>
      <w:r w:rsidRPr="00040184">
        <w:rPr>
          <w:i/>
          <w:szCs w:val="24"/>
        </w:rPr>
        <w:t>Strategic Plan 2017 – 2020</w:t>
      </w:r>
      <w:r w:rsidRPr="00400152">
        <w:rPr>
          <w:szCs w:val="24"/>
        </w:rPr>
        <w:t xml:space="preserve">. </w:t>
      </w:r>
    </w:p>
    <w:p w14:paraId="11DB7AC6" w14:textId="5164FA0F" w:rsidR="00400152" w:rsidRPr="00400152" w:rsidRDefault="00400152" w:rsidP="0062246E">
      <w:pPr>
        <w:rPr>
          <w:rFonts w:cs="Times New Roman"/>
          <w:szCs w:val="24"/>
        </w:rPr>
      </w:pPr>
      <w:r w:rsidRPr="00400152">
        <w:rPr>
          <w:rFonts w:cs="Times New Roman"/>
          <w:szCs w:val="24"/>
        </w:rPr>
        <w:t>National Metrology Institute of South Africa (2018)</w:t>
      </w:r>
      <w:r w:rsidR="00BA7020">
        <w:rPr>
          <w:rFonts w:cs="Times New Roman"/>
          <w:szCs w:val="24"/>
        </w:rPr>
        <w:t>.</w:t>
      </w:r>
      <w:r w:rsidRPr="00400152">
        <w:rPr>
          <w:rFonts w:cs="Times New Roman"/>
          <w:szCs w:val="24"/>
        </w:rPr>
        <w:t xml:space="preserve"> </w:t>
      </w:r>
      <w:r w:rsidRPr="00400152">
        <w:rPr>
          <w:rFonts w:cs="Times New Roman"/>
          <w:i/>
          <w:szCs w:val="24"/>
        </w:rPr>
        <w:t>Annual Performance Plan 2018-2021</w:t>
      </w:r>
      <w:r w:rsidRPr="00400152">
        <w:rPr>
          <w:rFonts w:cs="Times New Roman"/>
          <w:szCs w:val="24"/>
        </w:rPr>
        <w:t>.</w:t>
      </w:r>
    </w:p>
    <w:p w14:paraId="2C01BB39" w14:textId="06D73402" w:rsidR="00400152" w:rsidRPr="00400152" w:rsidRDefault="00BA7020" w:rsidP="0062246E">
      <w:pPr>
        <w:rPr>
          <w:szCs w:val="24"/>
        </w:rPr>
      </w:pPr>
      <w:r>
        <w:rPr>
          <w:szCs w:val="24"/>
        </w:rPr>
        <w:t>National Treasury</w:t>
      </w:r>
      <w:r w:rsidR="00400152" w:rsidRPr="00400152">
        <w:rPr>
          <w:szCs w:val="24"/>
        </w:rPr>
        <w:t xml:space="preserve"> (2017)</w:t>
      </w:r>
      <w:r>
        <w:rPr>
          <w:szCs w:val="24"/>
        </w:rPr>
        <w:t>.</w:t>
      </w:r>
      <w:r w:rsidR="00400152" w:rsidRPr="00400152">
        <w:rPr>
          <w:szCs w:val="24"/>
        </w:rPr>
        <w:t xml:space="preserve"> </w:t>
      </w:r>
      <w:r w:rsidR="00400152" w:rsidRPr="00BA7020">
        <w:rPr>
          <w:i/>
          <w:szCs w:val="24"/>
        </w:rPr>
        <w:t>Estimates of National Expenditure: Vote 34 Trade and Industry</w:t>
      </w:r>
      <w:r w:rsidR="00400152" w:rsidRPr="00400152">
        <w:rPr>
          <w:szCs w:val="24"/>
        </w:rPr>
        <w:t xml:space="preserve">. Government Printers. Pretoria </w:t>
      </w:r>
    </w:p>
    <w:p w14:paraId="59784383" w14:textId="0E88C097" w:rsidR="00400152" w:rsidRDefault="00400152" w:rsidP="0062246E">
      <w:pPr>
        <w:rPr>
          <w:rFonts w:eastAsia="Calibri" w:cs="Times New Roman"/>
          <w:szCs w:val="24"/>
        </w:rPr>
      </w:pPr>
      <w:r w:rsidRPr="00400152">
        <w:rPr>
          <w:rFonts w:cs="Times New Roman"/>
          <w:szCs w:val="24"/>
        </w:rPr>
        <w:t>National Treasury (2018</w:t>
      </w:r>
      <w:r w:rsidR="00BA7020">
        <w:rPr>
          <w:rFonts w:cs="Times New Roman"/>
          <w:szCs w:val="24"/>
        </w:rPr>
        <w:t>a</w:t>
      </w:r>
      <w:r w:rsidRPr="00400152">
        <w:rPr>
          <w:rFonts w:cs="Times New Roman"/>
          <w:szCs w:val="24"/>
        </w:rPr>
        <w:t>)</w:t>
      </w:r>
      <w:r w:rsidR="00BA7020">
        <w:rPr>
          <w:rFonts w:cs="Times New Roman"/>
          <w:szCs w:val="24"/>
        </w:rPr>
        <w:t>.</w:t>
      </w:r>
      <w:r w:rsidRPr="00400152">
        <w:rPr>
          <w:rFonts w:cs="Times New Roman"/>
          <w:szCs w:val="24"/>
        </w:rPr>
        <w:t xml:space="preserve"> </w:t>
      </w:r>
      <w:r w:rsidRPr="00400152">
        <w:rPr>
          <w:rFonts w:eastAsia="Calibri" w:cs="Times New Roman"/>
          <w:i/>
          <w:szCs w:val="24"/>
        </w:rPr>
        <w:t>Estimates of National Expenditure: Vote 34 Trade and Industry</w:t>
      </w:r>
      <w:r w:rsidRPr="00400152">
        <w:rPr>
          <w:rFonts w:eastAsia="Calibri" w:cs="Times New Roman"/>
          <w:szCs w:val="24"/>
        </w:rPr>
        <w:t>. Government Printers. Pretoria.</w:t>
      </w:r>
    </w:p>
    <w:p w14:paraId="5C81D3CA" w14:textId="4005FE34" w:rsidR="00BA7020" w:rsidRPr="00400152" w:rsidRDefault="00BA7020" w:rsidP="0062246E">
      <w:pPr>
        <w:rPr>
          <w:rFonts w:eastAsia="Calibri" w:cs="Times New Roman"/>
          <w:szCs w:val="24"/>
        </w:rPr>
      </w:pPr>
      <w:r>
        <w:rPr>
          <w:rFonts w:eastAsia="Calibri" w:cs="Times New Roman"/>
          <w:szCs w:val="24"/>
        </w:rPr>
        <w:t xml:space="preserve">National Treasury (2018b). </w:t>
      </w:r>
      <w:r w:rsidRPr="00BA7020">
        <w:rPr>
          <w:rFonts w:eastAsia="Calibri" w:cs="Times New Roman"/>
          <w:i/>
          <w:szCs w:val="24"/>
        </w:rPr>
        <w:t>Budget Review</w:t>
      </w:r>
      <w:r>
        <w:rPr>
          <w:rFonts w:eastAsia="Calibri" w:cs="Times New Roman"/>
          <w:szCs w:val="24"/>
        </w:rPr>
        <w:t>.</w:t>
      </w:r>
    </w:p>
    <w:p w14:paraId="75C2CF34" w14:textId="689F5504" w:rsidR="00400152" w:rsidRPr="00400152" w:rsidRDefault="00400152" w:rsidP="0062246E">
      <w:pPr>
        <w:ind w:left="284" w:hanging="284"/>
        <w:rPr>
          <w:rFonts w:eastAsia="Calibri" w:cs="Times New Roman"/>
          <w:szCs w:val="24"/>
        </w:rPr>
      </w:pPr>
      <w:r w:rsidRPr="00400152">
        <w:rPr>
          <w:rFonts w:eastAsia="Calibri" w:cs="Times New Roman"/>
          <w:szCs w:val="24"/>
        </w:rPr>
        <w:lastRenderedPageBreak/>
        <w:t>Portfolio Committee on Trade and Industry (2015)</w:t>
      </w:r>
      <w:r w:rsidR="00BA7020">
        <w:rPr>
          <w:rFonts w:eastAsia="Calibri" w:cs="Times New Roman"/>
          <w:szCs w:val="24"/>
        </w:rPr>
        <w:t>.</w:t>
      </w:r>
      <w:r w:rsidRPr="00400152">
        <w:rPr>
          <w:rFonts w:eastAsia="Calibri" w:cs="Times New Roman"/>
          <w:szCs w:val="24"/>
        </w:rPr>
        <w:t xml:space="preserve"> </w:t>
      </w:r>
      <w:r w:rsidRPr="00400152">
        <w:rPr>
          <w:rFonts w:eastAsia="Calibri" w:cs="Times New Roman"/>
          <w:i/>
          <w:szCs w:val="24"/>
        </w:rPr>
        <w:t>Report of the Portfolio Committee on Trade and Industry on Budget Vote 34: Trade and Industry</w:t>
      </w:r>
      <w:r w:rsidRPr="00400152">
        <w:rPr>
          <w:rFonts w:eastAsia="Calibri" w:cs="Times New Roman"/>
          <w:szCs w:val="24"/>
        </w:rPr>
        <w:t>. Cape Town, Parliament of the Republic of South Africa.</w:t>
      </w:r>
    </w:p>
    <w:p w14:paraId="4D93FD31" w14:textId="260BF821" w:rsidR="00400152" w:rsidRPr="00400152" w:rsidRDefault="00400152" w:rsidP="0062246E">
      <w:pPr>
        <w:ind w:left="284" w:hanging="284"/>
        <w:rPr>
          <w:rFonts w:eastAsia="Calibri" w:cs="Times New Roman"/>
          <w:szCs w:val="24"/>
        </w:rPr>
      </w:pPr>
      <w:r w:rsidRPr="00400152">
        <w:rPr>
          <w:rFonts w:eastAsia="Calibri" w:cs="Times New Roman"/>
          <w:szCs w:val="24"/>
        </w:rPr>
        <w:t>Portfolio Committee on Trade and Industry (2017)</w:t>
      </w:r>
      <w:r w:rsidR="00BA7020">
        <w:rPr>
          <w:rFonts w:eastAsia="Calibri" w:cs="Times New Roman"/>
          <w:szCs w:val="24"/>
        </w:rPr>
        <w:t>.</w:t>
      </w:r>
      <w:r w:rsidRPr="00400152">
        <w:rPr>
          <w:rFonts w:eastAsia="Calibri" w:cs="Times New Roman"/>
          <w:szCs w:val="24"/>
        </w:rPr>
        <w:t xml:space="preserve"> </w:t>
      </w:r>
      <w:r w:rsidRPr="00400152">
        <w:rPr>
          <w:rFonts w:eastAsia="Calibri" w:cs="Times New Roman"/>
          <w:i/>
          <w:szCs w:val="24"/>
        </w:rPr>
        <w:t>Report of the Portfolio Committee on Trade and Industry on Budget Vote 34: Trade and Industry</w:t>
      </w:r>
      <w:r w:rsidRPr="00400152">
        <w:rPr>
          <w:rFonts w:eastAsia="Calibri" w:cs="Times New Roman"/>
          <w:szCs w:val="24"/>
        </w:rPr>
        <w:t>. Cape Town, Parliament of the Republic of South Africa.</w:t>
      </w:r>
    </w:p>
    <w:p w14:paraId="41653205" w14:textId="09EEECD1" w:rsidR="00400152" w:rsidRPr="00400152" w:rsidRDefault="00040184" w:rsidP="0062246E">
      <w:pPr>
        <w:rPr>
          <w:szCs w:val="24"/>
        </w:rPr>
      </w:pPr>
      <w:r>
        <w:rPr>
          <w:szCs w:val="24"/>
        </w:rPr>
        <w:t xml:space="preserve">Ramaphosa, </w:t>
      </w:r>
      <w:r w:rsidR="00400152" w:rsidRPr="00400152">
        <w:rPr>
          <w:szCs w:val="24"/>
        </w:rPr>
        <w:t>M.</w:t>
      </w:r>
      <w:r>
        <w:rPr>
          <w:szCs w:val="24"/>
        </w:rPr>
        <w:t>C.</w:t>
      </w:r>
      <w:r w:rsidR="00400152" w:rsidRPr="00400152">
        <w:rPr>
          <w:szCs w:val="24"/>
        </w:rPr>
        <w:t xml:space="preserve"> (2018)</w:t>
      </w:r>
      <w:r w:rsidR="00BA7020">
        <w:rPr>
          <w:szCs w:val="24"/>
        </w:rPr>
        <w:t>.</w:t>
      </w:r>
      <w:r w:rsidR="00400152" w:rsidRPr="00400152">
        <w:rPr>
          <w:szCs w:val="24"/>
        </w:rPr>
        <w:t xml:space="preserve"> </w:t>
      </w:r>
      <w:r w:rsidR="00400152" w:rsidRPr="00040184">
        <w:rPr>
          <w:i/>
          <w:szCs w:val="24"/>
        </w:rPr>
        <w:t xml:space="preserve">State of the Nation Address by His Excellency </w:t>
      </w:r>
      <w:r w:rsidRPr="00040184">
        <w:rPr>
          <w:i/>
          <w:szCs w:val="24"/>
        </w:rPr>
        <w:t xml:space="preserve">Matamela </w:t>
      </w:r>
      <w:r w:rsidR="00400152" w:rsidRPr="00040184">
        <w:rPr>
          <w:i/>
          <w:szCs w:val="24"/>
        </w:rPr>
        <w:t>Cyril Ramaphosa, President of the Republic of South Africa in the Joint Sitting of Parliament</w:t>
      </w:r>
      <w:r w:rsidR="00400152" w:rsidRPr="00400152">
        <w:rPr>
          <w:szCs w:val="24"/>
        </w:rPr>
        <w:t xml:space="preserve">. Cape Town, 16 February 2018.  </w:t>
      </w:r>
    </w:p>
    <w:p w14:paraId="623CAEE6" w14:textId="59737E8E" w:rsidR="00400152" w:rsidRPr="00400152" w:rsidRDefault="00400152" w:rsidP="0062246E">
      <w:pPr>
        <w:rPr>
          <w:szCs w:val="24"/>
        </w:rPr>
      </w:pPr>
      <w:r w:rsidRPr="00400152">
        <w:rPr>
          <w:szCs w:val="24"/>
        </w:rPr>
        <w:t xml:space="preserve">Southern African Development Community (2015). </w:t>
      </w:r>
      <w:r w:rsidRPr="00040184">
        <w:rPr>
          <w:i/>
          <w:szCs w:val="24"/>
        </w:rPr>
        <w:t xml:space="preserve">SADC Industrialization Strategy and Roadmap 2015 </w:t>
      </w:r>
      <w:r w:rsidR="00040184" w:rsidRPr="00040184">
        <w:rPr>
          <w:i/>
          <w:szCs w:val="24"/>
        </w:rPr>
        <w:t>–</w:t>
      </w:r>
      <w:r w:rsidRPr="00040184">
        <w:rPr>
          <w:i/>
          <w:szCs w:val="24"/>
        </w:rPr>
        <w:t xml:space="preserve"> 2063</w:t>
      </w:r>
      <w:r w:rsidR="00040184">
        <w:rPr>
          <w:szCs w:val="24"/>
        </w:rPr>
        <w:t>.</w:t>
      </w:r>
      <w:r w:rsidRPr="00400152">
        <w:rPr>
          <w:szCs w:val="24"/>
        </w:rPr>
        <w:t xml:space="preserve">  </w:t>
      </w:r>
    </w:p>
    <w:p w14:paraId="4D0E9987" w14:textId="57D9D04D" w:rsidR="00400152" w:rsidRPr="00400152" w:rsidRDefault="00400152" w:rsidP="0062246E">
      <w:pPr>
        <w:rPr>
          <w:rFonts w:cs="Times New Roman"/>
          <w:szCs w:val="24"/>
        </w:rPr>
      </w:pPr>
      <w:r w:rsidRPr="00400152">
        <w:rPr>
          <w:rFonts w:eastAsia="Calibri" w:cs="Times New Roman"/>
          <w:szCs w:val="24"/>
        </w:rPr>
        <w:t>South African National Accreditation System (2018a)</w:t>
      </w:r>
      <w:r w:rsidR="00BA7020">
        <w:rPr>
          <w:rFonts w:eastAsia="Calibri" w:cs="Times New Roman"/>
          <w:szCs w:val="24"/>
        </w:rPr>
        <w:t>.</w:t>
      </w:r>
      <w:r w:rsidRPr="00400152">
        <w:rPr>
          <w:rFonts w:eastAsia="Calibri" w:cs="Times New Roman"/>
          <w:szCs w:val="24"/>
        </w:rPr>
        <w:t xml:space="preserve"> </w:t>
      </w:r>
      <w:r w:rsidRPr="00400152">
        <w:rPr>
          <w:rFonts w:cs="Times New Roman"/>
          <w:i/>
          <w:szCs w:val="24"/>
        </w:rPr>
        <w:t>Annual Performance Plan 2018/19-2020/21</w:t>
      </w:r>
      <w:r w:rsidRPr="00400152">
        <w:rPr>
          <w:rFonts w:cs="Times New Roman"/>
          <w:szCs w:val="24"/>
        </w:rPr>
        <w:t>.</w:t>
      </w:r>
    </w:p>
    <w:p w14:paraId="4424A011" w14:textId="60E93889" w:rsidR="00400152" w:rsidRPr="00400152" w:rsidRDefault="00400152" w:rsidP="0062246E">
      <w:pPr>
        <w:rPr>
          <w:rFonts w:cs="Times New Roman"/>
          <w:szCs w:val="24"/>
        </w:rPr>
      </w:pPr>
      <w:r w:rsidRPr="00400152">
        <w:rPr>
          <w:rFonts w:eastAsia="Calibri" w:cs="Times New Roman"/>
          <w:szCs w:val="24"/>
        </w:rPr>
        <w:t>South African National Accreditation System (2018b)</w:t>
      </w:r>
      <w:r w:rsidR="00BA7020">
        <w:rPr>
          <w:rFonts w:eastAsia="Calibri" w:cs="Times New Roman"/>
          <w:szCs w:val="24"/>
        </w:rPr>
        <w:t>.</w:t>
      </w:r>
      <w:r w:rsidRPr="00400152">
        <w:rPr>
          <w:rFonts w:eastAsia="Calibri" w:cs="Times New Roman"/>
          <w:szCs w:val="24"/>
        </w:rPr>
        <w:t xml:space="preserve"> </w:t>
      </w:r>
      <w:r w:rsidRPr="00400152">
        <w:rPr>
          <w:rFonts w:cs="Times New Roman"/>
          <w:i/>
          <w:szCs w:val="24"/>
        </w:rPr>
        <w:t>Annual Performance Plan 2018/19-2020/21</w:t>
      </w:r>
      <w:r w:rsidRPr="00400152">
        <w:rPr>
          <w:rFonts w:cs="Times New Roman"/>
          <w:szCs w:val="24"/>
        </w:rPr>
        <w:t>. Presentation to the Portfolio Committee on Trade and Industry at Parliament, Cape Town. 27 March.</w:t>
      </w:r>
    </w:p>
    <w:p w14:paraId="4C1D85B7" w14:textId="7E3970DE" w:rsidR="0001570D" w:rsidRPr="00400152" w:rsidRDefault="00400152" w:rsidP="0062246E">
      <w:pPr>
        <w:rPr>
          <w:szCs w:val="24"/>
        </w:rPr>
      </w:pPr>
      <w:r w:rsidRPr="00400152">
        <w:rPr>
          <w:szCs w:val="24"/>
        </w:rPr>
        <w:t>United Nations Development Programme (n.d)</w:t>
      </w:r>
      <w:r w:rsidR="00BA7020">
        <w:rPr>
          <w:szCs w:val="24"/>
        </w:rPr>
        <w:t>.</w:t>
      </w:r>
      <w:r w:rsidRPr="00400152">
        <w:rPr>
          <w:szCs w:val="24"/>
        </w:rPr>
        <w:t xml:space="preserve"> </w:t>
      </w:r>
      <w:r w:rsidRPr="00040184">
        <w:rPr>
          <w:i/>
          <w:szCs w:val="24"/>
        </w:rPr>
        <w:t>Sustainable Development Goals</w:t>
      </w:r>
      <w:r w:rsidRPr="00400152">
        <w:rPr>
          <w:szCs w:val="24"/>
        </w:rPr>
        <w:t xml:space="preserve">. Internet. Available from &lt;http://www.za.undp.org/&gt;. Retrieved: 22 February 2018. </w:t>
      </w:r>
    </w:p>
    <w:sectPr w:rsidR="0001570D" w:rsidRPr="00400152" w:rsidSect="00D44A5B">
      <w:footerReference w:type="default" r:id="rId11"/>
      <w:pgSz w:w="11906" w:h="16838"/>
      <w:pgMar w:top="990" w:right="1440" w:bottom="8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3F817" w14:textId="77777777" w:rsidR="00EA4D80" w:rsidRDefault="00EA4D80" w:rsidP="00B01B42">
      <w:pPr>
        <w:spacing w:line="240" w:lineRule="auto"/>
      </w:pPr>
      <w:r>
        <w:separator/>
      </w:r>
    </w:p>
  </w:endnote>
  <w:endnote w:type="continuationSeparator" w:id="0">
    <w:p w14:paraId="30E14CB4" w14:textId="77777777" w:rsidR="00EA4D80" w:rsidRDefault="00EA4D80" w:rsidP="00B01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974812"/>
      <w:docPartObj>
        <w:docPartGallery w:val="Page Numbers (Bottom of Page)"/>
        <w:docPartUnique/>
      </w:docPartObj>
    </w:sdtPr>
    <w:sdtEndPr>
      <w:rPr>
        <w:rFonts w:cs="Times New Roman"/>
        <w:noProof/>
      </w:rPr>
    </w:sdtEndPr>
    <w:sdtContent>
      <w:p w14:paraId="08F7CF29" w14:textId="03F3A707" w:rsidR="00E940ED" w:rsidRPr="008671BC" w:rsidRDefault="00E940ED">
        <w:pPr>
          <w:pStyle w:val="Footer"/>
          <w:jc w:val="right"/>
          <w:rPr>
            <w:rFonts w:cs="Times New Roman"/>
          </w:rPr>
        </w:pPr>
        <w:r w:rsidRPr="008671BC">
          <w:rPr>
            <w:rFonts w:cs="Times New Roman"/>
          </w:rPr>
          <w:fldChar w:fldCharType="begin"/>
        </w:r>
        <w:r w:rsidRPr="008671BC">
          <w:rPr>
            <w:rFonts w:cs="Times New Roman"/>
          </w:rPr>
          <w:instrText xml:space="preserve"> PAGE   \* MERGEFORMAT </w:instrText>
        </w:r>
        <w:r w:rsidRPr="008671BC">
          <w:rPr>
            <w:rFonts w:cs="Times New Roman"/>
          </w:rPr>
          <w:fldChar w:fldCharType="separate"/>
        </w:r>
        <w:r w:rsidR="00FA35FF">
          <w:rPr>
            <w:rFonts w:cs="Times New Roman"/>
            <w:noProof/>
          </w:rPr>
          <w:t>1</w:t>
        </w:r>
        <w:r w:rsidRPr="008671BC">
          <w:rPr>
            <w:rFonts w:cs="Times New Roman"/>
            <w:noProof/>
          </w:rPr>
          <w:fldChar w:fldCharType="end"/>
        </w:r>
      </w:p>
    </w:sdtContent>
  </w:sdt>
  <w:p w14:paraId="25D30334" w14:textId="77777777" w:rsidR="00E940ED" w:rsidRDefault="00E94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1B6DD" w14:textId="77777777" w:rsidR="00EA4D80" w:rsidRDefault="00EA4D80" w:rsidP="00B01B42">
      <w:pPr>
        <w:spacing w:line="240" w:lineRule="auto"/>
      </w:pPr>
      <w:r>
        <w:separator/>
      </w:r>
    </w:p>
  </w:footnote>
  <w:footnote w:type="continuationSeparator" w:id="0">
    <w:p w14:paraId="422A69A3" w14:textId="77777777" w:rsidR="00EA4D80" w:rsidRDefault="00EA4D80" w:rsidP="00B01B42">
      <w:pPr>
        <w:spacing w:line="240" w:lineRule="auto"/>
      </w:pPr>
      <w:r>
        <w:continuationSeparator/>
      </w:r>
    </w:p>
  </w:footnote>
  <w:footnote w:id="1">
    <w:p w14:paraId="5FFD865A" w14:textId="46E87C76" w:rsidR="00E940ED" w:rsidRPr="00DC3D71" w:rsidRDefault="00E940ED" w:rsidP="00A76DF9">
      <w:pPr>
        <w:pStyle w:val="FootnoteText"/>
        <w:spacing w:line="240" w:lineRule="exact"/>
        <w:rPr>
          <w:rFonts w:cs="Times New Roman"/>
          <w:sz w:val="18"/>
          <w:szCs w:val="18"/>
        </w:rPr>
      </w:pPr>
      <w:r w:rsidRPr="00DC3D71">
        <w:rPr>
          <w:rStyle w:val="FootnoteReference"/>
          <w:rFonts w:cs="Times New Roman"/>
          <w:szCs w:val="18"/>
        </w:rPr>
        <w:footnoteRef/>
      </w:r>
      <w:r>
        <w:rPr>
          <w:rFonts w:cs="Times New Roman"/>
          <w:szCs w:val="18"/>
        </w:rPr>
        <w:t xml:space="preserve"> Department of Trade and Industry (2018</w:t>
      </w:r>
      <w:r w:rsidRPr="00DC3D71">
        <w:rPr>
          <w:rFonts w:cs="Times New Roman"/>
          <w:szCs w:val="18"/>
        </w:rPr>
        <w:t>a)</w:t>
      </w:r>
    </w:p>
  </w:footnote>
  <w:footnote w:id="2">
    <w:p w14:paraId="1C181D0A" w14:textId="77777777" w:rsidR="00E940ED" w:rsidRPr="00DC3D71" w:rsidRDefault="00E940ED" w:rsidP="00966289">
      <w:pPr>
        <w:pStyle w:val="FootnoteText"/>
        <w:rPr>
          <w:rFonts w:cs="Times New Roman"/>
        </w:rPr>
      </w:pPr>
      <w:r w:rsidRPr="00DC3D71">
        <w:rPr>
          <w:rStyle w:val="FootnoteReference"/>
          <w:rFonts w:cs="Times New Roman"/>
        </w:rPr>
        <w:footnoteRef/>
      </w:r>
      <w:r w:rsidRPr="00DC3D71">
        <w:rPr>
          <w:rFonts w:cs="Times New Roman"/>
        </w:rPr>
        <w:t xml:space="preserve"> Depart</w:t>
      </w:r>
      <w:r>
        <w:rPr>
          <w:rFonts w:cs="Times New Roman"/>
        </w:rPr>
        <w:t>ment of Trade and Industry (2018a</w:t>
      </w:r>
      <w:r w:rsidRPr="00DC3D71">
        <w:rPr>
          <w:rFonts w:cs="Times New Roman"/>
        </w:rPr>
        <w:t>)</w:t>
      </w:r>
    </w:p>
  </w:footnote>
  <w:footnote w:id="3">
    <w:p w14:paraId="641EC326" w14:textId="77777777" w:rsidR="00E940ED" w:rsidRPr="0079637C" w:rsidRDefault="00E940ED" w:rsidP="00F04B97">
      <w:pPr>
        <w:pStyle w:val="FootnoteText"/>
        <w:rPr>
          <w:rFonts w:cs="Times New Roman"/>
        </w:rPr>
      </w:pPr>
      <w:r w:rsidRPr="0079637C">
        <w:rPr>
          <w:rStyle w:val="FootnoteReference"/>
          <w:rFonts w:cs="Times New Roman"/>
        </w:rPr>
        <w:footnoteRef/>
      </w:r>
      <w:r w:rsidRPr="0079637C">
        <w:rPr>
          <w:rFonts w:cs="Times New Roman"/>
        </w:rPr>
        <w:t xml:space="preserve"> African Union Commission (2015)</w:t>
      </w:r>
    </w:p>
  </w:footnote>
  <w:footnote w:id="4">
    <w:p w14:paraId="0B3183B1" w14:textId="294F4548" w:rsidR="00E940ED" w:rsidRPr="007F0458" w:rsidRDefault="00E940ED" w:rsidP="00F04B97">
      <w:pPr>
        <w:pStyle w:val="FootnoteText"/>
        <w:rPr>
          <w:rFonts w:ascii="Arial" w:hAnsi="Arial" w:cs="Arial"/>
        </w:rPr>
      </w:pPr>
      <w:r w:rsidRPr="0079637C">
        <w:rPr>
          <w:rStyle w:val="FootnoteReference"/>
          <w:rFonts w:cs="Times New Roman"/>
        </w:rPr>
        <w:footnoteRef/>
      </w:r>
      <w:r w:rsidRPr="0079637C">
        <w:rPr>
          <w:rFonts w:cs="Times New Roman"/>
        </w:rPr>
        <w:t xml:space="preserve"> Department of Trade and Industry (2017)</w:t>
      </w:r>
    </w:p>
  </w:footnote>
  <w:footnote w:id="5">
    <w:p w14:paraId="0595CC96" w14:textId="77777777" w:rsidR="00E940ED" w:rsidRPr="00AC358D" w:rsidRDefault="00E940ED" w:rsidP="00F04B97">
      <w:pPr>
        <w:pStyle w:val="FootnoteText"/>
        <w:rPr>
          <w:rFonts w:cs="Times New Roman"/>
        </w:rPr>
      </w:pPr>
      <w:r w:rsidRPr="00AC358D">
        <w:rPr>
          <w:rStyle w:val="FootnoteReference"/>
          <w:rFonts w:cs="Times New Roman"/>
        </w:rPr>
        <w:footnoteRef/>
      </w:r>
      <w:r w:rsidRPr="00AC358D">
        <w:rPr>
          <w:rFonts w:cs="Times New Roman"/>
        </w:rPr>
        <w:t xml:space="preserve"> Southern African Development Community (n.d) </w:t>
      </w:r>
    </w:p>
  </w:footnote>
  <w:footnote w:id="6">
    <w:p w14:paraId="5ED63B35" w14:textId="77777777" w:rsidR="00E940ED" w:rsidRPr="00AC358D" w:rsidRDefault="00E940ED" w:rsidP="00F04B97">
      <w:pPr>
        <w:pStyle w:val="FootnoteText"/>
        <w:rPr>
          <w:rFonts w:cs="Times New Roman"/>
        </w:rPr>
      </w:pPr>
      <w:r w:rsidRPr="00AC358D">
        <w:rPr>
          <w:rStyle w:val="FootnoteReference"/>
          <w:rFonts w:cs="Times New Roman"/>
        </w:rPr>
        <w:footnoteRef/>
      </w:r>
      <w:r w:rsidRPr="00AC358D">
        <w:rPr>
          <w:rFonts w:cs="Times New Roman"/>
        </w:rPr>
        <w:t xml:space="preserve"> Department of Trade and Industry (2017) </w:t>
      </w:r>
    </w:p>
  </w:footnote>
  <w:footnote w:id="7">
    <w:p w14:paraId="5BAA3A3E" w14:textId="570756D6" w:rsidR="00E940ED" w:rsidRPr="008A76E1" w:rsidRDefault="00E940ED" w:rsidP="00F04B97">
      <w:pPr>
        <w:pStyle w:val="FootnoteText"/>
        <w:rPr>
          <w:rFonts w:ascii="Arial" w:hAnsi="Arial" w:cs="Arial"/>
          <w:sz w:val="18"/>
          <w:szCs w:val="18"/>
        </w:rPr>
      </w:pPr>
      <w:r w:rsidRPr="00AC358D">
        <w:rPr>
          <w:rStyle w:val="FootnoteReference"/>
          <w:rFonts w:cs="Times New Roman"/>
        </w:rPr>
        <w:footnoteRef/>
      </w:r>
      <w:r w:rsidRPr="00AC358D">
        <w:rPr>
          <w:rFonts w:cs="Times New Roman"/>
        </w:rPr>
        <w:t xml:space="preserve"> National Treasury (2018</w:t>
      </w:r>
      <w:r>
        <w:rPr>
          <w:rFonts w:cs="Times New Roman"/>
        </w:rPr>
        <w:t>a</w:t>
      </w:r>
      <w:r w:rsidRPr="00AC358D">
        <w:rPr>
          <w:rFonts w:cs="Times New Roman"/>
        </w:rPr>
        <w:t xml:space="preserve">) </w:t>
      </w:r>
    </w:p>
  </w:footnote>
  <w:footnote w:id="8">
    <w:p w14:paraId="2C893C22" w14:textId="6ABDE19D" w:rsidR="00E940ED" w:rsidRPr="00520D28" w:rsidRDefault="00E940ED" w:rsidP="0079637C">
      <w:pPr>
        <w:pStyle w:val="FootnoteText"/>
        <w:spacing w:line="276" w:lineRule="auto"/>
        <w:rPr>
          <w:rFonts w:cs="Times New Roman"/>
        </w:rPr>
      </w:pPr>
      <w:r w:rsidRPr="00520D28">
        <w:rPr>
          <w:rStyle w:val="FootnoteReference"/>
          <w:rFonts w:cs="Times New Roman"/>
          <w:szCs w:val="18"/>
        </w:rPr>
        <w:footnoteRef/>
      </w:r>
      <w:r w:rsidRPr="00520D28">
        <w:rPr>
          <w:rFonts w:cs="Times New Roman"/>
          <w:szCs w:val="18"/>
        </w:rPr>
        <w:t xml:space="preserve"> Inflation estimates are 5.5%, 5.3% and 5.5% respectively for the next three years from 2018/19 to 2020/21</w:t>
      </w:r>
      <w:r>
        <w:rPr>
          <w:rFonts w:cs="Times New Roman"/>
          <w:szCs w:val="18"/>
        </w:rPr>
        <w:t xml:space="preserve"> (National Treasury 2018b)</w:t>
      </w:r>
      <w:r w:rsidRPr="00520D28">
        <w:rPr>
          <w:rFonts w:cs="Times New Roman"/>
          <w:szCs w:val="18"/>
        </w:rPr>
        <w:t>.</w:t>
      </w:r>
    </w:p>
  </w:footnote>
  <w:footnote w:id="9">
    <w:p w14:paraId="27D4B580" w14:textId="77777777" w:rsidR="00E940ED" w:rsidRPr="008671BC" w:rsidRDefault="00E940ED" w:rsidP="00520D28">
      <w:pPr>
        <w:pStyle w:val="FootnoteText"/>
        <w:rPr>
          <w:rFonts w:cs="Times New Roman"/>
        </w:rPr>
      </w:pPr>
      <w:r w:rsidRPr="008671BC">
        <w:rPr>
          <w:rStyle w:val="FootnoteReference"/>
          <w:rFonts w:cs="Times New Roman"/>
        </w:rPr>
        <w:footnoteRef/>
      </w:r>
      <w:r>
        <w:rPr>
          <w:rFonts w:cs="Times New Roman"/>
        </w:rPr>
        <w:t xml:space="preserve"> National Treasury (2018:692</w:t>
      </w:r>
      <w:r w:rsidRPr="008671BC">
        <w:rPr>
          <w:rFonts w:cs="Times New Roman"/>
        </w:rPr>
        <w:t>)</w:t>
      </w:r>
    </w:p>
  </w:footnote>
  <w:footnote w:id="10">
    <w:p w14:paraId="2643BE7A" w14:textId="77777777" w:rsidR="00E940ED" w:rsidRPr="00DC3D71" w:rsidRDefault="00E940ED" w:rsidP="002F49E7">
      <w:pPr>
        <w:pStyle w:val="FootnoteText"/>
        <w:rPr>
          <w:rFonts w:cs="Times New Roman"/>
        </w:rPr>
      </w:pPr>
      <w:r w:rsidRPr="00DC3D71">
        <w:rPr>
          <w:rStyle w:val="FootnoteReference"/>
          <w:rFonts w:cs="Times New Roman"/>
        </w:rPr>
        <w:footnoteRef/>
      </w:r>
      <w:r>
        <w:rPr>
          <w:rFonts w:cs="Times New Roman"/>
        </w:rPr>
        <w:t xml:space="preserve"> National Treasury (2018: 708</w:t>
      </w:r>
      <w:r w:rsidRPr="00DC3D71">
        <w:rPr>
          <w:rFonts w:cs="Times New Roman"/>
        </w:rPr>
        <w:t>)</w:t>
      </w:r>
    </w:p>
  </w:footnote>
  <w:footnote w:id="11">
    <w:p w14:paraId="6C7B70E1" w14:textId="77777777" w:rsidR="00E940ED" w:rsidRPr="002145D8" w:rsidRDefault="00E940ED" w:rsidP="009E0093">
      <w:pPr>
        <w:pStyle w:val="FootnoteText"/>
        <w:spacing w:line="276" w:lineRule="auto"/>
        <w:rPr>
          <w:rFonts w:cs="Times New Roman"/>
          <w:sz w:val="18"/>
          <w:szCs w:val="18"/>
        </w:rPr>
      </w:pPr>
      <w:r w:rsidRPr="002145D8">
        <w:rPr>
          <w:rStyle w:val="FootnoteReference"/>
          <w:rFonts w:cs="Times New Roman"/>
          <w:szCs w:val="18"/>
        </w:rPr>
        <w:footnoteRef/>
      </w:r>
      <w:r w:rsidRPr="002145D8">
        <w:rPr>
          <w:rFonts w:cs="Times New Roman"/>
          <w:szCs w:val="18"/>
        </w:rPr>
        <w:t xml:space="preserve"> Department of Trade and Industry (2017) </w:t>
      </w:r>
    </w:p>
  </w:footnote>
  <w:footnote w:id="12">
    <w:p w14:paraId="5B5C50E3" w14:textId="503B7750" w:rsidR="00E940ED" w:rsidRPr="00525E59" w:rsidRDefault="00E940ED" w:rsidP="009E0093">
      <w:pPr>
        <w:pStyle w:val="FootnoteText"/>
        <w:rPr>
          <w:rFonts w:cs="Times New Roman"/>
        </w:rPr>
      </w:pPr>
      <w:r w:rsidRPr="00525E59">
        <w:rPr>
          <w:rStyle w:val="FootnoteReference"/>
          <w:rFonts w:cs="Times New Roman"/>
        </w:rPr>
        <w:footnoteRef/>
      </w:r>
      <w:r w:rsidRPr="00525E59">
        <w:rPr>
          <w:rFonts w:cs="Times New Roman"/>
        </w:rPr>
        <w:t xml:space="preserve"> M. Ramaphosa (2018)</w:t>
      </w:r>
    </w:p>
  </w:footnote>
  <w:footnote w:id="13">
    <w:p w14:paraId="3347B4E6" w14:textId="77777777" w:rsidR="00E940ED" w:rsidRPr="000977B0" w:rsidRDefault="00E940ED" w:rsidP="001E4218">
      <w:pPr>
        <w:pStyle w:val="BalloonText"/>
        <w:rPr>
          <w:rFonts w:ascii="Times New Roman" w:hAnsi="Times New Roman" w:cs="Times New Roman"/>
          <w:sz w:val="20"/>
          <w:szCs w:val="20"/>
        </w:rPr>
      </w:pPr>
      <w:r w:rsidRPr="000977B0">
        <w:rPr>
          <w:rStyle w:val="FootnoteReference"/>
          <w:rFonts w:ascii="Times New Roman" w:hAnsi="Times New Roman" w:cs="Times New Roman"/>
          <w:sz w:val="20"/>
          <w:szCs w:val="20"/>
        </w:rPr>
        <w:footnoteRef/>
      </w:r>
      <w:r w:rsidRPr="000977B0">
        <w:rPr>
          <w:rFonts w:ascii="Times New Roman" w:hAnsi="Times New Roman" w:cs="Times New Roman"/>
          <w:sz w:val="20"/>
          <w:szCs w:val="20"/>
        </w:rPr>
        <w:t xml:space="preserve"> B-BBEE Amendment Act (No. 46 of 2013)</w:t>
      </w:r>
    </w:p>
  </w:footnote>
  <w:footnote w:id="14">
    <w:p w14:paraId="60F3B338" w14:textId="77777777" w:rsidR="00E940ED" w:rsidRPr="00406BFC" w:rsidRDefault="00E940ED" w:rsidP="008178FF">
      <w:pPr>
        <w:pStyle w:val="FootnoteText"/>
        <w:rPr>
          <w:rFonts w:ascii="Arial" w:hAnsi="Arial" w:cs="Arial"/>
        </w:rPr>
      </w:pPr>
      <w:r w:rsidRPr="008671BC">
        <w:rPr>
          <w:rStyle w:val="FootnoteReference"/>
          <w:rFonts w:cs="Times New Roman"/>
        </w:rPr>
        <w:footnoteRef/>
      </w:r>
      <w:r w:rsidRPr="008671BC">
        <w:rPr>
          <w:rFonts w:cs="Times New Roman"/>
        </w:rPr>
        <w:t xml:space="preserve"> B-BBEE Commission (2017a</w:t>
      </w:r>
      <w:r>
        <w:rPr>
          <w:rFonts w:cs="Times New Roman"/>
        </w:rPr>
        <w:t>: 18, 20, 22, 24 and 25</w:t>
      </w:r>
      <w:r w:rsidRPr="008671BC">
        <w:rPr>
          <w:rFonts w:cs="Times New Roman"/>
        </w:rPr>
        <w:t>)</w:t>
      </w:r>
    </w:p>
  </w:footnote>
  <w:footnote w:id="15">
    <w:p w14:paraId="002F591E" w14:textId="77777777" w:rsidR="00E940ED" w:rsidRPr="0062246E" w:rsidRDefault="00E940ED" w:rsidP="007A4626">
      <w:pPr>
        <w:pStyle w:val="FootnoteText"/>
        <w:rPr>
          <w:rFonts w:cs="Times New Roman"/>
        </w:rPr>
      </w:pPr>
      <w:r w:rsidRPr="0062246E">
        <w:rPr>
          <w:rStyle w:val="FootnoteReference"/>
          <w:rFonts w:cs="Times New Roman"/>
        </w:rPr>
        <w:footnoteRef/>
      </w:r>
      <w:r w:rsidRPr="0062246E">
        <w:rPr>
          <w:rFonts w:cs="Times New Roman"/>
        </w:rPr>
        <w:t xml:space="preserve"> Performance Indicators (PIs)</w:t>
      </w:r>
    </w:p>
  </w:footnote>
  <w:footnote w:id="16">
    <w:p w14:paraId="337A8B59" w14:textId="77777777" w:rsidR="00E940ED" w:rsidRPr="00F81F08" w:rsidRDefault="00E940ED" w:rsidP="00911B2F">
      <w:pPr>
        <w:pStyle w:val="FootnoteText"/>
        <w:rPr>
          <w:rFonts w:cs="Times New Roman"/>
        </w:rPr>
      </w:pPr>
      <w:r w:rsidRPr="00F81F08">
        <w:rPr>
          <w:rStyle w:val="FootnoteReference"/>
          <w:rFonts w:cs="Times New Roman"/>
        </w:rPr>
        <w:footnoteRef/>
      </w:r>
      <w:r w:rsidRPr="00F81F08">
        <w:rPr>
          <w:rFonts w:cs="Times New Roman"/>
        </w:rPr>
        <w:t xml:space="preserve"> National Treasury (2018</w:t>
      </w:r>
      <w:r>
        <w:rPr>
          <w:rFonts w:cs="Times New Roman"/>
        </w:rPr>
        <w:t>: 702</w:t>
      </w:r>
      <w:r w:rsidRPr="00F81F08">
        <w:rPr>
          <w:rFonts w:cs="Times New Roman"/>
        </w:rPr>
        <w:t>)</w:t>
      </w:r>
    </w:p>
  </w:footnote>
  <w:footnote w:id="17">
    <w:p w14:paraId="07472D96" w14:textId="77777777" w:rsidR="00E940ED" w:rsidRPr="00746ED3" w:rsidRDefault="00E940ED" w:rsidP="00040184">
      <w:pPr>
        <w:pStyle w:val="FootnoteText"/>
        <w:rPr>
          <w:rFonts w:ascii="Arial" w:hAnsi="Arial" w:cs="Arial"/>
          <w:sz w:val="18"/>
        </w:rPr>
      </w:pPr>
      <w:r w:rsidRPr="0057797D">
        <w:rPr>
          <w:rStyle w:val="FootnoteReference"/>
          <w:rFonts w:eastAsia="Calibri" w:cs="Times New Roman"/>
        </w:rPr>
        <w:footnoteRef/>
      </w:r>
      <w:r w:rsidRPr="0057797D">
        <w:rPr>
          <w:rFonts w:cs="Times New Roman"/>
        </w:rPr>
        <w:t xml:space="preserve"> </w:t>
      </w:r>
      <w:r>
        <w:rPr>
          <w:rFonts w:cs="Times New Roman"/>
        </w:rPr>
        <w:t>Ibid</w:t>
      </w:r>
    </w:p>
  </w:footnote>
  <w:footnote w:id="18">
    <w:p w14:paraId="50AC8D90" w14:textId="77777777" w:rsidR="00E940ED" w:rsidRPr="00746ED3" w:rsidRDefault="00E940ED" w:rsidP="00040184">
      <w:pPr>
        <w:pStyle w:val="FootnoteText"/>
        <w:rPr>
          <w:rFonts w:ascii="Arial" w:hAnsi="Arial" w:cs="Arial"/>
          <w:sz w:val="18"/>
        </w:rPr>
      </w:pPr>
      <w:r w:rsidRPr="0057797D">
        <w:rPr>
          <w:rStyle w:val="FootnoteReference"/>
          <w:rFonts w:eastAsia="Calibri" w:cs="Times New Roman"/>
        </w:rPr>
        <w:footnoteRef/>
      </w:r>
      <w:r w:rsidRPr="0057797D">
        <w:rPr>
          <w:rFonts w:cs="Times New Roman"/>
        </w:rPr>
        <w:t xml:space="preserve"> Portfolio Committee on Trade and Industry (2015</w:t>
      </w:r>
      <w:r>
        <w:rPr>
          <w:rFonts w:cs="Times New Roman"/>
        </w:rPr>
        <w:t xml:space="preserve"> and 2017</w:t>
      </w:r>
      <w:r w:rsidRPr="0057797D">
        <w:rPr>
          <w:rFonts w:cs="Times New Roman"/>
        </w:rPr>
        <w:t>)</w:t>
      </w:r>
    </w:p>
  </w:footnote>
  <w:footnote w:id="19">
    <w:p w14:paraId="5669628A" w14:textId="77777777" w:rsidR="00E940ED" w:rsidRDefault="00E940ED" w:rsidP="00911B2F">
      <w:pPr>
        <w:pStyle w:val="FootnoteText"/>
      </w:pPr>
      <w:r w:rsidRPr="00583AE5">
        <w:rPr>
          <w:rStyle w:val="FootnoteReference"/>
          <w:rFonts w:cs="Times New Roman"/>
        </w:rPr>
        <w:footnoteRef/>
      </w:r>
      <w:r w:rsidRPr="00583AE5">
        <w:rPr>
          <w:rFonts w:cs="Times New Roman"/>
        </w:rPr>
        <w:t xml:space="preserve"> Knowledge transfer involves delivering national and international accreditation courses, lead and technical assessor training and development courses for existing and new accreditation fields supporting IPAP.</w:t>
      </w:r>
    </w:p>
  </w:footnote>
  <w:footnote w:id="20">
    <w:p w14:paraId="23F63575" w14:textId="77777777" w:rsidR="00E940ED" w:rsidRPr="00A7097E" w:rsidRDefault="00E940ED" w:rsidP="00911B2F">
      <w:pPr>
        <w:pStyle w:val="FootnoteText"/>
        <w:rPr>
          <w:rFonts w:cs="Times New Roman"/>
        </w:rPr>
      </w:pPr>
      <w:r w:rsidRPr="00A7097E">
        <w:rPr>
          <w:rStyle w:val="FootnoteReference"/>
          <w:rFonts w:cs="Times New Roman"/>
        </w:rPr>
        <w:footnoteRef/>
      </w:r>
      <w:r w:rsidRPr="00A7097E">
        <w:rPr>
          <w:rFonts w:cs="Times New Roman"/>
        </w:rPr>
        <w:t xml:space="preserve"> SANAS (2018b)</w:t>
      </w:r>
    </w:p>
  </w:footnote>
  <w:footnote w:id="21">
    <w:p w14:paraId="376D7D81" w14:textId="77777777" w:rsidR="00E940ED" w:rsidRPr="00F81F08" w:rsidRDefault="00E940ED" w:rsidP="00911B2F">
      <w:pPr>
        <w:pStyle w:val="FootnoteText"/>
        <w:rPr>
          <w:rFonts w:cs="Times New Roman"/>
        </w:rPr>
      </w:pPr>
      <w:r w:rsidRPr="00F81F08">
        <w:rPr>
          <w:rStyle w:val="FootnoteReference"/>
          <w:rFonts w:cs="Times New Roman"/>
        </w:rPr>
        <w:footnoteRef/>
      </w:r>
      <w:r w:rsidRPr="00F81F08">
        <w:rPr>
          <w:rFonts w:cs="Times New Roman"/>
        </w:rPr>
        <w:t xml:space="preserve"> National Treasury (2018</w:t>
      </w:r>
      <w:r>
        <w:rPr>
          <w:rFonts w:cs="Times New Roman"/>
        </w:rPr>
        <w:t>: 702</w:t>
      </w:r>
      <w:r w:rsidRPr="00F81F08">
        <w:rPr>
          <w:rFonts w:cs="Times New Roman"/>
        </w:rPr>
        <w:t>)</w:t>
      </w:r>
    </w:p>
  </w:footnote>
  <w:footnote w:id="22">
    <w:p w14:paraId="7E7499F2" w14:textId="77777777" w:rsidR="00E940ED" w:rsidRPr="00A7097E" w:rsidRDefault="00E940ED" w:rsidP="00911B2F">
      <w:pPr>
        <w:pStyle w:val="FootnoteText"/>
        <w:rPr>
          <w:rFonts w:cs="Times New Roman"/>
        </w:rPr>
      </w:pPr>
      <w:r w:rsidRPr="00A7097E">
        <w:rPr>
          <w:rStyle w:val="FootnoteReference"/>
          <w:rFonts w:cs="Times New Roman"/>
        </w:rPr>
        <w:footnoteRef/>
      </w:r>
      <w:r w:rsidRPr="00A7097E">
        <w:rPr>
          <w:rFonts w:cs="Times New Roman"/>
        </w:rPr>
        <w:t xml:space="preserve"> SANAS (2018b)</w:t>
      </w:r>
    </w:p>
  </w:footnote>
  <w:footnote w:id="23">
    <w:p w14:paraId="5A42E22E" w14:textId="77777777" w:rsidR="00E940ED" w:rsidRPr="00A7097E" w:rsidRDefault="00E940ED" w:rsidP="000977B0">
      <w:pPr>
        <w:pStyle w:val="FootnoteText"/>
        <w:rPr>
          <w:rFonts w:cs="Times New Roman"/>
        </w:rPr>
      </w:pPr>
      <w:r w:rsidRPr="00A7097E">
        <w:rPr>
          <w:rStyle w:val="FootnoteReference"/>
          <w:rFonts w:cs="Times New Roman"/>
        </w:rPr>
        <w:footnoteRef/>
      </w:r>
      <w:r>
        <w:rPr>
          <w:rFonts w:cs="Times New Roman"/>
        </w:rPr>
        <w:t xml:space="preserve"> SANAS (2018a</w:t>
      </w:r>
      <w:r w:rsidRPr="00A7097E">
        <w:rPr>
          <w:rFonts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4C1"/>
    <w:multiLevelType w:val="multilevel"/>
    <w:tmpl w:val="FE3CDF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2616AA"/>
    <w:multiLevelType w:val="hybridMultilevel"/>
    <w:tmpl w:val="6DFCD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EA1F16"/>
    <w:multiLevelType w:val="hybridMultilevel"/>
    <w:tmpl w:val="9FBEB1A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09F66009"/>
    <w:multiLevelType w:val="hybridMultilevel"/>
    <w:tmpl w:val="5EA69B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53797F"/>
    <w:multiLevelType w:val="hybridMultilevel"/>
    <w:tmpl w:val="BE58C8BE"/>
    <w:lvl w:ilvl="0" w:tplc="2360A52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E72FAE"/>
    <w:multiLevelType w:val="hybridMultilevel"/>
    <w:tmpl w:val="D3E201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1FA5709"/>
    <w:multiLevelType w:val="hybridMultilevel"/>
    <w:tmpl w:val="54DE2F8A"/>
    <w:lvl w:ilvl="0" w:tplc="F00EDA84">
      <w:numFmt w:val="bullet"/>
      <w:lvlText w:val="•"/>
      <w:lvlJc w:val="left"/>
      <w:pPr>
        <w:ind w:left="360" w:hanging="360"/>
      </w:pPr>
      <w:rPr>
        <w:rFonts w:ascii="Times New Roman" w:eastAsiaTheme="minorHAnsi" w:hAnsi="Times New Roman"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73337DD"/>
    <w:multiLevelType w:val="multilevel"/>
    <w:tmpl w:val="9BC67818"/>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8">
    <w:nsid w:val="268751EF"/>
    <w:multiLevelType w:val="hybridMultilevel"/>
    <w:tmpl w:val="E3745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7E36A8"/>
    <w:multiLevelType w:val="hybridMultilevel"/>
    <w:tmpl w:val="FBF8E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83295"/>
    <w:multiLevelType w:val="hybridMultilevel"/>
    <w:tmpl w:val="94E0C9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BB16823"/>
    <w:multiLevelType w:val="hybridMultilevel"/>
    <w:tmpl w:val="890E5086"/>
    <w:lvl w:ilvl="0" w:tplc="F00EDA84">
      <w:numFmt w:val="bullet"/>
      <w:lvlText w:val="•"/>
      <w:lvlJc w:val="left"/>
      <w:pPr>
        <w:ind w:left="360" w:hanging="360"/>
      </w:pPr>
      <w:rPr>
        <w:rFonts w:ascii="Times New Roman" w:eastAsiaTheme="minorHAnsi" w:hAnsi="Times New Roman"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DCD5CE0"/>
    <w:multiLevelType w:val="hybridMultilevel"/>
    <w:tmpl w:val="6EAE93D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1D91147"/>
    <w:multiLevelType w:val="hybridMultilevel"/>
    <w:tmpl w:val="FE326586"/>
    <w:lvl w:ilvl="0" w:tplc="074C47AA">
      <w:start w:val="1"/>
      <w:numFmt w:val="decimal"/>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6576BE"/>
    <w:multiLevelType w:val="hybridMultilevel"/>
    <w:tmpl w:val="355219C6"/>
    <w:lvl w:ilvl="0" w:tplc="1C090001">
      <w:start w:val="1"/>
      <w:numFmt w:val="bullet"/>
      <w:lvlText w:val=""/>
      <w:lvlJc w:val="left"/>
      <w:pPr>
        <w:ind w:left="720" w:hanging="360"/>
      </w:pPr>
      <w:rPr>
        <w:rFonts w:ascii="Symbol" w:hAnsi="Symbo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54847D9"/>
    <w:multiLevelType w:val="hybridMultilevel"/>
    <w:tmpl w:val="79D2F9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62A2033"/>
    <w:multiLevelType w:val="hybridMultilevel"/>
    <w:tmpl w:val="091004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0AF4739"/>
    <w:multiLevelType w:val="hybridMultilevel"/>
    <w:tmpl w:val="662C1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28C491F"/>
    <w:multiLevelType w:val="multilevel"/>
    <w:tmpl w:val="5EFA0C5A"/>
    <w:lvl w:ilvl="0">
      <w:start w:val="1"/>
      <w:numFmt w:val="decimal"/>
      <w:lvlText w:val="%1."/>
      <w:lvlJc w:val="left"/>
      <w:pPr>
        <w:ind w:left="360" w:hanging="360"/>
      </w:pPr>
    </w:lvl>
    <w:lvl w:ilvl="1">
      <w:start w:val="1"/>
      <w:numFmt w:val="decimal"/>
      <w:lvlText w:val="%1.%2."/>
      <w:lvlJc w:val="left"/>
      <w:pPr>
        <w:ind w:left="9505" w:hanging="432"/>
      </w:pPr>
      <w:rPr>
        <w:rFonts w:ascii="Times New Roman" w:hAnsi="Times New Roman" w:cs="Times New Roman" w:hint="default"/>
        <w:b/>
      </w:rPr>
    </w:lvl>
    <w:lvl w:ilvl="2">
      <w:start w:val="1"/>
      <w:numFmt w:val="decimal"/>
      <w:lvlText w:val="%1.%2.%3."/>
      <w:lvlJc w:val="left"/>
      <w:pPr>
        <w:ind w:left="1224" w:hanging="504"/>
      </w:pPr>
      <w:rPr>
        <w:rFonts w:ascii="Times New Roman" w:hAnsi="Times New Roman" w:cs="Times New Roman" w:hint="default"/>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6BA7FB8"/>
    <w:multiLevelType w:val="hybridMultilevel"/>
    <w:tmpl w:val="FAF8C5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7A71C21"/>
    <w:multiLevelType w:val="multilevel"/>
    <w:tmpl w:val="C634748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48034E0C"/>
    <w:multiLevelType w:val="hybridMultilevel"/>
    <w:tmpl w:val="E9B6A988"/>
    <w:lvl w:ilvl="0" w:tplc="F00EDA84">
      <w:numFmt w:val="bullet"/>
      <w:lvlText w:val="•"/>
      <w:lvlJc w:val="left"/>
      <w:pPr>
        <w:ind w:left="363" w:hanging="360"/>
      </w:pPr>
      <w:rPr>
        <w:rFonts w:ascii="Times New Roman" w:eastAsiaTheme="minorHAnsi" w:hAnsi="Times New Roman" w:cs="Times New Roman" w:hint="default"/>
      </w:rPr>
    </w:lvl>
    <w:lvl w:ilvl="1" w:tplc="1C090003" w:tentative="1">
      <w:start w:val="1"/>
      <w:numFmt w:val="bullet"/>
      <w:lvlText w:val="o"/>
      <w:lvlJc w:val="left"/>
      <w:pPr>
        <w:ind w:left="1083" w:hanging="360"/>
      </w:pPr>
      <w:rPr>
        <w:rFonts w:ascii="Courier New" w:hAnsi="Courier New" w:cs="Courier New" w:hint="default"/>
      </w:rPr>
    </w:lvl>
    <w:lvl w:ilvl="2" w:tplc="1C090005" w:tentative="1">
      <w:start w:val="1"/>
      <w:numFmt w:val="bullet"/>
      <w:lvlText w:val=""/>
      <w:lvlJc w:val="left"/>
      <w:pPr>
        <w:ind w:left="1803" w:hanging="360"/>
      </w:pPr>
      <w:rPr>
        <w:rFonts w:ascii="Wingdings" w:hAnsi="Wingdings" w:hint="default"/>
      </w:rPr>
    </w:lvl>
    <w:lvl w:ilvl="3" w:tplc="1C090001" w:tentative="1">
      <w:start w:val="1"/>
      <w:numFmt w:val="bullet"/>
      <w:lvlText w:val=""/>
      <w:lvlJc w:val="left"/>
      <w:pPr>
        <w:ind w:left="2523" w:hanging="360"/>
      </w:pPr>
      <w:rPr>
        <w:rFonts w:ascii="Symbol" w:hAnsi="Symbol" w:hint="default"/>
      </w:rPr>
    </w:lvl>
    <w:lvl w:ilvl="4" w:tplc="1C090003" w:tentative="1">
      <w:start w:val="1"/>
      <w:numFmt w:val="bullet"/>
      <w:lvlText w:val="o"/>
      <w:lvlJc w:val="left"/>
      <w:pPr>
        <w:ind w:left="3243" w:hanging="360"/>
      </w:pPr>
      <w:rPr>
        <w:rFonts w:ascii="Courier New" w:hAnsi="Courier New" w:cs="Courier New" w:hint="default"/>
      </w:rPr>
    </w:lvl>
    <w:lvl w:ilvl="5" w:tplc="1C090005" w:tentative="1">
      <w:start w:val="1"/>
      <w:numFmt w:val="bullet"/>
      <w:lvlText w:val=""/>
      <w:lvlJc w:val="left"/>
      <w:pPr>
        <w:ind w:left="3963" w:hanging="360"/>
      </w:pPr>
      <w:rPr>
        <w:rFonts w:ascii="Wingdings" w:hAnsi="Wingdings" w:hint="default"/>
      </w:rPr>
    </w:lvl>
    <w:lvl w:ilvl="6" w:tplc="1C090001" w:tentative="1">
      <w:start w:val="1"/>
      <w:numFmt w:val="bullet"/>
      <w:lvlText w:val=""/>
      <w:lvlJc w:val="left"/>
      <w:pPr>
        <w:ind w:left="4683" w:hanging="360"/>
      </w:pPr>
      <w:rPr>
        <w:rFonts w:ascii="Symbol" w:hAnsi="Symbol" w:hint="default"/>
      </w:rPr>
    </w:lvl>
    <w:lvl w:ilvl="7" w:tplc="1C090003" w:tentative="1">
      <w:start w:val="1"/>
      <w:numFmt w:val="bullet"/>
      <w:lvlText w:val="o"/>
      <w:lvlJc w:val="left"/>
      <w:pPr>
        <w:ind w:left="5403" w:hanging="360"/>
      </w:pPr>
      <w:rPr>
        <w:rFonts w:ascii="Courier New" w:hAnsi="Courier New" w:cs="Courier New" w:hint="default"/>
      </w:rPr>
    </w:lvl>
    <w:lvl w:ilvl="8" w:tplc="1C090005" w:tentative="1">
      <w:start w:val="1"/>
      <w:numFmt w:val="bullet"/>
      <w:lvlText w:val=""/>
      <w:lvlJc w:val="left"/>
      <w:pPr>
        <w:ind w:left="6123" w:hanging="360"/>
      </w:pPr>
      <w:rPr>
        <w:rFonts w:ascii="Wingdings" w:hAnsi="Wingdings" w:hint="default"/>
      </w:rPr>
    </w:lvl>
  </w:abstractNum>
  <w:abstractNum w:abstractNumId="22">
    <w:nsid w:val="48DF59B1"/>
    <w:multiLevelType w:val="hybridMultilevel"/>
    <w:tmpl w:val="FEAA5C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6A5E11"/>
    <w:multiLevelType w:val="hybridMultilevel"/>
    <w:tmpl w:val="F600DE2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510449B8"/>
    <w:multiLevelType w:val="multilevel"/>
    <w:tmpl w:val="D0FE293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252C31"/>
    <w:multiLevelType w:val="hybridMultilevel"/>
    <w:tmpl w:val="ECA4D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32E607A"/>
    <w:multiLevelType w:val="hybridMultilevel"/>
    <w:tmpl w:val="FEAA5C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693C0C"/>
    <w:multiLevelType w:val="hybridMultilevel"/>
    <w:tmpl w:val="BA08578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56E6032C"/>
    <w:multiLevelType w:val="hybridMultilevel"/>
    <w:tmpl w:val="A9D84C9A"/>
    <w:lvl w:ilvl="0" w:tplc="4AEE20B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B784637"/>
    <w:multiLevelType w:val="hybridMultilevel"/>
    <w:tmpl w:val="D884F9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E104A09"/>
    <w:multiLevelType w:val="hybridMultilevel"/>
    <w:tmpl w:val="6FB00C74"/>
    <w:lvl w:ilvl="0" w:tplc="F00EDA84">
      <w:numFmt w:val="bullet"/>
      <w:lvlText w:val="•"/>
      <w:lvlJc w:val="left"/>
      <w:pPr>
        <w:ind w:left="360" w:hanging="360"/>
      </w:pPr>
      <w:rPr>
        <w:rFonts w:ascii="Times New Roman" w:eastAsiaTheme="minorHAnsi" w:hAnsi="Times New Roman"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5E7212F9"/>
    <w:multiLevelType w:val="hybridMultilevel"/>
    <w:tmpl w:val="1434766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5EC16638"/>
    <w:multiLevelType w:val="hybridMultilevel"/>
    <w:tmpl w:val="7BE802C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30864A6"/>
    <w:multiLevelType w:val="hybridMultilevel"/>
    <w:tmpl w:val="0F9ACC42"/>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69F6597C"/>
    <w:multiLevelType w:val="hybridMultilevel"/>
    <w:tmpl w:val="6F62787E"/>
    <w:lvl w:ilvl="0" w:tplc="1C090001">
      <w:start w:val="1"/>
      <w:numFmt w:val="bullet"/>
      <w:lvlText w:val=""/>
      <w:lvlJc w:val="left"/>
      <w:pPr>
        <w:tabs>
          <w:tab w:val="num" w:pos="360"/>
        </w:tabs>
        <w:ind w:left="360" w:hanging="360"/>
      </w:pPr>
      <w:rPr>
        <w:rFonts w:ascii="Symbol" w:hAnsi="Symbol" w:hint="default"/>
      </w:rPr>
    </w:lvl>
    <w:lvl w:ilvl="1" w:tplc="9D6E025A" w:tentative="1">
      <w:start w:val="1"/>
      <w:numFmt w:val="lowerLetter"/>
      <w:lvlText w:val="%2)"/>
      <w:lvlJc w:val="left"/>
      <w:pPr>
        <w:tabs>
          <w:tab w:val="num" w:pos="1080"/>
        </w:tabs>
        <w:ind w:left="1080" w:hanging="360"/>
      </w:pPr>
    </w:lvl>
    <w:lvl w:ilvl="2" w:tplc="B11854E8" w:tentative="1">
      <w:start w:val="1"/>
      <w:numFmt w:val="lowerLetter"/>
      <w:lvlText w:val="%3)"/>
      <w:lvlJc w:val="left"/>
      <w:pPr>
        <w:tabs>
          <w:tab w:val="num" w:pos="1800"/>
        </w:tabs>
        <w:ind w:left="1800" w:hanging="360"/>
      </w:pPr>
    </w:lvl>
    <w:lvl w:ilvl="3" w:tplc="D8B88630" w:tentative="1">
      <w:start w:val="1"/>
      <w:numFmt w:val="lowerLetter"/>
      <w:lvlText w:val="%4)"/>
      <w:lvlJc w:val="left"/>
      <w:pPr>
        <w:tabs>
          <w:tab w:val="num" w:pos="2520"/>
        </w:tabs>
        <w:ind w:left="2520" w:hanging="360"/>
      </w:pPr>
    </w:lvl>
    <w:lvl w:ilvl="4" w:tplc="885470CA" w:tentative="1">
      <w:start w:val="1"/>
      <w:numFmt w:val="lowerLetter"/>
      <w:lvlText w:val="%5)"/>
      <w:lvlJc w:val="left"/>
      <w:pPr>
        <w:tabs>
          <w:tab w:val="num" w:pos="3240"/>
        </w:tabs>
        <w:ind w:left="3240" w:hanging="360"/>
      </w:pPr>
    </w:lvl>
    <w:lvl w:ilvl="5" w:tplc="75220650" w:tentative="1">
      <w:start w:val="1"/>
      <w:numFmt w:val="lowerLetter"/>
      <w:lvlText w:val="%6)"/>
      <w:lvlJc w:val="left"/>
      <w:pPr>
        <w:tabs>
          <w:tab w:val="num" w:pos="3960"/>
        </w:tabs>
        <w:ind w:left="3960" w:hanging="360"/>
      </w:pPr>
    </w:lvl>
    <w:lvl w:ilvl="6" w:tplc="A7CE1CBC" w:tentative="1">
      <w:start w:val="1"/>
      <w:numFmt w:val="lowerLetter"/>
      <w:lvlText w:val="%7)"/>
      <w:lvlJc w:val="left"/>
      <w:pPr>
        <w:tabs>
          <w:tab w:val="num" w:pos="4680"/>
        </w:tabs>
        <w:ind w:left="4680" w:hanging="360"/>
      </w:pPr>
    </w:lvl>
    <w:lvl w:ilvl="7" w:tplc="A760C20C" w:tentative="1">
      <w:start w:val="1"/>
      <w:numFmt w:val="lowerLetter"/>
      <w:lvlText w:val="%8)"/>
      <w:lvlJc w:val="left"/>
      <w:pPr>
        <w:tabs>
          <w:tab w:val="num" w:pos="5400"/>
        </w:tabs>
        <w:ind w:left="5400" w:hanging="360"/>
      </w:pPr>
    </w:lvl>
    <w:lvl w:ilvl="8" w:tplc="E774FBA4" w:tentative="1">
      <w:start w:val="1"/>
      <w:numFmt w:val="lowerLetter"/>
      <w:lvlText w:val="%9)"/>
      <w:lvlJc w:val="left"/>
      <w:pPr>
        <w:tabs>
          <w:tab w:val="num" w:pos="6120"/>
        </w:tabs>
        <w:ind w:left="6120" w:hanging="360"/>
      </w:pPr>
    </w:lvl>
  </w:abstractNum>
  <w:abstractNum w:abstractNumId="35">
    <w:nsid w:val="6B48092A"/>
    <w:multiLevelType w:val="hybridMultilevel"/>
    <w:tmpl w:val="9998D460"/>
    <w:styleLink w:val="ImportedStyle28"/>
    <w:lvl w:ilvl="0" w:tplc="09D6C6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B69B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08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4A34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36CA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A6ED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1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2E52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3499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F4D3100"/>
    <w:multiLevelType w:val="multilevel"/>
    <w:tmpl w:val="8D64D9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0AA005F"/>
    <w:multiLevelType w:val="multilevel"/>
    <w:tmpl w:val="F58216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6771553"/>
    <w:multiLevelType w:val="hybridMultilevel"/>
    <w:tmpl w:val="1D30FD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9">
    <w:nsid w:val="7AA030BF"/>
    <w:multiLevelType w:val="hybridMultilevel"/>
    <w:tmpl w:val="80D4EC8A"/>
    <w:lvl w:ilvl="0" w:tplc="F00EDA84">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DFE430C"/>
    <w:multiLevelType w:val="hybridMultilevel"/>
    <w:tmpl w:val="A9BAB220"/>
    <w:lvl w:ilvl="0" w:tplc="2360A52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EAB352F"/>
    <w:multiLevelType w:val="multilevel"/>
    <w:tmpl w:val="CCF45D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8"/>
  </w:num>
  <w:num w:numId="3">
    <w:abstractNumId w:val="5"/>
  </w:num>
  <w:num w:numId="4">
    <w:abstractNumId w:val="31"/>
  </w:num>
  <w:num w:numId="5">
    <w:abstractNumId w:val="16"/>
  </w:num>
  <w:num w:numId="6">
    <w:abstractNumId w:val="36"/>
  </w:num>
  <w:num w:numId="7">
    <w:abstractNumId w:val="33"/>
  </w:num>
  <w:num w:numId="8">
    <w:abstractNumId w:val="19"/>
  </w:num>
  <w:num w:numId="9">
    <w:abstractNumId w:val="35"/>
  </w:num>
  <w:num w:numId="10">
    <w:abstractNumId w:val="12"/>
  </w:num>
  <w:num w:numId="11">
    <w:abstractNumId w:val="11"/>
  </w:num>
  <w:num w:numId="12">
    <w:abstractNumId w:val="6"/>
  </w:num>
  <w:num w:numId="13">
    <w:abstractNumId w:val="39"/>
  </w:num>
  <w:num w:numId="14">
    <w:abstractNumId w:val="34"/>
  </w:num>
  <w:num w:numId="15">
    <w:abstractNumId w:val="10"/>
  </w:num>
  <w:num w:numId="16">
    <w:abstractNumId w:val="23"/>
  </w:num>
  <w:num w:numId="17">
    <w:abstractNumId w:val="1"/>
  </w:num>
  <w:num w:numId="18">
    <w:abstractNumId w:val="21"/>
  </w:num>
  <w:num w:numId="19">
    <w:abstractNumId w:val="41"/>
  </w:num>
  <w:num w:numId="20">
    <w:abstractNumId w:val="8"/>
  </w:num>
  <w:num w:numId="21">
    <w:abstractNumId w:val="30"/>
  </w:num>
  <w:num w:numId="22">
    <w:abstractNumId w:val="3"/>
  </w:num>
  <w:num w:numId="23">
    <w:abstractNumId w:val="24"/>
  </w:num>
  <w:num w:numId="24">
    <w:abstractNumId w:val="14"/>
  </w:num>
  <w:num w:numId="25">
    <w:abstractNumId w:val="29"/>
  </w:num>
  <w:num w:numId="26">
    <w:abstractNumId w:val="17"/>
  </w:num>
  <w:num w:numId="27">
    <w:abstractNumId w:val="15"/>
  </w:num>
  <w:num w:numId="28">
    <w:abstractNumId w:val="28"/>
  </w:num>
  <w:num w:numId="29">
    <w:abstractNumId w:val="25"/>
  </w:num>
  <w:num w:numId="30">
    <w:abstractNumId w:val="32"/>
  </w:num>
  <w:num w:numId="31">
    <w:abstractNumId w:val="27"/>
  </w:num>
  <w:num w:numId="32">
    <w:abstractNumId w:val="2"/>
  </w:num>
  <w:num w:numId="33">
    <w:abstractNumId w:val="13"/>
  </w:num>
  <w:num w:numId="34">
    <w:abstractNumId w:val="4"/>
  </w:num>
  <w:num w:numId="35">
    <w:abstractNumId w:val="40"/>
  </w:num>
  <w:num w:numId="36">
    <w:abstractNumId w:val="26"/>
  </w:num>
  <w:num w:numId="37">
    <w:abstractNumId w:val="9"/>
  </w:num>
  <w:num w:numId="38">
    <w:abstractNumId w:val="22"/>
  </w:num>
  <w:num w:numId="39">
    <w:abstractNumId w:val="7"/>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DF"/>
    <w:rsid w:val="00007291"/>
    <w:rsid w:val="00011214"/>
    <w:rsid w:val="000121A3"/>
    <w:rsid w:val="000139D6"/>
    <w:rsid w:val="0001514F"/>
    <w:rsid w:val="0001570D"/>
    <w:rsid w:val="00017709"/>
    <w:rsid w:val="00023F5B"/>
    <w:rsid w:val="00024CCF"/>
    <w:rsid w:val="00030B4F"/>
    <w:rsid w:val="00030D4D"/>
    <w:rsid w:val="000343BD"/>
    <w:rsid w:val="000348AF"/>
    <w:rsid w:val="00034E13"/>
    <w:rsid w:val="00035914"/>
    <w:rsid w:val="00035961"/>
    <w:rsid w:val="0003599C"/>
    <w:rsid w:val="00040184"/>
    <w:rsid w:val="00041F2E"/>
    <w:rsid w:val="00044ED0"/>
    <w:rsid w:val="00050AC4"/>
    <w:rsid w:val="0005117D"/>
    <w:rsid w:val="0005172A"/>
    <w:rsid w:val="00052A2F"/>
    <w:rsid w:val="00054634"/>
    <w:rsid w:val="000615B9"/>
    <w:rsid w:val="00061F92"/>
    <w:rsid w:val="000625C7"/>
    <w:rsid w:val="0006471F"/>
    <w:rsid w:val="000667BC"/>
    <w:rsid w:val="00066BB7"/>
    <w:rsid w:val="00080140"/>
    <w:rsid w:val="00086A95"/>
    <w:rsid w:val="00087BAD"/>
    <w:rsid w:val="00093AEF"/>
    <w:rsid w:val="00093DC4"/>
    <w:rsid w:val="00095DEE"/>
    <w:rsid w:val="00096028"/>
    <w:rsid w:val="000977B0"/>
    <w:rsid w:val="000A0AE0"/>
    <w:rsid w:val="000A1D5E"/>
    <w:rsid w:val="000A1EE6"/>
    <w:rsid w:val="000A5045"/>
    <w:rsid w:val="000A5986"/>
    <w:rsid w:val="000B4217"/>
    <w:rsid w:val="000B7505"/>
    <w:rsid w:val="000C2634"/>
    <w:rsid w:val="000C508C"/>
    <w:rsid w:val="000C70C5"/>
    <w:rsid w:val="000D079A"/>
    <w:rsid w:val="000D1C6F"/>
    <w:rsid w:val="000D5A33"/>
    <w:rsid w:val="000D74F7"/>
    <w:rsid w:val="000D7D4B"/>
    <w:rsid w:val="000E08C9"/>
    <w:rsid w:val="000E2701"/>
    <w:rsid w:val="000E3A5B"/>
    <w:rsid w:val="000E470F"/>
    <w:rsid w:val="000E60DB"/>
    <w:rsid w:val="000E6BC8"/>
    <w:rsid w:val="000F17F2"/>
    <w:rsid w:val="000F612D"/>
    <w:rsid w:val="001003D3"/>
    <w:rsid w:val="001005CB"/>
    <w:rsid w:val="00101603"/>
    <w:rsid w:val="00102DD0"/>
    <w:rsid w:val="00104BFB"/>
    <w:rsid w:val="00110799"/>
    <w:rsid w:val="00111171"/>
    <w:rsid w:val="001129F1"/>
    <w:rsid w:val="0011327A"/>
    <w:rsid w:val="00113BD9"/>
    <w:rsid w:val="00114E7D"/>
    <w:rsid w:val="00115479"/>
    <w:rsid w:val="00123C0A"/>
    <w:rsid w:val="00124675"/>
    <w:rsid w:val="00124866"/>
    <w:rsid w:val="001251A7"/>
    <w:rsid w:val="001304E7"/>
    <w:rsid w:val="00135B8C"/>
    <w:rsid w:val="001402B6"/>
    <w:rsid w:val="00144044"/>
    <w:rsid w:val="00151B27"/>
    <w:rsid w:val="00153D06"/>
    <w:rsid w:val="00156FBB"/>
    <w:rsid w:val="001623A0"/>
    <w:rsid w:val="00164273"/>
    <w:rsid w:val="00166D62"/>
    <w:rsid w:val="001672D5"/>
    <w:rsid w:val="0017111D"/>
    <w:rsid w:val="001735CE"/>
    <w:rsid w:val="00176352"/>
    <w:rsid w:val="00176EE1"/>
    <w:rsid w:val="001776AD"/>
    <w:rsid w:val="00183353"/>
    <w:rsid w:val="00183611"/>
    <w:rsid w:val="0018370F"/>
    <w:rsid w:val="00183AD1"/>
    <w:rsid w:val="00186288"/>
    <w:rsid w:val="001865AC"/>
    <w:rsid w:val="00186842"/>
    <w:rsid w:val="0018738C"/>
    <w:rsid w:val="00190336"/>
    <w:rsid w:val="001936A9"/>
    <w:rsid w:val="00194202"/>
    <w:rsid w:val="00196375"/>
    <w:rsid w:val="00196694"/>
    <w:rsid w:val="00196E99"/>
    <w:rsid w:val="001A5C27"/>
    <w:rsid w:val="001B30C8"/>
    <w:rsid w:val="001B44BA"/>
    <w:rsid w:val="001B487E"/>
    <w:rsid w:val="001B507F"/>
    <w:rsid w:val="001C1239"/>
    <w:rsid w:val="001C4836"/>
    <w:rsid w:val="001C5AF0"/>
    <w:rsid w:val="001C5FBD"/>
    <w:rsid w:val="001C6262"/>
    <w:rsid w:val="001D01C6"/>
    <w:rsid w:val="001D030B"/>
    <w:rsid w:val="001D51D5"/>
    <w:rsid w:val="001D644F"/>
    <w:rsid w:val="001D7B80"/>
    <w:rsid w:val="001E1FE0"/>
    <w:rsid w:val="001E4218"/>
    <w:rsid w:val="001E46C9"/>
    <w:rsid w:val="001E4734"/>
    <w:rsid w:val="001E5AEF"/>
    <w:rsid w:val="001E799A"/>
    <w:rsid w:val="001F2744"/>
    <w:rsid w:val="001F6F6C"/>
    <w:rsid w:val="001F7A54"/>
    <w:rsid w:val="002000CC"/>
    <w:rsid w:val="002012C6"/>
    <w:rsid w:val="00203020"/>
    <w:rsid w:val="00204D4E"/>
    <w:rsid w:val="002103E7"/>
    <w:rsid w:val="00211F54"/>
    <w:rsid w:val="00212989"/>
    <w:rsid w:val="00212DB2"/>
    <w:rsid w:val="00213BCF"/>
    <w:rsid w:val="002145D8"/>
    <w:rsid w:val="00216011"/>
    <w:rsid w:val="00222CA8"/>
    <w:rsid w:val="00223DC3"/>
    <w:rsid w:val="0022538D"/>
    <w:rsid w:val="002322CC"/>
    <w:rsid w:val="0023263F"/>
    <w:rsid w:val="00234877"/>
    <w:rsid w:val="002356FF"/>
    <w:rsid w:val="00235CFE"/>
    <w:rsid w:val="00246B13"/>
    <w:rsid w:val="00250E9D"/>
    <w:rsid w:val="002530A3"/>
    <w:rsid w:val="00253CF6"/>
    <w:rsid w:val="0025424D"/>
    <w:rsid w:val="002571F3"/>
    <w:rsid w:val="00257904"/>
    <w:rsid w:val="00262E05"/>
    <w:rsid w:val="00263D25"/>
    <w:rsid w:val="00272B65"/>
    <w:rsid w:val="00272F92"/>
    <w:rsid w:val="00274041"/>
    <w:rsid w:val="002760EC"/>
    <w:rsid w:val="00276708"/>
    <w:rsid w:val="0027723E"/>
    <w:rsid w:val="00281051"/>
    <w:rsid w:val="00281B12"/>
    <w:rsid w:val="00282633"/>
    <w:rsid w:val="00284840"/>
    <w:rsid w:val="00287155"/>
    <w:rsid w:val="00290307"/>
    <w:rsid w:val="0029114D"/>
    <w:rsid w:val="00291F10"/>
    <w:rsid w:val="00292DD4"/>
    <w:rsid w:val="00293AD0"/>
    <w:rsid w:val="00294851"/>
    <w:rsid w:val="002965BC"/>
    <w:rsid w:val="00296A02"/>
    <w:rsid w:val="002A2BAA"/>
    <w:rsid w:val="002A4B74"/>
    <w:rsid w:val="002A6974"/>
    <w:rsid w:val="002A70C9"/>
    <w:rsid w:val="002B134B"/>
    <w:rsid w:val="002B2611"/>
    <w:rsid w:val="002B2D14"/>
    <w:rsid w:val="002B4685"/>
    <w:rsid w:val="002B4C28"/>
    <w:rsid w:val="002B5599"/>
    <w:rsid w:val="002B5EE3"/>
    <w:rsid w:val="002B6201"/>
    <w:rsid w:val="002B7334"/>
    <w:rsid w:val="002B788E"/>
    <w:rsid w:val="002C1BC2"/>
    <w:rsid w:val="002C4966"/>
    <w:rsid w:val="002C6AA3"/>
    <w:rsid w:val="002C6CB9"/>
    <w:rsid w:val="002D085F"/>
    <w:rsid w:val="002D3E03"/>
    <w:rsid w:val="002D4FEA"/>
    <w:rsid w:val="002D7497"/>
    <w:rsid w:val="002E0A13"/>
    <w:rsid w:val="002E6947"/>
    <w:rsid w:val="002F1D80"/>
    <w:rsid w:val="002F207A"/>
    <w:rsid w:val="002F415A"/>
    <w:rsid w:val="002F49E7"/>
    <w:rsid w:val="002F6357"/>
    <w:rsid w:val="002F75F0"/>
    <w:rsid w:val="002F79F6"/>
    <w:rsid w:val="0030008F"/>
    <w:rsid w:val="00304C8D"/>
    <w:rsid w:val="003057F3"/>
    <w:rsid w:val="00306FBD"/>
    <w:rsid w:val="00311F35"/>
    <w:rsid w:val="00312B92"/>
    <w:rsid w:val="00312D4B"/>
    <w:rsid w:val="00313391"/>
    <w:rsid w:val="0031576B"/>
    <w:rsid w:val="00321ECB"/>
    <w:rsid w:val="00326299"/>
    <w:rsid w:val="003315A1"/>
    <w:rsid w:val="00331723"/>
    <w:rsid w:val="00332F4A"/>
    <w:rsid w:val="00335BE1"/>
    <w:rsid w:val="00336E70"/>
    <w:rsid w:val="00341A5F"/>
    <w:rsid w:val="00343A34"/>
    <w:rsid w:val="00346FF1"/>
    <w:rsid w:val="0034732B"/>
    <w:rsid w:val="00356377"/>
    <w:rsid w:val="00356491"/>
    <w:rsid w:val="00361A02"/>
    <w:rsid w:val="00362957"/>
    <w:rsid w:val="00362A27"/>
    <w:rsid w:val="00363991"/>
    <w:rsid w:val="0036457D"/>
    <w:rsid w:val="003733BE"/>
    <w:rsid w:val="00376E6D"/>
    <w:rsid w:val="003771F8"/>
    <w:rsid w:val="0038119B"/>
    <w:rsid w:val="00382B10"/>
    <w:rsid w:val="003836B9"/>
    <w:rsid w:val="003847F0"/>
    <w:rsid w:val="003906B4"/>
    <w:rsid w:val="00393A62"/>
    <w:rsid w:val="00393A6F"/>
    <w:rsid w:val="00394277"/>
    <w:rsid w:val="003976C3"/>
    <w:rsid w:val="003A1BEA"/>
    <w:rsid w:val="003A1C68"/>
    <w:rsid w:val="003A4026"/>
    <w:rsid w:val="003A5FB5"/>
    <w:rsid w:val="003A66A3"/>
    <w:rsid w:val="003B0C19"/>
    <w:rsid w:val="003B1507"/>
    <w:rsid w:val="003B1554"/>
    <w:rsid w:val="003B2C5A"/>
    <w:rsid w:val="003B43CB"/>
    <w:rsid w:val="003B5328"/>
    <w:rsid w:val="003C3CB3"/>
    <w:rsid w:val="003C6836"/>
    <w:rsid w:val="003D09A0"/>
    <w:rsid w:val="003D1A9D"/>
    <w:rsid w:val="003D1F75"/>
    <w:rsid w:val="003D33D9"/>
    <w:rsid w:val="003D7B4A"/>
    <w:rsid w:val="003E01FD"/>
    <w:rsid w:val="003E0C60"/>
    <w:rsid w:val="003E12D8"/>
    <w:rsid w:val="003E1DDF"/>
    <w:rsid w:val="003E24B8"/>
    <w:rsid w:val="003E3F7F"/>
    <w:rsid w:val="003E50E5"/>
    <w:rsid w:val="003E5A41"/>
    <w:rsid w:val="003E5F9B"/>
    <w:rsid w:val="003E7A11"/>
    <w:rsid w:val="003F1610"/>
    <w:rsid w:val="003F2DA5"/>
    <w:rsid w:val="003F3B11"/>
    <w:rsid w:val="00400152"/>
    <w:rsid w:val="00401737"/>
    <w:rsid w:val="00405925"/>
    <w:rsid w:val="004161B1"/>
    <w:rsid w:val="00416E37"/>
    <w:rsid w:val="0042027B"/>
    <w:rsid w:val="00425AFB"/>
    <w:rsid w:val="0042720E"/>
    <w:rsid w:val="00430249"/>
    <w:rsid w:val="004311C0"/>
    <w:rsid w:val="00435481"/>
    <w:rsid w:val="00435AE4"/>
    <w:rsid w:val="00435C23"/>
    <w:rsid w:val="00436210"/>
    <w:rsid w:val="0044041F"/>
    <w:rsid w:val="004423B3"/>
    <w:rsid w:val="0044451F"/>
    <w:rsid w:val="00444765"/>
    <w:rsid w:val="00445C62"/>
    <w:rsid w:val="00446E59"/>
    <w:rsid w:val="004476D6"/>
    <w:rsid w:val="00454D5E"/>
    <w:rsid w:val="00455825"/>
    <w:rsid w:val="00456846"/>
    <w:rsid w:val="004625F2"/>
    <w:rsid w:val="0046598D"/>
    <w:rsid w:val="00466105"/>
    <w:rsid w:val="00467BCB"/>
    <w:rsid w:val="00467E5B"/>
    <w:rsid w:val="00473DFB"/>
    <w:rsid w:val="00474A60"/>
    <w:rsid w:val="004770F9"/>
    <w:rsid w:val="00480BF1"/>
    <w:rsid w:val="00483BEC"/>
    <w:rsid w:val="00490125"/>
    <w:rsid w:val="004914BA"/>
    <w:rsid w:val="004921EF"/>
    <w:rsid w:val="004938D5"/>
    <w:rsid w:val="00495FEE"/>
    <w:rsid w:val="00497E8D"/>
    <w:rsid w:val="004A0785"/>
    <w:rsid w:val="004A336F"/>
    <w:rsid w:val="004A3A27"/>
    <w:rsid w:val="004B1830"/>
    <w:rsid w:val="004B317C"/>
    <w:rsid w:val="004B3295"/>
    <w:rsid w:val="004B3AAF"/>
    <w:rsid w:val="004B51EA"/>
    <w:rsid w:val="004B7C4E"/>
    <w:rsid w:val="004C0F9A"/>
    <w:rsid w:val="004C1934"/>
    <w:rsid w:val="004C1BEC"/>
    <w:rsid w:val="004C39A3"/>
    <w:rsid w:val="004C5755"/>
    <w:rsid w:val="004C7054"/>
    <w:rsid w:val="004C7F1E"/>
    <w:rsid w:val="004D44B8"/>
    <w:rsid w:val="004E0D77"/>
    <w:rsid w:val="004E205E"/>
    <w:rsid w:val="004E6690"/>
    <w:rsid w:val="004E7BBC"/>
    <w:rsid w:val="004F2CA5"/>
    <w:rsid w:val="004F4320"/>
    <w:rsid w:val="00500636"/>
    <w:rsid w:val="00501558"/>
    <w:rsid w:val="00501DA0"/>
    <w:rsid w:val="005069AB"/>
    <w:rsid w:val="00510238"/>
    <w:rsid w:val="00510628"/>
    <w:rsid w:val="00510F59"/>
    <w:rsid w:val="00513024"/>
    <w:rsid w:val="00520D28"/>
    <w:rsid w:val="005222ED"/>
    <w:rsid w:val="00523B6D"/>
    <w:rsid w:val="00524B8E"/>
    <w:rsid w:val="005257FD"/>
    <w:rsid w:val="00525E59"/>
    <w:rsid w:val="005329FA"/>
    <w:rsid w:val="0053392C"/>
    <w:rsid w:val="00535323"/>
    <w:rsid w:val="0053562F"/>
    <w:rsid w:val="005367B0"/>
    <w:rsid w:val="00541355"/>
    <w:rsid w:val="00541793"/>
    <w:rsid w:val="00544EB6"/>
    <w:rsid w:val="00546E51"/>
    <w:rsid w:val="0055197D"/>
    <w:rsid w:val="005563B9"/>
    <w:rsid w:val="00563079"/>
    <w:rsid w:val="005645A9"/>
    <w:rsid w:val="00565506"/>
    <w:rsid w:val="00565D16"/>
    <w:rsid w:val="005728D4"/>
    <w:rsid w:val="005729BF"/>
    <w:rsid w:val="00574B07"/>
    <w:rsid w:val="005829E4"/>
    <w:rsid w:val="00582E70"/>
    <w:rsid w:val="0058324C"/>
    <w:rsid w:val="00584400"/>
    <w:rsid w:val="00585245"/>
    <w:rsid w:val="00591101"/>
    <w:rsid w:val="005920AA"/>
    <w:rsid w:val="00592363"/>
    <w:rsid w:val="00597F2A"/>
    <w:rsid w:val="005A1AD9"/>
    <w:rsid w:val="005A1CA9"/>
    <w:rsid w:val="005A3646"/>
    <w:rsid w:val="005A43B9"/>
    <w:rsid w:val="005A4D1B"/>
    <w:rsid w:val="005A66A1"/>
    <w:rsid w:val="005A7400"/>
    <w:rsid w:val="005A7841"/>
    <w:rsid w:val="005B2476"/>
    <w:rsid w:val="005B7034"/>
    <w:rsid w:val="005C1FB1"/>
    <w:rsid w:val="005C23CB"/>
    <w:rsid w:val="005C2E9A"/>
    <w:rsid w:val="005D3A55"/>
    <w:rsid w:val="005E04A2"/>
    <w:rsid w:val="005E1DE4"/>
    <w:rsid w:val="005E60BF"/>
    <w:rsid w:val="005F37C7"/>
    <w:rsid w:val="005F4502"/>
    <w:rsid w:val="005F76CC"/>
    <w:rsid w:val="006017F5"/>
    <w:rsid w:val="0060311B"/>
    <w:rsid w:val="0060499C"/>
    <w:rsid w:val="00604A62"/>
    <w:rsid w:val="00604DA1"/>
    <w:rsid w:val="00605477"/>
    <w:rsid w:val="00607ECD"/>
    <w:rsid w:val="00610221"/>
    <w:rsid w:val="00612122"/>
    <w:rsid w:val="00615A70"/>
    <w:rsid w:val="006161E1"/>
    <w:rsid w:val="0062246E"/>
    <w:rsid w:val="00623CD4"/>
    <w:rsid w:val="0063206F"/>
    <w:rsid w:val="00635A5B"/>
    <w:rsid w:val="00637E2C"/>
    <w:rsid w:val="006408B1"/>
    <w:rsid w:val="00644F62"/>
    <w:rsid w:val="006475DD"/>
    <w:rsid w:val="006477E5"/>
    <w:rsid w:val="00654687"/>
    <w:rsid w:val="00656B82"/>
    <w:rsid w:val="00657FCC"/>
    <w:rsid w:val="00662BA7"/>
    <w:rsid w:val="0066616F"/>
    <w:rsid w:val="00667EBD"/>
    <w:rsid w:val="00674A0A"/>
    <w:rsid w:val="00674B0C"/>
    <w:rsid w:val="00675023"/>
    <w:rsid w:val="006775E0"/>
    <w:rsid w:val="00681E2E"/>
    <w:rsid w:val="00681F6A"/>
    <w:rsid w:val="0068210D"/>
    <w:rsid w:val="00682162"/>
    <w:rsid w:val="00682716"/>
    <w:rsid w:val="00684516"/>
    <w:rsid w:val="00687A78"/>
    <w:rsid w:val="00687DC7"/>
    <w:rsid w:val="00687FFE"/>
    <w:rsid w:val="0069062F"/>
    <w:rsid w:val="00691136"/>
    <w:rsid w:val="006928F1"/>
    <w:rsid w:val="006935F4"/>
    <w:rsid w:val="00694FCB"/>
    <w:rsid w:val="006A0D55"/>
    <w:rsid w:val="006A3BE3"/>
    <w:rsid w:val="006A73EE"/>
    <w:rsid w:val="006A7D40"/>
    <w:rsid w:val="006B1BE0"/>
    <w:rsid w:val="006B22BF"/>
    <w:rsid w:val="006B32E1"/>
    <w:rsid w:val="006B530B"/>
    <w:rsid w:val="006C1190"/>
    <w:rsid w:val="006C1F37"/>
    <w:rsid w:val="006C2276"/>
    <w:rsid w:val="006C2A78"/>
    <w:rsid w:val="006C51B3"/>
    <w:rsid w:val="006C61C8"/>
    <w:rsid w:val="006C670F"/>
    <w:rsid w:val="006D0B86"/>
    <w:rsid w:val="006D0DC2"/>
    <w:rsid w:val="006D1BB5"/>
    <w:rsid w:val="006D3FC8"/>
    <w:rsid w:val="006D4DE9"/>
    <w:rsid w:val="006E44EC"/>
    <w:rsid w:val="006E53FC"/>
    <w:rsid w:val="006E5E00"/>
    <w:rsid w:val="006E6997"/>
    <w:rsid w:val="006F2694"/>
    <w:rsid w:val="007007B4"/>
    <w:rsid w:val="00703585"/>
    <w:rsid w:val="007051BD"/>
    <w:rsid w:val="00706E9B"/>
    <w:rsid w:val="00712758"/>
    <w:rsid w:val="00713DFE"/>
    <w:rsid w:val="007149B4"/>
    <w:rsid w:val="0071732D"/>
    <w:rsid w:val="007264BA"/>
    <w:rsid w:val="007333C7"/>
    <w:rsid w:val="007337D4"/>
    <w:rsid w:val="007356D0"/>
    <w:rsid w:val="00741302"/>
    <w:rsid w:val="007433E1"/>
    <w:rsid w:val="0074520E"/>
    <w:rsid w:val="0074548E"/>
    <w:rsid w:val="00747E11"/>
    <w:rsid w:val="007517E1"/>
    <w:rsid w:val="00751D99"/>
    <w:rsid w:val="00753D3C"/>
    <w:rsid w:val="007546F2"/>
    <w:rsid w:val="00755694"/>
    <w:rsid w:val="00755733"/>
    <w:rsid w:val="00755C9F"/>
    <w:rsid w:val="00756EFD"/>
    <w:rsid w:val="00761657"/>
    <w:rsid w:val="00761F85"/>
    <w:rsid w:val="00763BA1"/>
    <w:rsid w:val="00770B9C"/>
    <w:rsid w:val="00771465"/>
    <w:rsid w:val="00774E6B"/>
    <w:rsid w:val="00781CB5"/>
    <w:rsid w:val="007852DB"/>
    <w:rsid w:val="007874F9"/>
    <w:rsid w:val="007878B8"/>
    <w:rsid w:val="00791113"/>
    <w:rsid w:val="007927A9"/>
    <w:rsid w:val="0079426E"/>
    <w:rsid w:val="00794C2A"/>
    <w:rsid w:val="0079637C"/>
    <w:rsid w:val="00797227"/>
    <w:rsid w:val="007A007C"/>
    <w:rsid w:val="007A4626"/>
    <w:rsid w:val="007A75C0"/>
    <w:rsid w:val="007B6264"/>
    <w:rsid w:val="007C14C8"/>
    <w:rsid w:val="007C1A08"/>
    <w:rsid w:val="007C40AC"/>
    <w:rsid w:val="007C5FE3"/>
    <w:rsid w:val="007C7703"/>
    <w:rsid w:val="007D0C3D"/>
    <w:rsid w:val="007D60EF"/>
    <w:rsid w:val="007D6F36"/>
    <w:rsid w:val="007E0507"/>
    <w:rsid w:val="007E10AA"/>
    <w:rsid w:val="007E1761"/>
    <w:rsid w:val="007E1CE8"/>
    <w:rsid w:val="007E21C4"/>
    <w:rsid w:val="007E4BA2"/>
    <w:rsid w:val="007E56AD"/>
    <w:rsid w:val="007E6A9A"/>
    <w:rsid w:val="007E7FF6"/>
    <w:rsid w:val="007F1951"/>
    <w:rsid w:val="007F2357"/>
    <w:rsid w:val="007F39F7"/>
    <w:rsid w:val="007F42BD"/>
    <w:rsid w:val="007F5564"/>
    <w:rsid w:val="007F7B37"/>
    <w:rsid w:val="0080035C"/>
    <w:rsid w:val="00800E74"/>
    <w:rsid w:val="008024BE"/>
    <w:rsid w:val="00803F45"/>
    <w:rsid w:val="00805AA4"/>
    <w:rsid w:val="00806E55"/>
    <w:rsid w:val="00810983"/>
    <w:rsid w:val="008113B8"/>
    <w:rsid w:val="00813A87"/>
    <w:rsid w:val="008146D6"/>
    <w:rsid w:val="00814D72"/>
    <w:rsid w:val="008178FF"/>
    <w:rsid w:val="00817A33"/>
    <w:rsid w:val="00821AC9"/>
    <w:rsid w:val="0082602E"/>
    <w:rsid w:val="00826FE5"/>
    <w:rsid w:val="0083128C"/>
    <w:rsid w:val="0083325F"/>
    <w:rsid w:val="00845740"/>
    <w:rsid w:val="00856AD8"/>
    <w:rsid w:val="00865329"/>
    <w:rsid w:val="008655ED"/>
    <w:rsid w:val="00866779"/>
    <w:rsid w:val="008669A2"/>
    <w:rsid w:val="008671BC"/>
    <w:rsid w:val="00867B9E"/>
    <w:rsid w:val="00872FD5"/>
    <w:rsid w:val="00874CA7"/>
    <w:rsid w:val="00880879"/>
    <w:rsid w:val="008830A4"/>
    <w:rsid w:val="008837E3"/>
    <w:rsid w:val="00884A11"/>
    <w:rsid w:val="00884A12"/>
    <w:rsid w:val="00884D16"/>
    <w:rsid w:val="0088628C"/>
    <w:rsid w:val="00891008"/>
    <w:rsid w:val="008931DD"/>
    <w:rsid w:val="008A01A4"/>
    <w:rsid w:val="008B0245"/>
    <w:rsid w:val="008B1105"/>
    <w:rsid w:val="008B1E75"/>
    <w:rsid w:val="008B5534"/>
    <w:rsid w:val="008C54BF"/>
    <w:rsid w:val="008C5ECA"/>
    <w:rsid w:val="008D35AF"/>
    <w:rsid w:val="008D4ECC"/>
    <w:rsid w:val="008D7020"/>
    <w:rsid w:val="008D72CC"/>
    <w:rsid w:val="008D7D85"/>
    <w:rsid w:val="008E12E1"/>
    <w:rsid w:val="008E6A27"/>
    <w:rsid w:val="008E6F02"/>
    <w:rsid w:val="008F1E6C"/>
    <w:rsid w:val="008F465E"/>
    <w:rsid w:val="0090168A"/>
    <w:rsid w:val="00910E88"/>
    <w:rsid w:val="00911B2F"/>
    <w:rsid w:val="00911D15"/>
    <w:rsid w:val="009135DB"/>
    <w:rsid w:val="0091366B"/>
    <w:rsid w:val="00913A73"/>
    <w:rsid w:val="00913F02"/>
    <w:rsid w:val="00914B79"/>
    <w:rsid w:val="009177D7"/>
    <w:rsid w:val="00920892"/>
    <w:rsid w:val="00924DA1"/>
    <w:rsid w:val="009266C0"/>
    <w:rsid w:val="0093165B"/>
    <w:rsid w:val="00931781"/>
    <w:rsid w:val="0093715A"/>
    <w:rsid w:val="0094073C"/>
    <w:rsid w:val="00940AB0"/>
    <w:rsid w:val="009438A2"/>
    <w:rsid w:val="00947858"/>
    <w:rsid w:val="00947D9B"/>
    <w:rsid w:val="009508A8"/>
    <w:rsid w:val="00950A6D"/>
    <w:rsid w:val="00955C3A"/>
    <w:rsid w:val="00957B07"/>
    <w:rsid w:val="009609EB"/>
    <w:rsid w:val="00966289"/>
    <w:rsid w:val="00966583"/>
    <w:rsid w:val="0096705B"/>
    <w:rsid w:val="00971102"/>
    <w:rsid w:val="00971F18"/>
    <w:rsid w:val="00974D1E"/>
    <w:rsid w:val="00975283"/>
    <w:rsid w:val="00976770"/>
    <w:rsid w:val="0097755D"/>
    <w:rsid w:val="009804FC"/>
    <w:rsid w:val="00980929"/>
    <w:rsid w:val="00983D88"/>
    <w:rsid w:val="00984428"/>
    <w:rsid w:val="00984994"/>
    <w:rsid w:val="0098627F"/>
    <w:rsid w:val="009938A2"/>
    <w:rsid w:val="00997BE2"/>
    <w:rsid w:val="009A2131"/>
    <w:rsid w:val="009A2A6A"/>
    <w:rsid w:val="009A5DDD"/>
    <w:rsid w:val="009A77DA"/>
    <w:rsid w:val="009B2713"/>
    <w:rsid w:val="009B2BF7"/>
    <w:rsid w:val="009B3B12"/>
    <w:rsid w:val="009C0BDF"/>
    <w:rsid w:val="009C1406"/>
    <w:rsid w:val="009C5E56"/>
    <w:rsid w:val="009C69DC"/>
    <w:rsid w:val="009D218F"/>
    <w:rsid w:val="009D35B2"/>
    <w:rsid w:val="009D4D3A"/>
    <w:rsid w:val="009E0093"/>
    <w:rsid w:val="009E4B41"/>
    <w:rsid w:val="009E4B9D"/>
    <w:rsid w:val="009E7768"/>
    <w:rsid w:val="009F1591"/>
    <w:rsid w:val="009F3339"/>
    <w:rsid w:val="009F570E"/>
    <w:rsid w:val="009F7C22"/>
    <w:rsid w:val="00A01C19"/>
    <w:rsid w:val="00A03291"/>
    <w:rsid w:val="00A052D9"/>
    <w:rsid w:val="00A05EDB"/>
    <w:rsid w:val="00A11E31"/>
    <w:rsid w:val="00A14118"/>
    <w:rsid w:val="00A1451D"/>
    <w:rsid w:val="00A14CD1"/>
    <w:rsid w:val="00A15410"/>
    <w:rsid w:val="00A213A7"/>
    <w:rsid w:val="00A2428D"/>
    <w:rsid w:val="00A26290"/>
    <w:rsid w:val="00A308F8"/>
    <w:rsid w:val="00A40709"/>
    <w:rsid w:val="00A41FDF"/>
    <w:rsid w:val="00A42C8A"/>
    <w:rsid w:val="00A46BDC"/>
    <w:rsid w:val="00A477F6"/>
    <w:rsid w:val="00A51ABD"/>
    <w:rsid w:val="00A51FAC"/>
    <w:rsid w:val="00A5483E"/>
    <w:rsid w:val="00A62FC6"/>
    <w:rsid w:val="00A6629E"/>
    <w:rsid w:val="00A66733"/>
    <w:rsid w:val="00A71385"/>
    <w:rsid w:val="00A748C0"/>
    <w:rsid w:val="00A74CAF"/>
    <w:rsid w:val="00A74E30"/>
    <w:rsid w:val="00A76DF9"/>
    <w:rsid w:val="00A77330"/>
    <w:rsid w:val="00A80C2F"/>
    <w:rsid w:val="00A82EBC"/>
    <w:rsid w:val="00A85CFE"/>
    <w:rsid w:val="00A85DB9"/>
    <w:rsid w:val="00A9032C"/>
    <w:rsid w:val="00A904B2"/>
    <w:rsid w:val="00A925CB"/>
    <w:rsid w:val="00A9321C"/>
    <w:rsid w:val="00A95D7B"/>
    <w:rsid w:val="00A961D3"/>
    <w:rsid w:val="00AA01A7"/>
    <w:rsid w:val="00AA445E"/>
    <w:rsid w:val="00AA72D5"/>
    <w:rsid w:val="00AB1C36"/>
    <w:rsid w:val="00AB47C9"/>
    <w:rsid w:val="00AB48C6"/>
    <w:rsid w:val="00AB5C28"/>
    <w:rsid w:val="00AB736F"/>
    <w:rsid w:val="00AC258E"/>
    <w:rsid w:val="00AC358D"/>
    <w:rsid w:val="00AC50F4"/>
    <w:rsid w:val="00AC73A5"/>
    <w:rsid w:val="00AC769D"/>
    <w:rsid w:val="00AD1B5F"/>
    <w:rsid w:val="00AD316A"/>
    <w:rsid w:val="00AD34C9"/>
    <w:rsid w:val="00AD5C1F"/>
    <w:rsid w:val="00AD7542"/>
    <w:rsid w:val="00AE0016"/>
    <w:rsid w:val="00AE2A3D"/>
    <w:rsid w:val="00AE43BF"/>
    <w:rsid w:val="00AE4914"/>
    <w:rsid w:val="00AF0DB7"/>
    <w:rsid w:val="00AF111C"/>
    <w:rsid w:val="00B01B42"/>
    <w:rsid w:val="00B0385A"/>
    <w:rsid w:val="00B05C08"/>
    <w:rsid w:val="00B07318"/>
    <w:rsid w:val="00B131E9"/>
    <w:rsid w:val="00B145C0"/>
    <w:rsid w:val="00B149D1"/>
    <w:rsid w:val="00B17B5D"/>
    <w:rsid w:val="00B214BA"/>
    <w:rsid w:val="00B2380B"/>
    <w:rsid w:val="00B2440D"/>
    <w:rsid w:val="00B30D8C"/>
    <w:rsid w:val="00B349BA"/>
    <w:rsid w:val="00B4091B"/>
    <w:rsid w:val="00B43F9D"/>
    <w:rsid w:val="00B46FF7"/>
    <w:rsid w:val="00B50B5F"/>
    <w:rsid w:val="00B55E9A"/>
    <w:rsid w:val="00B56A43"/>
    <w:rsid w:val="00B56DB9"/>
    <w:rsid w:val="00B63F21"/>
    <w:rsid w:val="00B641E5"/>
    <w:rsid w:val="00B64E27"/>
    <w:rsid w:val="00B707C4"/>
    <w:rsid w:val="00B73A61"/>
    <w:rsid w:val="00B74D16"/>
    <w:rsid w:val="00B752E8"/>
    <w:rsid w:val="00B77E97"/>
    <w:rsid w:val="00B80F7B"/>
    <w:rsid w:val="00B827BF"/>
    <w:rsid w:val="00B83D54"/>
    <w:rsid w:val="00B83F26"/>
    <w:rsid w:val="00B879D5"/>
    <w:rsid w:val="00B90422"/>
    <w:rsid w:val="00B90B1B"/>
    <w:rsid w:val="00B9176A"/>
    <w:rsid w:val="00B91A76"/>
    <w:rsid w:val="00BA088B"/>
    <w:rsid w:val="00BA1169"/>
    <w:rsid w:val="00BA5666"/>
    <w:rsid w:val="00BA69CC"/>
    <w:rsid w:val="00BA7020"/>
    <w:rsid w:val="00BB0603"/>
    <w:rsid w:val="00BB1200"/>
    <w:rsid w:val="00BB2902"/>
    <w:rsid w:val="00BB2C92"/>
    <w:rsid w:val="00BB34F9"/>
    <w:rsid w:val="00BC0B78"/>
    <w:rsid w:val="00BC2162"/>
    <w:rsid w:val="00BC2204"/>
    <w:rsid w:val="00BD0E7B"/>
    <w:rsid w:val="00BD0FA3"/>
    <w:rsid w:val="00BD2C51"/>
    <w:rsid w:val="00BD44F7"/>
    <w:rsid w:val="00BD7EC8"/>
    <w:rsid w:val="00BE2EFD"/>
    <w:rsid w:val="00BE3CF2"/>
    <w:rsid w:val="00BE4223"/>
    <w:rsid w:val="00BE485C"/>
    <w:rsid w:val="00BE4C6C"/>
    <w:rsid w:val="00BE70A3"/>
    <w:rsid w:val="00BF07DD"/>
    <w:rsid w:val="00BF0C40"/>
    <w:rsid w:val="00BF1A1E"/>
    <w:rsid w:val="00BF578A"/>
    <w:rsid w:val="00C000E7"/>
    <w:rsid w:val="00C0474C"/>
    <w:rsid w:val="00C06EC8"/>
    <w:rsid w:val="00C10C19"/>
    <w:rsid w:val="00C17DEE"/>
    <w:rsid w:val="00C22195"/>
    <w:rsid w:val="00C23C1C"/>
    <w:rsid w:val="00C241A0"/>
    <w:rsid w:val="00C24967"/>
    <w:rsid w:val="00C262B8"/>
    <w:rsid w:val="00C31512"/>
    <w:rsid w:val="00C325E7"/>
    <w:rsid w:val="00C36DEB"/>
    <w:rsid w:val="00C37189"/>
    <w:rsid w:val="00C372B0"/>
    <w:rsid w:val="00C50CE1"/>
    <w:rsid w:val="00C515D6"/>
    <w:rsid w:val="00C5381E"/>
    <w:rsid w:val="00C53895"/>
    <w:rsid w:val="00C5702C"/>
    <w:rsid w:val="00C639EE"/>
    <w:rsid w:val="00C63D19"/>
    <w:rsid w:val="00C63F3F"/>
    <w:rsid w:val="00C653E6"/>
    <w:rsid w:val="00C6618A"/>
    <w:rsid w:val="00C71CA9"/>
    <w:rsid w:val="00C75620"/>
    <w:rsid w:val="00C7600B"/>
    <w:rsid w:val="00C82032"/>
    <w:rsid w:val="00C83555"/>
    <w:rsid w:val="00C8414C"/>
    <w:rsid w:val="00C87219"/>
    <w:rsid w:val="00C900BB"/>
    <w:rsid w:val="00C915E0"/>
    <w:rsid w:val="00C9609F"/>
    <w:rsid w:val="00C971BC"/>
    <w:rsid w:val="00CA006A"/>
    <w:rsid w:val="00CC4FFA"/>
    <w:rsid w:val="00CC5D07"/>
    <w:rsid w:val="00CD26F1"/>
    <w:rsid w:val="00CE0D62"/>
    <w:rsid w:val="00CE2781"/>
    <w:rsid w:val="00CE4D1E"/>
    <w:rsid w:val="00CE68CD"/>
    <w:rsid w:val="00CF0FD1"/>
    <w:rsid w:val="00CF10F2"/>
    <w:rsid w:val="00CF234D"/>
    <w:rsid w:val="00CF3181"/>
    <w:rsid w:val="00CF4ADF"/>
    <w:rsid w:val="00D032D0"/>
    <w:rsid w:val="00D0455D"/>
    <w:rsid w:val="00D0616E"/>
    <w:rsid w:val="00D07501"/>
    <w:rsid w:val="00D07651"/>
    <w:rsid w:val="00D10E09"/>
    <w:rsid w:val="00D140C8"/>
    <w:rsid w:val="00D147C5"/>
    <w:rsid w:val="00D15AC2"/>
    <w:rsid w:val="00D15B4F"/>
    <w:rsid w:val="00D2024B"/>
    <w:rsid w:val="00D24ACF"/>
    <w:rsid w:val="00D27D12"/>
    <w:rsid w:val="00D40F3F"/>
    <w:rsid w:val="00D413E7"/>
    <w:rsid w:val="00D42787"/>
    <w:rsid w:val="00D440B7"/>
    <w:rsid w:val="00D44A5B"/>
    <w:rsid w:val="00D4558C"/>
    <w:rsid w:val="00D4615F"/>
    <w:rsid w:val="00D47A2B"/>
    <w:rsid w:val="00D50583"/>
    <w:rsid w:val="00D50E51"/>
    <w:rsid w:val="00D54B77"/>
    <w:rsid w:val="00D570BF"/>
    <w:rsid w:val="00D60771"/>
    <w:rsid w:val="00D64B4F"/>
    <w:rsid w:val="00D654CD"/>
    <w:rsid w:val="00D65B77"/>
    <w:rsid w:val="00D65F7E"/>
    <w:rsid w:val="00D70A5C"/>
    <w:rsid w:val="00D70BCF"/>
    <w:rsid w:val="00D73D30"/>
    <w:rsid w:val="00D76806"/>
    <w:rsid w:val="00D80419"/>
    <w:rsid w:val="00D80EE1"/>
    <w:rsid w:val="00D8394F"/>
    <w:rsid w:val="00D8453B"/>
    <w:rsid w:val="00D85465"/>
    <w:rsid w:val="00D87AFA"/>
    <w:rsid w:val="00D9029F"/>
    <w:rsid w:val="00D91046"/>
    <w:rsid w:val="00D9574A"/>
    <w:rsid w:val="00DA07D4"/>
    <w:rsid w:val="00DA2511"/>
    <w:rsid w:val="00DA336A"/>
    <w:rsid w:val="00DA4661"/>
    <w:rsid w:val="00DA4858"/>
    <w:rsid w:val="00DA6032"/>
    <w:rsid w:val="00DB1406"/>
    <w:rsid w:val="00DC3D71"/>
    <w:rsid w:val="00DC7A6A"/>
    <w:rsid w:val="00DD06B7"/>
    <w:rsid w:val="00DD1765"/>
    <w:rsid w:val="00DD1EF8"/>
    <w:rsid w:val="00DD2675"/>
    <w:rsid w:val="00DD29CD"/>
    <w:rsid w:val="00DD53EC"/>
    <w:rsid w:val="00DD7633"/>
    <w:rsid w:val="00DF1F14"/>
    <w:rsid w:val="00DF2510"/>
    <w:rsid w:val="00DF2A92"/>
    <w:rsid w:val="00DF364A"/>
    <w:rsid w:val="00DF39BA"/>
    <w:rsid w:val="00DF78EC"/>
    <w:rsid w:val="00E049CE"/>
    <w:rsid w:val="00E1031A"/>
    <w:rsid w:val="00E115EE"/>
    <w:rsid w:val="00E13748"/>
    <w:rsid w:val="00E2054D"/>
    <w:rsid w:val="00E235B8"/>
    <w:rsid w:val="00E23D0F"/>
    <w:rsid w:val="00E24C38"/>
    <w:rsid w:val="00E25245"/>
    <w:rsid w:val="00E25791"/>
    <w:rsid w:val="00E31670"/>
    <w:rsid w:val="00E31CE5"/>
    <w:rsid w:val="00E323F2"/>
    <w:rsid w:val="00E34915"/>
    <w:rsid w:val="00E349A4"/>
    <w:rsid w:val="00E361DF"/>
    <w:rsid w:val="00E369FB"/>
    <w:rsid w:val="00E4120B"/>
    <w:rsid w:val="00E44697"/>
    <w:rsid w:val="00E4595B"/>
    <w:rsid w:val="00E459A3"/>
    <w:rsid w:val="00E50774"/>
    <w:rsid w:val="00E5166F"/>
    <w:rsid w:val="00E659E5"/>
    <w:rsid w:val="00E6796D"/>
    <w:rsid w:val="00E803B9"/>
    <w:rsid w:val="00E8046D"/>
    <w:rsid w:val="00E814C7"/>
    <w:rsid w:val="00E837CD"/>
    <w:rsid w:val="00E840B7"/>
    <w:rsid w:val="00E84420"/>
    <w:rsid w:val="00E84F3A"/>
    <w:rsid w:val="00E856B5"/>
    <w:rsid w:val="00E85A51"/>
    <w:rsid w:val="00E8729D"/>
    <w:rsid w:val="00E93249"/>
    <w:rsid w:val="00E940ED"/>
    <w:rsid w:val="00E9477C"/>
    <w:rsid w:val="00EA053E"/>
    <w:rsid w:val="00EA06A0"/>
    <w:rsid w:val="00EA178E"/>
    <w:rsid w:val="00EA3F9C"/>
    <w:rsid w:val="00EA4D80"/>
    <w:rsid w:val="00EA4EED"/>
    <w:rsid w:val="00EB0C4E"/>
    <w:rsid w:val="00EB5239"/>
    <w:rsid w:val="00EB5895"/>
    <w:rsid w:val="00EB7058"/>
    <w:rsid w:val="00EB7BDB"/>
    <w:rsid w:val="00EC5F28"/>
    <w:rsid w:val="00EC6208"/>
    <w:rsid w:val="00EC657D"/>
    <w:rsid w:val="00EC6C71"/>
    <w:rsid w:val="00EC7F6E"/>
    <w:rsid w:val="00ED2778"/>
    <w:rsid w:val="00ED62B5"/>
    <w:rsid w:val="00ED67FD"/>
    <w:rsid w:val="00EE50EE"/>
    <w:rsid w:val="00EE5460"/>
    <w:rsid w:val="00EE5D48"/>
    <w:rsid w:val="00EF1908"/>
    <w:rsid w:val="00EF1B02"/>
    <w:rsid w:val="00EF49C5"/>
    <w:rsid w:val="00EF59CC"/>
    <w:rsid w:val="00F03D1E"/>
    <w:rsid w:val="00F04B97"/>
    <w:rsid w:val="00F12957"/>
    <w:rsid w:val="00F14740"/>
    <w:rsid w:val="00F14BA2"/>
    <w:rsid w:val="00F20BD5"/>
    <w:rsid w:val="00F21805"/>
    <w:rsid w:val="00F21C8E"/>
    <w:rsid w:val="00F235C8"/>
    <w:rsid w:val="00F236D4"/>
    <w:rsid w:val="00F248C4"/>
    <w:rsid w:val="00F25EF6"/>
    <w:rsid w:val="00F26EF9"/>
    <w:rsid w:val="00F324EE"/>
    <w:rsid w:val="00F33062"/>
    <w:rsid w:val="00F3389A"/>
    <w:rsid w:val="00F34A54"/>
    <w:rsid w:val="00F34A73"/>
    <w:rsid w:val="00F350B5"/>
    <w:rsid w:val="00F3636E"/>
    <w:rsid w:val="00F368E5"/>
    <w:rsid w:val="00F40138"/>
    <w:rsid w:val="00F40E0C"/>
    <w:rsid w:val="00F41790"/>
    <w:rsid w:val="00F43196"/>
    <w:rsid w:val="00F43775"/>
    <w:rsid w:val="00F43E94"/>
    <w:rsid w:val="00F46E1D"/>
    <w:rsid w:val="00F5052A"/>
    <w:rsid w:val="00F50F5B"/>
    <w:rsid w:val="00F5179D"/>
    <w:rsid w:val="00F5393C"/>
    <w:rsid w:val="00F556BD"/>
    <w:rsid w:val="00F5631D"/>
    <w:rsid w:val="00F60DF3"/>
    <w:rsid w:val="00F61302"/>
    <w:rsid w:val="00F6229C"/>
    <w:rsid w:val="00F6592C"/>
    <w:rsid w:val="00F6751B"/>
    <w:rsid w:val="00F67C9F"/>
    <w:rsid w:val="00F72CF6"/>
    <w:rsid w:val="00F735B3"/>
    <w:rsid w:val="00F73BD0"/>
    <w:rsid w:val="00F7566C"/>
    <w:rsid w:val="00F84133"/>
    <w:rsid w:val="00F84AD5"/>
    <w:rsid w:val="00F907A8"/>
    <w:rsid w:val="00F942A4"/>
    <w:rsid w:val="00F942D0"/>
    <w:rsid w:val="00F94C32"/>
    <w:rsid w:val="00FA1586"/>
    <w:rsid w:val="00FA35FF"/>
    <w:rsid w:val="00FA4551"/>
    <w:rsid w:val="00FB2C65"/>
    <w:rsid w:val="00FB4B2C"/>
    <w:rsid w:val="00FC4799"/>
    <w:rsid w:val="00FC524E"/>
    <w:rsid w:val="00FD00AF"/>
    <w:rsid w:val="00FD075A"/>
    <w:rsid w:val="00FD1432"/>
    <w:rsid w:val="00FD2910"/>
    <w:rsid w:val="00FD46C0"/>
    <w:rsid w:val="00FD4721"/>
    <w:rsid w:val="00FD63DD"/>
    <w:rsid w:val="00FD6BED"/>
    <w:rsid w:val="00FD7EA4"/>
    <w:rsid w:val="00FE4778"/>
    <w:rsid w:val="00FE763C"/>
    <w:rsid w:val="00FF053E"/>
    <w:rsid w:val="00FF1C25"/>
    <w:rsid w:val="00FF290E"/>
    <w:rsid w:val="00FF638E"/>
    <w:rsid w:val="00FF68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7C"/>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E24C38"/>
    <w:pPr>
      <w:keepNext/>
      <w:spacing w:line="280" w:lineRule="exact"/>
      <w:outlineLvl w:val="0"/>
    </w:pPr>
    <w:rPr>
      <w:rFonts w:ascii="Arial" w:eastAsia="Times New Roman" w:hAnsi="Arial" w:cs="Arial"/>
      <w:b/>
      <w:bCs/>
      <w:color w:val="000000"/>
      <w:spacing w:val="-2"/>
      <w:kern w:val="32"/>
      <w:sz w:val="20"/>
      <w:szCs w:val="20"/>
      <w:lang w:val="en-GB" w:eastAsia="en-GB"/>
    </w:rPr>
  </w:style>
  <w:style w:type="paragraph" w:styleId="Heading2">
    <w:name w:val="heading 2"/>
    <w:basedOn w:val="Normal"/>
    <w:next w:val="Normal"/>
    <w:link w:val="Heading2Char"/>
    <w:unhideWhenUsed/>
    <w:qFormat/>
    <w:rsid w:val="00A05E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5ED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3A5B"/>
    <w:pPr>
      <w:ind w:left="720"/>
      <w:contextualSpacing/>
    </w:pPr>
  </w:style>
  <w:style w:type="character" w:styleId="CommentReference">
    <w:name w:val="annotation reference"/>
    <w:basedOn w:val="DefaultParagraphFont"/>
    <w:uiPriority w:val="99"/>
    <w:semiHidden/>
    <w:unhideWhenUsed/>
    <w:rsid w:val="0053562F"/>
    <w:rPr>
      <w:sz w:val="16"/>
      <w:szCs w:val="16"/>
    </w:rPr>
  </w:style>
  <w:style w:type="paragraph" w:styleId="CommentText">
    <w:name w:val="annotation text"/>
    <w:basedOn w:val="Normal"/>
    <w:link w:val="CommentTextChar"/>
    <w:uiPriority w:val="99"/>
    <w:semiHidden/>
    <w:unhideWhenUsed/>
    <w:rsid w:val="0053562F"/>
    <w:pPr>
      <w:spacing w:line="240" w:lineRule="auto"/>
    </w:pPr>
    <w:rPr>
      <w:sz w:val="20"/>
      <w:szCs w:val="20"/>
    </w:rPr>
  </w:style>
  <w:style w:type="character" w:customStyle="1" w:styleId="CommentTextChar">
    <w:name w:val="Comment Text Char"/>
    <w:basedOn w:val="DefaultParagraphFont"/>
    <w:link w:val="CommentText"/>
    <w:uiPriority w:val="99"/>
    <w:semiHidden/>
    <w:rsid w:val="0053562F"/>
    <w:rPr>
      <w:sz w:val="20"/>
      <w:szCs w:val="20"/>
    </w:rPr>
  </w:style>
  <w:style w:type="paragraph" w:styleId="CommentSubject">
    <w:name w:val="annotation subject"/>
    <w:basedOn w:val="CommentText"/>
    <w:next w:val="CommentText"/>
    <w:link w:val="CommentSubjectChar"/>
    <w:uiPriority w:val="99"/>
    <w:semiHidden/>
    <w:unhideWhenUsed/>
    <w:rsid w:val="0053562F"/>
    <w:rPr>
      <w:b/>
      <w:bCs/>
    </w:rPr>
  </w:style>
  <w:style w:type="character" w:customStyle="1" w:styleId="CommentSubjectChar">
    <w:name w:val="Comment Subject Char"/>
    <w:basedOn w:val="CommentTextChar"/>
    <w:link w:val="CommentSubject"/>
    <w:uiPriority w:val="99"/>
    <w:semiHidden/>
    <w:rsid w:val="0053562F"/>
    <w:rPr>
      <w:b/>
      <w:bCs/>
      <w:sz w:val="20"/>
      <w:szCs w:val="20"/>
    </w:rPr>
  </w:style>
  <w:style w:type="paragraph" w:styleId="BalloonText">
    <w:name w:val="Balloon Text"/>
    <w:basedOn w:val="Normal"/>
    <w:link w:val="BalloonTextChar"/>
    <w:uiPriority w:val="99"/>
    <w:semiHidden/>
    <w:unhideWhenUsed/>
    <w:rsid w:val="005356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62F"/>
    <w:rPr>
      <w:rFonts w:ascii="Segoe UI" w:hAnsi="Segoe UI" w:cs="Segoe UI"/>
      <w:sz w:val="18"/>
      <w:szCs w:val="18"/>
    </w:rPr>
  </w:style>
  <w:style w:type="paragraph" w:styleId="NormalWeb">
    <w:name w:val="Normal (Web)"/>
    <w:basedOn w:val="Normal"/>
    <w:uiPriority w:val="99"/>
    <w:unhideWhenUsed/>
    <w:rsid w:val="00041F2E"/>
    <w:pPr>
      <w:spacing w:before="100" w:beforeAutospacing="1" w:after="100" w:afterAutospacing="1" w:line="240" w:lineRule="auto"/>
    </w:pPr>
    <w:rPr>
      <w:rFonts w:eastAsia="Times New Roman" w:cs="Times New Roman"/>
      <w:szCs w:val="24"/>
      <w:lang w:eastAsia="en-ZA"/>
    </w:rPr>
  </w:style>
  <w:style w:type="paragraph" w:styleId="BodyText">
    <w:name w:val="Body Text"/>
    <w:basedOn w:val="Normal"/>
    <w:link w:val="BodyTextChar"/>
    <w:rsid w:val="00AB1C36"/>
    <w:pPr>
      <w:spacing w:line="240" w:lineRule="auto"/>
    </w:pPr>
    <w:rPr>
      <w:rFonts w:eastAsia="Times New Roman" w:cs="Times New Roman"/>
      <w:szCs w:val="20"/>
      <w:lang w:val="en-GB" w:eastAsia="en-GB"/>
    </w:rPr>
  </w:style>
  <w:style w:type="character" w:customStyle="1" w:styleId="BodyTextChar">
    <w:name w:val="Body Text Char"/>
    <w:basedOn w:val="DefaultParagraphFont"/>
    <w:link w:val="BodyText"/>
    <w:rsid w:val="00AB1C36"/>
    <w:rPr>
      <w:rFonts w:ascii="Times New Roman" w:eastAsia="Times New Roman" w:hAnsi="Times New Roman" w:cs="Times New Roman"/>
      <w:sz w:val="24"/>
      <w:szCs w:val="20"/>
      <w:lang w:val="en-GB" w:eastAsia="en-GB"/>
    </w:rPr>
  </w:style>
  <w:style w:type="paragraph" w:customStyle="1" w:styleId="Default">
    <w:name w:val="Default"/>
    <w:rsid w:val="00635A5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63D19"/>
    <w:rPr>
      <w:b/>
      <w:bCs/>
    </w:rPr>
  </w:style>
  <w:style w:type="paragraph" w:styleId="FootnoteText">
    <w:name w:val="footnote text"/>
    <w:aliases w:val="Footnote Text Char1,Footnote Text Char Char,fn Char,ft"/>
    <w:basedOn w:val="Normal"/>
    <w:link w:val="FootnoteTextChar"/>
    <w:unhideWhenUsed/>
    <w:qFormat/>
    <w:rsid w:val="00B01B42"/>
    <w:pPr>
      <w:spacing w:line="240" w:lineRule="auto"/>
    </w:pPr>
    <w:rPr>
      <w:sz w:val="20"/>
      <w:szCs w:val="20"/>
    </w:rPr>
  </w:style>
  <w:style w:type="character" w:customStyle="1" w:styleId="FootnoteTextChar">
    <w:name w:val="Footnote Text Char"/>
    <w:aliases w:val="Footnote Text Char1 Char,Footnote Text Char Char Char,fn Char Char,ft Char"/>
    <w:basedOn w:val="DefaultParagraphFont"/>
    <w:link w:val="FootnoteText"/>
    <w:rsid w:val="00B01B42"/>
    <w:rPr>
      <w:sz w:val="20"/>
      <w:szCs w:val="20"/>
    </w:rPr>
  </w:style>
  <w:style w:type="character" w:styleId="FootnoteReference">
    <w:name w:val="footnote reference"/>
    <w:aliases w:val="ftref,Ref,de nota al pie"/>
    <w:basedOn w:val="DefaultParagraphFont"/>
    <w:unhideWhenUsed/>
    <w:rsid w:val="00B01B42"/>
    <w:rPr>
      <w:vertAlign w:val="superscript"/>
    </w:rPr>
  </w:style>
  <w:style w:type="paragraph" w:styleId="Header">
    <w:name w:val="header"/>
    <w:basedOn w:val="Normal"/>
    <w:link w:val="HeaderChar"/>
    <w:uiPriority w:val="99"/>
    <w:unhideWhenUsed/>
    <w:rsid w:val="005069AB"/>
    <w:pPr>
      <w:tabs>
        <w:tab w:val="center" w:pos="4513"/>
        <w:tab w:val="right" w:pos="9026"/>
      </w:tabs>
      <w:spacing w:line="240" w:lineRule="auto"/>
    </w:pPr>
  </w:style>
  <w:style w:type="character" w:customStyle="1" w:styleId="HeaderChar">
    <w:name w:val="Header Char"/>
    <w:basedOn w:val="DefaultParagraphFont"/>
    <w:link w:val="Header"/>
    <w:uiPriority w:val="99"/>
    <w:rsid w:val="005069AB"/>
  </w:style>
  <w:style w:type="paragraph" w:styleId="Footer">
    <w:name w:val="footer"/>
    <w:basedOn w:val="Normal"/>
    <w:link w:val="FooterChar"/>
    <w:uiPriority w:val="99"/>
    <w:unhideWhenUsed/>
    <w:rsid w:val="005069AB"/>
    <w:pPr>
      <w:tabs>
        <w:tab w:val="center" w:pos="4513"/>
        <w:tab w:val="right" w:pos="9026"/>
      </w:tabs>
      <w:spacing w:line="240" w:lineRule="auto"/>
    </w:pPr>
  </w:style>
  <w:style w:type="character" w:customStyle="1" w:styleId="FooterChar">
    <w:name w:val="Footer Char"/>
    <w:basedOn w:val="DefaultParagraphFont"/>
    <w:link w:val="Footer"/>
    <w:uiPriority w:val="99"/>
    <w:rsid w:val="005069AB"/>
  </w:style>
  <w:style w:type="paragraph" w:styleId="BodyTextIndent">
    <w:name w:val="Body Text Indent"/>
    <w:basedOn w:val="Normal"/>
    <w:link w:val="BodyTextIndentChar"/>
    <w:uiPriority w:val="99"/>
    <w:semiHidden/>
    <w:unhideWhenUsed/>
    <w:rsid w:val="00A76DF9"/>
    <w:pPr>
      <w:spacing w:after="120"/>
      <w:ind w:left="283"/>
    </w:pPr>
  </w:style>
  <w:style w:type="character" w:customStyle="1" w:styleId="BodyTextIndentChar">
    <w:name w:val="Body Text Indent Char"/>
    <w:basedOn w:val="DefaultParagraphFont"/>
    <w:link w:val="BodyTextIndent"/>
    <w:uiPriority w:val="99"/>
    <w:semiHidden/>
    <w:rsid w:val="00A76DF9"/>
  </w:style>
  <w:style w:type="character" w:customStyle="1" w:styleId="ListParagraphChar">
    <w:name w:val="List Paragraph Char"/>
    <w:basedOn w:val="DefaultParagraphFont"/>
    <w:link w:val="ListParagraph"/>
    <w:uiPriority w:val="34"/>
    <w:locked/>
    <w:rsid w:val="00A76DF9"/>
  </w:style>
  <w:style w:type="paragraph" w:styleId="BodyText2">
    <w:name w:val="Body Text 2"/>
    <w:basedOn w:val="Normal"/>
    <w:link w:val="BodyText2Char"/>
    <w:uiPriority w:val="99"/>
    <w:semiHidden/>
    <w:unhideWhenUsed/>
    <w:rsid w:val="002965BC"/>
    <w:pPr>
      <w:spacing w:after="120" w:line="480" w:lineRule="auto"/>
    </w:pPr>
  </w:style>
  <w:style w:type="character" w:customStyle="1" w:styleId="BodyText2Char">
    <w:name w:val="Body Text 2 Char"/>
    <w:basedOn w:val="DefaultParagraphFont"/>
    <w:link w:val="BodyText2"/>
    <w:uiPriority w:val="99"/>
    <w:semiHidden/>
    <w:rsid w:val="002965BC"/>
  </w:style>
  <w:style w:type="character" w:customStyle="1" w:styleId="Heading1Char">
    <w:name w:val="Heading 1 Char"/>
    <w:basedOn w:val="DefaultParagraphFont"/>
    <w:link w:val="Heading1"/>
    <w:rsid w:val="00E24C38"/>
    <w:rPr>
      <w:rFonts w:ascii="Arial" w:eastAsia="Times New Roman" w:hAnsi="Arial" w:cs="Arial"/>
      <w:b/>
      <w:bCs/>
      <w:color w:val="000000"/>
      <w:spacing w:val="-2"/>
      <w:kern w:val="32"/>
      <w:sz w:val="20"/>
      <w:szCs w:val="20"/>
      <w:lang w:val="en-GB" w:eastAsia="en-GB"/>
    </w:rPr>
  </w:style>
  <w:style w:type="paragraph" w:customStyle="1" w:styleId="default0">
    <w:name w:val="default"/>
    <w:basedOn w:val="Normal"/>
    <w:rsid w:val="00C36DEB"/>
    <w:pPr>
      <w:spacing w:before="100" w:beforeAutospacing="1" w:after="100" w:afterAutospacing="1" w:line="240" w:lineRule="auto"/>
    </w:pPr>
    <w:rPr>
      <w:rFonts w:eastAsia="Times New Roman" w:cs="Times New Roman"/>
      <w:szCs w:val="24"/>
      <w:lang w:eastAsia="en-ZA"/>
    </w:rPr>
  </w:style>
  <w:style w:type="table" w:styleId="TableGrid">
    <w:name w:val="Table Grid"/>
    <w:basedOn w:val="TableNormal"/>
    <w:uiPriority w:val="39"/>
    <w:rsid w:val="005A3646"/>
    <w:pPr>
      <w:spacing w:after="0" w:line="240" w:lineRule="auto"/>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DefaultParagraphFont"/>
    <w:rsid w:val="00797227"/>
  </w:style>
  <w:style w:type="character" w:customStyle="1" w:styleId="s4">
    <w:name w:val="s4"/>
    <w:basedOn w:val="DefaultParagraphFont"/>
    <w:rsid w:val="00797227"/>
  </w:style>
  <w:style w:type="character" w:customStyle="1" w:styleId="Heading2Char">
    <w:name w:val="Heading 2 Char"/>
    <w:basedOn w:val="DefaultParagraphFont"/>
    <w:link w:val="Heading2"/>
    <w:uiPriority w:val="9"/>
    <w:semiHidden/>
    <w:rsid w:val="00A05E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05EDB"/>
    <w:rPr>
      <w:rFonts w:asciiTheme="majorHAnsi" w:eastAsiaTheme="majorEastAsia" w:hAnsiTheme="majorHAnsi" w:cstheme="majorBidi"/>
      <w:color w:val="1F4D78" w:themeColor="accent1" w:themeShade="7F"/>
      <w:sz w:val="24"/>
      <w:szCs w:val="24"/>
    </w:rPr>
  </w:style>
  <w:style w:type="character" w:customStyle="1" w:styleId="A5">
    <w:name w:val="A5"/>
    <w:uiPriority w:val="99"/>
    <w:rsid w:val="008178FF"/>
    <w:rPr>
      <w:rFonts w:cs="HelveticaNeueLT Std Lt"/>
      <w:color w:val="000000"/>
      <w:sz w:val="18"/>
      <w:szCs w:val="18"/>
    </w:rPr>
  </w:style>
  <w:style w:type="paragraph" w:styleId="Revision">
    <w:name w:val="Revision"/>
    <w:hidden/>
    <w:uiPriority w:val="99"/>
    <w:semiHidden/>
    <w:rsid w:val="002000CC"/>
    <w:pPr>
      <w:spacing w:after="0" w:line="240" w:lineRule="auto"/>
    </w:pPr>
  </w:style>
  <w:style w:type="numbering" w:customStyle="1" w:styleId="ImportedStyle28">
    <w:name w:val="Imported Style 28"/>
    <w:rsid w:val="00C5381E"/>
    <w:pPr>
      <w:numPr>
        <w:numId w:val="9"/>
      </w:numPr>
    </w:pPr>
  </w:style>
  <w:style w:type="character" w:customStyle="1" w:styleId="BodyChar1">
    <w:name w:val="Body Char1"/>
    <w:link w:val="Body"/>
    <w:uiPriority w:val="99"/>
    <w:locked/>
    <w:rsid w:val="00DF39BA"/>
    <w:rPr>
      <w:rFonts w:ascii="Calibri" w:eastAsia="Calibri" w:hAnsi="Calibri"/>
    </w:rPr>
  </w:style>
  <w:style w:type="paragraph" w:customStyle="1" w:styleId="Body">
    <w:name w:val="Body"/>
    <w:basedOn w:val="Normal"/>
    <w:link w:val="BodyChar1"/>
    <w:uiPriority w:val="99"/>
    <w:qFormat/>
    <w:rsid w:val="00DF39BA"/>
    <w:pPr>
      <w:spacing w:after="200" w:line="276" w:lineRule="auto"/>
      <w:jc w:val="left"/>
    </w:pPr>
    <w:rPr>
      <w:rFonts w:ascii="Calibri" w:eastAsia="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7C"/>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E24C38"/>
    <w:pPr>
      <w:keepNext/>
      <w:spacing w:line="280" w:lineRule="exact"/>
      <w:outlineLvl w:val="0"/>
    </w:pPr>
    <w:rPr>
      <w:rFonts w:ascii="Arial" w:eastAsia="Times New Roman" w:hAnsi="Arial" w:cs="Arial"/>
      <w:b/>
      <w:bCs/>
      <w:color w:val="000000"/>
      <w:spacing w:val="-2"/>
      <w:kern w:val="32"/>
      <w:sz w:val="20"/>
      <w:szCs w:val="20"/>
      <w:lang w:val="en-GB" w:eastAsia="en-GB"/>
    </w:rPr>
  </w:style>
  <w:style w:type="paragraph" w:styleId="Heading2">
    <w:name w:val="heading 2"/>
    <w:basedOn w:val="Normal"/>
    <w:next w:val="Normal"/>
    <w:link w:val="Heading2Char"/>
    <w:unhideWhenUsed/>
    <w:qFormat/>
    <w:rsid w:val="00A05E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5ED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3A5B"/>
    <w:pPr>
      <w:ind w:left="720"/>
      <w:contextualSpacing/>
    </w:pPr>
  </w:style>
  <w:style w:type="character" w:styleId="CommentReference">
    <w:name w:val="annotation reference"/>
    <w:basedOn w:val="DefaultParagraphFont"/>
    <w:uiPriority w:val="99"/>
    <w:semiHidden/>
    <w:unhideWhenUsed/>
    <w:rsid w:val="0053562F"/>
    <w:rPr>
      <w:sz w:val="16"/>
      <w:szCs w:val="16"/>
    </w:rPr>
  </w:style>
  <w:style w:type="paragraph" w:styleId="CommentText">
    <w:name w:val="annotation text"/>
    <w:basedOn w:val="Normal"/>
    <w:link w:val="CommentTextChar"/>
    <w:uiPriority w:val="99"/>
    <w:semiHidden/>
    <w:unhideWhenUsed/>
    <w:rsid w:val="0053562F"/>
    <w:pPr>
      <w:spacing w:line="240" w:lineRule="auto"/>
    </w:pPr>
    <w:rPr>
      <w:sz w:val="20"/>
      <w:szCs w:val="20"/>
    </w:rPr>
  </w:style>
  <w:style w:type="character" w:customStyle="1" w:styleId="CommentTextChar">
    <w:name w:val="Comment Text Char"/>
    <w:basedOn w:val="DefaultParagraphFont"/>
    <w:link w:val="CommentText"/>
    <w:uiPriority w:val="99"/>
    <w:semiHidden/>
    <w:rsid w:val="0053562F"/>
    <w:rPr>
      <w:sz w:val="20"/>
      <w:szCs w:val="20"/>
    </w:rPr>
  </w:style>
  <w:style w:type="paragraph" w:styleId="CommentSubject">
    <w:name w:val="annotation subject"/>
    <w:basedOn w:val="CommentText"/>
    <w:next w:val="CommentText"/>
    <w:link w:val="CommentSubjectChar"/>
    <w:uiPriority w:val="99"/>
    <w:semiHidden/>
    <w:unhideWhenUsed/>
    <w:rsid w:val="0053562F"/>
    <w:rPr>
      <w:b/>
      <w:bCs/>
    </w:rPr>
  </w:style>
  <w:style w:type="character" w:customStyle="1" w:styleId="CommentSubjectChar">
    <w:name w:val="Comment Subject Char"/>
    <w:basedOn w:val="CommentTextChar"/>
    <w:link w:val="CommentSubject"/>
    <w:uiPriority w:val="99"/>
    <w:semiHidden/>
    <w:rsid w:val="0053562F"/>
    <w:rPr>
      <w:b/>
      <w:bCs/>
      <w:sz w:val="20"/>
      <w:szCs w:val="20"/>
    </w:rPr>
  </w:style>
  <w:style w:type="paragraph" w:styleId="BalloonText">
    <w:name w:val="Balloon Text"/>
    <w:basedOn w:val="Normal"/>
    <w:link w:val="BalloonTextChar"/>
    <w:uiPriority w:val="99"/>
    <w:semiHidden/>
    <w:unhideWhenUsed/>
    <w:rsid w:val="005356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62F"/>
    <w:rPr>
      <w:rFonts w:ascii="Segoe UI" w:hAnsi="Segoe UI" w:cs="Segoe UI"/>
      <w:sz w:val="18"/>
      <w:szCs w:val="18"/>
    </w:rPr>
  </w:style>
  <w:style w:type="paragraph" w:styleId="NormalWeb">
    <w:name w:val="Normal (Web)"/>
    <w:basedOn w:val="Normal"/>
    <w:uiPriority w:val="99"/>
    <w:unhideWhenUsed/>
    <w:rsid w:val="00041F2E"/>
    <w:pPr>
      <w:spacing w:before="100" w:beforeAutospacing="1" w:after="100" w:afterAutospacing="1" w:line="240" w:lineRule="auto"/>
    </w:pPr>
    <w:rPr>
      <w:rFonts w:eastAsia="Times New Roman" w:cs="Times New Roman"/>
      <w:szCs w:val="24"/>
      <w:lang w:eastAsia="en-ZA"/>
    </w:rPr>
  </w:style>
  <w:style w:type="paragraph" w:styleId="BodyText">
    <w:name w:val="Body Text"/>
    <w:basedOn w:val="Normal"/>
    <w:link w:val="BodyTextChar"/>
    <w:rsid w:val="00AB1C36"/>
    <w:pPr>
      <w:spacing w:line="240" w:lineRule="auto"/>
    </w:pPr>
    <w:rPr>
      <w:rFonts w:eastAsia="Times New Roman" w:cs="Times New Roman"/>
      <w:szCs w:val="20"/>
      <w:lang w:val="en-GB" w:eastAsia="en-GB"/>
    </w:rPr>
  </w:style>
  <w:style w:type="character" w:customStyle="1" w:styleId="BodyTextChar">
    <w:name w:val="Body Text Char"/>
    <w:basedOn w:val="DefaultParagraphFont"/>
    <w:link w:val="BodyText"/>
    <w:rsid w:val="00AB1C36"/>
    <w:rPr>
      <w:rFonts w:ascii="Times New Roman" w:eastAsia="Times New Roman" w:hAnsi="Times New Roman" w:cs="Times New Roman"/>
      <w:sz w:val="24"/>
      <w:szCs w:val="20"/>
      <w:lang w:val="en-GB" w:eastAsia="en-GB"/>
    </w:rPr>
  </w:style>
  <w:style w:type="paragraph" w:customStyle="1" w:styleId="Default">
    <w:name w:val="Default"/>
    <w:rsid w:val="00635A5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63D19"/>
    <w:rPr>
      <w:b/>
      <w:bCs/>
    </w:rPr>
  </w:style>
  <w:style w:type="paragraph" w:styleId="FootnoteText">
    <w:name w:val="footnote text"/>
    <w:aliases w:val="Footnote Text Char1,Footnote Text Char Char,fn Char,ft"/>
    <w:basedOn w:val="Normal"/>
    <w:link w:val="FootnoteTextChar"/>
    <w:unhideWhenUsed/>
    <w:qFormat/>
    <w:rsid w:val="00B01B42"/>
    <w:pPr>
      <w:spacing w:line="240" w:lineRule="auto"/>
    </w:pPr>
    <w:rPr>
      <w:sz w:val="20"/>
      <w:szCs w:val="20"/>
    </w:rPr>
  </w:style>
  <w:style w:type="character" w:customStyle="1" w:styleId="FootnoteTextChar">
    <w:name w:val="Footnote Text Char"/>
    <w:aliases w:val="Footnote Text Char1 Char,Footnote Text Char Char Char,fn Char Char,ft Char"/>
    <w:basedOn w:val="DefaultParagraphFont"/>
    <w:link w:val="FootnoteText"/>
    <w:rsid w:val="00B01B42"/>
    <w:rPr>
      <w:sz w:val="20"/>
      <w:szCs w:val="20"/>
    </w:rPr>
  </w:style>
  <w:style w:type="character" w:styleId="FootnoteReference">
    <w:name w:val="footnote reference"/>
    <w:aliases w:val="ftref,Ref,de nota al pie"/>
    <w:basedOn w:val="DefaultParagraphFont"/>
    <w:unhideWhenUsed/>
    <w:rsid w:val="00B01B42"/>
    <w:rPr>
      <w:vertAlign w:val="superscript"/>
    </w:rPr>
  </w:style>
  <w:style w:type="paragraph" w:styleId="Header">
    <w:name w:val="header"/>
    <w:basedOn w:val="Normal"/>
    <w:link w:val="HeaderChar"/>
    <w:uiPriority w:val="99"/>
    <w:unhideWhenUsed/>
    <w:rsid w:val="005069AB"/>
    <w:pPr>
      <w:tabs>
        <w:tab w:val="center" w:pos="4513"/>
        <w:tab w:val="right" w:pos="9026"/>
      </w:tabs>
      <w:spacing w:line="240" w:lineRule="auto"/>
    </w:pPr>
  </w:style>
  <w:style w:type="character" w:customStyle="1" w:styleId="HeaderChar">
    <w:name w:val="Header Char"/>
    <w:basedOn w:val="DefaultParagraphFont"/>
    <w:link w:val="Header"/>
    <w:uiPriority w:val="99"/>
    <w:rsid w:val="005069AB"/>
  </w:style>
  <w:style w:type="paragraph" w:styleId="Footer">
    <w:name w:val="footer"/>
    <w:basedOn w:val="Normal"/>
    <w:link w:val="FooterChar"/>
    <w:uiPriority w:val="99"/>
    <w:unhideWhenUsed/>
    <w:rsid w:val="005069AB"/>
    <w:pPr>
      <w:tabs>
        <w:tab w:val="center" w:pos="4513"/>
        <w:tab w:val="right" w:pos="9026"/>
      </w:tabs>
      <w:spacing w:line="240" w:lineRule="auto"/>
    </w:pPr>
  </w:style>
  <w:style w:type="character" w:customStyle="1" w:styleId="FooterChar">
    <w:name w:val="Footer Char"/>
    <w:basedOn w:val="DefaultParagraphFont"/>
    <w:link w:val="Footer"/>
    <w:uiPriority w:val="99"/>
    <w:rsid w:val="005069AB"/>
  </w:style>
  <w:style w:type="paragraph" w:styleId="BodyTextIndent">
    <w:name w:val="Body Text Indent"/>
    <w:basedOn w:val="Normal"/>
    <w:link w:val="BodyTextIndentChar"/>
    <w:uiPriority w:val="99"/>
    <w:semiHidden/>
    <w:unhideWhenUsed/>
    <w:rsid w:val="00A76DF9"/>
    <w:pPr>
      <w:spacing w:after="120"/>
      <w:ind w:left="283"/>
    </w:pPr>
  </w:style>
  <w:style w:type="character" w:customStyle="1" w:styleId="BodyTextIndentChar">
    <w:name w:val="Body Text Indent Char"/>
    <w:basedOn w:val="DefaultParagraphFont"/>
    <w:link w:val="BodyTextIndent"/>
    <w:uiPriority w:val="99"/>
    <w:semiHidden/>
    <w:rsid w:val="00A76DF9"/>
  </w:style>
  <w:style w:type="character" w:customStyle="1" w:styleId="ListParagraphChar">
    <w:name w:val="List Paragraph Char"/>
    <w:basedOn w:val="DefaultParagraphFont"/>
    <w:link w:val="ListParagraph"/>
    <w:uiPriority w:val="34"/>
    <w:locked/>
    <w:rsid w:val="00A76DF9"/>
  </w:style>
  <w:style w:type="paragraph" w:styleId="BodyText2">
    <w:name w:val="Body Text 2"/>
    <w:basedOn w:val="Normal"/>
    <w:link w:val="BodyText2Char"/>
    <w:uiPriority w:val="99"/>
    <w:semiHidden/>
    <w:unhideWhenUsed/>
    <w:rsid w:val="002965BC"/>
    <w:pPr>
      <w:spacing w:after="120" w:line="480" w:lineRule="auto"/>
    </w:pPr>
  </w:style>
  <w:style w:type="character" w:customStyle="1" w:styleId="BodyText2Char">
    <w:name w:val="Body Text 2 Char"/>
    <w:basedOn w:val="DefaultParagraphFont"/>
    <w:link w:val="BodyText2"/>
    <w:uiPriority w:val="99"/>
    <w:semiHidden/>
    <w:rsid w:val="002965BC"/>
  </w:style>
  <w:style w:type="character" w:customStyle="1" w:styleId="Heading1Char">
    <w:name w:val="Heading 1 Char"/>
    <w:basedOn w:val="DefaultParagraphFont"/>
    <w:link w:val="Heading1"/>
    <w:rsid w:val="00E24C38"/>
    <w:rPr>
      <w:rFonts w:ascii="Arial" w:eastAsia="Times New Roman" w:hAnsi="Arial" w:cs="Arial"/>
      <w:b/>
      <w:bCs/>
      <w:color w:val="000000"/>
      <w:spacing w:val="-2"/>
      <w:kern w:val="32"/>
      <w:sz w:val="20"/>
      <w:szCs w:val="20"/>
      <w:lang w:val="en-GB" w:eastAsia="en-GB"/>
    </w:rPr>
  </w:style>
  <w:style w:type="paragraph" w:customStyle="1" w:styleId="default0">
    <w:name w:val="default"/>
    <w:basedOn w:val="Normal"/>
    <w:rsid w:val="00C36DEB"/>
    <w:pPr>
      <w:spacing w:before="100" w:beforeAutospacing="1" w:after="100" w:afterAutospacing="1" w:line="240" w:lineRule="auto"/>
    </w:pPr>
    <w:rPr>
      <w:rFonts w:eastAsia="Times New Roman" w:cs="Times New Roman"/>
      <w:szCs w:val="24"/>
      <w:lang w:eastAsia="en-ZA"/>
    </w:rPr>
  </w:style>
  <w:style w:type="table" w:styleId="TableGrid">
    <w:name w:val="Table Grid"/>
    <w:basedOn w:val="TableNormal"/>
    <w:uiPriority w:val="39"/>
    <w:rsid w:val="005A3646"/>
    <w:pPr>
      <w:spacing w:after="0" w:line="240" w:lineRule="auto"/>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DefaultParagraphFont"/>
    <w:rsid w:val="00797227"/>
  </w:style>
  <w:style w:type="character" w:customStyle="1" w:styleId="s4">
    <w:name w:val="s4"/>
    <w:basedOn w:val="DefaultParagraphFont"/>
    <w:rsid w:val="00797227"/>
  </w:style>
  <w:style w:type="character" w:customStyle="1" w:styleId="Heading2Char">
    <w:name w:val="Heading 2 Char"/>
    <w:basedOn w:val="DefaultParagraphFont"/>
    <w:link w:val="Heading2"/>
    <w:uiPriority w:val="9"/>
    <w:semiHidden/>
    <w:rsid w:val="00A05E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05EDB"/>
    <w:rPr>
      <w:rFonts w:asciiTheme="majorHAnsi" w:eastAsiaTheme="majorEastAsia" w:hAnsiTheme="majorHAnsi" w:cstheme="majorBidi"/>
      <w:color w:val="1F4D78" w:themeColor="accent1" w:themeShade="7F"/>
      <w:sz w:val="24"/>
      <w:szCs w:val="24"/>
    </w:rPr>
  </w:style>
  <w:style w:type="character" w:customStyle="1" w:styleId="A5">
    <w:name w:val="A5"/>
    <w:uiPriority w:val="99"/>
    <w:rsid w:val="008178FF"/>
    <w:rPr>
      <w:rFonts w:cs="HelveticaNeueLT Std Lt"/>
      <w:color w:val="000000"/>
      <w:sz w:val="18"/>
      <w:szCs w:val="18"/>
    </w:rPr>
  </w:style>
  <w:style w:type="paragraph" w:styleId="Revision">
    <w:name w:val="Revision"/>
    <w:hidden/>
    <w:uiPriority w:val="99"/>
    <w:semiHidden/>
    <w:rsid w:val="002000CC"/>
    <w:pPr>
      <w:spacing w:after="0" w:line="240" w:lineRule="auto"/>
    </w:pPr>
  </w:style>
  <w:style w:type="numbering" w:customStyle="1" w:styleId="ImportedStyle28">
    <w:name w:val="Imported Style 28"/>
    <w:rsid w:val="00C5381E"/>
    <w:pPr>
      <w:numPr>
        <w:numId w:val="9"/>
      </w:numPr>
    </w:pPr>
  </w:style>
  <w:style w:type="character" w:customStyle="1" w:styleId="BodyChar1">
    <w:name w:val="Body Char1"/>
    <w:link w:val="Body"/>
    <w:uiPriority w:val="99"/>
    <w:locked/>
    <w:rsid w:val="00DF39BA"/>
    <w:rPr>
      <w:rFonts w:ascii="Calibri" w:eastAsia="Calibri" w:hAnsi="Calibri"/>
    </w:rPr>
  </w:style>
  <w:style w:type="paragraph" w:customStyle="1" w:styleId="Body">
    <w:name w:val="Body"/>
    <w:basedOn w:val="Normal"/>
    <w:link w:val="BodyChar1"/>
    <w:uiPriority w:val="99"/>
    <w:qFormat/>
    <w:rsid w:val="00DF39BA"/>
    <w:pPr>
      <w:spacing w:after="200" w:line="276" w:lineRule="auto"/>
      <w:jc w:val="left"/>
    </w:pPr>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227">
      <w:bodyDiv w:val="1"/>
      <w:marLeft w:val="0"/>
      <w:marRight w:val="0"/>
      <w:marTop w:val="0"/>
      <w:marBottom w:val="0"/>
      <w:divBdr>
        <w:top w:val="none" w:sz="0" w:space="0" w:color="auto"/>
        <w:left w:val="none" w:sz="0" w:space="0" w:color="auto"/>
        <w:bottom w:val="none" w:sz="0" w:space="0" w:color="auto"/>
        <w:right w:val="none" w:sz="0" w:space="0" w:color="auto"/>
      </w:divBdr>
      <w:divsChild>
        <w:div w:id="1269581714">
          <w:marLeft w:val="547"/>
          <w:marRight w:val="0"/>
          <w:marTop w:val="0"/>
          <w:marBottom w:val="0"/>
          <w:divBdr>
            <w:top w:val="none" w:sz="0" w:space="0" w:color="auto"/>
            <w:left w:val="none" w:sz="0" w:space="0" w:color="auto"/>
            <w:bottom w:val="none" w:sz="0" w:space="0" w:color="auto"/>
            <w:right w:val="none" w:sz="0" w:space="0" w:color="auto"/>
          </w:divBdr>
        </w:div>
        <w:div w:id="609822356">
          <w:marLeft w:val="547"/>
          <w:marRight w:val="0"/>
          <w:marTop w:val="0"/>
          <w:marBottom w:val="0"/>
          <w:divBdr>
            <w:top w:val="none" w:sz="0" w:space="0" w:color="auto"/>
            <w:left w:val="none" w:sz="0" w:space="0" w:color="auto"/>
            <w:bottom w:val="none" w:sz="0" w:space="0" w:color="auto"/>
            <w:right w:val="none" w:sz="0" w:space="0" w:color="auto"/>
          </w:divBdr>
        </w:div>
      </w:divsChild>
    </w:div>
    <w:div w:id="34014346">
      <w:bodyDiv w:val="1"/>
      <w:marLeft w:val="0"/>
      <w:marRight w:val="0"/>
      <w:marTop w:val="0"/>
      <w:marBottom w:val="0"/>
      <w:divBdr>
        <w:top w:val="none" w:sz="0" w:space="0" w:color="auto"/>
        <w:left w:val="none" w:sz="0" w:space="0" w:color="auto"/>
        <w:bottom w:val="none" w:sz="0" w:space="0" w:color="auto"/>
        <w:right w:val="none" w:sz="0" w:space="0" w:color="auto"/>
      </w:divBdr>
    </w:div>
    <w:div w:id="173112055">
      <w:bodyDiv w:val="1"/>
      <w:marLeft w:val="0"/>
      <w:marRight w:val="0"/>
      <w:marTop w:val="0"/>
      <w:marBottom w:val="0"/>
      <w:divBdr>
        <w:top w:val="none" w:sz="0" w:space="0" w:color="auto"/>
        <w:left w:val="none" w:sz="0" w:space="0" w:color="auto"/>
        <w:bottom w:val="none" w:sz="0" w:space="0" w:color="auto"/>
        <w:right w:val="none" w:sz="0" w:space="0" w:color="auto"/>
      </w:divBdr>
    </w:div>
    <w:div w:id="184907162">
      <w:bodyDiv w:val="1"/>
      <w:marLeft w:val="0"/>
      <w:marRight w:val="0"/>
      <w:marTop w:val="0"/>
      <w:marBottom w:val="0"/>
      <w:divBdr>
        <w:top w:val="none" w:sz="0" w:space="0" w:color="auto"/>
        <w:left w:val="none" w:sz="0" w:space="0" w:color="auto"/>
        <w:bottom w:val="none" w:sz="0" w:space="0" w:color="auto"/>
        <w:right w:val="none" w:sz="0" w:space="0" w:color="auto"/>
      </w:divBdr>
      <w:divsChild>
        <w:div w:id="1059011953">
          <w:marLeft w:val="547"/>
          <w:marRight w:val="0"/>
          <w:marTop w:val="0"/>
          <w:marBottom w:val="0"/>
          <w:divBdr>
            <w:top w:val="none" w:sz="0" w:space="0" w:color="auto"/>
            <w:left w:val="none" w:sz="0" w:space="0" w:color="auto"/>
            <w:bottom w:val="none" w:sz="0" w:space="0" w:color="auto"/>
            <w:right w:val="none" w:sz="0" w:space="0" w:color="auto"/>
          </w:divBdr>
        </w:div>
        <w:div w:id="617879690">
          <w:marLeft w:val="547"/>
          <w:marRight w:val="0"/>
          <w:marTop w:val="0"/>
          <w:marBottom w:val="0"/>
          <w:divBdr>
            <w:top w:val="none" w:sz="0" w:space="0" w:color="auto"/>
            <w:left w:val="none" w:sz="0" w:space="0" w:color="auto"/>
            <w:bottom w:val="none" w:sz="0" w:space="0" w:color="auto"/>
            <w:right w:val="none" w:sz="0" w:space="0" w:color="auto"/>
          </w:divBdr>
        </w:div>
        <w:div w:id="1442260965">
          <w:marLeft w:val="547"/>
          <w:marRight w:val="0"/>
          <w:marTop w:val="0"/>
          <w:marBottom w:val="0"/>
          <w:divBdr>
            <w:top w:val="none" w:sz="0" w:space="0" w:color="auto"/>
            <w:left w:val="none" w:sz="0" w:space="0" w:color="auto"/>
            <w:bottom w:val="none" w:sz="0" w:space="0" w:color="auto"/>
            <w:right w:val="none" w:sz="0" w:space="0" w:color="auto"/>
          </w:divBdr>
        </w:div>
      </w:divsChild>
    </w:div>
    <w:div w:id="262886523">
      <w:bodyDiv w:val="1"/>
      <w:marLeft w:val="0"/>
      <w:marRight w:val="0"/>
      <w:marTop w:val="0"/>
      <w:marBottom w:val="0"/>
      <w:divBdr>
        <w:top w:val="none" w:sz="0" w:space="0" w:color="auto"/>
        <w:left w:val="none" w:sz="0" w:space="0" w:color="auto"/>
        <w:bottom w:val="none" w:sz="0" w:space="0" w:color="auto"/>
        <w:right w:val="none" w:sz="0" w:space="0" w:color="auto"/>
      </w:divBdr>
    </w:div>
    <w:div w:id="387261665">
      <w:bodyDiv w:val="1"/>
      <w:marLeft w:val="0"/>
      <w:marRight w:val="0"/>
      <w:marTop w:val="0"/>
      <w:marBottom w:val="0"/>
      <w:divBdr>
        <w:top w:val="none" w:sz="0" w:space="0" w:color="auto"/>
        <w:left w:val="none" w:sz="0" w:space="0" w:color="auto"/>
        <w:bottom w:val="none" w:sz="0" w:space="0" w:color="auto"/>
        <w:right w:val="none" w:sz="0" w:space="0" w:color="auto"/>
      </w:divBdr>
      <w:divsChild>
        <w:div w:id="462309896">
          <w:marLeft w:val="547"/>
          <w:marRight w:val="0"/>
          <w:marTop w:val="0"/>
          <w:marBottom w:val="0"/>
          <w:divBdr>
            <w:top w:val="none" w:sz="0" w:space="0" w:color="auto"/>
            <w:left w:val="none" w:sz="0" w:space="0" w:color="auto"/>
            <w:bottom w:val="none" w:sz="0" w:space="0" w:color="auto"/>
            <w:right w:val="none" w:sz="0" w:space="0" w:color="auto"/>
          </w:divBdr>
        </w:div>
        <w:div w:id="2143305109">
          <w:marLeft w:val="547"/>
          <w:marRight w:val="0"/>
          <w:marTop w:val="0"/>
          <w:marBottom w:val="0"/>
          <w:divBdr>
            <w:top w:val="none" w:sz="0" w:space="0" w:color="auto"/>
            <w:left w:val="none" w:sz="0" w:space="0" w:color="auto"/>
            <w:bottom w:val="none" w:sz="0" w:space="0" w:color="auto"/>
            <w:right w:val="none" w:sz="0" w:space="0" w:color="auto"/>
          </w:divBdr>
        </w:div>
      </w:divsChild>
    </w:div>
    <w:div w:id="448355589">
      <w:bodyDiv w:val="1"/>
      <w:marLeft w:val="0"/>
      <w:marRight w:val="0"/>
      <w:marTop w:val="0"/>
      <w:marBottom w:val="0"/>
      <w:divBdr>
        <w:top w:val="none" w:sz="0" w:space="0" w:color="auto"/>
        <w:left w:val="none" w:sz="0" w:space="0" w:color="auto"/>
        <w:bottom w:val="none" w:sz="0" w:space="0" w:color="auto"/>
        <w:right w:val="none" w:sz="0" w:space="0" w:color="auto"/>
      </w:divBdr>
      <w:divsChild>
        <w:div w:id="379983444">
          <w:marLeft w:val="0"/>
          <w:marRight w:val="0"/>
          <w:marTop w:val="0"/>
          <w:marBottom w:val="0"/>
          <w:divBdr>
            <w:top w:val="none" w:sz="0" w:space="0" w:color="auto"/>
            <w:left w:val="none" w:sz="0" w:space="0" w:color="auto"/>
            <w:bottom w:val="none" w:sz="0" w:space="0" w:color="auto"/>
            <w:right w:val="none" w:sz="0" w:space="0" w:color="auto"/>
          </w:divBdr>
        </w:div>
        <w:div w:id="553473137">
          <w:marLeft w:val="0"/>
          <w:marRight w:val="0"/>
          <w:marTop w:val="0"/>
          <w:marBottom w:val="0"/>
          <w:divBdr>
            <w:top w:val="none" w:sz="0" w:space="0" w:color="auto"/>
            <w:left w:val="none" w:sz="0" w:space="0" w:color="auto"/>
            <w:bottom w:val="none" w:sz="0" w:space="0" w:color="auto"/>
            <w:right w:val="none" w:sz="0" w:space="0" w:color="auto"/>
          </w:divBdr>
        </w:div>
      </w:divsChild>
    </w:div>
    <w:div w:id="514728222">
      <w:bodyDiv w:val="1"/>
      <w:marLeft w:val="0"/>
      <w:marRight w:val="0"/>
      <w:marTop w:val="0"/>
      <w:marBottom w:val="0"/>
      <w:divBdr>
        <w:top w:val="none" w:sz="0" w:space="0" w:color="auto"/>
        <w:left w:val="none" w:sz="0" w:space="0" w:color="auto"/>
        <w:bottom w:val="none" w:sz="0" w:space="0" w:color="auto"/>
        <w:right w:val="none" w:sz="0" w:space="0" w:color="auto"/>
      </w:divBdr>
    </w:div>
    <w:div w:id="615214377">
      <w:bodyDiv w:val="1"/>
      <w:marLeft w:val="0"/>
      <w:marRight w:val="0"/>
      <w:marTop w:val="0"/>
      <w:marBottom w:val="0"/>
      <w:divBdr>
        <w:top w:val="none" w:sz="0" w:space="0" w:color="auto"/>
        <w:left w:val="none" w:sz="0" w:space="0" w:color="auto"/>
        <w:bottom w:val="none" w:sz="0" w:space="0" w:color="auto"/>
        <w:right w:val="none" w:sz="0" w:space="0" w:color="auto"/>
      </w:divBdr>
      <w:divsChild>
        <w:div w:id="401684960">
          <w:marLeft w:val="0"/>
          <w:marRight w:val="0"/>
          <w:marTop w:val="0"/>
          <w:marBottom w:val="0"/>
          <w:divBdr>
            <w:top w:val="none" w:sz="0" w:space="0" w:color="auto"/>
            <w:left w:val="none" w:sz="0" w:space="0" w:color="auto"/>
            <w:bottom w:val="none" w:sz="0" w:space="0" w:color="auto"/>
            <w:right w:val="none" w:sz="0" w:space="0" w:color="auto"/>
          </w:divBdr>
        </w:div>
        <w:div w:id="520434417">
          <w:marLeft w:val="0"/>
          <w:marRight w:val="0"/>
          <w:marTop w:val="0"/>
          <w:marBottom w:val="0"/>
          <w:divBdr>
            <w:top w:val="none" w:sz="0" w:space="0" w:color="auto"/>
            <w:left w:val="none" w:sz="0" w:space="0" w:color="auto"/>
            <w:bottom w:val="none" w:sz="0" w:space="0" w:color="auto"/>
            <w:right w:val="none" w:sz="0" w:space="0" w:color="auto"/>
          </w:divBdr>
        </w:div>
        <w:div w:id="743069889">
          <w:marLeft w:val="0"/>
          <w:marRight w:val="0"/>
          <w:marTop w:val="0"/>
          <w:marBottom w:val="0"/>
          <w:divBdr>
            <w:top w:val="none" w:sz="0" w:space="0" w:color="auto"/>
            <w:left w:val="none" w:sz="0" w:space="0" w:color="auto"/>
            <w:bottom w:val="none" w:sz="0" w:space="0" w:color="auto"/>
            <w:right w:val="none" w:sz="0" w:space="0" w:color="auto"/>
          </w:divBdr>
        </w:div>
        <w:div w:id="988438826">
          <w:marLeft w:val="0"/>
          <w:marRight w:val="0"/>
          <w:marTop w:val="0"/>
          <w:marBottom w:val="0"/>
          <w:divBdr>
            <w:top w:val="none" w:sz="0" w:space="0" w:color="auto"/>
            <w:left w:val="none" w:sz="0" w:space="0" w:color="auto"/>
            <w:bottom w:val="none" w:sz="0" w:space="0" w:color="auto"/>
            <w:right w:val="none" w:sz="0" w:space="0" w:color="auto"/>
          </w:divBdr>
        </w:div>
        <w:div w:id="1259173970">
          <w:marLeft w:val="0"/>
          <w:marRight w:val="0"/>
          <w:marTop w:val="0"/>
          <w:marBottom w:val="0"/>
          <w:divBdr>
            <w:top w:val="none" w:sz="0" w:space="0" w:color="auto"/>
            <w:left w:val="none" w:sz="0" w:space="0" w:color="auto"/>
            <w:bottom w:val="none" w:sz="0" w:space="0" w:color="auto"/>
            <w:right w:val="none" w:sz="0" w:space="0" w:color="auto"/>
          </w:divBdr>
        </w:div>
        <w:div w:id="1306155015">
          <w:marLeft w:val="0"/>
          <w:marRight w:val="0"/>
          <w:marTop w:val="0"/>
          <w:marBottom w:val="0"/>
          <w:divBdr>
            <w:top w:val="none" w:sz="0" w:space="0" w:color="auto"/>
            <w:left w:val="none" w:sz="0" w:space="0" w:color="auto"/>
            <w:bottom w:val="none" w:sz="0" w:space="0" w:color="auto"/>
            <w:right w:val="none" w:sz="0" w:space="0" w:color="auto"/>
          </w:divBdr>
        </w:div>
        <w:div w:id="1309823203">
          <w:marLeft w:val="0"/>
          <w:marRight w:val="0"/>
          <w:marTop w:val="0"/>
          <w:marBottom w:val="0"/>
          <w:divBdr>
            <w:top w:val="none" w:sz="0" w:space="0" w:color="auto"/>
            <w:left w:val="none" w:sz="0" w:space="0" w:color="auto"/>
            <w:bottom w:val="none" w:sz="0" w:space="0" w:color="auto"/>
            <w:right w:val="none" w:sz="0" w:space="0" w:color="auto"/>
          </w:divBdr>
        </w:div>
        <w:div w:id="1351957337">
          <w:marLeft w:val="0"/>
          <w:marRight w:val="0"/>
          <w:marTop w:val="0"/>
          <w:marBottom w:val="0"/>
          <w:divBdr>
            <w:top w:val="none" w:sz="0" w:space="0" w:color="auto"/>
            <w:left w:val="none" w:sz="0" w:space="0" w:color="auto"/>
            <w:bottom w:val="none" w:sz="0" w:space="0" w:color="auto"/>
            <w:right w:val="none" w:sz="0" w:space="0" w:color="auto"/>
          </w:divBdr>
        </w:div>
        <w:div w:id="1741782697">
          <w:marLeft w:val="0"/>
          <w:marRight w:val="0"/>
          <w:marTop w:val="0"/>
          <w:marBottom w:val="0"/>
          <w:divBdr>
            <w:top w:val="none" w:sz="0" w:space="0" w:color="auto"/>
            <w:left w:val="none" w:sz="0" w:space="0" w:color="auto"/>
            <w:bottom w:val="none" w:sz="0" w:space="0" w:color="auto"/>
            <w:right w:val="none" w:sz="0" w:space="0" w:color="auto"/>
          </w:divBdr>
        </w:div>
        <w:div w:id="2122793891">
          <w:marLeft w:val="0"/>
          <w:marRight w:val="0"/>
          <w:marTop w:val="0"/>
          <w:marBottom w:val="0"/>
          <w:divBdr>
            <w:top w:val="none" w:sz="0" w:space="0" w:color="auto"/>
            <w:left w:val="none" w:sz="0" w:space="0" w:color="auto"/>
            <w:bottom w:val="none" w:sz="0" w:space="0" w:color="auto"/>
            <w:right w:val="none" w:sz="0" w:space="0" w:color="auto"/>
          </w:divBdr>
        </w:div>
      </w:divsChild>
    </w:div>
    <w:div w:id="651519198">
      <w:bodyDiv w:val="1"/>
      <w:marLeft w:val="0"/>
      <w:marRight w:val="0"/>
      <w:marTop w:val="0"/>
      <w:marBottom w:val="0"/>
      <w:divBdr>
        <w:top w:val="none" w:sz="0" w:space="0" w:color="auto"/>
        <w:left w:val="none" w:sz="0" w:space="0" w:color="auto"/>
        <w:bottom w:val="none" w:sz="0" w:space="0" w:color="auto"/>
        <w:right w:val="none" w:sz="0" w:space="0" w:color="auto"/>
      </w:divBdr>
    </w:div>
    <w:div w:id="754280000">
      <w:bodyDiv w:val="1"/>
      <w:marLeft w:val="0"/>
      <w:marRight w:val="0"/>
      <w:marTop w:val="0"/>
      <w:marBottom w:val="0"/>
      <w:divBdr>
        <w:top w:val="none" w:sz="0" w:space="0" w:color="auto"/>
        <w:left w:val="none" w:sz="0" w:space="0" w:color="auto"/>
        <w:bottom w:val="none" w:sz="0" w:space="0" w:color="auto"/>
        <w:right w:val="none" w:sz="0" w:space="0" w:color="auto"/>
      </w:divBdr>
      <w:divsChild>
        <w:div w:id="902717155">
          <w:marLeft w:val="547"/>
          <w:marRight w:val="0"/>
          <w:marTop w:val="0"/>
          <w:marBottom w:val="0"/>
          <w:divBdr>
            <w:top w:val="none" w:sz="0" w:space="0" w:color="auto"/>
            <w:left w:val="none" w:sz="0" w:space="0" w:color="auto"/>
            <w:bottom w:val="none" w:sz="0" w:space="0" w:color="auto"/>
            <w:right w:val="none" w:sz="0" w:space="0" w:color="auto"/>
          </w:divBdr>
        </w:div>
        <w:div w:id="1235120517">
          <w:marLeft w:val="547"/>
          <w:marRight w:val="0"/>
          <w:marTop w:val="0"/>
          <w:marBottom w:val="0"/>
          <w:divBdr>
            <w:top w:val="none" w:sz="0" w:space="0" w:color="auto"/>
            <w:left w:val="none" w:sz="0" w:space="0" w:color="auto"/>
            <w:bottom w:val="none" w:sz="0" w:space="0" w:color="auto"/>
            <w:right w:val="none" w:sz="0" w:space="0" w:color="auto"/>
          </w:divBdr>
        </w:div>
      </w:divsChild>
    </w:div>
    <w:div w:id="809249953">
      <w:bodyDiv w:val="1"/>
      <w:marLeft w:val="0"/>
      <w:marRight w:val="0"/>
      <w:marTop w:val="0"/>
      <w:marBottom w:val="0"/>
      <w:divBdr>
        <w:top w:val="none" w:sz="0" w:space="0" w:color="auto"/>
        <w:left w:val="none" w:sz="0" w:space="0" w:color="auto"/>
        <w:bottom w:val="none" w:sz="0" w:space="0" w:color="auto"/>
        <w:right w:val="none" w:sz="0" w:space="0" w:color="auto"/>
      </w:divBdr>
    </w:div>
    <w:div w:id="981421308">
      <w:bodyDiv w:val="1"/>
      <w:marLeft w:val="0"/>
      <w:marRight w:val="0"/>
      <w:marTop w:val="0"/>
      <w:marBottom w:val="0"/>
      <w:divBdr>
        <w:top w:val="none" w:sz="0" w:space="0" w:color="auto"/>
        <w:left w:val="none" w:sz="0" w:space="0" w:color="auto"/>
        <w:bottom w:val="none" w:sz="0" w:space="0" w:color="auto"/>
        <w:right w:val="none" w:sz="0" w:space="0" w:color="auto"/>
      </w:divBdr>
      <w:divsChild>
        <w:div w:id="1617251153">
          <w:marLeft w:val="547"/>
          <w:marRight w:val="0"/>
          <w:marTop w:val="0"/>
          <w:marBottom w:val="0"/>
          <w:divBdr>
            <w:top w:val="none" w:sz="0" w:space="0" w:color="auto"/>
            <w:left w:val="none" w:sz="0" w:space="0" w:color="auto"/>
            <w:bottom w:val="none" w:sz="0" w:space="0" w:color="auto"/>
            <w:right w:val="none" w:sz="0" w:space="0" w:color="auto"/>
          </w:divBdr>
        </w:div>
        <w:div w:id="451827756">
          <w:marLeft w:val="547"/>
          <w:marRight w:val="0"/>
          <w:marTop w:val="0"/>
          <w:marBottom w:val="0"/>
          <w:divBdr>
            <w:top w:val="none" w:sz="0" w:space="0" w:color="auto"/>
            <w:left w:val="none" w:sz="0" w:space="0" w:color="auto"/>
            <w:bottom w:val="none" w:sz="0" w:space="0" w:color="auto"/>
            <w:right w:val="none" w:sz="0" w:space="0" w:color="auto"/>
          </w:divBdr>
        </w:div>
      </w:divsChild>
    </w:div>
    <w:div w:id="1003969248">
      <w:bodyDiv w:val="1"/>
      <w:marLeft w:val="0"/>
      <w:marRight w:val="0"/>
      <w:marTop w:val="0"/>
      <w:marBottom w:val="0"/>
      <w:divBdr>
        <w:top w:val="none" w:sz="0" w:space="0" w:color="auto"/>
        <w:left w:val="none" w:sz="0" w:space="0" w:color="auto"/>
        <w:bottom w:val="none" w:sz="0" w:space="0" w:color="auto"/>
        <w:right w:val="none" w:sz="0" w:space="0" w:color="auto"/>
      </w:divBdr>
    </w:div>
    <w:div w:id="1050155380">
      <w:bodyDiv w:val="1"/>
      <w:marLeft w:val="0"/>
      <w:marRight w:val="0"/>
      <w:marTop w:val="0"/>
      <w:marBottom w:val="0"/>
      <w:divBdr>
        <w:top w:val="none" w:sz="0" w:space="0" w:color="auto"/>
        <w:left w:val="none" w:sz="0" w:space="0" w:color="auto"/>
        <w:bottom w:val="none" w:sz="0" w:space="0" w:color="auto"/>
        <w:right w:val="none" w:sz="0" w:space="0" w:color="auto"/>
      </w:divBdr>
    </w:div>
    <w:div w:id="1071586134">
      <w:bodyDiv w:val="1"/>
      <w:marLeft w:val="0"/>
      <w:marRight w:val="0"/>
      <w:marTop w:val="0"/>
      <w:marBottom w:val="0"/>
      <w:divBdr>
        <w:top w:val="none" w:sz="0" w:space="0" w:color="auto"/>
        <w:left w:val="none" w:sz="0" w:space="0" w:color="auto"/>
        <w:bottom w:val="none" w:sz="0" w:space="0" w:color="auto"/>
        <w:right w:val="none" w:sz="0" w:space="0" w:color="auto"/>
      </w:divBdr>
    </w:div>
    <w:div w:id="1086540192">
      <w:bodyDiv w:val="1"/>
      <w:marLeft w:val="0"/>
      <w:marRight w:val="0"/>
      <w:marTop w:val="0"/>
      <w:marBottom w:val="0"/>
      <w:divBdr>
        <w:top w:val="none" w:sz="0" w:space="0" w:color="auto"/>
        <w:left w:val="none" w:sz="0" w:space="0" w:color="auto"/>
        <w:bottom w:val="none" w:sz="0" w:space="0" w:color="auto"/>
        <w:right w:val="none" w:sz="0" w:space="0" w:color="auto"/>
      </w:divBdr>
    </w:div>
    <w:div w:id="1218585487">
      <w:bodyDiv w:val="1"/>
      <w:marLeft w:val="0"/>
      <w:marRight w:val="0"/>
      <w:marTop w:val="0"/>
      <w:marBottom w:val="0"/>
      <w:divBdr>
        <w:top w:val="none" w:sz="0" w:space="0" w:color="auto"/>
        <w:left w:val="none" w:sz="0" w:space="0" w:color="auto"/>
        <w:bottom w:val="none" w:sz="0" w:space="0" w:color="auto"/>
        <w:right w:val="none" w:sz="0" w:space="0" w:color="auto"/>
      </w:divBdr>
      <w:divsChild>
        <w:div w:id="1956474075">
          <w:marLeft w:val="547"/>
          <w:marRight w:val="0"/>
          <w:marTop w:val="0"/>
          <w:marBottom w:val="0"/>
          <w:divBdr>
            <w:top w:val="none" w:sz="0" w:space="0" w:color="auto"/>
            <w:left w:val="none" w:sz="0" w:space="0" w:color="auto"/>
            <w:bottom w:val="none" w:sz="0" w:space="0" w:color="auto"/>
            <w:right w:val="none" w:sz="0" w:space="0" w:color="auto"/>
          </w:divBdr>
        </w:div>
      </w:divsChild>
    </w:div>
    <w:div w:id="1269851234">
      <w:bodyDiv w:val="1"/>
      <w:marLeft w:val="0"/>
      <w:marRight w:val="0"/>
      <w:marTop w:val="0"/>
      <w:marBottom w:val="0"/>
      <w:divBdr>
        <w:top w:val="none" w:sz="0" w:space="0" w:color="auto"/>
        <w:left w:val="none" w:sz="0" w:space="0" w:color="auto"/>
        <w:bottom w:val="none" w:sz="0" w:space="0" w:color="auto"/>
        <w:right w:val="none" w:sz="0" w:space="0" w:color="auto"/>
      </w:divBdr>
      <w:divsChild>
        <w:div w:id="1883596422">
          <w:marLeft w:val="547"/>
          <w:marRight w:val="0"/>
          <w:marTop w:val="0"/>
          <w:marBottom w:val="0"/>
          <w:divBdr>
            <w:top w:val="none" w:sz="0" w:space="0" w:color="auto"/>
            <w:left w:val="none" w:sz="0" w:space="0" w:color="auto"/>
            <w:bottom w:val="none" w:sz="0" w:space="0" w:color="auto"/>
            <w:right w:val="none" w:sz="0" w:space="0" w:color="auto"/>
          </w:divBdr>
        </w:div>
      </w:divsChild>
    </w:div>
    <w:div w:id="1310745879">
      <w:bodyDiv w:val="1"/>
      <w:marLeft w:val="0"/>
      <w:marRight w:val="0"/>
      <w:marTop w:val="0"/>
      <w:marBottom w:val="0"/>
      <w:divBdr>
        <w:top w:val="none" w:sz="0" w:space="0" w:color="auto"/>
        <w:left w:val="none" w:sz="0" w:space="0" w:color="auto"/>
        <w:bottom w:val="none" w:sz="0" w:space="0" w:color="auto"/>
        <w:right w:val="none" w:sz="0" w:space="0" w:color="auto"/>
      </w:divBdr>
    </w:div>
    <w:div w:id="1396315148">
      <w:bodyDiv w:val="1"/>
      <w:marLeft w:val="0"/>
      <w:marRight w:val="0"/>
      <w:marTop w:val="0"/>
      <w:marBottom w:val="0"/>
      <w:divBdr>
        <w:top w:val="none" w:sz="0" w:space="0" w:color="auto"/>
        <w:left w:val="none" w:sz="0" w:space="0" w:color="auto"/>
        <w:bottom w:val="none" w:sz="0" w:space="0" w:color="auto"/>
        <w:right w:val="none" w:sz="0" w:space="0" w:color="auto"/>
      </w:divBdr>
    </w:div>
    <w:div w:id="1523930994">
      <w:bodyDiv w:val="1"/>
      <w:marLeft w:val="0"/>
      <w:marRight w:val="0"/>
      <w:marTop w:val="0"/>
      <w:marBottom w:val="0"/>
      <w:divBdr>
        <w:top w:val="none" w:sz="0" w:space="0" w:color="auto"/>
        <w:left w:val="none" w:sz="0" w:space="0" w:color="auto"/>
        <w:bottom w:val="none" w:sz="0" w:space="0" w:color="auto"/>
        <w:right w:val="none" w:sz="0" w:space="0" w:color="auto"/>
      </w:divBdr>
    </w:div>
    <w:div w:id="1617366765">
      <w:bodyDiv w:val="1"/>
      <w:marLeft w:val="0"/>
      <w:marRight w:val="0"/>
      <w:marTop w:val="0"/>
      <w:marBottom w:val="0"/>
      <w:divBdr>
        <w:top w:val="none" w:sz="0" w:space="0" w:color="auto"/>
        <w:left w:val="none" w:sz="0" w:space="0" w:color="auto"/>
        <w:bottom w:val="none" w:sz="0" w:space="0" w:color="auto"/>
        <w:right w:val="none" w:sz="0" w:space="0" w:color="auto"/>
      </w:divBdr>
    </w:div>
    <w:div w:id="1631395998">
      <w:bodyDiv w:val="1"/>
      <w:marLeft w:val="0"/>
      <w:marRight w:val="0"/>
      <w:marTop w:val="0"/>
      <w:marBottom w:val="0"/>
      <w:divBdr>
        <w:top w:val="none" w:sz="0" w:space="0" w:color="auto"/>
        <w:left w:val="none" w:sz="0" w:space="0" w:color="auto"/>
        <w:bottom w:val="none" w:sz="0" w:space="0" w:color="auto"/>
        <w:right w:val="none" w:sz="0" w:space="0" w:color="auto"/>
      </w:divBdr>
    </w:div>
    <w:div w:id="1705209624">
      <w:bodyDiv w:val="1"/>
      <w:marLeft w:val="0"/>
      <w:marRight w:val="0"/>
      <w:marTop w:val="0"/>
      <w:marBottom w:val="0"/>
      <w:divBdr>
        <w:top w:val="none" w:sz="0" w:space="0" w:color="auto"/>
        <w:left w:val="none" w:sz="0" w:space="0" w:color="auto"/>
        <w:bottom w:val="none" w:sz="0" w:space="0" w:color="auto"/>
        <w:right w:val="none" w:sz="0" w:space="0" w:color="auto"/>
      </w:divBdr>
    </w:div>
    <w:div w:id="1740177774">
      <w:bodyDiv w:val="1"/>
      <w:marLeft w:val="0"/>
      <w:marRight w:val="0"/>
      <w:marTop w:val="0"/>
      <w:marBottom w:val="0"/>
      <w:divBdr>
        <w:top w:val="none" w:sz="0" w:space="0" w:color="auto"/>
        <w:left w:val="none" w:sz="0" w:space="0" w:color="auto"/>
        <w:bottom w:val="none" w:sz="0" w:space="0" w:color="auto"/>
        <w:right w:val="none" w:sz="0" w:space="0" w:color="auto"/>
      </w:divBdr>
    </w:div>
    <w:div w:id="1870875421">
      <w:bodyDiv w:val="1"/>
      <w:marLeft w:val="0"/>
      <w:marRight w:val="0"/>
      <w:marTop w:val="0"/>
      <w:marBottom w:val="0"/>
      <w:divBdr>
        <w:top w:val="none" w:sz="0" w:space="0" w:color="auto"/>
        <w:left w:val="none" w:sz="0" w:space="0" w:color="auto"/>
        <w:bottom w:val="none" w:sz="0" w:space="0" w:color="auto"/>
        <w:right w:val="none" w:sz="0" w:space="0" w:color="auto"/>
      </w:divBdr>
    </w:div>
    <w:div w:id="1891575668">
      <w:bodyDiv w:val="1"/>
      <w:marLeft w:val="0"/>
      <w:marRight w:val="0"/>
      <w:marTop w:val="0"/>
      <w:marBottom w:val="0"/>
      <w:divBdr>
        <w:top w:val="none" w:sz="0" w:space="0" w:color="auto"/>
        <w:left w:val="none" w:sz="0" w:space="0" w:color="auto"/>
        <w:bottom w:val="none" w:sz="0" w:space="0" w:color="auto"/>
        <w:right w:val="none" w:sz="0" w:space="0" w:color="auto"/>
      </w:divBdr>
    </w:div>
    <w:div w:id="1964730033">
      <w:bodyDiv w:val="1"/>
      <w:marLeft w:val="0"/>
      <w:marRight w:val="0"/>
      <w:marTop w:val="0"/>
      <w:marBottom w:val="0"/>
      <w:divBdr>
        <w:top w:val="none" w:sz="0" w:space="0" w:color="auto"/>
        <w:left w:val="none" w:sz="0" w:space="0" w:color="auto"/>
        <w:bottom w:val="none" w:sz="0" w:space="0" w:color="auto"/>
        <w:right w:val="none" w:sz="0" w:space="0" w:color="auto"/>
      </w:divBdr>
    </w:div>
    <w:div w:id="2143576001">
      <w:bodyDiv w:val="1"/>
      <w:marLeft w:val="0"/>
      <w:marRight w:val="0"/>
      <w:marTop w:val="0"/>
      <w:marBottom w:val="0"/>
      <w:divBdr>
        <w:top w:val="none" w:sz="0" w:space="0" w:color="auto"/>
        <w:left w:val="none" w:sz="0" w:space="0" w:color="auto"/>
        <w:bottom w:val="none" w:sz="0" w:space="0" w:color="auto"/>
        <w:right w:val="none" w:sz="0" w:space="0" w:color="auto"/>
      </w:divBdr>
      <w:divsChild>
        <w:div w:id="8578863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madalane\Desktop\2018%20Briefs\2.Budget%20Table.Committee.Overall%20Budget%20201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79137609460683"/>
          <c:y val="5.128205128205128E-2"/>
          <c:w val="0.76100713424560018"/>
          <c:h val="0.72357469302351196"/>
        </c:manualLayout>
      </c:layout>
      <c:barChart>
        <c:barDir val="col"/>
        <c:grouping val="clustered"/>
        <c:varyColors val="0"/>
        <c:ser>
          <c:idx val="0"/>
          <c:order val="0"/>
          <c:tx>
            <c:strRef>
              <c:f>'trend analysis'!$A$10</c:f>
              <c:strCache>
                <c:ptCount val="1"/>
                <c:pt idx="0">
                  <c:v>Nominal amounts</c:v>
                </c:pt>
              </c:strCache>
            </c:strRef>
          </c:tx>
          <c:spPr>
            <a:solidFill>
              <a:schemeClr val="accent2"/>
            </a:solidFill>
            <a:ln>
              <a:noFill/>
            </a:ln>
            <a:effectLst/>
          </c:spPr>
          <c:invertIfNegative val="0"/>
          <c:cat>
            <c:strRef>
              <c:f>'trend analysis'!$B$9:$E$9</c:f>
              <c:strCache>
                <c:ptCount val="4"/>
                <c:pt idx="0">
                  <c:v>2017/18</c:v>
                </c:pt>
                <c:pt idx="1">
                  <c:v>2018/19</c:v>
                </c:pt>
                <c:pt idx="2">
                  <c:v>2019/20</c:v>
                </c:pt>
                <c:pt idx="3">
                  <c:v>2020/21</c:v>
                </c:pt>
              </c:strCache>
            </c:strRef>
          </c:cat>
          <c:val>
            <c:numRef>
              <c:f>'trend analysis'!$B$10:$E$10</c:f>
              <c:numCache>
                <c:formatCode>###\ ###\ ##0.0</c:formatCode>
                <c:ptCount val="4"/>
                <c:pt idx="0">
                  <c:v>9343.2000000000007</c:v>
                </c:pt>
                <c:pt idx="1">
                  <c:v>9462.6</c:v>
                </c:pt>
                <c:pt idx="2">
                  <c:v>10093.129000000001</c:v>
                </c:pt>
                <c:pt idx="3">
                  <c:v>10667.735000000001</c:v>
                </c:pt>
              </c:numCache>
            </c:numRef>
          </c:val>
          <c:extLst xmlns:c16r2="http://schemas.microsoft.com/office/drawing/2015/06/chart">
            <c:ext xmlns:c16="http://schemas.microsoft.com/office/drawing/2014/chart" uri="{C3380CC4-5D6E-409C-BE32-E72D297353CC}">
              <c16:uniqueId val="{00000000-0F1F-4550-8E3C-32174C59F5DC}"/>
            </c:ext>
          </c:extLst>
        </c:ser>
        <c:ser>
          <c:idx val="1"/>
          <c:order val="1"/>
          <c:tx>
            <c:strRef>
              <c:f>'trend analysis'!$A$11</c:f>
              <c:strCache>
                <c:ptCount val="1"/>
                <c:pt idx="0">
                  <c:v>Inflation-adjusted</c:v>
                </c:pt>
              </c:strCache>
            </c:strRef>
          </c:tx>
          <c:spPr>
            <a:solidFill>
              <a:schemeClr val="accent6">
                <a:lumMod val="75000"/>
              </a:schemeClr>
            </a:solidFill>
            <a:ln>
              <a:noFill/>
            </a:ln>
            <a:effectLst/>
          </c:spPr>
          <c:invertIfNegative val="0"/>
          <c:cat>
            <c:strRef>
              <c:f>'trend analysis'!$B$9:$E$9</c:f>
              <c:strCache>
                <c:ptCount val="4"/>
                <c:pt idx="0">
                  <c:v>2017/18</c:v>
                </c:pt>
                <c:pt idx="1">
                  <c:v>2018/19</c:v>
                </c:pt>
                <c:pt idx="2">
                  <c:v>2019/20</c:v>
                </c:pt>
                <c:pt idx="3">
                  <c:v>2020/21</c:v>
                </c:pt>
              </c:strCache>
            </c:strRef>
          </c:cat>
          <c:val>
            <c:numRef>
              <c:f>'trend analysis'!$B$11:$E$11</c:f>
              <c:numCache>
                <c:formatCode>###\ ###\ ##0.0</c:formatCode>
                <c:ptCount val="4"/>
                <c:pt idx="0">
                  <c:v>9343.2000000000007</c:v>
                </c:pt>
                <c:pt idx="1">
                  <c:v>8969.2890995260659</c:v>
                </c:pt>
                <c:pt idx="2">
                  <c:v>9085.4196765729175</c:v>
                </c:pt>
                <c:pt idx="3">
                  <c:v>9102.0439515157377</c:v>
                </c:pt>
              </c:numCache>
            </c:numRef>
          </c:val>
          <c:extLst xmlns:c16r2="http://schemas.microsoft.com/office/drawing/2015/06/chart">
            <c:ext xmlns:c16="http://schemas.microsoft.com/office/drawing/2014/chart" uri="{C3380CC4-5D6E-409C-BE32-E72D297353CC}">
              <c16:uniqueId val="{00000001-0F1F-4550-8E3C-32174C59F5DC}"/>
            </c:ext>
          </c:extLst>
        </c:ser>
        <c:dLbls>
          <c:showLegendKey val="0"/>
          <c:showVal val="0"/>
          <c:showCatName val="0"/>
          <c:showSerName val="0"/>
          <c:showPercent val="0"/>
          <c:showBubbleSize val="0"/>
        </c:dLbls>
        <c:gapWidth val="219"/>
        <c:overlap val="-27"/>
        <c:axId val="172246912"/>
        <c:axId val="172248448"/>
      </c:barChart>
      <c:catAx>
        <c:axId val="17224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a:lstStyle/>
          <a:p>
            <a:pPr>
              <a:defRPr/>
            </a:pPr>
            <a:endParaRPr lang="en-US"/>
          </a:p>
        </c:txPr>
        <c:crossAx val="172248448"/>
        <c:crosses val="autoZero"/>
        <c:auto val="1"/>
        <c:lblAlgn val="ctr"/>
        <c:lblOffset val="100"/>
        <c:tickLblSkip val="1"/>
        <c:tickMarkSkip val="1"/>
        <c:noMultiLvlLbl val="0"/>
      </c:catAx>
      <c:valAx>
        <c:axId val="172248448"/>
        <c:scaling>
          <c:orientation val="minMax"/>
        </c:scaling>
        <c:delete val="0"/>
        <c:axPos val="l"/>
        <c:title>
          <c:tx>
            <c:rich>
              <a:bodyPr rot="-5400000" vert="horz"/>
              <a:lstStyle/>
              <a:p>
                <a:pPr>
                  <a:defRPr/>
                </a:pPr>
                <a:r>
                  <a:rPr lang="en-ZA"/>
                  <a:t>Rand ' million</a:t>
                </a:r>
              </a:p>
            </c:rich>
          </c:tx>
          <c:layout>
            <c:manualLayout>
              <c:xMode val="edge"/>
              <c:yMode val="edge"/>
              <c:x val="2.6589851539995567E-2"/>
              <c:y val="0.21381531853972799"/>
            </c:manualLayout>
          </c:layout>
          <c:overlay val="0"/>
          <c:spPr>
            <a:noFill/>
            <a:ln>
              <a:noFill/>
            </a:ln>
            <a:effectLst/>
          </c:spPr>
        </c:title>
        <c:numFmt formatCode="###\ ###\ ##0.0" sourceLinked="1"/>
        <c:majorTickMark val="none"/>
        <c:minorTickMark val="none"/>
        <c:tickLblPos val="nextTo"/>
        <c:spPr>
          <a:noFill/>
          <a:ln>
            <a:noFill/>
          </a:ln>
          <a:effectLst/>
        </c:spPr>
        <c:txPr>
          <a:bodyPr rot="0"/>
          <a:lstStyle/>
          <a:p>
            <a:pPr>
              <a:defRPr/>
            </a:pPr>
            <a:endParaRPr lang="en-US"/>
          </a:p>
        </c:txPr>
        <c:crossAx val="1722469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271634462493482"/>
          <c:y val="0.15021176832518704"/>
          <c:w val="0.50711330561547241"/>
          <c:h val="0.70963707916385255"/>
        </c:manualLayout>
      </c:layout>
      <c:doughnutChart>
        <c:varyColors val="1"/>
        <c:ser>
          <c:idx val="0"/>
          <c:order val="0"/>
          <c:spPr>
            <a:effectLst>
              <a:innerShdw blurRad="63500" dist="50800" dir="2700000">
                <a:prstClr val="black">
                  <a:alpha val="50000"/>
                </a:prstClr>
              </a:innerShdw>
            </a:effectLst>
          </c:spPr>
          <c:dPt>
            <c:idx val="0"/>
            <c:bubble3D val="0"/>
            <c:spPr>
              <a:solidFill>
                <a:srgbClr val="00B0F0"/>
              </a:solidFill>
              <a:ln>
                <a:noFill/>
              </a:ln>
              <a:effectLst>
                <a:innerShdw blurRad="63500" dist="50800" dir="2700000">
                  <a:prstClr val="black">
                    <a:alpha val="50000"/>
                  </a:prstClr>
                </a:innerShdw>
              </a:effectLst>
            </c:spPr>
            <c:extLst xmlns:c16r2="http://schemas.microsoft.com/office/drawing/2015/06/chart">
              <c:ext xmlns:c16="http://schemas.microsoft.com/office/drawing/2014/chart" uri="{C3380CC4-5D6E-409C-BE32-E72D297353CC}">
                <c16:uniqueId val="{00000001-7946-48AF-8A6D-CD1BC944D08D}"/>
              </c:ext>
            </c:extLst>
          </c:dPt>
          <c:dPt>
            <c:idx val="1"/>
            <c:bubble3D val="0"/>
            <c:spPr>
              <a:solidFill>
                <a:srgbClr val="0070C0"/>
              </a:solidFill>
              <a:ln>
                <a:noFill/>
              </a:ln>
              <a:effectLst>
                <a:innerShdw blurRad="63500" dist="50800" dir="2700000">
                  <a:prstClr val="black">
                    <a:alpha val="50000"/>
                  </a:prstClr>
                </a:innerShdw>
              </a:effectLst>
            </c:spPr>
            <c:extLst xmlns:c16r2="http://schemas.microsoft.com/office/drawing/2015/06/chart">
              <c:ext xmlns:c16="http://schemas.microsoft.com/office/drawing/2014/chart" uri="{C3380CC4-5D6E-409C-BE32-E72D297353CC}">
                <c16:uniqueId val="{00000003-7946-48AF-8A6D-CD1BC944D08D}"/>
              </c:ext>
            </c:extLst>
          </c:dPt>
          <c:dPt>
            <c:idx val="2"/>
            <c:bubble3D val="0"/>
            <c:spPr>
              <a:solidFill>
                <a:schemeClr val="accent3"/>
              </a:solidFill>
              <a:ln>
                <a:solidFill>
                  <a:schemeClr val="bg1">
                    <a:lumMod val="50000"/>
                  </a:schemeClr>
                </a:solidFill>
              </a:ln>
              <a:effectLst>
                <a:innerShdw blurRad="63500" dist="50800" dir="2700000">
                  <a:prstClr val="black">
                    <a:alpha val="50000"/>
                  </a:prstClr>
                </a:innerShdw>
              </a:effectLst>
            </c:spPr>
            <c:extLst xmlns:c16r2="http://schemas.microsoft.com/office/drawing/2015/06/chart">
              <c:ext xmlns:c16="http://schemas.microsoft.com/office/drawing/2014/chart" uri="{C3380CC4-5D6E-409C-BE32-E72D297353CC}">
                <c16:uniqueId val="{00000005-7946-48AF-8A6D-CD1BC944D08D}"/>
              </c:ext>
            </c:extLst>
          </c:dPt>
          <c:dPt>
            <c:idx val="3"/>
            <c:bubble3D val="0"/>
            <c:spPr>
              <a:solidFill>
                <a:srgbClr val="FFC000"/>
              </a:solidFill>
              <a:ln>
                <a:noFill/>
              </a:ln>
              <a:effectLst>
                <a:innerShdw blurRad="63500" dist="50800" dir="2700000">
                  <a:prstClr val="black">
                    <a:alpha val="50000"/>
                  </a:prstClr>
                </a:innerShdw>
              </a:effectLst>
            </c:spPr>
            <c:extLst xmlns:c16r2="http://schemas.microsoft.com/office/drawing/2015/06/chart">
              <c:ext xmlns:c16="http://schemas.microsoft.com/office/drawing/2014/chart" uri="{C3380CC4-5D6E-409C-BE32-E72D297353CC}">
                <c16:uniqueId val="{00000007-7946-48AF-8A6D-CD1BC944D08D}"/>
              </c:ext>
            </c:extLst>
          </c:dPt>
          <c:dPt>
            <c:idx val="4"/>
            <c:bubble3D val="0"/>
            <c:spPr>
              <a:solidFill>
                <a:srgbClr val="FF0000"/>
              </a:solidFill>
              <a:ln>
                <a:noFill/>
              </a:ln>
              <a:effectLst>
                <a:innerShdw blurRad="63500" dist="50800" dir="2700000">
                  <a:prstClr val="black">
                    <a:alpha val="50000"/>
                  </a:prstClr>
                </a:innerShdw>
              </a:effectLst>
            </c:spPr>
            <c:extLst xmlns:c16r2="http://schemas.microsoft.com/office/drawing/2015/06/chart">
              <c:ext xmlns:c16="http://schemas.microsoft.com/office/drawing/2014/chart" uri="{C3380CC4-5D6E-409C-BE32-E72D297353CC}">
                <c16:uniqueId val="{00000009-7946-48AF-8A6D-CD1BC944D08D}"/>
              </c:ext>
            </c:extLst>
          </c:dPt>
          <c:dPt>
            <c:idx val="5"/>
            <c:bubble3D val="0"/>
            <c:spPr>
              <a:solidFill>
                <a:schemeClr val="accent6"/>
              </a:solidFill>
              <a:ln>
                <a:noFill/>
              </a:ln>
              <a:effectLst>
                <a:innerShdw blurRad="63500" dist="50800" dir="2700000">
                  <a:prstClr val="black">
                    <a:alpha val="50000"/>
                  </a:prstClr>
                </a:innerShdw>
              </a:effectLst>
              <a:scene3d>
                <a:camera prst="orthographicFront"/>
                <a:lightRig rig="threePt" dir="t"/>
              </a:scene3d>
            </c:spPr>
            <c:extLst xmlns:c16r2="http://schemas.microsoft.com/office/drawing/2015/06/chart">
              <c:ext xmlns:c16="http://schemas.microsoft.com/office/drawing/2014/chart" uri="{C3380CC4-5D6E-409C-BE32-E72D297353CC}">
                <c16:uniqueId val="{0000000B-7946-48AF-8A6D-CD1BC944D08D}"/>
              </c:ext>
            </c:extLst>
          </c:dPt>
          <c:dPt>
            <c:idx val="6"/>
            <c:bubble3D val="0"/>
            <c:spPr>
              <a:solidFill>
                <a:schemeClr val="accent1">
                  <a:lumMod val="60000"/>
                </a:schemeClr>
              </a:solidFill>
              <a:ln>
                <a:noFill/>
              </a:ln>
              <a:effectLst>
                <a:innerShdw blurRad="63500" dist="50800" dir="2700000">
                  <a:prstClr val="black">
                    <a:alpha val="50000"/>
                  </a:prstClr>
                </a:innerShdw>
              </a:effectLst>
            </c:spPr>
            <c:extLst xmlns:c16r2="http://schemas.microsoft.com/office/drawing/2015/06/chart">
              <c:ext xmlns:c16="http://schemas.microsoft.com/office/drawing/2014/chart" uri="{C3380CC4-5D6E-409C-BE32-E72D297353CC}">
                <c16:uniqueId val="{0000000D-7946-48AF-8A6D-CD1BC944D08D}"/>
              </c:ext>
            </c:extLst>
          </c:dPt>
          <c:dPt>
            <c:idx val="7"/>
            <c:bubble3D val="0"/>
            <c:spPr>
              <a:solidFill>
                <a:srgbClr val="FFFF00"/>
              </a:solidFill>
              <a:ln>
                <a:noFill/>
              </a:ln>
              <a:effectLst>
                <a:innerShdw blurRad="63500" dist="50800" dir="2700000">
                  <a:prstClr val="black">
                    <a:alpha val="50000"/>
                  </a:prstClr>
                </a:innerShdw>
              </a:effectLst>
            </c:spPr>
            <c:extLst xmlns:c16r2="http://schemas.microsoft.com/office/drawing/2015/06/chart">
              <c:ext xmlns:c16="http://schemas.microsoft.com/office/drawing/2014/chart" uri="{C3380CC4-5D6E-409C-BE32-E72D297353CC}">
                <c16:uniqueId val="{0000000F-7946-48AF-8A6D-CD1BC944D08D}"/>
              </c:ext>
            </c:extLst>
          </c:dPt>
          <c:dLbls>
            <c:dLbl>
              <c:idx val="0"/>
              <c:layout>
                <c:manualLayout>
                  <c:x val="0.23423844232718083"/>
                  <c:y val="-0.13471860140082689"/>
                </c:manualLayout>
              </c:layou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946-48AF-8A6D-CD1BC944D08D}"/>
                </c:ext>
              </c:extLst>
            </c:dLbl>
            <c:dLbl>
              <c:idx val="1"/>
              <c:layout>
                <c:manualLayout>
                  <c:x val="0.22353062894601811"/>
                  <c:y val="-9.4303604437454808E-2"/>
                </c:manualLayout>
              </c:layou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946-48AF-8A6D-CD1BC944D08D}"/>
                </c:ext>
              </c:extLst>
            </c:dLbl>
            <c:dLbl>
              <c:idx val="2"/>
              <c:layout>
                <c:manualLayout>
                  <c:x val="0.2295296367437106"/>
                  <c:y val="1.6830609208540809E-2"/>
                </c:manualLayout>
              </c:layou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7946-48AF-8A6D-CD1BC944D08D}"/>
                </c:ext>
              </c:extLst>
            </c:dLbl>
            <c:dLbl>
              <c:idx val="3"/>
              <c:layout>
                <c:manualLayout>
                  <c:x val="0.21763050216461213"/>
                  <c:y val="6.061851732999525E-2"/>
                </c:manualLayout>
              </c:layou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7946-48AF-8A6D-CD1BC944D08D}"/>
                </c:ext>
              </c:extLst>
            </c:dLbl>
            <c:dLbl>
              <c:idx val="4"/>
              <c:layout>
                <c:manualLayout>
                  <c:x val="0.15517874482167912"/>
                  <c:y val="0.18186297780477004"/>
                </c:manualLayout>
              </c:layout>
              <c:spPr>
                <a:ln w="6350">
                  <a:bevel/>
                </a:ln>
              </c:spPr>
              <c:txPr>
                <a:bodyPr anchor="ctr" anchorCtr="0"/>
                <a:lstStyle/>
                <a:p>
                  <a:pPr>
                    <a:defRPr sz="900">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7946-48AF-8A6D-CD1BC944D08D}"/>
                </c:ext>
              </c:extLst>
            </c:dLbl>
            <c:dLbl>
              <c:idx val="5"/>
              <c:layout>
                <c:manualLayout>
                  <c:x val="-0.19253999550540835"/>
                  <c:y val="-1.3470693226330878E-2"/>
                </c:manualLayout>
              </c:layou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7946-48AF-8A6D-CD1BC944D08D}"/>
                </c:ext>
              </c:extLst>
            </c:dLbl>
            <c:dLbl>
              <c:idx val="6"/>
              <c:layout>
                <c:manualLayout>
                  <c:x val="5.6985485861117194E-2"/>
                  <c:y val="-0.2290108019084344"/>
                </c:manualLayout>
              </c:layou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7946-48AF-8A6D-CD1BC944D08D}"/>
                </c:ext>
              </c:extLst>
            </c:dLbl>
            <c:dLbl>
              <c:idx val="7"/>
              <c:layout>
                <c:manualLayout>
                  <c:x val="0.21840272389214677"/>
                  <c:y val="-0.17175989158310415"/>
                </c:manualLayout>
              </c:layou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7946-48AF-8A6D-CD1BC944D08D}"/>
                </c:ext>
              </c:extLst>
            </c:dLbl>
            <c:spPr>
              <a:ln w="6350">
                <a:bevel/>
              </a:ln>
            </c:spPr>
            <c:txPr>
              <a:bodyPr/>
              <a:lstStyle/>
              <a:p>
                <a:pPr>
                  <a:defRPr sz="900">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eparator>; </c:separator>
            <c:showLeaderLines val="1"/>
            <c:leaderLines>
              <c:spPr>
                <a:ln>
                  <a:solidFill>
                    <a:schemeClr val="bg1">
                      <a:lumMod val="50000"/>
                    </a:schemeClr>
                  </a:solidFill>
                </a:ln>
              </c:spPr>
            </c:leaderLines>
            <c:extLst xmlns:c16r2="http://schemas.microsoft.com/office/drawing/2015/06/chart">
              <c:ext xmlns:c15="http://schemas.microsoft.com/office/drawing/2012/chart" uri="{CE6537A1-D6FC-4f65-9D91-7224C49458BB}"/>
            </c:extLst>
          </c:dLbls>
          <c:cat>
            <c:strRef>
              <c:f>Sheet2!$A$3:$A$10</c:f>
              <c:strCache>
                <c:ptCount val="8"/>
                <c:pt idx="0">
                  <c:v>Administration</c:v>
                </c:pt>
                <c:pt idx="1">
                  <c:v>International Trade and Economic Development</c:v>
                </c:pt>
                <c:pt idx="2">
                  <c:v>Special Economic Zones and Economic Transformation</c:v>
                </c:pt>
                <c:pt idx="3">
                  <c:v>Industrial Development</c:v>
                </c:pt>
                <c:pt idx="4">
                  <c:v>Consumer and Corporate Regulation</c:v>
                </c:pt>
                <c:pt idx="5">
                  <c:v>Incentive Development and Administration</c:v>
                </c:pt>
                <c:pt idx="6">
                  <c:v>Trade and Investment South Africa</c:v>
                </c:pt>
                <c:pt idx="7">
                  <c:v>Investment South Africa</c:v>
                </c:pt>
              </c:strCache>
            </c:strRef>
          </c:cat>
          <c:val>
            <c:numRef>
              <c:f>Sheet2!$B$3:$B$10</c:f>
              <c:numCache>
                <c:formatCode>#\ ##0.0;\(#\ ##0.0\);_*\ "–"_ ;_ @_ </c:formatCode>
                <c:ptCount val="8"/>
                <c:pt idx="0">
                  <c:v>760.64300000000003</c:v>
                </c:pt>
                <c:pt idx="1">
                  <c:v>124.93600000000001</c:v>
                </c:pt>
                <c:pt idx="2">
                  <c:v>165.41200000000001</c:v>
                </c:pt>
                <c:pt idx="3">
                  <c:v>1622.568</c:v>
                </c:pt>
                <c:pt idx="4">
                  <c:v>314.58800000000002</c:v>
                </c:pt>
                <c:pt idx="5">
                  <c:v>6009.0159999999996</c:v>
                </c:pt>
                <c:pt idx="6">
                  <c:v>411.60199999999998</c:v>
                </c:pt>
                <c:pt idx="7">
                  <c:v>53.845999999999997</c:v>
                </c:pt>
              </c:numCache>
            </c:numRef>
          </c:val>
          <c:extLst xmlns:c16r2="http://schemas.microsoft.com/office/drawing/2015/06/chart">
            <c:ext xmlns:c16="http://schemas.microsoft.com/office/drawing/2014/chart" uri="{C3380CC4-5D6E-409C-BE32-E72D297353CC}">
              <c16:uniqueId val="{00000010-7946-48AF-8A6D-CD1BC944D08D}"/>
            </c:ext>
          </c:extLst>
        </c:ser>
        <c:dLbls>
          <c:showLegendKey val="0"/>
          <c:showVal val="0"/>
          <c:showCatName val="0"/>
          <c:showSerName val="0"/>
          <c:showPercent val="1"/>
          <c:showBubbleSize val="0"/>
          <c:showLeaderLines val="1"/>
        </c:dLbls>
        <c:firstSliceAng val="48"/>
        <c:holeSize val="46"/>
      </c:doughnutChart>
      <c:spPr>
        <a:noFill/>
        <a:ln>
          <a:noFill/>
        </a:ln>
        <a:effectLst/>
      </c:spPr>
    </c:plotArea>
    <c:plotVisOnly val="1"/>
    <c:dispBlanksAs val="gap"/>
    <c:showDLblsOverMax val="0"/>
  </c:chart>
  <c:spPr>
    <a:solidFill>
      <a:srgbClr val="FFFFFF"/>
    </a:soli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A1723-E16E-414D-9E1A-F8DF9DEE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11631</Words>
  <Characters>66297</Characters>
  <Application>Microsoft Office Word</Application>
  <DocSecurity>4</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Hermans</dc:creator>
  <cp:lastModifiedBy>Asanda</cp:lastModifiedBy>
  <cp:revision>2</cp:revision>
  <cp:lastPrinted>2018-05-11T07:14:00Z</cp:lastPrinted>
  <dcterms:created xsi:type="dcterms:W3CDTF">2018-05-14T10:44:00Z</dcterms:created>
  <dcterms:modified xsi:type="dcterms:W3CDTF">2018-05-14T10:44:00Z</dcterms:modified>
</cp:coreProperties>
</file>