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B51C6" w14:textId="5C8ECEF7" w:rsidR="00AD51DD" w:rsidRPr="00BD21EE" w:rsidRDefault="00492B5A" w:rsidP="00AD51DD">
      <w:pPr>
        <w:spacing w:line="360" w:lineRule="auto"/>
        <w:jc w:val="both"/>
        <w:rPr>
          <w:rFonts w:ascii="Times New Roman" w:hAnsi="Times New Roman"/>
          <w:b/>
          <w:sz w:val="24"/>
          <w:szCs w:val="24"/>
        </w:rPr>
      </w:pPr>
      <w:bookmarkStart w:id="0" w:name="_GoBack"/>
      <w:bookmarkEnd w:id="0"/>
      <w:r>
        <w:rPr>
          <w:rFonts w:ascii="Times New Roman" w:hAnsi="Times New Roman"/>
          <w:b/>
          <w:sz w:val="24"/>
          <w:szCs w:val="24"/>
        </w:rPr>
        <w:t>1</w:t>
      </w:r>
      <w:r w:rsidR="005E2752">
        <w:rPr>
          <w:rFonts w:ascii="Times New Roman" w:hAnsi="Times New Roman"/>
          <w:b/>
          <w:sz w:val="24"/>
          <w:szCs w:val="24"/>
        </w:rPr>
        <w:t xml:space="preserve">. </w:t>
      </w:r>
      <w:r w:rsidR="00AD51DD" w:rsidRPr="00BD21EE">
        <w:rPr>
          <w:rFonts w:ascii="Times New Roman" w:hAnsi="Times New Roman"/>
          <w:b/>
          <w:sz w:val="24"/>
          <w:szCs w:val="24"/>
        </w:rPr>
        <w:t>REPORT OF THE PORTFOLIO</w:t>
      </w:r>
      <w:r w:rsidR="00F22CAA">
        <w:rPr>
          <w:rFonts w:ascii="Times New Roman" w:hAnsi="Times New Roman"/>
          <w:b/>
          <w:sz w:val="24"/>
          <w:szCs w:val="24"/>
        </w:rPr>
        <w:t xml:space="preserve"> COMMITTEE ON POLICE ON THE 2018</w:t>
      </w:r>
      <w:r w:rsidR="00AD51DD" w:rsidRPr="00BD21EE">
        <w:rPr>
          <w:rFonts w:ascii="Times New Roman" w:hAnsi="Times New Roman"/>
          <w:b/>
          <w:sz w:val="24"/>
          <w:szCs w:val="24"/>
        </w:rPr>
        <w:t>/1</w:t>
      </w:r>
      <w:r w:rsidR="00F22CAA">
        <w:rPr>
          <w:rFonts w:ascii="Times New Roman" w:hAnsi="Times New Roman"/>
          <w:b/>
          <w:sz w:val="24"/>
          <w:szCs w:val="24"/>
        </w:rPr>
        <w:t>9</w:t>
      </w:r>
      <w:r w:rsidR="00AD51DD" w:rsidRPr="00BD21EE">
        <w:rPr>
          <w:rFonts w:ascii="Times New Roman" w:hAnsi="Times New Roman"/>
          <w:b/>
          <w:sz w:val="24"/>
          <w:szCs w:val="24"/>
        </w:rPr>
        <w:t xml:space="preserve"> BUDGET VOTE 20, ANNUAL PERFORMANCE PLAN AND 2015/16-2019/20 STRATEGIC PLAN OF THE INDEPENDENT POLICE INVESTIGATIVE DIRECTORATE (IPID), DATED </w:t>
      </w:r>
      <w:r w:rsidR="002C37C9">
        <w:rPr>
          <w:rFonts w:ascii="Times New Roman" w:hAnsi="Times New Roman"/>
          <w:b/>
          <w:sz w:val="24"/>
          <w:szCs w:val="24"/>
        </w:rPr>
        <w:t xml:space="preserve">9 MAY </w:t>
      </w:r>
      <w:r w:rsidR="00AD51DD" w:rsidRPr="00BD21EE">
        <w:rPr>
          <w:rFonts w:ascii="Times New Roman" w:hAnsi="Times New Roman"/>
          <w:b/>
          <w:sz w:val="24"/>
          <w:szCs w:val="24"/>
        </w:rPr>
        <w:t>201</w:t>
      </w:r>
      <w:r w:rsidR="00F22CAA">
        <w:rPr>
          <w:rFonts w:ascii="Times New Roman" w:hAnsi="Times New Roman"/>
          <w:b/>
          <w:sz w:val="24"/>
          <w:szCs w:val="24"/>
        </w:rPr>
        <w:t>8</w:t>
      </w:r>
    </w:p>
    <w:p w14:paraId="229CE7D5"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Th</w:t>
      </w:r>
      <w:r w:rsidR="00F22CAA">
        <w:rPr>
          <w:rFonts w:ascii="Times New Roman" w:hAnsi="Times New Roman"/>
          <w:sz w:val="24"/>
          <w:szCs w:val="24"/>
        </w:rPr>
        <w:t>e Committee examined the Budget and</w:t>
      </w:r>
      <w:r w:rsidRPr="00BD21EE">
        <w:rPr>
          <w:rFonts w:ascii="Times New Roman" w:hAnsi="Times New Roman"/>
          <w:sz w:val="24"/>
          <w:szCs w:val="24"/>
        </w:rPr>
        <w:t xml:space="preserve"> Annual Performance Plan (APP) for the 201</w:t>
      </w:r>
      <w:r w:rsidR="00F22CAA">
        <w:rPr>
          <w:rFonts w:ascii="Times New Roman" w:hAnsi="Times New Roman"/>
          <w:sz w:val="24"/>
          <w:szCs w:val="24"/>
        </w:rPr>
        <w:t>8</w:t>
      </w:r>
      <w:r w:rsidRPr="00BD21EE">
        <w:rPr>
          <w:rFonts w:ascii="Times New Roman" w:hAnsi="Times New Roman"/>
          <w:sz w:val="24"/>
          <w:szCs w:val="24"/>
        </w:rPr>
        <w:t>/1</w:t>
      </w:r>
      <w:r w:rsidR="00F22CAA">
        <w:rPr>
          <w:rFonts w:ascii="Times New Roman" w:hAnsi="Times New Roman"/>
          <w:sz w:val="24"/>
          <w:szCs w:val="24"/>
        </w:rPr>
        <w:t>9</w:t>
      </w:r>
      <w:r w:rsidRPr="00BD21EE">
        <w:rPr>
          <w:rFonts w:ascii="Times New Roman" w:hAnsi="Times New Roman"/>
          <w:sz w:val="24"/>
          <w:szCs w:val="24"/>
        </w:rPr>
        <w:t xml:space="preserve"> financial year of the Independent Police Investigative Directorate (IPID). The Committee reports as follows:</w:t>
      </w:r>
    </w:p>
    <w:p w14:paraId="7876941E" w14:textId="77777777" w:rsidR="00AD51DD" w:rsidRPr="00BD21EE" w:rsidRDefault="00AD51DD" w:rsidP="00AD51DD">
      <w:pPr>
        <w:pStyle w:val="ListParagraph"/>
        <w:numPr>
          <w:ilvl w:val="0"/>
          <w:numId w:val="2"/>
        </w:numPr>
        <w:spacing w:line="360" w:lineRule="auto"/>
        <w:jc w:val="both"/>
        <w:rPr>
          <w:rFonts w:ascii="Times New Roman" w:hAnsi="Times New Roman"/>
          <w:b/>
          <w:sz w:val="24"/>
          <w:szCs w:val="24"/>
        </w:rPr>
      </w:pPr>
      <w:r w:rsidRPr="00BD21EE">
        <w:rPr>
          <w:rFonts w:ascii="Times New Roman" w:hAnsi="Times New Roman"/>
          <w:b/>
          <w:sz w:val="24"/>
          <w:szCs w:val="24"/>
        </w:rPr>
        <w:t>INTRODUCTION</w:t>
      </w:r>
    </w:p>
    <w:p w14:paraId="781D3682"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The IPID Act, 2011 (Act No 1 of 2011) gives effect to section 206(6) of the Constitution, which makes provision for the establishment of an independent police complaints body. The objectives of the IPID Act are to:</w:t>
      </w:r>
    </w:p>
    <w:p w14:paraId="13C123EC" w14:textId="77777777" w:rsidR="00AD51DD" w:rsidRPr="00BD21EE" w:rsidRDefault="00AD51DD" w:rsidP="00AD51DD">
      <w:pPr>
        <w:pStyle w:val="ListParagraph"/>
        <w:numPr>
          <w:ilvl w:val="0"/>
          <w:numId w:val="6"/>
        </w:numPr>
        <w:spacing w:line="360" w:lineRule="auto"/>
        <w:jc w:val="both"/>
        <w:rPr>
          <w:rFonts w:ascii="Times New Roman" w:hAnsi="Times New Roman"/>
          <w:sz w:val="24"/>
          <w:szCs w:val="24"/>
        </w:rPr>
      </w:pPr>
      <w:r w:rsidRPr="00BD21EE">
        <w:rPr>
          <w:rFonts w:ascii="Times New Roman" w:hAnsi="Times New Roman"/>
          <w:sz w:val="24"/>
          <w:szCs w:val="24"/>
        </w:rPr>
        <w:t>Align provincial and national strategic objectives to enhance the functioning of the Directorate;</w:t>
      </w:r>
    </w:p>
    <w:p w14:paraId="738BD099" w14:textId="77777777" w:rsidR="00AD51DD" w:rsidRPr="00BD21EE" w:rsidRDefault="00AD51DD" w:rsidP="00AD51DD">
      <w:pPr>
        <w:pStyle w:val="ListParagraph"/>
        <w:numPr>
          <w:ilvl w:val="0"/>
          <w:numId w:val="6"/>
        </w:numPr>
        <w:spacing w:line="360" w:lineRule="auto"/>
        <w:jc w:val="both"/>
        <w:rPr>
          <w:rFonts w:ascii="Times New Roman" w:hAnsi="Times New Roman"/>
          <w:sz w:val="24"/>
          <w:szCs w:val="24"/>
        </w:rPr>
      </w:pPr>
      <w:r w:rsidRPr="00BD21EE">
        <w:rPr>
          <w:rFonts w:ascii="Times New Roman" w:hAnsi="Times New Roman"/>
          <w:sz w:val="24"/>
          <w:szCs w:val="24"/>
        </w:rPr>
        <w:t>Provide for independent and impartial investigation of identified criminal offences allegedly committed by members of the SAPS and the Municipal Police Services;</w:t>
      </w:r>
    </w:p>
    <w:p w14:paraId="55CE82CE" w14:textId="77777777" w:rsidR="00AD51DD" w:rsidRPr="00BD21EE" w:rsidRDefault="00AD51DD" w:rsidP="00AD51DD">
      <w:pPr>
        <w:pStyle w:val="ListParagraph"/>
        <w:numPr>
          <w:ilvl w:val="0"/>
          <w:numId w:val="6"/>
        </w:numPr>
        <w:spacing w:line="360" w:lineRule="auto"/>
        <w:jc w:val="both"/>
        <w:rPr>
          <w:rFonts w:ascii="Times New Roman" w:hAnsi="Times New Roman"/>
          <w:sz w:val="24"/>
          <w:szCs w:val="24"/>
        </w:rPr>
      </w:pPr>
      <w:r w:rsidRPr="00BD21EE">
        <w:rPr>
          <w:rFonts w:ascii="Times New Roman" w:hAnsi="Times New Roman"/>
          <w:sz w:val="24"/>
          <w:szCs w:val="24"/>
        </w:rPr>
        <w:t>Make disciplinary recommendations to the SAPS resulting from investigations conducted by the Directorate;</w:t>
      </w:r>
    </w:p>
    <w:p w14:paraId="6E7CF12D" w14:textId="77777777" w:rsidR="00AD51DD" w:rsidRPr="00BD21EE" w:rsidRDefault="00AD51DD" w:rsidP="00AD51DD">
      <w:pPr>
        <w:pStyle w:val="ListParagraph"/>
        <w:numPr>
          <w:ilvl w:val="0"/>
          <w:numId w:val="6"/>
        </w:numPr>
        <w:spacing w:line="360" w:lineRule="auto"/>
        <w:jc w:val="both"/>
        <w:rPr>
          <w:rFonts w:ascii="Times New Roman" w:hAnsi="Times New Roman"/>
          <w:sz w:val="24"/>
          <w:szCs w:val="24"/>
        </w:rPr>
      </w:pPr>
      <w:r w:rsidRPr="00BD21EE">
        <w:rPr>
          <w:rFonts w:ascii="Times New Roman" w:hAnsi="Times New Roman"/>
          <w:sz w:val="24"/>
          <w:szCs w:val="24"/>
        </w:rPr>
        <w:t>Provide for closer cooperation between the Directorate and the Secretariat; and</w:t>
      </w:r>
    </w:p>
    <w:p w14:paraId="4A3D2B1B" w14:textId="77777777" w:rsidR="00AD51DD" w:rsidRPr="00BD21EE" w:rsidRDefault="00AD51DD" w:rsidP="00AD51DD">
      <w:pPr>
        <w:pStyle w:val="ListParagraph"/>
        <w:numPr>
          <w:ilvl w:val="0"/>
          <w:numId w:val="6"/>
        </w:numPr>
        <w:spacing w:line="360" w:lineRule="auto"/>
        <w:jc w:val="both"/>
        <w:rPr>
          <w:rFonts w:ascii="Times New Roman" w:hAnsi="Times New Roman"/>
          <w:sz w:val="24"/>
          <w:szCs w:val="24"/>
        </w:rPr>
      </w:pPr>
      <w:r w:rsidRPr="00BD21EE">
        <w:rPr>
          <w:rFonts w:ascii="Times New Roman" w:hAnsi="Times New Roman"/>
          <w:sz w:val="24"/>
          <w:szCs w:val="24"/>
        </w:rPr>
        <w:t>Enhance accountability and transparency of the SAPS and the Municipal Police Services in accordance with the principles of the Constitution.</w:t>
      </w:r>
    </w:p>
    <w:p w14:paraId="27AB8A0B"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 xml:space="preserve">The IPID Act provided the Directorate with an extended mandate which focuses on </w:t>
      </w:r>
      <w:r w:rsidR="002C37C9">
        <w:rPr>
          <w:rFonts w:ascii="Times New Roman" w:hAnsi="Times New Roman"/>
          <w:sz w:val="24"/>
          <w:szCs w:val="24"/>
        </w:rPr>
        <w:t xml:space="preserve">Schedule 1 and 2 </w:t>
      </w:r>
      <w:r w:rsidRPr="00BD21EE">
        <w:rPr>
          <w:rFonts w:ascii="Times New Roman" w:hAnsi="Times New Roman"/>
          <w:sz w:val="24"/>
          <w:szCs w:val="24"/>
        </w:rPr>
        <w:t>crimes committed by members of the SAPS and the M</w:t>
      </w:r>
      <w:r w:rsidR="002C37C9">
        <w:rPr>
          <w:rFonts w:ascii="Times New Roman" w:hAnsi="Times New Roman"/>
          <w:sz w:val="24"/>
          <w:szCs w:val="24"/>
        </w:rPr>
        <w:t xml:space="preserve">unicipal </w:t>
      </w:r>
      <w:r w:rsidRPr="00BD21EE">
        <w:rPr>
          <w:rFonts w:ascii="Times New Roman" w:hAnsi="Times New Roman"/>
          <w:sz w:val="24"/>
          <w:szCs w:val="24"/>
        </w:rPr>
        <w:t>P</w:t>
      </w:r>
      <w:r w:rsidR="002C37C9">
        <w:rPr>
          <w:rFonts w:ascii="Times New Roman" w:hAnsi="Times New Roman"/>
          <w:sz w:val="24"/>
          <w:szCs w:val="24"/>
        </w:rPr>
        <w:t xml:space="preserve">olice </w:t>
      </w:r>
      <w:r w:rsidRPr="00BD21EE">
        <w:rPr>
          <w:rFonts w:ascii="Times New Roman" w:hAnsi="Times New Roman"/>
          <w:sz w:val="24"/>
          <w:szCs w:val="24"/>
        </w:rPr>
        <w:t>S</w:t>
      </w:r>
      <w:r w:rsidR="002C37C9">
        <w:rPr>
          <w:rFonts w:ascii="Times New Roman" w:hAnsi="Times New Roman"/>
          <w:sz w:val="24"/>
          <w:szCs w:val="24"/>
        </w:rPr>
        <w:t>ervices</w:t>
      </w:r>
      <w:r w:rsidRPr="00BD21EE">
        <w:rPr>
          <w:rFonts w:ascii="Times New Roman" w:hAnsi="Times New Roman"/>
          <w:sz w:val="24"/>
          <w:szCs w:val="24"/>
        </w:rPr>
        <w:t>. It further obliges the SAPS and the MPS to report on matters that must be investigated by the IPID and also regarding the implementation of disciplinary recommendations made by the IPID upon the completion of investigations.</w:t>
      </w:r>
    </w:p>
    <w:p w14:paraId="7ADB9CA9"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In terms of section 28 (1) of the Act, the Directorate is obliged to investigate:</w:t>
      </w:r>
    </w:p>
    <w:p w14:paraId="56160956"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a) Any deaths in police custody;</w:t>
      </w:r>
    </w:p>
    <w:p w14:paraId="26711185"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b) Deaths as a result of police actions;</w:t>
      </w:r>
    </w:p>
    <w:p w14:paraId="5AB9D6A9"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c) Complaints relating to the discharge of an official firearm by any police officer;</w:t>
      </w:r>
    </w:p>
    <w:p w14:paraId="266CE5D7"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d) Rape by a police officer, whether the police officer is on or off duty;</w:t>
      </w:r>
    </w:p>
    <w:p w14:paraId="3ABA37C8"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e) Rape of any person in police custody;</w:t>
      </w:r>
    </w:p>
    <w:p w14:paraId="14FAC2DC"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lastRenderedPageBreak/>
        <w:t>f) Any complaint of torture or assault against a police officer in the execution of his or her duties;</w:t>
      </w:r>
    </w:p>
    <w:p w14:paraId="7312252C"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g) Corruption matters within the police initiated by the Executive Director, or after a complaint from a member of the public or referred to the Directorate by the Minister, a MEC or the Secretary for the Police Service; and</w:t>
      </w:r>
    </w:p>
    <w:p w14:paraId="1A28EC1E"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h) Any other matter referred to the IPID as a result of a decision by the Executive Director or if so requested by the Minister, an MEC or the Secretary for the Police Service as the case may be.</w:t>
      </w:r>
    </w:p>
    <w:p w14:paraId="2EF6FA5D"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Section 28 (2) further provides that the Directorate may investigate matters relating to systemic corruption involving the police. In terms of Section 30 of the IPID Act, the National Commissioner or the appropriate Provincial Commissioner must-</w:t>
      </w:r>
    </w:p>
    <w:p w14:paraId="53EF95DB"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(a) within 30 days of receipt thereof, initiate disciplinary proceedings in terms of the recommendations made by the Department and inform the Minister in writing, and provide a copy thereof to the Executive Director and the Secretary;</w:t>
      </w:r>
    </w:p>
    <w:p w14:paraId="2954C4C2"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(b) quarterly submit a written report to the Minister on the progress regarding disciplinary matters made in terms of paragraph (a) and provide a copy thereof to the Executive;</w:t>
      </w:r>
    </w:p>
    <w:p w14:paraId="340D03EB"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(c)Immediately on finalisation of any disciplinary matter referred to it by the Department, to inform the Minister in writing of the outcome thereof and provide a copy thereof to the Executive Director and the Secretary.</w:t>
      </w:r>
    </w:p>
    <w:p w14:paraId="725C261C" w14:textId="77777777" w:rsidR="00AD51DD" w:rsidRPr="00BD21EE" w:rsidRDefault="00AD51DD" w:rsidP="00AD51DD">
      <w:pPr>
        <w:spacing w:line="360" w:lineRule="auto"/>
        <w:jc w:val="both"/>
        <w:rPr>
          <w:rFonts w:ascii="Times New Roman" w:hAnsi="Times New Roman"/>
          <w:sz w:val="24"/>
          <w:szCs w:val="24"/>
        </w:rPr>
      </w:pPr>
    </w:p>
    <w:p w14:paraId="542EF4E9" w14:textId="77777777" w:rsidR="00AD51DD" w:rsidRPr="00BD21EE" w:rsidRDefault="00AD51DD" w:rsidP="00AD51DD">
      <w:pPr>
        <w:spacing w:line="360" w:lineRule="auto"/>
        <w:jc w:val="both"/>
        <w:rPr>
          <w:rFonts w:ascii="Times New Roman" w:hAnsi="Times New Roman"/>
          <w:b/>
          <w:sz w:val="24"/>
          <w:szCs w:val="24"/>
        </w:rPr>
      </w:pPr>
      <w:r w:rsidRPr="00BD21EE">
        <w:rPr>
          <w:rFonts w:ascii="Times New Roman" w:hAnsi="Times New Roman"/>
          <w:b/>
          <w:sz w:val="24"/>
          <w:szCs w:val="24"/>
        </w:rPr>
        <w:t>1.1.</w:t>
      </w:r>
      <w:r w:rsidRPr="00BD21EE">
        <w:rPr>
          <w:rFonts w:ascii="Times New Roman" w:hAnsi="Times New Roman"/>
          <w:sz w:val="24"/>
          <w:szCs w:val="24"/>
        </w:rPr>
        <w:tab/>
      </w:r>
      <w:r w:rsidRPr="00BD21EE">
        <w:rPr>
          <w:rFonts w:ascii="Times New Roman" w:hAnsi="Times New Roman"/>
          <w:b/>
          <w:sz w:val="24"/>
          <w:szCs w:val="24"/>
        </w:rPr>
        <w:t xml:space="preserve">Structure of the report </w:t>
      </w:r>
    </w:p>
    <w:p w14:paraId="2876687C"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The Report provides an overview of the 201</w:t>
      </w:r>
      <w:r w:rsidR="00F22CAA">
        <w:rPr>
          <w:rFonts w:ascii="Times New Roman" w:hAnsi="Times New Roman"/>
          <w:sz w:val="24"/>
          <w:szCs w:val="24"/>
        </w:rPr>
        <w:t>8</w:t>
      </w:r>
      <w:r w:rsidRPr="00BD21EE">
        <w:rPr>
          <w:rFonts w:ascii="Times New Roman" w:hAnsi="Times New Roman"/>
          <w:sz w:val="24"/>
          <w:szCs w:val="24"/>
        </w:rPr>
        <w:t>/1</w:t>
      </w:r>
      <w:r w:rsidR="00F22CAA">
        <w:rPr>
          <w:rFonts w:ascii="Times New Roman" w:hAnsi="Times New Roman"/>
          <w:sz w:val="24"/>
          <w:szCs w:val="24"/>
        </w:rPr>
        <w:t>9</w:t>
      </w:r>
      <w:r w:rsidRPr="00BD21EE">
        <w:rPr>
          <w:rFonts w:ascii="Times New Roman" w:hAnsi="Times New Roman"/>
          <w:sz w:val="24"/>
          <w:szCs w:val="24"/>
        </w:rPr>
        <w:t xml:space="preserve"> Budget Hearings of the IPID and is divided into the following sections: </w:t>
      </w:r>
    </w:p>
    <w:p w14:paraId="61932EB8" w14:textId="77777777" w:rsidR="00AD51DD" w:rsidRPr="00BD21EE" w:rsidRDefault="00AD51DD" w:rsidP="00AD51DD">
      <w:pPr>
        <w:pStyle w:val="ListParagraph"/>
        <w:numPr>
          <w:ilvl w:val="0"/>
          <w:numId w:val="7"/>
        </w:numPr>
        <w:spacing w:line="360" w:lineRule="auto"/>
        <w:jc w:val="both"/>
        <w:rPr>
          <w:rFonts w:ascii="Times New Roman" w:hAnsi="Times New Roman"/>
          <w:sz w:val="24"/>
          <w:szCs w:val="24"/>
        </w:rPr>
      </w:pPr>
      <w:r w:rsidRPr="00BD21EE">
        <w:rPr>
          <w:rFonts w:ascii="Times New Roman" w:hAnsi="Times New Roman"/>
          <w:sz w:val="24"/>
          <w:szCs w:val="24"/>
        </w:rPr>
        <w:t xml:space="preserve">Section 1: Introduction. This section provides an introduction to this Report as well as a summary of meetings held during the hearings. </w:t>
      </w:r>
    </w:p>
    <w:p w14:paraId="6674223B" w14:textId="77777777" w:rsidR="00AD51DD" w:rsidRPr="00BD21EE" w:rsidRDefault="00AD51DD" w:rsidP="00AD51DD">
      <w:pPr>
        <w:pStyle w:val="ListParagraph"/>
        <w:numPr>
          <w:ilvl w:val="0"/>
          <w:numId w:val="7"/>
        </w:numPr>
        <w:spacing w:line="360" w:lineRule="auto"/>
        <w:jc w:val="both"/>
        <w:rPr>
          <w:rFonts w:ascii="Times New Roman" w:hAnsi="Times New Roman"/>
          <w:sz w:val="24"/>
          <w:szCs w:val="24"/>
        </w:rPr>
      </w:pPr>
      <w:r w:rsidRPr="00BD21EE">
        <w:rPr>
          <w:rFonts w:ascii="Times New Roman" w:hAnsi="Times New Roman"/>
          <w:sz w:val="24"/>
          <w:szCs w:val="24"/>
        </w:rPr>
        <w:t>Section 2: Strategic Priorities of the IPID for the 201</w:t>
      </w:r>
      <w:r w:rsidR="00F22CAA">
        <w:rPr>
          <w:rFonts w:ascii="Times New Roman" w:hAnsi="Times New Roman"/>
          <w:sz w:val="24"/>
          <w:szCs w:val="24"/>
        </w:rPr>
        <w:t>8</w:t>
      </w:r>
      <w:r w:rsidRPr="00BD21EE">
        <w:rPr>
          <w:rFonts w:ascii="Times New Roman" w:hAnsi="Times New Roman"/>
          <w:sz w:val="24"/>
          <w:szCs w:val="24"/>
        </w:rPr>
        <w:t>/1</w:t>
      </w:r>
      <w:r w:rsidR="00F22CAA">
        <w:rPr>
          <w:rFonts w:ascii="Times New Roman" w:hAnsi="Times New Roman"/>
          <w:sz w:val="24"/>
          <w:szCs w:val="24"/>
        </w:rPr>
        <w:t>9</w:t>
      </w:r>
      <w:r w:rsidRPr="00BD21EE">
        <w:rPr>
          <w:rFonts w:ascii="Times New Roman" w:hAnsi="Times New Roman"/>
          <w:sz w:val="24"/>
          <w:szCs w:val="24"/>
        </w:rPr>
        <w:t xml:space="preserve"> financial year. This section provides a summary of the strategic focus areas for the IPID for the year under review. </w:t>
      </w:r>
    </w:p>
    <w:p w14:paraId="10522606" w14:textId="77777777" w:rsidR="00AD51DD" w:rsidRPr="00BD21EE" w:rsidRDefault="00AD51DD" w:rsidP="00AD51DD">
      <w:pPr>
        <w:pStyle w:val="ListParagraph"/>
        <w:numPr>
          <w:ilvl w:val="0"/>
          <w:numId w:val="7"/>
        </w:numPr>
        <w:spacing w:line="360" w:lineRule="auto"/>
        <w:jc w:val="both"/>
        <w:rPr>
          <w:rFonts w:ascii="Times New Roman" w:hAnsi="Times New Roman"/>
          <w:sz w:val="24"/>
          <w:szCs w:val="24"/>
        </w:rPr>
      </w:pPr>
      <w:r w:rsidRPr="00BD21EE">
        <w:rPr>
          <w:rFonts w:ascii="Times New Roman" w:hAnsi="Times New Roman"/>
          <w:sz w:val="24"/>
          <w:szCs w:val="24"/>
        </w:rPr>
        <w:t>Section 3: IPID Budget and Performance targets for 201</w:t>
      </w:r>
      <w:r w:rsidR="00F22CAA">
        <w:rPr>
          <w:rFonts w:ascii="Times New Roman" w:hAnsi="Times New Roman"/>
          <w:sz w:val="24"/>
          <w:szCs w:val="24"/>
        </w:rPr>
        <w:t>8</w:t>
      </w:r>
      <w:r w:rsidRPr="00BD21EE">
        <w:rPr>
          <w:rFonts w:ascii="Times New Roman" w:hAnsi="Times New Roman"/>
          <w:sz w:val="24"/>
          <w:szCs w:val="24"/>
        </w:rPr>
        <w:t>/1</w:t>
      </w:r>
      <w:r w:rsidR="00F22CAA">
        <w:rPr>
          <w:rFonts w:ascii="Times New Roman" w:hAnsi="Times New Roman"/>
          <w:sz w:val="24"/>
          <w:szCs w:val="24"/>
        </w:rPr>
        <w:t>9</w:t>
      </w:r>
      <w:r w:rsidRPr="00BD21EE">
        <w:rPr>
          <w:rFonts w:ascii="Times New Roman" w:hAnsi="Times New Roman"/>
          <w:sz w:val="24"/>
          <w:szCs w:val="24"/>
        </w:rPr>
        <w:t>. This section provides an overall analysis of the estimates of national expenditure of the IPID for the 201</w:t>
      </w:r>
      <w:r w:rsidR="00F22CAA">
        <w:rPr>
          <w:rFonts w:ascii="Times New Roman" w:hAnsi="Times New Roman"/>
          <w:sz w:val="24"/>
          <w:szCs w:val="24"/>
        </w:rPr>
        <w:t>8</w:t>
      </w:r>
      <w:r w:rsidRPr="00BD21EE">
        <w:rPr>
          <w:rFonts w:ascii="Times New Roman" w:hAnsi="Times New Roman"/>
          <w:sz w:val="24"/>
          <w:szCs w:val="24"/>
        </w:rPr>
        <w:t>/1</w:t>
      </w:r>
      <w:r w:rsidR="00F22CAA">
        <w:rPr>
          <w:rFonts w:ascii="Times New Roman" w:hAnsi="Times New Roman"/>
          <w:sz w:val="24"/>
          <w:szCs w:val="24"/>
        </w:rPr>
        <w:t>9</w:t>
      </w:r>
      <w:r w:rsidRPr="00BD21EE">
        <w:rPr>
          <w:rFonts w:ascii="Times New Roman" w:hAnsi="Times New Roman"/>
          <w:sz w:val="24"/>
          <w:szCs w:val="24"/>
        </w:rPr>
        <w:t xml:space="preserve"> financial year. This section also provides a programme analysis of the IPID. </w:t>
      </w:r>
    </w:p>
    <w:p w14:paraId="3A897FEF" w14:textId="77777777" w:rsidR="00AD51DD" w:rsidRPr="00BD21EE" w:rsidRDefault="00AD51DD" w:rsidP="00AD51DD">
      <w:pPr>
        <w:pStyle w:val="ListParagraph"/>
        <w:numPr>
          <w:ilvl w:val="0"/>
          <w:numId w:val="7"/>
        </w:numPr>
        <w:spacing w:line="360" w:lineRule="auto"/>
        <w:jc w:val="both"/>
        <w:rPr>
          <w:rFonts w:ascii="Times New Roman" w:hAnsi="Times New Roman"/>
          <w:sz w:val="24"/>
          <w:szCs w:val="24"/>
        </w:rPr>
      </w:pPr>
      <w:r w:rsidRPr="00BD21EE">
        <w:rPr>
          <w:rFonts w:ascii="Times New Roman" w:hAnsi="Times New Roman"/>
          <w:sz w:val="24"/>
          <w:szCs w:val="24"/>
        </w:rPr>
        <w:lastRenderedPageBreak/>
        <w:t>Section 4: Committee observations. This section highlights selected observations made by the Portfolio Committee on Police on the annual performance targets and programme specific issues during the 201</w:t>
      </w:r>
      <w:r w:rsidR="00F22CAA">
        <w:rPr>
          <w:rFonts w:ascii="Times New Roman" w:hAnsi="Times New Roman"/>
          <w:sz w:val="24"/>
          <w:szCs w:val="24"/>
        </w:rPr>
        <w:t>8</w:t>
      </w:r>
      <w:r w:rsidRPr="00BD21EE">
        <w:rPr>
          <w:rFonts w:ascii="Times New Roman" w:hAnsi="Times New Roman"/>
          <w:sz w:val="24"/>
          <w:szCs w:val="24"/>
        </w:rPr>
        <w:t>/1</w:t>
      </w:r>
      <w:r w:rsidR="00F22CAA">
        <w:rPr>
          <w:rFonts w:ascii="Times New Roman" w:hAnsi="Times New Roman"/>
          <w:sz w:val="24"/>
          <w:szCs w:val="24"/>
        </w:rPr>
        <w:t>9</w:t>
      </w:r>
      <w:r w:rsidRPr="00BD21EE">
        <w:rPr>
          <w:rFonts w:ascii="Times New Roman" w:hAnsi="Times New Roman"/>
          <w:sz w:val="24"/>
          <w:szCs w:val="24"/>
        </w:rPr>
        <w:t xml:space="preserve"> budget hearings and subsequent responses by the IPID.</w:t>
      </w:r>
    </w:p>
    <w:p w14:paraId="47FDBFCD" w14:textId="77777777" w:rsidR="00AD51DD" w:rsidRPr="00BD21EE" w:rsidRDefault="00AD51DD" w:rsidP="00AD51DD">
      <w:pPr>
        <w:pStyle w:val="ListParagraph"/>
        <w:numPr>
          <w:ilvl w:val="0"/>
          <w:numId w:val="7"/>
        </w:numPr>
        <w:spacing w:line="360" w:lineRule="auto"/>
        <w:jc w:val="both"/>
        <w:rPr>
          <w:rFonts w:ascii="Times New Roman" w:hAnsi="Times New Roman"/>
          <w:sz w:val="24"/>
          <w:szCs w:val="24"/>
        </w:rPr>
      </w:pPr>
      <w:r w:rsidRPr="00BD21EE">
        <w:rPr>
          <w:rFonts w:ascii="Times New Roman" w:hAnsi="Times New Roman"/>
          <w:sz w:val="24"/>
          <w:szCs w:val="24"/>
        </w:rPr>
        <w:t xml:space="preserve">Section 5: Recommendations and additional information. This section summarises the recommendations made by the Portfolio Committee on Police, as well as the additional information requested from the IPID. </w:t>
      </w:r>
    </w:p>
    <w:p w14:paraId="6CB3FC5A" w14:textId="77777777" w:rsidR="00AD51DD" w:rsidRPr="00BD21EE" w:rsidRDefault="00AD51DD" w:rsidP="00AD51DD">
      <w:pPr>
        <w:pStyle w:val="ListParagraph"/>
        <w:numPr>
          <w:ilvl w:val="0"/>
          <w:numId w:val="7"/>
        </w:numPr>
        <w:spacing w:line="360" w:lineRule="auto"/>
        <w:jc w:val="both"/>
        <w:rPr>
          <w:rFonts w:ascii="Times New Roman" w:hAnsi="Times New Roman"/>
          <w:sz w:val="24"/>
          <w:szCs w:val="24"/>
        </w:rPr>
      </w:pPr>
      <w:r w:rsidRPr="00BD21EE">
        <w:rPr>
          <w:rFonts w:ascii="Times New Roman" w:hAnsi="Times New Roman"/>
          <w:sz w:val="24"/>
          <w:szCs w:val="24"/>
        </w:rPr>
        <w:t>Section 6: Conclusion. This section provides a conclusion to this Report.</w:t>
      </w:r>
    </w:p>
    <w:p w14:paraId="4FE50394" w14:textId="77777777" w:rsidR="00AD51DD" w:rsidRPr="00BD21EE" w:rsidRDefault="00AD51DD" w:rsidP="00AD51DD">
      <w:pPr>
        <w:spacing w:line="360" w:lineRule="auto"/>
        <w:jc w:val="both"/>
        <w:rPr>
          <w:rFonts w:ascii="Times New Roman" w:hAnsi="Times New Roman"/>
          <w:b/>
          <w:sz w:val="24"/>
          <w:szCs w:val="24"/>
        </w:rPr>
      </w:pPr>
      <w:r w:rsidRPr="00BD21EE">
        <w:rPr>
          <w:rFonts w:ascii="Times New Roman" w:hAnsi="Times New Roman"/>
          <w:b/>
          <w:sz w:val="24"/>
          <w:szCs w:val="24"/>
        </w:rPr>
        <w:t>1.2.</w:t>
      </w:r>
      <w:r w:rsidRPr="00BD21EE">
        <w:rPr>
          <w:rFonts w:ascii="Times New Roman" w:hAnsi="Times New Roman"/>
          <w:b/>
          <w:sz w:val="24"/>
          <w:szCs w:val="24"/>
        </w:rPr>
        <w:tab/>
        <w:t>Meetings held</w:t>
      </w:r>
    </w:p>
    <w:p w14:paraId="1FC71A69" w14:textId="77777777" w:rsidR="00AD51DD" w:rsidRPr="00BD21E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The Committee received a briefing by IPID on the Annual Performance Plan and 201</w:t>
      </w:r>
      <w:r w:rsidR="002C37C9">
        <w:rPr>
          <w:rFonts w:ascii="Times New Roman" w:hAnsi="Times New Roman"/>
          <w:sz w:val="24"/>
          <w:szCs w:val="24"/>
        </w:rPr>
        <w:t>8</w:t>
      </w:r>
      <w:r w:rsidRPr="00BD21EE">
        <w:rPr>
          <w:rFonts w:ascii="Times New Roman" w:hAnsi="Times New Roman"/>
          <w:sz w:val="24"/>
          <w:szCs w:val="24"/>
        </w:rPr>
        <w:t>/1</w:t>
      </w:r>
      <w:r w:rsidR="002C37C9">
        <w:rPr>
          <w:rFonts w:ascii="Times New Roman" w:hAnsi="Times New Roman"/>
          <w:sz w:val="24"/>
          <w:szCs w:val="24"/>
        </w:rPr>
        <w:t>9</w:t>
      </w:r>
      <w:r w:rsidRPr="00BD21EE">
        <w:rPr>
          <w:rFonts w:ascii="Times New Roman" w:hAnsi="Times New Roman"/>
          <w:sz w:val="24"/>
          <w:szCs w:val="24"/>
        </w:rPr>
        <w:t xml:space="preserve"> Budget on </w:t>
      </w:r>
      <w:r w:rsidR="00F22CAA">
        <w:rPr>
          <w:rFonts w:ascii="Times New Roman" w:hAnsi="Times New Roman"/>
          <w:sz w:val="24"/>
          <w:szCs w:val="24"/>
        </w:rPr>
        <w:t xml:space="preserve">20 April </w:t>
      </w:r>
      <w:r w:rsidRPr="00BD21EE">
        <w:rPr>
          <w:rFonts w:ascii="Times New Roman" w:hAnsi="Times New Roman"/>
          <w:sz w:val="24"/>
          <w:szCs w:val="24"/>
        </w:rPr>
        <w:t>201</w:t>
      </w:r>
      <w:r w:rsidR="00F22CAA">
        <w:rPr>
          <w:rFonts w:ascii="Times New Roman" w:hAnsi="Times New Roman"/>
          <w:sz w:val="24"/>
          <w:szCs w:val="24"/>
        </w:rPr>
        <w:t>8</w:t>
      </w:r>
      <w:r w:rsidRPr="00BD21EE">
        <w:rPr>
          <w:rFonts w:ascii="Times New Roman" w:hAnsi="Times New Roman"/>
          <w:sz w:val="24"/>
          <w:szCs w:val="24"/>
        </w:rPr>
        <w:t>.</w:t>
      </w:r>
    </w:p>
    <w:p w14:paraId="344CF939" w14:textId="77777777" w:rsidR="00AD51DD" w:rsidRDefault="00AD51DD" w:rsidP="00AD51DD">
      <w:pPr>
        <w:spacing w:line="360" w:lineRule="auto"/>
        <w:jc w:val="both"/>
        <w:rPr>
          <w:rFonts w:ascii="Times New Roman" w:hAnsi="Times New Roman"/>
          <w:b/>
          <w:sz w:val="24"/>
          <w:szCs w:val="24"/>
        </w:rPr>
      </w:pPr>
      <w:r w:rsidRPr="00200300">
        <w:rPr>
          <w:rFonts w:ascii="Times New Roman" w:hAnsi="Times New Roman"/>
          <w:b/>
          <w:sz w:val="24"/>
          <w:szCs w:val="24"/>
        </w:rPr>
        <w:t xml:space="preserve">1.3 </w:t>
      </w:r>
      <w:r w:rsidRPr="00200300">
        <w:rPr>
          <w:rFonts w:ascii="Times New Roman" w:hAnsi="Times New Roman"/>
          <w:b/>
          <w:sz w:val="24"/>
          <w:szCs w:val="24"/>
        </w:rPr>
        <w:tab/>
        <w:t>201</w:t>
      </w:r>
      <w:r w:rsidR="00F22CAA">
        <w:rPr>
          <w:rFonts w:ascii="Times New Roman" w:hAnsi="Times New Roman"/>
          <w:b/>
          <w:sz w:val="24"/>
          <w:szCs w:val="24"/>
        </w:rPr>
        <w:t>7</w:t>
      </w:r>
      <w:r w:rsidRPr="00200300">
        <w:rPr>
          <w:rFonts w:ascii="Times New Roman" w:hAnsi="Times New Roman"/>
          <w:b/>
          <w:sz w:val="24"/>
          <w:szCs w:val="24"/>
        </w:rPr>
        <w:t>/1</w:t>
      </w:r>
      <w:r w:rsidR="00F22CAA">
        <w:rPr>
          <w:rFonts w:ascii="Times New Roman" w:hAnsi="Times New Roman"/>
          <w:b/>
          <w:sz w:val="24"/>
          <w:szCs w:val="24"/>
        </w:rPr>
        <w:t>8</w:t>
      </w:r>
      <w:r w:rsidRPr="00200300">
        <w:rPr>
          <w:rFonts w:ascii="Times New Roman" w:hAnsi="Times New Roman"/>
          <w:b/>
          <w:sz w:val="24"/>
          <w:szCs w:val="24"/>
        </w:rPr>
        <w:t xml:space="preserve"> Budget Recommendations</w:t>
      </w:r>
    </w:p>
    <w:p w14:paraId="0801D9B3" w14:textId="77777777" w:rsidR="00AD51DD" w:rsidRDefault="00AD51DD" w:rsidP="00AD51DD">
      <w:pPr>
        <w:spacing w:line="360" w:lineRule="auto"/>
        <w:jc w:val="both"/>
        <w:rPr>
          <w:rFonts w:ascii="Times New Roman" w:hAnsi="Times New Roman"/>
          <w:sz w:val="24"/>
          <w:szCs w:val="24"/>
        </w:rPr>
      </w:pPr>
      <w:r>
        <w:rPr>
          <w:rFonts w:ascii="Times New Roman" w:hAnsi="Times New Roman"/>
          <w:sz w:val="24"/>
          <w:szCs w:val="24"/>
        </w:rPr>
        <w:t>The following Budget Recommendations were adopted during the 201</w:t>
      </w:r>
      <w:r w:rsidR="00F22CAA">
        <w:rPr>
          <w:rFonts w:ascii="Times New Roman" w:hAnsi="Times New Roman"/>
          <w:sz w:val="24"/>
          <w:szCs w:val="24"/>
        </w:rPr>
        <w:t>7</w:t>
      </w:r>
      <w:r>
        <w:rPr>
          <w:rFonts w:ascii="Times New Roman" w:hAnsi="Times New Roman"/>
          <w:sz w:val="24"/>
          <w:szCs w:val="24"/>
        </w:rPr>
        <w:t>/1</w:t>
      </w:r>
      <w:r w:rsidR="00F22CAA">
        <w:rPr>
          <w:rFonts w:ascii="Times New Roman" w:hAnsi="Times New Roman"/>
          <w:sz w:val="24"/>
          <w:szCs w:val="24"/>
        </w:rPr>
        <w:t>8</w:t>
      </w:r>
      <w:r>
        <w:rPr>
          <w:rFonts w:ascii="Times New Roman" w:hAnsi="Times New Roman"/>
          <w:sz w:val="24"/>
          <w:szCs w:val="24"/>
        </w:rPr>
        <w:t xml:space="preserve"> Budget Vote:</w:t>
      </w:r>
    </w:p>
    <w:p w14:paraId="4A096146" w14:textId="77777777" w:rsidR="00AD51DD" w:rsidRPr="003052D0" w:rsidRDefault="00AD51DD" w:rsidP="003052D0">
      <w:pPr>
        <w:pStyle w:val="ListParagraph"/>
        <w:numPr>
          <w:ilvl w:val="2"/>
          <w:numId w:val="15"/>
        </w:numPr>
        <w:spacing w:after="0" w:line="360" w:lineRule="auto"/>
        <w:jc w:val="both"/>
        <w:rPr>
          <w:rFonts w:ascii="Times New Roman" w:eastAsia="Times New Roman" w:hAnsi="Times New Roman"/>
          <w:b/>
          <w:color w:val="000000"/>
          <w:sz w:val="24"/>
          <w:szCs w:val="24"/>
          <w:lang w:val="en-GB" w:eastAsia="en-GB"/>
        </w:rPr>
      </w:pPr>
      <w:r w:rsidRPr="003052D0">
        <w:rPr>
          <w:rFonts w:ascii="Times New Roman" w:eastAsia="Times New Roman" w:hAnsi="Times New Roman"/>
          <w:b/>
          <w:color w:val="000000"/>
          <w:sz w:val="24"/>
          <w:szCs w:val="24"/>
          <w:lang w:val="en-GB" w:eastAsia="en-GB"/>
        </w:rPr>
        <w:t>Recommendations: Budget allocation 201</w:t>
      </w:r>
      <w:r w:rsidR="00F22CAA" w:rsidRPr="003052D0">
        <w:rPr>
          <w:rFonts w:ascii="Times New Roman" w:eastAsia="Times New Roman" w:hAnsi="Times New Roman"/>
          <w:b/>
          <w:color w:val="000000"/>
          <w:sz w:val="24"/>
          <w:szCs w:val="24"/>
          <w:lang w:val="en-GB" w:eastAsia="en-GB"/>
        </w:rPr>
        <w:t>7</w:t>
      </w:r>
      <w:r w:rsidRPr="003052D0">
        <w:rPr>
          <w:rFonts w:ascii="Times New Roman" w:eastAsia="Times New Roman" w:hAnsi="Times New Roman"/>
          <w:b/>
          <w:color w:val="000000"/>
          <w:sz w:val="24"/>
          <w:szCs w:val="24"/>
          <w:lang w:val="en-GB" w:eastAsia="en-GB"/>
        </w:rPr>
        <w:t>/1</w:t>
      </w:r>
      <w:r w:rsidR="00F22CAA" w:rsidRPr="003052D0">
        <w:rPr>
          <w:rFonts w:ascii="Times New Roman" w:eastAsia="Times New Roman" w:hAnsi="Times New Roman"/>
          <w:b/>
          <w:color w:val="000000"/>
          <w:sz w:val="24"/>
          <w:szCs w:val="24"/>
          <w:lang w:val="en-GB" w:eastAsia="en-GB"/>
        </w:rPr>
        <w:t>8</w:t>
      </w:r>
      <w:r w:rsidRPr="003052D0">
        <w:rPr>
          <w:rFonts w:ascii="Times New Roman" w:eastAsia="Times New Roman" w:hAnsi="Times New Roman"/>
          <w:b/>
          <w:color w:val="000000"/>
          <w:sz w:val="24"/>
          <w:szCs w:val="24"/>
          <w:lang w:val="en-GB" w:eastAsia="en-GB"/>
        </w:rPr>
        <w:t xml:space="preserve"> </w:t>
      </w:r>
    </w:p>
    <w:p w14:paraId="64E58B93" w14:textId="77777777" w:rsidR="00AD51DD" w:rsidRPr="00200300" w:rsidRDefault="00AD51DD" w:rsidP="00AD51DD">
      <w:pPr>
        <w:spacing w:after="0" w:line="360" w:lineRule="auto"/>
        <w:jc w:val="both"/>
        <w:rPr>
          <w:rFonts w:ascii="Times New Roman" w:eastAsia="Times New Roman" w:hAnsi="Times New Roman"/>
          <w:color w:val="000000"/>
          <w:sz w:val="24"/>
          <w:szCs w:val="24"/>
          <w:lang w:val="en-GB" w:eastAsia="en-GB"/>
        </w:rPr>
      </w:pPr>
      <w:r w:rsidRPr="00200300">
        <w:rPr>
          <w:rFonts w:ascii="Times New Roman" w:eastAsia="Times New Roman" w:hAnsi="Times New Roman"/>
          <w:color w:val="000000"/>
          <w:sz w:val="24"/>
          <w:szCs w:val="24"/>
          <w:lang w:val="en-GB" w:eastAsia="en-GB"/>
        </w:rPr>
        <w:t>The Committee made the following recommendations regarding the 201</w:t>
      </w:r>
      <w:r w:rsidR="00F22CAA">
        <w:rPr>
          <w:rFonts w:ascii="Times New Roman" w:eastAsia="Times New Roman" w:hAnsi="Times New Roman"/>
          <w:color w:val="000000"/>
          <w:sz w:val="24"/>
          <w:szCs w:val="24"/>
          <w:lang w:val="en-GB" w:eastAsia="en-GB"/>
        </w:rPr>
        <w:t>7</w:t>
      </w:r>
      <w:r w:rsidRPr="00200300">
        <w:rPr>
          <w:rFonts w:ascii="Times New Roman" w:eastAsia="Times New Roman" w:hAnsi="Times New Roman"/>
          <w:color w:val="000000"/>
          <w:sz w:val="24"/>
          <w:szCs w:val="24"/>
          <w:lang w:val="en-GB" w:eastAsia="en-GB"/>
        </w:rPr>
        <w:t>/1</w:t>
      </w:r>
      <w:r w:rsidR="00F22CAA">
        <w:rPr>
          <w:rFonts w:ascii="Times New Roman" w:eastAsia="Times New Roman" w:hAnsi="Times New Roman"/>
          <w:color w:val="000000"/>
          <w:sz w:val="24"/>
          <w:szCs w:val="24"/>
          <w:lang w:val="en-GB" w:eastAsia="en-GB"/>
        </w:rPr>
        <w:t>8</w:t>
      </w:r>
      <w:r w:rsidRPr="00200300">
        <w:rPr>
          <w:rFonts w:ascii="Times New Roman" w:eastAsia="Times New Roman" w:hAnsi="Times New Roman"/>
          <w:color w:val="000000"/>
          <w:sz w:val="24"/>
          <w:szCs w:val="24"/>
          <w:lang w:val="en-GB" w:eastAsia="en-GB"/>
        </w:rPr>
        <w:t xml:space="preserve"> budget allocation of Vote 20: IPID:</w:t>
      </w:r>
    </w:p>
    <w:p w14:paraId="55287BBD" w14:textId="77777777" w:rsidR="00F22CAA" w:rsidRDefault="00F22CAA" w:rsidP="003052D0">
      <w:pPr>
        <w:pStyle w:val="ListParagraph"/>
        <w:numPr>
          <w:ilvl w:val="1"/>
          <w:numId w:val="15"/>
        </w:numPr>
        <w:spacing w:line="360" w:lineRule="auto"/>
        <w:jc w:val="both"/>
        <w:rPr>
          <w:rFonts w:ascii="Times New Roman" w:hAnsi="Times New Roman"/>
          <w:sz w:val="24"/>
          <w:szCs w:val="24"/>
        </w:rPr>
      </w:pPr>
      <w:r w:rsidRPr="00A14323">
        <w:rPr>
          <w:rFonts w:ascii="Times New Roman" w:hAnsi="Times New Roman"/>
          <w:sz w:val="24"/>
          <w:szCs w:val="24"/>
        </w:rPr>
        <w:t>The Committee recommend</w:t>
      </w:r>
      <w:r w:rsidR="002C37C9">
        <w:rPr>
          <w:rFonts w:ascii="Times New Roman" w:hAnsi="Times New Roman"/>
          <w:sz w:val="24"/>
          <w:szCs w:val="24"/>
        </w:rPr>
        <w:t>ed</w:t>
      </w:r>
      <w:r w:rsidRPr="00A14323">
        <w:rPr>
          <w:rFonts w:ascii="Times New Roman" w:hAnsi="Times New Roman"/>
          <w:sz w:val="24"/>
          <w:szCs w:val="24"/>
        </w:rPr>
        <w:t xml:space="preserve"> that the National Treasury must make available the additional R5 million so that IPID can conclude its investigations into the Marikana incident.  </w:t>
      </w:r>
    </w:p>
    <w:p w14:paraId="0D1FECBC" w14:textId="77777777" w:rsidR="00F22CAA" w:rsidRPr="00A14323" w:rsidRDefault="00F22CAA" w:rsidP="003052D0">
      <w:pPr>
        <w:pStyle w:val="ListParagraph"/>
        <w:numPr>
          <w:ilvl w:val="1"/>
          <w:numId w:val="15"/>
        </w:numPr>
        <w:spacing w:line="360" w:lineRule="auto"/>
        <w:jc w:val="both"/>
        <w:rPr>
          <w:rFonts w:ascii="Times New Roman" w:hAnsi="Times New Roman"/>
          <w:sz w:val="24"/>
          <w:szCs w:val="24"/>
        </w:rPr>
      </w:pPr>
      <w:r w:rsidRPr="00A14323">
        <w:rPr>
          <w:rFonts w:ascii="Times New Roman" w:hAnsi="Times New Roman"/>
          <w:sz w:val="24"/>
          <w:szCs w:val="24"/>
        </w:rPr>
        <w:t>The Committee recommend</w:t>
      </w:r>
      <w:r w:rsidR="002C37C9">
        <w:rPr>
          <w:rFonts w:ascii="Times New Roman" w:hAnsi="Times New Roman"/>
          <w:sz w:val="24"/>
          <w:szCs w:val="24"/>
        </w:rPr>
        <w:t>ed</w:t>
      </w:r>
      <w:r w:rsidRPr="00A14323">
        <w:rPr>
          <w:rFonts w:ascii="Times New Roman" w:hAnsi="Times New Roman"/>
          <w:sz w:val="24"/>
          <w:szCs w:val="24"/>
        </w:rPr>
        <w:t xml:space="preserve"> that the IPID management engage with the Executive Authority with regards to additional budgetary support within the Justice, Crime Prevention and Security Cluster.</w:t>
      </w:r>
    </w:p>
    <w:p w14:paraId="1CC9B16E" w14:textId="77777777" w:rsidR="00F22CAA" w:rsidRPr="00FB5AEE" w:rsidRDefault="00F22CAA" w:rsidP="003052D0">
      <w:pPr>
        <w:numPr>
          <w:ilvl w:val="1"/>
          <w:numId w:val="15"/>
        </w:numPr>
        <w:spacing w:line="360" w:lineRule="auto"/>
        <w:rPr>
          <w:rFonts w:ascii="Times New Roman" w:hAnsi="Times New Roman"/>
          <w:sz w:val="24"/>
          <w:szCs w:val="24"/>
        </w:rPr>
      </w:pPr>
      <w:r w:rsidRPr="00FB5AEE">
        <w:rPr>
          <w:rFonts w:ascii="Times New Roman" w:hAnsi="Times New Roman"/>
          <w:sz w:val="24"/>
          <w:szCs w:val="24"/>
        </w:rPr>
        <w:t>The Committee recommend</w:t>
      </w:r>
      <w:r w:rsidR="002C37C9">
        <w:rPr>
          <w:rFonts w:ascii="Times New Roman" w:hAnsi="Times New Roman"/>
          <w:sz w:val="24"/>
          <w:szCs w:val="24"/>
        </w:rPr>
        <w:t>ed</w:t>
      </w:r>
      <w:r w:rsidRPr="00FB5AEE">
        <w:rPr>
          <w:rFonts w:ascii="Times New Roman" w:hAnsi="Times New Roman"/>
          <w:sz w:val="24"/>
          <w:szCs w:val="24"/>
        </w:rPr>
        <w:t xml:space="preserve"> that the Executive Authority should make all attempts to find the resources (financial and human) to complete the Marikana investigation. </w:t>
      </w:r>
    </w:p>
    <w:p w14:paraId="00A8873B" w14:textId="77777777" w:rsidR="00F22CAA" w:rsidRPr="00FB5AEE" w:rsidRDefault="00F22CAA" w:rsidP="003052D0">
      <w:pPr>
        <w:numPr>
          <w:ilvl w:val="1"/>
          <w:numId w:val="15"/>
        </w:numPr>
        <w:spacing w:line="360" w:lineRule="auto"/>
        <w:jc w:val="both"/>
        <w:rPr>
          <w:rFonts w:ascii="Times New Roman" w:hAnsi="Times New Roman"/>
          <w:sz w:val="24"/>
          <w:szCs w:val="24"/>
        </w:rPr>
      </w:pPr>
      <w:r w:rsidRPr="00FB5AEE">
        <w:rPr>
          <w:rFonts w:ascii="Times New Roman" w:hAnsi="Times New Roman"/>
          <w:sz w:val="24"/>
          <w:szCs w:val="24"/>
        </w:rPr>
        <w:t>The Committee recommend</w:t>
      </w:r>
      <w:r w:rsidR="002C37C9">
        <w:rPr>
          <w:rFonts w:ascii="Times New Roman" w:hAnsi="Times New Roman"/>
          <w:sz w:val="24"/>
          <w:szCs w:val="24"/>
        </w:rPr>
        <w:t>ed</w:t>
      </w:r>
      <w:r w:rsidRPr="00FB5AEE">
        <w:rPr>
          <w:rFonts w:ascii="Times New Roman" w:hAnsi="Times New Roman"/>
          <w:sz w:val="24"/>
          <w:szCs w:val="24"/>
        </w:rPr>
        <w:t xml:space="preserve"> that the IPID approach the Standing Committee on Appropriations with respect to the additional budget required by the IPID to complete its investigations.   </w:t>
      </w:r>
    </w:p>
    <w:p w14:paraId="5C5893BC" w14:textId="77777777" w:rsidR="00F22CAA" w:rsidRPr="003E7E5C" w:rsidRDefault="00F22CAA" w:rsidP="003052D0">
      <w:pPr>
        <w:pStyle w:val="ListParagraph"/>
        <w:numPr>
          <w:ilvl w:val="1"/>
          <w:numId w:val="15"/>
        </w:numPr>
        <w:spacing w:line="360" w:lineRule="auto"/>
        <w:jc w:val="both"/>
        <w:rPr>
          <w:rFonts w:ascii="Times New Roman" w:hAnsi="Times New Roman"/>
          <w:sz w:val="24"/>
          <w:szCs w:val="24"/>
        </w:rPr>
      </w:pPr>
      <w:r w:rsidRPr="003E7E5C">
        <w:rPr>
          <w:rFonts w:ascii="Times New Roman" w:hAnsi="Times New Roman"/>
          <w:sz w:val="24"/>
          <w:szCs w:val="24"/>
        </w:rPr>
        <w:t xml:space="preserve">The Directorate should provide the Committee </w:t>
      </w:r>
      <w:r w:rsidR="00DD7D0D">
        <w:rPr>
          <w:rFonts w:ascii="Times New Roman" w:hAnsi="Times New Roman"/>
          <w:sz w:val="24"/>
          <w:szCs w:val="24"/>
        </w:rPr>
        <w:t xml:space="preserve">with </w:t>
      </w:r>
      <w:r w:rsidRPr="003E7E5C">
        <w:rPr>
          <w:rFonts w:ascii="Times New Roman" w:hAnsi="Times New Roman"/>
          <w:sz w:val="24"/>
          <w:szCs w:val="24"/>
        </w:rPr>
        <w:t>all correspondence it has sent and received from the National Treasury for additional funding.</w:t>
      </w:r>
    </w:p>
    <w:p w14:paraId="4D288111" w14:textId="77777777" w:rsidR="00F22CAA" w:rsidRPr="00BD21EE" w:rsidRDefault="00F22CAA" w:rsidP="003052D0">
      <w:pPr>
        <w:pStyle w:val="ListParagraph"/>
        <w:numPr>
          <w:ilvl w:val="1"/>
          <w:numId w:val="15"/>
        </w:numPr>
        <w:spacing w:line="360" w:lineRule="auto"/>
        <w:jc w:val="both"/>
        <w:rPr>
          <w:rFonts w:ascii="Times New Roman" w:hAnsi="Times New Roman"/>
          <w:sz w:val="24"/>
          <w:szCs w:val="24"/>
        </w:rPr>
      </w:pPr>
      <w:r w:rsidRPr="00BD21EE">
        <w:rPr>
          <w:rFonts w:ascii="Times New Roman" w:hAnsi="Times New Roman"/>
          <w:sz w:val="24"/>
          <w:szCs w:val="24"/>
        </w:rPr>
        <w:t>The Committee recommend</w:t>
      </w:r>
      <w:r w:rsidR="002C37C9">
        <w:rPr>
          <w:rFonts w:ascii="Times New Roman" w:hAnsi="Times New Roman"/>
          <w:sz w:val="24"/>
          <w:szCs w:val="24"/>
        </w:rPr>
        <w:t>ed</w:t>
      </w:r>
      <w:r w:rsidRPr="00BD21EE">
        <w:rPr>
          <w:rFonts w:ascii="Times New Roman" w:hAnsi="Times New Roman"/>
          <w:sz w:val="24"/>
          <w:szCs w:val="24"/>
        </w:rPr>
        <w:t xml:space="preserve"> that further engagements with the National Treasury must take place in order to resolve the matter of legal services as a separate programme.</w:t>
      </w:r>
    </w:p>
    <w:p w14:paraId="25EC5274" w14:textId="77777777" w:rsidR="00F22CAA" w:rsidRPr="00BD21EE" w:rsidRDefault="00F22CAA" w:rsidP="003052D0">
      <w:pPr>
        <w:pStyle w:val="ListParagraph"/>
        <w:numPr>
          <w:ilvl w:val="1"/>
          <w:numId w:val="15"/>
        </w:numPr>
        <w:spacing w:line="360" w:lineRule="auto"/>
        <w:jc w:val="both"/>
        <w:rPr>
          <w:rFonts w:ascii="Times New Roman" w:hAnsi="Times New Roman"/>
          <w:sz w:val="24"/>
          <w:szCs w:val="24"/>
        </w:rPr>
      </w:pPr>
      <w:r w:rsidRPr="00BD21EE">
        <w:rPr>
          <w:rFonts w:ascii="Times New Roman" w:hAnsi="Times New Roman"/>
          <w:sz w:val="24"/>
          <w:szCs w:val="24"/>
        </w:rPr>
        <w:lastRenderedPageBreak/>
        <w:t>The Committee recommend</w:t>
      </w:r>
      <w:r w:rsidR="002C37C9">
        <w:rPr>
          <w:rFonts w:ascii="Times New Roman" w:hAnsi="Times New Roman"/>
          <w:sz w:val="24"/>
          <w:szCs w:val="24"/>
        </w:rPr>
        <w:t>ed</w:t>
      </w:r>
      <w:r w:rsidRPr="00BD21EE">
        <w:rPr>
          <w:rFonts w:ascii="Times New Roman" w:hAnsi="Times New Roman"/>
          <w:sz w:val="24"/>
          <w:szCs w:val="24"/>
        </w:rPr>
        <w:t xml:space="preserve"> that IPID ensure</w:t>
      </w:r>
      <w:r w:rsidR="00DD7D0D">
        <w:rPr>
          <w:rFonts w:ascii="Times New Roman" w:hAnsi="Times New Roman"/>
          <w:sz w:val="24"/>
          <w:szCs w:val="24"/>
        </w:rPr>
        <w:t>s</w:t>
      </w:r>
      <w:r w:rsidRPr="00BD21EE">
        <w:rPr>
          <w:rFonts w:ascii="Times New Roman" w:hAnsi="Times New Roman"/>
          <w:sz w:val="24"/>
          <w:szCs w:val="24"/>
        </w:rPr>
        <w:t xml:space="preserve"> that investigations are undertaken into all the 15 cases of corruption reported by the SAPU in its submission to the Portfolio Committee at the Budget and APP hearings</w:t>
      </w:r>
      <w:r>
        <w:rPr>
          <w:rFonts w:ascii="Times New Roman" w:hAnsi="Times New Roman"/>
          <w:sz w:val="24"/>
          <w:szCs w:val="24"/>
        </w:rPr>
        <w:t xml:space="preserve"> and report back within 60 days</w:t>
      </w:r>
      <w:r w:rsidRPr="00BD21EE">
        <w:rPr>
          <w:rFonts w:ascii="Times New Roman" w:hAnsi="Times New Roman"/>
          <w:sz w:val="24"/>
          <w:szCs w:val="24"/>
        </w:rPr>
        <w:t xml:space="preserve">. </w:t>
      </w:r>
    </w:p>
    <w:p w14:paraId="7623E77B" w14:textId="77777777" w:rsidR="00F22CAA" w:rsidRPr="00BD21EE" w:rsidRDefault="00F22CAA" w:rsidP="003052D0">
      <w:pPr>
        <w:pStyle w:val="ListParagraph"/>
        <w:numPr>
          <w:ilvl w:val="1"/>
          <w:numId w:val="15"/>
        </w:numPr>
        <w:spacing w:line="360" w:lineRule="auto"/>
        <w:jc w:val="both"/>
        <w:rPr>
          <w:rFonts w:ascii="Times New Roman" w:hAnsi="Times New Roman"/>
          <w:sz w:val="24"/>
          <w:szCs w:val="24"/>
        </w:rPr>
      </w:pPr>
      <w:r w:rsidRPr="00BD21EE">
        <w:rPr>
          <w:rFonts w:ascii="Times New Roman" w:hAnsi="Times New Roman"/>
          <w:sz w:val="24"/>
          <w:szCs w:val="24"/>
        </w:rPr>
        <w:t>The Committee recommend</w:t>
      </w:r>
      <w:r w:rsidR="00DD7D0D">
        <w:rPr>
          <w:rFonts w:ascii="Times New Roman" w:hAnsi="Times New Roman"/>
          <w:sz w:val="24"/>
          <w:szCs w:val="24"/>
        </w:rPr>
        <w:t>ed</w:t>
      </w:r>
      <w:r w:rsidRPr="00BD21EE">
        <w:rPr>
          <w:rFonts w:ascii="Times New Roman" w:hAnsi="Times New Roman"/>
          <w:sz w:val="24"/>
          <w:szCs w:val="24"/>
        </w:rPr>
        <w:t xml:space="preserve"> that the IPID conducts and c</w:t>
      </w:r>
      <w:r>
        <w:rPr>
          <w:rFonts w:ascii="Times New Roman" w:hAnsi="Times New Roman"/>
          <w:sz w:val="24"/>
          <w:szCs w:val="24"/>
        </w:rPr>
        <w:t xml:space="preserve">oncludes investigations into </w:t>
      </w:r>
      <w:r w:rsidRPr="00BD21EE">
        <w:rPr>
          <w:rFonts w:ascii="Times New Roman" w:hAnsi="Times New Roman"/>
          <w:sz w:val="24"/>
          <w:szCs w:val="24"/>
        </w:rPr>
        <w:t>all the outstanding</w:t>
      </w:r>
      <w:r>
        <w:rPr>
          <w:rFonts w:ascii="Times New Roman" w:hAnsi="Times New Roman"/>
          <w:sz w:val="24"/>
          <w:szCs w:val="24"/>
        </w:rPr>
        <w:t xml:space="preserve"> disciplinary cases of top management of the SAPS and report back </w:t>
      </w:r>
      <w:r w:rsidRPr="00BD21EE">
        <w:rPr>
          <w:rFonts w:ascii="Times New Roman" w:hAnsi="Times New Roman"/>
          <w:sz w:val="24"/>
          <w:szCs w:val="24"/>
        </w:rPr>
        <w:t>with</w:t>
      </w:r>
      <w:r>
        <w:rPr>
          <w:rFonts w:ascii="Times New Roman" w:hAnsi="Times New Roman"/>
          <w:sz w:val="24"/>
          <w:szCs w:val="24"/>
        </w:rPr>
        <w:t xml:space="preserve">in </w:t>
      </w:r>
      <w:r w:rsidRPr="00BD21EE">
        <w:rPr>
          <w:rFonts w:ascii="Times New Roman" w:hAnsi="Times New Roman"/>
          <w:sz w:val="24"/>
          <w:szCs w:val="24"/>
        </w:rPr>
        <w:t>60 days</w:t>
      </w:r>
      <w:r>
        <w:rPr>
          <w:rFonts w:ascii="Times New Roman" w:hAnsi="Times New Roman"/>
          <w:sz w:val="24"/>
          <w:szCs w:val="24"/>
        </w:rPr>
        <w:t>.</w:t>
      </w:r>
      <w:r w:rsidRPr="00BD21EE">
        <w:rPr>
          <w:rFonts w:ascii="Times New Roman" w:hAnsi="Times New Roman"/>
          <w:sz w:val="24"/>
          <w:szCs w:val="24"/>
        </w:rPr>
        <w:t xml:space="preserve"> </w:t>
      </w:r>
    </w:p>
    <w:p w14:paraId="5A74547D" w14:textId="77777777" w:rsidR="00F22CAA" w:rsidRPr="003E7E5C" w:rsidRDefault="00F22CAA" w:rsidP="003052D0">
      <w:pPr>
        <w:pStyle w:val="ListParagraph"/>
        <w:numPr>
          <w:ilvl w:val="1"/>
          <w:numId w:val="15"/>
        </w:numPr>
        <w:spacing w:line="360" w:lineRule="auto"/>
        <w:jc w:val="both"/>
        <w:rPr>
          <w:rFonts w:ascii="Times New Roman" w:hAnsi="Times New Roman"/>
          <w:sz w:val="24"/>
          <w:szCs w:val="24"/>
        </w:rPr>
      </w:pPr>
      <w:r w:rsidRPr="003E7E5C">
        <w:rPr>
          <w:rFonts w:ascii="Times New Roman" w:hAnsi="Times New Roman"/>
          <w:sz w:val="24"/>
          <w:szCs w:val="24"/>
        </w:rPr>
        <w:t>The Committee recommend</w:t>
      </w:r>
      <w:r w:rsidR="00DD7D0D">
        <w:rPr>
          <w:rFonts w:ascii="Times New Roman" w:hAnsi="Times New Roman"/>
          <w:sz w:val="24"/>
          <w:szCs w:val="24"/>
        </w:rPr>
        <w:t>ed</w:t>
      </w:r>
      <w:r w:rsidRPr="003E7E5C">
        <w:rPr>
          <w:rFonts w:ascii="Times New Roman" w:hAnsi="Times New Roman"/>
          <w:sz w:val="24"/>
          <w:szCs w:val="24"/>
        </w:rPr>
        <w:t xml:space="preserve"> that </w:t>
      </w:r>
      <w:r>
        <w:rPr>
          <w:rFonts w:ascii="Times New Roman" w:hAnsi="Times New Roman"/>
          <w:sz w:val="24"/>
          <w:szCs w:val="24"/>
        </w:rPr>
        <w:t>IPID</w:t>
      </w:r>
      <w:r w:rsidRPr="003E7E5C">
        <w:rPr>
          <w:rFonts w:ascii="Times New Roman" w:hAnsi="Times New Roman"/>
          <w:sz w:val="24"/>
          <w:szCs w:val="24"/>
        </w:rPr>
        <w:t xml:space="preserve"> </w:t>
      </w:r>
      <w:r>
        <w:rPr>
          <w:rFonts w:ascii="Times New Roman" w:hAnsi="Times New Roman"/>
          <w:sz w:val="24"/>
          <w:szCs w:val="24"/>
        </w:rPr>
        <w:t>reports on the outcomes of all the disciplinary cases they refer</w:t>
      </w:r>
      <w:r w:rsidR="00DD7D0D">
        <w:rPr>
          <w:rFonts w:ascii="Times New Roman" w:hAnsi="Times New Roman"/>
          <w:sz w:val="24"/>
          <w:szCs w:val="24"/>
        </w:rPr>
        <w:t>red</w:t>
      </w:r>
      <w:r>
        <w:rPr>
          <w:rFonts w:ascii="Times New Roman" w:hAnsi="Times New Roman"/>
          <w:sz w:val="24"/>
          <w:szCs w:val="24"/>
        </w:rPr>
        <w:t xml:space="preserve"> to the SAPS. </w:t>
      </w:r>
    </w:p>
    <w:p w14:paraId="3BDA3486" w14:textId="77777777" w:rsidR="00F22CAA" w:rsidRPr="00BD21EE" w:rsidRDefault="00F22CAA" w:rsidP="003052D0">
      <w:pPr>
        <w:pStyle w:val="ListParagraph"/>
        <w:numPr>
          <w:ilvl w:val="1"/>
          <w:numId w:val="15"/>
        </w:numPr>
        <w:spacing w:line="360" w:lineRule="auto"/>
        <w:jc w:val="both"/>
        <w:rPr>
          <w:rFonts w:ascii="Times New Roman" w:hAnsi="Times New Roman"/>
          <w:sz w:val="24"/>
          <w:szCs w:val="24"/>
        </w:rPr>
      </w:pPr>
      <w:r w:rsidRPr="00BD21EE">
        <w:rPr>
          <w:rFonts w:ascii="Times New Roman" w:hAnsi="Times New Roman"/>
          <w:sz w:val="24"/>
          <w:szCs w:val="24"/>
        </w:rPr>
        <w:t>The IPID must ensure that it develops its own ballistic and forensic capability and</w:t>
      </w:r>
      <w:r>
        <w:rPr>
          <w:rFonts w:ascii="Times New Roman" w:hAnsi="Times New Roman"/>
          <w:sz w:val="24"/>
          <w:szCs w:val="24"/>
        </w:rPr>
        <w:t xml:space="preserve"> reports on a quarterly basis.</w:t>
      </w:r>
      <w:r w:rsidRPr="00BD21EE">
        <w:rPr>
          <w:rFonts w:ascii="Times New Roman" w:hAnsi="Times New Roman"/>
          <w:sz w:val="24"/>
          <w:szCs w:val="24"/>
        </w:rPr>
        <w:t xml:space="preserve">  </w:t>
      </w:r>
    </w:p>
    <w:p w14:paraId="3D1DCED9" w14:textId="77777777" w:rsidR="00F22CAA" w:rsidRPr="00BD21EE" w:rsidRDefault="00F22CAA" w:rsidP="003052D0">
      <w:pPr>
        <w:pStyle w:val="ListParagraph"/>
        <w:numPr>
          <w:ilvl w:val="1"/>
          <w:numId w:val="15"/>
        </w:numPr>
        <w:spacing w:line="360" w:lineRule="auto"/>
        <w:jc w:val="both"/>
        <w:rPr>
          <w:rFonts w:ascii="Times New Roman" w:hAnsi="Times New Roman"/>
          <w:sz w:val="24"/>
          <w:szCs w:val="24"/>
        </w:rPr>
      </w:pPr>
      <w:r w:rsidRPr="00BD21EE">
        <w:rPr>
          <w:rFonts w:ascii="Times New Roman" w:hAnsi="Times New Roman"/>
          <w:sz w:val="24"/>
          <w:szCs w:val="24"/>
        </w:rPr>
        <w:t>The Committee recommend</w:t>
      </w:r>
      <w:r w:rsidR="00DD7D0D">
        <w:rPr>
          <w:rFonts w:ascii="Times New Roman" w:hAnsi="Times New Roman"/>
          <w:sz w:val="24"/>
          <w:szCs w:val="24"/>
        </w:rPr>
        <w:t>ed</w:t>
      </w:r>
      <w:r w:rsidRPr="00BD21EE">
        <w:rPr>
          <w:rFonts w:ascii="Times New Roman" w:hAnsi="Times New Roman"/>
          <w:sz w:val="24"/>
          <w:szCs w:val="24"/>
        </w:rPr>
        <w:t xml:space="preserve"> that the IPID provide</w:t>
      </w:r>
      <w:r w:rsidR="00DD7D0D">
        <w:rPr>
          <w:rFonts w:ascii="Times New Roman" w:hAnsi="Times New Roman"/>
          <w:sz w:val="24"/>
          <w:szCs w:val="24"/>
        </w:rPr>
        <w:t>s</w:t>
      </w:r>
      <w:r w:rsidRPr="00BD21EE">
        <w:rPr>
          <w:rFonts w:ascii="Times New Roman" w:hAnsi="Times New Roman"/>
          <w:sz w:val="24"/>
          <w:szCs w:val="24"/>
        </w:rPr>
        <w:t xml:space="preserve"> written feedback on the </w:t>
      </w:r>
      <w:r>
        <w:rPr>
          <w:rFonts w:ascii="Times New Roman" w:hAnsi="Times New Roman"/>
          <w:sz w:val="24"/>
          <w:szCs w:val="24"/>
        </w:rPr>
        <w:t xml:space="preserve">activities of the </w:t>
      </w:r>
      <w:r w:rsidRPr="00BD21EE">
        <w:rPr>
          <w:rFonts w:ascii="Times New Roman" w:hAnsi="Times New Roman"/>
          <w:sz w:val="24"/>
          <w:szCs w:val="24"/>
        </w:rPr>
        <w:t>Consultative Forum.</w:t>
      </w:r>
    </w:p>
    <w:p w14:paraId="3B953053" w14:textId="77777777" w:rsidR="00F22CAA" w:rsidRPr="00BD21EE" w:rsidRDefault="00F22CAA" w:rsidP="003052D0">
      <w:pPr>
        <w:pStyle w:val="ListParagraph"/>
        <w:numPr>
          <w:ilvl w:val="1"/>
          <w:numId w:val="15"/>
        </w:numPr>
        <w:spacing w:line="360" w:lineRule="auto"/>
        <w:jc w:val="both"/>
        <w:rPr>
          <w:rFonts w:ascii="Times New Roman" w:hAnsi="Times New Roman"/>
          <w:sz w:val="24"/>
          <w:szCs w:val="24"/>
        </w:rPr>
      </w:pPr>
      <w:r w:rsidRPr="00BD21EE">
        <w:rPr>
          <w:rFonts w:ascii="Times New Roman" w:hAnsi="Times New Roman"/>
          <w:sz w:val="24"/>
          <w:szCs w:val="24"/>
        </w:rPr>
        <w:t>The Committee recommend</w:t>
      </w:r>
      <w:r w:rsidR="00DD7D0D">
        <w:rPr>
          <w:rFonts w:ascii="Times New Roman" w:hAnsi="Times New Roman"/>
          <w:sz w:val="24"/>
          <w:szCs w:val="24"/>
        </w:rPr>
        <w:t>ed</w:t>
      </w:r>
      <w:r w:rsidRPr="00BD21EE">
        <w:rPr>
          <w:rFonts w:ascii="Times New Roman" w:hAnsi="Times New Roman"/>
          <w:sz w:val="24"/>
          <w:szCs w:val="24"/>
        </w:rPr>
        <w:t xml:space="preserve"> that the IPID develops a new system for feedback to complainants.</w:t>
      </w:r>
    </w:p>
    <w:p w14:paraId="656BC3A8" w14:textId="77777777" w:rsidR="00F22CAA" w:rsidRPr="00BD21EE" w:rsidRDefault="00F22CAA" w:rsidP="003052D0">
      <w:pPr>
        <w:pStyle w:val="ListParagraph"/>
        <w:numPr>
          <w:ilvl w:val="1"/>
          <w:numId w:val="15"/>
        </w:numPr>
        <w:spacing w:line="360" w:lineRule="auto"/>
        <w:jc w:val="both"/>
        <w:rPr>
          <w:rFonts w:ascii="Times New Roman" w:hAnsi="Times New Roman"/>
          <w:sz w:val="24"/>
          <w:szCs w:val="24"/>
        </w:rPr>
      </w:pPr>
      <w:r w:rsidRPr="00BD21EE">
        <w:rPr>
          <w:rFonts w:ascii="Times New Roman" w:hAnsi="Times New Roman"/>
          <w:sz w:val="24"/>
          <w:szCs w:val="24"/>
        </w:rPr>
        <w:t xml:space="preserve">The IPID must develop an implementation plan to ensure that the provisions of section 28(1) (a-f) are fully implemented and that it does not develop a backlog with respect to these targets. </w:t>
      </w:r>
    </w:p>
    <w:p w14:paraId="723DE642" w14:textId="77777777" w:rsidR="00F22CAA" w:rsidRPr="00BD21EE" w:rsidRDefault="00F22CAA" w:rsidP="003052D0">
      <w:pPr>
        <w:pStyle w:val="ListParagraph"/>
        <w:numPr>
          <w:ilvl w:val="1"/>
          <w:numId w:val="15"/>
        </w:numPr>
        <w:spacing w:line="360" w:lineRule="auto"/>
        <w:jc w:val="both"/>
        <w:rPr>
          <w:rFonts w:ascii="Times New Roman" w:hAnsi="Times New Roman"/>
          <w:sz w:val="24"/>
          <w:szCs w:val="24"/>
        </w:rPr>
      </w:pPr>
      <w:r w:rsidRPr="00BD21EE">
        <w:rPr>
          <w:rFonts w:ascii="Times New Roman" w:hAnsi="Times New Roman"/>
          <w:sz w:val="24"/>
          <w:szCs w:val="24"/>
        </w:rPr>
        <w:t xml:space="preserve"> The Committee recommends that the IPID provide a report on how it intends to retain investigators through a staff retention strategy.</w:t>
      </w:r>
    </w:p>
    <w:p w14:paraId="4BB77733" w14:textId="77777777" w:rsidR="00AD51DD" w:rsidRPr="00200300" w:rsidRDefault="00AD51DD" w:rsidP="00AD51DD">
      <w:pPr>
        <w:spacing w:line="360" w:lineRule="auto"/>
        <w:jc w:val="both"/>
        <w:rPr>
          <w:rFonts w:ascii="Times New Roman" w:hAnsi="Times New Roman"/>
          <w:sz w:val="24"/>
          <w:szCs w:val="24"/>
        </w:rPr>
      </w:pPr>
    </w:p>
    <w:p w14:paraId="5864B7DE" w14:textId="77777777" w:rsidR="00AD51DD" w:rsidRPr="00BD21EE" w:rsidRDefault="00AD51DD" w:rsidP="003052D0">
      <w:pPr>
        <w:pStyle w:val="ListParagraph"/>
        <w:numPr>
          <w:ilvl w:val="0"/>
          <w:numId w:val="15"/>
        </w:numPr>
        <w:spacing w:line="360" w:lineRule="auto"/>
        <w:jc w:val="both"/>
        <w:rPr>
          <w:rFonts w:ascii="Times New Roman" w:hAnsi="Times New Roman"/>
          <w:b/>
          <w:sz w:val="24"/>
          <w:szCs w:val="24"/>
        </w:rPr>
      </w:pPr>
      <w:r w:rsidRPr="00BD21EE">
        <w:rPr>
          <w:rFonts w:ascii="Times New Roman" w:hAnsi="Times New Roman"/>
          <w:b/>
          <w:sz w:val="24"/>
          <w:szCs w:val="24"/>
        </w:rPr>
        <w:t>Policy Priorities</w:t>
      </w:r>
    </w:p>
    <w:p w14:paraId="2AEE9F69" w14:textId="77777777" w:rsidR="003E5524"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 xml:space="preserve">The IPID has continued to </w:t>
      </w:r>
      <w:r w:rsidR="00C5337E">
        <w:rPr>
          <w:rFonts w:ascii="Times New Roman" w:hAnsi="Times New Roman"/>
          <w:sz w:val="24"/>
          <w:szCs w:val="24"/>
        </w:rPr>
        <w:t xml:space="preserve">be on the </w:t>
      </w:r>
      <w:r w:rsidR="003E5524">
        <w:rPr>
          <w:rFonts w:ascii="Times New Roman" w:hAnsi="Times New Roman"/>
          <w:sz w:val="24"/>
          <w:szCs w:val="24"/>
        </w:rPr>
        <w:t xml:space="preserve">back-foot with funding its operations due to underfunding. IPID has requested additional financial assistance with </w:t>
      </w:r>
      <w:r w:rsidR="00DD7D0D">
        <w:rPr>
          <w:rFonts w:ascii="Times New Roman" w:hAnsi="Times New Roman"/>
          <w:sz w:val="24"/>
          <w:szCs w:val="24"/>
        </w:rPr>
        <w:t>regard</w:t>
      </w:r>
      <w:r w:rsidR="003E5524">
        <w:rPr>
          <w:rFonts w:ascii="Times New Roman" w:hAnsi="Times New Roman"/>
          <w:sz w:val="24"/>
          <w:szCs w:val="24"/>
        </w:rPr>
        <w:t xml:space="preserve"> to dealing with critical programme areas. The Compensation of Employees, accruals brought forward and contractual obligations line items contributed to the shortfall in the IPID Budget. The 2018/19 policy priorities of the IPID are listed as follows:</w:t>
      </w:r>
    </w:p>
    <w:p w14:paraId="1F6637DE" w14:textId="77777777" w:rsidR="00AE0B6F" w:rsidRPr="003E5524" w:rsidRDefault="00AE0B6F" w:rsidP="003E5524">
      <w:pPr>
        <w:pStyle w:val="ListParagraph"/>
        <w:numPr>
          <w:ilvl w:val="0"/>
          <w:numId w:val="11"/>
        </w:numPr>
        <w:spacing w:line="360" w:lineRule="auto"/>
        <w:rPr>
          <w:rFonts w:ascii="Times New Roman" w:hAnsi="Times New Roman"/>
          <w:sz w:val="24"/>
          <w:szCs w:val="24"/>
        </w:rPr>
      </w:pPr>
      <w:r w:rsidRPr="003E5524">
        <w:rPr>
          <w:rFonts w:ascii="Times New Roman" w:hAnsi="Times New Roman"/>
          <w:b/>
          <w:bCs/>
          <w:sz w:val="24"/>
          <w:szCs w:val="24"/>
          <w:lang w:val="en-US"/>
        </w:rPr>
        <w:t xml:space="preserve">Investigating high impact cases </w:t>
      </w:r>
      <w:r w:rsidRPr="003E5524">
        <w:rPr>
          <w:rFonts w:ascii="Times New Roman" w:hAnsi="Times New Roman"/>
          <w:b/>
          <w:bCs/>
          <w:i/>
          <w:iCs/>
          <w:sz w:val="24"/>
          <w:szCs w:val="24"/>
          <w:lang w:val="en-US"/>
        </w:rPr>
        <w:t>-</w:t>
      </w:r>
      <w:r w:rsidRPr="003E5524">
        <w:rPr>
          <w:rFonts w:ascii="Times New Roman" w:hAnsi="Times New Roman"/>
          <w:sz w:val="24"/>
          <w:szCs w:val="24"/>
          <w:lang w:val="en-US"/>
        </w:rPr>
        <w:t xml:space="preserve"> The Directorate’s focus on high impact cases over the medium term will ensure that it is able to deal effectively with cases that are generally more complex to investigate  </w:t>
      </w:r>
    </w:p>
    <w:p w14:paraId="2F7A0662" w14:textId="77777777" w:rsidR="00AE0B6F" w:rsidRPr="003E5524" w:rsidRDefault="00AE0B6F" w:rsidP="003E5524">
      <w:pPr>
        <w:pStyle w:val="ListParagraph"/>
        <w:numPr>
          <w:ilvl w:val="0"/>
          <w:numId w:val="11"/>
        </w:numPr>
        <w:spacing w:line="360" w:lineRule="auto"/>
        <w:rPr>
          <w:rFonts w:ascii="Times New Roman" w:hAnsi="Times New Roman"/>
          <w:sz w:val="24"/>
          <w:szCs w:val="24"/>
        </w:rPr>
      </w:pPr>
      <w:r w:rsidRPr="003E5524">
        <w:rPr>
          <w:rFonts w:ascii="Times New Roman" w:hAnsi="Times New Roman"/>
          <w:b/>
          <w:bCs/>
          <w:sz w:val="24"/>
          <w:szCs w:val="24"/>
        </w:rPr>
        <w:t>Finalising the review of governing legislation -</w:t>
      </w:r>
      <w:r w:rsidRPr="003E5524">
        <w:rPr>
          <w:rFonts w:ascii="Times New Roman" w:hAnsi="Times New Roman"/>
          <w:sz w:val="24"/>
          <w:szCs w:val="24"/>
          <w:lang w:val="en-US"/>
        </w:rPr>
        <w:t xml:space="preserve"> An allocation of R1.2 million has been made in Programme 3:</w:t>
      </w:r>
      <w:r w:rsidRPr="003E5524">
        <w:rPr>
          <w:rFonts w:ascii="Times New Roman" w:hAnsi="Times New Roman"/>
          <w:i/>
          <w:iCs/>
          <w:sz w:val="24"/>
          <w:szCs w:val="24"/>
          <w:lang w:val="en-US"/>
        </w:rPr>
        <w:t xml:space="preserve"> Compliance Monitoring and Stakeholder </w:t>
      </w:r>
      <w:r w:rsidR="003E5524" w:rsidRPr="003E5524">
        <w:rPr>
          <w:rFonts w:ascii="Times New Roman" w:hAnsi="Times New Roman"/>
          <w:i/>
          <w:iCs/>
          <w:sz w:val="24"/>
          <w:szCs w:val="24"/>
          <w:lang w:val="en-US"/>
        </w:rPr>
        <w:t>Management</w:t>
      </w:r>
      <w:r w:rsidR="003E5524" w:rsidRPr="003E5524">
        <w:rPr>
          <w:rFonts w:ascii="Times New Roman" w:hAnsi="Times New Roman"/>
          <w:sz w:val="24"/>
          <w:szCs w:val="24"/>
          <w:lang w:val="en-US"/>
        </w:rPr>
        <w:t xml:space="preserve"> in</w:t>
      </w:r>
      <w:r w:rsidRPr="003E5524">
        <w:rPr>
          <w:rFonts w:ascii="Times New Roman" w:hAnsi="Times New Roman"/>
          <w:sz w:val="24"/>
          <w:szCs w:val="24"/>
          <w:lang w:val="en-US"/>
        </w:rPr>
        <w:t xml:space="preserve"> 2018/19 in order to finalise the review of the IPID Act (2011) within the timeframes ordered by the Constitutional Court</w:t>
      </w:r>
    </w:p>
    <w:p w14:paraId="7753A30F" w14:textId="77777777" w:rsidR="00AE0B6F" w:rsidRPr="003E5524" w:rsidRDefault="00AE0B6F" w:rsidP="003E5524">
      <w:pPr>
        <w:pStyle w:val="ListParagraph"/>
        <w:numPr>
          <w:ilvl w:val="0"/>
          <w:numId w:val="11"/>
        </w:numPr>
        <w:spacing w:line="360" w:lineRule="auto"/>
        <w:rPr>
          <w:rFonts w:ascii="Times New Roman" w:hAnsi="Times New Roman"/>
          <w:sz w:val="24"/>
          <w:szCs w:val="24"/>
        </w:rPr>
      </w:pPr>
      <w:r w:rsidRPr="003E5524">
        <w:rPr>
          <w:rFonts w:ascii="Times New Roman" w:hAnsi="Times New Roman"/>
          <w:b/>
          <w:bCs/>
          <w:sz w:val="24"/>
          <w:szCs w:val="24"/>
          <w:lang w:val="en-US"/>
        </w:rPr>
        <w:lastRenderedPageBreak/>
        <w:t>Safeguarding information and data (Sec 9(d) of the IPID Act) -</w:t>
      </w:r>
      <w:r w:rsidRPr="003E5524">
        <w:rPr>
          <w:rFonts w:ascii="Times New Roman" w:hAnsi="Times New Roman"/>
          <w:sz w:val="24"/>
          <w:szCs w:val="24"/>
          <w:lang w:val="en-US"/>
        </w:rPr>
        <w:t xml:space="preserve"> Over the medium term, the </w:t>
      </w:r>
      <w:r w:rsidR="00DD7D0D">
        <w:rPr>
          <w:rFonts w:ascii="Times New Roman" w:hAnsi="Times New Roman"/>
          <w:sz w:val="24"/>
          <w:szCs w:val="24"/>
          <w:lang w:val="en-US"/>
        </w:rPr>
        <w:t>D</w:t>
      </w:r>
      <w:r w:rsidRPr="003E5524">
        <w:rPr>
          <w:rFonts w:ascii="Times New Roman" w:hAnsi="Times New Roman"/>
          <w:sz w:val="24"/>
          <w:szCs w:val="24"/>
          <w:lang w:val="en-US"/>
        </w:rPr>
        <w:t>irectorate aims to improve its internal security measures for the collection and storage of this data</w:t>
      </w:r>
    </w:p>
    <w:p w14:paraId="5EA35EE6" w14:textId="77777777" w:rsidR="00AE0B6F" w:rsidRPr="004E765C" w:rsidRDefault="00AE0B6F" w:rsidP="003E5524">
      <w:pPr>
        <w:pStyle w:val="ListParagraph"/>
        <w:numPr>
          <w:ilvl w:val="0"/>
          <w:numId w:val="11"/>
        </w:numPr>
        <w:spacing w:line="360" w:lineRule="auto"/>
        <w:rPr>
          <w:rFonts w:ascii="Times New Roman" w:hAnsi="Times New Roman"/>
          <w:sz w:val="24"/>
          <w:szCs w:val="24"/>
        </w:rPr>
      </w:pPr>
      <w:r w:rsidRPr="003E5524">
        <w:rPr>
          <w:rFonts w:ascii="Times New Roman" w:hAnsi="Times New Roman"/>
          <w:b/>
          <w:bCs/>
          <w:sz w:val="24"/>
          <w:szCs w:val="24"/>
          <w:lang w:val="en-US"/>
        </w:rPr>
        <w:t xml:space="preserve">Conducting community outreach events -  </w:t>
      </w:r>
      <w:r w:rsidRPr="003E5524">
        <w:rPr>
          <w:rFonts w:ascii="Times New Roman" w:hAnsi="Times New Roman"/>
          <w:sz w:val="24"/>
          <w:szCs w:val="24"/>
          <w:lang w:val="en-US"/>
        </w:rPr>
        <w:t>Improving visibility of</w:t>
      </w:r>
      <w:r w:rsidR="00DD7D0D">
        <w:rPr>
          <w:rFonts w:ascii="Times New Roman" w:hAnsi="Times New Roman"/>
          <w:sz w:val="24"/>
          <w:szCs w:val="24"/>
          <w:lang w:val="en-US"/>
        </w:rPr>
        <w:t xml:space="preserve"> the</w:t>
      </w:r>
      <w:r w:rsidRPr="003E5524">
        <w:rPr>
          <w:rFonts w:ascii="Times New Roman" w:hAnsi="Times New Roman"/>
          <w:sz w:val="24"/>
          <w:szCs w:val="24"/>
          <w:lang w:val="en-US"/>
        </w:rPr>
        <w:t xml:space="preserve"> IPID</w:t>
      </w:r>
    </w:p>
    <w:p w14:paraId="3C7C7F7D" w14:textId="77777777" w:rsidR="004E765C" w:rsidRDefault="004E765C" w:rsidP="004E765C">
      <w:pPr>
        <w:spacing w:line="360" w:lineRule="auto"/>
        <w:jc w:val="both"/>
        <w:rPr>
          <w:rFonts w:ascii="Times New Roman" w:hAnsi="Times New Roman"/>
          <w:sz w:val="24"/>
          <w:szCs w:val="24"/>
        </w:rPr>
      </w:pPr>
    </w:p>
    <w:p w14:paraId="0F33A166" w14:textId="77777777" w:rsidR="004E765C" w:rsidRPr="004E765C" w:rsidRDefault="004E765C" w:rsidP="004E765C">
      <w:pPr>
        <w:spacing w:line="360" w:lineRule="auto"/>
        <w:jc w:val="both"/>
        <w:rPr>
          <w:rFonts w:ascii="Times New Roman" w:hAnsi="Times New Roman"/>
          <w:sz w:val="24"/>
          <w:szCs w:val="24"/>
        </w:rPr>
      </w:pPr>
      <w:r w:rsidRPr="004E765C">
        <w:rPr>
          <w:rFonts w:ascii="Times New Roman" w:hAnsi="Times New Roman"/>
          <w:sz w:val="24"/>
          <w:szCs w:val="24"/>
        </w:rPr>
        <w:t>The Minister of Police, Hon Bheki Cele reiterated his support for the functional and operational independence of the Directorate as the oversight mechanism to keep criminality within the ranks of the SAPS in check. The Minister further indicated that the IPID should continue putting strategies and plans in place to ensure better service delivery to communities.</w:t>
      </w:r>
    </w:p>
    <w:p w14:paraId="4AC3885E" w14:textId="77777777" w:rsidR="00AD51DD" w:rsidRPr="00BD21EE" w:rsidRDefault="00AD51DD" w:rsidP="00AD51DD">
      <w:pPr>
        <w:pStyle w:val="ListParagraph"/>
        <w:spacing w:line="360" w:lineRule="auto"/>
        <w:jc w:val="both"/>
        <w:rPr>
          <w:rFonts w:ascii="Times New Roman" w:hAnsi="Times New Roman"/>
          <w:sz w:val="24"/>
          <w:szCs w:val="24"/>
        </w:rPr>
      </w:pPr>
    </w:p>
    <w:p w14:paraId="4A534E79" w14:textId="77777777" w:rsidR="00AD51DD" w:rsidRDefault="00AD51DD" w:rsidP="003052D0">
      <w:pPr>
        <w:pStyle w:val="ListParagraph"/>
        <w:numPr>
          <w:ilvl w:val="0"/>
          <w:numId w:val="15"/>
        </w:numPr>
        <w:spacing w:line="360" w:lineRule="auto"/>
        <w:jc w:val="both"/>
        <w:rPr>
          <w:rFonts w:ascii="Times New Roman" w:hAnsi="Times New Roman"/>
          <w:b/>
          <w:sz w:val="24"/>
          <w:szCs w:val="24"/>
        </w:rPr>
      </w:pPr>
      <w:r w:rsidRPr="00BD21EE">
        <w:rPr>
          <w:rFonts w:ascii="Times New Roman" w:hAnsi="Times New Roman"/>
          <w:b/>
          <w:sz w:val="24"/>
          <w:szCs w:val="24"/>
        </w:rPr>
        <w:t>OVERALL BUDGET ALLOCATION</w:t>
      </w:r>
    </w:p>
    <w:p w14:paraId="78F64701" w14:textId="77777777" w:rsidR="004E765C" w:rsidRPr="004E765C" w:rsidRDefault="004E765C" w:rsidP="004E765C">
      <w:pPr>
        <w:spacing w:line="360" w:lineRule="auto"/>
        <w:jc w:val="both"/>
        <w:rPr>
          <w:rFonts w:ascii="Times New Roman" w:hAnsi="Times New Roman"/>
          <w:sz w:val="24"/>
          <w:szCs w:val="24"/>
        </w:rPr>
      </w:pPr>
      <w:r w:rsidRPr="004E765C">
        <w:rPr>
          <w:rFonts w:ascii="Times New Roman" w:hAnsi="Times New Roman"/>
          <w:sz w:val="24"/>
          <w:szCs w:val="24"/>
        </w:rPr>
        <w:t>The IPID receives a main appropriation of R315 million in 2018/19 compared to R255.4 million in 2017/18, which is a nominal increase of 23.38%. This is due to the R158.5 million reprioritised from the SAPS budget to that of the IPID over the medium-term. Almost half of this reprioritised allocation (45%) will be spent on contractual obligations over the medium-term (R72.7 million from R158.5 million).</w:t>
      </w:r>
    </w:p>
    <w:p w14:paraId="1B0EE368" w14:textId="77777777" w:rsidR="004E765C" w:rsidRPr="004E765C" w:rsidRDefault="004E765C" w:rsidP="004E765C">
      <w:pPr>
        <w:spacing w:line="360" w:lineRule="auto"/>
        <w:jc w:val="both"/>
        <w:rPr>
          <w:rFonts w:ascii="Times New Roman" w:hAnsi="Times New Roman"/>
          <w:sz w:val="24"/>
          <w:szCs w:val="24"/>
        </w:rPr>
      </w:pPr>
      <w:r w:rsidRPr="004E765C">
        <w:rPr>
          <w:rFonts w:ascii="Times New Roman" w:hAnsi="Times New Roman"/>
          <w:sz w:val="24"/>
          <w:szCs w:val="24"/>
        </w:rPr>
        <w:t>Although all programmes receive increased allocations in 2018/19, the allocation towards the Compliance Monitoring and Stakeholder Management Programme receives a nominal increase of 40.3% from R11.4 million in 2017/18 to R16 million in 2018/19. This increase is mainly for the review of the IPID Act, 2011. The increased allocation will continue over the medium term with an average growth rate of 17.4%. The programme receives only 5% of the total budget allocation of the Directorate.</w:t>
      </w:r>
    </w:p>
    <w:p w14:paraId="2536D1F1" w14:textId="77777777" w:rsidR="004E765C" w:rsidRDefault="004E765C" w:rsidP="004E765C">
      <w:pPr>
        <w:spacing w:line="360" w:lineRule="auto"/>
        <w:jc w:val="both"/>
        <w:rPr>
          <w:rFonts w:ascii="Times New Roman" w:hAnsi="Times New Roman"/>
          <w:sz w:val="24"/>
          <w:szCs w:val="24"/>
        </w:rPr>
      </w:pPr>
      <w:r w:rsidRPr="004E765C">
        <w:rPr>
          <w:rFonts w:ascii="Times New Roman" w:hAnsi="Times New Roman"/>
          <w:sz w:val="24"/>
          <w:szCs w:val="24"/>
        </w:rPr>
        <w:t>Although the Compliance Monitoring and Stakeholder Management Programme receives the largest percentage increase, the Investigation and Information Management Programme receives the largest rand change. In 2018/19, this programme receives a nominal rand increase of R33.2 million. This programme performs the core service delivery function of the Directorate and as such receives 60.3% of the total budget allocation of the Directorate.</w:t>
      </w:r>
    </w:p>
    <w:p w14:paraId="4320D721" w14:textId="77777777" w:rsidR="00513E3E" w:rsidRDefault="00513E3E" w:rsidP="004E765C">
      <w:pPr>
        <w:autoSpaceDE w:val="0"/>
        <w:autoSpaceDN w:val="0"/>
        <w:adjustRightInd w:val="0"/>
        <w:spacing w:after="0" w:line="240" w:lineRule="auto"/>
        <w:rPr>
          <w:rFonts w:ascii="Arial" w:eastAsiaTheme="minorHAnsi" w:hAnsi="Arial" w:cs="Arial"/>
          <w:b/>
          <w:bCs/>
          <w:color w:val="000000"/>
          <w:sz w:val="20"/>
          <w:szCs w:val="20"/>
        </w:rPr>
      </w:pPr>
    </w:p>
    <w:p w14:paraId="5DE9D8E4" w14:textId="77777777" w:rsidR="00513E3E" w:rsidRDefault="00513E3E" w:rsidP="004E765C">
      <w:pPr>
        <w:autoSpaceDE w:val="0"/>
        <w:autoSpaceDN w:val="0"/>
        <w:adjustRightInd w:val="0"/>
        <w:spacing w:after="0" w:line="240" w:lineRule="auto"/>
        <w:rPr>
          <w:rFonts w:ascii="Arial" w:eastAsiaTheme="minorHAnsi" w:hAnsi="Arial" w:cs="Arial"/>
          <w:b/>
          <w:bCs/>
          <w:color w:val="000000"/>
          <w:sz w:val="20"/>
          <w:szCs w:val="20"/>
        </w:rPr>
      </w:pPr>
    </w:p>
    <w:p w14:paraId="6F327CBD" w14:textId="77777777" w:rsidR="00513E3E" w:rsidRDefault="00513E3E" w:rsidP="004E765C">
      <w:pPr>
        <w:autoSpaceDE w:val="0"/>
        <w:autoSpaceDN w:val="0"/>
        <w:adjustRightInd w:val="0"/>
        <w:spacing w:after="0" w:line="240" w:lineRule="auto"/>
        <w:rPr>
          <w:rFonts w:ascii="Arial" w:eastAsiaTheme="minorHAnsi" w:hAnsi="Arial" w:cs="Arial"/>
          <w:b/>
          <w:bCs/>
          <w:color w:val="000000"/>
          <w:sz w:val="20"/>
          <w:szCs w:val="20"/>
        </w:rPr>
      </w:pPr>
    </w:p>
    <w:p w14:paraId="7EE85DA9" w14:textId="77777777" w:rsidR="00513E3E" w:rsidRDefault="00513E3E" w:rsidP="004E765C">
      <w:pPr>
        <w:autoSpaceDE w:val="0"/>
        <w:autoSpaceDN w:val="0"/>
        <w:adjustRightInd w:val="0"/>
        <w:spacing w:after="0" w:line="240" w:lineRule="auto"/>
        <w:rPr>
          <w:rFonts w:ascii="Arial" w:eastAsiaTheme="minorHAnsi" w:hAnsi="Arial" w:cs="Arial"/>
          <w:b/>
          <w:bCs/>
          <w:color w:val="000000"/>
          <w:sz w:val="20"/>
          <w:szCs w:val="20"/>
        </w:rPr>
      </w:pPr>
    </w:p>
    <w:p w14:paraId="335E181A" w14:textId="77777777" w:rsidR="00513E3E" w:rsidRDefault="00513E3E" w:rsidP="004E765C">
      <w:pPr>
        <w:autoSpaceDE w:val="0"/>
        <w:autoSpaceDN w:val="0"/>
        <w:adjustRightInd w:val="0"/>
        <w:spacing w:after="0" w:line="240" w:lineRule="auto"/>
        <w:rPr>
          <w:rFonts w:ascii="Arial" w:eastAsiaTheme="minorHAnsi" w:hAnsi="Arial" w:cs="Arial"/>
          <w:b/>
          <w:bCs/>
          <w:color w:val="000000"/>
          <w:sz w:val="20"/>
          <w:szCs w:val="20"/>
        </w:rPr>
      </w:pPr>
    </w:p>
    <w:p w14:paraId="3BCF7317" w14:textId="77777777" w:rsidR="00513E3E" w:rsidRDefault="00513E3E" w:rsidP="004E765C">
      <w:pPr>
        <w:autoSpaceDE w:val="0"/>
        <w:autoSpaceDN w:val="0"/>
        <w:adjustRightInd w:val="0"/>
        <w:spacing w:after="0" w:line="240" w:lineRule="auto"/>
        <w:rPr>
          <w:rFonts w:ascii="Arial" w:eastAsiaTheme="minorHAnsi" w:hAnsi="Arial" w:cs="Arial"/>
          <w:b/>
          <w:bCs/>
          <w:color w:val="000000"/>
          <w:sz w:val="20"/>
          <w:szCs w:val="20"/>
        </w:rPr>
      </w:pPr>
    </w:p>
    <w:p w14:paraId="207F0470" w14:textId="77777777" w:rsidR="00513E3E" w:rsidRDefault="00513E3E" w:rsidP="004E765C">
      <w:pPr>
        <w:autoSpaceDE w:val="0"/>
        <w:autoSpaceDN w:val="0"/>
        <w:adjustRightInd w:val="0"/>
        <w:spacing w:after="0" w:line="240" w:lineRule="auto"/>
        <w:rPr>
          <w:rFonts w:ascii="Arial" w:eastAsiaTheme="minorHAnsi" w:hAnsi="Arial" w:cs="Arial"/>
          <w:b/>
          <w:bCs/>
          <w:color w:val="000000"/>
          <w:sz w:val="20"/>
          <w:szCs w:val="20"/>
        </w:rPr>
      </w:pPr>
    </w:p>
    <w:p w14:paraId="43D9F050" w14:textId="77777777" w:rsidR="00513E3E" w:rsidRDefault="00513E3E" w:rsidP="004E765C">
      <w:pPr>
        <w:autoSpaceDE w:val="0"/>
        <w:autoSpaceDN w:val="0"/>
        <w:adjustRightInd w:val="0"/>
        <w:spacing w:after="0" w:line="240" w:lineRule="auto"/>
        <w:rPr>
          <w:rFonts w:ascii="Arial" w:eastAsiaTheme="minorHAnsi" w:hAnsi="Arial" w:cs="Arial"/>
          <w:b/>
          <w:bCs/>
          <w:color w:val="000000"/>
          <w:sz w:val="20"/>
          <w:szCs w:val="20"/>
        </w:rPr>
      </w:pPr>
    </w:p>
    <w:p w14:paraId="1AE50CAC" w14:textId="77777777" w:rsidR="00513E3E" w:rsidRDefault="00513E3E" w:rsidP="004E765C">
      <w:pPr>
        <w:autoSpaceDE w:val="0"/>
        <w:autoSpaceDN w:val="0"/>
        <w:adjustRightInd w:val="0"/>
        <w:spacing w:after="0" w:line="240" w:lineRule="auto"/>
        <w:rPr>
          <w:rFonts w:ascii="Arial" w:eastAsiaTheme="minorHAnsi" w:hAnsi="Arial" w:cs="Arial"/>
          <w:b/>
          <w:bCs/>
          <w:color w:val="000000"/>
          <w:sz w:val="20"/>
          <w:szCs w:val="20"/>
        </w:rPr>
      </w:pPr>
    </w:p>
    <w:p w14:paraId="6023F3A1" w14:textId="77777777" w:rsidR="00513E3E" w:rsidRDefault="00513E3E" w:rsidP="004E765C">
      <w:pPr>
        <w:autoSpaceDE w:val="0"/>
        <w:autoSpaceDN w:val="0"/>
        <w:adjustRightInd w:val="0"/>
        <w:spacing w:after="0" w:line="240" w:lineRule="auto"/>
        <w:rPr>
          <w:rFonts w:ascii="Arial" w:eastAsiaTheme="minorHAnsi" w:hAnsi="Arial" w:cs="Arial"/>
          <w:b/>
          <w:bCs/>
          <w:color w:val="000000"/>
          <w:sz w:val="20"/>
          <w:szCs w:val="20"/>
        </w:rPr>
      </w:pPr>
    </w:p>
    <w:p w14:paraId="5E465CD3" w14:textId="77777777" w:rsidR="00513E3E" w:rsidRDefault="00513E3E" w:rsidP="004E765C">
      <w:pPr>
        <w:autoSpaceDE w:val="0"/>
        <w:autoSpaceDN w:val="0"/>
        <w:adjustRightInd w:val="0"/>
        <w:spacing w:after="0" w:line="240" w:lineRule="auto"/>
        <w:rPr>
          <w:rFonts w:ascii="Arial" w:eastAsiaTheme="minorHAnsi" w:hAnsi="Arial" w:cs="Arial"/>
          <w:b/>
          <w:bCs/>
          <w:color w:val="000000"/>
          <w:sz w:val="20"/>
          <w:szCs w:val="20"/>
        </w:rPr>
      </w:pPr>
    </w:p>
    <w:p w14:paraId="4C63F5B9" w14:textId="77777777" w:rsidR="004E765C" w:rsidRPr="004E765C" w:rsidRDefault="004E765C" w:rsidP="004E765C">
      <w:pPr>
        <w:autoSpaceDE w:val="0"/>
        <w:autoSpaceDN w:val="0"/>
        <w:adjustRightInd w:val="0"/>
        <w:spacing w:after="0" w:line="240" w:lineRule="auto"/>
        <w:rPr>
          <w:rFonts w:ascii="Arial" w:eastAsiaTheme="minorHAnsi" w:hAnsi="Arial" w:cs="Arial"/>
          <w:color w:val="000000"/>
          <w:sz w:val="20"/>
          <w:szCs w:val="20"/>
        </w:rPr>
      </w:pPr>
      <w:r w:rsidRPr="004E765C">
        <w:rPr>
          <w:rFonts w:ascii="Arial" w:eastAsiaTheme="minorHAnsi" w:hAnsi="Arial" w:cs="Arial"/>
          <w:b/>
          <w:bCs/>
          <w:color w:val="000000"/>
          <w:sz w:val="20"/>
          <w:szCs w:val="20"/>
        </w:rPr>
        <w:t xml:space="preserve">Table 1: IPID Expenditure over the medium term Programmes </w:t>
      </w: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6"/>
        <w:gridCol w:w="986"/>
        <w:gridCol w:w="993"/>
        <w:gridCol w:w="992"/>
        <w:gridCol w:w="992"/>
        <w:gridCol w:w="1134"/>
        <w:gridCol w:w="1134"/>
        <w:gridCol w:w="1005"/>
        <w:gridCol w:w="10"/>
        <w:gridCol w:w="1081"/>
        <w:gridCol w:w="7"/>
      </w:tblGrid>
      <w:tr w:rsidR="004E765C" w:rsidRPr="004E765C" w14:paraId="49272222" w14:textId="77777777" w:rsidTr="00AE5472">
        <w:trPr>
          <w:trHeight w:val="531"/>
        </w:trPr>
        <w:tc>
          <w:tcPr>
            <w:tcW w:w="9719" w:type="dxa"/>
            <w:gridSpan w:val="12"/>
          </w:tcPr>
          <w:p w14:paraId="31D6A9B4" w14:textId="77777777" w:rsidR="00AE5472" w:rsidRPr="00C368D3" w:rsidRDefault="00AE5472" w:rsidP="004E765C">
            <w:pPr>
              <w:autoSpaceDE w:val="0"/>
              <w:autoSpaceDN w:val="0"/>
              <w:adjustRightInd w:val="0"/>
              <w:spacing w:after="0" w:line="240" w:lineRule="auto"/>
              <w:rPr>
                <w:rFonts w:ascii="Times New Roman" w:eastAsiaTheme="minorHAnsi" w:hAnsi="Times New Roman"/>
                <w:color w:val="000000"/>
                <w:sz w:val="20"/>
                <w:szCs w:val="20"/>
              </w:rPr>
            </w:pPr>
          </w:p>
          <w:p w14:paraId="13391CA9"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 Administration </w:t>
            </w:r>
          </w:p>
          <w:p w14:paraId="110D30B3"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2. Investigation and Information Management </w:t>
            </w:r>
          </w:p>
          <w:p w14:paraId="42120A6F"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3. Compliance Monitoring and Stakeholder Management </w:t>
            </w:r>
          </w:p>
        </w:tc>
      </w:tr>
      <w:tr w:rsidR="00AE5472" w:rsidRPr="00C368D3" w14:paraId="52F51883" w14:textId="77777777" w:rsidTr="00C368D3">
        <w:trPr>
          <w:gridAfter w:val="1"/>
          <w:wAfter w:w="7" w:type="dxa"/>
          <w:trHeight w:val="386"/>
        </w:trPr>
        <w:tc>
          <w:tcPr>
            <w:tcW w:w="1379" w:type="dxa"/>
          </w:tcPr>
          <w:p w14:paraId="7D555C12" w14:textId="77777777" w:rsidR="00AE5472" w:rsidRPr="004E765C" w:rsidRDefault="00AE5472"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b/>
                <w:bCs/>
                <w:color w:val="000000"/>
                <w:sz w:val="20"/>
                <w:szCs w:val="20"/>
              </w:rPr>
              <w:t xml:space="preserve">Programme </w:t>
            </w:r>
          </w:p>
        </w:tc>
        <w:tc>
          <w:tcPr>
            <w:tcW w:w="3969" w:type="dxa"/>
            <w:gridSpan w:val="5"/>
          </w:tcPr>
          <w:p w14:paraId="4EBA2A0E" w14:textId="77777777" w:rsidR="00AE5472" w:rsidRPr="00C368D3" w:rsidRDefault="00C368D3" w:rsidP="00AE5472">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b/>
                <w:bCs/>
                <w:color w:val="000000"/>
                <w:sz w:val="20"/>
                <w:szCs w:val="20"/>
              </w:rPr>
              <w:t xml:space="preserve">                    </w:t>
            </w:r>
            <w:r w:rsidR="00AE5472" w:rsidRPr="004E765C">
              <w:rPr>
                <w:rFonts w:ascii="Times New Roman" w:eastAsiaTheme="minorHAnsi" w:hAnsi="Times New Roman"/>
                <w:b/>
                <w:bCs/>
                <w:color w:val="000000"/>
                <w:sz w:val="20"/>
                <w:szCs w:val="20"/>
              </w:rPr>
              <w:t>Budget</w:t>
            </w:r>
            <w:r w:rsidR="00AE5472" w:rsidRPr="00C368D3">
              <w:rPr>
                <w:rFonts w:ascii="Times New Roman" w:eastAsiaTheme="minorHAnsi" w:hAnsi="Times New Roman"/>
                <w:b/>
                <w:bCs/>
                <w:color w:val="000000"/>
                <w:sz w:val="20"/>
                <w:szCs w:val="20"/>
              </w:rPr>
              <w:t xml:space="preserve">                    </w:t>
            </w:r>
          </w:p>
        </w:tc>
        <w:tc>
          <w:tcPr>
            <w:tcW w:w="1134" w:type="dxa"/>
          </w:tcPr>
          <w:p w14:paraId="56EC3D51" w14:textId="77777777" w:rsidR="00AE5472" w:rsidRPr="00C368D3" w:rsidRDefault="00AE5472" w:rsidP="00AE5472">
            <w:pPr>
              <w:autoSpaceDE w:val="0"/>
              <w:autoSpaceDN w:val="0"/>
              <w:adjustRightInd w:val="0"/>
              <w:spacing w:after="0" w:line="240" w:lineRule="auto"/>
              <w:rPr>
                <w:rFonts w:ascii="Times New Roman" w:eastAsiaTheme="minorHAnsi" w:hAnsi="Times New Roman"/>
                <w:color w:val="000000"/>
                <w:sz w:val="20"/>
                <w:szCs w:val="20"/>
              </w:rPr>
            </w:pPr>
            <w:r w:rsidRPr="00C368D3">
              <w:rPr>
                <w:rFonts w:ascii="Times New Roman" w:eastAsiaTheme="minorHAnsi" w:hAnsi="Times New Roman"/>
                <w:b/>
                <w:bCs/>
                <w:color w:val="000000"/>
                <w:sz w:val="20"/>
                <w:szCs w:val="20"/>
              </w:rPr>
              <w:t xml:space="preserve">                                     </w:t>
            </w:r>
            <w:r w:rsidRPr="004E765C">
              <w:rPr>
                <w:rFonts w:ascii="Times New Roman" w:eastAsiaTheme="minorHAnsi" w:hAnsi="Times New Roman"/>
                <w:b/>
                <w:bCs/>
                <w:color w:val="000000"/>
                <w:sz w:val="20"/>
                <w:szCs w:val="20"/>
              </w:rPr>
              <w:t xml:space="preserve">Nominal Rand change </w:t>
            </w:r>
          </w:p>
        </w:tc>
        <w:tc>
          <w:tcPr>
            <w:tcW w:w="1134" w:type="dxa"/>
          </w:tcPr>
          <w:p w14:paraId="3FF92B49" w14:textId="77777777" w:rsidR="00AE5472" w:rsidRPr="00C368D3" w:rsidRDefault="00AE5472"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b/>
                <w:bCs/>
                <w:color w:val="000000"/>
                <w:sz w:val="20"/>
                <w:szCs w:val="20"/>
              </w:rPr>
              <w:t xml:space="preserve">Real Rand change </w:t>
            </w:r>
          </w:p>
        </w:tc>
        <w:tc>
          <w:tcPr>
            <w:tcW w:w="1005" w:type="dxa"/>
          </w:tcPr>
          <w:p w14:paraId="54FE67B6" w14:textId="77777777" w:rsidR="00AE5472" w:rsidRPr="00C368D3" w:rsidRDefault="00AE5472"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b/>
                <w:bCs/>
                <w:color w:val="000000"/>
                <w:sz w:val="20"/>
                <w:szCs w:val="20"/>
              </w:rPr>
              <w:t xml:space="preserve">Nominal % change </w:t>
            </w:r>
          </w:p>
        </w:tc>
        <w:tc>
          <w:tcPr>
            <w:tcW w:w="1091" w:type="dxa"/>
            <w:gridSpan w:val="2"/>
          </w:tcPr>
          <w:p w14:paraId="3EDD82F0" w14:textId="77777777" w:rsidR="00AE5472" w:rsidRPr="004E765C" w:rsidRDefault="00AE5472"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b/>
                <w:bCs/>
                <w:color w:val="000000"/>
                <w:sz w:val="20"/>
                <w:szCs w:val="20"/>
              </w:rPr>
              <w:t xml:space="preserve">Real % change </w:t>
            </w:r>
          </w:p>
        </w:tc>
      </w:tr>
      <w:tr w:rsidR="00AE5472" w:rsidRPr="00C368D3" w14:paraId="2B352F70" w14:textId="77777777" w:rsidTr="00C47489">
        <w:trPr>
          <w:gridAfter w:val="1"/>
          <w:wAfter w:w="7" w:type="dxa"/>
          <w:trHeight w:val="96"/>
        </w:trPr>
        <w:tc>
          <w:tcPr>
            <w:tcW w:w="1385" w:type="dxa"/>
            <w:gridSpan w:val="2"/>
          </w:tcPr>
          <w:p w14:paraId="1FBA45F0" w14:textId="77777777" w:rsidR="00AE5472" w:rsidRPr="004E765C" w:rsidRDefault="00AE5472"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i/>
                <w:iCs/>
                <w:color w:val="000000"/>
                <w:sz w:val="20"/>
                <w:szCs w:val="20"/>
              </w:rPr>
              <w:t xml:space="preserve">R million </w:t>
            </w:r>
          </w:p>
        </w:tc>
        <w:tc>
          <w:tcPr>
            <w:tcW w:w="986" w:type="dxa"/>
          </w:tcPr>
          <w:p w14:paraId="4819D4B0" w14:textId="77777777" w:rsidR="00AE5472" w:rsidRPr="004E765C" w:rsidRDefault="00AE5472"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b/>
                <w:bCs/>
                <w:color w:val="000000"/>
                <w:sz w:val="20"/>
                <w:szCs w:val="20"/>
              </w:rPr>
              <w:t xml:space="preserve">2017/18 </w:t>
            </w:r>
          </w:p>
        </w:tc>
        <w:tc>
          <w:tcPr>
            <w:tcW w:w="993" w:type="dxa"/>
          </w:tcPr>
          <w:p w14:paraId="22014F3D" w14:textId="77777777" w:rsidR="00AE5472" w:rsidRPr="004E765C" w:rsidRDefault="00AE5472"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b/>
                <w:bCs/>
                <w:color w:val="000000"/>
                <w:sz w:val="20"/>
                <w:szCs w:val="20"/>
              </w:rPr>
              <w:t xml:space="preserve">2018/19 </w:t>
            </w:r>
          </w:p>
        </w:tc>
        <w:tc>
          <w:tcPr>
            <w:tcW w:w="992" w:type="dxa"/>
          </w:tcPr>
          <w:p w14:paraId="27498ED5" w14:textId="77777777" w:rsidR="00AE5472" w:rsidRPr="004E765C" w:rsidRDefault="00AE5472"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b/>
                <w:bCs/>
                <w:color w:val="000000"/>
                <w:sz w:val="20"/>
                <w:szCs w:val="20"/>
              </w:rPr>
              <w:t xml:space="preserve">2019/20 </w:t>
            </w:r>
          </w:p>
        </w:tc>
        <w:tc>
          <w:tcPr>
            <w:tcW w:w="992" w:type="dxa"/>
          </w:tcPr>
          <w:p w14:paraId="4BF959A5" w14:textId="77777777" w:rsidR="00AE5472" w:rsidRPr="004E765C" w:rsidRDefault="00AE5472"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b/>
                <w:bCs/>
                <w:color w:val="000000"/>
                <w:sz w:val="20"/>
                <w:szCs w:val="20"/>
              </w:rPr>
              <w:t xml:space="preserve">2020/21 </w:t>
            </w:r>
          </w:p>
        </w:tc>
        <w:tc>
          <w:tcPr>
            <w:tcW w:w="2268" w:type="dxa"/>
            <w:gridSpan w:val="2"/>
          </w:tcPr>
          <w:p w14:paraId="37F0E7BB" w14:textId="77777777" w:rsidR="00AE5472" w:rsidRPr="00C368D3" w:rsidRDefault="00AE5472" w:rsidP="00AE5472">
            <w:pPr>
              <w:autoSpaceDE w:val="0"/>
              <w:autoSpaceDN w:val="0"/>
              <w:adjustRightInd w:val="0"/>
              <w:spacing w:after="0" w:line="240" w:lineRule="auto"/>
              <w:rPr>
                <w:rFonts w:ascii="Times New Roman" w:eastAsiaTheme="minorHAnsi" w:hAnsi="Times New Roman"/>
                <w:color w:val="000000"/>
                <w:sz w:val="20"/>
                <w:szCs w:val="20"/>
              </w:rPr>
            </w:pPr>
            <w:r w:rsidRPr="00C368D3">
              <w:rPr>
                <w:rFonts w:ascii="Times New Roman" w:eastAsiaTheme="minorHAnsi" w:hAnsi="Times New Roman"/>
                <w:b/>
                <w:bCs/>
                <w:color w:val="000000"/>
                <w:sz w:val="20"/>
                <w:szCs w:val="20"/>
              </w:rPr>
              <w:t xml:space="preserve">  </w:t>
            </w:r>
            <w:r w:rsidR="00C47489" w:rsidRPr="00C368D3">
              <w:rPr>
                <w:rFonts w:ascii="Times New Roman" w:eastAsiaTheme="minorHAnsi" w:hAnsi="Times New Roman"/>
                <w:b/>
                <w:bCs/>
                <w:color w:val="000000"/>
                <w:sz w:val="20"/>
                <w:szCs w:val="20"/>
              </w:rPr>
              <w:t xml:space="preserve">     </w:t>
            </w:r>
            <w:r w:rsidRPr="004E765C">
              <w:rPr>
                <w:rFonts w:ascii="Times New Roman" w:eastAsiaTheme="minorHAnsi" w:hAnsi="Times New Roman"/>
                <w:b/>
                <w:bCs/>
                <w:color w:val="000000"/>
                <w:sz w:val="20"/>
                <w:szCs w:val="20"/>
              </w:rPr>
              <w:t xml:space="preserve">2017/18-2018/19 </w:t>
            </w:r>
          </w:p>
        </w:tc>
        <w:tc>
          <w:tcPr>
            <w:tcW w:w="2096" w:type="dxa"/>
            <w:gridSpan w:val="3"/>
          </w:tcPr>
          <w:p w14:paraId="2FF6D424" w14:textId="77777777" w:rsidR="00AE5472" w:rsidRPr="004E765C" w:rsidRDefault="00C47489" w:rsidP="00AE5472">
            <w:pPr>
              <w:autoSpaceDE w:val="0"/>
              <w:autoSpaceDN w:val="0"/>
              <w:adjustRightInd w:val="0"/>
              <w:spacing w:after="0" w:line="240" w:lineRule="auto"/>
              <w:rPr>
                <w:rFonts w:ascii="Times New Roman" w:eastAsiaTheme="minorHAnsi" w:hAnsi="Times New Roman"/>
                <w:color w:val="000000"/>
                <w:sz w:val="20"/>
                <w:szCs w:val="20"/>
              </w:rPr>
            </w:pPr>
            <w:r w:rsidRPr="00C368D3">
              <w:rPr>
                <w:rFonts w:ascii="Times New Roman" w:eastAsiaTheme="minorHAnsi" w:hAnsi="Times New Roman"/>
                <w:b/>
                <w:bCs/>
                <w:color w:val="000000"/>
                <w:sz w:val="20"/>
                <w:szCs w:val="20"/>
              </w:rPr>
              <w:t xml:space="preserve">    </w:t>
            </w:r>
            <w:r w:rsidR="00AE5472" w:rsidRPr="00C368D3">
              <w:rPr>
                <w:rFonts w:ascii="Times New Roman" w:eastAsiaTheme="minorHAnsi" w:hAnsi="Times New Roman"/>
                <w:b/>
                <w:bCs/>
                <w:color w:val="000000"/>
                <w:sz w:val="20"/>
                <w:szCs w:val="20"/>
              </w:rPr>
              <w:t>2017/18-2018/19</w:t>
            </w:r>
          </w:p>
        </w:tc>
      </w:tr>
      <w:tr w:rsidR="00AE5472" w:rsidRPr="00C368D3" w14:paraId="19A4175E" w14:textId="77777777" w:rsidTr="00C47489">
        <w:trPr>
          <w:gridAfter w:val="1"/>
          <w:wAfter w:w="7" w:type="dxa"/>
          <w:trHeight w:val="96"/>
        </w:trPr>
        <w:tc>
          <w:tcPr>
            <w:tcW w:w="1379" w:type="dxa"/>
          </w:tcPr>
          <w:p w14:paraId="3269A4AB"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Programme 1 </w:t>
            </w:r>
          </w:p>
        </w:tc>
        <w:tc>
          <w:tcPr>
            <w:tcW w:w="992" w:type="dxa"/>
            <w:gridSpan w:val="2"/>
          </w:tcPr>
          <w:p w14:paraId="19DF0AD1"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87.1 </w:t>
            </w:r>
          </w:p>
        </w:tc>
        <w:tc>
          <w:tcPr>
            <w:tcW w:w="993" w:type="dxa"/>
          </w:tcPr>
          <w:p w14:paraId="1CAEAD79"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109.0 </w:t>
            </w:r>
          </w:p>
        </w:tc>
        <w:tc>
          <w:tcPr>
            <w:tcW w:w="992" w:type="dxa"/>
          </w:tcPr>
          <w:p w14:paraId="7441C19D"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116.3 </w:t>
            </w:r>
          </w:p>
        </w:tc>
        <w:tc>
          <w:tcPr>
            <w:tcW w:w="992" w:type="dxa"/>
          </w:tcPr>
          <w:p w14:paraId="19AD88E4"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124.1 </w:t>
            </w:r>
          </w:p>
        </w:tc>
        <w:tc>
          <w:tcPr>
            <w:tcW w:w="1134" w:type="dxa"/>
          </w:tcPr>
          <w:p w14:paraId="31695930"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21.9 </w:t>
            </w:r>
          </w:p>
        </w:tc>
        <w:tc>
          <w:tcPr>
            <w:tcW w:w="1134" w:type="dxa"/>
          </w:tcPr>
          <w:p w14:paraId="318F4F6B"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16.2 </w:t>
            </w:r>
          </w:p>
        </w:tc>
        <w:tc>
          <w:tcPr>
            <w:tcW w:w="1015" w:type="dxa"/>
            <w:gridSpan w:val="2"/>
          </w:tcPr>
          <w:p w14:paraId="61E69290"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25.14% </w:t>
            </w:r>
          </w:p>
        </w:tc>
        <w:tc>
          <w:tcPr>
            <w:tcW w:w="1081" w:type="dxa"/>
          </w:tcPr>
          <w:p w14:paraId="65917E38"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18.62% </w:t>
            </w:r>
          </w:p>
        </w:tc>
      </w:tr>
      <w:tr w:rsidR="00AE5472" w:rsidRPr="00C368D3" w14:paraId="2188E3AB" w14:textId="77777777" w:rsidTr="00C47489">
        <w:trPr>
          <w:gridAfter w:val="1"/>
          <w:wAfter w:w="7" w:type="dxa"/>
          <w:trHeight w:val="96"/>
        </w:trPr>
        <w:tc>
          <w:tcPr>
            <w:tcW w:w="1379" w:type="dxa"/>
          </w:tcPr>
          <w:p w14:paraId="47212FA3"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Programme 2 </w:t>
            </w:r>
          </w:p>
        </w:tc>
        <w:tc>
          <w:tcPr>
            <w:tcW w:w="992" w:type="dxa"/>
            <w:gridSpan w:val="2"/>
          </w:tcPr>
          <w:p w14:paraId="5F2D6CC9"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156.9 </w:t>
            </w:r>
          </w:p>
        </w:tc>
        <w:tc>
          <w:tcPr>
            <w:tcW w:w="993" w:type="dxa"/>
          </w:tcPr>
          <w:p w14:paraId="6CB33C6D"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190.1 </w:t>
            </w:r>
          </w:p>
        </w:tc>
        <w:tc>
          <w:tcPr>
            <w:tcW w:w="992" w:type="dxa"/>
          </w:tcPr>
          <w:p w14:paraId="33220088"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203.1 </w:t>
            </w:r>
          </w:p>
        </w:tc>
        <w:tc>
          <w:tcPr>
            <w:tcW w:w="992" w:type="dxa"/>
          </w:tcPr>
          <w:p w14:paraId="3A7B40A4"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216.8 </w:t>
            </w:r>
          </w:p>
        </w:tc>
        <w:tc>
          <w:tcPr>
            <w:tcW w:w="1134" w:type="dxa"/>
          </w:tcPr>
          <w:p w14:paraId="256BA840"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33.2 </w:t>
            </w:r>
          </w:p>
        </w:tc>
        <w:tc>
          <w:tcPr>
            <w:tcW w:w="1134" w:type="dxa"/>
          </w:tcPr>
          <w:p w14:paraId="2E225C78"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23.3 </w:t>
            </w:r>
          </w:p>
        </w:tc>
        <w:tc>
          <w:tcPr>
            <w:tcW w:w="1015" w:type="dxa"/>
            <w:gridSpan w:val="2"/>
          </w:tcPr>
          <w:p w14:paraId="77422A6D"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21.16% </w:t>
            </w:r>
          </w:p>
        </w:tc>
        <w:tc>
          <w:tcPr>
            <w:tcW w:w="1081" w:type="dxa"/>
          </w:tcPr>
          <w:p w14:paraId="406298B3"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14.84% </w:t>
            </w:r>
          </w:p>
        </w:tc>
      </w:tr>
      <w:tr w:rsidR="00AE5472" w:rsidRPr="00C368D3" w14:paraId="31A253F2" w14:textId="77777777" w:rsidTr="00C47489">
        <w:trPr>
          <w:gridAfter w:val="1"/>
          <w:wAfter w:w="7" w:type="dxa"/>
          <w:trHeight w:val="96"/>
        </w:trPr>
        <w:tc>
          <w:tcPr>
            <w:tcW w:w="1379" w:type="dxa"/>
          </w:tcPr>
          <w:p w14:paraId="1B92EC64"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Programme 3 </w:t>
            </w:r>
          </w:p>
        </w:tc>
        <w:tc>
          <w:tcPr>
            <w:tcW w:w="992" w:type="dxa"/>
            <w:gridSpan w:val="2"/>
          </w:tcPr>
          <w:p w14:paraId="6E8386ED"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11.4 </w:t>
            </w:r>
          </w:p>
        </w:tc>
        <w:tc>
          <w:tcPr>
            <w:tcW w:w="993" w:type="dxa"/>
          </w:tcPr>
          <w:p w14:paraId="46DC20B1"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16.0 </w:t>
            </w:r>
          </w:p>
        </w:tc>
        <w:tc>
          <w:tcPr>
            <w:tcW w:w="992" w:type="dxa"/>
          </w:tcPr>
          <w:p w14:paraId="05DF040A"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17.2 </w:t>
            </w:r>
          </w:p>
        </w:tc>
        <w:tc>
          <w:tcPr>
            <w:tcW w:w="992" w:type="dxa"/>
          </w:tcPr>
          <w:p w14:paraId="57AAB006"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18.8 </w:t>
            </w:r>
          </w:p>
        </w:tc>
        <w:tc>
          <w:tcPr>
            <w:tcW w:w="1134" w:type="dxa"/>
          </w:tcPr>
          <w:p w14:paraId="4A2FBF74"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4.6 </w:t>
            </w:r>
          </w:p>
        </w:tc>
        <w:tc>
          <w:tcPr>
            <w:tcW w:w="1134" w:type="dxa"/>
          </w:tcPr>
          <w:p w14:paraId="24D0A6D9"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3.8 </w:t>
            </w:r>
          </w:p>
        </w:tc>
        <w:tc>
          <w:tcPr>
            <w:tcW w:w="1015" w:type="dxa"/>
            <w:gridSpan w:val="2"/>
          </w:tcPr>
          <w:p w14:paraId="739DA746"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40.35% </w:t>
            </w:r>
          </w:p>
        </w:tc>
        <w:tc>
          <w:tcPr>
            <w:tcW w:w="1081" w:type="dxa"/>
          </w:tcPr>
          <w:p w14:paraId="02271D79"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33.03% </w:t>
            </w:r>
          </w:p>
        </w:tc>
      </w:tr>
      <w:tr w:rsidR="00AE5472" w:rsidRPr="00C368D3" w14:paraId="052F0A99" w14:textId="77777777" w:rsidTr="00C47489">
        <w:trPr>
          <w:gridAfter w:val="1"/>
          <w:wAfter w:w="7" w:type="dxa"/>
          <w:trHeight w:val="96"/>
        </w:trPr>
        <w:tc>
          <w:tcPr>
            <w:tcW w:w="1379" w:type="dxa"/>
          </w:tcPr>
          <w:p w14:paraId="3B7B2C1B"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b/>
                <w:bCs/>
                <w:color w:val="000000"/>
                <w:sz w:val="20"/>
                <w:szCs w:val="20"/>
              </w:rPr>
              <w:t xml:space="preserve">TOTAL </w:t>
            </w:r>
          </w:p>
        </w:tc>
        <w:tc>
          <w:tcPr>
            <w:tcW w:w="992" w:type="dxa"/>
            <w:gridSpan w:val="2"/>
          </w:tcPr>
          <w:p w14:paraId="7F57D355"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255.4 </w:t>
            </w:r>
          </w:p>
        </w:tc>
        <w:tc>
          <w:tcPr>
            <w:tcW w:w="993" w:type="dxa"/>
          </w:tcPr>
          <w:p w14:paraId="675367AD"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315.1 </w:t>
            </w:r>
          </w:p>
        </w:tc>
        <w:tc>
          <w:tcPr>
            <w:tcW w:w="992" w:type="dxa"/>
          </w:tcPr>
          <w:p w14:paraId="05BD452C"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336.6 </w:t>
            </w:r>
          </w:p>
        </w:tc>
        <w:tc>
          <w:tcPr>
            <w:tcW w:w="992" w:type="dxa"/>
          </w:tcPr>
          <w:p w14:paraId="49135CFC"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359.7 </w:t>
            </w:r>
          </w:p>
        </w:tc>
        <w:tc>
          <w:tcPr>
            <w:tcW w:w="1134" w:type="dxa"/>
          </w:tcPr>
          <w:p w14:paraId="06E30BA3"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59.7 </w:t>
            </w:r>
          </w:p>
        </w:tc>
        <w:tc>
          <w:tcPr>
            <w:tcW w:w="1134" w:type="dxa"/>
          </w:tcPr>
          <w:p w14:paraId="4F4228C2"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color w:val="000000"/>
                <w:sz w:val="20"/>
                <w:szCs w:val="20"/>
              </w:rPr>
              <w:t xml:space="preserve">43.3 </w:t>
            </w:r>
          </w:p>
        </w:tc>
        <w:tc>
          <w:tcPr>
            <w:tcW w:w="1015" w:type="dxa"/>
            <w:gridSpan w:val="2"/>
          </w:tcPr>
          <w:p w14:paraId="38226B53"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b/>
                <w:bCs/>
                <w:color w:val="000000"/>
                <w:sz w:val="20"/>
                <w:szCs w:val="20"/>
              </w:rPr>
              <w:t xml:space="preserve">23.38% </w:t>
            </w:r>
          </w:p>
        </w:tc>
        <w:tc>
          <w:tcPr>
            <w:tcW w:w="1081" w:type="dxa"/>
          </w:tcPr>
          <w:p w14:paraId="1B7C289F" w14:textId="77777777" w:rsidR="004E765C" w:rsidRPr="004E765C" w:rsidRDefault="004E765C" w:rsidP="004E765C">
            <w:pPr>
              <w:autoSpaceDE w:val="0"/>
              <w:autoSpaceDN w:val="0"/>
              <w:adjustRightInd w:val="0"/>
              <w:spacing w:after="0" w:line="240" w:lineRule="auto"/>
              <w:rPr>
                <w:rFonts w:ascii="Times New Roman" w:eastAsiaTheme="minorHAnsi" w:hAnsi="Times New Roman"/>
                <w:color w:val="000000"/>
                <w:sz w:val="20"/>
                <w:szCs w:val="20"/>
              </w:rPr>
            </w:pPr>
            <w:r w:rsidRPr="004E765C">
              <w:rPr>
                <w:rFonts w:ascii="Times New Roman" w:eastAsiaTheme="minorHAnsi" w:hAnsi="Times New Roman"/>
                <w:b/>
                <w:bCs/>
                <w:color w:val="000000"/>
                <w:sz w:val="20"/>
                <w:szCs w:val="20"/>
              </w:rPr>
              <w:t xml:space="preserve">16.94% </w:t>
            </w:r>
          </w:p>
        </w:tc>
      </w:tr>
    </w:tbl>
    <w:p w14:paraId="78B630D9" w14:textId="77777777" w:rsidR="00AD51DD" w:rsidRDefault="00C47489" w:rsidP="00AD51DD">
      <w:pPr>
        <w:spacing w:line="360" w:lineRule="auto"/>
        <w:jc w:val="center"/>
        <w:rPr>
          <w:rFonts w:ascii="Times New Roman" w:hAnsi="Times New Roman"/>
        </w:rPr>
      </w:pPr>
      <w:r>
        <w:rPr>
          <w:rFonts w:ascii="Times New Roman" w:hAnsi="Times New Roman"/>
        </w:rPr>
        <w:t xml:space="preserve">           </w:t>
      </w:r>
      <w:r w:rsidR="00AD51DD">
        <w:rPr>
          <w:rFonts w:ascii="Times New Roman" w:hAnsi="Times New Roman"/>
        </w:rPr>
        <w:t xml:space="preserve">                                                                                           </w:t>
      </w:r>
      <w:r w:rsidR="00DD7D0D">
        <w:rPr>
          <w:rFonts w:ascii="Times New Roman" w:hAnsi="Times New Roman"/>
        </w:rPr>
        <w:t xml:space="preserve">       </w:t>
      </w:r>
      <w:r w:rsidR="00AD51DD" w:rsidRPr="00200300">
        <w:rPr>
          <w:rFonts w:ascii="Times New Roman" w:hAnsi="Times New Roman"/>
        </w:rPr>
        <w:t xml:space="preserve">Source: </w:t>
      </w:r>
      <w:r w:rsidR="00DD7D0D">
        <w:rPr>
          <w:rFonts w:ascii="Times New Roman" w:hAnsi="Times New Roman"/>
        </w:rPr>
        <w:t>National Treasury (2018)</w:t>
      </w:r>
    </w:p>
    <w:p w14:paraId="007CE78D" w14:textId="77777777" w:rsidR="00AD51DD" w:rsidRPr="00C47489" w:rsidRDefault="00C47489" w:rsidP="00C47489">
      <w:pPr>
        <w:pStyle w:val="ListParagraph"/>
        <w:spacing w:line="360" w:lineRule="auto"/>
        <w:ind w:left="0"/>
        <w:jc w:val="both"/>
        <w:rPr>
          <w:rFonts w:ascii="Times New Roman" w:hAnsi="Times New Roman"/>
          <w:b/>
          <w:sz w:val="24"/>
          <w:szCs w:val="24"/>
        </w:rPr>
      </w:pPr>
      <w:r w:rsidRPr="00C47489">
        <w:rPr>
          <w:rFonts w:ascii="Times New Roman" w:hAnsi="Times New Roman"/>
          <w:sz w:val="24"/>
          <w:szCs w:val="24"/>
        </w:rPr>
        <w:t>The Directorate prioritised R1.2 million in 2018/19 towards finalising the review of the IPID Act, 2011. These funds would be spent on costs associated with stakeholder and public consultation such as travel and subsistence, stationary and printing. The Directorate further indicated that this review would consequently result in an average growth of 49.4% over the medium term in the Compliance and Stakeholder Management Programme. However, the</w:t>
      </w:r>
      <w:r>
        <w:rPr>
          <w:rFonts w:ascii="Times New Roman" w:hAnsi="Times New Roman"/>
          <w:sz w:val="24"/>
          <w:szCs w:val="24"/>
        </w:rPr>
        <w:t xml:space="preserve"> </w:t>
      </w:r>
      <w:r w:rsidRPr="00C47489">
        <w:rPr>
          <w:rFonts w:ascii="Times New Roman" w:hAnsi="Times New Roman"/>
          <w:sz w:val="24"/>
          <w:szCs w:val="24"/>
        </w:rPr>
        <w:t>amendments to the IPID Act, 2011 as per the 2016 Constitutional Court judgement is currently contained in a Committee Bill and will be processed as such by Parliament</w:t>
      </w:r>
    </w:p>
    <w:p w14:paraId="52CBC34B" w14:textId="77777777" w:rsidR="00C47489" w:rsidRDefault="00C47489" w:rsidP="00C47489">
      <w:pPr>
        <w:pStyle w:val="ListParagraph"/>
        <w:spacing w:line="360" w:lineRule="auto"/>
        <w:ind w:left="0"/>
        <w:jc w:val="both"/>
        <w:rPr>
          <w:rFonts w:ascii="Times New Roman" w:hAnsi="Times New Roman"/>
          <w:b/>
          <w:sz w:val="24"/>
          <w:szCs w:val="24"/>
        </w:rPr>
      </w:pPr>
    </w:p>
    <w:p w14:paraId="6E10017D" w14:textId="77777777" w:rsidR="00C47489" w:rsidRPr="00C47489" w:rsidRDefault="003052D0" w:rsidP="00C47489">
      <w:pPr>
        <w:pStyle w:val="ListParagraph"/>
        <w:spacing w:line="360" w:lineRule="auto"/>
        <w:ind w:left="0"/>
        <w:jc w:val="both"/>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r>
      <w:r w:rsidR="00C47489" w:rsidRPr="00C47489">
        <w:rPr>
          <w:rFonts w:ascii="Times New Roman" w:hAnsi="Times New Roman"/>
          <w:b/>
          <w:sz w:val="24"/>
          <w:szCs w:val="24"/>
        </w:rPr>
        <w:t>Expenditure trends and estimates for significant spending items</w:t>
      </w:r>
    </w:p>
    <w:p w14:paraId="77161DA1" w14:textId="77777777" w:rsidR="00C47489" w:rsidRPr="00C47489" w:rsidRDefault="00C47489" w:rsidP="00C47489">
      <w:pPr>
        <w:pStyle w:val="ListParagraph"/>
        <w:spacing w:line="360" w:lineRule="auto"/>
        <w:ind w:left="0"/>
        <w:jc w:val="both"/>
        <w:rPr>
          <w:rFonts w:ascii="Times New Roman" w:hAnsi="Times New Roman"/>
          <w:sz w:val="24"/>
          <w:szCs w:val="24"/>
        </w:rPr>
      </w:pPr>
      <w:r w:rsidRPr="00C47489">
        <w:rPr>
          <w:rFonts w:ascii="Times New Roman" w:hAnsi="Times New Roman"/>
          <w:sz w:val="24"/>
          <w:szCs w:val="24"/>
        </w:rPr>
        <w:t>The table below shows expenditure for significant spending items in 2018/19 compared to the previous financial year. The budget allocation for compensation of employees increases from R176.8 million in 2017/18 to R212.2 million in 2018/19, which is a nominal increase of 20.02%. This is mainly due to the increase in the personnel establishment of the Directorate. At the end of 2016/17, the Directorate had a vacancy rate of 11.48%, or 48 vacant posts, of which 29 posts were in the Investigation and Information Management Programme. The vacancy rate was reduced to 7% at the end of the second quarter of 2017/18.</w:t>
      </w:r>
    </w:p>
    <w:p w14:paraId="267BA832" w14:textId="77777777" w:rsidR="00C47489" w:rsidRDefault="00C47489" w:rsidP="00C47489">
      <w:pPr>
        <w:pStyle w:val="ListParagraph"/>
        <w:spacing w:line="360" w:lineRule="auto"/>
        <w:ind w:left="0"/>
        <w:jc w:val="both"/>
        <w:rPr>
          <w:rFonts w:ascii="Times New Roman" w:hAnsi="Times New Roman"/>
          <w:sz w:val="24"/>
          <w:szCs w:val="24"/>
        </w:rPr>
      </w:pPr>
      <w:r w:rsidRPr="00C47489">
        <w:rPr>
          <w:rFonts w:ascii="Times New Roman" w:hAnsi="Times New Roman"/>
          <w:sz w:val="24"/>
          <w:szCs w:val="24"/>
        </w:rPr>
        <w:t>The expected expenditure on travel and subsistence increases from R10.4 million in 2017/18 to R14.2 million in 2018/19, which is a nominal increase of 36.54%. Spending on operating leases is expected to increase from R23.1 million to R28.2 million in 2018/19, which is a nominal increase of 22.08%. Similarly, spending on property payments is expected to increase by 61.47% in 2018/19 compared to the previous financial year.</w:t>
      </w:r>
    </w:p>
    <w:p w14:paraId="70F03FA2" w14:textId="77777777" w:rsidR="00513E3E" w:rsidRDefault="00513E3E" w:rsidP="00C47489">
      <w:pPr>
        <w:pStyle w:val="ListParagraph"/>
        <w:spacing w:line="360" w:lineRule="auto"/>
        <w:ind w:left="0"/>
        <w:jc w:val="both"/>
        <w:rPr>
          <w:rFonts w:ascii="Times New Roman" w:hAnsi="Times New Roman"/>
          <w:sz w:val="24"/>
          <w:szCs w:val="24"/>
        </w:rPr>
      </w:pPr>
    </w:p>
    <w:p w14:paraId="4BC60FE7" w14:textId="77777777" w:rsidR="00C47489" w:rsidRPr="003052D0" w:rsidRDefault="00C47489" w:rsidP="00C47489">
      <w:pPr>
        <w:pStyle w:val="ListParagraph"/>
        <w:spacing w:line="360" w:lineRule="auto"/>
        <w:ind w:left="0"/>
        <w:jc w:val="both"/>
        <w:rPr>
          <w:rFonts w:ascii="Times New Roman" w:hAnsi="Times New Roman"/>
          <w:b/>
          <w:sz w:val="24"/>
          <w:szCs w:val="24"/>
        </w:rPr>
      </w:pPr>
      <w:r w:rsidRPr="003052D0">
        <w:rPr>
          <w:rFonts w:ascii="Times New Roman" w:hAnsi="Times New Roman"/>
          <w:b/>
          <w:sz w:val="24"/>
          <w:szCs w:val="24"/>
        </w:rPr>
        <w:t>Table 2: Expenditure for significant spending items</w:t>
      </w: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1106"/>
        <w:gridCol w:w="968"/>
        <w:gridCol w:w="1057"/>
        <w:gridCol w:w="49"/>
        <w:gridCol w:w="1245"/>
        <w:gridCol w:w="1382"/>
        <w:gridCol w:w="1940"/>
      </w:tblGrid>
      <w:tr w:rsidR="001C56F4" w:rsidRPr="00C47489" w14:paraId="224304E8" w14:textId="77777777" w:rsidTr="001C56F4">
        <w:trPr>
          <w:trHeight w:val="252"/>
        </w:trPr>
        <w:tc>
          <w:tcPr>
            <w:tcW w:w="1484" w:type="dxa"/>
          </w:tcPr>
          <w:p w14:paraId="085CFA0C"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 xml:space="preserve">Programme </w:t>
            </w:r>
          </w:p>
        </w:tc>
        <w:tc>
          <w:tcPr>
            <w:tcW w:w="2074" w:type="dxa"/>
            <w:gridSpan w:val="2"/>
          </w:tcPr>
          <w:p w14:paraId="71F14BC3"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 xml:space="preserve">Budget </w:t>
            </w:r>
          </w:p>
        </w:tc>
        <w:tc>
          <w:tcPr>
            <w:tcW w:w="1057" w:type="dxa"/>
          </w:tcPr>
          <w:p w14:paraId="50F47AE4"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 xml:space="preserve">Nominal Rand change </w:t>
            </w:r>
          </w:p>
        </w:tc>
        <w:tc>
          <w:tcPr>
            <w:tcW w:w="1293" w:type="dxa"/>
            <w:gridSpan w:val="2"/>
          </w:tcPr>
          <w:p w14:paraId="4E1B4AD4"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 xml:space="preserve">Real Rand change </w:t>
            </w:r>
          </w:p>
        </w:tc>
        <w:tc>
          <w:tcPr>
            <w:tcW w:w="1382" w:type="dxa"/>
          </w:tcPr>
          <w:p w14:paraId="0812843B"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 xml:space="preserve">Nominal % change </w:t>
            </w:r>
          </w:p>
        </w:tc>
        <w:tc>
          <w:tcPr>
            <w:tcW w:w="1939" w:type="dxa"/>
          </w:tcPr>
          <w:p w14:paraId="49677D69"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 xml:space="preserve">Real % change </w:t>
            </w:r>
          </w:p>
        </w:tc>
      </w:tr>
      <w:tr w:rsidR="001C56F4" w:rsidRPr="00C47489" w14:paraId="6CAD6610" w14:textId="77777777" w:rsidTr="001C56F4">
        <w:trPr>
          <w:trHeight w:val="100"/>
        </w:trPr>
        <w:tc>
          <w:tcPr>
            <w:tcW w:w="1484" w:type="dxa"/>
          </w:tcPr>
          <w:p w14:paraId="001FF102"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i/>
                <w:iCs/>
                <w:color w:val="000000"/>
                <w:sz w:val="20"/>
                <w:szCs w:val="20"/>
              </w:rPr>
              <w:t xml:space="preserve">R million </w:t>
            </w:r>
          </w:p>
        </w:tc>
        <w:tc>
          <w:tcPr>
            <w:tcW w:w="1106" w:type="dxa"/>
          </w:tcPr>
          <w:p w14:paraId="646D7A18"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 xml:space="preserve">2017/18 </w:t>
            </w:r>
          </w:p>
        </w:tc>
        <w:tc>
          <w:tcPr>
            <w:tcW w:w="967" w:type="dxa"/>
          </w:tcPr>
          <w:p w14:paraId="56F1D68A"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 xml:space="preserve">2018/19 </w:t>
            </w:r>
          </w:p>
        </w:tc>
        <w:tc>
          <w:tcPr>
            <w:tcW w:w="2351" w:type="dxa"/>
            <w:gridSpan w:val="3"/>
          </w:tcPr>
          <w:p w14:paraId="16C062F9"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 xml:space="preserve">       2017/18-2018/19 </w:t>
            </w:r>
          </w:p>
        </w:tc>
        <w:tc>
          <w:tcPr>
            <w:tcW w:w="3322" w:type="dxa"/>
            <w:gridSpan w:val="2"/>
          </w:tcPr>
          <w:p w14:paraId="6DA1A114" w14:textId="77777777" w:rsidR="00C47489" w:rsidRPr="00C47489" w:rsidRDefault="001C56F4" w:rsidP="00C47489">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b/>
                <w:bCs/>
                <w:color w:val="000000"/>
                <w:sz w:val="20"/>
                <w:szCs w:val="20"/>
              </w:rPr>
              <w:t xml:space="preserve">           </w:t>
            </w:r>
            <w:r w:rsidR="00C47489" w:rsidRPr="00C47489">
              <w:rPr>
                <w:rFonts w:ascii="Times New Roman" w:eastAsiaTheme="minorHAnsi" w:hAnsi="Times New Roman"/>
                <w:b/>
                <w:bCs/>
                <w:color w:val="000000"/>
                <w:sz w:val="20"/>
                <w:szCs w:val="20"/>
              </w:rPr>
              <w:t xml:space="preserve"> 2017/18-2018/19 </w:t>
            </w:r>
          </w:p>
        </w:tc>
      </w:tr>
      <w:tr w:rsidR="00C47489" w:rsidRPr="00C47489" w14:paraId="7C77A67E" w14:textId="77777777" w:rsidTr="001C56F4">
        <w:trPr>
          <w:trHeight w:val="100"/>
        </w:trPr>
        <w:tc>
          <w:tcPr>
            <w:tcW w:w="1484" w:type="dxa"/>
          </w:tcPr>
          <w:p w14:paraId="53315FEF"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 xml:space="preserve">Compensation of employees </w:t>
            </w:r>
          </w:p>
        </w:tc>
        <w:tc>
          <w:tcPr>
            <w:tcW w:w="1106" w:type="dxa"/>
          </w:tcPr>
          <w:p w14:paraId="283A31DC"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176.8</w:t>
            </w:r>
          </w:p>
        </w:tc>
        <w:tc>
          <w:tcPr>
            <w:tcW w:w="967" w:type="dxa"/>
          </w:tcPr>
          <w:p w14:paraId="5B979D30"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212.2</w:t>
            </w:r>
          </w:p>
        </w:tc>
        <w:tc>
          <w:tcPr>
            <w:tcW w:w="1106" w:type="dxa"/>
            <w:gridSpan w:val="2"/>
          </w:tcPr>
          <w:p w14:paraId="6276133A"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35.4</w:t>
            </w:r>
          </w:p>
        </w:tc>
        <w:tc>
          <w:tcPr>
            <w:tcW w:w="1245" w:type="dxa"/>
          </w:tcPr>
          <w:p w14:paraId="66CC7B46"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24.3</w:t>
            </w:r>
          </w:p>
        </w:tc>
        <w:tc>
          <w:tcPr>
            <w:tcW w:w="1382" w:type="dxa"/>
          </w:tcPr>
          <w:p w14:paraId="4DA21926"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20.02%</w:t>
            </w:r>
          </w:p>
        </w:tc>
        <w:tc>
          <w:tcPr>
            <w:tcW w:w="1939" w:type="dxa"/>
          </w:tcPr>
          <w:p w14:paraId="5EABB626"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13.77%</w:t>
            </w:r>
          </w:p>
        </w:tc>
      </w:tr>
      <w:tr w:rsidR="00C47489" w:rsidRPr="00C47489" w14:paraId="228EF9D6" w14:textId="77777777" w:rsidTr="001C56F4">
        <w:trPr>
          <w:trHeight w:val="100"/>
        </w:trPr>
        <w:tc>
          <w:tcPr>
            <w:tcW w:w="1484" w:type="dxa"/>
          </w:tcPr>
          <w:p w14:paraId="153B360C"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 xml:space="preserve">Travel and subsistence </w:t>
            </w:r>
          </w:p>
        </w:tc>
        <w:tc>
          <w:tcPr>
            <w:tcW w:w="1106" w:type="dxa"/>
          </w:tcPr>
          <w:p w14:paraId="1B953105"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10.4</w:t>
            </w:r>
          </w:p>
        </w:tc>
        <w:tc>
          <w:tcPr>
            <w:tcW w:w="967" w:type="dxa"/>
          </w:tcPr>
          <w:p w14:paraId="45864B4E"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14.2</w:t>
            </w:r>
          </w:p>
        </w:tc>
        <w:tc>
          <w:tcPr>
            <w:tcW w:w="1106" w:type="dxa"/>
            <w:gridSpan w:val="2"/>
          </w:tcPr>
          <w:p w14:paraId="4C03DBE8"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3.8</w:t>
            </w:r>
          </w:p>
        </w:tc>
        <w:tc>
          <w:tcPr>
            <w:tcW w:w="1245" w:type="dxa"/>
          </w:tcPr>
          <w:p w14:paraId="4B1834B0"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3.1</w:t>
            </w:r>
          </w:p>
        </w:tc>
        <w:tc>
          <w:tcPr>
            <w:tcW w:w="1382" w:type="dxa"/>
          </w:tcPr>
          <w:p w14:paraId="7AAA22DE"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36.54%</w:t>
            </w:r>
          </w:p>
        </w:tc>
        <w:tc>
          <w:tcPr>
            <w:tcW w:w="1939" w:type="dxa"/>
          </w:tcPr>
          <w:p w14:paraId="6C08A42B"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29.42%</w:t>
            </w:r>
          </w:p>
        </w:tc>
      </w:tr>
      <w:tr w:rsidR="00C47489" w:rsidRPr="00C47489" w14:paraId="7B428364" w14:textId="77777777" w:rsidTr="001C56F4">
        <w:trPr>
          <w:trHeight w:val="100"/>
        </w:trPr>
        <w:tc>
          <w:tcPr>
            <w:tcW w:w="1484" w:type="dxa"/>
          </w:tcPr>
          <w:p w14:paraId="62135617"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 xml:space="preserve">Operating leases </w:t>
            </w:r>
          </w:p>
        </w:tc>
        <w:tc>
          <w:tcPr>
            <w:tcW w:w="1106" w:type="dxa"/>
          </w:tcPr>
          <w:p w14:paraId="1ADA97E9"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23.1</w:t>
            </w:r>
          </w:p>
        </w:tc>
        <w:tc>
          <w:tcPr>
            <w:tcW w:w="967" w:type="dxa"/>
          </w:tcPr>
          <w:p w14:paraId="4F027A2B"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28.2</w:t>
            </w:r>
          </w:p>
        </w:tc>
        <w:tc>
          <w:tcPr>
            <w:tcW w:w="1106" w:type="dxa"/>
            <w:gridSpan w:val="2"/>
          </w:tcPr>
          <w:p w14:paraId="2D15AA20"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5.1</w:t>
            </w:r>
          </w:p>
        </w:tc>
        <w:tc>
          <w:tcPr>
            <w:tcW w:w="1245" w:type="dxa"/>
          </w:tcPr>
          <w:p w14:paraId="332C53AF"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3.6</w:t>
            </w:r>
          </w:p>
        </w:tc>
        <w:tc>
          <w:tcPr>
            <w:tcW w:w="1382" w:type="dxa"/>
          </w:tcPr>
          <w:p w14:paraId="4693340B"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22.08%</w:t>
            </w:r>
          </w:p>
        </w:tc>
        <w:tc>
          <w:tcPr>
            <w:tcW w:w="1939" w:type="dxa"/>
          </w:tcPr>
          <w:p w14:paraId="1840712D"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15.71%</w:t>
            </w:r>
          </w:p>
        </w:tc>
      </w:tr>
      <w:tr w:rsidR="00C47489" w:rsidRPr="00C47489" w14:paraId="7B7110F1" w14:textId="77777777" w:rsidTr="001C56F4">
        <w:trPr>
          <w:trHeight w:val="100"/>
        </w:trPr>
        <w:tc>
          <w:tcPr>
            <w:tcW w:w="1484" w:type="dxa"/>
          </w:tcPr>
          <w:p w14:paraId="41B78E6F"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 xml:space="preserve">Property payments </w:t>
            </w:r>
          </w:p>
        </w:tc>
        <w:tc>
          <w:tcPr>
            <w:tcW w:w="1106" w:type="dxa"/>
          </w:tcPr>
          <w:p w14:paraId="39E022F3"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10.9</w:t>
            </w:r>
          </w:p>
        </w:tc>
        <w:tc>
          <w:tcPr>
            <w:tcW w:w="967" w:type="dxa"/>
          </w:tcPr>
          <w:p w14:paraId="66A989F5"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17.6</w:t>
            </w:r>
          </w:p>
        </w:tc>
        <w:tc>
          <w:tcPr>
            <w:tcW w:w="1106" w:type="dxa"/>
            <w:gridSpan w:val="2"/>
          </w:tcPr>
          <w:p w14:paraId="111E795D"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6.7</w:t>
            </w:r>
          </w:p>
        </w:tc>
        <w:tc>
          <w:tcPr>
            <w:tcW w:w="1245" w:type="dxa"/>
          </w:tcPr>
          <w:p w14:paraId="592293D7"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5.8</w:t>
            </w:r>
          </w:p>
        </w:tc>
        <w:tc>
          <w:tcPr>
            <w:tcW w:w="1382" w:type="dxa"/>
          </w:tcPr>
          <w:p w14:paraId="1E8E7BA5"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61.47%</w:t>
            </w:r>
          </w:p>
        </w:tc>
        <w:tc>
          <w:tcPr>
            <w:tcW w:w="1939" w:type="dxa"/>
          </w:tcPr>
          <w:p w14:paraId="5B2A28EE"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53.05%</w:t>
            </w:r>
          </w:p>
        </w:tc>
      </w:tr>
      <w:tr w:rsidR="00C47489" w:rsidRPr="00C47489" w14:paraId="72C92050" w14:textId="77777777" w:rsidTr="001C56F4">
        <w:trPr>
          <w:trHeight w:val="100"/>
        </w:trPr>
        <w:tc>
          <w:tcPr>
            <w:tcW w:w="1484" w:type="dxa"/>
          </w:tcPr>
          <w:p w14:paraId="3BA3EFA0" w14:textId="77777777" w:rsidR="00C47489" w:rsidRPr="00C47489" w:rsidRDefault="00C47489" w:rsidP="00C47489">
            <w:pPr>
              <w:autoSpaceDE w:val="0"/>
              <w:autoSpaceDN w:val="0"/>
              <w:adjustRightInd w:val="0"/>
              <w:spacing w:after="0" w:line="240" w:lineRule="auto"/>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 xml:space="preserve">TOTAL </w:t>
            </w:r>
          </w:p>
        </w:tc>
        <w:tc>
          <w:tcPr>
            <w:tcW w:w="1106" w:type="dxa"/>
          </w:tcPr>
          <w:p w14:paraId="1B2CB38E"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221.4</w:t>
            </w:r>
          </w:p>
        </w:tc>
        <w:tc>
          <w:tcPr>
            <w:tcW w:w="967" w:type="dxa"/>
          </w:tcPr>
          <w:p w14:paraId="1CF10DAE"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272.2</w:t>
            </w:r>
          </w:p>
        </w:tc>
        <w:tc>
          <w:tcPr>
            <w:tcW w:w="1106" w:type="dxa"/>
            <w:gridSpan w:val="2"/>
          </w:tcPr>
          <w:p w14:paraId="66A67D70"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50.8</w:t>
            </w:r>
          </w:p>
        </w:tc>
        <w:tc>
          <w:tcPr>
            <w:tcW w:w="1245" w:type="dxa"/>
          </w:tcPr>
          <w:p w14:paraId="1C27187E"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color w:val="000000"/>
                <w:sz w:val="20"/>
                <w:szCs w:val="20"/>
              </w:rPr>
              <w:t>36.6</w:t>
            </w:r>
          </w:p>
        </w:tc>
        <w:tc>
          <w:tcPr>
            <w:tcW w:w="1382" w:type="dxa"/>
          </w:tcPr>
          <w:p w14:paraId="22E35558"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22.94%</w:t>
            </w:r>
          </w:p>
        </w:tc>
        <w:tc>
          <w:tcPr>
            <w:tcW w:w="1939" w:type="dxa"/>
          </w:tcPr>
          <w:p w14:paraId="064DD3F5" w14:textId="77777777" w:rsidR="00C47489" w:rsidRPr="00C47489" w:rsidRDefault="00C47489" w:rsidP="001C56F4">
            <w:pPr>
              <w:autoSpaceDE w:val="0"/>
              <w:autoSpaceDN w:val="0"/>
              <w:adjustRightInd w:val="0"/>
              <w:spacing w:after="0" w:line="240" w:lineRule="auto"/>
              <w:jc w:val="center"/>
              <w:rPr>
                <w:rFonts w:ascii="Times New Roman" w:eastAsiaTheme="minorHAnsi" w:hAnsi="Times New Roman"/>
                <w:color w:val="000000"/>
                <w:sz w:val="20"/>
                <w:szCs w:val="20"/>
              </w:rPr>
            </w:pPr>
            <w:r w:rsidRPr="00C47489">
              <w:rPr>
                <w:rFonts w:ascii="Times New Roman" w:eastAsiaTheme="minorHAnsi" w:hAnsi="Times New Roman"/>
                <w:b/>
                <w:bCs/>
                <w:color w:val="000000"/>
                <w:sz w:val="20"/>
                <w:szCs w:val="20"/>
              </w:rPr>
              <w:t>16.54%</w:t>
            </w:r>
          </w:p>
        </w:tc>
      </w:tr>
    </w:tbl>
    <w:p w14:paraId="28E993C0" w14:textId="77777777" w:rsidR="00C47489" w:rsidRPr="00C47489" w:rsidRDefault="00C47489" w:rsidP="00C47489">
      <w:pPr>
        <w:pStyle w:val="ListParagraph"/>
        <w:spacing w:line="360" w:lineRule="auto"/>
        <w:ind w:left="0"/>
        <w:jc w:val="right"/>
        <w:rPr>
          <w:rFonts w:ascii="Times New Roman" w:hAnsi="Times New Roman"/>
          <w:sz w:val="18"/>
          <w:szCs w:val="18"/>
        </w:rPr>
      </w:pPr>
      <w:r>
        <w:rPr>
          <w:rFonts w:ascii="Times New Roman" w:hAnsi="Times New Roman"/>
          <w:sz w:val="18"/>
          <w:szCs w:val="18"/>
        </w:rPr>
        <w:t>Source: National Treasury: (2018)</w:t>
      </w:r>
    </w:p>
    <w:p w14:paraId="23D5FBCD" w14:textId="77777777" w:rsidR="00AD51DD" w:rsidRDefault="00AD51DD" w:rsidP="001C56F4">
      <w:pPr>
        <w:pStyle w:val="ListParagraph"/>
        <w:spacing w:line="360" w:lineRule="auto"/>
        <w:ind w:left="0"/>
        <w:jc w:val="both"/>
        <w:rPr>
          <w:rFonts w:ascii="Times New Roman" w:hAnsi="Times New Roman"/>
          <w:b/>
          <w:sz w:val="24"/>
          <w:szCs w:val="24"/>
        </w:rPr>
      </w:pPr>
    </w:p>
    <w:p w14:paraId="6329B326" w14:textId="77777777" w:rsidR="001C56F4" w:rsidRDefault="001C56F4" w:rsidP="001C56F4">
      <w:pPr>
        <w:pStyle w:val="ListParagraph"/>
        <w:spacing w:line="360" w:lineRule="auto"/>
        <w:ind w:left="0"/>
        <w:jc w:val="both"/>
        <w:rPr>
          <w:rFonts w:ascii="Times New Roman" w:hAnsi="Times New Roman"/>
          <w:sz w:val="24"/>
          <w:szCs w:val="24"/>
        </w:rPr>
      </w:pPr>
      <w:r w:rsidRPr="001C56F4">
        <w:rPr>
          <w:rFonts w:ascii="Times New Roman" w:hAnsi="Times New Roman"/>
          <w:sz w:val="24"/>
          <w:szCs w:val="24"/>
        </w:rPr>
        <w:t>The Directorate’s funded personnel establishment is set to increase by 27 posts, from 388 in 2016/17 to 415 in 2018/19, and remains constant over the medium term. Between 2018/19 and 2020/21, the Directorate will spend 68.2% (R687.6 million) of its total budget on compensation of employees, mostly investigators.</w:t>
      </w:r>
    </w:p>
    <w:p w14:paraId="51CAA42D" w14:textId="77777777" w:rsidR="001C56F4" w:rsidRPr="00C368D3" w:rsidRDefault="001C56F4" w:rsidP="001C56F4">
      <w:pPr>
        <w:pStyle w:val="ListParagraph"/>
        <w:spacing w:line="360" w:lineRule="auto"/>
        <w:ind w:left="0"/>
        <w:jc w:val="both"/>
        <w:rPr>
          <w:rFonts w:ascii="Times New Roman" w:hAnsi="Times New Roman"/>
          <w:b/>
          <w:sz w:val="24"/>
          <w:szCs w:val="24"/>
        </w:rPr>
      </w:pPr>
    </w:p>
    <w:p w14:paraId="66093759" w14:textId="77777777" w:rsidR="001C56F4" w:rsidRPr="00C368D3" w:rsidRDefault="003052D0" w:rsidP="001C56F4">
      <w:pPr>
        <w:pStyle w:val="ListParagraph"/>
        <w:spacing w:line="360" w:lineRule="auto"/>
        <w:ind w:left="0"/>
        <w:jc w:val="both"/>
        <w:rPr>
          <w:rFonts w:ascii="Times New Roman" w:hAnsi="Times New Roman"/>
          <w:b/>
          <w:sz w:val="24"/>
          <w:szCs w:val="24"/>
        </w:rPr>
      </w:pPr>
      <w:r>
        <w:rPr>
          <w:rFonts w:ascii="Times New Roman" w:hAnsi="Times New Roman"/>
          <w:b/>
          <w:sz w:val="24"/>
          <w:szCs w:val="24"/>
        </w:rPr>
        <w:t>3</w:t>
      </w:r>
      <w:r w:rsidR="001C56F4" w:rsidRPr="00C368D3">
        <w:rPr>
          <w:rFonts w:ascii="Times New Roman" w:hAnsi="Times New Roman"/>
          <w:b/>
          <w:sz w:val="24"/>
          <w:szCs w:val="24"/>
        </w:rPr>
        <w:t xml:space="preserve">.2. Goods and </w:t>
      </w:r>
      <w:r w:rsidR="00DD7D0D">
        <w:rPr>
          <w:rFonts w:ascii="Times New Roman" w:hAnsi="Times New Roman"/>
          <w:b/>
          <w:sz w:val="24"/>
          <w:szCs w:val="24"/>
        </w:rPr>
        <w:t>S</w:t>
      </w:r>
      <w:r w:rsidR="001C56F4" w:rsidRPr="00C368D3">
        <w:rPr>
          <w:rFonts w:ascii="Times New Roman" w:hAnsi="Times New Roman"/>
          <w:b/>
          <w:sz w:val="24"/>
          <w:szCs w:val="24"/>
        </w:rPr>
        <w:t>ervices expenditure trends and estimates</w:t>
      </w:r>
    </w:p>
    <w:p w14:paraId="0A9D4BD8" w14:textId="77777777" w:rsidR="001C56F4" w:rsidRPr="001C56F4" w:rsidRDefault="001C56F4" w:rsidP="001C56F4">
      <w:pPr>
        <w:pStyle w:val="ListParagraph"/>
        <w:spacing w:line="360" w:lineRule="auto"/>
        <w:ind w:left="0"/>
        <w:jc w:val="both"/>
        <w:rPr>
          <w:rFonts w:ascii="Times New Roman" w:hAnsi="Times New Roman"/>
          <w:sz w:val="24"/>
          <w:szCs w:val="24"/>
        </w:rPr>
      </w:pPr>
      <w:r w:rsidRPr="001C56F4">
        <w:rPr>
          <w:rFonts w:ascii="Times New Roman" w:hAnsi="Times New Roman"/>
          <w:sz w:val="24"/>
          <w:szCs w:val="24"/>
        </w:rPr>
        <w:t xml:space="preserve">The overall allocation for Goods and </w:t>
      </w:r>
      <w:r w:rsidR="00DD7D0D">
        <w:rPr>
          <w:rFonts w:ascii="Times New Roman" w:hAnsi="Times New Roman"/>
          <w:sz w:val="24"/>
          <w:szCs w:val="24"/>
        </w:rPr>
        <w:t>S</w:t>
      </w:r>
      <w:r w:rsidRPr="001C56F4">
        <w:rPr>
          <w:rFonts w:ascii="Times New Roman" w:hAnsi="Times New Roman"/>
          <w:sz w:val="24"/>
          <w:szCs w:val="24"/>
        </w:rPr>
        <w:t>ervice increases from R77.4 million in 2017/18 to R97.7 million in 2018/19, which is an increase of 26.1%. Over the medium term, the allocation has an average growth rate of 11.4%. The following changes to line-item allocations should be noted:</w:t>
      </w:r>
    </w:p>
    <w:p w14:paraId="4F735045" w14:textId="77777777" w:rsidR="001C56F4" w:rsidRPr="001C56F4" w:rsidRDefault="001C56F4" w:rsidP="001C56F4">
      <w:pPr>
        <w:pStyle w:val="ListParagraph"/>
        <w:numPr>
          <w:ilvl w:val="0"/>
          <w:numId w:val="12"/>
        </w:numPr>
        <w:spacing w:line="360" w:lineRule="auto"/>
        <w:jc w:val="both"/>
        <w:rPr>
          <w:rFonts w:ascii="Times New Roman" w:hAnsi="Times New Roman"/>
          <w:sz w:val="24"/>
          <w:szCs w:val="24"/>
        </w:rPr>
      </w:pPr>
      <w:r w:rsidRPr="001C56F4">
        <w:rPr>
          <w:rFonts w:ascii="Times New Roman" w:hAnsi="Times New Roman"/>
          <w:sz w:val="24"/>
          <w:szCs w:val="24"/>
        </w:rPr>
        <w:t xml:space="preserve">Allocation for Minor </w:t>
      </w:r>
      <w:r w:rsidR="00DD7D0D">
        <w:rPr>
          <w:rFonts w:ascii="Times New Roman" w:hAnsi="Times New Roman"/>
          <w:sz w:val="24"/>
          <w:szCs w:val="24"/>
        </w:rPr>
        <w:t>A</w:t>
      </w:r>
      <w:r w:rsidRPr="001C56F4">
        <w:rPr>
          <w:rFonts w:ascii="Times New Roman" w:hAnsi="Times New Roman"/>
          <w:sz w:val="24"/>
          <w:szCs w:val="24"/>
        </w:rPr>
        <w:t>ssets increases from R43 thousand in 2017/18 to R2.09 million in 2018/19 (increase of 4 769.7%), which will have an average growth rate of 276.7% over the medium term.</w:t>
      </w:r>
    </w:p>
    <w:p w14:paraId="15DB46C1" w14:textId="77777777" w:rsidR="001C56F4" w:rsidRDefault="001C56F4" w:rsidP="001C56F4">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All</w:t>
      </w:r>
      <w:r w:rsidRPr="001C56F4">
        <w:rPr>
          <w:rFonts w:ascii="Times New Roman" w:hAnsi="Times New Roman"/>
          <w:sz w:val="24"/>
          <w:szCs w:val="24"/>
        </w:rPr>
        <w:t>ocation for Bursaries: Employees increases from R214 thousand in 2017/18 to R454 thousand in 2018/19 (increase of 112.1%). The allocation has an average growth rate of 32.7% over the medium-term.</w:t>
      </w:r>
    </w:p>
    <w:p w14:paraId="18360BDE" w14:textId="77777777" w:rsidR="001C56F4" w:rsidRPr="001C56F4" w:rsidRDefault="001C56F4" w:rsidP="001C56F4">
      <w:pPr>
        <w:pStyle w:val="ListParagraph"/>
        <w:numPr>
          <w:ilvl w:val="0"/>
          <w:numId w:val="12"/>
        </w:numPr>
        <w:spacing w:line="360" w:lineRule="auto"/>
        <w:jc w:val="both"/>
        <w:rPr>
          <w:rFonts w:ascii="Times New Roman" w:hAnsi="Times New Roman"/>
          <w:sz w:val="24"/>
          <w:szCs w:val="24"/>
        </w:rPr>
      </w:pPr>
      <w:r w:rsidRPr="001C56F4">
        <w:rPr>
          <w:rFonts w:ascii="Times New Roman" w:hAnsi="Times New Roman"/>
          <w:sz w:val="24"/>
          <w:szCs w:val="24"/>
        </w:rPr>
        <w:t>Allocation for Catering: Departmental activities increases from R90 thousand in 2017/18 to R131 thousand in 2018/19, which is an increase of 45.5%. Over the medium-term, the average growth rate is 15.9%.</w:t>
      </w:r>
    </w:p>
    <w:p w14:paraId="6C720E80" w14:textId="77777777" w:rsidR="001C56F4" w:rsidRPr="001C56F4" w:rsidRDefault="001C56F4" w:rsidP="001C56F4">
      <w:pPr>
        <w:pStyle w:val="ListParagraph"/>
        <w:numPr>
          <w:ilvl w:val="0"/>
          <w:numId w:val="12"/>
        </w:numPr>
        <w:spacing w:line="360" w:lineRule="auto"/>
        <w:jc w:val="both"/>
        <w:rPr>
          <w:rFonts w:ascii="Times New Roman" w:hAnsi="Times New Roman"/>
          <w:sz w:val="24"/>
          <w:szCs w:val="24"/>
        </w:rPr>
      </w:pPr>
      <w:r w:rsidRPr="001C56F4">
        <w:rPr>
          <w:rFonts w:ascii="Times New Roman" w:hAnsi="Times New Roman"/>
          <w:sz w:val="24"/>
          <w:szCs w:val="24"/>
        </w:rPr>
        <w:t>Allocation for Agency and support/Outsourced service increases significantly from R27 thousand in 2017/18 to R100 thousand in 2018/19, which is an increase of 270.3%. Over the medium-term, the average growth rate of the allocation will be 60.2%.</w:t>
      </w:r>
    </w:p>
    <w:p w14:paraId="6EA32FF2" w14:textId="77777777" w:rsidR="001C56F4" w:rsidRPr="001C56F4" w:rsidRDefault="001C56F4" w:rsidP="001C56F4">
      <w:pPr>
        <w:pStyle w:val="ListParagraph"/>
        <w:numPr>
          <w:ilvl w:val="0"/>
          <w:numId w:val="12"/>
        </w:numPr>
        <w:spacing w:line="360" w:lineRule="auto"/>
        <w:jc w:val="both"/>
        <w:rPr>
          <w:rFonts w:ascii="Times New Roman" w:hAnsi="Times New Roman"/>
          <w:sz w:val="24"/>
          <w:szCs w:val="24"/>
        </w:rPr>
      </w:pPr>
      <w:r w:rsidRPr="001C56F4">
        <w:rPr>
          <w:rFonts w:ascii="Times New Roman" w:hAnsi="Times New Roman"/>
          <w:sz w:val="24"/>
          <w:szCs w:val="24"/>
        </w:rPr>
        <w:t>Allocation for Consumable supplies decreases from R509 thousand in 2017/18 to R264 thousand in 2018/19, which is a decrease of 48.1%. The allocation has an average growth rate of -17.1% over the medium term.</w:t>
      </w:r>
    </w:p>
    <w:p w14:paraId="0573430A" w14:textId="77777777" w:rsidR="001C56F4" w:rsidRPr="001C56F4" w:rsidRDefault="001C56F4" w:rsidP="001C56F4">
      <w:pPr>
        <w:pStyle w:val="ListParagraph"/>
        <w:numPr>
          <w:ilvl w:val="0"/>
          <w:numId w:val="12"/>
        </w:numPr>
        <w:spacing w:line="360" w:lineRule="auto"/>
        <w:jc w:val="both"/>
        <w:rPr>
          <w:rFonts w:ascii="Times New Roman" w:hAnsi="Times New Roman"/>
          <w:sz w:val="24"/>
          <w:szCs w:val="24"/>
        </w:rPr>
      </w:pPr>
      <w:r w:rsidRPr="001C56F4">
        <w:rPr>
          <w:rFonts w:ascii="Times New Roman" w:hAnsi="Times New Roman"/>
          <w:sz w:val="24"/>
          <w:szCs w:val="24"/>
        </w:rPr>
        <w:t>Allocation for Property payment increases from R10.9 million in 2017/18 to R17.59 million in 2018/19. This is an increase of 60.3%. On average, the allocation increases with 21% over the medium term.</w:t>
      </w:r>
    </w:p>
    <w:p w14:paraId="31DF8E4E" w14:textId="77777777" w:rsidR="001C56F4" w:rsidRDefault="001C56F4" w:rsidP="001C56F4">
      <w:pPr>
        <w:pStyle w:val="ListParagraph"/>
        <w:numPr>
          <w:ilvl w:val="0"/>
          <w:numId w:val="12"/>
        </w:numPr>
        <w:spacing w:line="360" w:lineRule="auto"/>
        <w:jc w:val="both"/>
        <w:rPr>
          <w:rFonts w:ascii="Times New Roman" w:hAnsi="Times New Roman"/>
          <w:sz w:val="24"/>
          <w:szCs w:val="24"/>
        </w:rPr>
      </w:pPr>
      <w:r w:rsidRPr="001C56F4">
        <w:rPr>
          <w:rFonts w:ascii="Times New Roman" w:hAnsi="Times New Roman"/>
          <w:sz w:val="24"/>
          <w:szCs w:val="24"/>
        </w:rPr>
        <w:t xml:space="preserve">Allocation for Training and </w:t>
      </w:r>
      <w:r w:rsidR="00DD7D0D">
        <w:rPr>
          <w:rFonts w:ascii="Times New Roman" w:hAnsi="Times New Roman"/>
          <w:sz w:val="24"/>
          <w:szCs w:val="24"/>
        </w:rPr>
        <w:t>D</w:t>
      </w:r>
      <w:r w:rsidRPr="001C56F4">
        <w:rPr>
          <w:rFonts w:ascii="Times New Roman" w:hAnsi="Times New Roman"/>
          <w:sz w:val="24"/>
          <w:szCs w:val="24"/>
        </w:rPr>
        <w:t>evelopment increases from R931 thousand in 2017/18 to R2 million in 2018/19, which is an increase of 115.68%. Over the medium term, the allocation has an average growth rate of 33.8%.</w:t>
      </w:r>
    </w:p>
    <w:p w14:paraId="68631E99" w14:textId="77777777" w:rsidR="00D77C6B" w:rsidRDefault="00D77C6B" w:rsidP="00D77C6B">
      <w:pPr>
        <w:pStyle w:val="ListParagraph"/>
        <w:spacing w:line="360" w:lineRule="auto"/>
        <w:ind w:left="0"/>
        <w:jc w:val="both"/>
        <w:rPr>
          <w:rFonts w:ascii="Times New Roman" w:hAnsi="Times New Roman"/>
          <w:b/>
          <w:sz w:val="24"/>
          <w:szCs w:val="24"/>
        </w:rPr>
      </w:pPr>
    </w:p>
    <w:p w14:paraId="3D99D2BC" w14:textId="77777777" w:rsidR="00D77C6B" w:rsidRPr="00D77C6B" w:rsidRDefault="003052D0" w:rsidP="00D77C6B">
      <w:pPr>
        <w:pStyle w:val="ListParagraph"/>
        <w:spacing w:line="360" w:lineRule="auto"/>
        <w:ind w:left="0"/>
        <w:jc w:val="both"/>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r>
      <w:r w:rsidR="00D77C6B" w:rsidRPr="00D77C6B">
        <w:rPr>
          <w:rFonts w:ascii="Times New Roman" w:hAnsi="Times New Roman"/>
          <w:b/>
          <w:sz w:val="24"/>
          <w:szCs w:val="24"/>
        </w:rPr>
        <w:t>Ring-fenced funds</w:t>
      </w:r>
    </w:p>
    <w:p w14:paraId="51365980" w14:textId="77777777" w:rsidR="00D77C6B" w:rsidRPr="00D77C6B" w:rsidRDefault="00DD7D0D" w:rsidP="00D77C6B">
      <w:pPr>
        <w:pStyle w:val="ListParagraph"/>
        <w:spacing w:line="360" w:lineRule="auto"/>
        <w:ind w:left="0"/>
        <w:jc w:val="both"/>
        <w:rPr>
          <w:rFonts w:ascii="Times New Roman" w:hAnsi="Times New Roman"/>
          <w:sz w:val="24"/>
          <w:szCs w:val="24"/>
        </w:rPr>
      </w:pPr>
      <w:r>
        <w:rPr>
          <w:rFonts w:ascii="Times New Roman" w:hAnsi="Times New Roman"/>
          <w:sz w:val="24"/>
          <w:szCs w:val="24"/>
        </w:rPr>
        <w:t>The following item</w:t>
      </w:r>
      <w:r w:rsidR="00D77C6B" w:rsidRPr="00D77C6B">
        <w:rPr>
          <w:rFonts w:ascii="Times New Roman" w:hAnsi="Times New Roman"/>
          <w:sz w:val="24"/>
          <w:szCs w:val="24"/>
        </w:rPr>
        <w:t xml:space="preserve"> received specific and exclusive appropriations (ring-fenced) in</w:t>
      </w:r>
      <w:r>
        <w:rPr>
          <w:rFonts w:ascii="Times New Roman" w:hAnsi="Times New Roman"/>
          <w:sz w:val="24"/>
          <w:szCs w:val="24"/>
        </w:rPr>
        <w:t xml:space="preserve"> the Appropriations Bill, 2018:</w:t>
      </w:r>
    </w:p>
    <w:p w14:paraId="2D147039" w14:textId="77777777" w:rsidR="00D77C6B" w:rsidRDefault="00D77C6B" w:rsidP="00D77C6B">
      <w:pPr>
        <w:pStyle w:val="ListParagraph"/>
        <w:numPr>
          <w:ilvl w:val="0"/>
          <w:numId w:val="13"/>
        </w:numPr>
        <w:spacing w:line="360" w:lineRule="auto"/>
        <w:jc w:val="both"/>
        <w:rPr>
          <w:rFonts w:ascii="Times New Roman" w:hAnsi="Times New Roman"/>
          <w:sz w:val="24"/>
          <w:szCs w:val="24"/>
        </w:rPr>
      </w:pPr>
      <w:r w:rsidRPr="00D77C6B">
        <w:rPr>
          <w:rFonts w:ascii="Times New Roman" w:hAnsi="Times New Roman"/>
          <w:sz w:val="24"/>
          <w:szCs w:val="24"/>
        </w:rPr>
        <w:t xml:space="preserve">Compensation of </w:t>
      </w:r>
      <w:r w:rsidR="00DD7D0D">
        <w:rPr>
          <w:rFonts w:ascii="Times New Roman" w:hAnsi="Times New Roman"/>
          <w:sz w:val="24"/>
          <w:szCs w:val="24"/>
        </w:rPr>
        <w:t>E</w:t>
      </w:r>
      <w:r w:rsidRPr="00D77C6B">
        <w:rPr>
          <w:rFonts w:ascii="Times New Roman" w:hAnsi="Times New Roman"/>
          <w:sz w:val="24"/>
          <w:szCs w:val="24"/>
        </w:rPr>
        <w:t>mployees: R212.2 million</w:t>
      </w:r>
    </w:p>
    <w:p w14:paraId="042203B1" w14:textId="77777777" w:rsidR="00D77C6B" w:rsidRPr="00D77C6B" w:rsidRDefault="003052D0" w:rsidP="00D77C6B">
      <w:pPr>
        <w:spacing w:line="360" w:lineRule="auto"/>
        <w:jc w:val="both"/>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r>
      <w:r w:rsidR="00D77C6B" w:rsidRPr="00D77C6B">
        <w:rPr>
          <w:rFonts w:ascii="Times New Roman" w:hAnsi="Times New Roman"/>
          <w:b/>
          <w:sz w:val="24"/>
          <w:szCs w:val="24"/>
        </w:rPr>
        <w:t>Minister of Finance’s Response to the 201</w:t>
      </w:r>
      <w:r w:rsidR="00D77C6B">
        <w:rPr>
          <w:rFonts w:ascii="Times New Roman" w:hAnsi="Times New Roman"/>
          <w:b/>
          <w:sz w:val="24"/>
          <w:szCs w:val="24"/>
        </w:rPr>
        <w:t>6</w:t>
      </w:r>
      <w:r w:rsidR="00D77C6B" w:rsidRPr="00D77C6B">
        <w:rPr>
          <w:rFonts w:ascii="Times New Roman" w:hAnsi="Times New Roman"/>
          <w:b/>
          <w:sz w:val="24"/>
          <w:szCs w:val="24"/>
        </w:rPr>
        <w:t>/1</w:t>
      </w:r>
      <w:r w:rsidR="00D77C6B">
        <w:rPr>
          <w:rFonts w:ascii="Times New Roman" w:hAnsi="Times New Roman"/>
          <w:b/>
          <w:sz w:val="24"/>
          <w:szCs w:val="24"/>
        </w:rPr>
        <w:t>7</w:t>
      </w:r>
      <w:r w:rsidR="00D77C6B" w:rsidRPr="00D77C6B">
        <w:rPr>
          <w:rFonts w:ascii="Times New Roman" w:hAnsi="Times New Roman"/>
          <w:b/>
          <w:sz w:val="24"/>
          <w:szCs w:val="24"/>
        </w:rPr>
        <w:t xml:space="preserve"> BRRR report:</w:t>
      </w:r>
    </w:p>
    <w:p w14:paraId="27F44DA2" w14:textId="77777777" w:rsidR="00D77C6B" w:rsidRPr="00D77C6B" w:rsidRDefault="00D77C6B" w:rsidP="00D77C6B">
      <w:pPr>
        <w:spacing w:line="360" w:lineRule="auto"/>
        <w:jc w:val="both"/>
        <w:rPr>
          <w:rFonts w:ascii="Times New Roman" w:hAnsi="Times New Roman"/>
          <w:sz w:val="24"/>
          <w:szCs w:val="24"/>
        </w:rPr>
      </w:pPr>
      <w:r w:rsidRPr="00D77C6B">
        <w:rPr>
          <w:rFonts w:ascii="Times New Roman" w:hAnsi="Times New Roman"/>
          <w:sz w:val="24"/>
          <w:szCs w:val="24"/>
        </w:rPr>
        <w:t>In response</w:t>
      </w:r>
      <w:r>
        <w:rPr>
          <w:rFonts w:ascii="Times New Roman" w:hAnsi="Times New Roman"/>
          <w:sz w:val="24"/>
          <w:szCs w:val="24"/>
        </w:rPr>
        <w:t xml:space="preserve"> to the Committee Recommendation that </w:t>
      </w:r>
      <w:r w:rsidRPr="00D77C6B">
        <w:rPr>
          <w:rFonts w:ascii="Times New Roman" w:hAnsi="Times New Roman"/>
          <w:sz w:val="24"/>
          <w:szCs w:val="24"/>
        </w:rPr>
        <w:t>that the Department enhance engagements with National Treasury, Executive Authority and JCPS Cluster (especially SAPS) to secure additional funding over the MTEF, the Minister of Finance stated the following:</w:t>
      </w:r>
    </w:p>
    <w:p w14:paraId="6252F965" w14:textId="77777777" w:rsidR="00D77C6B" w:rsidRPr="00D77C6B" w:rsidRDefault="00D77C6B" w:rsidP="00D77C6B">
      <w:pPr>
        <w:spacing w:line="360" w:lineRule="auto"/>
        <w:ind w:left="360"/>
        <w:jc w:val="both"/>
        <w:rPr>
          <w:rFonts w:ascii="Times New Roman" w:hAnsi="Times New Roman"/>
        </w:rPr>
      </w:pPr>
      <w:r w:rsidRPr="00D77C6B">
        <w:rPr>
          <w:rFonts w:ascii="Times New Roman" w:hAnsi="Times New Roman"/>
        </w:rPr>
        <w:t>Over the 2018 MTEF, IPID will be allocated an additional R50 million in 2018/19, R52.8 million in 2019/20 and R55.7 million in 2020/21 from funds reprioritised from the SAPS as part of the 2018 Budget. These funds will provide for, among other things, finalising the review of the IPID Act, 2011 in line with the 2016 Constitutional Court judgement, human resource capacity strengthening across all of the Directorate’s programmes to address compliance-related audit queries raised by the AG and enhancement of the Directorate’s security measures to ensure compliance with minimum information security standards. In addition, a portion of the reprioritised funds will be utilised to settle the Directorate’s accruals from previous years in relation to contractual obligations.</w:t>
      </w:r>
    </w:p>
    <w:p w14:paraId="243684B7" w14:textId="77777777" w:rsidR="00C368D3" w:rsidRDefault="00C368D3" w:rsidP="00C368D3">
      <w:pPr>
        <w:pStyle w:val="ListParagraph"/>
        <w:spacing w:line="360" w:lineRule="auto"/>
        <w:ind w:left="360"/>
        <w:jc w:val="both"/>
        <w:rPr>
          <w:rFonts w:ascii="Times New Roman" w:hAnsi="Times New Roman"/>
          <w:b/>
          <w:sz w:val="24"/>
          <w:szCs w:val="24"/>
        </w:rPr>
      </w:pPr>
    </w:p>
    <w:p w14:paraId="5A8E1EF8" w14:textId="77777777" w:rsidR="00AD51DD" w:rsidRPr="00BD21EE" w:rsidRDefault="00AD51DD" w:rsidP="003052D0">
      <w:pPr>
        <w:pStyle w:val="ListParagraph"/>
        <w:numPr>
          <w:ilvl w:val="0"/>
          <w:numId w:val="15"/>
        </w:numPr>
        <w:spacing w:line="360" w:lineRule="auto"/>
        <w:jc w:val="both"/>
        <w:rPr>
          <w:rFonts w:ascii="Times New Roman" w:hAnsi="Times New Roman"/>
          <w:b/>
          <w:sz w:val="24"/>
          <w:szCs w:val="24"/>
        </w:rPr>
      </w:pPr>
      <w:r w:rsidRPr="00BD21EE">
        <w:rPr>
          <w:rFonts w:ascii="Times New Roman" w:hAnsi="Times New Roman"/>
          <w:b/>
          <w:sz w:val="24"/>
          <w:szCs w:val="24"/>
        </w:rPr>
        <w:t>PROGRAMME PERFORMANCE INDICATORS AND BUDGET ALLOCATION</w:t>
      </w:r>
    </w:p>
    <w:p w14:paraId="1946FCAB" w14:textId="77777777" w:rsidR="00AD51DD" w:rsidRPr="00BD21EE" w:rsidRDefault="00AD51DD" w:rsidP="00AD51DD">
      <w:pPr>
        <w:spacing w:line="360" w:lineRule="auto"/>
        <w:jc w:val="both"/>
        <w:rPr>
          <w:rFonts w:ascii="Times New Roman" w:hAnsi="Times New Roman"/>
          <w:b/>
          <w:sz w:val="24"/>
          <w:szCs w:val="24"/>
        </w:rPr>
      </w:pPr>
      <w:r w:rsidRPr="00BD21EE">
        <w:rPr>
          <w:rFonts w:ascii="Times New Roman" w:hAnsi="Times New Roman"/>
          <w:b/>
          <w:sz w:val="24"/>
          <w:szCs w:val="24"/>
        </w:rPr>
        <w:t>4.1. Programme 1: Administration</w:t>
      </w:r>
    </w:p>
    <w:p w14:paraId="5357E72A" w14:textId="77777777" w:rsidR="00CD1588" w:rsidRDefault="00CD1588" w:rsidP="00C368D3">
      <w:pPr>
        <w:spacing w:line="360" w:lineRule="auto"/>
        <w:jc w:val="both"/>
        <w:rPr>
          <w:rFonts w:ascii="Times New Roman" w:hAnsi="Times New Roman"/>
          <w:sz w:val="24"/>
          <w:szCs w:val="24"/>
        </w:rPr>
      </w:pPr>
      <w:r>
        <w:rPr>
          <w:rFonts w:ascii="Times New Roman" w:hAnsi="Times New Roman"/>
          <w:sz w:val="24"/>
          <w:szCs w:val="24"/>
        </w:rPr>
        <w:t xml:space="preserve">Table 3: Administration Programme                                                                                        </w:t>
      </w:r>
    </w:p>
    <w:p w14:paraId="6E4C1531" w14:textId="77777777" w:rsidR="00513E3E" w:rsidRDefault="00AD51DD" w:rsidP="00AD51DD">
      <w:pPr>
        <w:spacing w:line="360" w:lineRule="auto"/>
        <w:jc w:val="both"/>
        <w:rPr>
          <w:rFonts w:ascii="Times New Roman" w:hAnsi="Times New Roman"/>
          <w:sz w:val="24"/>
          <w:szCs w:val="24"/>
        </w:rPr>
      </w:pPr>
      <w:r w:rsidRPr="00BD21EE">
        <w:rPr>
          <w:rFonts w:ascii="Times New Roman" w:hAnsi="Times New Roman"/>
          <w:sz w:val="24"/>
          <w:szCs w:val="24"/>
        </w:rPr>
        <w:t>The purpose of the Administration Programme is to provide for the overall management of the</w:t>
      </w:r>
      <w:r w:rsidR="00CD1588" w:rsidRPr="00CD1588">
        <w:t xml:space="preserve"> </w:t>
      </w:r>
      <w:r w:rsidR="00CD1588" w:rsidRPr="00CD1588">
        <w:rPr>
          <w:rFonts w:ascii="Times New Roman" w:hAnsi="Times New Roman"/>
          <w:sz w:val="24"/>
          <w:szCs w:val="24"/>
        </w:rPr>
        <w:t>Independent Police Investigative Directorate and support services, including strategic support to the Department.</w:t>
      </w:r>
      <w:r w:rsidR="00CD1588">
        <w:rPr>
          <w:rFonts w:ascii="Times New Roman" w:hAnsi="Times New Roman"/>
          <w:sz w:val="24"/>
          <w:szCs w:val="24"/>
        </w:rPr>
        <w:t xml:space="preserve"> Compensation of Employees remain the largest line item being allocated R64 246 million with Goods and Services accounting for R39 633 million</w:t>
      </w:r>
      <w:r w:rsidR="00C368D3">
        <w:rPr>
          <w:rFonts w:ascii="Times New Roman" w:hAnsi="Times New Roman"/>
          <w:sz w:val="24"/>
          <w:szCs w:val="24"/>
        </w:rPr>
        <w:t xml:space="preserve"> in the 2018/19 financial year. </w:t>
      </w:r>
    </w:p>
    <w:p w14:paraId="77D5D7F5" w14:textId="77777777" w:rsidR="00C368D3" w:rsidRDefault="00C368D3" w:rsidP="00AD51DD">
      <w:pPr>
        <w:spacing w:line="360" w:lineRule="auto"/>
        <w:jc w:val="both"/>
        <w:rPr>
          <w:rFonts w:ascii="Times New Roman" w:hAnsi="Times New Roman"/>
          <w:sz w:val="24"/>
          <w:szCs w:val="24"/>
        </w:rPr>
      </w:pPr>
    </w:p>
    <w:tbl>
      <w:tblPr>
        <w:tblpPr w:leftFromText="180" w:rightFromText="180" w:horzAnchor="margin" w:tblpXSpec="center" w:tblpY="637"/>
        <w:tblW w:w="8354" w:type="dxa"/>
        <w:tblCellMar>
          <w:left w:w="0" w:type="dxa"/>
          <w:right w:w="0" w:type="dxa"/>
        </w:tblCellMar>
        <w:tblLook w:val="0420" w:firstRow="1" w:lastRow="0" w:firstColumn="0" w:lastColumn="0" w:noHBand="0" w:noVBand="1"/>
      </w:tblPr>
      <w:tblGrid>
        <w:gridCol w:w="2293"/>
        <w:gridCol w:w="1443"/>
        <w:gridCol w:w="1641"/>
        <w:gridCol w:w="1417"/>
        <w:gridCol w:w="1560"/>
      </w:tblGrid>
      <w:tr w:rsidR="00C368D3" w:rsidRPr="00CD1588" w14:paraId="5063C99D" w14:textId="77777777" w:rsidTr="00C368D3">
        <w:trPr>
          <w:trHeight w:val="622"/>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CAC637" w14:textId="77777777" w:rsidR="00C368D3" w:rsidRPr="00CD1588" w:rsidRDefault="00C368D3" w:rsidP="00AE0B6F">
            <w:pPr>
              <w:spacing w:after="0" w:line="240" w:lineRule="auto"/>
              <w:jc w:val="center"/>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 xml:space="preserve">ADMINISTRATION </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2321B2" w14:textId="77777777" w:rsidR="00C368D3" w:rsidRPr="00CD1588" w:rsidRDefault="00C368D3" w:rsidP="00AE0B6F">
            <w:pPr>
              <w:spacing w:after="0" w:line="240" w:lineRule="auto"/>
              <w:jc w:val="center"/>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2017/2018</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D06ADA" w14:textId="77777777" w:rsidR="00C368D3" w:rsidRPr="00CD1588" w:rsidRDefault="00C368D3" w:rsidP="00AE0B6F">
            <w:pPr>
              <w:spacing w:after="0" w:line="240" w:lineRule="auto"/>
              <w:jc w:val="center"/>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2018/2019</w:t>
            </w:r>
          </w:p>
          <w:p w14:paraId="4FA00815" w14:textId="77777777" w:rsidR="00C368D3" w:rsidRPr="00CD1588" w:rsidRDefault="00C368D3" w:rsidP="00AE0B6F">
            <w:pPr>
              <w:spacing w:after="0" w:line="240" w:lineRule="auto"/>
              <w:jc w:val="center"/>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Current F/Y</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62F421" w14:textId="77777777" w:rsidR="00C368D3" w:rsidRPr="00CD1588" w:rsidRDefault="00C368D3" w:rsidP="00AE0B6F">
            <w:pPr>
              <w:spacing w:after="0" w:line="240" w:lineRule="auto"/>
              <w:jc w:val="center"/>
              <w:rPr>
                <w:rFonts w:ascii="Times New Roman" w:eastAsia="Times New Roman" w:hAnsi="Times New Roman"/>
                <w:lang w:eastAsia="en-ZA"/>
              </w:rPr>
            </w:pPr>
            <w:r w:rsidRPr="00CD1588">
              <w:rPr>
                <w:rFonts w:ascii="Times New Roman" w:eastAsia="Times New Roman" w:hAnsi="Times New Roman"/>
                <w:b/>
                <w:bCs/>
                <w:color w:val="000000" w:themeColor="text1"/>
                <w:lang w:val="en-GB" w:eastAsia="en-ZA"/>
              </w:rPr>
              <w:t>2019/2020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3C8268" w14:textId="77777777" w:rsidR="00C368D3" w:rsidRPr="00CD1588" w:rsidRDefault="00C368D3" w:rsidP="00AE0B6F">
            <w:pPr>
              <w:spacing w:after="0" w:line="240" w:lineRule="auto"/>
              <w:jc w:val="center"/>
              <w:rPr>
                <w:rFonts w:ascii="Times New Roman" w:eastAsia="Times New Roman" w:hAnsi="Times New Roman"/>
                <w:lang w:eastAsia="en-ZA"/>
              </w:rPr>
            </w:pPr>
            <w:r w:rsidRPr="00CD1588">
              <w:rPr>
                <w:rFonts w:ascii="Times New Roman" w:eastAsia="Times New Roman" w:hAnsi="Times New Roman"/>
                <w:b/>
                <w:bCs/>
                <w:color w:val="000000" w:themeColor="text1"/>
                <w:lang w:val="en-GB" w:eastAsia="en-ZA"/>
              </w:rPr>
              <w:t>2020/2021</w:t>
            </w:r>
          </w:p>
        </w:tc>
      </w:tr>
      <w:tr w:rsidR="00C368D3" w:rsidRPr="00CD1588" w14:paraId="2F63D08A" w14:textId="77777777" w:rsidTr="00AE0B6F">
        <w:trPr>
          <w:trHeight w:val="256"/>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3A735D" w14:textId="77777777" w:rsidR="00C368D3" w:rsidRPr="00CD1588" w:rsidRDefault="00C368D3" w:rsidP="00AE0B6F">
            <w:pPr>
              <w:spacing w:after="0" w:line="240" w:lineRule="auto"/>
              <w:rPr>
                <w:rFonts w:ascii="Times New Roman" w:eastAsia="Times New Roman" w:hAnsi="Times New Roman"/>
                <w:lang w:eastAsia="en-ZA"/>
              </w:rPr>
            </w:pP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687CC5"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R’000</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875E11"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R’000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309D79"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R’000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1608FD"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b/>
                <w:bCs/>
                <w:color w:val="000000" w:themeColor="text1"/>
                <w:lang w:val="en-GB" w:eastAsia="en-ZA"/>
              </w:rPr>
              <w:t>R’000</w:t>
            </w:r>
          </w:p>
        </w:tc>
      </w:tr>
      <w:tr w:rsidR="00C368D3" w:rsidRPr="00CD1588" w14:paraId="2473DFB9" w14:textId="77777777" w:rsidTr="00AE0B6F">
        <w:trPr>
          <w:trHeight w:val="403"/>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441713" w14:textId="77777777" w:rsidR="00C368D3" w:rsidRPr="00CD1588" w:rsidRDefault="00C368D3" w:rsidP="00AE0B6F">
            <w:pPr>
              <w:spacing w:after="0" w:line="240" w:lineRule="auto"/>
              <w:rPr>
                <w:rFonts w:ascii="Times New Roman" w:eastAsia="Times New Roman" w:hAnsi="Times New Roman"/>
                <w:lang w:eastAsia="en-ZA"/>
              </w:rPr>
            </w:pPr>
            <w:r w:rsidRPr="00CD1588">
              <w:rPr>
                <w:rFonts w:ascii="Times New Roman" w:eastAsia="Times New Roman" w:hAnsi="Times New Roman"/>
                <w:color w:val="000000" w:themeColor="dark1"/>
                <w:lang w:eastAsia="en-ZA"/>
              </w:rPr>
              <w:t>Compensation of Employees</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35FEAF"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eastAsia="en-ZA"/>
              </w:rPr>
              <w:t>54 114</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783DB0"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val="en-GB" w:eastAsia="en-ZA"/>
              </w:rPr>
              <w:t>64 246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E37907"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val="en-GB" w:eastAsia="en-ZA"/>
              </w:rPr>
              <w:t>69 208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A6F78E"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val="en-GB" w:eastAsia="en-ZA"/>
              </w:rPr>
              <w:t>74 555</w:t>
            </w:r>
          </w:p>
        </w:tc>
      </w:tr>
      <w:tr w:rsidR="00C368D3" w:rsidRPr="00CD1588" w14:paraId="6671058E" w14:textId="77777777" w:rsidTr="00AE0B6F">
        <w:trPr>
          <w:trHeight w:val="246"/>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5A8D95" w14:textId="77777777" w:rsidR="00C368D3" w:rsidRPr="00CD1588" w:rsidRDefault="00C368D3" w:rsidP="00AE0B6F">
            <w:pPr>
              <w:spacing w:after="0" w:line="240" w:lineRule="auto"/>
              <w:rPr>
                <w:rFonts w:ascii="Times New Roman" w:eastAsia="Times New Roman" w:hAnsi="Times New Roman"/>
                <w:lang w:eastAsia="en-ZA"/>
              </w:rPr>
            </w:pPr>
            <w:r w:rsidRPr="00CD1588">
              <w:rPr>
                <w:rFonts w:ascii="Times New Roman" w:eastAsia="Times New Roman" w:hAnsi="Times New Roman"/>
                <w:color w:val="000000" w:themeColor="dark1"/>
                <w:lang w:eastAsia="en-ZA"/>
              </w:rPr>
              <w:t>Goods &amp; Services</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F64AA6"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eastAsia="en-ZA"/>
              </w:rPr>
              <w:t>32 199</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9A7AA6"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val="en-GB" w:eastAsia="en-ZA"/>
              </w:rPr>
              <w:t>39 633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6022ED"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val="en-GB" w:eastAsia="en-ZA"/>
              </w:rPr>
              <w:t>41 755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2891E0"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val="en-GB" w:eastAsia="en-ZA"/>
              </w:rPr>
              <w:t>43 864</w:t>
            </w:r>
          </w:p>
        </w:tc>
      </w:tr>
      <w:tr w:rsidR="00C368D3" w:rsidRPr="00CD1588" w14:paraId="41EF2F28" w14:textId="77777777" w:rsidTr="00AE0B6F">
        <w:trPr>
          <w:trHeight w:val="253"/>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EF07DB" w14:textId="77777777" w:rsidR="00C368D3" w:rsidRPr="00CD1588" w:rsidRDefault="00C368D3" w:rsidP="00AE0B6F">
            <w:pPr>
              <w:spacing w:after="0" w:line="240" w:lineRule="auto"/>
              <w:rPr>
                <w:rFonts w:ascii="Times New Roman" w:eastAsia="Times New Roman" w:hAnsi="Times New Roman"/>
                <w:lang w:eastAsia="en-ZA"/>
              </w:rPr>
            </w:pPr>
            <w:r w:rsidRPr="00CD1588">
              <w:rPr>
                <w:rFonts w:ascii="Times New Roman" w:eastAsia="Times New Roman" w:hAnsi="Times New Roman"/>
                <w:color w:val="000000" w:themeColor="dark1"/>
                <w:lang w:eastAsia="en-ZA"/>
              </w:rPr>
              <w:t>Transfers</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0D2C49"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val="en-GB" w:eastAsia="en-ZA"/>
              </w:rPr>
              <w:t>604</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68AA30"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val="en-GB" w:eastAsia="en-ZA"/>
              </w:rPr>
              <w:t>639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55B9B9"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val="en-GB" w:eastAsia="en-ZA"/>
              </w:rPr>
              <w:t>688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C2B038"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val="en-GB" w:eastAsia="en-ZA"/>
              </w:rPr>
              <w:t>742</w:t>
            </w:r>
          </w:p>
        </w:tc>
      </w:tr>
      <w:tr w:rsidR="00C368D3" w:rsidRPr="00CD1588" w14:paraId="242D7CD8" w14:textId="77777777" w:rsidTr="00AE0B6F">
        <w:trPr>
          <w:trHeight w:val="273"/>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F0F111" w14:textId="77777777" w:rsidR="00C368D3" w:rsidRPr="00CD1588" w:rsidRDefault="00C368D3" w:rsidP="00AE0B6F">
            <w:pPr>
              <w:spacing w:after="0" w:line="240" w:lineRule="auto"/>
              <w:rPr>
                <w:rFonts w:ascii="Times New Roman" w:eastAsia="Times New Roman" w:hAnsi="Times New Roman"/>
                <w:lang w:eastAsia="en-ZA"/>
              </w:rPr>
            </w:pPr>
            <w:r w:rsidRPr="00CD1588">
              <w:rPr>
                <w:rFonts w:ascii="Times New Roman" w:eastAsia="Times New Roman" w:hAnsi="Times New Roman"/>
                <w:color w:val="000000" w:themeColor="dark1"/>
                <w:lang w:eastAsia="en-ZA"/>
              </w:rPr>
              <w:t>Capital Assets</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5CE35B"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eastAsia="en-ZA"/>
              </w:rPr>
              <w:t>194</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8AED27"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eastAsia="en-ZA"/>
              </w:rPr>
              <w:t>4 485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B8DBDE"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eastAsia="en-ZA"/>
              </w:rPr>
              <w:t>4 672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D7A04E"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color w:val="000000" w:themeColor="dark1"/>
                <w:lang w:eastAsia="en-ZA"/>
              </w:rPr>
              <w:t>4 894</w:t>
            </w:r>
          </w:p>
        </w:tc>
      </w:tr>
      <w:tr w:rsidR="00C368D3" w:rsidRPr="00CD1588" w14:paraId="68B38446" w14:textId="77777777" w:rsidTr="00AE0B6F">
        <w:trPr>
          <w:trHeight w:val="17"/>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1B4044" w14:textId="77777777" w:rsidR="00C368D3" w:rsidRPr="00CD1588" w:rsidRDefault="00C368D3" w:rsidP="00AE0B6F">
            <w:pPr>
              <w:spacing w:after="0" w:line="240" w:lineRule="auto"/>
              <w:rPr>
                <w:rFonts w:ascii="Times New Roman" w:eastAsia="Times New Roman" w:hAnsi="Times New Roman"/>
                <w:lang w:eastAsia="en-ZA"/>
              </w:rPr>
            </w:pPr>
            <w:r w:rsidRPr="00CD1588">
              <w:rPr>
                <w:rFonts w:ascii="Times New Roman" w:eastAsia="Times New Roman" w:hAnsi="Times New Roman"/>
                <w:b/>
                <w:bCs/>
                <w:color w:val="000000" w:themeColor="dark1"/>
                <w:lang w:eastAsia="en-ZA"/>
              </w:rPr>
              <w:t>Total</w:t>
            </w:r>
          </w:p>
        </w:tc>
        <w:tc>
          <w:tcPr>
            <w:tcW w:w="1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7D235B"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b/>
                <w:bCs/>
                <w:color w:val="000000" w:themeColor="dark1"/>
                <w:lang w:eastAsia="en-ZA"/>
              </w:rPr>
              <w:t>87 111</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C22BCE"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b/>
                <w:bCs/>
                <w:color w:val="000000" w:themeColor="dark1"/>
                <w:lang w:val="en-GB" w:eastAsia="en-ZA"/>
              </w:rPr>
              <w:t>109 003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176C94"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b/>
                <w:bCs/>
                <w:color w:val="000000" w:themeColor="dark1"/>
                <w:lang w:eastAsia="en-ZA"/>
              </w:rPr>
              <w:t>116 323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AD5570" w14:textId="77777777" w:rsidR="00C368D3" w:rsidRPr="00CD1588" w:rsidRDefault="00C368D3" w:rsidP="00AE0B6F">
            <w:pPr>
              <w:spacing w:after="0" w:line="240" w:lineRule="auto"/>
              <w:jc w:val="right"/>
              <w:rPr>
                <w:rFonts w:ascii="Times New Roman" w:eastAsia="Times New Roman" w:hAnsi="Times New Roman"/>
                <w:lang w:eastAsia="en-ZA"/>
              </w:rPr>
            </w:pPr>
            <w:r w:rsidRPr="00CD1588">
              <w:rPr>
                <w:rFonts w:ascii="Times New Roman" w:eastAsia="Times New Roman" w:hAnsi="Times New Roman"/>
                <w:b/>
                <w:bCs/>
                <w:color w:val="000000" w:themeColor="dark1"/>
                <w:lang w:eastAsia="en-ZA"/>
              </w:rPr>
              <w:t>124 055</w:t>
            </w:r>
          </w:p>
        </w:tc>
      </w:tr>
    </w:tbl>
    <w:p w14:paraId="49E6626C" w14:textId="77777777" w:rsidR="00C368D3" w:rsidRPr="003052D0" w:rsidRDefault="00246A58" w:rsidP="00AD51DD">
      <w:pPr>
        <w:spacing w:line="360" w:lineRule="auto"/>
        <w:jc w:val="both"/>
        <w:rPr>
          <w:rFonts w:ascii="Times New Roman" w:hAnsi="Times New Roman"/>
          <w:b/>
          <w:sz w:val="24"/>
          <w:szCs w:val="24"/>
        </w:rPr>
      </w:pPr>
      <w:r w:rsidRPr="003052D0">
        <w:rPr>
          <w:rFonts w:ascii="Times New Roman" w:hAnsi="Times New Roman"/>
          <w:b/>
          <w:sz w:val="24"/>
          <w:szCs w:val="24"/>
        </w:rPr>
        <w:t>Table 3: Administration Budget</w:t>
      </w:r>
      <w:r w:rsidR="00513E3E">
        <w:rPr>
          <w:rFonts w:ascii="Times New Roman" w:hAnsi="Times New Roman"/>
          <w:b/>
          <w:sz w:val="24"/>
          <w:szCs w:val="24"/>
        </w:rPr>
        <w:t xml:space="preserve"> </w:t>
      </w:r>
      <w:r w:rsidR="00513E3E">
        <w:rPr>
          <w:rFonts w:ascii="Times New Roman" w:hAnsi="Times New Roman"/>
          <w:b/>
          <w:sz w:val="24"/>
          <w:szCs w:val="24"/>
        </w:rPr>
        <w:tab/>
      </w:r>
      <w:r w:rsidR="00513E3E">
        <w:rPr>
          <w:rFonts w:ascii="Times New Roman" w:hAnsi="Times New Roman"/>
          <w:b/>
          <w:sz w:val="24"/>
          <w:szCs w:val="24"/>
        </w:rPr>
        <w:tab/>
      </w:r>
      <w:r w:rsidR="00513E3E">
        <w:rPr>
          <w:rFonts w:ascii="Times New Roman" w:hAnsi="Times New Roman"/>
          <w:b/>
          <w:sz w:val="24"/>
          <w:szCs w:val="24"/>
        </w:rPr>
        <w:tab/>
      </w:r>
      <w:r w:rsidR="00513E3E">
        <w:rPr>
          <w:rFonts w:ascii="Times New Roman" w:hAnsi="Times New Roman"/>
          <w:b/>
          <w:sz w:val="24"/>
          <w:szCs w:val="24"/>
        </w:rPr>
        <w:tab/>
      </w:r>
      <w:r w:rsidR="00513E3E">
        <w:rPr>
          <w:rFonts w:ascii="Times New Roman" w:eastAsiaTheme="minorHAnsi" w:hAnsi="Times New Roman"/>
          <w:color w:val="000000"/>
          <w:sz w:val="24"/>
          <w:szCs w:val="24"/>
        </w:rPr>
        <w:t>Source: IPID 2018 APP</w:t>
      </w:r>
    </w:p>
    <w:p w14:paraId="265A9FC7" w14:textId="77777777" w:rsidR="00246A58" w:rsidRDefault="00246A58" w:rsidP="00246A58">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p>
    <w:p w14:paraId="7DB06743" w14:textId="77777777" w:rsidR="00246A58" w:rsidRDefault="00246A58" w:rsidP="00C368D3">
      <w:pPr>
        <w:autoSpaceDE w:val="0"/>
        <w:autoSpaceDN w:val="0"/>
        <w:adjustRightInd w:val="0"/>
        <w:spacing w:after="0" w:line="240" w:lineRule="auto"/>
        <w:rPr>
          <w:rFonts w:ascii="Times New Roman" w:eastAsiaTheme="minorHAnsi" w:hAnsi="Times New Roman"/>
          <w:color w:val="000000"/>
          <w:sz w:val="24"/>
          <w:szCs w:val="24"/>
        </w:rPr>
      </w:pPr>
    </w:p>
    <w:p w14:paraId="73766A9A" w14:textId="77777777" w:rsidR="00246A58" w:rsidRDefault="00246A58" w:rsidP="00C01EFB">
      <w:pPr>
        <w:autoSpaceDE w:val="0"/>
        <w:autoSpaceDN w:val="0"/>
        <w:adjustRightInd w:val="0"/>
        <w:spacing w:after="0" w:line="360" w:lineRule="auto"/>
        <w:rPr>
          <w:rFonts w:ascii="Times New Roman" w:eastAsiaTheme="minorHAnsi" w:hAnsi="Times New Roman"/>
          <w:color w:val="000000"/>
          <w:sz w:val="24"/>
          <w:szCs w:val="24"/>
        </w:rPr>
      </w:pPr>
      <w:r w:rsidRPr="00246A58">
        <w:rPr>
          <w:rFonts w:ascii="Times New Roman" w:eastAsiaTheme="minorHAnsi" w:hAnsi="Times New Roman"/>
          <w:color w:val="000000"/>
          <w:sz w:val="24"/>
          <w:szCs w:val="24"/>
        </w:rPr>
        <w:t>The budget allocation of the Administration Programme is increased from R77.1 million in 2016/17 to R87.1 million in 2017/18, which is a nominal increase of 12.97%. The budget allocation is further expected to increase by 8.5% over the medium-term period.</w:t>
      </w:r>
    </w:p>
    <w:p w14:paraId="20E47A20" w14:textId="77777777" w:rsidR="00246A58" w:rsidRDefault="00246A58" w:rsidP="00C01EFB">
      <w:pPr>
        <w:autoSpaceDE w:val="0"/>
        <w:autoSpaceDN w:val="0"/>
        <w:adjustRightInd w:val="0"/>
        <w:spacing w:after="0" w:line="360" w:lineRule="auto"/>
        <w:rPr>
          <w:rFonts w:ascii="Times New Roman" w:eastAsiaTheme="minorHAnsi" w:hAnsi="Times New Roman"/>
          <w:color w:val="000000"/>
          <w:sz w:val="24"/>
          <w:szCs w:val="24"/>
        </w:rPr>
      </w:pPr>
    </w:p>
    <w:p w14:paraId="782DF1EB" w14:textId="77777777" w:rsidR="00C368D3" w:rsidRPr="0030167E" w:rsidRDefault="00C368D3" w:rsidP="00C01EFB">
      <w:pPr>
        <w:autoSpaceDE w:val="0"/>
        <w:autoSpaceDN w:val="0"/>
        <w:adjustRightInd w:val="0"/>
        <w:spacing w:after="0" w:line="360" w:lineRule="auto"/>
        <w:rPr>
          <w:rFonts w:ascii="Times New Roman" w:eastAsiaTheme="minorHAnsi" w:hAnsi="Times New Roman"/>
          <w:color w:val="000000"/>
          <w:sz w:val="24"/>
          <w:szCs w:val="24"/>
        </w:rPr>
      </w:pPr>
      <w:r w:rsidRPr="00C368D3">
        <w:rPr>
          <w:rFonts w:ascii="Times New Roman" w:eastAsiaTheme="minorHAnsi" w:hAnsi="Times New Roman"/>
          <w:color w:val="000000"/>
          <w:sz w:val="24"/>
          <w:szCs w:val="24"/>
        </w:rPr>
        <w:t xml:space="preserve">The table </w:t>
      </w:r>
      <w:r w:rsidR="00246A58">
        <w:rPr>
          <w:rFonts w:ascii="Times New Roman" w:eastAsiaTheme="minorHAnsi" w:hAnsi="Times New Roman"/>
          <w:color w:val="000000"/>
          <w:sz w:val="24"/>
          <w:szCs w:val="24"/>
        </w:rPr>
        <w:t xml:space="preserve">3 below </w:t>
      </w:r>
      <w:r w:rsidRPr="00C368D3">
        <w:rPr>
          <w:rFonts w:ascii="Times New Roman" w:eastAsiaTheme="minorHAnsi" w:hAnsi="Times New Roman"/>
          <w:color w:val="000000"/>
          <w:sz w:val="24"/>
          <w:szCs w:val="24"/>
        </w:rPr>
        <w:t xml:space="preserve">provides a summary of the programme performance indicators and targets of the </w:t>
      </w:r>
      <w:r w:rsidRPr="00C368D3">
        <w:rPr>
          <w:rFonts w:ascii="Times New Roman" w:eastAsiaTheme="minorHAnsi" w:hAnsi="Times New Roman"/>
          <w:i/>
          <w:iCs/>
          <w:color w:val="000000"/>
          <w:sz w:val="24"/>
          <w:szCs w:val="24"/>
        </w:rPr>
        <w:t xml:space="preserve">Administration </w:t>
      </w:r>
      <w:r w:rsidRPr="00C368D3">
        <w:rPr>
          <w:rFonts w:ascii="Times New Roman" w:eastAsiaTheme="minorHAnsi" w:hAnsi="Times New Roman"/>
          <w:color w:val="000000"/>
          <w:sz w:val="24"/>
          <w:szCs w:val="24"/>
        </w:rPr>
        <w:t xml:space="preserve">Programme for the 2018/19 financial year: </w:t>
      </w:r>
    </w:p>
    <w:p w14:paraId="15A6AB7A" w14:textId="77777777" w:rsidR="0030167E" w:rsidRPr="0030167E" w:rsidRDefault="0030167E" w:rsidP="00C01EFB">
      <w:pPr>
        <w:autoSpaceDE w:val="0"/>
        <w:autoSpaceDN w:val="0"/>
        <w:adjustRightInd w:val="0"/>
        <w:spacing w:after="0" w:line="360" w:lineRule="auto"/>
        <w:rPr>
          <w:rFonts w:ascii="Times New Roman" w:eastAsiaTheme="minorHAnsi" w:hAnsi="Times New Roman"/>
          <w:b/>
          <w:color w:val="000000"/>
          <w:sz w:val="24"/>
          <w:szCs w:val="24"/>
        </w:rPr>
      </w:pPr>
    </w:p>
    <w:p w14:paraId="360D1866" w14:textId="77777777" w:rsidR="0030167E" w:rsidRPr="0030167E" w:rsidRDefault="0030167E" w:rsidP="0030167E">
      <w:pPr>
        <w:autoSpaceDE w:val="0"/>
        <w:autoSpaceDN w:val="0"/>
        <w:adjustRightInd w:val="0"/>
        <w:spacing w:after="0" w:line="240" w:lineRule="auto"/>
        <w:rPr>
          <w:rFonts w:ascii="Times New Roman" w:eastAsiaTheme="minorHAnsi" w:hAnsi="Times New Roman"/>
          <w:b/>
          <w:color w:val="000000"/>
        </w:rPr>
      </w:pPr>
      <w:r w:rsidRPr="0030167E">
        <w:rPr>
          <w:rFonts w:ascii="Times New Roman" w:eastAsiaTheme="minorHAnsi" w:hAnsi="Times New Roman"/>
          <w:b/>
          <w:color w:val="000000"/>
        </w:rPr>
        <w:t xml:space="preserve">Table </w:t>
      </w:r>
      <w:r w:rsidR="00C01EFB">
        <w:rPr>
          <w:rFonts w:ascii="Times New Roman" w:eastAsiaTheme="minorHAnsi" w:hAnsi="Times New Roman"/>
          <w:b/>
          <w:color w:val="000000"/>
        </w:rPr>
        <w:t>4</w:t>
      </w:r>
      <w:r w:rsidRPr="0030167E">
        <w:rPr>
          <w:rFonts w:ascii="Times New Roman" w:eastAsiaTheme="minorHAnsi" w:hAnsi="Times New Roman"/>
          <w:b/>
          <w:color w:val="000000"/>
        </w:rPr>
        <w:t>: Programme Performance Indicators and Targets: Administration Programme 2018/19</w:t>
      </w:r>
    </w:p>
    <w:p w14:paraId="2F6DD9EC" w14:textId="77777777" w:rsidR="0030167E" w:rsidRPr="00C368D3" w:rsidRDefault="0030167E" w:rsidP="00C368D3">
      <w:pPr>
        <w:autoSpaceDE w:val="0"/>
        <w:autoSpaceDN w:val="0"/>
        <w:adjustRightInd w:val="0"/>
        <w:spacing w:after="0" w:line="240" w:lineRule="auto"/>
        <w:rPr>
          <w:rFonts w:ascii="Times New Roman" w:eastAsiaTheme="minorHAnsi" w:hAnsi="Times New Roman"/>
          <w:b/>
          <w:color w:val="000000"/>
        </w:rPr>
      </w:pP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8"/>
        <w:gridCol w:w="4568"/>
      </w:tblGrid>
      <w:tr w:rsidR="00C368D3" w:rsidRPr="00C368D3" w14:paraId="12345771" w14:textId="77777777" w:rsidTr="0030167E">
        <w:trPr>
          <w:trHeight w:val="93"/>
        </w:trPr>
        <w:tc>
          <w:tcPr>
            <w:tcW w:w="4568" w:type="dxa"/>
          </w:tcPr>
          <w:p w14:paraId="244DF68C" w14:textId="77777777" w:rsidR="00C368D3" w:rsidRPr="00C368D3" w:rsidRDefault="00C368D3" w:rsidP="00C368D3">
            <w:pPr>
              <w:autoSpaceDE w:val="0"/>
              <w:autoSpaceDN w:val="0"/>
              <w:adjustRightInd w:val="0"/>
              <w:spacing w:after="0" w:line="240" w:lineRule="auto"/>
              <w:rPr>
                <w:rFonts w:ascii="Times New Roman" w:eastAsiaTheme="minorHAnsi" w:hAnsi="Times New Roman"/>
                <w:color w:val="000000"/>
                <w:sz w:val="20"/>
                <w:szCs w:val="20"/>
              </w:rPr>
            </w:pPr>
            <w:r w:rsidRPr="00C368D3">
              <w:rPr>
                <w:rFonts w:ascii="Times New Roman" w:eastAsiaTheme="minorHAnsi" w:hAnsi="Times New Roman"/>
                <w:b/>
                <w:bCs/>
                <w:color w:val="000000"/>
                <w:sz w:val="20"/>
                <w:szCs w:val="20"/>
              </w:rPr>
              <w:t xml:space="preserve">Strategic objectives and Annual Targets </w:t>
            </w:r>
          </w:p>
        </w:tc>
        <w:tc>
          <w:tcPr>
            <w:tcW w:w="4568" w:type="dxa"/>
          </w:tcPr>
          <w:p w14:paraId="5DF81B18" w14:textId="77777777" w:rsidR="0030167E" w:rsidRPr="00C368D3" w:rsidRDefault="0030167E" w:rsidP="0030167E">
            <w:pPr>
              <w:autoSpaceDE w:val="0"/>
              <w:autoSpaceDN w:val="0"/>
              <w:adjustRightInd w:val="0"/>
              <w:spacing w:after="0" w:line="240" w:lineRule="auto"/>
              <w:jc w:val="center"/>
              <w:rPr>
                <w:rFonts w:ascii="Times New Roman" w:eastAsiaTheme="minorHAnsi" w:hAnsi="Times New Roman"/>
                <w:b/>
                <w:color w:val="000000"/>
                <w:sz w:val="20"/>
                <w:szCs w:val="20"/>
              </w:rPr>
            </w:pPr>
            <w:r w:rsidRPr="00A8423C">
              <w:rPr>
                <w:rFonts w:ascii="Times New Roman" w:eastAsiaTheme="minorHAnsi" w:hAnsi="Times New Roman"/>
                <w:b/>
                <w:color w:val="000000"/>
                <w:sz w:val="20"/>
                <w:szCs w:val="20"/>
              </w:rPr>
              <w:t>2018/19</w:t>
            </w:r>
          </w:p>
        </w:tc>
      </w:tr>
      <w:tr w:rsidR="00C368D3" w:rsidRPr="00C368D3" w14:paraId="3244613A" w14:textId="77777777" w:rsidTr="0030167E">
        <w:trPr>
          <w:trHeight w:val="93"/>
        </w:trPr>
        <w:tc>
          <w:tcPr>
            <w:tcW w:w="9136" w:type="dxa"/>
            <w:gridSpan w:val="2"/>
          </w:tcPr>
          <w:p w14:paraId="7D0B36DB" w14:textId="77777777" w:rsidR="00C368D3" w:rsidRPr="00C368D3" w:rsidRDefault="00C368D3" w:rsidP="00C368D3">
            <w:pPr>
              <w:autoSpaceDE w:val="0"/>
              <w:autoSpaceDN w:val="0"/>
              <w:adjustRightInd w:val="0"/>
              <w:spacing w:after="0" w:line="240" w:lineRule="auto"/>
              <w:rPr>
                <w:rFonts w:ascii="Times New Roman" w:eastAsiaTheme="minorHAnsi" w:hAnsi="Times New Roman"/>
                <w:color w:val="000000"/>
                <w:sz w:val="20"/>
                <w:szCs w:val="20"/>
              </w:rPr>
            </w:pPr>
            <w:r w:rsidRPr="00C368D3">
              <w:rPr>
                <w:rFonts w:ascii="Times New Roman" w:eastAsiaTheme="minorHAnsi" w:hAnsi="Times New Roman"/>
                <w:b/>
                <w:bCs/>
                <w:color w:val="000000"/>
                <w:sz w:val="20"/>
                <w:szCs w:val="20"/>
              </w:rPr>
              <w:t xml:space="preserve">Strategic objective: Capable workforce </w:t>
            </w:r>
          </w:p>
        </w:tc>
      </w:tr>
      <w:tr w:rsidR="00C368D3" w:rsidRPr="00C368D3" w14:paraId="149550FF" w14:textId="77777777" w:rsidTr="0030167E">
        <w:trPr>
          <w:trHeight w:val="232"/>
        </w:trPr>
        <w:tc>
          <w:tcPr>
            <w:tcW w:w="4568" w:type="dxa"/>
          </w:tcPr>
          <w:p w14:paraId="0452B6AE" w14:textId="77777777" w:rsidR="00C368D3" w:rsidRPr="00C368D3" w:rsidRDefault="00C368D3" w:rsidP="00C368D3">
            <w:pPr>
              <w:autoSpaceDE w:val="0"/>
              <w:autoSpaceDN w:val="0"/>
              <w:adjustRightInd w:val="0"/>
              <w:spacing w:after="0" w:line="240" w:lineRule="auto"/>
              <w:rPr>
                <w:rFonts w:ascii="Times New Roman" w:eastAsiaTheme="minorHAnsi" w:hAnsi="Times New Roman"/>
                <w:sz w:val="20"/>
                <w:szCs w:val="20"/>
              </w:rPr>
            </w:pPr>
          </w:p>
          <w:p w14:paraId="7436E50F" w14:textId="77777777" w:rsidR="00C368D3" w:rsidRPr="00C368D3" w:rsidRDefault="00C368D3" w:rsidP="00C368D3">
            <w:pPr>
              <w:autoSpaceDE w:val="0"/>
              <w:autoSpaceDN w:val="0"/>
              <w:adjustRightInd w:val="0"/>
              <w:spacing w:after="0" w:line="240" w:lineRule="auto"/>
              <w:rPr>
                <w:rFonts w:ascii="Times New Roman" w:eastAsiaTheme="minorHAnsi" w:hAnsi="Times New Roman"/>
                <w:color w:val="000000"/>
                <w:sz w:val="20"/>
                <w:szCs w:val="20"/>
              </w:rPr>
            </w:pPr>
            <w:r w:rsidRPr="00C368D3">
              <w:rPr>
                <w:rFonts w:ascii="Times New Roman" w:eastAsiaTheme="minorHAnsi" w:hAnsi="Times New Roman"/>
                <w:color w:val="000000"/>
                <w:sz w:val="20"/>
                <w:szCs w:val="20"/>
              </w:rPr>
              <w:t xml:space="preserve">Number of strategic training areas undertaken as per IPIDs Training Plan </w:t>
            </w:r>
          </w:p>
          <w:p w14:paraId="78FE64F6" w14:textId="77777777" w:rsidR="00C368D3" w:rsidRPr="00C368D3" w:rsidRDefault="00C368D3" w:rsidP="00C368D3">
            <w:pPr>
              <w:autoSpaceDE w:val="0"/>
              <w:autoSpaceDN w:val="0"/>
              <w:adjustRightInd w:val="0"/>
              <w:spacing w:after="0" w:line="240" w:lineRule="auto"/>
              <w:rPr>
                <w:rFonts w:ascii="Times New Roman" w:eastAsiaTheme="minorHAnsi" w:hAnsi="Times New Roman"/>
                <w:color w:val="000000"/>
                <w:sz w:val="20"/>
                <w:szCs w:val="20"/>
              </w:rPr>
            </w:pPr>
          </w:p>
        </w:tc>
        <w:tc>
          <w:tcPr>
            <w:tcW w:w="4568" w:type="dxa"/>
          </w:tcPr>
          <w:p w14:paraId="52741C97" w14:textId="77777777" w:rsidR="0030167E" w:rsidRPr="00A8423C" w:rsidRDefault="0030167E" w:rsidP="00C368D3">
            <w:pPr>
              <w:autoSpaceDE w:val="0"/>
              <w:autoSpaceDN w:val="0"/>
              <w:adjustRightInd w:val="0"/>
              <w:spacing w:after="0" w:line="240" w:lineRule="auto"/>
              <w:rPr>
                <w:rFonts w:ascii="Times New Roman" w:eastAsiaTheme="minorHAnsi" w:hAnsi="Times New Roman"/>
                <w:color w:val="000000"/>
                <w:sz w:val="20"/>
                <w:szCs w:val="20"/>
              </w:rPr>
            </w:pPr>
          </w:p>
          <w:p w14:paraId="4B79A3FF" w14:textId="77777777" w:rsidR="00C368D3" w:rsidRPr="00C368D3" w:rsidRDefault="00C368D3" w:rsidP="0030167E">
            <w:pPr>
              <w:autoSpaceDE w:val="0"/>
              <w:autoSpaceDN w:val="0"/>
              <w:adjustRightInd w:val="0"/>
              <w:spacing w:after="0" w:line="240" w:lineRule="auto"/>
              <w:jc w:val="center"/>
              <w:rPr>
                <w:rFonts w:ascii="Times New Roman" w:eastAsiaTheme="minorHAnsi" w:hAnsi="Times New Roman"/>
                <w:color w:val="000000"/>
                <w:sz w:val="20"/>
                <w:szCs w:val="20"/>
              </w:rPr>
            </w:pPr>
            <w:r w:rsidRPr="00C368D3">
              <w:rPr>
                <w:rFonts w:ascii="Times New Roman" w:eastAsiaTheme="minorHAnsi" w:hAnsi="Times New Roman"/>
                <w:color w:val="000000"/>
                <w:sz w:val="20"/>
                <w:szCs w:val="20"/>
              </w:rPr>
              <w:t>7</w:t>
            </w:r>
          </w:p>
        </w:tc>
      </w:tr>
      <w:tr w:rsidR="00C368D3" w:rsidRPr="00C368D3" w14:paraId="1FC345C8" w14:textId="77777777" w:rsidTr="0030167E">
        <w:trPr>
          <w:trHeight w:val="93"/>
        </w:trPr>
        <w:tc>
          <w:tcPr>
            <w:tcW w:w="9136" w:type="dxa"/>
            <w:gridSpan w:val="2"/>
          </w:tcPr>
          <w:p w14:paraId="3F50F491" w14:textId="77777777" w:rsidR="00C368D3" w:rsidRPr="00C368D3" w:rsidRDefault="00C368D3" w:rsidP="00C368D3">
            <w:pPr>
              <w:autoSpaceDE w:val="0"/>
              <w:autoSpaceDN w:val="0"/>
              <w:adjustRightInd w:val="0"/>
              <w:spacing w:after="0" w:line="240" w:lineRule="auto"/>
              <w:rPr>
                <w:rFonts w:ascii="Times New Roman" w:eastAsiaTheme="minorHAnsi" w:hAnsi="Times New Roman"/>
                <w:color w:val="000000"/>
                <w:sz w:val="20"/>
                <w:szCs w:val="20"/>
              </w:rPr>
            </w:pPr>
            <w:r w:rsidRPr="00C368D3">
              <w:rPr>
                <w:rFonts w:ascii="Times New Roman" w:eastAsiaTheme="minorHAnsi" w:hAnsi="Times New Roman"/>
                <w:b/>
                <w:bCs/>
                <w:color w:val="000000"/>
                <w:sz w:val="20"/>
                <w:szCs w:val="20"/>
              </w:rPr>
              <w:t xml:space="preserve">Performance Indicator </w:t>
            </w:r>
          </w:p>
        </w:tc>
      </w:tr>
      <w:tr w:rsidR="00C368D3" w:rsidRPr="00C368D3" w14:paraId="09BBA87B" w14:textId="77777777" w:rsidTr="0030167E">
        <w:trPr>
          <w:trHeight w:val="93"/>
        </w:trPr>
        <w:tc>
          <w:tcPr>
            <w:tcW w:w="4568" w:type="dxa"/>
          </w:tcPr>
          <w:p w14:paraId="2158BABD" w14:textId="77777777" w:rsidR="00C368D3" w:rsidRPr="00C368D3" w:rsidRDefault="00C368D3" w:rsidP="00C368D3">
            <w:pPr>
              <w:autoSpaceDE w:val="0"/>
              <w:autoSpaceDN w:val="0"/>
              <w:adjustRightInd w:val="0"/>
              <w:spacing w:after="0" w:line="240" w:lineRule="auto"/>
              <w:rPr>
                <w:rFonts w:ascii="Times New Roman" w:eastAsiaTheme="minorHAnsi" w:hAnsi="Times New Roman"/>
                <w:sz w:val="20"/>
                <w:szCs w:val="20"/>
              </w:rPr>
            </w:pPr>
          </w:p>
          <w:p w14:paraId="64009729" w14:textId="77777777" w:rsidR="00C368D3" w:rsidRPr="00C368D3" w:rsidRDefault="00C368D3" w:rsidP="00C368D3">
            <w:pPr>
              <w:autoSpaceDE w:val="0"/>
              <w:autoSpaceDN w:val="0"/>
              <w:adjustRightInd w:val="0"/>
              <w:spacing w:after="0" w:line="240" w:lineRule="auto"/>
              <w:rPr>
                <w:rFonts w:ascii="Times New Roman" w:eastAsiaTheme="minorHAnsi" w:hAnsi="Times New Roman"/>
                <w:color w:val="000000"/>
                <w:sz w:val="20"/>
                <w:szCs w:val="20"/>
              </w:rPr>
            </w:pPr>
            <w:r w:rsidRPr="00C368D3">
              <w:rPr>
                <w:rFonts w:ascii="Times New Roman" w:eastAsiaTheme="minorHAnsi" w:hAnsi="Times New Roman"/>
                <w:color w:val="000000"/>
                <w:sz w:val="20"/>
                <w:szCs w:val="20"/>
              </w:rPr>
              <w:t xml:space="preserve">1) Percentage vacancy rate per year </w:t>
            </w:r>
          </w:p>
          <w:p w14:paraId="05B3EA12" w14:textId="77777777" w:rsidR="00C368D3" w:rsidRPr="00C368D3" w:rsidRDefault="00C368D3" w:rsidP="00C368D3">
            <w:pPr>
              <w:autoSpaceDE w:val="0"/>
              <w:autoSpaceDN w:val="0"/>
              <w:adjustRightInd w:val="0"/>
              <w:spacing w:after="0" w:line="240" w:lineRule="auto"/>
              <w:rPr>
                <w:rFonts w:ascii="Times New Roman" w:eastAsiaTheme="minorHAnsi" w:hAnsi="Times New Roman"/>
                <w:color w:val="000000"/>
                <w:sz w:val="20"/>
                <w:szCs w:val="20"/>
              </w:rPr>
            </w:pPr>
          </w:p>
        </w:tc>
        <w:tc>
          <w:tcPr>
            <w:tcW w:w="4568" w:type="dxa"/>
          </w:tcPr>
          <w:p w14:paraId="622776C6" w14:textId="77777777" w:rsidR="0030167E" w:rsidRPr="00A8423C" w:rsidRDefault="0030167E" w:rsidP="0030167E">
            <w:pPr>
              <w:autoSpaceDE w:val="0"/>
              <w:autoSpaceDN w:val="0"/>
              <w:adjustRightInd w:val="0"/>
              <w:spacing w:after="0" w:line="240" w:lineRule="auto"/>
              <w:jc w:val="center"/>
              <w:rPr>
                <w:rFonts w:ascii="Times New Roman" w:eastAsiaTheme="minorHAnsi" w:hAnsi="Times New Roman"/>
                <w:color w:val="000000"/>
                <w:sz w:val="20"/>
                <w:szCs w:val="20"/>
              </w:rPr>
            </w:pPr>
          </w:p>
          <w:p w14:paraId="1F0479A6" w14:textId="77777777" w:rsidR="00C368D3" w:rsidRPr="00C368D3" w:rsidRDefault="00C368D3" w:rsidP="0030167E">
            <w:pPr>
              <w:autoSpaceDE w:val="0"/>
              <w:autoSpaceDN w:val="0"/>
              <w:adjustRightInd w:val="0"/>
              <w:spacing w:after="0" w:line="240" w:lineRule="auto"/>
              <w:jc w:val="center"/>
              <w:rPr>
                <w:rFonts w:ascii="Times New Roman" w:eastAsiaTheme="minorHAnsi" w:hAnsi="Times New Roman"/>
                <w:color w:val="000000"/>
                <w:sz w:val="20"/>
                <w:szCs w:val="20"/>
              </w:rPr>
            </w:pPr>
            <w:r w:rsidRPr="00C368D3">
              <w:rPr>
                <w:rFonts w:ascii="Times New Roman" w:eastAsiaTheme="minorHAnsi" w:hAnsi="Times New Roman"/>
                <w:color w:val="000000"/>
                <w:sz w:val="20"/>
                <w:szCs w:val="20"/>
              </w:rPr>
              <w:t>&lt;10%</w:t>
            </w:r>
          </w:p>
        </w:tc>
      </w:tr>
      <w:tr w:rsidR="00C368D3" w:rsidRPr="00C368D3" w14:paraId="4D77651D" w14:textId="77777777" w:rsidTr="0030167E">
        <w:trPr>
          <w:trHeight w:val="93"/>
        </w:trPr>
        <w:tc>
          <w:tcPr>
            <w:tcW w:w="4568" w:type="dxa"/>
          </w:tcPr>
          <w:p w14:paraId="7F3B1B9F" w14:textId="77777777" w:rsidR="00C368D3" w:rsidRPr="00C368D3" w:rsidRDefault="00C368D3" w:rsidP="00C368D3">
            <w:pPr>
              <w:autoSpaceDE w:val="0"/>
              <w:autoSpaceDN w:val="0"/>
              <w:adjustRightInd w:val="0"/>
              <w:spacing w:after="0" w:line="240" w:lineRule="auto"/>
              <w:rPr>
                <w:rFonts w:ascii="Times New Roman" w:eastAsiaTheme="minorHAnsi" w:hAnsi="Times New Roman"/>
                <w:sz w:val="20"/>
                <w:szCs w:val="20"/>
              </w:rPr>
            </w:pPr>
          </w:p>
          <w:p w14:paraId="199F91A9" w14:textId="77777777" w:rsidR="00C368D3" w:rsidRPr="00C368D3" w:rsidRDefault="00C368D3" w:rsidP="00C368D3">
            <w:pPr>
              <w:autoSpaceDE w:val="0"/>
              <w:autoSpaceDN w:val="0"/>
              <w:adjustRightInd w:val="0"/>
              <w:spacing w:after="0" w:line="240" w:lineRule="auto"/>
              <w:rPr>
                <w:rFonts w:ascii="Times New Roman" w:eastAsiaTheme="minorHAnsi" w:hAnsi="Times New Roman"/>
                <w:color w:val="000000"/>
                <w:sz w:val="20"/>
                <w:szCs w:val="20"/>
              </w:rPr>
            </w:pPr>
            <w:r w:rsidRPr="00C368D3">
              <w:rPr>
                <w:rFonts w:ascii="Times New Roman" w:eastAsiaTheme="minorHAnsi" w:hAnsi="Times New Roman"/>
                <w:color w:val="000000"/>
                <w:sz w:val="20"/>
                <w:szCs w:val="20"/>
              </w:rPr>
              <w:t xml:space="preserve">2) Percentage implementation of Annual Internal Audit Plan </w:t>
            </w:r>
          </w:p>
          <w:p w14:paraId="19A3AD47" w14:textId="77777777" w:rsidR="00C368D3" w:rsidRPr="00C368D3" w:rsidRDefault="00C368D3" w:rsidP="00C368D3">
            <w:pPr>
              <w:autoSpaceDE w:val="0"/>
              <w:autoSpaceDN w:val="0"/>
              <w:adjustRightInd w:val="0"/>
              <w:spacing w:after="0" w:line="240" w:lineRule="auto"/>
              <w:rPr>
                <w:rFonts w:ascii="Times New Roman" w:eastAsiaTheme="minorHAnsi" w:hAnsi="Times New Roman"/>
                <w:color w:val="000000"/>
                <w:sz w:val="20"/>
                <w:szCs w:val="20"/>
              </w:rPr>
            </w:pPr>
          </w:p>
        </w:tc>
        <w:tc>
          <w:tcPr>
            <w:tcW w:w="4568" w:type="dxa"/>
          </w:tcPr>
          <w:p w14:paraId="373B4F11" w14:textId="77777777" w:rsidR="0030167E" w:rsidRPr="00A8423C" w:rsidRDefault="0030167E" w:rsidP="0030167E">
            <w:pPr>
              <w:autoSpaceDE w:val="0"/>
              <w:autoSpaceDN w:val="0"/>
              <w:adjustRightInd w:val="0"/>
              <w:spacing w:after="0" w:line="240" w:lineRule="auto"/>
              <w:jc w:val="center"/>
              <w:rPr>
                <w:rFonts w:ascii="Times New Roman" w:eastAsiaTheme="minorHAnsi" w:hAnsi="Times New Roman"/>
                <w:color w:val="000000"/>
                <w:sz w:val="20"/>
                <w:szCs w:val="20"/>
              </w:rPr>
            </w:pPr>
          </w:p>
          <w:p w14:paraId="79550395" w14:textId="77777777" w:rsidR="00C368D3" w:rsidRPr="00C368D3" w:rsidRDefault="00C368D3" w:rsidP="0030167E">
            <w:pPr>
              <w:autoSpaceDE w:val="0"/>
              <w:autoSpaceDN w:val="0"/>
              <w:adjustRightInd w:val="0"/>
              <w:spacing w:after="0" w:line="240" w:lineRule="auto"/>
              <w:jc w:val="center"/>
              <w:rPr>
                <w:rFonts w:ascii="Times New Roman" w:eastAsiaTheme="minorHAnsi" w:hAnsi="Times New Roman"/>
                <w:color w:val="000000"/>
                <w:sz w:val="20"/>
                <w:szCs w:val="20"/>
              </w:rPr>
            </w:pPr>
            <w:r w:rsidRPr="00C368D3">
              <w:rPr>
                <w:rFonts w:ascii="Times New Roman" w:eastAsiaTheme="minorHAnsi" w:hAnsi="Times New Roman"/>
                <w:color w:val="000000"/>
                <w:sz w:val="20"/>
                <w:szCs w:val="20"/>
              </w:rPr>
              <w:t>80%</w:t>
            </w:r>
          </w:p>
        </w:tc>
      </w:tr>
      <w:tr w:rsidR="00C368D3" w:rsidRPr="00C368D3" w14:paraId="61B8E721" w14:textId="77777777" w:rsidTr="0030167E">
        <w:trPr>
          <w:trHeight w:val="644"/>
        </w:trPr>
        <w:tc>
          <w:tcPr>
            <w:tcW w:w="4568" w:type="dxa"/>
          </w:tcPr>
          <w:p w14:paraId="786ED848" w14:textId="77777777" w:rsidR="00C368D3" w:rsidRPr="00C368D3" w:rsidRDefault="00C368D3" w:rsidP="00C368D3">
            <w:pPr>
              <w:autoSpaceDE w:val="0"/>
              <w:autoSpaceDN w:val="0"/>
              <w:adjustRightInd w:val="0"/>
              <w:spacing w:after="0" w:line="240" w:lineRule="auto"/>
              <w:rPr>
                <w:rFonts w:ascii="Times New Roman" w:eastAsiaTheme="minorHAnsi" w:hAnsi="Times New Roman"/>
                <w:sz w:val="20"/>
                <w:szCs w:val="20"/>
              </w:rPr>
            </w:pPr>
          </w:p>
          <w:p w14:paraId="4F6C3EB0" w14:textId="77777777" w:rsidR="00C368D3" w:rsidRPr="00C368D3" w:rsidRDefault="00C368D3" w:rsidP="00C368D3">
            <w:pPr>
              <w:autoSpaceDE w:val="0"/>
              <w:autoSpaceDN w:val="0"/>
              <w:adjustRightInd w:val="0"/>
              <w:spacing w:after="0" w:line="240" w:lineRule="auto"/>
              <w:rPr>
                <w:rFonts w:ascii="Times New Roman" w:eastAsiaTheme="minorHAnsi" w:hAnsi="Times New Roman"/>
                <w:color w:val="000000"/>
                <w:sz w:val="20"/>
                <w:szCs w:val="20"/>
              </w:rPr>
            </w:pPr>
            <w:r w:rsidRPr="00C368D3">
              <w:rPr>
                <w:rFonts w:ascii="Times New Roman" w:eastAsiaTheme="minorHAnsi" w:hAnsi="Times New Roman"/>
                <w:color w:val="000000"/>
                <w:sz w:val="20"/>
                <w:szCs w:val="20"/>
              </w:rPr>
              <w:t xml:space="preserve">3) Percentage implementation of risk mitigating strategies </w:t>
            </w:r>
            <w:r w:rsidRPr="00C368D3">
              <w:rPr>
                <w:rFonts w:ascii="Times New Roman" w:eastAsiaTheme="minorHAnsi" w:hAnsi="Times New Roman"/>
                <w:i/>
                <w:iCs/>
                <w:color w:val="000000"/>
                <w:sz w:val="20"/>
                <w:szCs w:val="20"/>
              </w:rPr>
              <w:t xml:space="preserve">(New) </w:t>
            </w:r>
          </w:p>
          <w:p w14:paraId="06ADBB96" w14:textId="77777777" w:rsidR="00C368D3" w:rsidRPr="00C368D3" w:rsidRDefault="00C368D3" w:rsidP="00C368D3">
            <w:pPr>
              <w:autoSpaceDE w:val="0"/>
              <w:autoSpaceDN w:val="0"/>
              <w:adjustRightInd w:val="0"/>
              <w:spacing w:after="0" w:line="240" w:lineRule="auto"/>
              <w:rPr>
                <w:rFonts w:ascii="Times New Roman" w:eastAsiaTheme="minorHAnsi" w:hAnsi="Times New Roman"/>
                <w:color w:val="000000"/>
                <w:sz w:val="20"/>
                <w:szCs w:val="20"/>
              </w:rPr>
            </w:pPr>
          </w:p>
        </w:tc>
        <w:tc>
          <w:tcPr>
            <w:tcW w:w="4568" w:type="dxa"/>
          </w:tcPr>
          <w:p w14:paraId="52020E35" w14:textId="77777777" w:rsidR="0030167E" w:rsidRPr="00A8423C" w:rsidRDefault="0030167E" w:rsidP="0030167E">
            <w:pPr>
              <w:autoSpaceDE w:val="0"/>
              <w:autoSpaceDN w:val="0"/>
              <w:adjustRightInd w:val="0"/>
              <w:spacing w:after="0" w:line="240" w:lineRule="auto"/>
              <w:jc w:val="center"/>
              <w:rPr>
                <w:rFonts w:ascii="Times New Roman" w:eastAsiaTheme="minorHAnsi" w:hAnsi="Times New Roman"/>
                <w:color w:val="000000"/>
                <w:sz w:val="20"/>
                <w:szCs w:val="20"/>
              </w:rPr>
            </w:pPr>
          </w:p>
          <w:p w14:paraId="33E7E13E" w14:textId="77777777" w:rsidR="00C368D3" w:rsidRPr="00C368D3" w:rsidRDefault="00C368D3" w:rsidP="0030167E">
            <w:pPr>
              <w:autoSpaceDE w:val="0"/>
              <w:autoSpaceDN w:val="0"/>
              <w:adjustRightInd w:val="0"/>
              <w:spacing w:after="0" w:line="240" w:lineRule="auto"/>
              <w:jc w:val="center"/>
              <w:rPr>
                <w:rFonts w:ascii="Times New Roman" w:eastAsiaTheme="minorHAnsi" w:hAnsi="Times New Roman"/>
                <w:color w:val="000000"/>
                <w:sz w:val="20"/>
                <w:szCs w:val="20"/>
              </w:rPr>
            </w:pPr>
            <w:r w:rsidRPr="00C368D3">
              <w:rPr>
                <w:rFonts w:ascii="Times New Roman" w:eastAsiaTheme="minorHAnsi" w:hAnsi="Times New Roman"/>
                <w:color w:val="000000"/>
                <w:sz w:val="20"/>
                <w:szCs w:val="20"/>
              </w:rPr>
              <w:t>40%</w:t>
            </w:r>
          </w:p>
        </w:tc>
      </w:tr>
      <w:tr w:rsidR="0030167E" w:rsidRPr="00A8423C" w14:paraId="48756A08" w14:textId="77777777" w:rsidTr="0030167E">
        <w:trPr>
          <w:trHeight w:val="93"/>
        </w:trPr>
        <w:tc>
          <w:tcPr>
            <w:tcW w:w="4568" w:type="dxa"/>
          </w:tcPr>
          <w:p w14:paraId="0D87D481" w14:textId="77777777" w:rsidR="0030167E" w:rsidRPr="00A8423C" w:rsidRDefault="0030167E" w:rsidP="00C368D3">
            <w:pPr>
              <w:autoSpaceDE w:val="0"/>
              <w:autoSpaceDN w:val="0"/>
              <w:adjustRightInd w:val="0"/>
              <w:spacing w:after="0" w:line="240" w:lineRule="auto"/>
              <w:rPr>
                <w:rFonts w:ascii="Times New Roman" w:eastAsiaTheme="minorHAnsi" w:hAnsi="Times New Roman"/>
                <w:sz w:val="20"/>
                <w:szCs w:val="20"/>
              </w:rPr>
            </w:pPr>
            <w:r w:rsidRPr="00A8423C">
              <w:rPr>
                <w:rFonts w:ascii="Times New Roman" w:eastAsiaTheme="minorHAnsi" w:hAnsi="Times New Roman"/>
                <w:b/>
                <w:bCs/>
                <w:sz w:val="20"/>
                <w:szCs w:val="20"/>
              </w:rPr>
              <w:t>Strategic objective: Capable workforce</w:t>
            </w:r>
          </w:p>
        </w:tc>
        <w:tc>
          <w:tcPr>
            <w:tcW w:w="4568" w:type="dxa"/>
          </w:tcPr>
          <w:p w14:paraId="2EF0017A" w14:textId="77777777" w:rsidR="0030167E" w:rsidRPr="00A8423C" w:rsidRDefault="0030167E" w:rsidP="0030167E">
            <w:pPr>
              <w:autoSpaceDE w:val="0"/>
              <w:autoSpaceDN w:val="0"/>
              <w:adjustRightInd w:val="0"/>
              <w:spacing w:after="0" w:line="240" w:lineRule="auto"/>
              <w:jc w:val="center"/>
              <w:rPr>
                <w:rFonts w:ascii="Times New Roman" w:eastAsiaTheme="minorHAnsi" w:hAnsi="Times New Roman"/>
                <w:color w:val="000000"/>
                <w:sz w:val="20"/>
                <w:szCs w:val="20"/>
              </w:rPr>
            </w:pPr>
          </w:p>
        </w:tc>
      </w:tr>
      <w:tr w:rsidR="0030167E" w:rsidRPr="00A8423C" w14:paraId="49623CFF" w14:textId="77777777" w:rsidTr="0030167E">
        <w:trPr>
          <w:trHeight w:val="1225"/>
        </w:trPr>
        <w:tc>
          <w:tcPr>
            <w:tcW w:w="4568" w:type="dxa"/>
            <w:tcBorders>
              <w:top w:val="single" w:sz="4" w:space="0" w:color="auto"/>
              <w:left w:val="single" w:sz="4" w:space="0" w:color="auto"/>
              <w:bottom w:val="single" w:sz="4" w:space="0" w:color="auto"/>
              <w:right w:val="single" w:sz="4" w:space="0" w:color="auto"/>
            </w:tcBorders>
          </w:tcPr>
          <w:tbl>
            <w:tblPr>
              <w:tblW w:w="9133" w:type="dxa"/>
              <w:tblBorders>
                <w:top w:val="nil"/>
                <w:left w:val="nil"/>
                <w:bottom w:val="nil"/>
                <w:right w:val="nil"/>
              </w:tblBorders>
              <w:tblLayout w:type="fixed"/>
              <w:tblLook w:val="0000" w:firstRow="0" w:lastRow="0" w:firstColumn="0" w:lastColumn="0" w:noHBand="0" w:noVBand="0"/>
            </w:tblPr>
            <w:tblGrid>
              <w:gridCol w:w="4566"/>
              <w:gridCol w:w="4567"/>
            </w:tblGrid>
            <w:tr w:rsidR="0030167E" w:rsidRPr="00A8423C" w14:paraId="12DD601E" w14:textId="77777777" w:rsidTr="0030167E">
              <w:trPr>
                <w:trHeight w:val="93"/>
              </w:trPr>
              <w:tc>
                <w:tcPr>
                  <w:tcW w:w="4566" w:type="dxa"/>
                  <w:tcBorders>
                    <w:top w:val="single" w:sz="4" w:space="0" w:color="auto"/>
                  </w:tcBorders>
                </w:tcPr>
                <w:p w14:paraId="5B717E09" w14:textId="77777777" w:rsidR="0030167E" w:rsidRPr="00A8423C" w:rsidRDefault="0030167E" w:rsidP="0030167E">
                  <w:pPr>
                    <w:autoSpaceDE w:val="0"/>
                    <w:autoSpaceDN w:val="0"/>
                    <w:adjustRightInd w:val="0"/>
                    <w:spacing w:after="0" w:line="240" w:lineRule="auto"/>
                    <w:rPr>
                      <w:rFonts w:ascii="Times New Roman" w:eastAsiaTheme="minorHAnsi" w:hAnsi="Times New Roman"/>
                      <w:sz w:val="20"/>
                      <w:szCs w:val="20"/>
                    </w:rPr>
                  </w:pPr>
                </w:p>
                <w:p w14:paraId="2BFD03E6" w14:textId="77777777" w:rsidR="0030167E" w:rsidRPr="00A8423C" w:rsidRDefault="0030167E" w:rsidP="0030167E">
                  <w:pPr>
                    <w:autoSpaceDE w:val="0"/>
                    <w:autoSpaceDN w:val="0"/>
                    <w:adjustRightInd w:val="0"/>
                    <w:spacing w:after="0" w:line="240" w:lineRule="auto"/>
                    <w:rPr>
                      <w:rFonts w:ascii="Times New Roman" w:eastAsiaTheme="minorHAnsi" w:hAnsi="Times New Roman"/>
                      <w:sz w:val="20"/>
                      <w:szCs w:val="20"/>
                    </w:rPr>
                  </w:pPr>
                  <w:r w:rsidRPr="00A8423C">
                    <w:rPr>
                      <w:rFonts w:ascii="Times New Roman" w:eastAsiaTheme="minorHAnsi" w:hAnsi="Times New Roman"/>
                      <w:sz w:val="20"/>
                      <w:szCs w:val="20"/>
                    </w:rPr>
                    <w:t xml:space="preserve">4) Number of evaluations conducted per year </w:t>
                  </w:r>
                  <w:r w:rsidRPr="00A8423C">
                    <w:rPr>
                      <w:rFonts w:ascii="Times New Roman" w:eastAsiaTheme="minorHAnsi" w:hAnsi="Times New Roman"/>
                      <w:i/>
                      <w:iCs/>
                      <w:sz w:val="20"/>
                      <w:szCs w:val="20"/>
                    </w:rPr>
                    <w:t>(New)</w:t>
                  </w:r>
                </w:p>
              </w:tc>
              <w:tc>
                <w:tcPr>
                  <w:tcW w:w="4567" w:type="dxa"/>
                  <w:tcBorders>
                    <w:top w:val="single" w:sz="4" w:space="0" w:color="auto"/>
                  </w:tcBorders>
                </w:tcPr>
                <w:p w14:paraId="248B6639" w14:textId="77777777" w:rsidR="0030167E" w:rsidRPr="00A8423C" w:rsidRDefault="0030167E" w:rsidP="0030167E">
                  <w:pPr>
                    <w:autoSpaceDE w:val="0"/>
                    <w:autoSpaceDN w:val="0"/>
                    <w:adjustRightInd w:val="0"/>
                    <w:spacing w:after="0" w:line="240" w:lineRule="auto"/>
                    <w:rPr>
                      <w:rFonts w:ascii="Times New Roman" w:eastAsiaTheme="minorHAnsi" w:hAnsi="Times New Roman"/>
                      <w:sz w:val="20"/>
                      <w:szCs w:val="20"/>
                    </w:rPr>
                  </w:pPr>
                  <w:r w:rsidRPr="00A8423C">
                    <w:rPr>
                      <w:rFonts w:ascii="Times New Roman" w:eastAsiaTheme="minorHAnsi" w:hAnsi="Times New Roman"/>
                      <w:sz w:val="20"/>
                      <w:szCs w:val="20"/>
                    </w:rPr>
                    <w:t xml:space="preserve">Approved evaluation Plan </w:t>
                  </w:r>
                </w:p>
              </w:tc>
            </w:tr>
            <w:tr w:rsidR="0030167E" w:rsidRPr="00A8423C" w14:paraId="79263238" w14:textId="77777777" w:rsidTr="0030167E">
              <w:trPr>
                <w:trHeight w:val="232"/>
              </w:trPr>
              <w:tc>
                <w:tcPr>
                  <w:tcW w:w="4566" w:type="dxa"/>
                </w:tcPr>
                <w:p w14:paraId="51BD1658" w14:textId="77777777" w:rsidR="0030167E" w:rsidRPr="00A8423C" w:rsidRDefault="0030167E" w:rsidP="0030167E">
                  <w:pPr>
                    <w:autoSpaceDE w:val="0"/>
                    <w:autoSpaceDN w:val="0"/>
                    <w:adjustRightInd w:val="0"/>
                    <w:spacing w:after="0" w:line="240" w:lineRule="auto"/>
                    <w:rPr>
                      <w:rFonts w:ascii="Times New Roman" w:eastAsiaTheme="minorHAnsi" w:hAnsi="Times New Roman"/>
                      <w:sz w:val="20"/>
                      <w:szCs w:val="20"/>
                    </w:rPr>
                  </w:pPr>
                </w:p>
                <w:p w14:paraId="5E0F17B1" w14:textId="77777777" w:rsidR="0030167E" w:rsidRPr="00A8423C" w:rsidRDefault="0030167E" w:rsidP="0030167E">
                  <w:pPr>
                    <w:autoSpaceDE w:val="0"/>
                    <w:autoSpaceDN w:val="0"/>
                    <w:adjustRightInd w:val="0"/>
                    <w:spacing w:after="0" w:line="240" w:lineRule="auto"/>
                    <w:rPr>
                      <w:rFonts w:ascii="Times New Roman" w:eastAsiaTheme="minorHAnsi" w:hAnsi="Times New Roman"/>
                      <w:sz w:val="20"/>
                      <w:szCs w:val="20"/>
                    </w:rPr>
                  </w:pPr>
                </w:p>
              </w:tc>
              <w:tc>
                <w:tcPr>
                  <w:tcW w:w="4567" w:type="dxa"/>
                </w:tcPr>
                <w:p w14:paraId="040CC675" w14:textId="77777777" w:rsidR="0030167E" w:rsidRPr="00A8423C" w:rsidRDefault="0030167E" w:rsidP="0030167E">
                  <w:pPr>
                    <w:autoSpaceDE w:val="0"/>
                    <w:autoSpaceDN w:val="0"/>
                    <w:adjustRightInd w:val="0"/>
                    <w:spacing w:after="0" w:line="240" w:lineRule="auto"/>
                    <w:rPr>
                      <w:rFonts w:ascii="Times New Roman" w:eastAsiaTheme="minorHAnsi" w:hAnsi="Times New Roman"/>
                      <w:sz w:val="20"/>
                      <w:szCs w:val="20"/>
                    </w:rPr>
                  </w:pPr>
                  <w:r w:rsidRPr="00A8423C">
                    <w:rPr>
                      <w:rFonts w:ascii="Times New Roman" w:eastAsiaTheme="minorHAnsi" w:hAnsi="Times New Roman"/>
                      <w:sz w:val="20"/>
                      <w:szCs w:val="20"/>
                    </w:rPr>
                    <w:t xml:space="preserve">70% (4) </w:t>
                  </w:r>
                </w:p>
              </w:tc>
            </w:tr>
            <w:tr w:rsidR="0030167E" w:rsidRPr="00A8423C" w14:paraId="015D1C36" w14:textId="77777777" w:rsidTr="0030167E">
              <w:trPr>
                <w:trHeight w:val="71"/>
              </w:trPr>
              <w:tc>
                <w:tcPr>
                  <w:tcW w:w="4566" w:type="dxa"/>
                </w:tcPr>
                <w:p w14:paraId="496185A1" w14:textId="77777777" w:rsidR="0030167E" w:rsidRPr="00A8423C" w:rsidRDefault="0030167E" w:rsidP="0030167E">
                  <w:pPr>
                    <w:autoSpaceDE w:val="0"/>
                    <w:autoSpaceDN w:val="0"/>
                    <w:adjustRightInd w:val="0"/>
                    <w:spacing w:after="0" w:line="240" w:lineRule="auto"/>
                    <w:rPr>
                      <w:rFonts w:ascii="Times New Roman" w:eastAsiaTheme="minorHAnsi" w:hAnsi="Times New Roman"/>
                      <w:sz w:val="20"/>
                      <w:szCs w:val="20"/>
                    </w:rPr>
                  </w:pPr>
                </w:p>
                <w:p w14:paraId="3D5051EC" w14:textId="77777777" w:rsidR="0030167E" w:rsidRPr="00A8423C" w:rsidRDefault="0030167E" w:rsidP="0030167E">
                  <w:pPr>
                    <w:autoSpaceDE w:val="0"/>
                    <w:autoSpaceDN w:val="0"/>
                    <w:adjustRightInd w:val="0"/>
                    <w:spacing w:after="0" w:line="240" w:lineRule="auto"/>
                    <w:rPr>
                      <w:rFonts w:ascii="Times New Roman" w:eastAsiaTheme="minorHAnsi" w:hAnsi="Times New Roman"/>
                      <w:sz w:val="20"/>
                      <w:szCs w:val="20"/>
                    </w:rPr>
                  </w:pPr>
                </w:p>
              </w:tc>
              <w:tc>
                <w:tcPr>
                  <w:tcW w:w="4567" w:type="dxa"/>
                </w:tcPr>
                <w:p w14:paraId="4D639BCE" w14:textId="77777777" w:rsidR="0030167E" w:rsidRPr="00A8423C" w:rsidRDefault="0030167E" w:rsidP="0030167E">
                  <w:pPr>
                    <w:autoSpaceDE w:val="0"/>
                    <w:autoSpaceDN w:val="0"/>
                    <w:adjustRightInd w:val="0"/>
                    <w:spacing w:after="0" w:line="240" w:lineRule="auto"/>
                    <w:rPr>
                      <w:rFonts w:ascii="Times New Roman" w:eastAsiaTheme="minorHAnsi" w:hAnsi="Times New Roman"/>
                      <w:sz w:val="20"/>
                      <w:szCs w:val="20"/>
                    </w:rPr>
                  </w:pPr>
                  <w:r w:rsidRPr="00A8423C">
                    <w:rPr>
                      <w:rFonts w:ascii="Times New Roman" w:eastAsiaTheme="minorHAnsi" w:hAnsi="Times New Roman"/>
                      <w:sz w:val="20"/>
                      <w:szCs w:val="20"/>
                    </w:rPr>
                    <w:t xml:space="preserve">70% (10) </w:t>
                  </w:r>
                </w:p>
              </w:tc>
            </w:tr>
          </w:tbl>
          <w:p w14:paraId="6C0FE615" w14:textId="77777777" w:rsidR="0030167E" w:rsidRPr="00C368D3" w:rsidRDefault="0030167E" w:rsidP="00AE0B6F">
            <w:pPr>
              <w:autoSpaceDE w:val="0"/>
              <w:autoSpaceDN w:val="0"/>
              <w:adjustRightInd w:val="0"/>
              <w:spacing w:after="0" w:line="240" w:lineRule="auto"/>
              <w:rPr>
                <w:rFonts w:ascii="Times New Roman" w:eastAsiaTheme="minorHAnsi" w:hAnsi="Times New Roman"/>
                <w:sz w:val="20"/>
                <w:szCs w:val="20"/>
              </w:rPr>
            </w:pPr>
          </w:p>
        </w:tc>
        <w:tc>
          <w:tcPr>
            <w:tcW w:w="4568" w:type="dxa"/>
            <w:tcBorders>
              <w:top w:val="single" w:sz="4" w:space="0" w:color="auto"/>
              <w:left w:val="single" w:sz="4" w:space="0" w:color="auto"/>
              <w:bottom w:val="single" w:sz="4" w:space="0" w:color="auto"/>
              <w:right w:val="single" w:sz="4" w:space="0" w:color="auto"/>
            </w:tcBorders>
          </w:tcPr>
          <w:p w14:paraId="38FAA2C0" w14:textId="77777777" w:rsidR="0030167E" w:rsidRPr="00A8423C" w:rsidRDefault="0030167E" w:rsidP="00AE0B6F">
            <w:pPr>
              <w:autoSpaceDE w:val="0"/>
              <w:autoSpaceDN w:val="0"/>
              <w:adjustRightInd w:val="0"/>
              <w:spacing w:after="0" w:line="240" w:lineRule="auto"/>
              <w:jc w:val="center"/>
              <w:rPr>
                <w:rFonts w:ascii="Times New Roman" w:eastAsiaTheme="minorHAnsi" w:hAnsi="Times New Roman"/>
                <w:color w:val="000000"/>
                <w:sz w:val="20"/>
                <w:szCs w:val="20"/>
              </w:rPr>
            </w:pPr>
          </w:p>
          <w:p w14:paraId="02426D28" w14:textId="77777777" w:rsidR="0030167E" w:rsidRPr="00C368D3" w:rsidRDefault="0030167E" w:rsidP="00AE0B6F">
            <w:pPr>
              <w:autoSpaceDE w:val="0"/>
              <w:autoSpaceDN w:val="0"/>
              <w:adjustRightInd w:val="0"/>
              <w:spacing w:after="0" w:line="240" w:lineRule="auto"/>
              <w:jc w:val="center"/>
              <w:rPr>
                <w:rFonts w:ascii="Times New Roman" w:eastAsiaTheme="minorHAnsi" w:hAnsi="Times New Roman"/>
                <w:color w:val="000000"/>
                <w:sz w:val="20"/>
                <w:szCs w:val="20"/>
              </w:rPr>
            </w:pPr>
            <w:r w:rsidRPr="00A8423C">
              <w:rPr>
                <w:rFonts w:ascii="Times New Roman" w:eastAsiaTheme="minorHAnsi" w:hAnsi="Times New Roman"/>
                <w:color w:val="000000"/>
                <w:sz w:val="20"/>
                <w:szCs w:val="20"/>
              </w:rPr>
              <w:t>Approved evaluation Plan</w:t>
            </w:r>
          </w:p>
        </w:tc>
      </w:tr>
      <w:tr w:rsidR="0030167E" w:rsidRPr="00A8423C" w14:paraId="0DF503C4" w14:textId="77777777" w:rsidTr="0030167E">
        <w:trPr>
          <w:trHeight w:val="93"/>
        </w:trPr>
        <w:tc>
          <w:tcPr>
            <w:tcW w:w="4568" w:type="dxa"/>
            <w:tcBorders>
              <w:top w:val="single" w:sz="4" w:space="0" w:color="auto"/>
              <w:left w:val="single" w:sz="4" w:space="0" w:color="auto"/>
              <w:bottom w:val="single" w:sz="4" w:space="0" w:color="auto"/>
              <w:right w:val="single" w:sz="4" w:space="0" w:color="auto"/>
            </w:tcBorders>
          </w:tcPr>
          <w:p w14:paraId="58CAD595" w14:textId="77777777" w:rsidR="0030167E" w:rsidRPr="00C368D3" w:rsidRDefault="0030167E" w:rsidP="00AE0B6F">
            <w:pPr>
              <w:autoSpaceDE w:val="0"/>
              <w:autoSpaceDN w:val="0"/>
              <w:adjustRightInd w:val="0"/>
              <w:spacing w:after="0" w:line="240" w:lineRule="auto"/>
              <w:rPr>
                <w:rFonts w:ascii="Times New Roman" w:eastAsiaTheme="minorHAnsi" w:hAnsi="Times New Roman"/>
                <w:sz w:val="20"/>
                <w:szCs w:val="20"/>
              </w:rPr>
            </w:pPr>
            <w:r w:rsidRPr="00A8423C">
              <w:rPr>
                <w:rFonts w:ascii="Times New Roman" w:eastAsiaTheme="minorHAnsi" w:hAnsi="Times New Roman"/>
                <w:sz w:val="20"/>
                <w:szCs w:val="20"/>
              </w:rPr>
              <w:t>5) Number of written legal opinions provided to the Department within 30 working days.</w:t>
            </w:r>
          </w:p>
        </w:tc>
        <w:tc>
          <w:tcPr>
            <w:tcW w:w="4568" w:type="dxa"/>
            <w:tcBorders>
              <w:top w:val="single" w:sz="4" w:space="0" w:color="auto"/>
              <w:left w:val="single" w:sz="4" w:space="0" w:color="auto"/>
              <w:bottom w:val="single" w:sz="4" w:space="0" w:color="auto"/>
              <w:right w:val="single" w:sz="4" w:space="0" w:color="auto"/>
            </w:tcBorders>
          </w:tcPr>
          <w:p w14:paraId="7870A8E4" w14:textId="77777777" w:rsidR="0030167E" w:rsidRPr="00A8423C" w:rsidRDefault="0030167E" w:rsidP="00AE0B6F">
            <w:pPr>
              <w:autoSpaceDE w:val="0"/>
              <w:autoSpaceDN w:val="0"/>
              <w:adjustRightInd w:val="0"/>
              <w:spacing w:after="0" w:line="240" w:lineRule="auto"/>
              <w:jc w:val="center"/>
              <w:rPr>
                <w:rFonts w:ascii="Times New Roman" w:eastAsiaTheme="minorHAnsi" w:hAnsi="Times New Roman"/>
                <w:color w:val="000000"/>
                <w:sz w:val="20"/>
                <w:szCs w:val="20"/>
              </w:rPr>
            </w:pPr>
          </w:p>
          <w:p w14:paraId="150C2506" w14:textId="77777777" w:rsidR="0030167E" w:rsidRPr="00C368D3" w:rsidRDefault="0030167E" w:rsidP="00AE0B6F">
            <w:pPr>
              <w:autoSpaceDE w:val="0"/>
              <w:autoSpaceDN w:val="0"/>
              <w:adjustRightInd w:val="0"/>
              <w:spacing w:after="0" w:line="240" w:lineRule="auto"/>
              <w:jc w:val="center"/>
              <w:rPr>
                <w:rFonts w:ascii="Times New Roman" w:eastAsiaTheme="minorHAnsi" w:hAnsi="Times New Roman"/>
                <w:color w:val="000000"/>
                <w:sz w:val="20"/>
                <w:szCs w:val="20"/>
              </w:rPr>
            </w:pPr>
            <w:r w:rsidRPr="00A8423C">
              <w:rPr>
                <w:rFonts w:ascii="Times New Roman" w:eastAsiaTheme="minorHAnsi" w:hAnsi="Times New Roman"/>
                <w:color w:val="000000"/>
                <w:sz w:val="20"/>
                <w:szCs w:val="20"/>
              </w:rPr>
              <w:t>70% (4)</w:t>
            </w:r>
          </w:p>
        </w:tc>
      </w:tr>
      <w:tr w:rsidR="0030167E" w:rsidRPr="00A8423C" w14:paraId="0554DE3B" w14:textId="77777777" w:rsidTr="0030167E">
        <w:trPr>
          <w:trHeight w:val="93"/>
        </w:trPr>
        <w:tc>
          <w:tcPr>
            <w:tcW w:w="4568" w:type="dxa"/>
            <w:tcBorders>
              <w:top w:val="single" w:sz="4" w:space="0" w:color="auto"/>
              <w:left w:val="single" w:sz="4" w:space="0" w:color="auto"/>
              <w:bottom w:val="single" w:sz="4" w:space="0" w:color="auto"/>
              <w:right w:val="single" w:sz="4" w:space="0" w:color="auto"/>
            </w:tcBorders>
          </w:tcPr>
          <w:p w14:paraId="0B9E2C9B" w14:textId="77777777" w:rsidR="0030167E" w:rsidRPr="00C368D3" w:rsidRDefault="0030167E" w:rsidP="00AE0B6F">
            <w:pPr>
              <w:autoSpaceDE w:val="0"/>
              <w:autoSpaceDN w:val="0"/>
              <w:adjustRightInd w:val="0"/>
              <w:spacing w:after="0" w:line="240" w:lineRule="auto"/>
              <w:rPr>
                <w:rFonts w:ascii="Times New Roman" w:eastAsiaTheme="minorHAnsi" w:hAnsi="Times New Roman"/>
                <w:sz w:val="20"/>
                <w:szCs w:val="20"/>
              </w:rPr>
            </w:pPr>
            <w:r w:rsidRPr="00A8423C">
              <w:rPr>
                <w:rFonts w:ascii="Times New Roman" w:eastAsiaTheme="minorHAnsi" w:hAnsi="Times New Roman"/>
                <w:sz w:val="20"/>
                <w:szCs w:val="20"/>
              </w:rPr>
              <w:t>6) Percentage of contracts/service level agreements finalised within 30 working days</w:t>
            </w:r>
          </w:p>
        </w:tc>
        <w:tc>
          <w:tcPr>
            <w:tcW w:w="4568" w:type="dxa"/>
            <w:tcBorders>
              <w:top w:val="single" w:sz="4" w:space="0" w:color="auto"/>
              <w:left w:val="single" w:sz="4" w:space="0" w:color="auto"/>
              <w:bottom w:val="single" w:sz="4" w:space="0" w:color="auto"/>
              <w:right w:val="single" w:sz="4" w:space="0" w:color="auto"/>
            </w:tcBorders>
          </w:tcPr>
          <w:p w14:paraId="4E21E4D7" w14:textId="77777777" w:rsidR="0030167E" w:rsidRPr="00C368D3" w:rsidRDefault="0030167E" w:rsidP="0030167E">
            <w:pPr>
              <w:autoSpaceDE w:val="0"/>
              <w:autoSpaceDN w:val="0"/>
              <w:adjustRightInd w:val="0"/>
              <w:spacing w:after="0" w:line="240" w:lineRule="auto"/>
              <w:jc w:val="center"/>
              <w:rPr>
                <w:rFonts w:ascii="Times New Roman" w:eastAsiaTheme="minorHAnsi" w:hAnsi="Times New Roman"/>
                <w:color w:val="000000"/>
                <w:sz w:val="20"/>
                <w:szCs w:val="20"/>
              </w:rPr>
            </w:pPr>
            <w:r w:rsidRPr="00A8423C">
              <w:rPr>
                <w:rFonts w:ascii="Times New Roman" w:eastAsiaTheme="minorHAnsi" w:hAnsi="Times New Roman"/>
                <w:color w:val="000000"/>
                <w:sz w:val="20"/>
                <w:szCs w:val="20"/>
              </w:rPr>
              <w:t>70% (10)</w:t>
            </w:r>
          </w:p>
        </w:tc>
      </w:tr>
    </w:tbl>
    <w:p w14:paraId="23DE33E9" w14:textId="77777777" w:rsidR="00C368D3" w:rsidRDefault="00A8423C" w:rsidP="00A8423C">
      <w:pPr>
        <w:spacing w:line="360" w:lineRule="auto"/>
        <w:jc w:val="right"/>
        <w:rPr>
          <w:rFonts w:ascii="Times New Roman" w:hAnsi="Times New Roman"/>
          <w:sz w:val="20"/>
          <w:szCs w:val="20"/>
        </w:rPr>
      </w:pPr>
      <w:r w:rsidRPr="00A8423C">
        <w:rPr>
          <w:rFonts w:ascii="Times New Roman" w:hAnsi="Times New Roman"/>
          <w:sz w:val="20"/>
          <w:szCs w:val="20"/>
        </w:rPr>
        <w:t>Source: 2018 IPID APP</w:t>
      </w:r>
    </w:p>
    <w:p w14:paraId="1E7A2725" w14:textId="77777777" w:rsidR="00A8423C" w:rsidRPr="00A8423C" w:rsidRDefault="00C01EFB" w:rsidP="00A8423C">
      <w:pPr>
        <w:spacing w:line="360" w:lineRule="auto"/>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r>
      <w:r w:rsidR="00A8423C" w:rsidRPr="00A8423C">
        <w:rPr>
          <w:rFonts w:ascii="Times New Roman" w:hAnsi="Times New Roman"/>
          <w:b/>
          <w:sz w:val="24"/>
          <w:szCs w:val="24"/>
        </w:rPr>
        <w:t>Programme 2: Investigation and Information Management</w:t>
      </w:r>
    </w:p>
    <w:p w14:paraId="4F3C8471" w14:textId="77777777" w:rsidR="00246A58" w:rsidRDefault="00A8423C" w:rsidP="00A8423C">
      <w:pPr>
        <w:spacing w:line="360" w:lineRule="auto"/>
        <w:jc w:val="both"/>
        <w:rPr>
          <w:rFonts w:ascii="Times New Roman" w:hAnsi="Times New Roman"/>
          <w:sz w:val="24"/>
          <w:szCs w:val="24"/>
        </w:rPr>
      </w:pPr>
      <w:r w:rsidRPr="00A8423C">
        <w:rPr>
          <w:rFonts w:ascii="Times New Roman" w:hAnsi="Times New Roman"/>
          <w:sz w:val="24"/>
          <w:szCs w:val="24"/>
        </w:rPr>
        <w:t xml:space="preserve">The purpose of the Investigation and Information Management Programme is to strengthen the Department’s oversight role over the police service by conducting investigations, in line with the powers granted by the Independent Police Investigative Directorate Act No. 1 of 2011. This includes making appropriate recommendations on investigations in the various investigation categories and submitting feedback to complainants. The Programme will also enhance efficiency in case management and maintain relationships with other </w:t>
      </w:r>
      <w:r w:rsidR="00DD7D0D">
        <w:rPr>
          <w:rFonts w:ascii="Times New Roman" w:hAnsi="Times New Roman"/>
          <w:sz w:val="24"/>
          <w:szCs w:val="24"/>
        </w:rPr>
        <w:t>law enforcement</w:t>
      </w:r>
      <w:r w:rsidR="00513E3E">
        <w:rPr>
          <w:rFonts w:ascii="Times New Roman" w:hAnsi="Times New Roman"/>
          <w:sz w:val="24"/>
          <w:szCs w:val="24"/>
        </w:rPr>
        <w:t xml:space="preserve"> </w:t>
      </w:r>
      <w:r w:rsidRPr="00A8423C">
        <w:rPr>
          <w:rFonts w:ascii="Times New Roman" w:hAnsi="Times New Roman"/>
          <w:sz w:val="24"/>
          <w:szCs w:val="24"/>
        </w:rPr>
        <w:t>agencies, such as the SAPS, the National Prosecuting Authority (NPA), Civilian Secretariat for Police (CSP) and community stakeholders, through on-going national and provincial engagement forums.</w:t>
      </w:r>
    </w:p>
    <w:p w14:paraId="5FB1C043" w14:textId="77777777" w:rsidR="00A8423C" w:rsidRPr="00246A58" w:rsidRDefault="00C01EFB" w:rsidP="00A8423C">
      <w:pPr>
        <w:spacing w:line="360" w:lineRule="auto"/>
        <w:jc w:val="both"/>
        <w:rPr>
          <w:rFonts w:ascii="Times New Roman" w:hAnsi="Times New Roman"/>
          <w:b/>
          <w:sz w:val="24"/>
          <w:szCs w:val="24"/>
        </w:rPr>
      </w:pPr>
      <w:r>
        <w:rPr>
          <w:rFonts w:ascii="Times New Roman" w:hAnsi="Times New Roman"/>
          <w:b/>
          <w:sz w:val="24"/>
          <w:szCs w:val="24"/>
        </w:rPr>
        <w:t>Table 5</w:t>
      </w:r>
      <w:r w:rsidR="00246A58" w:rsidRPr="00246A58">
        <w:rPr>
          <w:rFonts w:ascii="Times New Roman" w:hAnsi="Times New Roman"/>
          <w:b/>
          <w:sz w:val="24"/>
          <w:szCs w:val="24"/>
        </w:rPr>
        <w:t xml:space="preserve">: Investigation and Information </w:t>
      </w:r>
      <w:r w:rsidR="000B62B8">
        <w:rPr>
          <w:rFonts w:ascii="Times New Roman" w:hAnsi="Times New Roman"/>
          <w:b/>
          <w:sz w:val="24"/>
          <w:szCs w:val="24"/>
        </w:rPr>
        <w:t>Management Budget</w:t>
      </w:r>
      <w:r w:rsidR="00A8423C" w:rsidRPr="00246A58">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2221"/>
        <w:gridCol w:w="1698"/>
        <w:gridCol w:w="1699"/>
        <w:gridCol w:w="1699"/>
        <w:gridCol w:w="1699"/>
      </w:tblGrid>
      <w:tr w:rsidR="000B62B8" w14:paraId="37DCBDED" w14:textId="77777777" w:rsidTr="00246A58">
        <w:tc>
          <w:tcPr>
            <w:tcW w:w="2221" w:type="dxa"/>
          </w:tcPr>
          <w:p w14:paraId="4129A2AE" w14:textId="77777777" w:rsidR="00246A58" w:rsidRPr="00CD1588" w:rsidRDefault="000B62B8" w:rsidP="000B62B8">
            <w:pPr>
              <w:jc w:val="center"/>
              <w:rPr>
                <w:rFonts w:ascii="Times New Roman" w:eastAsia="Times New Roman" w:hAnsi="Times New Roman"/>
                <w:lang w:eastAsia="en-ZA"/>
              </w:rPr>
            </w:pPr>
            <w:r>
              <w:rPr>
                <w:rFonts w:ascii="Times New Roman" w:eastAsia="Times New Roman" w:hAnsi="Times New Roman"/>
                <w:b/>
                <w:bCs/>
                <w:color w:val="000000" w:themeColor="text1"/>
                <w:lang w:eastAsia="en-ZA"/>
              </w:rPr>
              <w:t>Investigation and Information Management</w:t>
            </w:r>
            <w:r w:rsidR="00246A58" w:rsidRPr="00CD1588">
              <w:rPr>
                <w:rFonts w:ascii="Times New Roman" w:eastAsia="Times New Roman" w:hAnsi="Times New Roman"/>
                <w:b/>
                <w:bCs/>
                <w:color w:val="000000" w:themeColor="text1"/>
                <w:lang w:eastAsia="en-ZA"/>
              </w:rPr>
              <w:t xml:space="preserve"> </w:t>
            </w:r>
          </w:p>
        </w:tc>
        <w:tc>
          <w:tcPr>
            <w:tcW w:w="1698" w:type="dxa"/>
          </w:tcPr>
          <w:p w14:paraId="7552CCF7" w14:textId="77777777" w:rsidR="00246A58" w:rsidRPr="00CD1588" w:rsidRDefault="00246A58" w:rsidP="00246A58">
            <w:pPr>
              <w:jc w:val="center"/>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2017/2018</w:t>
            </w:r>
          </w:p>
        </w:tc>
        <w:tc>
          <w:tcPr>
            <w:tcW w:w="1699" w:type="dxa"/>
          </w:tcPr>
          <w:p w14:paraId="048E252F" w14:textId="77777777" w:rsidR="00246A58" w:rsidRPr="00CD1588" w:rsidRDefault="00246A58" w:rsidP="00246A58">
            <w:pPr>
              <w:jc w:val="center"/>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2018/2019</w:t>
            </w:r>
          </w:p>
          <w:p w14:paraId="5C351C84" w14:textId="77777777" w:rsidR="00246A58" w:rsidRPr="00CD1588" w:rsidRDefault="00246A58" w:rsidP="00246A58">
            <w:pPr>
              <w:jc w:val="center"/>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Current F/Y</w:t>
            </w:r>
          </w:p>
        </w:tc>
        <w:tc>
          <w:tcPr>
            <w:tcW w:w="1699" w:type="dxa"/>
          </w:tcPr>
          <w:p w14:paraId="7C93E6BD" w14:textId="77777777" w:rsidR="00246A58" w:rsidRPr="00CD1588" w:rsidRDefault="00246A58" w:rsidP="00246A58">
            <w:pPr>
              <w:jc w:val="center"/>
              <w:rPr>
                <w:rFonts w:ascii="Times New Roman" w:eastAsia="Times New Roman" w:hAnsi="Times New Roman"/>
                <w:lang w:eastAsia="en-ZA"/>
              </w:rPr>
            </w:pPr>
            <w:r w:rsidRPr="00CD1588">
              <w:rPr>
                <w:rFonts w:ascii="Times New Roman" w:eastAsia="Times New Roman" w:hAnsi="Times New Roman"/>
                <w:b/>
                <w:bCs/>
                <w:color w:val="000000" w:themeColor="text1"/>
                <w:lang w:val="en-GB" w:eastAsia="en-ZA"/>
              </w:rPr>
              <w:t>2019/2020</w:t>
            </w:r>
          </w:p>
        </w:tc>
        <w:tc>
          <w:tcPr>
            <w:tcW w:w="1699" w:type="dxa"/>
          </w:tcPr>
          <w:p w14:paraId="5107EB5A" w14:textId="77777777" w:rsidR="00246A58" w:rsidRPr="00CD1588" w:rsidRDefault="00246A58" w:rsidP="00246A58">
            <w:pPr>
              <w:jc w:val="center"/>
              <w:rPr>
                <w:rFonts w:ascii="Times New Roman" w:eastAsia="Times New Roman" w:hAnsi="Times New Roman"/>
                <w:lang w:eastAsia="en-ZA"/>
              </w:rPr>
            </w:pPr>
            <w:r w:rsidRPr="00CD1588">
              <w:rPr>
                <w:rFonts w:ascii="Times New Roman" w:eastAsia="Times New Roman" w:hAnsi="Times New Roman"/>
                <w:b/>
                <w:bCs/>
                <w:color w:val="000000" w:themeColor="text1"/>
                <w:lang w:val="en-GB" w:eastAsia="en-ZA"/>
              </w:rPr>
              <w:t>2020/2021</w:t>
            </w:r>
          </w:p>
        </w:tc>
      </w:tr>
      <w:tr w:rsidR="000B62B8" w14:paraId="4AD8F023" w14:textId="77777777" w:rsidTr="00246A58">
        <w:tc>
          <w:tcPr>
            <w:tcW w:w="2221" w:type="dxa"/>
          </w:tcPr>
          <w:p w14:paraId="2A6F0BF5" w14:textId="77777777" w:rsidR="00246A58" w:rsidRDefault="00246A58" w:rsidP="00246A58">
            <w:pPr>
              <w:spacing w:line="360" w:lineRule="auto"/>
              <w:jc w:val="both"/>
              <w:rPr>
                <w:rFonts w:ascii="Times New Roman" w:hAnsi="Times New Roman"/>
                <w:sz w:val="24"/>
                <w:szCs w:val="24"/>
              </w:rPr>
            </w:pPr>
          </w:p>
        </w:tc>
        <w:tc>
          <w:tcPr>
            <w:tcW w:w="1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2A8E33" w14:textId="77777777" w:rsidR="00246A58" w:rsidRPr="00CD1588" w:rsidRDefault="00246A58" w:rsidP="00246A58">
            <w:pPr>
              <w:jc w:val="right"/>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R’000</w:t>
            </w:r>
          </w:p>
        </w:tc>
        <w:tc>
          <w:tcPr>
            <w:tcW w:w="1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9DE5FC" w14:textId="77777777" w:rsidR="00246A58" w:rsidRPr="00CD1588" w:rsidRDefault="00246A58" w:rsidP="00246A58">
            <w:pPr>
              <w:jc w:val="right"/>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R’000</w:t>
            </w:r>
          </w:p>
        </w:tc>
        <w:tc>
          <w:tcPr>
            <w:tcW w:w="1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8CDBE0" w14:textId="77777777" w:rsidR="00246A58" w:rsidRPr="00CD1588" w:rsidRDefault="00246A58" w:rsidP="00246A58">
            <w:pPr>
              <w:jc w:val="right"/>
              <w:rPr>
                <w:rFonts w:ascii="Times New Roman" w:eastAsia="Times New Roman" w:hAnsi="Times New Roman"/>
                <w:lang w:eastAsia="en-ZA"/>
              </w:rPr>
            </w:pPr>
            <w:r w:rsidRPr="00CD1588">
              <w:rPr>
                <w:rFonts w:ascii="Times New Roman" w:eastAsia="Times New Roman" w:hAnsi="Times New Roman"/>
                <w:b/>
                <w:bCs/>
                <w:color w:val="000000" w:themeColor="text1"/>
                <w:lang w:eastAsia="en-ZA"/>
              </w:rPr>
              <w:t>R’000</w:t>
            </w:r>
          </w:p>
        </w:tc>
        <w:tc>
          <w:tcPr>
            <w:tcW w:w="1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DBF1D3" w14:textId="77777777" w:rsidR="00246A58" w:rsidRPr="00CD1588" w:rsidRDefault="00246A58" w:rsidP="00246A58">
            <w:pPr>
              <w:jc w:val="right"/>
              <w:rPr>
                <w:rFonts w:ascii="Times New Roman" w:eastAsia="Times New Roman" w:hAnsi="Times New Roman"/>
                <w:lang w:eastAsia="en-ZA"/>
              </w:rPr>
            </w:pPr>
            <w:r w:rsidRPr="00CD1588">
              <w:rPr>
                <w:rFonts w:ascii="Times New Roman" w:eastAsia="Times New Roman" w:hAnsi="Times New Roman"/>
                <w:b/>
                <w:bCs/>
                <w:color w:val="000000" w:themeColor="text1"/>
                <w:lang w:val="en-GB" w:eastAsia="en-ZA"/>
              </w:rPr>
              <w:t>R’000</w:t>
            </w:r>
          </w:p>
        </w:tc>
      </w:tr>
      <w:tr w:rsidR="000B62B8" w14:paraId="02059C05" w14:textId="77777777" w:rsidTr="00AE0B6F">
        <w:tc>
          <w:tcPr>
            <w:tcW w:w="2221" w:type="dxa"/>
            <w:vAlign w:val="center"/>
          </w:tcPr>
          <w:p w14:paraId="7F81494D" w14:textId="77777777" w:rsidR="00246A58" w:rsidRPr="00CD1588" w:rsidRDefault="00246A58" w:rsidP="00246A58">
            <w:pPr>
              <w:rPr>
                <w:rFonts w:ascii="Times New Roman" w:eastAsia="Times New Roman" w:hAnsi="Times New Roman"/>
                <w:lang w:eastAsia="en-ZA"/>
              </w:rPr>
            </w:pPr>
            <w:r w:rsidRPr="00CD1588">
              <w:rPr>
                <w:rFonts w:ascii="Times New Roman" w:eastAsia="Times New Roman" w:hAnsi="Times New Roman"/>
                <w:color w:val="000000" w:themeColor="dark1"/>
                <w:lang w:eastAsia="en-ZA"/>
              </w:rPr>
              <w:t>Compensation of Employees</w:t>
            </w:r>
          </w:p>
        </w:tc>
        <w:tc>
          <w:tcPr>
            <w:tcW w:w="1698" w:type="dxa"/>
            <w:vAlign w:val="center"/>
          </w:tcPr>
          <w:p w14:paraId="1DE616F8" w14:textId="77777777" w:rsidR="00246A58" w:rsidRPr="00CD1588" w:rsidRDefault="00246A58" w:rsidP="00246A58">
            <w:pPr>
              <w:jc w:val="right"/>
              <w:rPr>
                <w:rFonts w:ascii="Times New Roman" w:eastAsia="Times New Roman" w:hAnsi="Times New Roman"/>
                <w:lang w:eastAsia="en-ZA"/>
              </w:rPr>
            </w:pPr>
            <w:r>
              <w:rPr>
                <w:rFonts w:ascii="Times New Roman" w:eastAsia="Times New Roman" w:hAnsi="Times New Roman"/>
                <w:color w:val="000000" w:themeColor="dark1"/>
                <w:lang w:eastAsia="en-ZA"/>
              </w:rPr>
              <w:t>121 949</w:t>
            </w:r>
          </w:p>
        </w:tc>
        <w:tc>
          <w:tcPr>
            <w:tcW w:w="1699" w:type="dxa"/>
            <w:vAlign w:val="center"/>
          </w:tcPr>
          <w:p w14:paraId="1F0BF5A6" w14:textId="77777777" w:rsidR="00246A58" w:rsidRPr="00CD1588" w:rsidRDefault="000B62B8" w:rsidP="000B62B8">
            <w:pPr>
              <w:jc w:val="right"/>
              <w:rPr>
                <w:rFonts w:ascii="Times New Roman" w:eastAsia="Times New Roman" w:hAnsi="Times New Roman"/>
                <w:lang w:eastAsia="en-ZA"/>
              </w:rPr>
            </w:pPr>
            <w:r>
              <w:rPr>
                <w:rFonts w:ascii="Times New Roman" w:eastAsia="Times New Roman" w:hAnsi="Times New Roman"/>
                <w:color w:val="000000" w:themeColor="dark1"/>
                <w:lang w:val="en-GB" w:eastAsia="en-ZA"/>
              </w:rPr>
              <w:t>134 065</w:t>
            </w:r>
          </w:p>
        </w:tc>
        <w:tc>
          <w:tcPr>
            <w:tcW w:w="1699" w:type="dxa"/>
            <w:vAlign w:val="center"/>
          </w:tcPr>
          <w:p w14:paraId="28DB94B5" w14:textId="77777777" w:rsidR="00246A58" w:rsidRPr="00CD1588" w:rsidRDefault="000B62B8" w:rsidP="000B62B8">
            <w:pPr>
              <w:jc w:val="right"/>
              <w:rPr>
                <w:rFonts w:ascii="Times New Roman" w:eastAsia="Times New Roman" w:hAnsi="Times New Roman"/>
                <w:lang w:eastAsia="en-ZA"/>
              </w:rPr>
            </w:pPr>
            <w:r>
              <w:rPr>
                <w:rFonts w:ascii="Times New Roman" w:eastAsia="Times New Roman" w:hAnsi="Times New Roman"/>
                <w:color w:val="000000" w:themeColor="dark1"/>
                <w:lang w:val="en-GB" w:eastAsia="en-ZA"/>
              </w:rPr>
              <w:t>144 526</w:t>
            </w:r>
          </w:p>
        </w:tc>
        <w:tc>
          <w:tcPr>
            <w:tcW w:w="1699" w:type="dxa"/>
            <w:vAlign w:val="center"/>
          </w:tcPr>
          <w:p w14:paraId="0AE4AE76" w14:textId="77777777" w:rsidR="00246A58" w:rsidRPr="00CD1588" w:rsidRDefault="000B62B8" w:rsidP="000B62B8">
            <w:pPr>
              <w:jc w:val="right"/>
              <w:rPr>
                <w:rFonts w:ascii="Times New Roman" w:eastAsia="Times New Roman" w:hAnsi="Times New Roman"/>
                <w:lang w:eastAsia="en-ZA"/>
              </w:rPr>
            </w:pPr>
            <w:r>
              <w:rPr>
                <w:rFonts w:ascii="Times New Roman" w:eastAsia="Times New Roman" w:hAnsi="Times New Roman"/>
                <w:color w:val="000000" w:themeColor="dark1"/>
                <w:lang w:val="en-GB" w:eastAsia="en-ZA"/>
              </w:rPr>
              <w:t xml:space="preserve">155 802 </w:t>
            </w:r>
          </w:p>
        </w:tc>
      </w:tr>
      <w:tr w:rsidR="000B62B8" w14:paraId="335B5EA8" w14:textId="77777777" w:rsidTr="00AE0B6F">
        <w:tc>
          <w:tcPr>
            <w:tcW w:w="2221" w:type="dxa"/>
            <w:vAlign w:val="center"/>
          </w:tcPr>
          <w:p w14:paraId="2C3F134E" w14:textId="77777777" w:rsidR="00246A58" w:rsidRPr="00CD1588" w:rsidRDefault="00246A58" w:rsidP="00246A58">
            <w:pPr>
              <w:rPr>
                <w:rFonts w:ascii="Times New Roman" w:eastAsia="Times New Roman" w:hAnsi="Times New Roman"/>
                <w:lang w:eastAsia="en-ZA"/>
              </w:rPr>
            </w:pPr>
            <w:r w:rsidRPr="00CD1588">
              <w:rPr>
                <w:rFonts w:ascii="Times New Roman" w:eastAsia="Times New Roman" w:hAnsi="Times New Roman"/>
                <w:color w:val="000000" w:themeColor="dark1"/>
                <w:lang w:eastAsia="en-ZA"/>
              </w:rPr>
              <w:t>Goods &amp; Services</w:t>
            </w:r>
          </w:p>
        </w:tc>
        <w:tc>
          <w:tcPr>
            <w:tcW w:w="1698" w:type="dxa"/>
            <w:vAlign w:val="center"/>
          </w:tcPr>
          <w:p w14:paraId="0AD4669E" w14:textId="77777777" w:rsidR="00246A58" w:rsidRPr="00CD1588" w:rsidRDefault="00246A58" w:rsidP="00246A58">
            <w:pPr>
              <w:jc w:val="right"/>
              <w:rPr>
                <w:rFonts w:ascii="Times New Roman" w:eastAsia="Times New Roman" w:hAnsi="Times New Roman"/>
                <w:lang w:eastAsia="en-ZA"/>
              </w:rPr>
            </w:pPr>
            <w:r>
              <w:rPr>
                <w:rFonts w:ascii="Times New Roman" w:eastAsia="Times New Roman" w:hAnsi="Times New Roman"/>
                <w:color w:val="000000" w:themeColor="dark1"/>
                <w:lang w:eastAsia="en-ZA"/>
              </w:rPr>
              <w:t>35 289</w:t>
            </w:r>
          </w:p>
        </w:tc>
        <w:tc>
          <w:tcPr>
            <w:tcW w:w="1699" w:type="dxa"/>
            <w:vAlign w:val="center"/>
          </w:tcPr>
          <w:p w14:paraId="11716643" w14:textId="77777777" w:rsidR="00246A58" w:rsidRPr="00CD1588" w:rsidRDefault="000B62B8" w:rsidP="000B62B8">
            <w:pPr>
              <w:jc w:val="right"/>
              <w:rPr>
                <w:rFonts w:ascii="Times New Roman" w:eastAsia="Times New Roman" w:hAnsi="Times New Roman"/>
                <w:lang w:eastAsia="en-ZA"/>
              </w:rPr>
            </w:pPr>
            <w:r>
              <w:rPr>
                <w:rFonts w:ascii="Times New Roman" w:eastAsia="Times New Roman" w:hAnsi="Times New Roman"/>
                <w:color w:val="000000" w:themeColor="dark1"/>
                <w:lang w:val="en-GB" w:eastAsia="en-ZA"/>
              </w:rPr>
              <w:t>56 025</w:t>
            </w:r>
          </w:p>
        </w:tc>
        <w:tc>
          <w:tcPr>
            <w:tcW w:w="1699" w:type="dxa"/>
            <w:vAlign w:val="center"/>
          </w:tcPr>
          <w:p w14:paraId="466CC7EB" w14:textId="77777777" w:rsidR="00246A58" w:rsidRPr="00CD1588" w:rsidRDefault="000B62B8" w:rsidP="000B62B8">
            <w:pPr>
              <w:jc w:val="right"/>
              <w:rPr>
                <w:rFonts w:ascii="Times New Roman" w:eastAsia="Times New Roman" w:hAnsi="Times New Roman"/>
                <w:lang w:eastAsia="en-ZA"/>
              </w:rPr>
            </w:pPr>
            <w:r>
              <w:rPr>
                <w:rFonts w:ascii="Times New Roman" w:eastAsia="Times New Roman" w:hAnsi="Times New Roman"/>
                <w:color w:val="000000" w:themeColor="dark1"/>
                <w:lang w:val="en-GB" w:eastAsia="en-ZA"/>
              </w:rPr>
              <w:t>58 586</w:t>
            </w:r>
          </w:p>
        </w:tc>
        <w:tc>
          <w:tcPr>
            <w:tcW w:w="1699" w:type="dxa"/>
            <w:vAlign w:val="center"/>
          </w:tcPr>
          <w:p w14:paraId="563E6952" w14:textId="77777777" w:rsidR="00246A58" w:rsidRPr="00CD1588" w:rsidRDefault="000B62B8" w:rsidP="00246A58">
            <w:pPr>
              <w:jc w:val="right"/>
              <w:rPr>
                <w:rFonts w:ascii="Times New Roman" w:eastAsia="Times New Roman" w:hAnsi="Times New Roman"/>
                <w:lang w:eastAsia="en-ZA"/>
              </w:rPr>
            </w:pPr>
            <w:r w:rsidRPr="000B62B8">
              <w:rPr>
                <w:rFonts w:ascii="Times New Roman" w:eastAsia="Times New Roman" w:hAnsi="Times New Roman"/>
                <w:lang w:eastAsia="en-ZA"/>
              </w:rPr>
              <w:t>61 017</w:t>
            </w:r>
          </w:p>
        </w:tc>
      </w:tr>
      <w:tr w:rsidR="000B62B8" w14:paraId="3C399D61" w14:textId="77777777" w:rsidTr="00AE0B6F">
        <w:tc>
          <w:tcPr>
            <w:tcW w:w="2221" w:type="dxa"/>
            <w:vAlign w:val="center"/>
          </w:tcPr>
          <w:p w14:paraId="534B3423" w14:textId="77777777" w:rsidR="00246A58" w:rsidRPr="00CD1588" w:rsidRDefault="00246A58" w:rsidP="00246A58">
            <w:pPr>
              <w:rPr>
                <w:rFonts w:ascii="Times New Roman" w:eastAsia="Times New Roman" w:hAnsi="Times New Roman"/>
                <w:lang w:eastAsia="en-ZA"/>
              </w:rPr>
            </w:pPr>
            <w:r w:rsidRPr="00CD1588">
              <w:rPr>
                <w:rFonts w:ascii="Times New Roman" w:eastAsia="Times New Roman" w:hAnsi="Times New Roman"/>
                <w:color w:val="000000" w:themeColor="dark1"/>
                <w:lang w:eastAsia="en-ZA"/>
              </w:rPr>
              <w:t>Transfers</w:t>
            </w:r>
          </w:p>
        </w:tc>
        <w:tc>
          <w:tcPr>
            <w:tcW w:w="1698" w:type="dxa"/>
            <w:vAlign w:val="center"/>
          </w:tcPr>
          <w:p w14:paraId="071C0C25" w14:textId="77777777" w:rsidR="00246A58" w:rsidRPr="00CD1588" w:rsidRDefault="00246A58" w:rsidP="00246A58">
            <w:pPr>
              <w:jc w:val="right"/>
              <w:rPr>
                <w:rFonts w:ascii="Times New Roman" w:eastAsia="Times New Roman" w:hAnsi="Times New Roman"/>
                <w:lang w:eastAsia="en-ZA"/>
              </w:rPr>
            </w:pPr>
            <w:r>
              <w:rPr>
                <w:rFonts w:ascii="Times New Roman" w:eastAsia="Times New Roman" w:hAnsi="Times New Roman"/>
                <w:color w:val="000000" w:themeColor="dark1"/>
                <w:lang w:val="en-GB" w:eastAsia="en-ZA"/>
              </w:rPr>
              <w:t>9</w:t>
            </w:r>
          </w:p>
        </w:tc>
        <w:tc>
          <w:tcPr>
            <w:tcW w:w="1699" w:type="dxa"/>
            <w:vAlign w:val="center"/>
          </w:tcPr>
          <w:p w14:paraId="5A0A8A5B" w14:textId="77777777" w:rsidR="00246A58" w:rsidRPr="00CD1588" w:rsidRDefault="000B62B8" w:rsidP="00246A58">
            <w:pPr>
              <w:jc w:val="right"/>
              <w:rPr>
                <w:rFonts w:ascii="Times New Roman" w:eastAsia="Times New Roman" w:hAnsi="Times New Roman"/>
                <w:lang w:eastAsia="en-ZA"/>
              </w:rPr>
            </w:pPr>
            <w:r>
              <w:rPr>
                <w:rFonts w:ascii="Times New Roman" w:eastAsia="Times New Roman" w:hAnsi="Times New Roman"/>
                <w:lang w:eastAsia="en-ZA"/>
              </w:rPr>
              <w:t>4</w:t>
            </w:r>
          </w:p>
        </w:tc>
        <w:tc>
          <w:tcPr>
            <w:tcW w:w="1699" w:type="dxa"/>
            <w:vAlign w:val="center"/>
          </w:tcPr>
          <w:p w14:paraId="616AB79F" w14:textId="77777777" w:rsidR="00246A58" w:rsidRPr="00CD1588" w:rsidRDefault="000B62B8" w:rsidP="00246A58">
            <w:pPr>
              <w:jc w:val="right"/>
              <w:rPr>
                <w:rFonts w:ascii="Times New Roman" w:eastAsia="Times New Roman" w:hAnsi="Times New Roman"/>
                <w:lang w:eastAsia="en-ZA"/>
              </w:rPr>
            </w:pPr>
            <w:r>
              <w:rPr>
                <w:rFonts w:ascii="Times New Roman" w:eastAsia="Times New Roman" w:hAnsi="Times New Roman"/>
                <w:color w:val="000000" w:themeColor="dark1"/>
                <w:lang w:val="en-GB" w:eastAsia="en-ZA"/>
              </w:rPr>
              <w:t>4</w:t>
            </w:r>
          </w:p>
        </w:tc>
        <w:tc>
          <w:tcPr>
            <w:tcW w:w="1699" w:type="dxa"/>
            <w:vAlign w:val="center"/>
          </w:tcPr>
          <w:p w14:paraId="5613448C" w14:textId="77777777" w:rsidR="00246A58" w:rsidRPr="00CD1588" w:rsidRDefault="000B62B8" w:rsidP="00246A58">
            <w:pPr>
              <w:jc w:val="right"/>
              <w:rPr>
                <w:rFonts w:ascii="Times New Roman" w:eastAsia="Times New Roman" w:hAnsi="Times New Roman"/>
                <w:lang w:eastAsia="en-ZA"/>
              </w:rPr>
            </w:pPr>
            <w:r>
              <w:rPr>
                <w:rFonts w:ascii="Times New Roman" w:eastAsia="Times New Roman" w:hAnsi="Times New Roman"/>
                <w:color w:val="000000" w:themeColor="dark1"/>
                <w:lang w:val="en-GB" w:eastAsia="en-ZA"/>
              </w:rPr>
              <w:t>4</w:t>
            </w:r>
          </w:p>
        </w:tc>
      </w:tr>
      <w:tr w:rsidR="000B62B8" w14:paraId="27E0FC5C" w14:textId="77777777" w:rsidTr="00AE0B6F">
        <w:tc>
          <w:tcPr>
            <w:tcW w:w="2221" w:type="dxa"/>
            <w:vAlign w:val="center"/>
          </w:tcPr>
          <w:p w14:paraId="09576902" w14:textId="77777777" w:rsidR="00246A58" w:rsidRPr="00CD1588" w:rsidRDefault="00246A58" w:rsidP="00246A58">
            <w:pPr>
              <w:rPr>
                <w:rFonts w:ascii="Times New Roman" w:eastAsia="Times New Roman" w:hAnsi="Times New Roman"/>
                <w:lang w:eastAsia="en-ZA"/>
              </w:rPr>
            </w:pPr>
            <w:r w:rsidRPr="00CD1588">
              <w:rPr>
                <w:rFonts w:ascii="Times New Roman" w:eastAsia="Times New Roman" w:hAnsi="Times New Roman"/>
                <w:b/>
                <w:bCs/>
                <w:color w:val="000000" w:themeColor="dark1"/>
                <w:lang w:eastAsia="en-ZA"/>
              </w:rPr>
              <w:t>Total</w:t>
            </w:r>
          </w:p>
        </w:tc>
        <w:tc>
          <w:tcPr>
            <w:tcW w:w="1698" w:type="dxa"/>
            <w:vAlign w:val="center"/>
          </w:tcPr>
          <w:p w14:paraId="7964323D" w14:textId="77777777" w:rsidR="00246A58" w:rsidRPr="00CD1588" w:rsidRDefault="000B62B8" w:rsidP="000B62B8">
            <w:pPr>
              <w:jc w:val="right"/>
              <w:rPr>
                <w:rFonts w:ascii="Times New Roman" w:eastAsia="Times New Roman" w:hAnsi="Times New Roman"/>
                <w:lang w:eastAsia="en-ZA"/>
              </w:rPr>
            </w:pPr>
            <w:r>
              <w:rPr>
                <w:rFonts w:ascii="Times New Roman" w:eastAsia="Times New Roman" w:hAnsi="Times New Roman"/>
                <w:b/>
                <w:bCs/>
                <w:color w:val="000000" w:themeColor="dark1"/>
                <w:lang w:eastAsia="en-ZA"/>
              </w:rPr>
              <w:t>157 247</w:t>
            </w:r>
          </w:p>
        </w:tc>
        <w:tc>
          <w:tcPr>
            <w:tcW w:w="1699" w:type="dxa"/>
            <w:vAlign w:val="center"/>
          </w:tcPr>
          <w:p w14:paraId="13E83710" w14:textId="77777777" w:rsidR="00246A58" w:rsidRPr="00CD1588" w:rsidRDefault="00246A58" w:rsidP="000B62B8">
            <w:pPr>
              <w:jc w:val="right"/>
              <w:rPr>
                <w:rFonts w:ascii="Times New Roman" w:eastAsia="Times New Roman" w:hAnsi="Times New Roman"/>
                <w:lang w:eastAsia="en-ZA"/>
              </w:rPr>
            </w:pPr>
            <w:r w:rsidRPr="00CD1588">
              <w:rPr>
                <w:rFonts w:ascii="Times New Roman" w:eastAsia="Times New Roman" w:hAnsi="Times New Roman"/>
                <w:b/>
                <w:bCs/>
                <w:color w:val="000000" w:themeColor="dark1"/>
                <w:lang w:val="en-GB" w:eastAsia="en-ZA"/>
              </w:rPr>
              <w:t>1</w:t>
            </w:r>
            <w:r w:rsidR="000B62B8">
              <w:rPr>
                <w:rFonts w:ascii="Times New Roman" w:eastAsia="Times New Roman" w:hAnsi="Times New Roman"/>
                <w:b/>
                <w:bCs/>
                <w:color w:val="000000" w:themeColor="dark1"/>
                <w:lang w:val="en-GB" w:eastAsia="en-ZA"/>
              </w:rPr>
              <w:t>90</w:t>
            </w:r>
            <w:r w:rsidRPr="00CD1588">
              <w:rPr>
                <w:rFonts w:ascii="Times New Roman" w:eastAsia="Times New Roman" w:hAnsi="Times New Roman"/>
                <w:b/>
                <w:bCs/>
                <w:color w:val="000000" w:themeColor="dark1"/>
                <w:lang w:val="en-GB" w:eastAsia="en-ZA"/>
              </w:rPr>
              <w:t xml:space="preserve"> 0</w:t>
            </w:r>
            <w:r w:rsidR="000B62B8">
              <w:rPr>
                <w:rFonts w:ascii="Times New Roman" w:eastAsia="Times New Roman" w:hAnsi="Times New Roman"/>
                <w:b/>
                <w:bCs/>
                <w:color w:val="000000" w:themeColor="dark1"/>
                <w:lang w:val="en-GB" w:eastAsia="en-ZA"/>
              </w:rPr>
              <w:t>94</w:t>
            </w:r>
          </w:p>
        </w:tc>
        <w:tc>
          <w:tcPr>
            <w:tcW w:w="1699" w:type="dxa"/>
            <w:vAlign w:val="center"/>
          </w:tcPr>
          <w:p w14:paraId="4E951FAD" w14:textId="77777777" w:rsidR="00246A58" w:rsidRPr="00CD1588" w:rsidRDefault="000B62B8" w:rsidP="000B62B8">
            <w:pPr>
              <w:jc w:val="right"/>
              <w:rPr>
                <w:rFonts w:ascii="Times New Roman" w:eastAsia="Times New Roman" w:hAnsi="Times New Roman"/>
                <w:lang w:eastAsia="en-ZA"/>
              </w:rPr>
            </w:pPr>
            <w:r>
              <w:rPr>
                <w:rFonts w:ascii="Times New Roman" w:eastAsia="Times New Roman" w:hAnsi="Times New Roman"/>
                <w:b/>
                <w:bCs/>
                <w:color w:val="000000" w:themeColor="dark1"/>
                <w:lang w:eastAsia="en-ZA"/>
              </w:rPr>
              <w:t>2013 116</w:t>
            </w:r>
          </w:p>
        </w:tc>
        <w:tc>
          <w:tcPr>
            <w:tcW w:w="1699" w:type="dxa"/>
            <w:vAlign w:val="center"/>
          </w:tcPr>
          <w:p w14:paraId="49ED18E6" w14:textId="77777777" w:rsidR="00246A58" w:rsidRPr="00CD1588" w:rsidRDefault="000B62B8" w:rsidP="000B62B8">
            <w:pPr>
              <w:jc w:val="right"/>
              <w:rPr>
                <w:rFonts w:ascii="Times New Roman" w:eastAsia="Times New Roman" w:hAnsi="Times New Roman"/>
                <w:lang w:eastAsia="en-ZA"/>
              </w:rPr>
            </w:pPr>
            <w:r>
              <w:rPr>
                <w:rFonts w:ascii="Times New Roman" w:eastAsia="Times New Roman" w:hAnsi="Times New Roman"/>
                <w:b/>
                <w:bCs/>
                <w:color w:val="000000" w:themeColor="dark1"/>
                <w:lang w:eastAsia="en-ZA"/>
              </w:rPr>
              <w:t>216 823</w:t>
            </w:r>
          </w:p>
        </w:tc>
      </w:tr>
    </w:tbl>
    <w:p w14:paraId="7D3E0FDD" w14:textId="77777777" w:rsidR="00EC37DF" w:rsidRDefault="003B6509" w:rsidP="003B6509">
      <w:pPr>
        <w:spacing w:line="360" w:lineRule="auto"/>
        <w:ind w:left="2160" w:firstLine="720"/>
        <w:jc w:val="both"/>
        <w:rPr>
          <w:rFonts w:ascii="Times New Roman" w:hAnsi="Times New Roman"/>
          <w:sz w:val="24"/>
          <w:szCs w:val="24"/>
        </w:rPr>
      </w:pPr>
      <w:r>
        <w:rPr>
          <w:rFonts w:ascii="Times New Roman" w:hAnsi="Times New Roman"/>
          <w:sz w:val="24"/>
          <w:szCs w:val="24"/>
        </w:rPr>
        <w:t xml:space="preserve">                                                              </w:t>
      </w:r>
      <w:r w:rsidR="000B62B8">
        <w:rPr>
          <w:rFonts w:ascii="Times New Roman" w:hAnsi="Times New Roman"/>
          <w:sz w:val="24"/>
          <w:szCs w:val="24"/>
        </w:rPr>
        <w:t>Source: IPI</w:t>
      </w:r>
      <w:r>
        <w:rPr>
          <w:rFonts w:ascii="Times New Roman" w:hAnsi="Times New Roman"/>
          <w:sz w:val="24"/>
          <w:szCs w:val="24"/>
        </w:rPr>
        <w:t>D</w:t>
      </w:r>
      <w:r w:rsidR="000B62B8">
        <w:rPr>
          <w:rFonts w:ascii="Times New Roman" w:hAnsi="Times New Roman"/>
          <w:sz w:val="24"/>
          <w:szCs w:val="24"/>
        </w:rPr>
        <w:t xml:space="preserve"> 2018 APP</w:t>
      </w:r>
    </w:p>
    <w:p w14:paraId="50F38533" w14:textId="77777777" w:rsidR="000B62B8" w:rsidRDefault="000B62B8" w:rsidP="00AD51DD">
      <w:pPr>
        <w:spacing w:line="360" w:lineRule="auto"/>
        <w:jc w:val="both"/>
        <w:rPr>
          <w:rFonts w:ascii="Times New Roman" w:hAnsi="Times New Roman"/>
          <w:sz w:val="24"/>
          <w:szCs w:val="24"/>
        </w:rPr>
      </w:pPr>
      <w:r>
        <w:rPr>
          <w:rFonts w:ascii="Times New Roman" w:hAnsi="Times New Roman"/>
          <w:sz w:val="24"/>
          <w:szCs w:val="24"/>
        </w:rPr>
        <w:t>Th</w:t>
      </w:r>
      <w:r w:rsidR="003B6509">
        <w:rPr>
          <w:rFonts w:ascii="Times New Roman" w:hAnsi="Times New Roman"/>
          <w:sz w:val="24"/>
          <w:szCs w:val="24"/>
        </w:rPr>
        <w:t xml:space="preserve">e Investigation and Information Management </w:t>
      </w:r>
      <w:r>
        <w:rPr>
          <w:rFonts w:ascii="Times New Roman" w:hAnsi="Times New Roman"/>
          <w:sz w:val="24"/>
          <w:szCs w:val="24"/>
        </w:rPr>
        <w:t>programme mirrors the Programme 1 with respect to Compensation of Employees which allocation is increased from R121 .9 million in 2017/18 to a total of R134. 0 million in 2018/19. It remains the biggest cost driver of Programme 2.</w:t>
      </w:r>
    </w:p>
    <w:p w14:paraId="2949CF5E" w14:textId="77777777" w:rsidR="003B6509" w:rsidRPr="00C01EFB" w:rsidRDefault="00C01EFB" w:rsidP="00AD51DD">
      <w:pPr>
        <w:spacing w:line="360" w:lineRule="auto"/>
        <w:jc w:val="both"/>
        <w:rPr>
          <w:rFonts w:ascii="Times New Roman" w:hAnsi="Times New Roman"/>
          <w:b/>
          <w:sz w:val="24"/>
          <w:szCs w:val="24"/>
        </w:rPr>
      </w:pPr>
      <w:r>
        <w:rPr>
          <w:rFonts w:ascii="Times New Roman" w:hAnsi="Times New Roman"/>
          <w:b/>
          <w:sz w:val="24"/>
          <w:szCs w:val="24"/>
        </w:rPr>
        <w:t>4.2.1</w:t>
      </w:r>
      <w:r>
        <w:rPr>
          <w:rFonts w:ascii="Times New Roman" w:hAnsi="Times New Roman"/>
          <w:b/>
          <w:sz w:val="24"/>
          <w:szCs w:val="24"/>
        </w:rPr>
        <w:tab/>
      </w:r>
      <w:r w:rsidR="003B6509" w:rsidRPr="00C01EFB">
        <w:rPr>
          <w:rFonts w:ascii="Times New Roman" w:hAnsi="Times New Roman"/>
          <w:b/>
          <w:sz w:val="24"/>
          <w:szCs w:val="24"/>
        </w:rPr>
        <w:t>Performance targets</w:t>
      </w:r>
    </w:p>
    <w:p w14:paraId="0FA51AD3" w14:textId="77777777" w:rsidR="003B6509" w:rsidRDefault="003B6509" w:rsidP="00AD51DD">
      <w:pPr>
        <w:spacing w:line="360" w:lineRule="auto"/>
        <w:jc w:val="both"/>
        <w:rPr>
          <w:rFonts w:ascii="Times New Roman" w:hAnsi="Times New Roman"/>
          <w:sz w:val="24"/>
          <w:szCs w:val="24"/>
        </w:rPr>
      </w:pPr>
      <w:r w:rsidRPr="003B6509">
        <w:rPr>
          <w:rFonts w:ascii="Times New Roman" w:hAnsi="Times New Roman"/>
          <w:sz w:val="24"/>
          <w:szCs w:val="24"/>
        </w:rPr>
        <w:t>The table below summarises the programme performance indicators and targets of the Investigation and Information Management Programme:</w:t>
      </w:r>
    </w:p>
    <w:p w14:paraId="4C02C3AE" w14:textId="77777777" w:rsidR="003B6509" w:rsidRPr="00C01EFB" w:rsidRDefault="00C01EFB" w:rsidP="00AD51DD">
      <w:pPr>
        <w:spacing w:line="360" w:lineRule="auto"/>
        <w:jc w:val="both"/>
        <w:rPr>
          <w:rFonts w:ascii="Times New Roman" w:hAnsi="Times New Roman"/>
        </w:rPr>
      </w:pPr>
      <w:r w:rsidRPr="00C01EFB">
        <w:rPr>
          <w:rFonts w:ascii="Times New Roman" w:eastAsiaTheme="minorHAnsi" w:hAnsi="Times New Roman"/>
          <w:b/>
          <w:bCs/>
          <w:color w:val="000000"/>
        </w:rPr>
        <w:t>Table 6</w:t>
      </w:r>
      <w:r w:rsidR="003B6509" w:rsidRPr="00C01EFB">
        <w:rPr>
          <w:rFonts w:ascii="Times New Roman" w:eastAsiaTheme="minorHAnsi" w:hAnsi="Times New Roman"/>
          <w:b/>
          <w:bCs/>
          <w:color w:val="000000"/>
        </w:rPr>
        <w:t>: Programme Performance Indicators and Targets: Investigation and Information Management Programme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5"/>
        <w:gridCol w:w="2978"/>
      </w:tblGrid>
      <w:tr w:rsidR="003B6509" w:rsidRPr="003B6509" w14:paraId="1ADDF708" w14:textId="77777777" w:rsidTr="00AE0B6F">
        <w:trPr>
          <w:trHeight w:val="93"/>
          <w:jc w:val="center"/>
        </w:trPr>
        <w:tc>
          <w:tcPr>
            <w:tcW w:w="4355" w:type="dxa"/>
          </w:tcPr>
          <w:p w14:paraId="2119B870"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b/>
                <w:bCs/>
                <w:color w:val="000000"/>
              </w:rPr>
              <w:t xml:space="preserve">Strategic objectives and Annual Targets </w:t>
            </w:r>
          </w:p>
        </w:tc>
        <w:tc>
          <w:tcPr>
            <w:tcW w:w="2978" w:type="dxa"/>
          </w:tcPr>
          <w:p w14:paraId="72C56C70"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b/>
                <w:bCs/>
                <w:color w:val="000000"/>
              </w:rPr>
              <w:t>2018/19</w:t>
            </w:r>
          </w:p>
        </w:tc>
      </w:tr>
      <w:tr w:rsidR="003B6509" w:rsidRPr="003B6509" w14:paraId="4101F1DC" w14:textId="77777777" w:rsidTr="00AE0B6F">
        <w:trPr>
          <w:trHeight w:val="93"/>
          <w:jc w:val="center"/>
        </w:trPr>
        <w:tc>
          <w:tcPr>
            <w:tcW w:w="7333" w:type="dxa"/>
            <w:gridSpan w:val="2"/>
          </w:tcPr>
          <w:p w14:paraId="505AA893"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b/>
                <w:bCs/>
                <w:color w:val="000000"/>
              </w:rPr>
              <w:t xml:space="preserve">Strategic Objective: Specialised investigative capacity established </w:t>
            </w:r>
          </w:p>
        </w:tc>
      </w:tr>
      <w:tr w:rsidR="003B6509" w:rsidRPr="003B6509" w14:paraId="307E7D7F" w14:textId="77777777" w:rsidTr="00AE0B6F">
        <w:trPr>
          <w:trHeight w:val="94"/>
          <w:jc w:val="center"/>
        </w:trPr>
        <w:tc>
          <w:tcPr>
            <w:tcW w:w="4355" w:type="dxa"/>
          </w:tcPr>
          <w:p w14:paraId="02A85254" w14:textId="77777777" w:rsidR="003B6509" w:rsidRPr="003B6509" w:rsidRDefault="003B6509" w:rsidP="003B6509">
            <w:pPr>
              <w:autoSpaceDE w:val="0"/>
              <w:autoSpaceDN w:val="0"/>
              <w:adjustRightInd w:val="0"/>
              <w:spacing w:after="0" w:line="240" w:lineRule="auto"/>
              <w:rPr>
                <w:rFonts w:ascii="Times New Roman" w:eastAsiaTheme="minorHAnsi" w:hAnsi="Times New Roman"/>
              </w:rPr>
            </w:pPr>
          </w:p>
          <w:p w14:paraId="0E6B05FC"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Number of investigators trained on specialised services </w:t>
            </w:r>
          </w:p>
          <w:p w14:paraId="3AD14122"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Pr>
          <w:p w14:paraId="08BC82C2"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p w14:paraId="42F0F1F1"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75</w:t>
            </w:r>
          </w:p>
        </w:tc>
      </w:tr>
      <w:tr w:rsidR="003B6509" w:rsidRPr="003B6509" w14:paraId="6A364572" w14:textId="77777777" w:rsidTr="00AE0B6F">
        <w:trPr>
          <w:trHeight w:val="93"/>
          <w:jc w:val="center"/>
        </w:trPr>
        <w:tc>
          <w:tcPr>
            <w:tcW w:w="7333" w:type="dxa"/>
            <w:gridSpan w:val="2"/>
          </w:tcPr>
          <w:p w14:paraId="7FA14DE5"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b/>
                <w:bCs/>
                <w:color w:val="000000"/>
              </w:rPr>
              <w:t xml:space="preserve">Strategic Objective: Decision-ready cases finalised </w:t>
            </w:r>
          </w:p>
        </w:tc>
      </w:tr>
      <w:tr w:rsidR="003B6509" w:rsidRPr="003B6509" w14:paraId="222A9834" w14:textId="77777777" w:rsidTr="00AE0B6F">
        <w:trPr>
          <w:trHeight w:val="233"/>
          <w:jc w:val="center"/>
        </w:trPr>
        <w:tc>
          <w:tcPr>
            <w:tcW w:w="4355" w:type="dxa"/>
          </w:tcPr>
          <w:p w14:paraId="3F131EF9"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Percentage of decision ready cases completed from total cases received </w:t>
            </w:r>
          </w:p>
          <w:p w14:paraId="5B981A43"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Pr>
          <w:p w14:paraId="75345414" w14:textId="77777777" w:rsidR="00DD7D0D"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45% </w:t>
            </w:r>
          </w:p>
          <w:p w14:paraId="738A7800"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(5 347)</w:t>
            </w:r>
          </w:p>
        </w:tc>
      </w:tr>
      <w:tr w:rsidR="003B6509" w:rsidRPr="003B6509" w14:paraId="2E735193" w14:textId="77777777" w:rsidTr="00AE0B6F">
        <w:trPr>
          <w:trHeight w:val="232"/>
          <w:jc w:val="center"/>
        </w:trPr>
        <w:tc>
          <w:tcPr>
            <w:tcW w:w="7333" w:type="dxa"/>
            <w:gridSpan w:val="2"/>
          </w:tcPr>
          <w:p w14:paraId="571DD4A3"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b/>
                <w:bCs/>
                <w:color w:val="000000"/>
              </w:rPr>
              <w:t xml:space="preserve">Strategic Objective: Provide Investigation advisory service to investigators </w:t>
            </w:r>
          </w:p>
        </w:tc>
      </w:tr>
      <w:tr w:rsidR="003B6509" w:rsidRPr="003B6509" w14:paraId="5C69C9CA" w14:textId="77777777" w:rsidTr="00AE0B6F">
        <w:trPr>
          <w:trHeight w:val="233"/>
          <w:jc w:val="center"/>
        </w:trPr>
        <w:tc>
          <w:tcPr>
            <w:tcW w:w="4355" w:type="dxa"/>
          </w:tcPr>
          <w:p w14:paraId="190D3E82" w14:textId="77777777" w:rsidR="003B6509" w:rsidRPr="003B6509" w:rsidRDefault="003B6509" w:rsidP="003B6509">
            <w:pPr>
              <w:autoSpaceDE w:val="0"/>
              <w:autoSpaceDN w:val="0"/>
              <w:adjustRightInd w:val="0"/>
              <w:spacing w:after="0" w:line="240" w:lineRule="auto"/>
              <w:rPr>
                <w:rFonts w:ascii="Times New Roman" w:eastAsiaTheme="minorHAnsi" w:hAnsi="Times New Roman"/>
              </w:rPr>
            </w:pPr>
          </w:p>
          <w:p w14:paraId="2C23CD5B"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Percentage of legal advice provided to investigators from the total requests received </w:t>
            </w:r>
          </w:p>
          <w:p w14:paraId="7489E483"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Pr>
          <w:p w14:paraId="6910683A" w14:textId="77777777" w:rsidR="00DD7D0D"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90% </w:t>
            </w:r>
          </w:p>
          <w:p w14:paraId="357B75FA"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(6)</w:t>
            </w:r>
          </w:p>
        </w:tc>
      </w:tr>
      <w:tr w:rsidR="003B6509" w:rsidRPr="003B6509" w14:paraId="03E9810D" w14:textId="77777777" w:rsidTr="00AE0B6F">
        <w:trPr>
          <w:trHeight w:val="93"/>
          <w:jc w:val="center"/>
        </w:trPr>
        <w:tc>
          <w:tcPr>
            <w:tcW w:w="7333" w:type="dxa"/>
            <w:gridSpan w:val="2"/>
          </w:tcPr>
          <w:p w14:paraId="616F3FA5"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b/>
                <w:bCs/>
                <w:color w:val="000000"/>
              </w:rPr>
              <w:t xml:space="preserve">Performance Indicator </w:t>
            </w:r>
          </w:p>
        </w:tc>
      </w:tr>
      <w:tr w:rsidR="003B6509" w:rsidRPr="003B6509" w14:paraId="32639A58" w14:textId="77777777" w:rsidTr="00AE0B6F">
        <w:trPr>
          <w:trHeight w:val="696"/>
          <w:jc w:val="center"/>
        </w:trPr>
        <w:tc>
          <w:tcPr>
            <w:tcW w:w="4355" w:type="dxa"/>
          </w:tcPr>
          <w:p w14:paraId="3008769D"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1) Percentage of cases registered and allocated within 72 hours of written notification </w:t>
            </w:r>
          </w:p>
          <w:p w14:paraId="4FBB22ED"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Pr>
          <w:p w14:paraId="5937B949" w14:textId="77777777" w:rsidR="00DD7D0D"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79% </w:t>
            </w:r>
          </w:p>
          <w:p w14:paraId="49CC0188"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(5 332)</w:t>
            </w:r>
          </w:p>
        </w:tc>
      </w:tr>
      <w:tr w:rsidR="003B6509" w:rsidRPr="003B6509" w14:paraId="0C5F7CCA" w14:textId="77777777" w:rsidTr="00AE0B6F">
        <w:trPr>
          <w:trHeight w:val="710"/>
          <w:jc w:val="center"/>
        </w:trPr>
        <w:tc>
          <w:tcPr>
            <w:tcW w:w="4355" w:type="dxa"/>
          </w:tcPr>
          <w:p w14:paraId="3224F6F0"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2) Number of statistical reports on investigations generated </w:t>
            </w:r>
            <w:r w:rsidRPr="003B6509">
              <w:rPr>
                <w:rFonts w:ascii="Times New Roman" w:eastAsiaTheme="minorHAnsi" w:hAnsi="Times New Roman"/>
                <w:i/>
                <w:iCs/>
                <w:color w:val="000000"/>
              </w:rPr>
              <w:t xml:space="preserve">(Revised) </w:t>
            </w:r>
          </w:p>
          <w:p w14:paraId="4F222E47"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Pr>
          <w:p w14:paraId="6D563281"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p>
          <w:p w14:paraId="1EDC8177"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2</w:t>
            </w:r>
          </w:p>
        </w:tc>
      </w:tr>
      <w:tr w:rsidR="003B6509" w:rsidRPr="003B6509" w14:paraId="116C88C2" w14:textId="77777777" w:rsidTr="00AE0B6F">
        <w:trPr>
          <w:trHeight w:val="233"/>
          <w:jc w:val="center"/>
        </w:trPr>
        <w:tc>
          <w:tcPr>
            <w:tcW w:w="4355" w:type="dxa"/>
          </w:tcPr>
          <w:p w14:paraId="4642FA98"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3) Number of investigations of deaths in police custody that are decision ready </w:t>
            </w:r>
            <w:r w:rsidRPr="003B6509">
              <w:rPr>
                <w:rFonts w:ascii="Times New Roman" w:eastAsiaTheme="minorHAnsi" w:hAnsi="Times New Roman"/>
                <w:i/>
                <w:iCs/>
                <w:color w:val="000000"/>
              </w:rPr>
              <w:t xml:space="preserve">(Revised) </w:t>
            </w:r>
          </w:p>
          <w:p w14:paraId="12946F51"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Pr>
          <w:p w14:paraId="637F1E96"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p>
          <w:p w14:paraId="1EC5481F"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150</w:t>
            </w:r>
          </w:p>
        </w:tc>
      </w:tr>
      <w:tr w:rsidR="003B6509" w:rsidRPr="003B6509" w14:paraId="4A8BECFD"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0BC7367F" w14:textId="77777777" w:rsidR="003B6509" w:rsidRPr="003B6509" w:rsidRDefault="003B6509" w:rsidP="003B6509">
            <w:pPr>
              <w:autoSpaceDE w:val="0"/>
              <w:autoSpaceDN w:val="0"/>
              <w:adjustRightInd w:val="0"/>
              <w:spacing w:after="0" w:line="240" w:lineRule="auto"/>
              <w:rPr>
                <w:rFonts w:ascii="Times New Roman" w:eastAsiaTheme="minorHAnsi" w:hAnsi="Times New Roman"/>
                <w:b/>
                <w:color w:val="000000"/>
              </w:rPr>
            </w:pPr>
            <w:r w:rsidRPr="003B6509">
              <w:rPr>
                <w:rFonts w:ascii="Times New Roman" w:eastAsiaTheme="minorHAnsi" w:hAnsi="Times New Roman"/>
                <w:b/>
                <w:color w:val="000000"/>
              </w:rPr>
              <w:t xml:space="preserve">Strategic objectives and Annual Targets </w:t>
            </w:r>
          </w:p>
        </w:tc>
        <w:tc>
          <w:tcPr>
            <w:tcW w:w="2978" w:type="dxa"/>
            <w:tcBorders>
              <w:top w:val="single" w:sz="4" w:space="0" w:color="auto"/>
              <w:left w:val="single" w:sz="4" w:space="0" w:color="auto"/>
              <w:bottom w:val="single" w:sz="4" w:space="0" w:color="auto"/>
              <w:right w:val="single" w:sz="4" w:space="0" w:color="auto"/>
            </w:tcBorders>
          </w:tcPr>
          <w:p w14:paraId="74826C91"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b/>
                <w:color w:val="000000"/>
              </w:rPr>
            </w:pPr>
            <w:r w:rsidRPr="003B6509">
              <w:rPr>
                <w:rFonts w:ascii="Times New Roman" w:eastAsiaTheme="minorHAnsi" w:hAnsi="Times New Roman"/>
                <w:b/>
                <w:color w:val="000000"/>
              </w:rPr>
              <w:t xml:space="preserve">2018/19 </w:t>
            </w:r>
          </w:p>
        </w:tc>
      </w:tr>
      <w:tr w:rsidR="003B6509" w:rsidRPr="003B6509" w14:paraId="49F066B3"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750F788E"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4) Number of investigations of death as a result of police action that are decision ready (Revised)</w:t>
            </w:r>
          </w:p>
          <w:p w14:paraId="6D90C6D6"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6628E545"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130 </w:t>
            </w:r>
          </w:p>
        </w:tc>
      </w:tr>
      <w:tr w:rsidR="003B6509" w:rsidRPr="003B6509" w14:paraId="4E2E6CB8"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26A0CAAE"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5) Number of cases for investigation of the discharge of an official firearm by a police officer that are decision ready (Revised) </w:t>
            </w:r>
          </w:p>
          <w:p w14:paraId="018C2D09"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79A8721B"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500 </w:t>
            </w:r>
          </w:p>
        </w:tc>
      </w:tr>
      <w:tr w:rsidR="003B6509" w:rsidRPr="003B6509" w14:paraId="78EA19D1"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660DBE69"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6) Number of investigations of rape by a police officer that are decision ready (Revised) </w:t>
            </w:r>
          </w:p>
          <w:p w14:paraId="384EADBE"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3D6C2592"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65 </w:t>
            </w:r>
          </w:p>
        </w:tc>
      </w:tr>
      <w:tr w:rsidR="003B6509" w:rsidRPr="003B6509" w14:paraId="44A5525A"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47ED6794"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7) Number of investigations of rape while in police custody that are decision ready (Revised) </w:t>
            </w:r>
          </w:p>
          <w:p w14:paraId="79AB6DF5"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40A63E00"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10 </w:t>
            </w:r>
          </w:p>
        </w:tc>
      </w:tr>
      <w:tr w:rsidR="003B6509" w:rsidRPr="003B6509" w14:paraId="1A2F9FCF"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1555240F"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8) Number of investigations of torture that are decision ready (Revised) </w:t>
            </w:r>
          </w:p>
          <w:p w14:paraId="7E55135C"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20D4AE4E"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60 </w:t>
            </w:r>
          </w:p>
        </w:tc>
      </w:tr>
      <w:tr w:rsidR="003B6509" w:rsidRPr="003B6509" w14:paraId="5C56DF07"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301287E4"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9) Number of investigations of assault that are decision ready (Revised) </w:t>
            </w:r>
          </w:p>
          <w:p w14:paraId="51F3F870"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178ECCE3"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2 000 </w:t>
            </w:r>
          </w:p>
        </w:tc>
      </w:tr>
      <w:tr w:rsidR="003B6509" w:rsidRPr="003B6509" w14:paraId="5619D010"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0BB70316"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10) Number of investigations of corruption that are decision ready </w:t>
            </w:r>
          </w:p>
          <w:p w14:paraId="06FE19EB"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5D350551"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60 </w:t>
            </w:r>
          </w:p>
        </w:tc>
      </w:tr>
      <w:tr w:rsidR="003B6509" w:rsidRPr="003B6509" w14:paraId="36F74112"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374FD546"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11) Number of investigations of other criminal and misconduct matters referred to the directorate in terms of s28(1)(h) and s35(1)(c) of the IPID Act that are decision ready (Revised) </w:t>
            </w:r>
          </w:p>
          <w:p w14:paraId="0CB5A1A5"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2F06E7CC"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80 </w:t>
            </w:r>
          </w:p>
        </w:tc>
      </w:tr>
      <w:tr w:rsidR="003B6509" w:rsidRPr="003B6509" w14:paraId="14A86857"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46881FB6"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12) Number of approved systemic corruption cases that are decision ready </w:t>
            </w:r>
          </w:p>
          <w:p w14:paraId="6F357097"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702D4B23"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2 </w:t>
            </w:r>
          </w:p>
        </w:tc>
      </w:tr>
      <w:tr w:rsidR="003B6509" w:rsidRPr="003B6509" w14:paraId="11C6AE90"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1BB7975E"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13) Number of backlog decision ready cases completed (excluding cases of systemic corruption) </w:t>
            </w:r>
          </w:p>
          <w:p w14:paraId="6D36A8BE"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64F478AF"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1 250 </w:t>
            </w:r>
          </w:p>
        </w:tc>
      </w:tr>
      <w:tr w:rsidR="003B6509" w:rsidRPr="003B6509" w14:paraId="04FD7836"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0E238DC0"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14) Percentage of criminal recommendation reports referred to the NPA within 30 days of recommendation report being signed off </w:t>
            </w:r>
          </w:p>
          <w:p w14:paraId="0501C483"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2FDC8D30" w14:textId="77777777" w:rsidR="00DD7D0D"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90% </w:t>
            </w:r>
          </w:p>
          <w:p w14:paraId="3B213BBC"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(1 300) </w:t>
            </w:r>
          </w:p>
        </w:tc>
      </w:tr>
      <w:tr w:rsidR="003B6509" w:rsidRPr="003B6509" w14:paraId="3731D192"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0AF96C16"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15) Percentage of disciplinary recommendation reports referred to the SAPS or MPS within 30 days of recommendation report being signed </w:t>
            </w:r>
          </w:p>
          <w:p w14:paraId="1DB451E0"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29B5B599" w14:textId="77777777" w:rsidR="00DD7D0D"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90% </w:t>
            </w:r>
          </w:p>
          <w:p w14:paraId="3B048367"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(1 400) </w:t>
            </w:r>
          </w:p>
        </w:tc>
      </w:tr>
      <w:tr w:rsidR="003B6509" w:rsidRPr="003B6509" w14:paraId="07620E43"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0D41AF00"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16) Percentage of oral legal advice provided to investigators within 24 hours of request </w:t>
            </w:r>
          </w:p>
          <w:p w14:paraId="2BE34820"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4952C526"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90% (3) </w:t>
            </w:r>
          </w:p>
        </w:tc>
      </w:tr>
      <w:tr w:rsidR="003B6509" w:rsidRPr="003B6509" w14:paraId="07728D90" w14:textId="77777777" w:rsidTr="00AE0B6F">
        <w:trPr>
          <w:trHeight w:val="706"/>
          <w:jc w:val="center"/>
        </w:trPr>
        <w:tc>
          <w:tcPr>
            <w:tcW w:w="4355" w:type="dxa"/>
            <w:tcBorders>
              <w:top w:val="single" w:sz="4" w:space="0" w:color="auto"/>
              <w:left w:val="single" w:sz="4" w:space="0" w:color="auto"/>
              <w:bottom w:val="single" w:sz="4" w:space="0" w:color="auto"/>
              <w:right w:val="single" w:sz="4" w:space="0" w:color="auto"/>
            </w:tcBorders>
          </w:tcPr>
          <w:p w14:paraId="57C9D071"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17) Percentage of written legal advice provided to investigators within 2 working days of request </w:t>
            </w:r>
          </w:p>
          <w:p w14:paraId="744E706A"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003B8BE5"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90% (3) </w:t>
            </w:r>
          </w:p>
        </w:tc>
      </w:tr>
      <w:tr w:rsidR="003B6509" w:rsidRPr="003B6509" w14:paraId="187E232A" w14:textId="77777777" w:rsidTr="00AE0B6F">
        <w:trPr>
          <w:trHeight w:val="233"/>
          <w:jc w:val="center"/>
        </w:trPr>
        <w:tc>
          <w:tcPr>
            <w:tcW w:w="4355" w:type="dxa"/>
            <w:tcBorders>
              <w:top w:val="single" w:sz="4" w:space="0" w:color="auto"/>
              <w:left w:val="single" w:sz="4" w:space="0" w:color="auto"/>
              <w:bottom w:val="single" w:sz="4" w:space="0" w:color="auto"/>
              <w:right w:val="single" w:sz="4" w:space="0" w:color="auto"/>
            </w:tcBorders>
          </w:tcPr>
          <w:p w14:paraId="50AD77B9"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r w:rsidRPr="003B6509">
              <w:rPr>
                <w:rFonts w:ascii="Times New Roman" w:eastAsiaTheme="minorHAnsi" w:hAnsi="Times New Roman"/>
                <w:color w:val="000000"/>
              </w:rPr>
              <w:t xml:space="preserve">18) Percentage of PAIA requests finalised within 30 days </w:t>
            </w:r>
          </w:p>
          <w:p w14:paraId="29D6D515" w14:textId="77777777" w:rsidR="003B6509" w:rsidRPr="003B6509" w:rsidRDefault="003B6509" w:rsidP="003B6509">
            <w:pPr>
              <w:autoSpaceDE w:val="0"/>
              <w:autoSpaceDN w:val="0"/>
              <w:adjustRightInd w:val="0"/>
              <w:spacing w:after="0" w:line="240" w:lineRule="auto"/>
              <w:rPr>
                <w:rFonts w:ascii="Times New Roman" w:eastAsiaTheme="minorHAnsi" w:hAnsi="Times New Roman"/>
                <w:color w:val="000000"/>
              </w:rPr>
            </w:pPr>
          </w:p>
        </w:tc>
        <w:tc>
          <w:tcPr>
            <w:tcW w:w="2978" w:type="dxa"/>
            <w:tcBorders>
              <w:top w:val="single" w:sz="4" w:space="0" w:color="auto"/>
              <w:left w:val="single" w:sz="4" w:space="0" w:color="auto"/>
              <w:bottom w:val="single" w:sz="4" w:space="0" w:color="auto"/>
              <w:right w:val="single" w:sz="4" w:space="0" w:color="auto"/>
            </w:tcBorders>
          </w:tcPr>
          <w:p w14:paraId="31B94BDD" w14:textId="77777777" w:rsidR="00DD7D0D"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100% </w:t>
            </w:r>
          </w:p>
          <w:p w14:paraId="2CA030D5" w14:textId="77777777" w:rsidR="003B6509" w:rsidRPr="003B6509" w:rsidRDefault="003B6509" w:rsidP="003B6509">
            <w:pPr>
              <w:autoSpaceDE w:val="0"/>
              <w:autoSpaceDN w:val="0"/>
              <w:adjustRightInd w:val="0"/>
              <w:spacing w:after="0" w:line="240" w:lineRule="auto"/>
              <w:jc w:val="center"/>
              <w:rPr>
                <w:rFonts w:ascii="Times New Roman" w:eastAsiaTheme="minorHAnsi" w:hAnsi="Times New Roman"/>
                <w:color w:val="000000"/>
              </w:rPr>
            </w:pPr>
            <w:r w:rsidRPr="003B6509">
              <w:rPr>
                <w:rFonts w:ascii="Times New Roman" w:eastAsiaTheme="minorHAnsi" w:hAnsi="Times New Roman"/>
                <w:color w:val="000000"/>
              </w:rPr>
              <w:t xml:space="preserve">(65) </w:t>
            </w:r>
          </w:p>
        </w:tc>
      </w:tr>
    </w:tbl>
    <w:p w14:paraId="3A17B62F" w14:textId="77777777" w:rsidR="003B6509" w:rsidRDefault="00AE0B6F" w:rsidP="00AE0B6F">
      <w:pPr>
        <w:spacing w:line="360" w:lineRule="auto"/>
        <w:jc w:val="center"/>
        <w:rPr>
          <w:rFonts w:ascii="Times New Roman" w:hAnsi="Times New Roman"/>
          <w:sz w:val="24"/>
          <w:szCs w:val="24"/>
        </w:rPr>
      </w:pPr>
      <w:r>
        <w:rPr>
          <w:rFonts w:ascii="Times New Roman" w:hAnsi="Times New Roman"/>
          <w:sz w:val="24"/>
          <w:szCs w:val="24"/>
        </w:rPr>
        <w:t xml:space="preserve">                                                                                            Source: IPID 2018 APP                    </w:t>
      </w:r>
    </w:p>
    <w:p w14:paraId="3AB4FE32" w14:textId="77777777" w:rsidR="00AE0B6F" w:rsidRDefault="00AE0B6F" w:rsidP="00AD51DD">
      <w:pPr>
        <w:spacing w:line="360" w:lineRule="auto"/>
        <w:jc w:val="both"/>
        <w:rPr>
          <w:rFonts w:ascii="Times New Roman" w:hAnsi="Times New Roman"/>
          <w:sz w:val="24"/>
          <w:szCs w:val="24"/>
        </w:rPr>
      </w:pPr>
    </w:p>
    <w:p w14:paraId="4C8884D4" w14:textId="77777777" w:rsidR="00AE0B6F" w:rsidRPr="00AE0B6F" w:rsidRDefault="00C01EFB" w:rsidP="00AE0B6F">
      <w:pPr>
        <w:spacing w:line="360" w:lineRule="auto"/>
        <w:jc w:val="both"/>
        <w:rPr>
          <w:rFonts w:ascii="Times New Roman" w:hAnsi="Times New Roman"/>
          <w:b/>
          <w:sz w:val="24"/>
          <w:szCs w:val="24"/>
        </w:rPr>
      </w:pPr>
      <w:r>
        <w:rPr>
          <w:rFonts w:ascii="Times New Roman" w:hAnsi="Times New Roman"/>
          <w:b/>
          <w:sz w:val="24"/>
          <w:szCs w:val="24"/>
        </w:rPr>
        <w:t>4.3</w:t>
      </w:r>
      <w:r>
        <w:rPr>
          <w:rFonts w:ascii="Times New Roman" w:hAnsi="Times New Roman"/>
          <w:b/>
          <w:sz w:val="24"/>
          <w:szCs w:val="24"/>
        </w:rPr>
        <w:tab/>
      </w:r>
      <w:r w:rsidR="00AE0B6F" w:rsidRPr="00AE0B6F">
        <w:rPr>
          <w:rFonts w:ascii="Times New Roman" w:hAnsi="Times New Roman"/>
          <w:b/>
          <w:sz w:val="24"/>
          <w:szCs w:val="24"/>
        </w:rPr>
        <w:t>Programme 3: Compliance Monitoring and Stakeholder Management</w:t>
      </w:r>
    </w:p>
    <w:p w14:paraId="2C5C897D" w14:textId="77777777" w:rsidR="00AE0B6F" w:rsidRDefault="00AE0B6F" w:rsidP="00AE0B6F">
      <w:pPr>
        <w:spacing w:line="360" w:lineRule="auto"/>
        <w:jc w:val="both"/>
        <w:rPr>
          <w:rFonts w:ascii="Times New Roman" w:hAnsi="Times New Roman"/>
          <w:sz w:val="24"/>
          <w:szCs w:val="24"/>
        </w:rPr>
      </w:pPr>
      <w:r w:rsidRPr="00AE0B6F">
        <w:rPr>
          <w:rFonts w:ascii="Times New Roman" w:hAnsi="Times New Roman"/>
          <w:sz w:val="24"/>
          <w:szCs w:val="24"/>
        </w:rPr>
        <w:t xml:space="preserve">The purpose of the Compliance Monitoring and Stakeholder Management Programme is to safeguard the principles of cooperative governance and stakeholder management through on-going monitoring and evaluation of the quality of recommendations made to the SAPS and MPSs. In addition, </w:t>
      </w:r>
      <w:r w:rsidR="00DD7D0D">
        <w:rPr>
          <w:rFonts w:ascii="Times New Roman" w:hAnsi="Times New Roman"/>
          <w:sz w:val="24"/>
          <w:szCs w:val="24"/>
        </w:rPr>
        <w:t xml:space="preserve">the programme </w:t>
      </w:r>
      <w:r w:rsidRPr="00AE0B6F">
        <w:rPr>
          <w:rFonts w:ascii="Times New Roman" w:hAnsi="Times New Roman"/>
          <w:sz w:val="24"/>
          <w:szCs w:val="24"/>
        </w:rPr>
        <w:t>also report</w:t>
      </w:r>
      <w:r w:rsidR="00DD7D0D">
        <w:rPr>
          <w:rFonts w:ascii="Times New Roman" w:hAnsi="Times New Roman"/>
          <w:sz w:val="24"/>
          <w:szCs w:val="24"/>
        </w:rPr>
        <w:t>s</w:t>
      </w:r>
      <w:r w:rsidRPr="00AE0B6F">
        <w:rPr>
          <w:rFonts w:ascii="Times New Roman" w:hAnsi="Times New Roman"/>
          <w:sz w:val="24"/>
          <w:szCs w:val="24"/>
        </w:rPr>
        <w:t xml:space="preserve"> on the police service’s compliance with reporting obligations in terms of the Independent Police Investigative Directorate Act No. 1 of 2011.</w:t>
      </w:r>
    </w:p>
    <w:p w14:paraId="75135D65" w14:textId="77777777" w:rsidR="00513E3E" w:rsidRDefault="00513E3E" w:rsidP="00AE0B6F">
      <w:pPr>
        <w:spacing w:line="360" w:lineRule="auto"/>
        <w:jc w:val="both"/>
        <w:rPr>
          <w:rFonts w:ascii="Times New Roman" w:hAnsi="Times New Roman"/>
          <w:sz w:val="24"/>
          <w:szCs w:val="24"/>
        </w:rPr>
      </w:pPr>
    </w:p>
    <w:p w14:paraId="02F2D57F" w14:textId="77777777" w:rsidR="00513E3E" w:rsidRDefault="00513E3E" w:rsidP="00AE0B6F">
      <w:pPr>
        <w:spacing w:line="360" w:lineRule="auto"/>
        <w:jc w:val="both"/>
        <w:rPr>
          <w:rFonts w:ascii="Times New Roman" w:hAnsi="Times New Roman"/>
          <w:sz w:val="24"/>
          <w:szCs w:val="24"/>
        </w:rPr>
      </w:pPr>
    </w:p>
    <w:p w14:paraId="38F50888" w14:textId="77777777" w:rsidR="00513E3E" w:rsidRDefault="00513E3E" w:rsidP="00AE0B6F">
      <w:pPr>
        <w:spacing w:line="360" w:lineRule="auto"/>
        <w:jc w:val="both"/>
        <w:rPr>
          <w:rFonts w:ascii="Times New Roman" w:hAnsi="Times New Roman"/>
          <w:sz w:val="24"/>
          <w:szCs w:val="24"/>
        </w:rPr>
      </w:pPr>
    </w:p>
    <w:p w14:paraId="2B55275F" w14:textId="77777777" w:rsidR="00513E3E" w:rsidRDefault="00513E3E" w:rsidP="00AE0B6F">
      <w:pPr>
        <w:spacing w:line="360" w:lineRule="auto"/>
        <w:jc w:val="both"/>
        <w:rPr>
          <w:rFonts w:ascii="Times New Roman" w:hAnsi="Times New Roman"/>
          <w:sz w:val="24"/>
          <w:szCs w:val="24"/>
        </w:rPr>
      </w:pPr>
    </w:p>
    <w:p w14:paraId="7CD42972" w14:textId="77777777" w:rsidR="00AE0B6F" w:rsidRDefault="00AE0B6F" w:rsidP="00AE0B6F">
      <w:pPr>
        <w:spacing w:line="360" w:lineRule="auto"/>
        <w:jc w:val="both"/>
        <w:rPr>
          <w:rFonts w:ascii="Times New Roman" w:hAnsi="Times New Roman"/>
          <w:sz w:val="24"/>
          <w:szCs w:val="24"/>
        </w:rPr>
      </w:pPr>
      <w:r>
        <w:rPr>
          <w:rFonts w:ascii="Times New Roman" w:hAnsi="Times New Roman"/>
          <w:sz w:val="24"/>
          <w:szCs w:val="24"/>
        </w:rPr>
        <w:t xml:space="preserve">Table </w:t>
      </w:r>
      <w:r w:rsidR="00513E3E">
        <w:rPr>
          <w:rFonts w:ascii="Times New Roman" w:hAnsi="Times New Roman"/>
          <w:sz w:val="24"/>
          <w:szCs w:val="24"/>
        </w:rPr>
        <w:t>7</w:t>
      </w:r>
      <w:r>
        <w:rPr>
          <w:rFonts w:ascii="Times New Roman" w:hAnsi="Times New Roman"/>
          <w:sz w:val="24"/>
          <w:szCs w:val="24"/>
        </w:rPr>
        <w:t xml:space="preserve"> below provides a breakdown of the budget for Programme 3.</w:t>
      </w:r>
    </w:p>
    <w:p w14:paraId="7246F49F" w14:textId="77777777" w:rsidR="00AE0B6F" w:rsidRPr="00AE0B6F" w:rsidRDefault="00AE0B6F" w:rsidP="00AE0B6F">
      <w:pPr>
        <w:spacing w:line="360" w:lineRule="auto"/>
        <w:jc w:val="both"/>
        <w:rPr>
          <w:rFonts w:ascii="Times New Roman" w:hAnsi="Times New Roman"/>
          <w:b/>
          <w:sz w:val="24"/>
          <w:szCs w:val="24"/>
        </w:rPr>
      </w:pPr>
      <w:r w:rsidRPr="00AE0B6F">
        <w:rPr>
          <w:rFonts w:ascii="Times New Roman" w:hAnsi="Times New Roman"/>
          <w:b/>
          <w:sz w:val="24"/>
          <w:szCs w:val="24"/>
        </w:rPr>
        <w:t xml:space="preserve">Table </w:t>
      </w:r>
      <w:r w:rsidR="00C01EFB">
        <w:rPr>
          <w:rFonts w:ascii="Times New Roman" w:hAnsi="Times New Roman"/>
          <w:b/>
          <w:sz w:val="24"/>
          <w:szCs w:val="24"/>
        </w:rPr>
        <w:t>7</w:t>
      </w:r>
      <w:r w:rsidRPr="00AE0B6F">
        <w:rPr>
          <w:rFonts w:ascii="Times New Roman" w:hAnsi="Times New Roman"/>
          <w:b/>
          <w:sz w:val="24"/>
          <w:szCs w:val="24"/>
        </w:rPr>
        <w:t>: Compliance Monitoring and Stakeholder Management</w:t>
      </w:r>
    </w:p>
    <w:tbl>
      <w:tblPr>
        <w:tblStyle w:val="TableGrid"/>
        <w:tblW w:w="9016" w:type="dxa"/>
        <w:tblLook w:val="04A0" w:firstRow="1" w:lastRow="0" w:firstColumn="1" w:lastColumn="0" w:noHBand="0" w:noVBand="1"/>
      </w:tblPr>
      <w:tblGrid>
        <w:gridCol w:w="1803"/>
        <w:gridCol w:w="1803"/>
        <w:gridCol w:w="1803"/>
        <w:gridCol w:w="1803"/>
        <w:gridCol w:w="1804"/>
      </w:tblGrid>
      <w:tr w:rsidR="00AE0B6F" w14:paraId="0CAE7795" w14:textId="77777777" w:rsidTr="00AE0B6F">
        <w:tc>
          <w:tcPr>
            <w:tcW w:w="1803" w:type="dxa"/>
          </w:tcPr>
          <w:p w14:paraId="27235B7E" w14:textId="77777777" w:rsidR="00AE0B6F" w:rsidRPr="00AE0B6F" w:rsidRDefault="00AE0B6F" w:rsidP="00AE0B6F">
            <w:pPr>
              <w:jc w:val="both"/>
              <w:rPr>
                <w:rFonts w:ascii="Times New Roman" w:hAnsi="Times New Roman"/>
              </w:rPr>
            </w:pPr>
            <w:r w:rsidRPr="00AE0B6F">
              <w:rPr>
                <w:rFonts w:ascii="Times New Roman" w:hAnsi="Times New Roman"/>
              </w:rPr>
              <w:t>Compliance Monitoring</w:t>
            </w:r>
            <w:r>
              <w:rPr>
                <w:rFonts w:ascii="Times New Roman" w:hAnsi="Times New Roman"/>
              </w:rPr>
              <w:t xml:space="preserve"> a</w:t>
            </w:r>
            <w:r w:rsidRPr="00AE0B6F">
              <w:rPr>
                <w:rFonts w:ascii="Times New Roman" w:hAnsi="Times New Roman"/>
              </w:rPr>
              <w:t>nd Stakeholder Management</w:t>
            </w:r>
          </w:p>
        </w:tc>
        <w:tc>
          <w:tcPr>
            <w:tcW w:w="1803" w:type="dxa"/>
            <w:tcBorders>
              <w:top w:val="single" w:sz="8" w:space="0" w:color="000000"/>
              <w:left w:val="single" w:sz="8" w:space="0" w:color="000000"/>
              <w:bottom w:val="single" w:sz="8" w:space="0" w:color="000000"/>
              <w:right w:val="single" w:sz="8" w:space="0" w:color="000000"/>
            </w:tcBorders>
            <w:shd w:val="clear" w:color="auto" w:fill="auto"/>
          </w:tcPr>
          <w:p w14:paraId="1279C1A0"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rPr>
              <w:t>2017/2018</w:t>
            </w:r>
          </w:p>
        </w:tc>
        <w:tc>
          <w:tcPr>
            <w:tcW w:w="1803" w:type="dxa"/>
            <w:tcBorders>
              <w:top w:val="single" w:sz="8" w:space="0" w:color="000000"/>
              <w:left w:val="single" w:sz="8" w:space="0" w:color="000000"/>
              <w:bottom w:val="single" w:sz="8" w:space="0" w:color="000000"/>
              <w:right w:val="single" w:sz="8" w:space="0" w:color="000000"/>
            </w:tcBorders>
            <w:shd w:val="clear" w:color="auto" w:fill="auto"/>
          </w:tcPr>
          <w:p w14:paraId="6405CA39"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rPr>
              <w:t>2018/2019</w:t>
            </w:r>
          </w:p>
          <w:p w14:paraId="4D2BE843"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rPr>
              <w:t>Current F/Y</w:t>
            </w:r>
          </w:p>
        </w:tc>
        <w:tc>
          <w:tcPr>
            <w:tcW w:w="1803" w:type="dxa"/>
            <w:tcBorders>
              <w:top w:val="single" w:sz="8" w:space="0" w:color="000000"/>
              <w:left w:val="single" w:sz="8" w:space="0" w:color="000000"/>
              <w:bottom w:val="single" w:sz="8" w:space="0" w:color="000000"/>
              <w:right w:val="single" w:sz="8" w:space="0" w:color="000000"/>
            </w:tcBorders>
            <w:shd w:val="clear" w:color="auto" w:fill="auto"/>
          </w:tcPr>
          <w:p w14:paraId="287A4056"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lang w:val="en-GB"/>
              </w:rPr>
              <w:t>2019/2020</w:t>
            </w:r>
          </w:p>
        </w:tc>
        <w:tc>
          <w:tcPr>
            <w:tcW w:w="1804" w:type="dxa"/>
            <w:tcBorders>
              <w:top w:val="single" w:sz="8" w:space="0" w:color="000000"/>
              <w:left w:val="single" w:sz="8" w:space="0" w:color="000000"/>
              <w:bottom w:val="single" w:sz="8" w:space="0" w:color="000000"/>
              <w:right w:val="single" w:sz="8" w:space="0" w:color="000000"/>
            </w:tcBorders>
            <w:shd w:val="clear" w:color="auto" w:fill="auto"/>
          </w:tcPr>
          <w:p w14:paraId="7502EF97"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lang w:val="en-GB"/>
              </w:rPr>
              <w:t>2020/2021</w:t>
            </w:r>
          </w:p>
        </w:tc>
      </w:tr>
      <w:tr w:rsidR="00AE0B6F" w14:paraId="108F5AC9" w14:textId="77777777" w:rsidTr="00AE0B6F">
        <w:tc>
          <w:tcPr>
            <w:tcW w:w="1803" w:type="dxa"/>
          </w:tcPr>
          <w:p w14:paraId="1C2E4F32" w14:textId="77777777" w:rsidR="00AE0B6F" w:rsidRDefault="00AE0B6F" w:rsidP="00AE0B6F">
            <w:pPr>
              <w:spacing w:line="360" w:lineRule="auto"/>
              <w:jc w:val="both"/>
              <w:rPr>
                <w:rFonts w:ascii="Times New Roman" w:hAnsi="Times New Roman"/>
                <w:sz w:val="24"/>
                <w:szCs w:val="24"/>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A0F041"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rPr>
              <w:t>R’000</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2DC535"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rPr>
              <w:t>R’000</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F342B1"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rPr>
              <w:t>R’000</w:t>
            </w:r>
          </w:p>
        </w:tc>
        <w:tc>
          <w:tcPr>
            <w:tcW w:w="18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2623B"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lang w:val="en-GB"/>
              </w:rPr>
              <w:t>R’000</w:t>
            </w:r>
          </w:p>
        </w:tc>
      </w:tr>
      <w:tr w:rsidR="00AE0B6F" w14:paraId="201FA20E" w14:textId="77777777" w:rsidTr="00AE0B6F">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A9354"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rPr>
              <w:t>Compensation of Employees</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12F434"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rPr>
              <w:t>10 094</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2F3DF1"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lang w:val="en-GB"/>
              </w:rPr>
              <w:t>13 946</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68123A"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lang w:val="en-GB"/>
              </w:rPr>
              <w:t>15 025</w:t>
            </w:r>
          </w:p>
        </w:tc>
        <w:tc>
          <w:tcPr>
            <w:tcW w:w="18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902671"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lang w:val="en-GB"/>
              </w:rPr>
              <w:t>16 189</w:t>
            </w:r>
          </w:p>
        </w:tc>
      </w:tr>
      <w:tr w:rsidR="00AE0B6F" w14:paraId="37A27BEF" w14:textId="77777777" w:rsidTr="00AE0B6F">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8C73A"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rPr>
              <w:t>Goods &amp; Services</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1FFB9A"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rPr>
              <w:t>1 012</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03FC6B"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lang w:val="en-GB"/>
              </w:rPr>
              <w:t>2 070</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F75490"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lang w:val="en-GB"/>
              </w:rPr>
              <w:t>2 189</w:t>
            </w:r>
          </w:p>
        </w:tc>
        <w:tc>
          <w:tcPr>
            <w:tcW w:w="18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73DAED"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lang w:val="en-GB"/>
              </w:rPr>
              <w:t>2 316</w:t>
            </w:r>
          </w:p>
        </w:tc>
      </w:tr>
      <w:tr w:rsidR="00AE0B6F" w14:paraId="5F4A4DD9" w14:textId="77777777" w:rsidTr="00AE0B6F">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793E63"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rPr>
              <w:t>Capital Assets</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B4F82"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lang w:val="en-GB"/>
              </w:rPr>
              <w:t>18</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05E54C"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lang w:val="en-GB"/>
              </w:rPr>
              <w:t>-</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3A81DC"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rPr>
              <w:t>-</w:t>
            </w:r>
          </w:p>
        </w:tc>
        <w:tc>
          <w:tcPr>
            <w:tcW w:w="18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9481F4"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rPr>
              <w:t>-</w:t>
            </w:r>
          </w:p>
        </w:tc>
      </w:tr>
      <w:tr w:rsidR="00AE0B6F" w14:paraId="25A4EE6D" w14:textId="77777777" w:rsidTr="00AE0B6F">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996EC0"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rPr>
              <w:t>Total</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3A8B53"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rPr>
              <w:t>11 124</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FFC53F"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lang w:val="en-GB"/>
              </w:rPr>
              <w:t>16 016</w:t>
            </w:r>
          </w:p>
        </w:tc>
        <w:tc>
          <w:tcPr>
            <w:tcW w:w="18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3ED06A"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rPr>
              <w:t>17 214</w:t>
            </w:r>
          </w:p>
        </w:tc>
        <w:tc>
          <w:tcPr>
            <w:tcW w:w="18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CE33C4" w14:textId="77777777" w:rsidR="00AE0B6F" w:rsidRPr="00BC395F" w:rsidRDefault="00AE0B6F" w:rsidP="00AE0B6F">
            <w:pPr>
              <w:spacing w:after="160" w:line="259" w:lineRule="auto"/>
              <w:rPr>
                <w:rFonts w:ascii="Times New Roman" w:hAnsi="Times New Roman"/>
              </w:rPr>
            </w:pPr>
            <w:r w:rsidRPr="00BC395F">
              <w:rPr>
                <w:rFonts w:ascii="Times New Roman" w:hAnsi="Times New Roman"/>
                <w:b/>
                <w:bCs/>
              </w:rPr>
              <w:t>18 505</w:t>
            </w:r>
          </w:p>
        </w:tc>
      </w:tr>
    </w:tbl>
    <w:p w14:paraId="435B87C4" w14:textId="77777777" w:rsidR="00AE0B6F" w:rsidRDefault="00AE0B6F" w:rsidP="00AE0B6F">
      <w:pPr>
        <w:spacing w:line="360" w:lineRule="auto"/>
        <w:jc w:val="right"/>
        <w:rPr>
          <w:rFonts w:ascii="Times New Roman" w:hAnsi="Times New Roman"/>
          <w:sz w:val="24"/>
          <w:szCs w:val="24"/>
        </w:rPr>
      </w:pPr>
      <w:r>
        <w:rPr>
          <w:rFonts w:ascii="Times New Roman" w:hAnsi="Times New Roman"/>
          <w:sz w:val="24"/>
          <w:szCs w:val="24"/>
        </w:rPr>
        <w:t>Source: IPID 2018 APP</w:t>
      </w:r>
    </w:p>
    <w:p w14:paraId="29743E93" w14:textId="77777777" w:rsidR="00CD1588" w:rsidRDefault="00AE0B6F" w:rsidP="00AD51DD">
      <w:pPr>
        <w:spacing w:line="360" w:lineRule="auto"/>
        <w:jc w:val="both"/>
        <w:rPr>
          <w:rFonts w:ascii="Times New Roman" w:hAnsi="Times New Roman"/>
          <w:b/>
          <w:sz w:val="24"/>
          <w:szCs w:val="24"/>
        </w:rPr>
      </w:pPr>
      <w:r w:rsidRPr="00AE0B6F">
        <w:rPr>
          <w:rFonts w:ascii="Times New Roman" w:hAnsi="Times New Roman"/>
          <w:sz w:val="24"/>
          <w:szCs w:val="24"/>
        </w:rPr>
        <w:tab/>
      </w:r>
      <w:r w:rsidR="00C01EFB">
        <w:rPr>
          <w:rFonts w:ascii="Times New Roman" w:hAnsi="Times New Roman"/>
          <w:b/>
          <w:sz w:val="24"/>
          <w:szCs w:val="24"/>
        </w:rPr>
        <w:t>4.3.1</w:t>
      </w:r>
      <w:r w:rsidR="00C01EFB">
        <w:rPr>
          <w:rFonts w:ascii="Times New Roman" w:hAnsi="Times New Roman"/>
          <w:b/>
          <w:sz w:val="24"/>
          <w:szCs w:val="24"/>
        </w:rPr>
        <w:tab/>
      </w:r>
      <w:r w:rsidR="00CD1588" w:rsidRPr="00CD1588">
        <w:rPr>
          <w:rFonts w:ascii="Times New Roman" w:hAnsi="Times New Roman"/>
          <w:b/>
          <w:sz w:val="24"/>
          <w:szCs w:val="24"/>
        </w:rPr>
        <w:t>Performance Targets</w:t>
      </w:r>
    </w:p>
    <w:p w14:paraId="6B91551B" w14:textId="77777777" w:rsidR="00AE0B6F" w:rsidRDefault="00AE0B6F" w:rsidP="00AD51DD">
      <w:pPr>
        <w:spacing w:line="360" w:lineRule="auto"/>
        <w:jc w:val="both"/>
        <w:rPr>
          <w:rFonts w:ascii="Times New Roman" w:hAnsi="Times New Roman"/>
          <w:sz w:val="24"/>
          <w:szCs w:val="24"/>
        </w:rPr>
      </w:pPr>
      <w:r w:rsidRPr="00AE0B6F">
        <w:rPr>
          <w:rFonts w:ascii="Times New Roman" w:hAnsi="Times New Roman"/>
          <w:sz w:val="24"/>
          <w:szCs w:val="24"/>
        </w:rPr>
        <w:t>The table below summarises the programme performance indicators and targets of the Programme</w:t>
      </w:r>
      <w:r>
        <w:rPr>
          <w:rFonts w:ascii="Times New Roman" w:hAnsi="Times New Roman"/>
          <w:sz w:val="24"/>
          <w:szCs w:val="24"/>
        </w:rPr>
        <w:t>:</w:t>
      </w:r>
    </w:p>
    <w:p w14:paraId="417AE67E" w14:textId="77777777" w:rsidR="00AE0B6F" w:rsidRPr="00C01EFB" w:rsidRDefault="00C01EFB" w:rsidP="00AE0B6F">
      <w:pPr>
        <w:spacing w:line="360" w:lineRule="auto"/>
        <w:jc w:val="both"/>
        <w:rPr>
          <w:rFonts w:ascii="Times New Roman" w:hAnsi="Times New Roman"/>
          <w:b/>
          <w:sz w:val="24"/>
          <w:szCs w:val="24"/>
        </w:rPr>
      </w:pPr>
      <w:r w:rsidRPr="00C01EFB">
        <w:rPr>
          <w:rFonts w:ascii="Times New Roman" w:hAnsi="Times New Roman"/>
          <w:b/>
          <w:sz w:val="24"/>
          <w:szCs w:val="24"/>
        </w:rPr>
        <w:t>Table 8:</w:t>
      </w:r>
      <w:r>
        <w:rPr>
          <w:rFonts w:ascii="Times New Roman" w:hAnsi="Times New Roman"/>
          <w:b/>
          <w:sz w:val="24"/>
          <w:szCs w:val="24"/>
        </w:rPr>
        <w:t xml:space="preserve"> Performance targets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5"/>
        <w:gridCol w:w="3332"/>
      </w:tblGrid>
      <w:tr w:rsidR="00AE0B6F" w:rsidRPr="00AE0B6F" w14:paraId="0547F306" w14:textId="77777777" w:rsidTr="00AE0B6F">
        <w:trPr>
          <w:trHeight w:val="93"/>
          <w:jc w:val="center"/>
        </w:trPr>
        <w:tc>
          <w:tcPr>
            <w:tcW w:w="4885" w:type="dxa"/>
          </w:tcPr>
          <w:p w14:paraId="22E94904" w14:textId="77777777" w:rsidR="00AE0B6F" w:rsidRPr="00AE0B6F" w:rsidRDefault="00AE0B6F" w:rsidP="00AE0B6F">
            <w:pPr>
              <w:spacing w:line="240" w:lineRule="auto"/>
              <w:jc w:val="both"/>
              <w:rPr>
                <w:rFonts w:ascii="Times New Roman" w:hAnsi="Times New Roman"/>
                <w:sz w:val="24"/>
                <w:szCs w:val="24"/>
              </w:rPr>
            </w:pPr>
            <w:r w:rsidRPr="00AE0B6F">
              <w:rPr>
                <w:rFonts w:ascii="Times New Roman" w:hAnsi="Times New Roman"/>
                <w:b/>
                <w:bCs/>
                <w:sz w:val="24"/>
                <w:szCs w:val="24"/>
              </w:rPr>
              <w:t xml:space="preserve">Indicators and Targets: Programme Strategic objectives and Annual Targets </w:t>
            </w:r>
          </w:p>
        </w:tc>
        <w:tc>
          <w:tcPr>
            <w:tcW w:w="3332" w:type="dxa"/>
          </w:tcPr>
          <w:p w14:paraId="6AA2DEBD" w14:textId="77777777" w:rsidR="00AE0B6F" w:rsidRPr="00AE0B6F" w:rsidRDefault="00AE0B6F" w:rsidP="00AE0B6F">
            <w:pPr>
              <w:spacing w:line="360" w:lineRule="auto"/>
              <w:jc w:val="center"/>
              <w:rPr>
                <w:rFonts w:ascii="Times New Roman" w:hAnsi="Times New Roman"/>
                <w:sz w:val="24"/>
                <w:szCs w:val="24"/>
              </w:rPr>
            </w:pPr>
            <w:r w:rsidRPr="00AE0B6F">
              <w:rPr>
                <w:rFonts w:ascii="Times New Roman" w:hAnsi="Times New Roman"/>
                <w:b/>
                <w:bCs/>
                <w:sz w:val="24"/>
                <w:szCs w:val="24"/>
              </w:rPr>
              <w:t>2018/19</w:t>
            </w:r>
          </w:p>
        </w:tc>
      </w:tr>
      <w:tr w:rsidR="00AE0B6F" w:rsidRPr="00AE0B6F" w14:paraId="0280D7ED" w14:textId="77777777" w:rsidTr="00AE0B6F">
        <w:trPr>
          <w:trHeight w:val="233"/>
          <w:jc w:val="center"/>
        </w:trPr>
        <w:tc>
          <w:tcPr>
            <w:tcW w:w="8217" w:type="dxa"/>
            <w:gridSpan w:val="2"/>
          </w:tcPr>
          <w:p w14:paraId="3442D20C" w14:textId="77777777" w:rsidR="00AE0B6F" w:rsidRPr="00AE0B6F" w:rsidRDefault="00AE0B6F" w:rsidP="00AE0B6F">
            <w:pPr>
              <w:spacing w:line="360" w:lineRule="auto"/>
              <w:jc w:val="both"/>
              <w:rPr>
                <w:rFonts w:ascii="Times New Roman" w:hAnsi="Times New Roman"/>
                <w:sz w:val="24"/>
                <w:szCs w:val="24"/>
              </w:rPr>
            </w:pPr>
            <w:r w:rsidRPr="00AE0B6F">
              <w:rPr>
                <w:rFonts w:ascii="Times New Roman" w:hAnsi="Times New Roman"/>
                <w:b/>
                <w:bCs/>
                <w:sz w:val="24"/>
                <w:szCs w:val="24"/>
              </w:rPr>
              <w:t xml:space="preserve">Strategic Objective: Ensure an Integrated Communication and Stakeholder Engagement Strategy </w:t>
            </w:r>
          </w:p>
        </w:tc>
      </w:tr>
      <w:tr w:rsidR="00AE0B6F" w:rsidRPr="00AE0B6F" w14:paraId="4FCD59E7" w14:textId="77777777" w:rsidTr="00AE0B6F">
        <w:trPr>
          <w:trHeight w:val="233"/>
          <w:jc w:val="center"/>
        </w:trPr>
        <w:tc>
          <w:tcPr>
            <w:tcW w:w="4885" w:type="dxa"/>
          </w:tcPr>
          <w:p w14:paraId="23E8501A" w14:textId="77777777" w:rsidR="00AE0B6F" w:rsidRPr="00AE0B6F" w:rsidRDefault="00AE0B6F" w:rsidP="00AE0B6F">
            <w:pPr>
              <w:spacing w:line="240" w:lineRule="auto"/>
              <w:jc w:val="both"/>
              <w:rPr>
                <w:rFonts w:ascii="Times New Roman" w:hAnsi="Times New Roman"/>
                <w:sz w:val="24"/>
                <w:szCs w:val="24"/>
              </w:rPr>
            </w:pPr>
            <w:r w:rsidRPr="00AE0B6F">
              <w:rPr>
                <w:rFonts w:ascii="Times New Roman" w:hAnsi="Times New Roman"/>
                <w:sz w:val="24"/>
                <w:szCs w:val="24"/>
              </w:rPr>
              <w:t xml:space="preserve">Percentage implementation of the Integrated Communication and </w:t>
            </w:r>
            <w:r>
              <w:rPr>
                <w:rFonts w:ascii="Times New Roman" w:hAnsi="Times New Roman"/>
                <w:sz w:val="24"/>
                <w:szCs w:val="24"/>
              </w:rPr>
              <w:t>Stakeholder Engagement Strategy</w:t>
            </w:r>
          </w:p>
        </w:tc>
        <w:tc>
          <w:tcPr>
            <w:tcW w:w="3332" w:type="dxa"/>
          </w:tcPr>
          <w:p w14:paraId="2255C759" w14:textId="77777777" w:rsidR="00AE0B6F" w:rsidRPr="00AE0B6F" w:rsidRDefault="00AE0B6F" w:rsidP="00AE0B6F">
            <w:pPr>
              <w:spacing w:line="360" w:lineRule="auto"/>
              <w:jc w:val="center"/>
              <w:rPr>
                <w:rFonts w:ascii="Times New Roman" w:hAnsi="Times New Roman"/>
                <w:sz w:val="24"/>
                <w:szCs w:val="24"/>
              </w:rPr>
            </w:pPr>
            <w:r w:rsidRPr="00AE0B6F">
              <w:rPr>
                <w:rFonts w:ascii="Times New Roman" w:hAnsi="Times New Roman"/>
                <w:sz w:val="24"/>
                <w:szCs w:val="24"/>
              </w:rPr>
              <w:t>90%</w:t>
            </w:r>
          </w:p>
        </w:tc>
      </w:tr>
      <w:tr w:rsidR="00AE0B6F" w:rsidRPr="00AE0B6F" w14:paraId="31CE16F8" w14:textId="77777777" w:rsidTr="00AE0B6F">
        <w:trPr>
          <w:trHeight w:val="93"/>
          <w:jc w:val="center"/>
        </w:trPr>
        <w:tc>
          <w:tcPr>
            <w:tcW w:w="8217" w:type="dxa"/>
            <w:gridSpan w:val="2"/>
          </w:tcPr>
          <w:p w14:paraId="13FED214" w14:textId="77777777" w:rsidR="00AE0B6F" w:rsidRPr="00AE0B6F" w:rsidRDefault="00AE0B6F" w:rsidP="00AE0B6F">
            <w:pPr>
              <w:spacing w:line="360" w:lineRule="auto"/>
              <w:jc w:val="both"/>
              <w:rPr>
                <w:rFonts w:ascii="Times New Roman" w:hAnsi="Times New Roman"/>
                <w:sz w:val="24"/>
                <w:szCs w:val="24"/>
              </w:rPr>
            </w:pPr>
            <w:r w:rsidRPr="00AE0B6F">
              <w:rPr>
                <w:rFonts w:ascii="Times New Roman" w:hAnsi="Times New Roman"/>
                <w:b/>
                <w:bCs/>
                <w:sz w:val="24"/>
                <w:szCs w:val="24"/>
              </w:rPr>
              <w:t xml:space="preserve">Performance Indicator </w:t>
            </w:r>
          </w:p>
        </w:tc>
      </w:tr>
      <w:tr w:rsidR="00AE0B6F" w:rsidRPr="00AE0B6F" w14:paraId="77974247" w14:textId="77777777" w:rsidTr="00AE0B6F">
        <w:trPr>
          <w:trHeight w:val="93"/>
          <w:jc w:val="center"/>
        </w:trPr>
        <w:tc>
          <w:tcPr>
            <w:tcW w:w="4885" w:type="dxa"/>
          </w:tcPr>
          <w:p w14:paraId="4A53E96E" w14:textId="77777777" w:rsidR="00AE0B6F" w:rsidRPr="00AE0B6F" w:rsidRDefault="00AE0B6F" w:rsidP="00AE0B6F">
            <w:pPr>
              <w:spacing w:line="240" w:lineRule="auto"/>
              <w:jc w:val="both"/>
              <w:rPr>
                <w:rFonts w:ascii="Times New Roman" w:hAnsi="Times New Roman"/>
                <w:sz w:val="24"/>
                <w:szCs w:val="24"/>
              </w:rPr>
            </w:pPr>
            <w:r w:rsidRPr="00AE0B6F">
              <w:rPr>
                <w:rFonts w:ascii="Times New Roman" w:hAnsi="Times New Roman"/>
                <w:sz w:val="24"/>
                <w:szCs w:val="24"/>
              </w:rPr>
              <w:t xml:space="preserve">1) Number of community outreach events conducted per year </w:t>
            </w:r>
          </w:p>
        </w:tc>
        <w:tc>
          <w:tcPr>
            <w:tcW w:w="3332" w:type="dxa"/>
          </w:tcPr>
          <w:p w14:paraId="102F09CA" w14:textId="77777777" w:rsidR="00AE0B6F" w:rsidRPr="00AE0B6F" w:rsidRDefault="00AE0B6F" w:rsidP="00AE0B6F">
            <w:pPr>
              <w:spacing w:line="360" w:lineRule="auto"/>
              <w:jc w:val="center"/>
              <w:rPr>
                <w:rFonts w:ascii="Times New Roman" w:hAnsi="Times New Roman"/>
                <w:sz w:val="24"/>
                <w:szCs w:val="24"/>
              </w:rPr>
            </w:pPr>
            <w:r w:rsidRPr="00AE0B6F">
              <w:rPr>
                <w:rFonts w:ascii="Times New Roman" w:hAnsi="Times New Roman"/>
                <w:sz w:val="24"/>
                <w:szCs w:val="24"/>
              </w:rPr>
              <w:t>80</w:t>
            </w:r>
          </w:p>
        </w:tc>
      </w:tr>
      <w:tr w:rsidR="00AE0B6F" w:rsidRPr="00AE0B6F" w14:paraId="6362ACBB" w14:textId="77777777" w:rsidTr="00AE0B6F">
        <w:trPr>
          <w:trHeight w:val="93"/>
          <w:jc w:val="center"/>
        </w:trPr>
        <w:tc>
          <w:tcPr>
            <w:tcW w:w="4885" w:type="dxa"/>
          </w:tcPr>
          <w:p w14:paraId="00D68AF8" w14:textId="77777777" w:rsidR="00AE0B6F" w:rsidRPr="00AE0B6F" w:rsidRDefault="00AE0B6F" w:rsidP="00AE0B6F">
            <w:pPr>
              <w:spacing w:line="240" w:lineRule="auto"/>
              <w:jc w:val="both"/>
              <w:rPr>
                <w:rFonts w:ascii="Times New Roman" w:hAnsi="Times New Roman"/>
                <w:sz w:val="24"/>
                <w:szCs w:val="24"/>
              </w:rPr>
            </w:pPr>
            <w:r w:rsidRPr="00AE0B6F">
              <w:rPr>
                <w:rFonts w:ascii="Times New Roman" w:hAnsi="Times New Roman"/>
                <w:sz w:val="24"/>
                <w:szCs w:val="24"/>
              </w:rPr>
              <w:t xml:space="preserve">2) Number of formal engagements held with key stakeholders </w:t>
            </w:r>
          </w:p>
        </w:tc>
        <w:tc>
          <w:tcPr>
            <w:tcW w:w="3332" w:type="dxa"/>
          </w:tcPr>
          <w:p w14:paraId="419DF23C" w14:textId="77777777" w:rsidR="00AE0B6F" w:rsidRPr="00AE0B6F" w:rsidRDefault="00AE0B6F" w:rsidP="00AE0B6F">
            <w:pPr>
              <w:spacing w:line="360" w:lineRule="auto"/>
              <w:jc w:val="center"/>
              <w:rPr>
                <w:rFonts w:ascii="Times New Roman" w:hAnsi="Times New Roman"/>
                <w:sz w:val="24"/>
                <w:szCs w:val="24"/>
              </w:rPr>
            </w:pPr>
            <w:r w:rsidRPr="00AE0B6F">
              <w:rPr>
                <w:rFonts w:ascii="Times New Roman" w:hAnsi="Times New Roman"/>
                <w:sz w:val="24"/>
                <w:szCs w:val="24"/>
              </w:rPr>
              <w:t>128</w:t>
            </w:r>
          </w:p>
        </w:tc>
      </w:tr>
      <w:tr w:rsidR="00AE0B6F" w:rsidRPr="00AE0B6F" w14:paraId="7BA53C7B" w14:textId="77777777" w:rsidTr="00AE0B6F">
        <w:trPr>
          <w:trHeight w:val="233"/>
          <w:jc w:val="center"/>
        </w:trPr>
        <w:tc>
          <w:tcPr>
            <w:tcW w:w="4885" w:type="dxa"/>
          </w:tcPr>
          <w:p w14:paraId="5B896B6E" w14:textId="77777777" w:rsidR="00AE0B6F" w:rsidRPr="00AE0B6F" w:rsidRDefault="00AE0B6F" w:rsidP="00AE0B6F">
            <w:pPr>
              <w:spacing w:line="240" w:lineRule="auto"/>
              <w:jc w:val="both"/>
              <w:rPr>
                <w:rFonts w:ascii="Times New Roman" w:hAnsi="Times New Roman"/>
                <w:sz w:val="24"/>
                <w:szCs w:val="24"/>
              </w:rPr>
            </w:pPr>
            <w:r w:rsidRPr="00AE0B6F">
              <w:rPr>
                <w:rFonts w:ascii="Times New Roman" w:hAnsi="Times New Roman"/>
                <w:sz w:val="24"/>
                <w:szCs w:val="24"/>
              </w:rPr>
              <w:t xml:space="preserve">3) Number of disciplinary recommendations referred to the SAPS and MPS that are analysed </w:t>
            </w:r>
            <w:r w:rsidRPr="00AE0B6F">
              <w:rPr>
                <w:rFonts w:ascii="Times New Roman" w:hAnsi="Times New Roman"/>
                <w:i/>
                <w:iCs/>
                <w:sz w:val="24"/>
                <w:szCs w:val="24"/>
              </w:rPr>
              <w:t xml:space="preserve">(New) </w:t>
            </w:r>
          </w:p>
        </w:tc>
        <w:tc>
          <w:tcPr>
            <w:tcW w:w="3332" w:type="dxa"/>
          </w:tcPr>
          <w:p w14:paraId="41EB5193" w14:textId="77777777" w:rsidR="00AE0B6F" w:rsidRPr="00AE0B6F" w:rsidRDefault="00AE0B6F" w:rsidP="00AE0B6F">
            <w:pPr>
              <w:spacing w:line="360" w:lineRule="auto"/>
              <w:jc w:val="center"/>
              <w:rPr>
                <w:rFonts w:ascii="Times New Roman" w:hAnsi="Times New Roman"/>
                <w:sz w:val="24"/>
                <w:szCs w:val="24"/>
              </w:rPr>
            </w:pPr>
            <w:r w:rsidRPr="00AE0B6F">
              <w:rPr>
                <w:rFonts w:ascii="Times New Roman" w:hAnsi="Times New Roman"/>
                <w:sz w:val="24"/>
                <w:szCs w:val="24"/>
              </w:rPr>
              <w:t>1 000</w:t>
            </w:r>
          </w:p>
        </w:tc>
      </w:tr>
      <w:tr w:rsidR="00AE0B6F" w:rsidRPr="00AE0B6F" w14:paraId="3CFED2A0" w14:textId="77777777" w:rsidTr="00AE0B6F">
        <w:trPr>
          <w:trHeight w:val="233"/>
          <w:jc w:val="center"/>
        </w:trPr>
        <w:tc>
          <w:tcPr>
            <w:tcW w:w="4885" w:type="dxa"/>
          </w:tcPr>
          <w:p w14:paraId="0D0E30D9" w14:textId="77777777" w:rsidR="00AE0B6F" w:rsidRPr="00AE0B6F" w:rsidRDefault="00AE0B6F" w:rsidP="00AE0B6F">
            <w:pPr>
              <w:spacing w:line="240" w:lineRule="auto"/>
              <w:rPr>
                <w:rFonts w:ascii="Times New Roman" w:hAnsi="Times New Roman"/>
                <w:sz w:val="24"/>
                <w:szCs w:val="24"/>
              </w:rPr>
            </w:pPr>
            <w:r w:rsidRPr="00AE0B6F">
              <w:rPr>
                <w:rFonts w:ascii="Times New Roman" w:hAnsi="Times New Roman"/>
                <w:sz w:val="24"/>
                <w:szCs w:val="24"/>
              </w:rPr>
              <w:t xml:space="preserve">4) Number of criminal referrals forwarded to the NPA that are analysed </w:t>
            </w:r>
            <w:r w:rsidRPr="00AE0B6F">
              <w:rPr>
                <w:rFonts w:ascii="Times New Roman" w:hAnsi="Times New Roman"/>
                <w:i/>
                <w:iCs/>
                <w:sz w:val="24"/>
                <w:szCs w:val="24"/>
              </w:rPr>
              <w:t>(New)</w:t>
            </w:r>
          </w:p>
        </w:tc>
        <w:tc>
          <w:tcPr>
            <w:tcW w:w="3332" w:type="dxa"/>
          </w:tcPr>
          <w:p w14:paraId="7474B98A" w14:textId="77777777" w:rsidR="00AE0B6F" w:rsidRPr="00AE0B6F" w:rsidRDefault="00AE0B6F" w:rsidP="00AE0B6F">
            <w:pPr>
              <w:spacing w:line="360" w:lineRule="auto"/>
              <w:jc w:val="center"/>
              <w:rPr>
                <w:rFonts w:ascii="Times New Roman" w:hAnsi="Times New Roman"/>
                <w:sz w:val="24"/>
                <w:szCs w:val="24"/>
              </w:rPr>
            </w:pPr>
            <w:r w:rsidRPr="00AE0B6F">
              <w:rPr>
                <w:rFonts w:ascii="Times New Roman" w:hAnsi="Times New Roman"/>
                <w:sz w:val="24"/>
                <w:szCs w:val="24"/>
              </w:rPr>
              <w:t>748</w:t>
            </w:r>
          </w:p>
        </w:tc>
      </w:tr>
      <w:tr w:rsidR="00AE0B6F" w:rsidRPr="00AE0B6F" w14:paraId="5987E69F" w14:textId="77777777" w:rsidTr="00AE0B6F">
        <w:trPr>
          <w:trHeight w:val="93"/>
          <w:jc w:val="center"/>
        </w:trPr>
        <w:tc>
          <w:tcPr>
            <w:tcW w:w="4885" w:type="dxa"/>
          </w:tcPr>
          <w:p w14:paraId="16E328C2" w14:textId="77777777" w:rsidR="00AE0B6F" w:rsidRPr="00AE0B6F" w:rsidRDefault="00AE0B6F" w:rsidP="00AE0B6F">
            <w:pPr>
              <w:spacing w:line="240" w:lineRule="auto"/>
              <w:jc w:val="both"/>
              <w:rPr>
                <w:rFonts w:ascii="Times New Roman" w:hAnsi="Times New Roman"/>
                <w:sz w:val="24"/>
                <w:szCs w:val="24"/>
              </w:rPr>
            </w:pPr>
            <w:r w:rsidRPr="00AE0B6F">
              <w:rPr>
                <w:rFonts w:ascii="Times New Roman" w:hAnsi="Times New Roman"/>
                <w:sz w:val="24"/>
                <w:szCs w:val="24"/>
              </w:rPr>
              <w:t xml:space="preserve">5) Percentage of responses from SAPS and MPS that are analysed </w:t>
            </w:r>
            <w:r w:rsidRPr="00AE0B6F">
              <w:rPr>
                <w:rFonts w:ascii="Times New Roman" w:hAnsi="Times New Roman"/>
                <w:i/>
                <w:iCs/>
                <w:sz w:val="24"/>
                <w:szCs w:val="24"/>
              </w:rPr>
              <w:t>(New)</w:t>
            </w:r>
          </w:p>
        </w:tc>
        <w:tc>
          <w:tcPr>
            <w:tcW w:w="3332" w:type="dxa"/>
          </w:tcPr>
          <w:p w14:paraId="239F4BC8" w14:textId="77777777" w:rsidR="00DD7D0D" w:rsidRDefault="00AE0B6F" w:rsidP="00DD7D0D">
            <w:pPr>
              <w:spacing w:line="240" w:lineRule="auto"/>
              <w:jc w:val="center"/>
              <w:rPr>
                <w:rFonts w:ascii="Times New Roman" w:hAnsi="Times New Roman"/>
                <w:sz w:val="24"/>
                <w:szCs w:val="24"/>
              </w:rPr>
            </w:pPr>
            <w:r w:rsidRPr="00AE0B6F">
              <w:rPr>
                <w:rFonts w:ascii="Times New Roman" w:hAnsi="Times New Roman"/>
                <w:sz w:val="24"/>
                <w:szCs w:val="24"/>
              </w:rPr>
              <w:t xml:space="preserve">50% </w:t>
            </w:r>
          </w:p>
          <w:p w14:paraId="312AFF10" w14:textId="77777777" w:rsidR="00AE0B6F" w:rsidRPr="00AE0B6F" w:rsidRDefault="00AE0B6F" w:rsidP="00DD7D0D">
            <w:pPr>
              <w:spacing w:line="240" w:lineRule="auto"/>
              <w:jc w:val="center"/>
              <w:rPr>
                <w:rFonts w:ascii="Times New Roman" w:hAnsi="Times New Roman"/>
                <w:sz w:val="24"/>
                <w:szCs w:val="24"/>
              </w:rPr>
            </w:pPr>
            <w:r w:rsidRPr="00AE0B6F">
              <w:rPr>
                <w:rFonts w:ascii="Times New Roman" w:hAnsi="Times New Roman"/>
                <w:sz w:val="24"/>
                <w:szCs w:val="24"/>
              </w:rPr>
              <w:t>(900)</w:t>
            </w:r>
          </w:p>
        </w:tc>
      </w:tr>
      <w:tr w:rsidR="00AE0B6F" w:rsidRPr="00AE0B6F" w14:paraId="14222099" w14:textId="77777777" w:rsidTr="00AE0B6F">
        <w:trPr>
          <w:trHeight w:val="93"/>
          <w:jc w:val="center"/>
        </w:trPr>
        <w:tc>
          <w:tcPr>
            <w:tcW w:w="4885" w:type="dxa"/>
          </w:tcPr>
          <w:p w14:paraId="4DA74B7C" w14:textId="77777777" w:rsidR="00AE0B6F" w:rsidRPr="00AE0B6F" w:rsidRDefault="00AE0B6F" w:rsidP="00AE0B6F">
            <w:pPr>
              <w:spacing w:line="240" w:lineRule="auto"/>
              <w:jc w:val="both"/>
              <w:rPr>
                <w:rFonts w:ascii="Times New Roman" w:hAnsi="Times New Roman"/>
                <w:sz w:val="24"/>
                <w:szCs w:val="24"/>
              </w:rPr>
            </w:pPr>
            <w:r w:rsidRPr="00AE0B6F">
              <w:rPr>
                <w:rFonts w:ascii="Times New Roman" w:hAnsi="Times New Roman"/>
                <w:sz w:val="24"/>
                <w:szCs w:val="24"/>
              </w:rPr>
              <w:t xml:space="preserve">6) Percentage of responses from NPA that are analysed </w:t>
            </w:r>
            <w:r w:rsidRPr="00AE0B6F">
              <w:rPr>
                <w:rFonts w:ascii="Times New Roman" w:hAnsi="Times New Roman"/>
                <w:i/>
                <w:iCs/>
                <w:sz w:val="24"/>
                <w:szCs w:val="24"/>
              </w:rPr>
              <w:t>(New)</w:t>
            </w:r>
          </w:p>
        </w:tc>
        <w:tc>
          <w:tcPr>
            <w:tcW w:w="3332" w:type="dxa"/>
          </w:tcPr>
          <w:p w14:paraId="2607B934" w14:textId="77777777" w:rsidR="00DD7D0D" w:rsidRDefault="00AE0B6F" w:rsidP="00DD7D0D">
            <w:pPr>
              <w:spacing w:line="240" w:lineRule="auto"/>
              <w:jc w:val="center"/>
              <w:rPr>
                <w:rFonts w:ascii="Times New Roman" w:hAnsi="Times New Roman"/>
                <w:sz w:val="24"/>
                <w:szCs w:val="24"/>
              </w:rPr>
            </w:pPr>
            <w:r w:rsidRPr="00AE0B6F">
              <w:rPr>
                <w:rFonts w:ascii="Times New Roman" w:hAnsi="Times New Roman"/>
                <w:sz w:val="24"/>
                <w:szCs w:val="24"/>
              </w:rPr>
              <w:t xml:space="preserve">50% </w:t>
            </w:r>
          </w:p>
          <w:p w14:paraId="1158BB9D" w14:textId="77777777" w:rsidR="00AE0B6F" w:rsidRPr="00AE0B6F" w:rsidRDefault="00AE0B6F" w:rsidP="00DD7D0D">
            <w:pPr>
              <w:spacing w:line="240" w:lineRule="auto"/>
              <w:jc w:val="center"/>
              <w:rPr>
                <w:rFonts w:ascii="Times New Roman" w:hAnsi="Times New Roman"/>
                <w:sz w:val="24"/>
                <w:szCs w:val="24"/>
              </w:rPr>
            </w:pPr>
            <w:r w:rsidRPr="00AE0B6F">
              <w:rPr>
                <w:rFonts w:ascii="Times New Roman" w:hAnsi="Times New Roman"/>
                <w:sz w:val="24"/>
                <w:szCs w:val="24"/>
              </w:rPr>
              <w:t>(600)</w:t>
            </w:r>
          </w:p>
        </w:tc>
      </w:tr>
    </w:tbl>
    <w:p w14:paraId="7C4947A6" w14:textId="77777777" w:rsidR="00AE0B6F" w:rsidRDefault="00AE0B6F" w:rsidP="00AD51DD">
      <w:pPr>
        <w:spacing w:line="360" w:lineRule="auto"/>
        <w:jc w:val="both"/>
        <w:rPr>
          <w:rFonts w:ascii="Times New Roman" w:hAnsi="Times New Roman"/>
          <w:sz w:val="24"/>
          <w:szCs w:val="24"/>
        </w:rPr>
      </w:pPr>
      <w:r>
        <w:rPr>
          <w:rFonts w:ascii="Times New Roman" w:hAnsi="Times New Roman"/>
          <w:sz w:val="24"/>
          <w:szCs w:val="24"/>
        </w:rPr>
        <w:t xml:space="preserve">                                                                                                         Source: IPID 2018 APP</w:t>
      </w:r>
    </w:p>
    <w:p w14:paraId="224EA2BE" w14:textId="77777777" w:rsidR="00DE569A" w:rsidRPr="00DE569A" w:rsidRDefault="00C01EFB" w:rsidP="00DE569A">
      <w:pPr>
        <w:spacing w:line="360" w:lineRule="auto"/>
        <w:rPr>
          <w:rFonts w:ascii="Times New Roman" w:hAnsi="Times New Roman"/>
          <w:b/>
          <w:sz w:val="24"/>
          <w:szCs w:val="24"/>
        </w:rPr>
      </w:pPr>
      <w:r>
        <w:rPr>
          <w:rFonts w:ascii="Times New Roman" w:hAnsi="Times New Roman"/>
          <w:b/>
          <w:sz w:val="24"/>
          <w:szCs w:val="24"/>
        </w:rPr>
        <w:t>4.4</w:t>
      </w:r>
      <w:r>
        <w:rPr>
          <w:rFonts w:ascii="Times New Roman" w:hAnsi="Times New Roman"/>
          <w:b/>
          <w:sz w:val="24"/>
          <w:szCs w:val="24"/>
        </w:rPr>
        <w:tab/>
      </w:r>
      <w:r w:rsidR="00DE569A" w:rsidRPr="00DE569A">
        <w:rPr>
          <w:rFonts w:ascii="Times New Roman" w:hAnsi="Times New Roman"/>
          <w:b/>
          <w:sz w:val="24"/>
          <w:szCs w:val="24"/>
        </w:rPr>
        <w:t>STRATEGIC RISK REGISTER</w:t>
      </w:r>
    </w:p>
    <w:p w14:paraId="3DC61B2E" w14:textId="77777777" w:rsidR="00DE569A" w:rsidRPr="00DE569A" w:rsidRDefault="00AD51DD" w:rsidP="00DE569A">
      <w:pPr>
        <w:spacing w:line="360" w:lineRule="auto"/>
        <w:rPr>
          <w:rFonts w:ascii="Times New Roman" w:hAnsi="Times New Roman"/>
          <w:sz w:val="24"/>
          <w:szCs w:val="24"/>
        </w:rPr>
      </w:pPr>
      <w:r w:rsidRPr="00DE569A">
        <w:rPr>
          <w:rFonts w:ascii="Times New Roman" w:hAnsi="Times New Roman"/>
          <w:b/>
          <w:sz w:val="24"/>
          <w:szCs w:val="24"/>
        </w:rPr>
        <w:t xml:space="preserve"> </w:t>
      </w:r>
      <w:r w:rsidR="00DE569A" w:rsidRPr="00DE569A">
        <w:rPr>
          <w:rFonts w:ascii="Times New Roman" w:hAnsi="Times New Roman"/>
          <w:sz w:val="24"/>
          <w:szCs w:val="24"/>
        </w:rPr>
        <w:t>The Department has identified the following key strategic risk</w:t>
      </w:r>
      <w:r w:rsidR="00DD7D0D">
        <w:rPr>
          <w:rFonts w:ascii="Times New Roman" w:hAnsi="Times New Roman"/>
          <w:sz w:val="24"/>
          <w:szCs w:val="24"/>
        </w:rPr>
        <w:t>s</w:t>
      </w:r>
      <w:r w:rsidR="00DE569A" w:rsidRPr="00DE569A">
        <w:rPr>
          <w:rFonts w:ascii="Times New Roman" w:hAnsi="Times New Roman"/>
          <w:sz w:val="24"/>
          <w:szCs w:val="24"/>
        </w:rPr>
        <w:t xml:space="preserve"> that may affect realisation of the strateg</w:t>
      </w:r>
      <w:r w:rsidR="00DD7D0D">
        <w:rPr>
          <w:rFonts w:ascii="Times New Roman" w:hAnsi="Times New Roman"/>
          <w:sz w:val="24"/>
          <w:szCs w:val="24"/>
        </w:rPr>
        <w:t>ic objectives of the Department:</w:t>
      </w:r>
    </w:p>
    <w:p w14:paraId="740D8A7A" w14:textId="77777777" w:rsidR="00DE569A" w:rsidRPr="00DE569A" w:rsidRDefault="00DE569A" w:rsidP="00DE569A">
      <w:pPr>
        <w:spacing w:line="360" w:lineRule="auto"/>
        <w:rPr>
          <w:rFonts w:ascii="Times New Roman" w:hAnsi="Times New Roman"/>
          <w:b/>
          <w:sz w:val="24"/>
          <w:szCs w:val="24"/>
        </w:rPr>
      </w:pPr>
      <w:r w:rsidRPr="00DE569A">
        <w:rPr>
          <w:rFonts w:ascii="Times New Roman" w:hAnsi="Times New Roman"/>
          <w:b/>
          <w:sz w:val="24"/>
          <w:szCs w:val="24"/>
        </w:rPr>
        <w:t>Extreme Risk</w:t>
      </w:r>
    </w:p>
    <w:p w14:paraId="46865132" w14:textId="77777777" w:rsidR="00DE569A" w:rsidRPr="00DE569A" w:rsidRDefault="00DE569A" w:rsidP="00DE569A">
      <w:pPr>
        <w:pStyle w:val="ListParagraph"/>
        <w:numPr>
          <w:ilvl w:val="0"/>
          <w:numId w:val="13"/>
        </w:numPr>
        <w:spacing w:line="360" w:lineRule="auto"/>
        <w:rPr>
          <w:rFonts w:ascii="Times New Roman" w:hAnsi="Times New Roman"/>
          <w:sz w:val="24"/>
          <w:szCs w:val="24"/>
        </w:rPr>
      </w:pPr>
      <w:r w:rsidRPr="00DE569A">
        <w:rPr>
          <w:rFonts w:ascii="Times New Roman" w:hAnsi="Times New Roman"/>
          <w:sz w:val="24"/>
          <w:szCs w:val="24"/>
        </w:rPr>
        <w:t xml:space="preserve">Counter investigations by the SAPS: The mandate of </w:t>
      </w:r>
      <w:r w:rsidR="00DD7D0D">
        <w:rPr>
          <w:rFonts w:ascii="Times New Roman" w:hAnsi="Times New Roman"/>
          <w:sz w:val="24"/>
          <w:szCs w:val="24"/>
        </w:rPr>
        <w:t xml:space="preserve">the </w:t>
      </w:r>
      <w:r w:rsidRPr="00DE569A">
        <w:rPr>
          <w:rFonts w:ascii="Times New Roman" w:hAnsi="Times New Roman"/>
          <w:sz w:val="24"/>
          <w:szCs w:val="24"/>
        </w:rPr>
        <w:t xml:space="preserve">IPID is to investigate cases and finalise them efficiently and on time. Cases might not be finalised as per the set objectives due to the counter investigations that sets to interfere with the investigations by </w:t>
      </w:r>
      <w:r w:rsidR="00DD7D0D">
        <w:rPr>
          <w:rFonts w:ascii="Times New Roman" w:hAnsi="Times New Roman"/>
          <w:sz w:val="24"/>
          <w:szCs w:val="24"/>
        </w:rPr>
        <w:t xml:space="preserve">the </w:t>
      </w:r>
      <w:r w:rsidRPr="00DE569A">
        <w:rPr>
          <w:rFonts w:ascii="Times New Roman" w:hAnsi="Times New Roman"/>
          <w:sz w:val="24"/>
          <w:szCs w:val="24"/>
        </w:rPr>
        <w:t>IPID.</w:t>
      </w:r>
    </w:p>
    <w:p w14:paraId="29E5D424" w14:textId="77777777" w:rsidR="00DE569A" w:rsidRPr="00DE569A" w:rsidRDefault="00DE569A" w:rsidP="00DE569A">
      <w:pPr>
        <w:pStyle w:val="ListParagraph"/>
        <w:numPr>
          <w:ilvl w:val="0"/>
          <w:numId w:val="13"/>
        </w:numPr>
        <w:spacing w:line="360" w:lineRule="auto"/>
        <w:rPr>
          <w:rFonts w:ascii="Times New Roman" w:hAnsi="Times New Roman"/>
          <w:sz w:val="24"/>
          <w:szCs w:val="24"/>
        </w:rPr>
      </w:pPr>
      <w:r w:rsidRPr="00DE569A">
        <w:rPr>
          <w:rFonts w:ascii="Times New Roman" w:hAnsi="Times New Roman"/>
          <w:sz w:val="24"/>
          <w:szCs w:val="24"/>
        </w:rPr>
        <w:t>Political interferences: In delivering the constitutional mandate, the IPID may be affected by external political environment to achieve proper implementation of its objectives.</w:t>
      </w:r>
    </w:p>
    <w:p w14:paraId="71082EE9" w14:textId="77777777" w:rsidR="00DE569A" w:rsidRPr="00DE569A" w:rsidRDefault="00DE569A" w:rsidP="00DE569A">
      <w:pPr>
        <w:spacing w:line="360" w:lineRule="auto"/>
        <w:rPr>
          <w:rFonts w:ascii="Times New Roman" w:hAnsi="Times New Roman"/>
          <w:b/>
          <w:sz w:val="24"/>
          <w:szCs w:val="24"/>
        </w:rPr>
      </w:pPr>
      <w:r w:rsidRPr="00DE569A">
        <w:rPr>
          <w:rFonts w:ascii="Times New Roman" w:hAnsi="Times New Roman"/>
          <w:b/>
          <w:sz w:val="24"/>
          <w:szCs w:val="24"/>
        </w:rPr>
        <w:t>High risk</w:t>
      </w:r>
    </w:p>
    <w:p w14:paraId="61FC8592" w14:textId="77777777" w:rsidR="00DE569A" w:rsidRPr="00DE569A" w:rsidRDefault="00DE569A" w:rsidP="00DE569A">
      <w:pPr>
        <w:pStyle w:val="ListParagraph"/>
        <w:numPr>
          <w:ilvl w:val="0"/>
          <w:numId w:val="14"/>
        </w:numPr>
        <w:spacing w:line="360" w:lineRule="auto"/>
        <w:rPr>
          <w:rFonts w:ascii="Times New Roman" w:hAnsi="Times New Roman"/>
          <w:sz w:val="24"/>
          <w:szCs w:val="24"/>
        </w:rPr>
      </w:pPr>
      <w:r w:rsidRPr="00DE569A">
        <w:rPr>
          <w:rFonts w:ascii="Times New Roman" w:hAnsi="Times New Roman"/>
          <w:sz w:val="24"/>
          <w:szCs w:val="24"/>
        </w:rPr>
        <w:t>Constrained resources: Adequate resources and their proper allocation is fundamental to the IPID to achieve its overall objectives. Due to the continuous baseline budget reduction experienced, there is a high possibility of resources being constrained which will affect negatively on operations.</w:t>
      </w:r>
    </w:p>
    <w:p w14:paraId="2F9D25A8" w14:textId="77777777" w:rsidR="00DE569A" w:rsidRPr="00DE569A" w:rsidRDefault="00DE569A" w:rsidP="00DE569A">
      <w:pPr>
        <w:pStyle w:val="ListParagraph"/>
        <w:numPr>
          <w:ilvl w:val="0"/>
          <w:numId w:val="14"/>
        </w:numPr>
        <w:spacing w:line="360" w:lineRule="auto"/>
        <w:rPr>
          <w:rFonts w:ascii="Times New Roman" w:hAnsi="Times New Roman"/>
          <w:sz w:val="24"/>
          <w:szCs w:val="24"/>
        </w:rPr>
      </w:pPr>
      <w:r w:rsidRPr="00DE569A">
        <w:rPr>
          <w:rFonts w:ascii="Times New Roman" w:hAnsi="Times New Roman"/>
          <w:sz w:val="24"/>
          <w:szCs w:val="24"/>
        </w:rPr>
        <w:t>Inadequate information systems: Proper information technology serves as a critical part of the origination’s ability to perform its duties and achieve its mandate. The risk on the information systems impact on the Department’s performance as it will hinder in terms of conducting certain functions to finalise the work that needs to be done.</w:t>
      </w:r>
    </w:p>
    <w:p w14:paraId="3ABA5BEC" w14:textId="77777777" w:rsidR="00AD51DD" w:rsidRPr="00DE569A" w:rsidRDefault="00DE569A" w:rsidP="00DE569A">
      <w:pPr>
        <w:pStyle w:val="ListParagraph"/>
        <w:numPr>
          <w:ilvl w:val="0"/>
          <w:numId w:val="14"/>
        </w:numPr>
        <w:spacing w:line="360" w:lineRule="auto"/>
        <w:rPr>
          <w:rFonts w:ascii="Times New Roman" w:hAnsi="Times New Roman"/>
          <w:sz w:val="24"/>
          <w:szCs w:val="24"/>
        </w:rPr>
      </w:pPr>
      <w:r w:rsidRPr="00DE569A">
        <w:rPr>
          <w:rFonts w:ascii="Times New Roman" w:hAnsi="Times New Roman"/>
          <w:sz w:val="24"/>
          <w:szCs w:val="24"/>
        </w:rPr>
        <w:t>Inability to investigate and finalise cases timeously: The mandate of IPID is to investigate cases and finalise them.</w:t>
      </w:r>
      <w:r w:rsidR="00AD51DD" w:rsidRPr="00DE569A">
        <w:rPr>
          <w:rFonts w:ascii="Times New Roman" w:hAnsi="Times New Roman"/>
          <w:sz w:val="24"/>
          <w:szCs w:val="24"/>
        </w:rPr>
        <w:t xml:space="preserve">                                       </w:t>
      </w:r>
      <w:r w:rsidR="00AD51DD" w:rsidRPr="00DE569A">
        <w:rPr>
          <w:rFonts w:ascii="Times New Roman" w:hAnsi="Times New Roman"/>
          <w:b/>
          <w:sz w:val="24"/>
          <w:szCs w:val="24"/>
        </w:rPr>
        <w:t xml:space="preserve">                                                                          </w:t>
      </w:r>
    </w:p>
    <w:p w14:paraId="1A6547ED" w14:textId="77777777" w:rsidR="00AD51DD" w:rsidRPr="00BD21EE" w:rsidRDefault="00AD51DD" w:rsidP="00AD51DD">
      <w:pPr>
        <w:pStyle w:val="ListParagraph"/>
        <w:spacing w:line="360" w:lineRule="auto"/>
        <w:ind w:left="360"/>
        <w:jc w:val="both"/>
        <w:rPr>
          <w:rFonts w:ascii="Times New Roman" w:hAnsi="Times New Roman"/>
          <w:b/>
          <w:sz w:val="24"/>
          <w:szCs w:val="24"/>
        </w:rPr>
      </w:pPr>
    </w:p>
    <w:p w14:paraId="3A8504BF" w14:textId="77777777" w:rsidR="00AD51DD" w:rsidRPr="00BD21EE" w:rsidRDefault="00AD51DD" w:rsidP="003052D0">
      <w:pPr>
        <w:pStyle w:val="ListParagraph"/>
        <w:numPr>
          <w:ilvl w:val="0"/>
          <w:numId w:val="15"/>
        </w:numPr>
        <w:spacing w:line="360" w:lineRule="auto"/>
        <w:jc w:val="both"/>
        <w:rPr>
          <w:rFonts w:ascii="Times New Roman" w:hAnsi="Times New Roman"/>
          <w:b/>
          <w:sz w:val="24"/>
          <w:szCs w:val="24"/>
        </w:rPr>
      </w:pPr>
      <w:r w:rsidRPr="00BD21EE">
        <w:rPr>
          <w:rFonts w:ascii="Times New Roman" w:hAnsi="Times New Roman"/>
          <w:b/>
          <w:sz w:val="24"/>
          <w:szCs w:val="24"/>
        </w:rPr>
        <w:t xml:space="preserve">     COMMITTEE OBSERVATION</w:t>
      </w:r>
      <w:r>
        <w:rPr>
          <w:rFonts w:ascii="Times New Roman" w:hAnsi="Times New Roman"/>
          <w:b/>
          <w:sz w:val="24"/>
          <w:szCs w:val="24"/>
        </w:rPr>
        <w:t>S</w:t>
      </w:r>
    </w:p>
    <w:p w14:paraId="1C13EF54" w14:textId="77777777" w:rsidR="00AD51DD" w:rsidRPr="00BD21EE" w:rsidRDefault="00AD51DD" w:rsidP="00C36EE0">
      <w:pPr>
        <w:spacing w:line="360" w:lineRule="auto"/>
        <w:ind w:firstLine="720"/>
        <w:jc w:val="both"/>
        <w:rPr>
          <w:rFonts w:ascii="Times New Roman" w:hAnsi="Times New Roman"/>
          <w:sz w:val="24"/>
          <w:szCs w:val="24"/>
        </w:rPr>
      </w:pPr>
      <w:r w:rsidRPr="00BD21EE">
        <w:rPr>
          <w:rFonts w:ascii="Times New Roman" w:hAnsi="Times New Roman"/>
          <w:sz w:val="24"/>
          <w:szCs w:val="24"/>
        </w:rPr>
        <w:t>The Committee made the following observations during the 201</w:t>
      </w:r>
      <w:r w:rsidR="00DE569A">
        <w:rPr>
          <w:rFonts w:ascii="Times New Roman" w:hAnsi="Times New Roman"/>
          <w:sz w:val="24"/>
          <w:szCs w:val="24"/>
        </w:rPr>
        <w:t>8</w:t>
      </w:r>
      <w:r w:rsidRPr="00BD21EE">
        <w:rPr>
          <w:rFonts w:ascii="Times New Roman" w:hAnsi="Times New Roman"/>
          <w:sz w:val="24"/>
          <w:szCs w:val="24"/>
        </w:rPr>
        <w:t>/1</w:t>
      </w:r>
      <w:r w:rsidR="00DE569A">
        <w:rPr>
          <w:rFonts w:ascii="Times New Roman" w:hAnsi="Times New Roman"/>
          <w:sz w:val="24"/>
          <w:szCs w:val="24"/>
        </w:rPr>
        <w:t>9</w:t>
      </w:r>
      <w:r w:rsidRPr="00BD21EE">
        <w:rPr>
          <w:rFonts w:ascii="Times New Roman" w:hAnsi="Times New Roman"/>
          <w:sz w:val="24"/>
          <w:szCs w:val="24"/>
        </w:rPr>
        <w:t xml:space="preserve"> budget hearings:</w:t>
      </w:r>
    </w:p>
    <w:p w14:paraId="43D1181F" w14:textId="77777777" w:rsidR="008A4F12" w:rsidRDefault="00AD51DD" w:rsidP="00C01EFB">
      <w:pPr>
        <w:pStyle w:val="ListParagraph"/>
        <w:numPr>
          <w:ilvl w:val="1"/>
          <w:numId w:val="16"/>
        </w:numPr>
        <w:spacing w:line="360" w:lineRule="auto"/>
        <w:jc w:val="both"/>
        <w:rPr>
          <w:rFonts w:ascii="Times New Roman" w:hAnsi="Times New Roman"/>
          <w:sz w:val="24"/>
          <w:szCs w:val="24"/>
        </w:rPr>
      </w:pPr>
      <w:r w:rsidRPr="00C01EFB">
        <w:rPr>
          <w:rFonts w:ascii="Times New Roman" w:hAnsi="Times New Roman"/>
          <w:sz w:val="24"/>
          <w:szCs w:val="24"/>
        </w:rPr>
        <w:t>The Committee noted the challenges highlighted</w:t>
      </w:r>
      <w:r w:rsidR="00DE569A" w:rsidRPr="00C01EFB">
        <w:rPr>
          <w:rFonts w:ascii="Times New Roman" w:hAnsi="Times New Roman"/>
          <w:sz w:val="24"/>
          <w:szCs w:val="24"/>
        </w:rPr>
        <w:t xml:space="preserve"> </w:t>
      </w:r>
      <w:r w:rsidR="008A4F12" w:rsidRPr="00C01EFB">
        <w:rPr>
          <w:rFonts w:ascii="Times New Roman" w:hAnsi="Times New Roman"/>
          <w:sz w:val="24"/>
          <w:szCs w:val="24"/>
        </w:rPr>
        <w:t>by the IPID with respect to managing their investigations with a budget that was constrained. The Committee expressed its concern about the ability of IPID to reach its targets as a result. The Committee noted that IPID has as a matter of principl</w:t>
      </w:r>
      <w:r w:rsidR="00DD7D0D">
        <w:rPr>
          <w:rFonts w:ascii="Times New Roman" w:hAnsi="Times New Roman"/>
          <w:sz w:val="24"/>
          <w:szCs w:val="24"/>
        </w:rPr>
        <w:t>e</w:t>
      </w:r>
      <w:r w:rsidR="008A4F12" w:rsidRPr="00C01EFB">
        <w:rPr>
          <w:rFonts w:ascii="Times New Roman" w:hAnsi="Times New Roman"/>
          <w:sz w:val="24"/>
          <w:szCs w:val="24"/>
        </w:rPr>
        <w:t xml:space="preserve"> decided to take on high impact, low v</w:t>
      </w:r>
      <w:r w:rsidR="00DD7D0D">
        <w:rPr>
          <w:rFonts w:ascii="Times New Roman" w:hAnsi="Times New Roman"/>
          <w:sz w:val="24"/>
          <w:szCs w:val="24"/>
        </w:rPr>
        <w:t>olume</w:t>
      </w:r>
      <w:r w:rsidR="008A4F12" w:rsidRPr="00C01EFB">
        <w:rPr>
          <w:rFonts w:ascii="Times New Roman" w:hAnsi="Times New Roman"/>
          <w:sz w:val="24"/>
          <w:szCs w:val="24"/>
        </w:rPr>
        <w:t xml:space="preserve"> investigations. </w:t>
      </w:r>
    </w:p>
    <w:p w14:paraId="4797365A" w14:textId="77777777" w:rsidR="00C01EFB" w:rsidRPr="00C01EFB" w:rsidRDefault="00C01EFB" w:rsidP="00C01EFB">
      <w:pPr>
        <w:pStyle w:val="ListParagraph"/>
        <w:spacing w:line="360" w:lineRule="auto"/>
        <w:ind w:left="360"/>
        <w:jc w:val="both"/>
        <w:rPr>
          <w:rFonts w:ascii="Times New Roman" w:hAnsi="Times New Roman"/>
          <w:sz w:val="24"/>
          <w:szCs w:val="24"/>
        </w:rPr>
      </w:pPr>
    </w:p>
    <w:p w14:paraId="0F0CF36A" w14:textId="77777777" w:rsidR="00C36EE0" w:rsidRDefault="008A4F12" w:rsidP="00C01EFB">
      <w:pPr>
        <w:pStyle w:val="ListParagraph"/>
        <w:numPr>
          <w:ilvl w:val="1"/>
          <w:numId w:val="16"/>
        </w:numPr>
        <w:spacing w:line="360" w:lineRule="auto"/>
        <w:jc w:val="both"/>
        <w:rPr>
          <w:rFonts w:ascii="Times New Roman" w:hAnsi="Times New Roman"/>
          <w:sz w:val="24"/>
          <w:szCs w:val="24"/>
        </w:rPr>
      </w:pPr>
      <w:r>
        <w:rPr>
          <w:rFonts w:ascii="Times New Roman" w:hAnsi="Times New Roman"/>
          <w:sz w:val="24"/>
          <w:szCs w:val="24"/>
        </w:rPr>
        <w:t xml:space="preserve">The </w:t>
      </w:r>
      <w:r w:rsidR="00F52F09">
        <w:rPr>
          <w:rFonts w:ascii="Times New Roman" w:hAnsi="Times New Roman"/>
          <w:sz w:val="24"/>
          <w:szCs w:val="24"/>
        </w:rPr>
        <w:t xml:space="preserve">Committee noted that </w:t>
      </w:r>
      <w:r>
        <w:rPr>
          <w:rFonts w:ascii="Times New Roman" w:hAnsi="Times New Roman"/>
          <w:sz w:val="24"/>
          <w:szCs w:val="24"/>
        </w:rPr>
        <w:t xml:space="preserve">IPID has received </w:t>
      </w:r>
      <w:r w:rsidR="00DD7D0D">
        <w:rPr>
          <w:rFonts w:ascii="Times New Roman" w:hAnsi="Times New Roman"/>
          <w:sz w:val="24"/>
          <w:szCs w:val="24"/>
        </w:rPr>
        <w:t xml:space="preserve">an additional allocation </w:t>
      </w:r>
      <w:r>
        <w:rPr>
          <w:rFonts w:ascii="Times New Roman" w:hAnsi="Times New Roman"/>
          <w:sz w:val="24"/>
          <w:szCs w:val="24"/>
        </w:rPr>
        <w:t>on budget pressures, but this has not been sufficient</w:t>
      </w:r>
      <w:r w:rsidR="00F52F09">
        <w:rPr>
          <w:rFonts w:ascii="Times New Roman" w:hAnsi="Times New Roman"/>
          <w:sz w:val="24"/>
          <w:szCs w:val="24"/>
        </w:rPr>
        <w:t xml:space="preserve"> due to the historic</w:t>
      </w:r>
      <w:r w:rsidR="004E0031">
        <w:rPr>
          <w:rFonts w:ascii="Times New Roman" w:hAnsi="Times New Roman"/>
          <w:sz w:val="24"/>
          <w:szCs w:val="24"/>
        </w:rPr>
        <w:t>al</w:t>
      </w:r>
      <w:r w:rsidR="00F52F09">
        <w:rPr>
          <w:rFonts w:ascii="Times New Roman" w:hAnsi="Times New Roman"/>
          <w:sz w:val="24"/>
          <w:szCs w:val="24"/>
        </w:rPr>
        <w:t xml:space="preserve"> under-funding. The Department has had rapid increases in its accruals for the past three financial years. </w:t>
      </w:r>
    </w:p>
    <w:p w14:paraId="7EE2DF61" w14:textId="77777777" w:rsidR="00C36EE0" w:rsidRPr="00C36EE0" w:rsidRDefault="00C36EE0" w:rsidP="00C36EE0">
      <w:pPr>
        <w:pStyle w:val="ListParagraph"/>
        <w:rPr>
          <w:rFonts w:ascii="Times New Roman" w:hAnsi="Times New Roman"/>
          <w:sz w:val="24"/>
          <w:szCs w:val="24"/>
        </w:rPr>
      </w:pPr>
    </w:p>
    <w:p w14:paraId="60A07D14" w14:textId="77777777" w:rsidR="00AD51DD" w:rsidRPr="00FB5AEE" w:rsidRDefault="00AD51DD" w:rsidP="00C01EFB">
      <w:pPr>
        <w:numPr>
          <w:ilvl w:val="1"/>
          <w:numId w:val="16"/>
        </w:numPr>
        <w:spacing w:line="360" w:lineRule="auto"/>
        <w:jc w:val="both"/>
        <w:rPr>
          <w:rFonts w:ascii="Times New Roman" w:hAnsi="Times New Roman"/>
          <w:sz w:val="24"/>
          <w:szCs w:val="24"/>
        </w:rPr>
      </w:pPr>
      <w:r w:rsidRPr="00FB5AEE">
        <w:rPr>
          <w:rFonts w:ascii="Times New Roman" w:hAnsi="Times New Roman"/>
          <w:sz w:val="24"/>
          <w:szCs w:val="24"/>
        </w:rPr>
        <w:t xml:space="preserve">The Committee </w:t>
      </w:r>
      <w:r w:rsidR="008A4F12">
        <w:rPr>
          <w:rFonts w:ascii="Times New Roman" w:hAnsi="Times New Roman"/>
          <w:sz w:val="24"/>
          <w:szCs w:val="24"/>
        </w:rPr>
        <w:t xml:space="preserve">noted that </w:t>
      </w:r>
      <w:r w:rsidR="00C36EE0">
        <w:rPr>
          <w:rFonts w:ascii="Times New Roman" w:hAnsi="Times New Roman"/>
          <w:sz w:val="24"/>
          <w:szCs w:val="24"/>
        </w:rPr>
        <w:t xml:space="preserve">due to budgetary constraints, </w:t>
      </w:r>
      <w:r w:rsidR="008A4F12">
        <w:rPr>
          <w:rFonts w:ascii="Times New Roman" w:hAnsi="Times New Roman"/>
          <w:sz w:val="24"/>
          <w:szCs w:val="24"/>
        </w:rPr>
        <w:t xml:space="preserve">the IPID </w:t>
      </w:r>
      <w:r w:rsidR="00C36EE0">
        <w:rPr>
          <w:rFonts w:ascii="Times New Roman" w:hAnsi="Times New Roman"/>
          <w:sz w:val="24"/>
          <w:szCs w:val="24"/>
        </w:rPr>
        <w:t xml:space="preserve">was unable to </w:t>
      </w:r>
      <w:r w:rsidR="008A4F12">
        <w:rPr>
          <w:rFonts w:ascii="Times New Roman" w:hAnsi="Times New Roman"/>
          <w:sz w:val="24"/>
          <w:szCs w:val="24"/>
        </w:rPr>
        <w:t xml:space="preserve">implement the </w:t>
      </w:r>
      <w:r w:rsidR="008A4F12" w:rsidRPr="00FB5AEE">
        <w:rPr>
          <w:rFonts w:ascii="Times New Roman" w:hAnsi="Times New Roman"/>
          <w:sz w:val="24"/>
          <w:szCs w:val="24"/>
        </w:rPr>
        <w:t>Farlam</w:t>
      </w:r>
      <w:r w:rsidRPr="00FB5AEE">
        <w:rPr>
          <w:rFonts w:ascii="Times New Roman" w:hAnsi="Times New Roman"/>
          <w:sz w:val="24"/>
          <w:szCs w:val="24"/>
        </w:rPr>
        <w:t xml:space="preserve"> Commission </w:t>
      </w:r>
      <w:r w:rsidR="008A4F12" w:rsidRPr="00FB5AEE">
        <w:rPr>
          <w:rFonts w:ascii="Times New Roman" w:hAnsi="Times New Roman"/>
          <w:sz w:val="24"/>
          <w:szCs w:val="24"/>
        </w:rPr>
        <w:t>recommendations</w:t>
      </w:r>
      <w:r w:rsidR="00C36EE0">
        <w:rPr>
          <w:rFonts w:ascii="Times New Roman" w:hAnsi="Times New Roman"/>
          <w:sz w:val="24"/>
          <w:szCs w:val="24"/>
        </w:rPr>
        <w:t xml:space="preserve">. Despite its appeals, the funding to specifically implement the Farlam Commission recommendations was not forthcoming and the IPID had to resort to their baseline budget for the relevant investigations. </w:t>
      </w:r>
    </w:p>
    <w:p w14:paraId="07EB5763" w14:textId="77777777" w:rsidR="00AD51DD" w:rsidRDefault="00F52F09" w:rsidP="00C01EFB">
      <w:pPr>
        <w:pStyle w:val="ListParagraph"/>
        <w:numPr>
          <w:ilvl w:val="1"/>
          <w:numId w:val="16"/>
        </w:numPr>
        <w:spacing w:line="360" w:lineRule="auto"/>
        <w:jc w:val="both"/>
        <w:rPr>
          <w:rFonts w:ascii="Times New Roman" w:hAnsi="Times New Roman"/>
          <w:sz w:val="24"/>
          <w:szCs w:val="24"/>
        </w:rPr>
      </w:pPr>
      <w:r>
        <w:rPr>
          <w:rFonts w:ascii="Times New Roman" w:hAnsi="Times New Roman"/>
          <w:sz w:val="24"/>
          <w:szCs w:val="24"/>
        </w:rPr>
        <w:t xml:space="preserve">The Committee expressed its concerns with respect to the </w:t>
      </w:r>
      <w:r w:rsidR="00C36EE0">
        <w:rPr>
          <w:rFonts w:ascii="Times New Roman" w:hAnsi="Times New Roman"/>
          <w:sz w:val="24"/>
          <w:szCs w:val="24"/>
        </w:rPr>
        <w:t xml:space="preserve">testimony of the IPID management with regard to alleged </w:t>
      </w:r>
      <w:r>
        <w:rPr>
          <w:rFonts w:ascii="Times New Roman" w:hAnsi="Times New Roman"/>
          <w:sz w:val="24"/>
          <w:szCs w:val="24"/>
        </w:rPr>
        <w:t xml:space="preserve">interference in its investigations against senior police officers implicated in systemic corruption investigations. </w:t>
      </w:r>
      <w:r w:rsidR="00FE20F4">
        <w:rPr>
          <w:rFonts w:ascii="Times New Roman" w:hAnsi="Times New Roman"/>
          <w:sz w:val="24"/>
          <w:szCs w:val="24"/>
        </w:rPr>
        <w:t>The</w:t>
      </w:r>
      <w:r>
        <w:rPr>
          <w:rFonts w:ascii="Times New Roman" w:hAnsi="Times New Roman"/>
          <w:sz w:val="24"/>
          <w:szCs w:val="24"/>
        </w:rPr>
        <w:t xml:space="preserve"> Committee noted that </w:t>
      </w:r>
      <w:r w:rsidR="00C36EE0">
        <w:rPr>
          <w:rFonts w:ascii="Times New Roman" w:hAnsi="Times New Roman"/>
          <w:sz w:val="24"/>
          <w:szCs w:val="24"/>
        </w:rPr>
        <w:t xml:space="preserve">urgent </w:t>
      </w:r>
      <w:r>
        <w:rPr>
          <w:rFonts w:ascii="Times New Roman" w:hAnsi="Times New Roman"/>
          <w:sz w:val="24"/>
          <w:szCs w:val="24"/>
        </w:rPr>
        <w:t xml:space="preserve">steps should be taken </w:t>
      </w:r>
      <w:r w:rsidR="00C36EE0">
        <w:rPr>
          <w:rFonts w:ascii="Times New Roman" w:hAnsi="Times New Roman"/>
          <w:sz w:val="24"/>
          <w:szCs w:val="24"/>
        </w:rPr>
        <w:t xml:space="preserve">by the Executive Authority </w:t>
      </w:r>
      <w:r>
        <w:rPr>
          <w:rFonts w:ascii="Times New Roman" w:hAnsi="Times New Roman"/>
          <w:sz w:val="24"/>
          <w:szCs w:val="24"/>
        </w:rPr>
        <w:t xml:space="preserve">to prevent the matter from escalating as both the SAPS and the IPID report to the Minister of Police.   </w:t>
      </w:r>
    </w:p>
    <w:p w14:paraId="6A8432C0" w14:textId="77777777" w:rsidR="00C01EFB" w:rsidRPr="00BD21EE" w:rsidRDefault="00C01EFB" w:rsidP="00C01EFB">
      <w:pPr>
        <w:pStyle w:val="ListParagraph"/>
        <w:spacing w:line="360" w:lineRule="auto"/>
        <w:ind w:left="360"/>
        <w:jc w:val="both"/>
        <w:rPr>
          <w:rFonts w:ascii="Times New Roman" w:hAnsi="Times New Roman"/>
          <w:sz w:val="24"/>
          <w:szCs w:val="24"/>
        </w:rPr>
      </w:pPr>
    </w:p>
    <w:p w14:paraId="6C9BDC05" w14:textId="77777777" w:rsidR="00AD51DD" w:rsidRDefault="00AD51DD" w:rsidP="00C01EFB">
      <w:pPr>
        <w:pStyle w:val="ListParagraph"/>
        <w:numPr>
          <w:ilvl w:val="1"/>
          <w:numId w:val="16"/>
        </w:numPr>
        <w:spacing w:line="360" w:lineRule="auto"/>
        <w:jc w:val="both"/>
        <w:rPr>
          <w:rFonts w:ascii="Times New Roman" w:hAnsi="Times New Roman"/>
          <w:sz w:val="24"/>
          <w:szCs w:val="24"/>
        </w:rPr>
      </w:pPr>
      <w:r w:rsidRPr="00BD21EE">
        <w:rPr>
          <w:rFonts w:ascii="Times New Roman" w:hAnsi="Times New Roman"/>
          <w:sz w:val="24"/>
          <w:szCs w:val="24"/>
        </w:rPr>
        <w:t xml:space="preserve">The Committee </w:t>
      </w:r>
      <w:r w:rsidR="00F52F09">
        <w:rPr>
          <w:rFonts w:ascii="Times New Roman" w:hAnsi="Times New Roman"/>
          <w:sz w:val="24"/>
          <w:szCs w:val="24"/>
        </w:rPr>
        <w:t xml:space="preserve">decided to support the IPID’s continued investigation into systemic corruption and indicated that it would </w:t>
      </w:r>
      <w:r w:rsidR="003052D0">
        <w:rPr>
          <w:rFonts w:ascii="Times New Roman" w:hAnsi="Times New Roman"/>
          <w:sz w:val="24"/>
          <w:szCs w:val="24"/>
        </w:rPr>
        <w:t xml:space="preserve">support an </w:t>
      </w:r>
      <w:r w:rsidR="00C36EE0">
        <w:rPr>
          <w:rFonts w:ascii="Times New Roman" w:hAnsi="Times New Roman"/>
          <w:sz w:val="24"/>
          <w:szCs w:val="24"/>
        </w:rPr>
        <w:t xml:space="preserve">additional allocation by National Treasury </w:t>
      </w:r>
      <w:r w:rsidR="003052D0">
        <w:rPr>
          <w:rFonts w:ascii="Times New Roman" w:hAnsi="Times New Roman"/>
          <w:sz w:val="24"/>
          <w:szCs w:val="24"/>
        </w:rPr>
        <w:t xml:space="preserve">of R20 million </w:t>
      </w:r>
      <w:r w:rsidR="00F52F09">
        <w:rPr>
          <w:rFonts w:ascii="Times New Roman" w:hAnsi="Times New Roman"/>
          <w:sz w:val="24"/>
          <w:szCs w:val="24"/>
        </w:rPr>
        <w:t xml:space="preserve">to pursue </w:t>
      </w:r>
      <w:r w:rsidR="00B7362E">
        <w:rPr>
          <w:rFonts w:ascii="Times New Roman" w:hAnsi="Times New Roman"/>
          <w:sz w:val="24"/>
          <w:szCs w:val="24"/>
        </w:rPr>
        <w:t xml:space="preserve">and complete </w:t>
      </w:r>
      <w:r w:rsidR="00F52F09">
        <w:rPr>
          <w:rFonts w:ascii="Times New Roman" w:hAnsi="Times New Roman"/>
          <w:sz w:val="24"/>
          <w:szCs w:val="24"/>
        </w:rPr>
        <w:t xml:space="preserve">its investigations. </w:t>
      </w:r>
    </w:p>
    <w:p w14:paraId="325497B7" w14:textId="77777777" w:rsidR="00C01EFB" w:rsidRPr="00C01EFB" w:rsidRDefault="00C01EFB" w:rsidP="00C01EFB">
      <w:pPr>
        <w:pStyle w:val="ListParagraph"/>
        <w:rPr>
          <w:rFonts w:ascii="Times New Roman" w:hAnsi="Times New Roman"/>
          <w:sz w:val="24"/>
          <w:szCs w:val="24"/>
        </w:rPr>
      </w:pPr>
    </w:p>
    <w:p w14:paraId="724D1088" w14:textId="77777777" w:rsidR="00F52F09" w:rsidRDefault="00F52F09" w:rsidP="00C01EFB">
      <w:pPr>
        <w:pStyle w:val="ListParagraph"/>
        <w:numPr>
          <w:ilvl w:val="1"/>
          <w:numId w:val="16"/>
        </w:numPr>
        <w:spacing w:line="360" w:lineRule="auto"/>
        <w:jc w:val="both"/>
        <w:rPr>
          <w:rFonts w:ascii="Times New Roman" w:hAnsi="Times New Roman"/>
          <w:sz w:val="24"/>
          <w:szCs w:val="24"/>
        </w:rPr>
      </w:pPr>
      <w:r>
        <w:rPr>
          <w:rFonts w:ascii="Times New Roman" w:hAnsi="Times New Roman"/>
          <w:sz w:val="24"/>
          <w:szCs w:val="24"/>
        </w:rPr>
        <w:t>The Committee noted that as a result of the fact that the Committee will be tabling its own IPID Amendment Bill, the R1,2 million which it was going to use for consultation on the Bill could be used elsewhere.</w:t>
      </w:r>
    </w:p>
    <w:p w14:paraId="1180356F" w14:textId="77777777" w:rsidR="00C01EFB" w:rsidRPr="00C01EFB" w:rsidRDefault="00C01EFB" w:rsidP="00C01EFB">
      <w:pPr>
        <w:pStyle w:val="ListParagraph"/>
        <w:rPr>
          <w:rFonts w:ascii="Times New Roman" w:hAnsi="Times New Roman"/>
          <w:sz w:val="24"/>
          <w:szCs w:val="24"/>
        </w:rPr>
      </w:pPr>
    </w:p>
    <w:p w14:paraId="7E8E98E5" w14:textId="77777777" w:rsidR="00F52F09" w:rsidRDefault="00003D7E" w:rsidP="00C01EFB">
      <w:pPr>
        <w:pStyle w:val="ListParagraph"/>
        <w:numPr>
          <w:ilvl w:val="1"/>
          <w:numId w:val="16"/>
        </w:numPr>
        <w:spacing w:line="360" w:lineRule="auto"/>
        <w:jc w:val="both"/>
        <w:rPr>
          <w:rFonts w:ascii="Times New Roman" w:hAnsi="Times New Roman"/>
          <w:sz w:val="24"/>
          <w:szCs w:val="24"/>
        </w:rPr>
      </w:pPr>
      <w:r>
        <w:rPr>
          <w:rFonts w:ascii="Times New Roman" w:hAnsi="Times New Roman"/>
          <w:sz w:val="24"/>
          <w:szCs w:val="24"/>
        </w:rPr>
        <w:t xml:space="preserve">The Committee wanted to know what other efforts the IPID has made to leverage its investigations into corruption on the other government departments with which it shares a role. The IPID informed the Committee that it has met with the DPCI, the Inspector General of Intelligence and the DPCI has agreed to second some investigators to the IPID. The IPID also indicated that the </w:t>
      </w:r>
      <w:r w:rsidR="00B7362E">
        <w:rPr>
          <w:rFonts w:ascii="Times New Roman" w:hAnsi="Times New Roman"/>
          <w:sz w:val="24"/>
          <w:szCs w:val="24"/>
        </w:rPr>
        <w:t>A</w:t>
      </w:r>
      <w:r>
        <w:rPr>
          <w:rFonts w:ascii="Times New Roman" w:hAnsi="Times New Roman"/>
          <w:sz w:val="24"/>
          <w:szCs w:val="24"/>
        </w:rPr>
        <w:t xml:space="preserve">nti-Corruption Task Team is not effective </w:t>
      </w:r>
      <w:r w:rsidR="00B7362E">
        <w:rPr>
          <w:rFonts w:ascii="Times New Roman" w:hAnsi="Times New Roman"/>
          <w:sz w:val="24"/>
          <w:szCs w:val="24"/>
        </w:rPr>
        <w:t xml:space="preserve">due to a lack of activity and follow up. </w:t>
      </w:r>
      <w:r>
        <w:rPr>
          <w:rFonts w:ascii="Times New Roman" w:hAnsi="Times New Roman"/>
          <w:sz w:val="24"/>
          <w:szCs w:val="24"/>
        </w:rPr>
        <w:t xml:space="preserve">The National Treasury has seconded a forensic audit team to the IPID to assist it with investigations into the Kriminalistics company and the FDA investigations. </w:t>
      </w:r>
    </w:p>
    <w:p w14:paraId="3F8C8486" w14:textId="77777777" w:rsidR="00C01EFB" w:rsidRPr="00C01EFB" w:rsidRDefault="00C01EFB" w:rsidP="00C01EFB">
      <w:pPr>
        <w:pStyle w:val="ListParagraph"/>
        <w:rPr>
          <w:rFonts w:ascii="Times New Roman" w:hAnsi="Times New Roman"/>
          <w:sz w:val="24"/>
          <w:szCs w:val="24"/>
        </w:rPr>
      </w:pPr>
    </w:p>
    <w:p w14:paraId="0CC4E1EC" w14:textId="77777777" w:rsidR="00AD51DD" w:rsidRDefault="00C01EFB" w:rsidP="00C01EFB">
      <w:pPr>
        <w:pStyle w:val="ListParagraph"/>
        <w:numPr>
          <w:ilvl w:val="1"/>
          <w:numId w:val="16"/>
        </w:numPr>
        <w:spacing w:line="360" w:lineRule="auto"/>
        <w:jc w:val="both"/>
        <w:rPr>
          <w:rFonts w:ascii="Times New Roman" w:hAnsi="Times New Roman"/>
          <w:sz w:val="24"/>
          <w:szCs w:val="24"/>
        </w:rPr>
      </w:pPr>
      <w:r>
        <w:rPr>
          <w:rFonts w:ascii="Times New Roman" w:hAnsi="Times New Roman"/>
          <w:sz w:val="24"/>
          <w:szCs w:val="24"/>
        </w:rPr>
        <w:t>T</w:t>
      </w:r>
      <w:r w:rsidR="00AD51DD" w:rsidRPr="00357EAD">
        <w:rPr>
          <w:rFonts w:ascii="Times New Roman" w:hAnsi="Times New Roman"/>
          <w:sz w:val="24"/>
          <w:szCs w:val="24"/>
        </w:rPr>
        <w:t xml:space="preserve">he Committee </w:t>
      </w:r>
      <w:r w:rsidR="00357EAD">
        <w:rPr>
          <w:rFonts w:ascii="Times New Roman" w:hAnsi="Times New Roman"/>
          <w:sz w:val="24"/>
          <w:szCs w:val="24"/>
        </w:rPr>
        <w:t xml:space="preserve">wanted to know what methods the IPID used to prioritise cases. The IPID indicated that they subjected any matter to a process whereby other members of the provinces gave input into the matter before a decision was reached to priorities matters. </w:t>
      </w:r>
    </w:p>
    <w:p w14:paraId="781BDB05" w14:textId="77777777" w:rsidR="00B7362E" w:rsidRPr="00B7362E" w:rsidRDefault="00B7362E" w:rsidP="00B7362E">
      <w:pPr>
        <w:pStyle w:val="ListParagraph"/>
        <w:rPr>
          <w:rFonts w:ascii="Times New Roman" w:hAnsi="Times New Roman"/>
          <w:sz w:val="24"/>
          <w:szCs w:val="24"/>
        </w:rPr>
      </w:pPr>
    </w:p>
    <w:p w14:paraId="5FAE492C" w14:textId="77777777" w:rsidR="00AD51DD" w:rsidRDefault="00AD51DD" w:rsidP="00C01EFB">
      <w:pPr>
        <w:pStyle w:val="ListParagraph"/>
        <w:numPr>
          <w:ilvl w:val="1"/>
          <w:numId w:val="16"/>
        </w:numPr>
        <w:spacing w:line="360" w:lineRule="auto"/>
        <w:jc w:val="both"/>
        <w:rPr>
          <w:rFonts w:ascii="Times New Roman" w:hAnsi="Times New Roman"/>
          <w:sz w:val="24"/>
          <w:szCs w:val="24"/>
        </w:rPr>
      </w:pPr>
      <w:r w:rsidRPr="00844A0D">
        <w:rPr>
          <w:rFonts w:ascii="Times New Roman" w:hAnsi="Times New Roman"/>
          <w:sz w:val="24"/>
          <w:szCs w:val="24"/>
        </w:rPr>
        <w:t xml:space="preserve">The Committee </w:t>
      </w:r>
      <w:r w:rsidR="00357EAD" w:rsidRPr="00844A0D">
        <w:rPr>
          <w:rFonts w:ascii="Times New Roman" w:hAnsi="Times New Roman"/>
          <w:sz w:val="24"/>
          <w:szCs w:val="24"/>
        </w:rPr>
        <w:t>questioned to what extent the IPID was known in communities as one of the NGOs, the Social Justice Coalition indicated that the IPID was not known in the community and that they would assist to raise the profile of IPID in the communities. The IPID responded that they do have roadshows where they partner with the Public Protector and other government departments, or with the Minister when they</w:t>
      </w:r>
      <w:r w:rsidR="00844A0D" w:rsidRPr="00844A0D">
        <w:rPr>
          <w:rFonts w:ascii="Times New Roman" w:hAnsi="Times New Roman"/>
          <w:sz w:val="24"/>
          <w:szCs w:val="24"/>
        </w:rPr>
        <w:t xml:space="preserve"> have meetings in communities. The IPID also uses local radio stations to advertise their services and always invite the community to get in touch with it.</w:t>
      </w:r>
      <w:r w:rsidR="00357EAD" w:rsidRPr="00844A0D">
        <w:rPr>
          <w:rFonts w:ascii="Times New Roman" w:hAnsi="Times New Roman"/>
          <w:sz w:val="24"/>
          <w:szCs w:val="24"/>
        </w:rPr>
        <w:t xml:space="preserve">    </w:t>
      </w:r>
    </w:p>
    <w:p w14:paraId="3C3A0EA7" w14:textId="77777777" w:rsidR="00844A0D" w:rsidRPr="00BD21EE" w:rsidRDefault="00844A0D" w:rsidP="00844A0D">
      <w:pPr>
        <w:pStyle w:val="ListParagraph"/>
        <w:spacing w:line="360" w:lineRule="auto"/>
        <w:jc w:val="both"/>
        <w:rPr>
          <w:rFonts w:ascii="Times New Roman" w:hAnsi="Times New Roman"/>
          <w:sz w:val="24"/>
          <w:szCs w:val="24"/>
        </w:rPr>
      </w:pPr>
    </w:p>
    <w:p w14:paraId="1A50E534" w14:textId="77777777" w:rsidR="00AD51DD" w:rsidRPr="00BD21EE" w:rsidRDefault="00AD51DD" w:rsidP="00C01EFB">
      <w:pPr>
        <w:pStyle w:val="ListParagraph"/>
        <w:numPr>
          <w:ilvl w:val="0"/>
          <w:numId w:val="16"/>
        </w:numPr>
        <w:spacing w:line="360" w:lineRule="auto"/>
        <w:jc w:val="both"/>
        <w:rPr>
          <w:rFonts w:ascii="Times New Roman" w:hAnsi="Times New Roman"/>
          <w:b/>
          <w:sz w:val="24"/>
          <w:szCs w:val="24"/>
        </w:rPr>
      </w:pPr>
      <w:r w:rsidRPr="00BD21EE">
        <w:rPr>
          <w:rFonts w:ascii="Times New Roman" w:hAnsi="Times New Roman"/>
          <w:b/>
          <w:sz w:val="24"/>
          <w:szCs w:val="24"/>
        </w:rPr>
        <w:t xml:space="preserve">      </w:t>
      </w:r>
      <w:r w:rsidR="00513E3E" w:rsidRPr="00BD21EE">
        <w:rPr>
          <w:rFonts w:ascii="Times New Roman" w:hAnsi="Times New Roman"/>
          <w:b/>
          <w:sz w:val="24"/>
          <w:szCs w:val="24"/>
        </w:rPr>
        <w:t>RECOMMENDATIONS AND ADDITIONAL INFORMATION</w:t>
      </w:r>
    </w:p>
    <w:p w14:paraId="2C75A8C6" w14:textId="77777777" w:rsidR="003052D0" w:rsidRDefault="00AD51DD" w:rsidP="00C01EFB">
      <w:pPr>
        <w:pStyle w:val="ListParagraph"/>
        <w:numPr>
          <w:ilvl w:val="1"/>
          <w:numId w:val="16"/>
        </w:numPr>
        <w:spacing w:line="360" w:lineRule="auto"/>
        <w:jc w:val="both"/>
        <w:rPr>
          <w:rFonts w:ascii="Times New Roman" w:hAnsi="Times New Roman"/>
          <w:sz w:val="24"/>
          <w:szCs w:val="24"/>
        </w:rPr>
      </w:pPr>
      <w:r w:rsidRPr="00844A0D">
        <w:rPr>
          <w:rFonts w:ascii="Times New Roman" w:hAnsi="Times New Roman"/>
          <w:sz w:val="24"/>
          <w:szCs w:val="24"/>
        </w:rPr>
        <w:t xml:space="preserve">The Committee recommends that the National Treasury must </w:t>
      </w:r>
      <w:r w:rsidR="00B7362E">
        <w:rPr>
          <w:rFonts w:ascii="Times New Roman" w:hAnsi="Times New Roman"/>
          <w:sz w:val="24"/>
          <w:szCs w:val="24"/>
        </w:rPr>
        <w:t xml:space="preserve">allocate </w:t>
      </w:r>
      <w:r w:rsidRPr="00844A0D">
        <w:rPr>
          <w:rFonts w:ascii="Times New Roman" w:hAnsi="Times New Roman"/>
          <w:sz w:val="24"/>
          <w:szCs w:val="24"/>
        </w:rPr>
        <w:t>the additional R</w:t>
      </w:r>
      <w:r w:rsidR="00844A0D" w:rsidRPr="00844A0D">
        <w:rPr>
          <w:rFonts w:ascii="Times New Roman" w:hAnsi="Times New Roman"/>
          <w:sz w:val="24"/>
          <w:szCs w:val="24"/>
        </w:rPr>
        <w:t>20</w:t>
      </w:r>
      <w:r w:rsidRPr="00844A0D">
        <w:rPr>
          <w:rFonts w:ascii="Times New Roman" w:hAnsi="Times New Roman"/>
          <w:sz w:val="24"/>
          <w:szCs w:val="24"/>
        </w:rPr>
        <w:t xml:space="preserve"> million </w:t>
      </w:r>
      <w:r w:rsidR="00B7362E">
        <w:rPr>
          <w:rFonts w:ascii="Times New Roman" w:hAnsi="Times New Roman"/>
          <w:sz w:val="24"/>
          <w:szCs w:val="24"/>
        </w:rPr>
        <w:t xml:space="preserve">in the current financial year </w:t>
      </w:r>
      <w:r w:rsidRPr="00844A0D">
        <w:rPr>
          <w:rFonts w:ascii="Times New Roman" w:hAnsi="Times New Roman"/>
          <w:sz w:val="24"/>
          <w:szCs w:val="24"/>
        </w:rPr>
        <w:t>so that IPID can con</w:t>
      </w:r>
      <w:r w:rsidR="00844A0D" w:rsidRPr="00844A0D">
        <w:rPr>
          <w:rFonts w:ascii="Times New Roman" w:hAnsi="Times New Roman"/>
          <w:sz w:val="24"/>
          <w:szCs w:val="24"/>
        </w:rPr>
        <w:t>tinue its investig</w:t>
      </w:r>
      <w:r w:rsidR="00B7362E">
        <w:rPr>
          <w:rFonts w:ascii="Times New Roman" w:hAnsi="Times New Roman"/>
          <w:sz w:val="24"/>
          <w:szCs w:val="24"/>
        </w:rPr>
        <w:t xml:space="preserve">ations into systemic corruption to finalise and implement the Farlam Commission recommendations. </w:t>
      </w:r>
      <w:r w:rsidR="00844A0D" w:rsidRPr="00844A0D">
        <w:rPr>
          <w:rFonts w:ascii="Times New Roman" w:hAnsi="Times New Roman"/>
          <w:sz w:val="24"/>
          <w:szCs w:val="24"/>
        </w:rPr>
        <w:t xml:space="preserve">   </w:t>
      </w:r>
    </w:p>
    <w:p w14:paraId="38D88634" w14:textId="77777777" w:rsidR="00844A0D" w:rsidRPr="00844A0D" w:rsidRDefault="00844A0D" w:rsidP="003052D0">
      <w:pPr>
        <w:pStyle w:val="ListParagraph"/>
        <w:spacing w:line="360" w:lineRule="auto"/>
        <w:jc w:val="both"/>
        <w:rPr>
          <w:rFonts w:ascii="Times New Roman" w:hAnsi="Times New Roman"/>
          <w:sz w:val="24"/>
          <w:szCs w:val="24"/>
        </w:rPr>
      </w:pPr>
      <w:r w:rsidRPr="00844A0D">
        <w:rPr>
          <w:rFonts w:ascii="Times New Roman" w:hAnsi="Times New Roman"/>
          <w:sz w:val="24"/>
          <w:szCs w:val="24"/>
        </w:rPr>
        <w:t xml:space="preserve"> </w:t>
      </w:r>
    </w:p>
    <w:p w14:paraId="65A13D4C" w14:textId="77777777" w:rsidR="00AD51DD" w:rsidRPr="00A14323" w:rsidRDefault="00AD51DD" w:rsidP="00C01EFB">
      <w:pPr>
        <w:pStyle w:val="ListParagraph"/>
        <w:numPr>
          <w:ilvl w:val="1"/>
          <w:numId w:val="16"/>
        </w:numPr>
        <w:spacing w:line="360" w:lineRule="auto"/>
        <w:jc w:val="both"/>
        <w:rPr>
          <w:rFonts w:ascii="Times New Roman" w:hAnsi="Times New Roman"/>
          <w:sz w:val="24"/>
          <w:szCs w:val="24"/>
        </w:rPr>
      </w:pPr>
      <w:r w:rsidRPr="00A14323">
        <w:rPr>
          <w:rFonts w:ascii="Times New Roman" w:hAnsi="Times New Roman"/>
          <w:sz w:val="24"/>
          <w:szCs w:val="24"/>
        </w:rPr>
        <w:t>The Committee recommends that the IPID management engage with the Executive Authority</w:t>
      </w:r>
      <w:r w:rsidR="00B7362E">
        <w:rPr>
          <w:rFonts w:ascii="Times New Roman" w:hAnsi="Times New Roman"/>
          <w:sz w:val="24"/>
          <w:szCs w:val="24"/>
        </w:rPr>
        <w:t xml:space="preserve"> and National Treasury</w:t>
      </w:r>
      <w:r w:rsidRPr="00A14323">
        <w:rPr>
          <w:rFonts w:ascii="Times New Roman" w:hAnsi="Times New Roman"/>
          <w:sz w:val="24"/>
          <w:szCs w:val="24"/>
        </w:rPr>
        <w:t xml:space="preserve"> with regards to additional budgetary support within the Justice, Crime Prevention and Security Cluster.</w:t>
      </w:r>
    </w:p>
    <w:p w14:paraId="75B98697" w14:textId="77777777" w:rsidR="00AD51DD" w:rsidRPr="00FB5AEE" w:rsidRDefault="00AD51DD" w:rsidP="00C01EFB">
      <w:pPr>
        <w:numPr>
          <w:ilvl w:val="1"/>
          <w:numId w:val="16"/>
        </w:numPr>
        <w:spacing w:line="360" w:lineRule="auto"/>
        <w:rPr>
          <w:rFonts w:ascii="Times New Roman" w:hAnsi="Times New Roman"/>
          <w:sz w:val="24"/>
          <w:szCs w:val="24"/>
        </w:rPr>
      </w:pPr>
      <w:r w:rsidRPr="00FB5AEE">
        <w:rPr>
          <w:rFonts w:ascii="Times New Roman" w:hAnsi="Times New Roman"/>
          <w:sz w:val="24"/>
          <w:szCs w:val="24"/>
        </w:rPr>
        <w:t xml:space="preserve">The Committee recommends that the Executive Authority should make all attempts to find the resources to </w:t>
      </w:r>
      <w:r w:rsidR="00844A0D">
        <w:rPr>
          <w:rFonts w:ascii="Times New Roman" w:hAnsi="Times New Roman"/>
          <w:sz w:val="24"/>
          <w:szCs w:val="24"/>
        </w:rPr>
        <w:t xml:space="preserve">allow the IPID to conclude the investigations into the </w:t>
      </w:r>
      <w:r w:rsidRPr="00FB5AEE">
        <w:rPr>
          <w:rFonts w:ascii="Times New Roman" w:hAnsi="Times New Roman"/>
          <w:sz w:val="24"/>
          <w:szCs w:val="24"/>
        </w:rPr>
        <w:t xml:space="preserve">Marikana investigation. </w:t>
      </w:r>
    </w:p>
    <w:p w14:paraId="696D43F7" w14:textId="77777777" w:rsidR="00844A0D" w:rsidRDefault="00844A0D" w:rsidP="002C37C9">
      <w:pPr>
        <w:pStyle w:val="ListParagraph"/>
        <w:numPr>
          <w:ilvl w:val="1"/>
          <w:numId w:val="16"/>
        </w:numPr>
        <w:spacing w:line="360" w:lineRule="auto"/>
        <w:jc w:val="both"/>
        <w:rPr>
          <w:rFonts w:ascii="Times New Roman" w:hAnsi="Times New Roman"/>
          <w:sz w:val="24"/>
          <w:szCs w:val="24"/>
        </w:rPr>
      </w:pPr>
      <w:r w:rsidRPr="00B7362E">
        <w:rPr>
          <w:rFonts w:ascii="Times New Roman" w:hAnsi="Times New Roman"/>
          <w:sz w:val="24"/>
          <w:szCs w:val="24"/>
        </w:rPr>
        <w:t xml:space="preserve">The Committee recommends that the </w:t>
      </w:r>
      <w:r w:rsidR="00B7362E" w:rsidRPr="00B7362E">
        <w:rPr>
          <w:rFonts w:ascii="Times New Roman" w:hAnsi="Times New Roman"/>
          <w:sz w:val="24"/>
          <w:szCs w:val="24"/>
        </w:rPr>
        <w:t xml:space="preserve">IPID Management engages with the </w:t>
      </w:r>
      <w:r w:rsidRPr="00B7362E">
        <w:rPr>
          <w:rFonts w:ascii="Times New Roman" w:hAnsi="Times New Roman"/>
          <w:sz w:val="24"/>
          <w:szCs w:val="24"/>
        </w:rPr>
        <w:t>Executive Authority</w:t>
      </w:r>
      <w:r w:rsidR="00B7362E" w:rsidRPr="00B7362E">
        <w:rPr>
          <w:rFonts w:ascii="Times New Roman" w:hAnsi="Times New Roman"/>
          <w:sz w:val="24"/>
          <w:szCs w:val="24"/>
        </w:rPr>
        <w:t xml:space="preserve"> and National Commissioner to ensure compliance with the IPID Act by the SAPS and to ensure the independence of the </w:t>
      </w:r>
      <w:r w:rsidR="00BC1CD9">
        <w:rPr>
          <w:rFonts w:ascii="Times New Roman" w:hAnsi="Times New Roman"/>
          <w:sz w:val="24"/>
          <w:szCs w:val="24"/>
        </w:rPr>
        <w:t>IPID</w:t>
      </w:r>
      <w:r w:rsidR="00B7362E" w:rsidRPr="00B7362E">
        <w:rPr>
          <w:rFonts w:ascii="Times New Roman" w:hAnsi="Times New Roman"/>
          <w:sz w:val="24"/>
          <w:szCs w:val="24"/>
        </w:rPr>
        <w:t xml:space="preserve">. </w:t>
      </w:r>
      <w:r w:rsidRPr="00B7362E">
        <w:rPr>
          <w:rFonts w:ascii="Times New Roman" w:hAnsi="Times New Roman"/>
          <w:sz w:val="24"/>
          <w:szCs w:val="24"/>
        </w:rPr>
        <w:t xml:space="preserve"> </w:t>
      </w:r>
    </w:p>
    <w:p w14:paraId="1FD55757" w14:textId="77777777" w:rsidR="00B7362E" w:rsidRPr="00B7362E" w:rsidRDefault="00B7362E" w:rsidP="00B7362E">
      <w:pPr>
        <w:pStyle w:val="ListParagraph"/>
        <w:spacing w:line="360" w:lineRule="auto"/>
        <w:ind w:left="360"/>
        <w:jc w:val="both"/>
        <w:rPr>
          <w:rFonts w:ascii="Times New Roman" w:hAnsi="Times New Roman"/>
          <w:sz w:val="24"/>
          <w:szCs w:val="24"/>
        </w:rPr>
      </w:pPr>
    </w:p>
    <w:p w14:paraId="56845AB4" w14:textId="77777777" w:rsidR="00844A0D" w:rsidRDefault="00AD51DD" w:rsidP="00C01EFB">
      <w:pPr>
        <w:pStyle w:val="ListParagraph"/>
        <w:numPr>
          <w:ilvl w:val="1"/>
          <w:numId w:val="16"/>
        </w:numPr>
        <w:spacing w:line="360" w:lineRule="auto"/>
        <w:jc w:val="both"/>
        <w:rPr>
          <w:rFonts w:ascii="Times New Roman" w:hAnsi="Times New Roman"/>
          <w:sz w:val="24"/>
          <w:szCs w:val="24"/>
        </w:rPr>
      </w:pPr>
      <w:r w:rsidRPr="00844A0D">
        <w:rPr>
          <w:rFonts w:ascii="Times New Roman" w:hAnsi="Times New Roman"/>
          <w:sz w:val="24"/>
          <w:szCs w:val="24"/>
        </w:rPr>
        <w:t xml:space="preserve">The </w:t>
      </w:r>
      <w:r w:rsidR="00844A0D" w:rsidRPr="00844A0D">
        <w:rPr>
          <w:rFonts w:ascii="Times New Roman" w:hAnsi="Times New Roman"/>
          <w:sz w:val="24"/>
          <w:szCs w:val="24"/>
        </w:rPr>
        <w:t xml:space="preserve">Committee recommends that the IPID makes its proposals and submissions during the legislative process on the IPID Amendment Bill at the appropriate time. </w:t>
      </w:r>
    </w:p>
    <w:p w14:paraId="2E988AC7" w14:textId="77777777" w:rsidR="00844A0D" w:rsidRPr="00844A0D" w:rsidRDefault="00844A0D" w:rsidP="00844A0D">
      <w:pPr>
        <w:pStyle w:val="ListParagraph"/>
        <w:rPr>
          <w:rFonts w:ascii="Times New Roman" w:hAnsi="Times New Roman"/>
          <w:sz w:val="24"/>
          <w:szCs w:val="24"/>
        </w:rPr>
      </w:pPr>
    </w:p>
    <w:p w14:paraId="2D10B089" w14:textId="77777777" w:rsidR="00AD51DD" w:rsidRDefault="00AD51DD" w:rsidP="00C01EFB">
      <w:pPr>
        <w:pStyle w:val="ListParagraph"/>
        <w:numPr>
          <w:ilvl w:val="1"/>
          <w:numId w:val="16"/>
        </w:numPr>
        <w:spacing w:line="360" w:lineRule="auto"/>
        <w:jc w:val="both"/>
        <w:rPr>
          <w:rFonts w:ascii="Times New Roman" w:hAnsi="Times New Roman"/>
          <w:sz w:val="24"/>
          <w:szCs w:val="24"/>
        </w:rPr>
      </w:pPr>
      <w:r w:rsidRPr="00844A0D">
        <w:rPr>
          <w:rFonts w:ascii="Times New Roman" w:hAnsi="Times New Roman"/>
          <w:sz w:val="24"/>
          <w:szCs w:val="24"/>
        </w:rPr>
        <w:t>The Committee recommends that further engagements with the National Treasury must take place in order to resolve the matter of legal services as a separate programme.</w:t>
      </w:r>
    </w:p>
    <w:p w14:paraId="7451531B" w14:textId="77777777" w:rsidR="003052D0" w:rsidRPr="003052D0" w:rsidRDefault="003052D0" w:rsidP="003052D0">
      <w:pPr>
        <w:pStyle w:val="ListParagraph"/>
        <w:rPr>
          <w:rFonts w:ascii="Times New Roman" w:hAnsi="Times New Roman"/>
          <w:sz w:val="24"/>
          <w:szCs w:val="24"/>
        </w:rPr>
      </w:pPr>
    </w:p>
    <w:p w14:paraId="6EEE1CC1" w14:textId="77777777" w:rsidR="00AD51DD" w:rsidRPr="00BD21EE" w:rsidRDefault="00AD51DD" w:rsidP="00C01EFB">
      <w:pPr>
        <w:pStyle w:val="ListParagraph"/>
        <w:numPr>
          <w:ilvl w:val="1"/>
          <w:numId w:val="16"/>
        </w:numPr>
        <w:spacing w:line="360" w:lineRule="auto"/>
        <w:jc w:val="both"/>
        <w:rPr>
          <w:rFonts w:ascii="Times New Roman" w:hAnsi="Times New Roman"/>
          <w:sz w:val="24"/>
          <w:szCs w:val="24"/>
        </w:rPr>
      </w:pPr>
      <w:r w:rsidRPr="00BD21EE">
        <w:rPr>
          <w:rFonts w:ascii="Times New Roman" w:hAnsi="Times New Roman"/>
          <w:sz w:val="24"/>
          <w:szCs w:val="24"/>
        </w:rPr>
        <w:t xml:space="preserve">The Committee recommends that IPID </w:t>
      </w:r>
      <w:r w:rsidR="003052D0">
        <w:rPr>
          <w:rFonts w:ascii="Times New Roman" w:hAnsi="Times New Roman"/>
          <w:sz w:val="24"/>
          <w:szCs w:val="24"/>
        </w:rPr>
        <w:t xml:space="preserve">uses the R1.2 million which was to be used for the consultative process on the IPID Bill, elsewhere to alleviate spending pressures. </w:t>
      </w:r>
    </w:p>
    <w:p w14:paraId="3FD21252" w14:textId="77777777" w:rsidR="003052D0" w:rsidRDefault="003052D0" w:rsidP="003052D0">
      <w:pPr>
        <w:pStyle w:val="ListParagraph"/>
        <w:spacing w:line="360" w:lineRule="auto"/>
        <w:jc w:val="both"/>
        <w:rPr>
          <w:rFonts w:ascii="Times New Roman" w:hAnsi="Times New Roman"/>
          <w:sz w:val="24"/>
          <w:szCs w:val="24"/>
        </w:rPr>
      </w:pPr>
    </w:p>
    <w:p w14:paraId="7915B784" w14:textId="77777777" w:rsidR="00AD51DD" w:rsidRPr="00BD21EE" w:rsidRDefault="00AD51DD" w:rsidP="00C01EFB">
      <w:pPr>
        <w:pStyle w:val="ListParagraph"/>
        <w:numPr>
          <w:ilvl w:val="1"/>
          <w:numId w:val="16"/>
        </w:numPr>
        <w:spacing w:line="360" w:lineRule="auto"/>
        <w:jc w:val="both"/>
        <w:rPr>
          <w:rFonts w:ascii="Times New Roman" w:hAnsi="Times New Roman"/>
          <w:sz w:val="24"/>
          <w:szCs w:val="24"/>
        </w:rPr>
      </w:pPr>
      <w:r w:rsidRPr="00BD21EE">
        <w:rPr>
          <w:rFonts w:ascii="Times New Roman" w:hAnsi="Times New Roman"/>
          <w:sz w:val="24"/>
          <w:szCs w:val="24"/>
        </w:rPr>
        <w:t>The Committee recommends that the IPID conducts and c</w:t>
      </w:r>
      <w:r>
        <w:rPr>
          <w:rFonts w:ascii="Times New Roman" w:hAnsi="Times New Roman"/>
          <w:sz w:val="24"/>
          <w:szCs w:val="24"/>
        </w:rPr>
        <w:t xml:space="preserve">oncludes investigations into </w:t>
      </w:r>
      <w:r w:rsidRPr="00BD21EE">
        <w:rPr>
          <w:rFonts w:ascii="Times New Roman" w:hAnsi="Times New Roman"/>
          <w:sz w:val="24"/>
          <w:szCs w:val="24"/>
        </w:rPr>
        <w:t>all the outstanding</w:t>
      </w:r>
      <w:r>
        <w:rPr>
          <w:rFonts w:ascii="Times New Roman" w:hAnsi="Times New Roman"/>
          <w:sz w:val="24"/>
          <w:szCs w:val="24"/>
        </w:rPr>
        <w:t xml:space="preserve"> disciplinary cases of top management of the SAPS and report back </w:t>
      </w:r>
      <w:r w:rsidRPr="00BD21EE">
        <w:rPr>
          <w:rFonts w:ascii="Times New Roman" w:hAnsi="Times New Roman"/>
          <w:sz w:val="24"/>
          <w:szCs w:val="24"/>
        </w:rPr>
        <w:t>with</w:t>
      </w:r>
      <w:r>
        <w:rPr>
          <w:rFonts w:ascii="Times New Roman" w:hAnsi="Times New Roman"/>
          <w:sz w:val="24"/>
          <w:szCs w:val="24"/>
        </w:rPr>
        <w:t xml:space="preserve">in </w:t>
      </w:r>
      <w:r w:rsidRPr="00BD21EE">
        <w:rPr>
          <w:rFonts w:ascii="Times New Roman" w:hAnsi="Times New Roman"/>
          <w:sz w:val="24"/>
          <w:szCs w:val="24"/>
        </w:rPr>
        <w:t>60 days</w:t>
      </w:r>
      <w:r>
        <w:rPr>
          <w:rFonts w:ascii="Times New Roman" w:hAnsi="Times New Roman"/>
          <w:sz w:val="24"/>
          <w:szCs w:val="24"/>
        </w:rPr>
        <w:t>.</w:t>
      </w:r>
      <w:r w:rsidRPr="00BD21EE">
        <w:rPr>
          <w:rFonts w:ascii="Times New Roman" w:hAnsi="Times New Roman"/>
          <w:sz w:val="24"/>
          <w:szCs w:val="24"/>
        </w:rPr>
        <w:t xml:space="preserve"> </w:t>
      </w:r>
    </w:p>
    <w:p w14:paraId="512E3A17" w14:textId="77777777" w:rsidR="003052D0" w:rsidRDefault="003052D0" w:rsidP="003052D0">
      <w:pPr>
        <w:pStyle w:val="ListParagraph"/>
        <w:spacing w:line="360" w:lineRule="auto"/>
        <w:jc w:val="both"/>
        <w:rPr>
          <w:rFonts w:ascii="Times New Roman" w:hAnsi="Times New Roman"/>
          <w:sz w:val="24"/>
          <w:szCs w:val="24"/>
        </w:rPr>
      </w:pPr>
    </w:p>
    <w:p w14:paraId="75775700" w14:textId="77777777" w:rsidR="00AD51DD" w:rsidRPr="003E7E5C" w:rsidRDefault="00AD51DD" w:rsidP="00C01EFB">
      <w:pPr>
        <w:pStyle w:val="ListParagraph"/>
        <w:numPr>
          <w:ilvl w:val="1"/>
          <w:numId w:val="16"/>
        </w:numPr>
        <w:spacing w:line="360" w:lineRule="auto"/>
        <w:jc w:val="both"/>
        <w:rPr>
          <w:rFonts w:ascii="Times New Roman" w:hAnsi="Times New Roman"/>
          <w:sz w:val="24"/>
          <w:szCs w:val="24"/>
        </w:rPr>
      </w:pPr>
      <w:r w:rsidRPr="003E7E5C">
        <w:rPr>
          <w:rFonts w:ascii="Times New Roman" w:hAnsi="Times New Roman"/>
          <w:sz w:val="24"/>
          <w:szCs w:val="24"/>
        </w:rPr>
        <w:t xml:space="preserve">The Committee recommends that </w:t>
      </w:r>
      <w:r>
        <w:rPr>
          <w:rFonts w:ascii="Times New Roman" w:hAnsi="Times New Roman"/>
          <w:sz w:val="24"/>
          <w:szCs w:val="24"/>
        </w:rPr>
        <w:t>IPID</w:t>
      </w:r>
      <w:r w:rsidRPr="003E7E5C">
        <w:rPr>
          <w:rFonts w:ascii="Times New Roman" w:hAnsi="Times New Roman"/>
          <w:sz w:val="24"/>
          <w:szCs w:val="24"/>
        </w:rPr>
        <w:t xml:space="preserve"> </w:t>
      </w:r>
      <w:r>
        <w:rPr>
          <w:rFonts w:ascii="Times New Roman" w:hAnsi="Times New Roman"/>
          <w:sz w:val="24"/>
          <w:szCs w:val="24"/>
        </w:rPr>
        <w:t xml:space="preserve">reports on the outcomes of all the disciplinary cases they refer to the SAPS. </w:t>
      </w:r>
    </w:p>
    <w:p w14:paraId="7E51823F" w14:textId="77777777" w:rsidR="003052D0" w:rsidRDefault="003052D0" w:rsidP="003052D0">
      <w:pPr>
        <w:pStyle w:val="ListParagraph"/>
        <w:spacing w:line="360" w:lineRule="auto"/>
        <w:jc w:val="both"/>
        <w:rPr>
          <w:rFonts w:ascii="Times New Roman" w:hAnsi="Times New Roman"/>
          <w:sz w:val="24"/>
          <w:szCs w:val="24"/>
        </w:rPr>
      </w:pPr>
    </w:p>
    <w:p w14:paraId="17FEB6C8" w14:textId="77777777" w:rsidR="00AD51DD" w:rsidRPr="00BD21EE" w:rsidRDefault="00AD51DD" w:rsidP="00C01EFB">
      <w:pPr>
        <w:pStyle w:val="ListParagraph"/>
        <w:numPr>
          <w:ilvl w:val="1"/>
          <w:numId w:val="16"/>
        </w:numPr>
        <w:spacing w:line="360" w:lineRule="auto"/>
        <w:jc w:val="both"/>
        <w:rPr>
          <w:rFonts w:ascii="Times New Roman" w:hAnsi="Times New Roman"/>
          <w:sz w:val="24"/>
          <w:szCs w:val="24"/>
        </w:rPr>
      </w:pPr>
      <w:r w:rsidRPr="00BD21EE">
        <w:rPr>
          <w:rFonts w:ascii="Times New Roman" w:hAnsi="Times New Roman"/>
          <w:sz w:val="24"/>
          <w:szCs w:val="24"/>
        </w:rPr>
        <w:t>The IPID must develop an implementation plan to ensure that the provisions of section 28(1) (a-f) are fully implemented</w:t>
      </w:r>
      <w:r w:rsidR="00B7362E">
        <w:rPr>
          <w:rFonts w:ascii="Times New Roman" w:hAnsi="Times New Roman"/>
          <w:sz w:val="24"/>
          <w:szCs w:val="24"/>
        </w:rPr>
        <w:t>.</w:t>
      </w:r>
      <w:r w:rsidRPr="00BD21EE">
        <w:rPr>
          <w:rFonts w:ascii="Times New Roman" w:hAnsi="Times New Roman"/>
          <w:sz w:val="24"/>
          <w:szCs w:val="24"/>
        </w:rPr>
        <w:t xml:space="preserve"> </w:t>
      </w:r>
    </w:p>
    <w:p w14:paraId="21B6CEEE" w14:textId="77777777" w:rsidR="003052D0" w:rsidRDefault="003052D0" w:rsidP="003052D0">
      <w:pPr>
        <w:pStyle w:val="ListParagraph"/>
        <w:spacing w:line="360" w:lineRule="auto"/>
        <w:jc w:val="both"/>
        <w:rPr>
          <w:rFonts w:ascii="Times New Roman" w:hAnsi="Times New Roman"/>
          <w:sz w:val="24"/>
          <w:szCs w:val="24"/>
        </w:rPr>
      </w:pPr>
    </w:p>
    <w:p w14:paraId="7D2D43BE" w14:textId="77777777" w:rsidR="00AD51DD" w:rsidRDefault="00AD51DD" w:rsidP="00C01EFB">
      <w:pPr>
        <w:pStyle w:val="ListParagraph"/>
        <w:numPr>
          <w:ilvl w:val="1"/>
          <w:numId w:val="16"/>
        </w:numPr>
        <w:spacing w:line="360" w:lineRule="auto"/>
        <w:jc w:val="both"/>
        <w:rPr>
          <w:rFonts w:ascii="Times New Roman" w:hAnsi="Times New Roman"/>
          <w:sz w:val="24"/>
          <w:szCs w:val="24"/>
        </w:rPr>
      </w:pPr>
      <w:r w:rsidRPr="00BD21EE">
        <w:rPr>
          <w:rFonts w:ascii="Times New Roman" w:hAnsi="Times New Roman"/>
          <w:sz w:val="24"/>
          <w:szCs w:val="24"/>
        </w:rPr>
        <w:t>The Committee recommends that the IPID provide a report on how it intends to retain investigators through a staff retention strategy.</w:t>
      </w:r>
    </w:p>
    <w:p w14:paraId="4C8CD492" w14:textId="77777777" w:rsidR="00B7362E" w:rsidRPr="00B7362E" w:rsidRDefault="00B7362E" w:rsidP="00B7362E">
      <w:pPr>
        <w:pStyle w:val="ListParagraph"/>
        <w:rPr>
          <w:rFonts w:ascii="Times New Roman" w:hAnsi="Times New Roman"/>
          <w:sz w:val="24"/>
          <w:szCs w:val="24"/>
        </w:rPr>
      </w:pPr>
    </w:p>
    <w:p w14:paraId="51C3CB51" w14:textId="77777777" w:rsidR="00B7362E" w:rsidRPr="00BD21EE" w:rsidRDefault="00B7362E" w:rsidP="00C01EFB">
      <w:pPr>
        <w:pStyle w:val="ListParagraph"/>
        <w:numPr>
          <w:ilvl w:val="1"/>
          <w:numId w:val="16"/>
        </w:numPr>
        <w:spacing w:line="360" w:lineRule="auto"/>
        <w:jc w:val="both"/>
        <w:rPr>
          <w:rFonts w:ascii="Times New Roman" w:hAnsi="Times New Roman"/>
          <w:sz w:val="24"/>
          <w:szCs w:val="24"/>
        </w:rPr>
      </w:pPr>
      <w:r>
        <w:rPr>
          <w:rFonts w:ascii="Times New Roman" w:hAnsi="Times New Roman"/>
          <w:sz w:val="24"/>
          <w:szCs w:val="24"/>
        </w:rPr>
        <w:t xml:space="preserve">The Committee recommends that the IPID provide it with quarterly reports on all investigations involving members of the </w:t>
      </w:r>
      <w:r w:rsidR="005B2299">
        <w:rPr>
          <w:rFonts w:ascii="Times New Roman" w:hAnsi="Times New Roman"/>
          <w:sz w:val="24"/>
          <w:szCs w:val="24"/>
        </w:rPr>
        <w:t xml:space="preserve">SAPS </w:t>
      </w:r>
      <w:r>
        <w:rPr>
          <w:rFonts w:ascii="Times New Roman" w:hAnsi="Times New Roman"/>
          <w:sz w:val="24"/>
          <w:szCs w:val="24"/>
        </w:rPr>
        <w:t>senior managements service echelon.</w:t>
      </w:r>
    </w:p>
    <w:p w14:paraId="5F5BB9F1" w14:textId="77777777" w:rsidR="00AD51DD" w:rsidRPr="00BD21EE" w:rsidRDefault="00AD51DD" w:rsidP="00AD51DD">
      <w:pPr>
        <w:pStyle w:val="ListParagraph"/>
        <w:spacing w:line="360" w:lineRule="auto"/>
        <w:jc w:val="both"/>
        <w:rPr>
          <w:rFonts w:ascii="Times New Roman" w:hAnsi="Times New Roman"/>
          <w:sz w:val="24"/>
          <w:szCs w:val="24"/>
        </w:rPr>
      </w:pPr>
    </w:p>
    <w:p w14:paraId="5CF93262" w14:textId="77777777" w:rsidR="00AD51DD" w:rsidRPr="00BD21EE" w:rsidRDefault="00AD51DD" w:rsidP="00AD51DD">
      <w:pPr>
        <w:pStyle w:val="ListParagraph"/>
        <w:spacing w:line="360" w:lineRule="auto"/>
        <w:jc w:val="both"/>
        <w:rPr>
          <w:rFonts w:ascii="Times New Roman" w:hAnsi="Times New Roman"/>
          <w:sz w:val="24"/>
          <w:szCs w:val="24"/>
        </w:rPr>
      </w:pPr>
    </w:p>
    <w:p w14:paraId="5F0EBFA7" w14:textId="77777777" w:rsidR="00AD51DD" w:rsidRPr="00BD21EE" w:rsidRDefault="00AD51DD" w:rsidP="00C01EFB">
      <w:pPr>
        <w:pStyle w:val="ListParagraph"/>
        <w:numPr>
          <w:ilvl w:val="0"/>
          <w:numId w:val="16"/>
        </w:numPr>
        <w:spacing w:line="360" w:lineRule="auto"/>
        <w:jc w:val="both"/>
        <w:rPr>
          <w:rFonts w:ascii="Times New Roman" w:hAnsi="Times New Roman"/>
          <w:b/>
          <w:sz w:val="24"/>
          <w:szCs w:val="24"/>
        </w:rPr>
      </w:pPr>
      <w:r w:rsidRPr="00BD21EE">
        <w:rPr>
          <w:rFonts w:ascii="Times New Roman" w:hAnsi="Times New Roman"/>
          <w:b/>
          <w:sz w:val="24"/>
          <w:szCs w:val="24"/>
        </w:rPr>
        <w:t xml:space="preserve">CONCLUSION </w:t>
      </w:r>
    </w:p>
    <w:p w14:paraId="53DB52A4" w14:textId="77777777" w:rsidR="00AD51DD" w:rsidRDefault="00AD51DD" w:rsidP="00AD51DD">
      <w:pPr>
        <w:spacing w:line="360" w:lineRule="auto"/>
        <w:jc w:val="both"/>
        <w:rPr>
          <w:rFonts w:ascii="Times New Roman" w:hAnsi="Times New Roman"/>
          <w:sz w:val="24"/>
          <w:szCs w:val="24"/>
          <w:lang w:val="en-GB"/>
        </w:rPr>
      </w:pPr>
      <w:r w:rsidRPr="00BD21EE">
        <w:rPr>
          <w:rFonts w:ascii="Times New Roman" w:hAnsi="Times New Roman"/>
          <w:sz w:val="24"/>
          <w:szCs w:val="24"/>
        </w:rPr>
        <w:t xml:space="preserve">In conclusion, </w:t>
      </w:r>
      <w:r w:rsidRPr="00BD21EE">
        <w:rPr>
          <w:rFonts w:ascii="Times New Roman" w:hAnsi="Times New Roman"/>
          <w:sz w:val="24"/>
          <w:szCs w:val="24"/>
          <w:lang w:val="en-GB"/>
        </w:rPr>
        <w:t xml:space="preserve">the Committee </w:t>
      </w:r>
      <w:r w:rsidR="003052D0">
        <w:rPr>
          <w:rFonts w:ascii="Times New Roman" w:hAnsi="Times New Roman"/>
          <w:sz w:val="24"/>
          <w:szCs w:val="24"/>
          <w:lang w:val="en-GB"/>
        </w:rPr>
        <w:t>noted the work that the IPID has started with respect to systemic corruption and has pledged to support that it continues on that path, albeit with a reduced investigative capacity. The Committee supports the position of the IPID to leverage its investigative work with support from other government departments in this regard.</w:t>
      </w:r>
      <w:r>
        <w:rPr>
          <w:rFonts w:ascii="Times New Roman" w:hAnsi="Times New Roman"/>
          <w:sz w:val="24"/>
          <w:szCs w:val="24"/>
          <w:lang w:val="en-GB"/>
        </w:rPr>
        <w:t xml:space="preserve"> The Committee noted that the oversight role played by IPID over the police must ensure compliance with the rules and result in police professionalism in its conduct. </w:t>
      </w:r>
    </w:p>
    <w:p w14:paraId="1FFE49C7" w14:textId="77777777" w:rsidR="00B7362E" w:rsidRDefault="00B7362E" w:rsidP="00AD51DD">
      <w:pPr>
        <w:spacing w:line="360" w:lineRule="auto"/>
        <w:jc w:val="both"/>
        <w:rPr>
          <w:rFonts w:ascii="Times New Roman" w:hAnsi="Times New Roman"/>
          <w:sz w:val="24"/>
          <w:szCs w:val="24"/>
          <w:lang w:val="en-GB"/>
        </w:rPr>
      </w:pPr>
      <w:r>
        <w:rPr>
          <w:rFonts w:ascii="Times New Roman" w:hAnsi="Times New Roman"/>
          <w:sz w:val="24"/>
          <w:szCs w:val="24"/>
          <w:lang w:val="en-GB"/>
        </w:rPr>
        <w:t>The Committee believes that for the IPID to fulfill its mandate in terms of independent oversight, an additional budget allocation should be supported.</w:t>
      </w:r>
    </w:p>
    <w:p w14:paraId="796115DB" w14:textId="77777777" w:rsidR="00AD51DD" w:rsidRDefault="00AD51DD" w:rsidP="00AD51DD">
      <w:pPr>
        <w:spacing w:line="360" w:lineRule="auto"/>
        <w:jc w:val="both"/>
        <w:rPr>
          <w:rFonts w:ascii="Times New Roman" w:hAnsi="Times New Roman"/>
          <w:sz w:val="24"/>
          <w:szCs w:val="24"/>
          <w:lang w:val="en-GB"/>
        </w:rPr>
      </w:pPr>
      <w:r>
        <w:rPr>
          <w:rFonts w:ascii="Times New Roman" w:hAnsi="Times New Roman"/>
          <w:sz w:val="24"/>
          <w:szCs w:val="24"/>
          <w:lang w:val="en-GB"/>
        </w:rPr>
        <w:t>The Committee supports the 201</w:t>
      </w:r>
      <w:r w:rsidR="003052D0">
        <w:rPr>
          <w:rFonts w:ascii="Times New Roman" w:hAnsi="Times New Roman"/>
          <w:sz w:val="24"/>
          <w:szCs w:val="24"/>
          <w:lang w:val="en-GB"/>
        </w:rPr>
        <w:t>8</w:t>
      </w:r>
      <w:r>
        <w:rPr>
          <w:rFonts w:ascii="Times New Roman" w:hAnsi="Times New Roman"/>
          <w:sz w:val="24"/>
          <w:szCs w:val="24"/>
          <w:lang w:val="en-GB"/>
        </w:rPr>
        <w:t>/1</w:t>
      </w:r>
      <w:r w:rsidR="003052D0">
        <w:rPr>
          <w:rFonts w:ascii="Times New Roman" w:hAnsi="Times New Roman"/>
          <w:sz w:val="24"/>
          <w:szCs w:val="24"/>
          <w:lang w:val="en-GB"/>
        </w:rPr>
        <w:t>9</w:t>
      </w:r>
      <w:r>
        <w:rPr>
          <w:rFonts w:ascii="Times New Roman" w:hAnsi="Times New Roman"/>
          <w:sz w:val="24"/>
          <w:szCs w:val="24"/>
          <w:lang w:val="en-GB"/>
        </w:rPr>
        <w:t xml:space="preserve"> Budget Vote (Vote 20) of the Independent Police Investigative Directorate. The Democratic Alliance </w:t>
      </w:r>
      <w:r w:rsidRPr="006B122A">
        <w:rPr>
          <w:rFonts w:ascii="Times New Roman" w:hAnsi="Times New Roman"/>
          <w:sz w:val="24"/>
          <w:szCs w:val="24"/>
          <w:lang w:val="en-GB"/>
        </w:rPr>
        <w:t xml:space="preserve">reserved its rights with respect to supporting or not supporting the </w:t>
      </w:r>
      <w:r>
        <w:rPr>
          <w:rFonts w:ascii="Times New Roman" w:hAnsi="Times New Roman"/>
          <w:sz w:val="24"/>
          <w:szCs w:val="24"/>
          <w:lang w:val="en-GB"/>
        </w:rPr>
        <w:t>B</w:t>
      </w:r>
      <w:r w:rsidRPr="006B122A">
        <w:rPr>
          <w:rFonts w:ascii="Times New Roman" w:hAnsi="Times New Roman"/>
          <w:sz w:val="24"/>
          <w:szCs w:val="24"/>
          <w:lang w:val="en-GB"/>
        </w:rPr>
        <w:t xml:space="preserve">udget </w:t>
      </w:r>
      <w:r>
        <w:rPr>
          <w:rFonts w:ascii="Times New Roman" w:hAnsi="Times New Roman"/>
          <w:sz w:val="24"/>
          <w:szCs w:val="24"/>
          <w:lang w:val="en-GB"/>
        </w:rPr>
        <w:t>V</w:t>
      </w:r>
      <w:r w:rsidRPr="006B122A">
        <w:rPr>
          <w:rFonts w:ascii="Times New Roman" w:hAnsi="Times New Roman"/>
          <w:sz w:val="24"/>
          <w:szCs w:val="24"/>
          <w:lang w:val="en-GB"/>
        </w:rPr>
        <w:t>ote.</w:t>
      </w:r>
    </w:p>
    <w:p w14:paraId="1C90661A" w14:textId="77777777" w:rsidR="00AD51DD" w:rsidRPr="00BD21EE" w:rsidRDefault="00AD51DD" w:rsidP="00AD51DD">
      <w:pPr>
        <w:spacing w:line="360" w:lineRule="auto"/>
        <w:jc w:val="both"/>
        <w:rPr>
          <w:rFonts w:ascii="Times New Roman" w:hAnsi="Times New Roman"/>
          <w:sz w:val="24"/>
          <w:szCs w:val="24"/>
          <w:lang w:val="en-GB"/>
        </w:rPr>
      </w:pPr>
    </w:p>
    <w:p w14:paraId="6AA9AA84" w14:textId="77777777" w:rsidR="00AD51DD" w:rsidRPr="00E233E1" w:rsidRDefault="00AD51DD" w:rsidP="00AD51DD">
      <w:pPr>
        <w:spacing w:line="360" w:lineRule="auto"/>
        <w:jc w:val="both"/>
        <w:rPr>
          <w:rFonts w:ascii="Times New Roman" w:hAnsi="Times New Roman"/>
          <w:b/>
          <w:sz w:val="24"/>
          <w:szCs w:val="24"/>
          <w:lang w:val="en-GB"/>
        </w:rPr>
      </w:pPr>
      <w:r w:rsidRPr="00E233E1">
        <w:rPr>
          <w:rFonts w:ascii="Times New Roman" w:hAnsi="Times New Roman"/>
          <w:b/>
          <w:sz w:val="24"/>
          <w:szCs w:val="24"/>
          <w:lang w:val="en-GB"/>
        </w:rPr>
        <w:t>Report to be considered.</w:t>
      </w:r>
    </w:p>
    <w:p w14:paraId="09FF7734" w14:textId="77777777" w:rsidR="00AE0B6F" w:rsidRDefault="00AE0B6F"/>
    <w:sectPr w:rsidR="00AE0B6F" w:rsidSect="00A8423C">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E1F13" w14:textId="77777777" w:rsidR="0079740C" w:rsidRDefault="0079740C">
      <w:pPr>
        <w:spacing w:after="0" w:line="240" w:lineRule="auto"/>
      </w:pPr>
      <w:r>
        <w:separator/>
      </w:r>
    </w:p>
  </w:endnote>
  <w:endnote w:type="continuationSeparator" w:id="0">
    <w:p w14:paraId="206B4CBB" w14:textId="77777777" w:rsidR="0079740C" w:rsidRDefault="0079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F6B0" w14:textId="4F2798EF" w:rsidR="00591B5C" w:rsidRDefault="00591B5C">
    <w:pPr>
      <w:pStyle w:val="Footer"/>
      <w:jc w:val="center"/>
    </w:pPr>
    <w:r>
      <w:fldChar w:fldCharType="begin"/>
    </w:r>
    <w:r>
      <w:instrText xml:space="preserve"> PAGE   \* MERGEFORMAT </w:instrText>
    </w:r>
    <w:r>
      <w:fldChar w:fldCharType="separate"/>
    </w:r>
    <w:r w:rsidR="000A1D76">
      <w:rPr>
        <w:noProof/>
      </w:rPr>
      <w:t>1</w:t>
    </w:r>
    <w:r>
      <w:rPr>
        <w:noProof/>
      </w:rPr>
      <w:fldChar w:fldCharType="end"/>
    </w:r>
  </w:p>
  <w:p w14:paraId="28DFA5DD" w14:textId="77777777" w:rsidR="00591B5C" w:rsidRDefault="00591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8E7F1" w14:textId="77777777" w:rsidR="0079740C" w:rsidRDefault="0079740C">
      <w:pPr>
        <w:spacing w:after="0" w:line="240" w:lineRule="auto"/>
      </w:pPr>
      <w:r>
        <w:separator/>
      </w:r>
    </w:p>
  </w:footnote>
  <w:footnote w:type="continuationSeparator" w:id="0">
    <w:p w14:paraId="26955900" w14:textId="77777777" w:rsidR="0079740C" w:rsidRDefault="00797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C82"/>
    <w:multiLevelType w:val="hybridMultilevel"/>
    <w:tmpl w:val="CA886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6F3909"/>
    <w:multiLevelType w:val="hybridMultilevel"/>
    <w:tmpl w:val="9468E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CE51353"/>
    <w:multiLevelType w:val="multilevel"/>
    <w:tmpl w:val="376A2FD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024A70"/>
    <w:multiLevelType w:val="hybridMultilevel"/>
    <w:tmpl w:val="C636A436"/>
    <w:lvl w:ilvl="0" w:tplc="19AE74AE">
      <w:start w:val="1"/>
      <w:numFmt w:val="decimal"/>
      <w:lvlText w:val="%1."/>
      <w:lvlJc w:val="left"/>
      <w:pPr>
        <w:tabs>
          <w:tab w:val="num" w:pos="720"/>
        </w:tabs>
        <w:ind w:left="720" w:hanging="360"/>
      </w:pPr>
    </w:lvl>
    <w:lvl w:ilvl="1" w:tplc="BE4277B6" w:tentative="1">
      <w:start w:val="1"/>
      <w:numFmt w:val="decimal"/>
      <w:lvlText w:val="%2."/>
      <w:lvlJc w:val="left"/>
      <w:pPr>
        <w:tabs>
          <w:tab w:val="num" w:pos="1440"/>
        </w:tabs>
        <w:ind w:left="1440" w:hanging="360"/>
      </w:pPr>
    </w:lvl>
    <w:lvl w:ilvl="2" w:tplc="E58CE4D8" w:tentative="1">
      <w:start w:val="1"/>
      <w:numFmt w:val="decimal"/>
      <w:lvlText w:val="%3."/>
      <w:lvlJc w:val="left"/>
      <w:pPr>
        <w:tabs>
          <w:tab w:val="num" w:pos="2160"/>
        </w:tabs>
        <w:ind w:left="2160" w:hanging="360"/>
      </w:pPr>
    </w:lvl>
    <w:lvl w:ilvl="3" w:tplc="C9B6DD82" w:tentative="1">
      <w:start w:val="1"/>
      <w:numFmt w:val="decimal"/>
      <w:lvlText w:val="%4."/>
      <w:lvlJc w:val="left"/>
      <w:pPr>
        <w:tabs>
          <w:tab w:val="num" w:pos="2880"/>
        </w:tabs>
        <w:ind w:left="2880" w:hanging="360"/>
      </w:pPr>
    </w:lvl>
    <w:lvl w:ilvl="4" w:tplc="47E8F9EC" w:tentative="1">
      <w:start w:val="1"/>
      <w:numFmt w:val="decimal"/>
      <w:lvlText w:val="%5."/>
      <w:lvlJc w:val="left"/>
      <w:pPr>
        <w:tabs>
          <w:tab w:val="num" w:pos="3600"/>
        </w:tabs>
        <w:ind w:left="3600" w:hanging="360"/>
      </w:pPr>
    </w:lvl>
    <w:lvl w:ilvl="5" w:tplc="9C5AD004" w:tentative="1">
      <w:start w:val="1"/>
      <w:numFmt w:val="decimal"/>
      <w:lvlText w:val="%6."/>
      <w:lvlJc w:val="left"/>
      <w:pPr>
        <w:tabs>
          <w:tab w:val="num" w:pos="4320"/>
        </w:tabs>
        <w:ind w:left="4320" w:hanging="360"/>
      </w:pPr>
    </w:lvl>
    <w:lvl w:ilvl="6" w:tplc="A846FCF4" w:tentative="1">
      <w:start w:val="1"/>
      <w:numFmt w:val="decimal"/>
      <w:lvlText w:val="%7."/>
      <w:lvlJc w:val="left"/>
      <w:pPr>
        <w:tabs>
          <w:tab w:val="num" w:pos="5040"/>
        </w:tabs>
        <w:ind w:left="5040" w:hanging="360"/>
      </w:pPr>
    </w:lvl>
    <w:lvl w:ilvl="7" w:tplc="AEEE5442" w:tentative="1">
      <w:start w:val="1"/>
      <w:numFmt w:val="decimal"/>
      <w:lvlText w:val="%8."/>
      <w:lvlJc w:val="left"/>
      <w:pPr>
        <w:tabs>
          <w:tab w:val="num" w:pos="5760"/>
        </w:tabs>
        <w:ind w:left="5760" w:hanging="360"/>
      </w:pPr>
    </w:lvl>
    <w:lvl w:ilvl="8" w:tplc="DFAEBBB4" w:tentative="1">
      <w:start w:val="1"/>
      <w:numFmt w:val="decimal"/>
      <w:lvlText w:val="%9."/>
      <w:lvlJc w:val="left"/>
      <w:pPr>
        <w:tabs>
          <w:tab w:val="num" w:pos="6480"/>
        </w:tabs>
        <w:ind w:left="6480" w:hanging="360"/>
      </w:pPr>
    </w:lvl>
  </w:abstractNum>
  <w:abstractNum w:abstractNumId="4">
    <w:nsid w:val="34D91B28"/>
    <w:multiLevelType w:val="hybridMultilevel"/>
    <w:tmpl w:val="0F9C2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D9B36F3"/>
    <w:multiLevelType w:val="hybridMultilevel"/>
    <w:tmpl w:val="AC96A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1F80811"/>
    <w:multiLevelType w:val="hybridMultilevel"/>
    <w:tmpl w:val="4E22ED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65572B7"/>
    <w:multiLevelType w:val="hybridMultilevel"/>
    <w:tmpl w:val="579C7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B751DD8"/>
    <w:multiLevelType w:val="multilevel"/>
    <w:tmpl w:val="BB485C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D33646"/>
    <w:multiLevelType w:val="hybridMultilevel"/>
    <w:tmpl w:val="9E6C1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328738A"/>
    <w:multiLevelType w:val="hybridMultilevel"/>
    <w:tmpl w:val="A13875D4"/>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7">
      <w:start w:val="1"/>
      <w:numFmt w:val="lowerLetter"/>
      <w:lvlText w:val="%3)"/>
      <w:lvlJc w:val="lef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8F4A01"/>
    <w:multiLevelType w:val="hybridMultilevel"/>
    <w:tmpl w:val="74E26E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8D170C0"/>
    <w:multiLevelType w:val="hybridMultilevel"/>
    <w:tmpl w:val="7032B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0E9721E"/>
    <w:multiLevelType w:val="multilevel"/>
    <w:tmpl w:val="33769D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765D1143"/>
    <w:multiLevelType w:val="multilevel"/>
    <w:tmpl w:val="DC5C45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130213"/>
    <w:multiLevelType w:val="multilevel"/>
    <w:tmpl w:val="901AD6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3"/>
  </w:num>
  <w:num w:numId="3">
    <w:abstractNumId w:val="0"/>
  </w:num>
  <w:num w:numId="4">
    <w:abstractNumId w:val="9"/>
  </w:num>
  <w:num w:numId="5">
    <w:abstractNumId w:val="11"/>
  </w:num>
  <w:num w:numId="6">
    <w:abstractNumId w:val="1"/>
  </w:num>
  <w:num w:numId="7">
    <w:abstractNumId w:val="4"/>
  </w:num>
  <w:num w:numId="8">
    <w:abstractNumId w:val="8"/>
  </w:num>
  <w:num w:numId="9">
    <w:abstractNumId w:val="10"/>
  </w:num>
  <w:num w:numId="10">
    <w:abstractNumId w:val="15"/>
  </w:num>
  <w:num w:numId="11">
    <w:abstractNumId w:val="3"/>
  </w:num>
  <w:num w:numId="12">
    <w:abstractNumId w:val="12"/>
  </w:num>
  <w:num w:numId="13">
    <w:abstractNumId w:val="7"/>
  </w:num>
  <w:num w:numId="14">
    <w:abstractNumId w:val="6"/>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DD"/>
    <w:rsid w:val="00003D7E"/>
    <w:rsid w:val="000A1D76"/>
    <w:rsid w:val="000B62B8"/>
    <w:rsid w:val="001C56F4"/>
    <w:rsid w:val="001E3691"/>
    <w:rsid w:val="00246A58"/>
    <w:rsid w:val="00266657"/>
    <w:rsid w:val="002C37C9"/>
    <w:rsid w:val="0030167E"/>
    <w:rsid w:val="003052D0"/>
    <w:rsid w:val="00357EAD"/>
    <w:rsid w:val="003B6509"/>
    <w:rsid w:val="003E5524"/>
    <w:rsid w:val="003F40D9"/>
    <w:rsid w:val="00492B5A"/>
    <w:rsid w:val="004E0031"/>
    <w:rsid w:val="004E765C"/>
    <w:rsid w:val="00513E3E"/>
    <w:rsid w:val="00530BF7"/>
    <w:rsid w:val="00535EC7"/>
    <w:rsid w:val="00581B35"/>
    <w:rsid w:val="00591B5C"/>
    <w:rsid w:val="005B2299"/>
    <w:rsid w:val="005E2752"/>
    <w:rsid w:val="0079740C"/>
    <w:rsid w:val="00844A0D"/>
    <w:rsid w:val="008A4F12"/>
    <w:rsid w:val="008E6054"/>
    <w:rsid w:val="00A8423C"/>
    <w:rsid w:val="00AD51DD"/>
    <w:rsid w:val="00AE0B6F"/>
    <w:rsid w:val="00AE5472"/>
    <w:rsid w:val="00B7362E"/>
    <w:rsid w:val="00BC1CD9"/>
    <w:rsid w:val="00C01EFB"/>
    <w:rsid w:val="00C368D3"/>
    <w:rsid w:val="00C36EE0"/>
    <w:rsid w:val="00C47489"/>
    <w:rsid w:val="00C51036"/>
    <w:rsid w:val="00C5337E"/>
    <w:rsid w:val="00C636DB"/>
    <w:rsid w:val="00CC5A3F"/>
    <w:rsid w:val="00CD1588"/>
    <w:rsid w:val="00D77C6B"/>
    <w:rsid w:val="00DA14D9"/>
    <w:rsid w:val="00DC631E"/>
    <w:rsid w:val="00DD7D0D"/>
    <w:rsid w:val="00DE569A"/>
    <w:rsid w:val="00E1008F"/>
    <w:rsid w:val="00EC37DF"/>
    <w:rsid w:val="00F22CAA"/>
    <w:rsid w:val="00F52F09"/>
    <w:rsid w:val="00F6454C"/>
    <w:rsid w:val="00FE20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E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DD"/>
    <w:pPr>
      <w:ind w:left="720"/>
      <w:contextualSpacing/>
    </w:pPr>
  </w:style>
  <w:style w:type="paragraph" w:styleId="Footer">
    <w:name w:val="footer"/>
    <w:basedOn w:val="Normal"/>
    <w:link w:val="FooterChar"/>
    <w:uiPriority w:val="99"/>
    <w:unhideWhenUsed/>
    <w:rsid w:val="00AD5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DD"/>
    <w:rPr>
      <w:rFonts w:ascii="Calibri" w:eastAsia="Calibri" w:hAnsi="Calibri" w:cs="Times New Roman"/>
    </w:rPr>
  </w:style>
  <w:style w:type="paragraph" w:customStyle="1" w:styleId="Default">
    <w:name w:val="Default"/>
    <w:rsid w:val="00AD51DD"/>
    <w:pPr>
      <w:autoSpaceDE w:val="0"/>
      <w:autoSpaceDN w:val="0"/>
      <w:adjustRightInd w:val="0"/>
      <w:spacing w:after="0" w:line="240" w:lineRule="auto"/>
    </w:pPr>
    <w:rPr>
      <w:rFonts w:ascii="Arial" w:eastAsia="Calibri" w:hAnsi="Arial" w:cs="Arial"/>
      <w:color w:val="000000"/>
      <w:sz w:val="24"/>
      <w:szCs w:val="24"/>
      <w:lang w:eastAsia="en-ZA"/>
    </w:rPr>
  </w:style>
  <w:style w:type="paragraph" w:styleId="NormalWeb">
    <w:name w:val="Normal (Web)"/>
    <w:basedOn w:val="Normal"/>
    <w:uiPriority w:val="99"/>
    <w:semiHidden/>
    <w:unhideWhenUsed/>
    <w:rsid w:val="00CD1588"/>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24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0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0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DD"/>
    <w:pPr>
      <w:ind w:left="720"/>
      <w:contextualSpacing/>
    </w:pPr>
  </w:style>
  <w:style w:type="paragraph" w:styleId="Footer">
    <w:name w:val="footer"/>
    <w:basedOn w:val="Normal"/>
    <w:link w:val="FooterChar"/>
    <w:uiPriority w:val="99"/>
    <w:unhideWhenUsed/>
    <w:rsid w:val="00AD5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DD"/>
    <w:rPr>
      <w:rFonts w:ascii="Calibri" w:eastAsia="Calibri" w:hAnsi="Calibri" w:cs="Times New Roman"/>
    </w:rPr>
  </w:style>
  <w:style w:type="paragraph" w:customStyle="1" w:styleId="Default">
    <w:name w:val="Default"/>
    <w:rsid w:val="00AD51DD"/>
    <w:pPr>
      <w:autoSpaceDE w:val="0"/>
      <w:autoSpaceDN w:val="0"/>
      <w:adjustRightInd w:val="0"/>
      <w:spacing w:after="0" w:line="240" w:lineRule="auto"/>
    </w:pPr>
    <w:rPr>
      <w:rFonts w:ascii="Arial" w:eastAsia="Calibri" w:hAnsi="Arial" w:cs="Arial"/>
      <w:color w:val="000000"/>
      <w:sz w:val="24"/>
      <w:szCs w:val="24"/>
      <w:lang w:eastAsia="en-ZA"/>
    </w:rPr>
  </w:style>
  <w:style w:type="paragraph" w:styleId="NormalWeb">
    <w:name w:val="Normal (Web)"/>
    <w:basedOn w:val="Normal"/>
    <w:uiPriority w:val="99"/>
    <w:semiHidden/>
    <w:unhideWhenUsed/>
    <w:rsid w:val="00CD1588"/>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24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0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0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3083">
      <w:bodyDiv w:val="1"/>
      <w:marLeft w:val="0"/>
      <w:marRight w:val="0"/>
      <w:marTop w:val="0"/>
      <w:marBottom w:val="0"/>
      <w:divBdr>
        <w:top w:val="none" w:sz="0" w:space="0" w:color="auto"/>
        <w:left w:val="none" w:sz="0" w:space="0" w:color="auto"/>
        <w:bottom w:val="none" w:sz="0" w:space="0" w:color="auto"/>
        <w:right w:val="none" w:sz="0" w:space="0" w:color="auto"/>
      </w:divBdr>
    </w:div>
    <w:div w:id="1318152348">
      <w:bodyDiv w:val="1"/>
      <w:marLeft w:val="0"/>
      <w:marRight w:val="0"/>
      <w:marTop w:val="0"/>
      <w:marBottom w:val="0"/>
      <w:divBdr>
        <w:top w:val="none" w:sz="0" w:space="0" w:color="auto"/>
        <w:left w:val="none" w:sz="0" w:space="0" w:color="auto"/>
        <w:bottom w:val="none" w:sz="0" w:space="0" w:color="auto"/>
        <w:right w:val="none" w:sz="0" w:space="0" w:color="auto"/>
      </w:divBdr>
    </w:div>
    <w:div w:id="214612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4973</Words>
  <Characters>28350</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2018-05-14T10:12:00Z</dcterms:created>
  <dcterms:modified xsi:type="dcterms:W3CDTF">2018-05-14T10:12:00Z</dcterms:modified>
</cp:coreProperties>
</file>