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7EEBA" w14:textId="77777777" w:rsidR="00B17B7F" w:rsidRPr="0085651A" w:rsidRDefault="0085651A" w:rsidP="00B97108">
      <w:pPr>
        <w:rPr>
          <w:rFonts w:ascii="Times New Roman" w:hAnsi="Times New Roman" w:cs="Times New Roman"/>
          <w:b/>
          <w:sz w:val="24"/>
          <w:szCs w:val="24"/>
        </w:rPr>
      </w:pPr>
      <w:bookmarkStart w:id="0" w:name="_GoBack"/>
      <w:bookmarkEnd w:id="0"/>
      <w:r w:rsidRPr="0085651A">
        <w:rPr>
          <w:rFonts w:ascii="Times New Roman" w:hAnsi="Times New Roman" w:cs="Times New Roman"/>
          <w:b/>
          <w:sz w:val="24"/>
          <w:szCs w:val="24"/>
        </w:rPr>
        <w:t xml:space="preserve">7. </w:t>
      </w:r>
      <w:r w:rsidR="000211D2" w:rsidRPr="0085651A">
        <w:rPr>
          <w:rFonts w:ascii="Times New Roman" w:hAnsi="Times New Roman" w:cs="Times New Roman"/>
          <w:b/>
          <w:sz w:val="24"/>
          <w:szCs w:val="24"/>
        </w:rPr>
        <w:t>REPORT OF THE PORTFOLIO COMMITTEE ON HIGHER EDUCATION AND TRAINING</w:t>
      </w:r>
      <w:r w:rsidR="00E63B1C" w:rsidRPr="0085651A">
        <w:rPr>
          <w:rFonts w:ascii="Times New Roman" w:hAnsi="Times New Roman" w:cs="Times New Roman"/>
          <w:b/>
          <w:sz w:val="24"/>
          <w:szCs w:val="24"/>
        </w:rPr>
        <w:t xml:space="preserve"> ON CO</w:t>
      </w:r>
      <w:r w:rsidR="00095964" w:rsidRPr="0085651A">
        <w:rPr>
          <w:rFonts w:ascii="Times New Roman" w:hAnsi="Times New Roman" w:cs="Times New Roman"/>
          <w:b/>
          <w:sz w:val="24"/>
          <w:szCs w:val="24"/>
        </w:rPr>
        <w:t>N</w:t>
      </w:r>
      <w:r w:rsidR="00E63B1C" w:rsidRPr="0085651A">
        <w:rPr>
          <w:rFonts w:ascii="Times New Roman" w:hAnsi="Times New Roman" w:cs="Times New Roman"/>
          <w:b/>
          <w:sz w:val="24"/>
          <w:szCs w:val="24"/>
        </w:rPr>
        <w:t>SIDERATION OF THE BUDGET VOTE 15: HIGHER EDUCATION AND TRAINING</w:t>
      </w:r>
      <w:r w:rsidR="001F0129" w:rsidRPr="0085651A">
        <w:rPr>
          <w:rFonts w:ascii="Times New Roman" w:hAnsi="Times New Roman" w:cs="Times New Roman"/>
          <w:b/>
          <w:sz w:val="24"/>
          <w:szCs w:val="24"/>
        </w:rPr>
        <w:t>, DATED 09 MAY 2018</w:t>
      </w:r>
      <w:r w:rsidR="00E63B1C" w:rsidRPr="0085651A">
        <w:rPr>
          <w:rFonts w:ascii="Times New Roman" w:hAnsi="Times New Roman" w:cs="Times New Roman"/>
          <w:b/>
          <w:sz w:val="24"/>
          <w:szCs w:val="24"/>
        </w:rPr>
        <w:t xml:space="preserve"> </w:t>
      </w:r>
    </w:p>
    <w:p w14:paraId="59BE2C1C" w14:textId="77777777" w:rsidR="000211D2" w:rsidRPr="0085651A" w:rsidRDefault="006B00A8" w:rsidP="006B00A8">
      <w:pPr>
        <w:rPr>
          <w:rFonts w:ascii="Times New Roman" w:hAnsi="Times New Roman" w:cs="Times New Roman"/>
          <w:b/>
          <w:sz w:val="24"/>
          <w:szCs w:val="24"/>
        </w:rPr>
      </w:pPr>
      <w:r w:rsidRPr="0085651A">
        <w:rPr>
          <w:rFonts w:ascii="Times New Roman" w:hAnsi="Times New Roman" w:cs="Times New Roman"/>
          <w:b/>
          <w:sz w:val="24"/>
          <w:szCs w:val="24"/>
        </w:rPr>
        <w:t xml:space="preserve">1. </w:t>
      </w:r>
      <w:r w:rsidR="000211D2" w:rsidRPr="0085651A">
        <w:rPr>
          <w:rFonts w:ascii="Times New Roman" w:hAnsi="Times New Roman" w:cs="Times New Roman"/>
          <w:b/>
          <w:sz w:val="24"/>
          <w:szCs w:val="24"/>
        </w:rPr>
        <w:t>INTRODUCTION</w:t>
      </w:r>
      <w:r w:rsidRPr="0085651A">
        <w:rPr>
          <w:rFonts w:ascii="Times New Roman" w:hAnsi="Times New Roman" w:cs="Times New Roman"/>
          <w:b/>
          <w:sz w:val="24"/>
          <w:szCs w:val="24"/>
        </w:rPr>
        <w:t xml:space="preserve"> AND MANDATE OF THE COMMITTEE </w:t>
      </w:r>
      <w:r w:rsidR="00DE6433" w:rsidRPr="0085651A">
        <w:rPr>
          <w:rFonts w:ascii="Times New Roman" w:hAnsi="Times New Roman" w:cs="Times New Roman"/>
          <w:b/>
          <w:sz w:val="24"/>
          <w:szCs w:val="24"/>
        </w:rPr>
        <w:t>AND THE DEPARTMENT</w:t>
      </w:r>
    </w:p>
    <w:p w14:paraId="6FAF2681" w14:textId="77777777" w:rsidR="00E44889" w:rsidRPr="0085651A" w:rsidRDefault="00E44889" w:rsidP="00E44889">
      <w:pPr>
        <w:spacing w:after="0"/>
        <w:rPr>
          <w:rFonts w:ascii="Times New Roman" w:hAnsi="Times New Roman" w:cs="Times New Roman"/>
          <w:sz w:val="24"/>
          <w:szCs w:val="24"/>
        </w:rPr>
      </w:pPr>
      <w:r w:rsidRPr="0085651A">
        <w:rPr>
          <w:rFonts w:ascii="Times New Roman" w:hAnsi="Times New Roman" w:cs="Times New Roman"/>
          <w:sz w:val="24"/>
          <w:szCs w:val="24"/>
        </w:rPr>
        <w:t xml:space="preserve">The Portfolio Committee on Higher Education and Training (hereinafter referred to as the Committee), having considered the 2015/16 – 2019/20 Strategic Plan, the 2018/19 Annual Performance Plan </w:t>
      </w:r>
      <w:r w:rsidR="00D101EC" w:rsidRPr="0085651A">
        <w:rPr>
          <w:rFonts w:ascii="Times New Roman" w:hAnsi="Times New Roman" w:cs="Times New Roman"/>
          <w:sz w:val="24"/>
          <w:szCs w:val="24"/>
        </w:rPr>
        <w:t xml:space="preserve">(APP) </w:t>
      </w:r>
      <w:r w:rsidRPr="0085651A">
        <w:rPr>
          <w:rFonts w:ascii="Times New Roman" w:hAnsi="Times New Roman" w:cs="Times New Roman"/>
          <w:sz w:val="24"/>
          <w:szCs w:val="24"/>
        </w:rPr>
        <w:t>and budget of the Department of Higher Education and Training (hereinafter referred to as the Department), reports as follows:</w:t>
      </w:r>
    </w:p>
    <w:p w14:paraId="2D651821" w14:textId="77777777" w:rsidR="00F057E2" w:rsidRPr="0085651A" w:rsidRDefault="00894A0C" w:rsidP="00F057E2">
      <w:pPr>
        <w:rPr>
          <w:rFonts w:ascii="Times New Roman" w:hAnsi="Times New Roman" w:cs="Times New Roman"/>
          <w:b/>
          <w:sz w:val="24"/>
          <w:szCs w:val="24"/>
        </w:rPr>
      </w:pPr>
      <w:r w:rsidRPr="0085651A">
        <w:rPr>
          <w:rFonts w:ascii="Times New Roman" w:hAnsi="Times New Roman" w:cs="Times New Roman"/>
          <w:b/>
          <w:sz w:val="24"/>
          <w:szCs w:val="24"/>
        </w:rPr>
        <w:t xml:space="preserve">1.1. </w:t>
      </w:r>
      <w:r w:rsidR="00F057E2" w:rsidRPr="0085651A">
        <w:rPr>
          <w:rFonts w:ascii="Times New Roman" w:hAnsi="Times New Roman" w:cs="Times New Roman"/>
          <w:b/>
          <w:sz w:val="24"/>
          <w:szCs w:val="24"/>
        </w:rPr>
        <w:t>Purpose of the Budget Vote 15 Report</w:t>
      </w:r>
    </w:p>
    <w:p w14:paraId="1A5B67CF" w14:textId="77777777" w:rsidR="00894A0C" w:rsidRPr="0085651A" w:rsidRDefault="00F057E2" w:rsidP="006B00A8">
      <w:pPr>
        <w:rPr>
          <w:rFonts w:ascii="Times New Roman" w:hAnsi="Times New Roman" w:cs="Times New Roman"/>
          <w:sz w:val="24"/>
          <w:szCs w:val="24"/>
        </w:rPr>
      </w:pPr>
      <w:r w:rsidRPr="0085651A">
        <w:rPr>
          <w:rFonts w:ascii="Times New Roman" w:hAnsi="Times New Roman" w:cs="Times New Roman"/>
          <w:sz w:val="24"/>
          <w:szCs w:val="24"/>
        </w:rPr>
        <w:t>The purpose of this report is to account in accordance with Rule 166 of the Rules of the National Assembly</w:t>
      </w:r>
      <w:r w:rsidR="00D101EC" w:rsidRPr="0085651A">
        <w:rPr>
          <w:rFonts w:ascii="Times New Roman" w:hAnsi="Times New Roman" w:cs="Times New Roman"/>
          <w:sz w:val="24"/>
          <w:szCs w:val="24"/>
        </w:rPr>
        <w:t xml:space="preserve"> (NA)</w:t>
      </w:r>
      <w:r w:rsidRPr="0085651A">
        <w:rPr>
          <w:rFonts w:ascii="Times New Roman" w:hAnsi="Times New Roman" w:cs="Times New Roman"/>
          <w:sz w:val="24"/>
          <w:szCs w:val="24"/>
        </w:rPr>
        <w:t xml:space="preserve"> for work done by the Committee in considering the 2015/16 – 2019/20 Strategic Plan, the 2018/19 Annual Performance Plan and budget of the Department submitted in accordance with Public Finance Management Act</w:t>
      </w:r>
      <w:r w:rsidR="00D101EC" w:rsidRPr="0085651A">
        <w:rPr>
          <w:rFonts w:ascii="Times New Roman" w:hAnsi="Times New Roman" w:cs="Times New Roman"/>
          <w:sz w:val="24"/>
          <w:szCs w:val="24"/>
        </w:rPr>
        <w:t xml:space="preserve">, 1999 (Act. No 29 of 1999), </w:t>
      </w:r>
      <w:r w:rsidRPr="0085651A">
        <w:rPr>
          <w:rFonts w:ascii="Times New Roman" w:hAnsi="Times New Roman" w:cs="Times New Roman"/>
          <w:sz w:val="24"/>
          <w:szCs w:val="24"/>
        </w:rPr>
        <w:t>Section 27 (1); and as referred by the Speaker of the National Assembly to the Committee in terms of Rule 338 for consideration and reporting</w:t>
      </w:r>
      <w:r w:rsidR="00D101EC" w:rsidRPr="0085651A">
        <w:rPr>
          <w:rFonts w:ascii="Times New Roman" w:hAnsi="Times New Roman" w:cs="Times New Roman"/>
          <w:sz w:val="24"/>
          <w:szCs w:val="24"/>
        </w:rPr>
        <w:t>.</w:t>
      </w:r>
      <w:r w:rsidRPr="0085651A">
        <w:rPr>
          <w:rFonts w:ascii="Times New Roman" w:hAnsi="Times New Roman" w:cs="Times New Roman"/>
          <w:sz w:val="24"/>
          <w:szCs w:val="24"/>
        </w:rPr>
        <w:t xml:space="preserve"> </w:t>
      </w:r>
    </w:p>
    <w:p w14:paraId="3FAA1E0E" w14:textId="77777777" w:rsidR="006B00A8" w:rsidRPr="0085651A" w:rsidRDefault="00E35D32" w:rsidP="00F54FF7">
      <w:pPr>
        <w:tabs>
          <w:tab w:val="left" w:pos="90"/>
          <w:tab w:val="left" w:pos="270"/>
        </w:tabs>
        <w:rPr>
          <w:rFonts w:ascii="Times New Roman" w:hAnsi="Times New Roman" w:cs="Times New Roman"/>
          <w:b/>
          <w:sz w:val="24"/>
          <w:szCs w:val="24"/>
        </w:rPr>
      </w:pPr>
      <w:r w:rsidRPr="0085651A">
        <w:rPr>
          <w:rFonts w:ascii="Times New Roman" w:hAnsi="Times New Roman" w:cs="Times New Roman"/>
          <w:b/>
          <w:sz w:val="24"/>
          <w:szCs w:val="24"/>
        </w:rPr>
        <w:t>1.</w:t>
      </w:r>
      <w:r w:rsidR="00894A0C" w:rsidRPr="0085651A">
        <w:rPr>
          <w:rFonts w:ascii="Times New Roman" w:hAnsi="Times New Roman" w:cs="Times New Roman"/>
          <w:b/>
          <w:sz w:val="24"/>
          <w:szCs w:val="24"/>
        </w:rPr>
        <w:t>2</w:t>
      </w:r>
      <w:r w:rsidRPr="0085651A">
        <w:rPr>
          <w:rFonts w:ascii="Times New Roman" w:hAnsi="Times New Roman" w:cs="Times New Roman"/>
          <w:b/>
          <w:sz w:val="24"/>
          <w:szCs w:val="24"/>
        </w:rPr>
        <w:t xml:space="preserve">. </w:t>
      </w:r>
      <w:r w:rsidR="000211D2" w:rsidRPr="0085651A">
        <w:rPr>
          <w:rFonts w:ascii="Times New Roman" w:hAnsi="Times New Roman" w:cs="Times New Roman"/>
          <w:b/>
          <w:sz w:val="24"/>
          <w:szCs w:val="24"/>
        </w:rPr>
        <w:t>Mandate of Committee</w:t>
      </w:r>
    </w:p>
    <w:p w14:paraId="7C4FDF37" w14:textId="77777777" w:rsidR="00E44889" w:rsidRPr="0085651A" w:rsidRDefault="00E44889" w:rsidP="00E44889">
      <w:pPr>
        <w:rPr>
          <w:rFonts w:ascii="Times New Roman" w:hAnsi="Times New Roman" w:cs="Times New Roman"/>
          <w:sz w:val="24"/>
          <w:szCs w:val="24"/>
        </w:rPr>
      </w:pPr>
      <w:r w:rsidRPr="0085651A">
        <w:rPr>
          <w:rFonts w:ascii="Times New Roman" w:hAnsi="Times New Roman" w:cs="Times New Roman"/>
          <w:sz w:val="24"/>
          <w:szCs w:val="24"/>
        </w:rPr>
        <w:t>Section 55(2) of the Constitution of the Republic of South Africa stipulates that “the National Assembly (NA) must provide for mechanisms (a) to ensure that all executive organs of state in the national sphere of government are accountable to it; and (b) to maintain oversight of (i) national executive authority, including the implementation of the legislation; and (ii) any organ of state”. Rule 227 of the Rules of the National Assembly (9</w:t>
      </w:r>
      <w:r w:rsidRPr="0085651A">
        <w:rPr>
          <w:rFonts w:ascii="Times New Roman" w:hAnsi="Times New Roman" w:cs="Times New Roman"/>
          <w:sz w:val="24"/>
          <w:szCs w:val="24"/>
          <w:vertAlign w:val="superscript"/>
        </w:rPr>
        <w:t>th</w:t>
      </w:r>
      <w:r w:rsidRPr="0085651A">
        <w:rPr>
          <w:rFonts w:ascii="Times New Roman" w:hAnsi="Times New Roman" w:cs="Times New Roman"/>
          <w:sz w:val="24"/>
          <w:szCs w:val="24"/>
        </w:rPr>
        <w:t xml:space="preserve"> edition) provides for mechanisms contemplated in section 55(2) of the Constitution. </w:t>
      </w:r>
    </w:p>
    <w:p w14:paraId="1F3342E9" w14:textId="77777777" w:rsidR="00E44889" w:rsidRPr="0085651A" w:rsidRDefault="00E44889" w:rsidP="00E44889">
      <w:pPr>
        <w:rPr>
          <w:rFonts w:ascii="Times New Roman" w:hAnsi="Times New Roman" w:cs="Times New Roman"/>
          <w:sz w:val="24"/>
          <w:szCs w:val="24"/>
        </w:rPr>
      </w:pPr>
      <w:r w:rsidRPr="0085651A">
        <w:rPr>
          <w:rFonts w:ascii="Times New Roman" w:hAnsi="Times New Roman" w:cs="Times New Roman"/>
          <w:sz w:val="24"/>
          <w:szCs w:val="24"/>
        </w:rPr>
        <w:t>The Committee oversees the implementation of the following Acts:</w:t>
      </w:r>
    </w:p>
    <w:p w14:paraId="0C9A96ED" w14:textId="77777777" w:rsidR="00E44889" w:rsidRPr="0085651A" w:rsidRDefault="00E44889" w:rsidP="00E44889">
      <w:pPr>
        <w:rPr>
          <w:rFonts w:ascii="Times New Roman" w:hAnsi="Times New Roman" w:cs="Times New Roman"/>
          <w:sz w:val="24"/>
          <w:szCs w:val="24"/>
        </w:rPr>
      </w:pPr>
      <w:r w:rsidRPr="0085651A">
        <w:rPr>
          <w:rFonts w:ascii="Times New Roman" w:hAnsi="Times New Roman" w:cs="Times New Roman"/>
          <w:sz w:val="24"/>
          <w:szCs w:val="24"/>
        </w:rPr>
        <w:t>Higher Education Act, 1997 (Act No.101 of 1997), National Student Financial Scheme Act, 1999 (Act No. 56 of 1999), Continuing Education and Training Act, 2006 (Act No. 16 of 2006), National Qualifications Framework Act, 2008 (Act No. 67 of 2008), Skills Development Act, 1998 (Act No. 97 of 1998), Skills Development Levies Act, 1</w:t>
      </w:r>
      <w:r w:rsidR="00D101EC" w:rsidRPr="0085651A">
        <w:rPr>
          <w:rFonts w:ascii="Times New Roman" w:hAnsi="Times New Roman" w:cs="Times New Roman"/>
          <w:sz w:val="24"/>
          <w:szCs w:val="24"/>
        </w:rPr>
        <w:t>999 (Act N</w:t>
      </w:r>
      <w:r w:rsidRPr="0085651A">
        <w:rPr>
          <w:rFonts w:ascii="Times New Roman" w:hAnsi="Times New Roman" w:cs="Times New Roman"/>
          <w:sz w:val="24"/>
          <w:szCs w:val="24"/>
        </w:rPr>
        <w:t xml:space="preserve">o. 9 of 1999) and General and Further Education and Training Quality Assurance Act, 2001 (Act No. 58 of 2001). </w:t>
      </w:r>
      <w:r w:rsidR="00FA25C2" w:rsidRPr="0085651A">
        <w:rPr>
          <w:rFonts w:ascii="Times New Roman" w:hAnsi="Times New Roman" w:cs="Times New Roman"/>
          <w:sz w:val="24"/>
          <w:szCs w:val="24"/>
        </w:rPr>
        <w:t>The Department derives its mandate from section 29 of the Constitution of the Republic of South Africa and the legislation mentioned above.</w:t>
      </w:r>
    </w:p>
    <w:p w14:paraId="219CB101" w14:textId="77777777" w:rsidR="009E566F" w:rsidRPr="0085651A" w:rsidRDefault="009E566F" w:rsidP="000211D2">
      <w:pPr>
        <w:rPr>
          <w:rFonts w:ascii="Times New Roman" w:hAnsi="Times New Roman" w:cs="Times New Roman"/>
          <w:b/>
          <w:sz w:val="24"/>
          <w:szCs w:val="24"/>
        </w:rPr>
      </w:pPr>
    </w:p>
    <w:p w14:paraId="133F41F7" w14:textId="77777777" w:rsidR="00CA2CDC" w:rsidRPr="0085651A" w:rsidRDefault="00CA2CDC" w:rsidP="000211D2">
      <w:pPr>
        <w:rPr>
          <w:rFonts w:ascii="Times New Roman" w:hAnsi="Times New Roman" w:cs="Times New Roman"/>
          <w:b/>
          <w:sz w:val="24"/>
          <w:szCs w:val="24"/>
        </w:rPr>
      </w:pPr>
    </w:p>
    <w:p w14:paraId="7CD268F5" w14:textId="77777777" w:rsidR="000211D2" w:rsidRPr="0085651A" w:rsidRDefault="00F54FF7" w:rsidP="000211D2">
      <w:pPr>
        <w:rPr>
          <w:rFonts w:ascii="Times New Roman" w:hAnsi="Times New Roman" w:cs="Times New Roman"/>
          <w:b/>
          <w:sz w:val="24"/>
          <w:szCs w:val="24"/>
        </w:rPr>
      </w:pPr>
      <w:r w:rsidRPr="0085651A">
        <w:rPr>
          <w:rFonts w:ascii="Times New Roman" w:hAnsi="Times New Roman" w:cs="Times New Roman"/>
          <w:b/>
          <w:sz w:val="24"/>
          <w:szCs w:val="24"/>
        </w:rPr>
        <w:t>1.3</w:t>
      </w:r>
      <w:r w:rsidR="000211D2" w:rsidRPr="0085651A">
        <w:rPr>
          <w:rFonts w:ascii="Times New Roman" w:hAnsi="Times New Roman" w:cs="Times New Roman"/>
          <w:b/>
          <w:sz w:val="24"/>
          <w:szCs w:val="24"/>
        </w:rPr>
        <w:t xml:space="preserve">. </w:t>
      </w:r>
      <w:r w:rsidRPr="0085651A">
        <w:rPr>
          <w:rFonts w:ascii="Times New Roman" w:hAnsi="Times New Roman" w:cs="Times New Roman"/>
          <w:b/>
          <w:sz w:val="24"/>
          <w:szCs w:val="24"/>
        </w:rPr>
        <w:t>Method</w:t>
      </w:r>
    </w:p>
    <w:p w14:paraId="2F11831B" w14:textId="77777777" w:rsidR="00E44889" w:rsidRPr="0085651A" w:rsidRDefault="00E44889" w:rsidP="00E44889">
      <w:pPr>
        <w:pStyle w:val="ListParagraph"/>
        <w:spacing w:after="0"/>
        <w:ind w:left="0"/>
        <w:rPr>
          <w:rFonts w:ascii="Times New Roman" w:hAnsi="Times New Roman" w:cs="Times New Roman"/>
          <w:iCs/>
          <w:sz w:val="24"/>
          <w:szCs w:val="24"/>
        </w:rPr>
      </w:pPr>
      <w:r w:rsidRPr="0085651A">
        <w:rPr>
          <w:rFonts w:ascii="Times New Roman" w:hAnsi="Times New Roman" w:cs="Times New Roman"/>
          <w:iCs/>
          <w:sz w:val="24"/>
          <w:szCs w:val="24"/>
        </w:rPr>
        <w:t xml:space="preserve">In preparation for the consideration </w:t>
      </w:r>
      <w:r w:rsidR="00206AA4" w:rsidRPr="0085651A">
        <w:rPr>
          <w:rFonts w:ascii="Times New Roman" w:hAnsi="Times New Roman" w:cs="Times New Roman"/>
          <w:iCs/>
          <w:sz w:val="24"/>
          <w:szCs w:val="24"/>
        </w:rPr>
        <w:t xml:space="preserve"> of the </w:t>
      </w:r>
      <w:r w:rsidR="00206AA4" w:rsidRPr="0085651A">
        <w:rPr>
          <w:rFonts w:ascii="Times New Roman" w:hAnsi="Times New Roman" w:cs="Times New Roman"/>
          <w:sz w:val="24"/>
          <w:szCs w:val="24"/>
        </w:rPr>
        <w:t>Strategic Plan 2015/16 – 2019/20 and</w:t>
      </w:r>
      <w:r w:rsidRPr="0085651A">
        <w:rPr>
          <w:rFonts w:ascii="Times New Roman" w:hAnsi="Times New Roman" w:cs="Times New Roman"/>
          <w:sz w:val="24"/>
          <w:szCs w:val="24"/>
        </w:rPr>
        <w:t xml:space="preserve"> the Annual Performance Plan</w:t>
      </w:r>
      <w:r w:rsidR="00206AA4" w:rsidRPr="0085651A">
        <w:rPr>
          <w:rFonts w:ascii="Times New Roman" w:hAnsi="Times New Roman" w:cs="Times New Roman"/>
          <w:sz w:val="24"/>
          <w:szCs w:val="24"/>
        </w:rPr>
        <w:t xml:space="preserve"> 2018/19</w:t>
      </w:r>
      <w:r w:rsidRPr="0085651A">
        <w:rPr>
          <w:rFonts w:ascii="Times New Roman" w:hAnsi="Times New Roman" w:cs="Times New Roman"/>
          <w:sz w:val="24"/>
          <w:szCs w:val="24"/>
        </w:rPr>
        <w:t xml:space="preserve"> of the Department</w:t>
      </w:r>
      <w:r w:rsidRPr="0085651A">
        <w:rPr>
          <w:rFonts w:ascii="Times New Roman" w:hAnsi="Times New Roman" w:cs="Times New Roman"/>
          <w:iCs/>
          <w:sz w:val="24"/>
          <w:szCs w:val="24"/>
        </w:rPr>
        <w:t xml:space="preserve">, the Committee considered key government policy documents relevant to the work of the Department, and the entities, including, among others, the National Development Plan (NDP) / the 2014 – 2019 Medium Term Strategic Framework (MTSF), and the 2018 State of the Nation Address (SONA), the </w:t>
      </w:r>
      <w:r w:rsidR="007B6965" w:rsidRPr="0085651A">
        <w:rPr>
          <w:rFonts w:ascii="Times New Roman" w:hAnsi="Times New Roman" w:cs="Times New Roman"/>
          <w:iCs/>
          <w:sz w:val="24"/>
          <w:szCs w:val="24"/>
        </w:rPr>
        <w:t>Departments</w:t>
      </w:r>
      <w:r w:rsidRPr="0085651A">
        <w:rPr>
          <w:rFonts w:ascii="Times New Roman" w:hAnsi="Times New Roman" w:cs="Times New Roman"/>
          <w:iCs/>
          <w:sz w:val="24"/>
          <w:szCs w:val="24"/>
        </w:rPr>
        <w:t xml:space="preserve"> of </w:t>
      </w:r>
      <w:r w:rsidR="007B6965" w:rsidRPr="0085651A">
        <w:rPr>
          <w:rFonts w:ascii="Times New Roman" w:hAnsi="Times New Roman" w:cs="Times New Roman"/>
          <w:iCs/>
          <w:sz w:val="24"/>
          <w:szCs w:val="24"/>
        </w:rPr>
        <w:t xml:space="preserve">Higher Education and Training and </w:t>
      </w:r>
      <w:r w:rsidRPr="0085651A">
        <w:rPr>
          <w:rFonts w:ascii="Times New Roman" w:hAnsi="Times New Roman" w:cs="Times New Roman"/>
          <w:iCs/>
          <w:sz w:val="24"/>
          <w:szCs w:val="24"/>
        </w:rPr>
        <w:t xml:space="preserve">Finance on the </w:t>
      </w:r>
      <w:r w:rsidR="007B6965" w:rsidRPr="0085651A">
        <w:rPr>
          <w:rFonts w:ascii="Times New Roman" w:hAnsi="Times New Roman" w:cs="Times New Roman"/>
          <w:iCs/>
          <w:sz w:val="24"/>
          <w:szCs w:val="24"/>
        </w:rPr>
        <w:t xml:space="preserve">2017 </w:t>
      </w:r>
      <w:r w:rsidRPr="0085651A">
        <w:rPr>
          <w:rFonts w:ascii="Times New Roman" w:hAnsi="Times New Roman" w:cs="Times New Roman"/>
          <w:iCs/>
          <w:sz w:val="24"/>
          <w:szCs w:val="24"/>
        </w:rPr>
        <w:t>Budgetary</w:t>
      </w:r>
      <w:r w:rsidR="001F0129" w:rsidRPr="0085651A">
        <w:rPr>
          <w:rFonts w:ascii="Times New Roman" w:hAnsi="Times New Roman" w:cs="Times New Roman"/>
          <w:iCs/>
          <w:sz w:val="24"/>
          <w:szCs w:val="24"/>
        </w:rPr>
        <w:t xml:space="preserve"> and</w:t>
      </w:r>
      <w:r w:rsidRPr="0085651A">
        <w:rPr>
          <w:rFonts w:ascii="Times New Roman" w:hAnsi="Times New Roman" w:cs="Times New Roman"/>
          <w:iCs/>
          <w:sz w:val="24"/>
          <w:szCs w:val="24"/>
        </w:rPr>
        <w:t xml:space="preserve"> Review Recommendation Report</w:t>
      </w:r>
      <w:r w:rsidR="001F0129" w:rsidRPr="0085651A">
        <w:rPr>
          <w:rFonts w:ascii="Times New Roman" w:hAnsi="Times New Roman" w:cs="Times New Roman"/>
          <w:iCs/>
          <w:sz w:val="24"/>
          <w:szCs w:val="24"/>
        </w:rPr>
        <w:t xml:space="preserve"> (BRRR)</w:t>
      </w:r>
      <w:r w:rsidRPr="0085651A">
        <w:rPr>
          <w:rFonts w:ascii="Times New Roman" w:hAnsi="Times New Roman" w:cs="Times New Roman"/>
          <w:iCs/>
          <w:sz w:val="24"/>
          <w:szCs w:val="24"/>
        </w:rPr>
        <w:t xml:space="preserve">. </w:t>
      </w:r>
    </w:p>
    <w:p w14:paraId="4DDF5F46" w14:textId="77777777" w:rsidR="00E44889" w:rsidRPr="0085651A" w:rsidRDefault="00E44889" w:rsidP="00E44889">
      <w:pPr>
        <w:pStyle w:val="ListParagraph"/>
        <w:spacing w:after="0"/>
        <w:ind w:left="0"/>
        <w:rPr>
          <w:rFonts w:ascii="Times New Roman" w:hAnsi="Times New Roman" w:cs="Times New Roman"/>
          <w:iCs/>
          <w:sz w:val="24"/>
          <w:szCs w:val="24"/>
        </w:rPr>
      </w:pPr>
    </w:p>
    <w:p w14:paraId="0D56F0AD" w14:textId="77777777" w:rsidR="00E44889" w:rsidRPr="0085651A" w:rsidRDefault="00E44889" w:rsidP="00E44889">
      <w:pPr>
        <w:pStyle w:val="ListParagraph"/>
        <w:spacing w:after="0"/>
        <w:ind w:left="0"/>
        <w:rPr>
          <w:rFonts w:ascii="Times New Roman" w:hAnsi="Times New Roman" w:cs="Times New Roman"/>
          <w:iCs/>
          <w:sz w:val="24"/>
          <w:szCs w:val="24"/>
        </w:rPr>
      </w:pPr>
      <w:r w:rsidRPr="0085651A">
        <w:rPr>
          <w:rFonts w:ascii="Times New Roman" w:hAnsi="Times New Roman" w:cs="Times New Roman"/>
          <w:iCs/>
          <w:sz w:val="24"/>
          <w:szCs w:val="24"/>
        </w:rPr>
        <w:t xml:space="preserve">The Committee </w:t>
      </w:r>
      <w:r w:rsidR="007B6965" w:rsidRPr="0085651A">
        <w:rPr>
          <w:rFonts w:ascii="Times New Roman" w:hAnsi="Times New Roman" w:cs="Times New Roman"/>
          <w:iCs/>
          <w:sz w:val="24"/>
          <w:szCs w:val="24"/>
        </w:rPr>
        <w:t xml:space="preserve">convened </w:t>
      </w:r>
      <w:r w:rsidR="00B87827" w:rsidRPr="0085651A">
        <w:rPr>
          <w:rFonts w:ascii="Times New Roman" w:hAnsi="Times New Roman" w:cs="Times New Roman"/>
          <w:iCs/>
          <w:sz w:val="24"/>
          <w:szCs w:val="24"/>
        </w:rPr>
        <w:t xml:space="preserve">a </w:t>
      </w:r>
      <w:r w:rsidRPr="0085651A">
        <w:rPr>
          <w:rFonts w:ascii="Times New Roman" w:hAnsi="Times New Roman" w:cs="Times New Roman"/>
          <w:iCs/>
          <w:sz w:val="24"/>
          <w:szCs w:val="24"/>
        </w:rPr>
        <w:t>briefing session with the Auditor-General of South Africa (AGSA) on the audit outcomes of the Higher Education and Training Portfolio</w:t>
      </w:r>
      <w:r w:rsidR="00206AA4" w:rsidRPr="0085651A">
        <w:rPr>
          <w:rFonts w:ascii="Times New Roman" w:hAnsi="Times New Roman" w:cs="Times New Roman"/>
          <w:iCs/>
          <w:sz w:val="24"/>
          <w:szCs w:val="24"/>
        </w:rPr>
        <w:t xml:space="preserve"> for the</w:t>
      </w:r>
      <w:r w:rsidRPr="0085651A">
        <w:rPr>
          <w:rFonts w:ascii="Times New Roman" w:hAnsi="Times New Roman" w:cs="Times New Roman"/>
          <w:iCs/>
          <w:sz w:val="24"/>
          <w:szCs w:val="24"/>
        </w:rPr>
        <w:t xml:space="preserve"> 2018</w:t>
      </w:r>
      <w:r w:rsidR="00206AA4" w:rsidRPr="0085651A">
        <w:rPr>
          <w:rFonts w:ascii="Times New Roman" w:hAnsi="Times New Roman" w:cs="Times New Roman"/>
          <w:iCs/>
          <w:sz w:val="24"/>
          <w:szCs w:val="24"/>
        </w:rPr>
        <w:t>/19</w:t>
      </w:r>
      <w:r w:rsidRPr="0085651A">
        <w:rPr>
          <w:rFonts w:ascii="Times New Roman" w:hAnsi="Times New Roman" w:cs="Times New Roman"/>
          <w:iCs/>
          <w:sz w:val="24"/>
          <w:szCs w:val="24"/>
        </w:rPr>
        <w:t xml:space="preserve"> Annual Performance Plans</w:t>
      </w:r>
      <w:r w:rsidR="00206AA4" w:rsidRPr="0085651A">
        <w:rPr>
          <w:rFonts w:ascii="Times New Roman" w:hAnsi="Times New Roman" w:cs="Times New Roman"/>
          <w:iCs/>
          <w:sz w:val="24"/>
          <w:szCs w:val="24"/>
        </w:rPr>
        <w:t xml:space="preserve"> on 14 March 2018.</w:t>
      </w:r>
      <w:r w:rsidRPr="0085651A">
        <w:rPr>
          <w:rFonts w:ascii="Times New Roman" w:hAnsi="Times New Roman" w:cs="Times New Roman"/>
          <w:iCs/>
          <w:sz w:val="24"/>
          <w:szCs w:val="24"/>
        </w:rPr>
        <w:t xml:space="preserve"> The Committee also considered an independent research analysis of the Department’s 2018</w:t>
      </w:r>
      <w:r w:rsidR="00206AA4" w:rsidRPr="0085651A">
        <w:rPr>
          <w:rFonts w:ascii="Times New Roman" w:hAnsi="Times New Roman" w:cs="Times New Roman"/>
          <w:iCs/>
          <w:sz w:val="24"/>
          <w:szCs w:val="24"/>
        </w:rPr>
        <w:t>/19</w:t>
      </w:r>
      <w:r w:rsidRPr="0085651A">
        <w:rPr>
          <w:rFonts w:ascii="Times New Roman" w:hAnsi="Times New Roman" w:cs="Times New Roman"/>
          <w:iCs/>
          <w:sz w:val="24"/>
          <w:szCs w:val="24"/>
        </w:rPr>
        <w:t xml:space="preserve"> APP and the Medium-Term Expenditure Framework</w:t>
      </w:r>
      <w:r w:rsidR="00206AA4" w:rsidRPr="0085651A">
        <w:rPr>
          <w:rFonts w:ascii="Times New Roman" w:hAnsi="Times New Roman" w:cs="Times New Roman"/>
          <w:iCs/>
          <w:sz w:val="24"/>
          <w:szCs w:val="24"/>
        </w:rPr>
        <w:t xml:space="preserve"> (MTEF)</w:t>
      </w:r>
      <w:r w:rsidR="0047450B" w:rsidRPr="0085651A">
        <w:rPr>
          <w:rFonts w:ascii="Times New Roman" w:hAnsi="Times New Roman" w:cs="Times New Roman"/>
          <w:iCs/>
          <w:sz w:val="24"/>
          <w:szCs w:val="24"/>
        </w:rPr>
        <w:t xml:space="preserve"> </w:t>
      </w:r>
      <w:r w:rsidR="001F0129" w:rsidRPr="0085651A">
        <w:rPr>
          <w:rFonts w:ascii="Times New Roman" w:hAnsi="Times New Roman" w:cs="Times New Roman"/>
          <w:iCs/>
          <w:sz w:val="24"/>
          <w:szCs w:val="24"/>
        </w:rPr>
        <w:t xml:space="preserve">budget </w:t>
      </w:r>
      <w:r w:rsidR="0047450B" w:rsidRPr="0085651A">
        <w:rPr>
          <w:rFonts w:ascii="Times New Roman" w:hAnsi="Times New Roman" w:cs="Times New Roman"/>
          <w:iCs/>
          <w:sz w:val="24"/>
          <w:szCs w:val="24"/>
        </w:rPr>
        <w:t>on 25 April 2018</w:t>
      </w:r>
      <w:r w:rsidRPr="0085651A">
        <w:rPr>
          <w:rFonts w:ascii="Times New Roman" w:hAnsi="Times New Roman" w:cs="Times New Roman"/>
          <w:iCs/>
          <w:sz w:val="24"/>
          <w:szCs w:val="24"/>
        </w:rPr>
        <w:t xml:space="preserve">. </w:t>
      </w:r>
    </w:p>
    <w:p w14:paraId="5B5BD412" w14:textId="77777777" w:rsidR="00055D37" w:rsidRPr="0085651A" w:rsidRDefault="00055D37" w:rsidP="000211D2">
      <w:pPr>
        <w:rPr>
          <w:rFonts w:ascii="Times New Roman" w:hAnsi="Times New Roman" w:cs="Times New Roman"/>
          <w:b/>
          <w:sz w:val="24"/>
          <w:szCs w:val="24"/>
        </w:rPr>
      </w:pPr>
    </w:p>
    <w:p w14:paraId="6CE38B5B" w14:textId="77777777" w:rsidR="000211D2" w:rsidRPr="0085651A" w:rsidRDefault="000211D2" w:rsidP="000211D2">
      <w:pPr>
        <w:rPr>
          <w:rFonts w:ascii="Times New Roman" w:hAnsi="Times New Roman" w:cs="Times New Roman"/>
          <w:b/>
          <w:sz w:val="24"/>
          <w:szCs w:val="24"/>
        </w:rPr>
      </w:pPr>
      <w:r w:rsidRPr="0085651A">
        <w:rPr>
          <w:rFonts w:ascii="Times New Roman" w:hAnsi="Times New Roman" w:cs="Times New Roman"/>
          <w:b/>
          <w:sz w:val="24"/>
          <w:szCs w:val="24"/>
        </w:rPr>
        <w:t>2. OVERVIEW OF THE KEY POLICY FOCUS AREAS</w:t>
      </w:r>
      <w:r w:rsidR="009546CD" w:rsidRPr="0085651A">
        <w:rPr>
          <w:rFonts w:ascii="Times New Roman" w:hAnsi="Times New Roman" w:cs="Times New Roman"/>
          <w:b/>
          <w:sz w:val="24"/>
          <w:szCs w:val="24"/>
        </w:rPr>
        <w:t xml:space="preserve"> RELEVANT FOR THE DEPARTMENT </w:t>
      </w:r>
    </w:p>
    <w:p w14:paraId="70661393" w14:textId="77777777" w:rsidR="008E68AE" w:rsidRPr="0085651A" w:rsidRDefault="000211D2" w:rsidP="00890578">
      <w:pPr>
        <w:rPr>
          <w:rFonts w:ascii="Times New Roman" w:hAnsi="Times New Roman" w:cs="Times New Roman"/>
          <w:b/>
          <w:sz w:val="24"/>
          <w:szCs w:val="24"/>
        </w:rPr>
      </w:pPr>
      <w:r w:rsidRPr="0085651A">
        <w:rPr>
          <w:rFonts w:ascii="Times New Roman" w:hAnsi="Times New Roman" w:cs="Times New Roman"/>
          <w:b/>
          <w:sz w:val="24"/>
          <w:szCs w:val="24"/>
        </w:rPr>
        <w:t>2.1.</w:t>
      </w:r>
      <w:r w:rsidR="00B518C7" w:rsidRPr="0085651A">
        <w:rPr>
          <w:rFonts w:ascii="Times New Roman" w:hAnsi="Times New Roman" w:cs="Times New Roman"/>
          <w:b/>
          <w:sz w:val="24"/>
          <w:szCs w:val="24"/>
        </w:rPr>
        <w:t xml:space="preserve"> </w:t>
      </w:r>
      <w:r w:rsidR="00CA3870" w:rsidRPr="0085651A">
        <w:rPr>
          <w:rFonts w:ascii="Times New Roman" w:hAnsi="Times New Roman" w:cs="Times New Roman"/>
          <w:b/>
          <w:sz w:val="24"/>
          <w:szCs w:val="24"/>
        </w:rPr>
        <w:t xml:space="preserve">Relevant </w:t>
      </w:r>
      <w:r w:rsidRPr="0085651A">
        <w:rPr>
          <w:rFonts w:ascii="Times New Roman" w:hAnsi="Times New Roman" w:cs="Times New Roman"/>
          <w:b/>
          <w:sz w:val="24"/>
          <w:szCs w:val="24"/>
        </w:rPr>
        <w:t>Government policy documents</w:t>
      </w:r>
    </w:p>
    <w:p w14:paraId="1709CF70" w14:textId="77777777" w:rsidR="00890578" w:rsidRPr="0085651A" w:rsidRDefault="00890578" w:rsidP="00890578">
      <w:pPr>
        <w:rPr>
          <w:rFonts w:ascii="Times New Roman" w:hAnsi="Times New Roman" w:cs="Times New Roman"/>
          <w:b/>
          <w:sz w:val="24"/>
          <w:szCs w:val="24"/>
        </w:rPr>
      </w:pPr>
      <w:r w:rsidRPr="0085651A">
        <w:rPr>
          <w:rFonts w:ascii="Times New Roman" w:hAnsi="Times New Roman" w:cs="Times New Roman"/>
          <w:b/>
          <w:sz w:val="24"/>
          <w:szCs w:val="24"/>
        </w:rPr>
        <w:t>2.1.1. The National Development Plan (NDP) Vision 2030</w:t>
      </w:r>
      <w:r w:rsidR="006F317D" w:rsidRPr="0085651A">
        <w:rPr>
          <w:rFonts w:ascii="Times New Roman" w:hAnsi="Times New Roman" w:cs="Times New Roman"/>
          <w:b/>
          <w:sz w:val="24"/>
          <w:szCs w:val="24"/>
        </w:rPr>
        <w:t xml:space="preserve"> and the 2014 – 2019 Medium Term Strategic Framework (MTSF) </w:t>
      </w:r>
    </w:p>
    <w:p w14:paraId="6E67B7DA" w14:textId="77777777" w:rsidR="006F317D" w:rsidRPr="0085651A" w:rsidRDefault="004642B8" w:rsidP="006F317D">
      <w:pPr>
        <w:rPr>
          <w:rFonts w:ascii="Times New Roman" w:hAnsi="Times New Roman" w:cs="Times New Roman"/>
          <w:sz w:val="24"/>
          <w:szCs w:val="24"/>
        </w:rPr>
      </w:pPr>
      <w:r w:rsidRPr="0085651A">
        <w:rPr>
          <w:rFonts w:ascii="Times New Roman" w:hAnsi="Times New Roman" w:cs="Times New Roman"/>
          <w:sz w:val="24"/>
          <w:szCs w:val="24"/>
        </w:rPr>
        <w:t>The 2014</w:t>
      </w:r>
      <w:r w:rsidR="00D101EC" w:rsidRPr="0085651A">
        <w:rPr>
          <w:rFonts w:ascii="Times New Roman" w:hAnsi="Times New Roman" w:cs="Times New Roman"/>
          <w:sz w:val="24"/>
          <w:szCs w:val="24"/>
        </w:rPr>
        <w:t xml:space="preserve"> </w:t>
      </w:r>
      <w:r w:rsidRPr="0085651A">
        <w:rPr>
          <w:rFonts w:ascii="Times New Roman" w:hAnsi="Times New Roman" w:cs="Times New Roman"/>
          <w:sz w:val="24"/>
          <w:szCs w:val="24"/>
        </w:rPr>
        <w:t>-</w:t>
      </w:r>
      <w:r w:rsidR="00D101EC" w:rsidRPr="0085651A">
        <w:rPr>
          <w:rFonts w:ascii="Times New Roman" w:hAnsi="Times New Roman" w:cs="Times New Roman"/>
          <w:sz w:val="24"/>
          <w:szCs w:val="24"/>
        </w:rPr>
        <w:t xml:space="preserve"> </w:t>
      </w:r>
      <w:r w:rsidRPr="0085651A">
        <w:rPr>
          <w:rFonts w:ascii="Times New Roman" w:hAnsi="Times New Roman" w:cs="Times New Roman"/>
          <w:sz w:val="24"/>
          <w:szCs w:val="24"/>
        </w:rPr>
        <w:t>2019 MTSF, which is a five-year strategic plan of government, forms the first five-year implementation phase of the NDP. The aim of the Framework is to ensure policy coherence, alignment and coordination across government plans as well as alignment with the budgeting process. The Department is responsible for Outcome 5: “</w:t>
      </w:r>
      <w:r w:rsidRPr="0085651A">
        <w:rPr>
          <w:rFonts w:ascii="Times New Roman" w:hAnsi="Times New Roman" w:cs="Times New Roman"/>
          <w:i/>
          <w:sz w:val="24"/>
          <w:szCs w:val="24"/>
        </w:rPr>
        <w:t>A skilled and capable workforce to support an inclusive growth path”</w:t>
      </w:r>
      <w:r w:rsidRPr="0085651A">
        <w:rPr>
          <w:rFonts w:ascii="Times New Roman" w:hAnsi="Times New Roman" w:cs="Times New Roman"/>
          <w:sz w:val="24"/>
          <w:szCs w:val="24"/>
        </w:rPr>
        <w:t xml:space="preserve">. </w:t>
      </w:r>
    </w:p>
    <w:p w14:paraId="1C0520EE" w14:textId="77777777" w:rsidR="00104EE2" w:rsidRPr="0085651A" w:rsidRDefault="00990564" w:rsidP="00104EE2">
      <w:pPr>
        <w:spacing w:after="0"/>
        <w:rPr>
          <w:rFonts w:ascii="Times New Roman" w:hAnsi="Times New Roman" w:cs="Times New Roman"/>
          <w:b/>
          <w:sz w:val="24"/>
          <w:szCs w:val="24"/>
        </w:rPr>
      </w:pPr>
      <w:r w:rsidRPr="0085651A">
        <w:rPr>
          <w:rFonts w:ascii="Times New Roman" w:hAnsi="Times New Roman" w:cs="Times New Roman"/>
          <w:b/>
          <w:sz w:val="24"/>
          <w:szCs w:val="24"/>
        </w:rPr>
        <w:t>2.1.</w:t>
      </w:r>
      <w:r w:rsidR="001F0129" w:rsidRPr="0085651A">
        <w:rPr>
          <w:rFonts w:ascii="Times New Roman" w:hAnsi="Times New Roman" w:cs="Times New Roman"/>
          <w:b/>
          <w:sz w:val="24"/>
          <w:szCs w:val="24"/>
        </w:rPr>
        <w:t>2</w:t>
      </w:r>
      <w:r w:rsidRPr="0085651A">
        <w:rPr>
          <w:rFonts w:ascii="Times New Roman" w:hAnsi="Times New Roman" w:cs="Times New Roman"/>
          <w:b/>
          <w:sz w:val="24"/>
          <w:szCs w:val="24"/>
        </w:rPr>
        <w:t>. 2018</w:t>
      </w:r>
      <w:r w:rsidR="00104EE2" w:rsidRPr="0085651A">
        <w:rPr>
          <w:rFonts w:ascii="Times New Roman" w:hAnsi="Times New Roman" w:cs="Times New Roman"/>
          <w:b/>
          <w:sz w:val="24"/>
          <w:szCs w:val="24"/>
        </w:rPr>
        <w:t xml:space="preserve"> State of the Nation Address (SONA)</w:t>
      </w:r>
    </w:p>
    <w:p w14:paraId="0BCD1252" w14:textId="77777777" w:rsidR="001C09CE" w:rsidRPr="0085651A" w:rsidRDefault="001C09CE" w:rsidP="001C09CE">
      <w:pPr>
        <w:rPr>
          <w:rFonts w:ascii="Times New Roman" w:hAnsi="Times New Roman" w:cs="Times New Roman"/>
          <w:sz w:val="24"/>
          <w:szCs w:val="24"/>
        </w:rPr>
      </w:pPr>
      <w:r w:rsidRPr="0085651A">
        <w:rPr>
          <w:rFonts w:ascii="Times New Roman" w:hAnsi="Times New Roman" w:cs="Times New Roman"/>
          <w:sz w:val="24"/>
          <w:szCs w:val="24"/>
        </w:rPr>
        <w:t>During the 2018 State of the Nation Address,</w:t>
      </w:r>
      <w:r w:rsidR="00B164F9" w:rsidRPr="0085651A">
        <w:rPr>
          <w:rFonts w:ascii="Times New Roman" w:hAnsi="Times New Roman" w:cs="Times New Roman"/>
          <w:sz w:val="24"/>
          <w:szCs w:val="24"/>
        </w:rPr>
        <w:t xml:space="preserve"> Hon C</w:t>
      </w:r>
      <w:r w:rsidR="00A87586" w:rsidRPr="0085651A">
        <w:rPr>
          <w:rFonts w:ascii="Times New Roman" w:hAnsi="Times New Roman" w:cs="Times New Roman"/>
          <w:sz w:val="24"/>
          <w:szCs w:val="24"/>
        </w:rPr>
        <w:t xml:space="preserve"> Ramaphosa</w:t>
      </w:r>
      <w:r w:rsidR="00A2202E" w:rsidRPr="0085651A">
        <w:rPr>
          <w:rFonts w:ascii="Times New Roman" w:hAnsi="Times New Roman" w:cs="Times New Roman"/>
          <w:sz w:val="24"/>
          <w:szCs w:val="24"/>
        </w:rPr>
        <w:t xml:space="preserve"> reaffirmed </w:t>
      </w:r>
      <w:r w:rsidRPr="0085651A">
        <w:rPr>
          <w:rFonts w:ascii="Times New Roman" w:hAnsi="Times New Roman" w:cs="Times New Roman"/>
          <w:sz w:val="24"/>
          <w:szCs w:val="24"/>
        </w:rPr>
        <w:t xml:space="preserve">the fee-free education </w:t>
      </w:r>
      <w:r w:rsidR="002C2525" w:rsidRPr="0085651A">
        <w:rPr>
          <w:rFonts w:ascii="Times New Roman" w:hAnsi="Times New Roman" w:cs="Times New Roman"/>
          <w:sz w:val="24"/>
          <w:szCs w:val="24"/>
        </w:rPr>
        <w:t xml:space="preserve">policy </w:t>
      </w:r>
      <w:r w:rsidRPr="0085651A">
        <w:rPr>
          <w:rFonts w:ascii="Times New Roman" w:hAnsi="Times New Roman" w:cs="Times New Roman"/>
          <w:sz w:val="24"/>
          <w:szCs w:val="24"/>
        </w:rPr>
        <w:t xml:space="preserve">for children of the poor and working class. </w:t>
      </w:r>
      <w:r w:rsidR="00560C44" w:rsidRPr="0085651A">
        <w:rPr>
          <w:rFonts w:ascii="Times New Roman" w:hAnsi="Times New Roman" w:cs="Times New Roman"/>
          <w:sz w:val="24"/>
          <w:szCs w:val="24"/>
        </w:rPr>
        <w:t xml:space="preserve">President Ramaphosa reaffirmed </w:t>
      </w:r>
      <w:r w:rsidR="00F5018B" w:rsidRPr="0085651A">
        <w:rPr>
          <w:rFonts w:ascii="Times New Roman" w:hAnsi="Times New Roman" w:cs="Times New Roman"/>
          <w:sz w:val="24"/>
          <w:szCs w:val="24"/>
        </w:rPr>
        <w:lastRenderedPageBreak/>
        <w:t xml:space="preserve">the </w:t>
      </w:r>
      <w:r w:rsidR="00560C44" w:rsidRPr="0085651A">
        <w:rPr>
          <w:rFonts w:ascii="Times New Roman" w:hAnsi="Times New Roman" w:cs="Times New Roman"/>
          <w:sz w:val="24"/>
          <w:szCs w:val="24"/>
        </w:rPr>
        <w:t xml:space="preserve">government’s position that </w:t>
      </w:r>
      <w:r w:rsidRPr="0085651A">
        <w:rPr>
          <w:rFonts w:ascii="Times New Roman" w:hAnsi="Times New Roman" w:cs="Times New Roman"/>
          <w:sz w:val="24"/>
          <w:szCs w:val="24"/>
        </w:rPr>
        <w:t>fee-free higher education and training will be available to first-year students from households with a gross combi</w:t>
      </w:r>
      <w:r w:rsidR="009B2EBC" w:rsidRPr="0085651A">
        <w:rPr>
          <w:rFonts w:ascii="Times New Roman" w:hAnsi="Times New Roman" w:cs="Times New Roman"/>
          <w:sz w:val="24"/>
          <w:szCs w:val="24"/>
        </w:rPr>
        <w:t>ned annual income of up to R350</w:t>
      </w:r>
      <w:r w:rsidRPr="0085651A">
        <w:rPr>
          <w:rFonts w:ascii="Times New Roman" w:hAnsi="Times New Roman" w:cs="Times New Roman"/>
          <w:sz w:val="24"/>
          <w:szCs w:val="24"/>
        </w:rPr>
        <w:t xml:space="preserve"> 000</w:t>
      </w:r>
      <w:r w:rsidR="009B2EBC" w:rsidRPr="0085651A">
        <w:rPr>
          <w:rFonts w:ascii="Times New Roman" w:hAnsi="Times New Roman" w:cs="Times New Roman"/>
          <w:sz w:val="24"/>
          <w:szCs w:val="24"/>
        </w:rPr>
        <w:t xml:space="preserve"> per annum</w:t>
      </w:r>
      <w:r w:rsidR="00D101EC" w:rsidRPr="0085651A">
        <w:rPr>
          <w:rFonts w:ascii="Times New Roman" w:hAnsi="Times New Roman" w:cs="Times New Roman"/>
          <w:sz w:val="24"/>
          <w:szCs w:val="24"/>
        </w:rPr>
        <w:t xml:space="preserve"> in 2018, and would be phased in over a period of five years.</w:t>
      </w:r>
      <w:r w:rsidRPr="0085651A">
        <w:rPr>
          <w:rFonts w:ascii="Times New Roman" w:hAnsi="Times New Roman" w:cs="Times New Roman"/>
          <w:sz w:val="24"/>
          <w:szCs w:val="24"/>
        </w:rPr>
        <w:t xml:space="preserve"> </w:t>
      </w:r>
    </w:p>
    <w:p w14:paraId="55448EAF" w14:textId="77777777" w:rsidR="008E7D2D" w:rsidRPr="0085651A" w:rsidRDefault="008E7D2D" w:rsidP="004D5246">
      <w:pPr>
        <w:pStyle w:val="ListParagraph"/>
        <w:spacing w:after="0"/>
        <w:ind w:left="0"/>
        <w:rPr>
          <w:rFonts w:ascii="Times New Roman" w:hAnsi="Times New Roman" w:cs="Times New Roman"/>
          <w:sz w:val="24"/>
          <w:szCs w:val="24"/>
        </w:rPr>
      </w:pPr>
      <w:r w:rsidRPr="0085651A">
        <w:rPr>
          <w:rFonts w:ascii="Times New Roman" w:hAnsi="Times New Roman" w:cs="Times New Roman"/>
          <w:sz w:val="24"/>
          <w:szCs w:val="24"/>
        </w:rPr>
        <w:t xml:space="preserve">The President also announced that </w:t>
      </w:r>
      <w:r w:rsidR="005D193F" w:rsidRPr="0085651A">
        <w:rPr>
          <w:rFonts w:ascii="Times New Roman" w:hAnsi="Times New Roman" w:cs="Times New Roman"/>
          <w:sz w:val="24"/>
          <w:szCs w:val="24"/>
        </w:rPr>
        <w:t>governm</w:t>
      </w:r>
      <w:r w:rsidR="009B2EBC" w:rsidRPr="0085651A">
        <w:rPr>
          <w:rFonts w:ascii="Times New Roman" w:hAnsi="Times New Roman" w:cs="Times New Roman"/>
          <w:sz w:val="24"/>
          <w:szCs w:val="24"/>
        </w:rPr>
        <w:t>ent would</w:t>
      </w:r>
      <w:r w:rsidR="005D193F" w:rsidRPr="0085651A">
        <w:rPr>
          <w:rFonts w:ascii="Times New Roman" w:hAnsi="Times New Roman" w:cs="Times New Roman"/>
          <w:sz w:val="24"/>
          <w:szCs w:val="24"/>
        </w:rPr>
        <w:t xml:space="preserve"> work in partnership with business, organised labour and community representatives to create opportunities for young people to be exposed to the world of work through </w:t>
      </w:r>
      <w:r w:rsidR="00353936" w:rsidRPr="0085651A">
        <w:rPr>
          <w:rFonts w:ascii="Times New Roman" w:hAnsi="Times New Roman" w:cs="Times New Roman"/>
          <w:sz w:val="24"/>
          <w:szCs w:val="24"/>
        </w:rPr>
        <w:t xml:space="preserve">creating a million </w:t>
      </w:r>
      <w:r w:rsidR="005D193F" w:rsidRPr="0085651A">
        <w:rPr>
          <w:rFonts w:ascii="Times New Roman" w:hAnsi="Times New Roman" w:cs="Times New Roman"/>
          <w:sz w:val="24"/>
          <w:szCs w:val="24"/>
        </w:rPr>
        <w:t>internships</w:t>
      </w:r>
      <w:r w:rsidR="00353936" w:rsidRPr="0085651A">
        <w:rPr>
          <w:rFonts w:ascii="Times New Roman" w:hAnsi="Times New Roman" w:cs="Times New Roman"/>
          <w:sz w:val="24"/>
          <w:szCs w:val="24"/>
        </w:rPr>
        <w:t xml:space="preserve"> in the next three years</w:t>
      </w:r>
      <w:r w:rsidR="005D193F" w:rsidRPr="0085651A">
        <w:rPr>
          <w:rFonts w:ascii="Times New Roman" w:hAnsi="Times New Roman" w:cs="Times New Roman"/>
          <w:sz w:val="24"/>
          <w:szCs w:val="24"/>
        </w:rPr>
        <w:t xml:space="preserve">, apprenticeships, mentorship and </w:t>
      </w:r>
      <w:r w:rsidR="004D5246" w:rsidRPr="0085651A">
        <w:rPr>
          <w:rFonts w:ascii="Times New Roman" w:hAnsi="Times New Roman" w:cs="Times New Roman"/>
          <w:sz w:val="24"/>
          <w:szCs w:val="24"/>
        </w:rPr>
        <w:t>entrepreneurship</w:t>
      </w:r>
      <w:r w:rsidR="005D193F" w:rsidRPr="0085651A">
        <w:rPr>
          <w:rFonts w:ascii="Times New Roman" w:hAnsi="Times New Roman" w:cs="Times New Roman"/>
          <w:sz w:val="24"/>
          <w:szCs w:val="24"/>
        </w:rPr>
        <w:t xml:space="preserve">. </w:t>
      </w:r>
      <w:r w:rsidR="00B50172" w:rsidRPr="0085651A">
        <w:rPr>
          <w:rFonts w:ascii="Times New Roman" w:hAnsi="Times New Roman" w:cs="Times New Roman"/>
          <w:sz w:val="24"/>
          <w:szCs w:val="24"/>
        </w:rPr>
        <w:t>The Presid</w:t>
      </w:r>
      <w:r w:rsidR="00807365" w:rsidRPr="0085651A">
        <w:rPr>
          <w:rFonts w:ascii="Times New Roman" w:hAnsi="Times New Roman" w:cs="Times New Roman"/>
          <w:sz w:val="24"/>
          <w:szCs w:val="24"/>
        </w:rPr>
        <w:t>ent announced that measures would</w:t>
      </w:r>
      <w:r w:rsidR="00B50172" w:rsidRPr="0085651A">
        <w:rPr>
          <w:rFonts w:ascii="Times New Roman" w:hAnsi="Times New Roman" w:cs="Times New Roman"/>
          <w:sz w:val="24"/>
          <w:szCs w:val="24"/>
        </w:rPr>
        <w:t xml:space="preserve"> be put in place to set the country </w:t>
      </w:r>
      <w:r w:rsidR="001A3AF1" w:rsidRPr="0085651A">
        <w:rPr>
          <w:rFonts w:ascii="Times New Roman" w:hAnsi="Times New Roman" w:cs="Times New Roman"/>
          <w:sz w:val="24"/>
          <w:szCs w:val="24"/>
        </w:rPr>
        <w:t xml:space="preserve">on </w:t>
      </w:r>
      <w:r w:rsidR="00B36367" w:rsidRPr="0085651A">
        <w:rPr>
          <w:rFonts w:ascii="Times New Roman" w:hAnsi="Times New Roman" w:cs="Times New Roman"/>
          <w:sz w:val="24"/>
          <w:szCs w:val="24"/>
        </w:rPr>
        <w:t xml:space="preserve">a </w:t>
      </w:r>
      <w:r w:rsidR="001A3AF1" w:rsidRPr="0085651A">
        <w:rPr>
          <w:rFonts w:ascii="Times New Roman" w:hAnsi="Times New Roman" w:cs="Times New Roman"/>
          <w:sz w:val="24"/>
          <w:szCs w:val="24"/>
        </w:rPr>
        <w:t>new</w:t>
      </w:r>
      <w:r w:rsidR="00B50172" w:rsidRPr="0085651A">
        <w:rPr>
          <w:rFonts w:ascii="Times New Roman" w:hAnsi="Times New Roman" w:cs="Times New Roman"/>
          <w:sz w:val="24"/>
          <w:szCs w:val="24"/>
        </w:rPr>
        <w:t xml:space="preserve"> path of growth, employment </w:t>
      </w:r>
      <w:r w:rsidR="001A3AF1" w:rsidRPr="0085651A">
        <w:rPr>
          <w:rFonts w:ascii="Times New Roman" w:hAnsi="Times New Roman" w:cs="Times New Roman"/>
          <w:sz w:val="24"/>
          <w:szCs w:val="24"/>
        </w:rPr>
        <w:t>and</w:t>
      </w:r>
      <w:r w:rsidR="00B50172" w:rsidRPr="0085651A">
        <w:rPr>
          <w:rFonts w:ascii="Times New Roman" w:hAnsi="Times New Roman" w:cs="Times New Roman"/>
          <w:sz w:val="24"/>
          <w:szCs w:val="24"/>
        </w:rPr>
        <w:t xml:space="preserve"> transformation. Social partners in the country would collaborate to build a social </w:t>
      </w:r>
      <w:r w:rsidR="001A3AF1" w:rsidRPr="0085651A">
        <w:rPr>
          <w:rFonts w:ascii="Times New Roman" w:hAnsi="Times New Roman" w:cs="Times New Roman"/>
          <w:sz w:val="24"/>
          <w:szCs w:val="24"/>
        </w:rPr>
        <w:t>compact on</w:t>
      </w:r>
      <w:r w:rsidR="00B50172" w:rsidRPr="0085651A">
        <w:rPr>
          <w:rFonts w:ascii="Times New Roman" w:hAnsi="Times New Roman" w:cs="Times New Roman"/>
          <w:sz w:val="24"/>
          <w:szCs w:val="24"/>
        </w:rPr>
        <w:t xml:space="preserve"> which drivers of economic growth would be created. The President committed to embarking on a number of measures to address the unemployment </w:t>
      </w:r>
      <w:r w:rsidR="001A3AF1" w:rsidRPr="0085651A">
        <w:rPr>
          <w:rFonts w:ascii="Times New Roman" w:hAnsi="Times New Roman" w:cs="Times New Roman"/>
          <w:sz w:val="24"/>
          <w:szCs w:val="24"/>
        </w:rPr>
        <w:t>challenges</w:t>
      </w:r>
      <w:r w:rsidR="00B50172" w:rsidRPr="0085651A">
        <w:rPr>
          <w:rFonts w:ascii="Times New Roman" w:hAnsi="Times New Roman" w:cs="Times New Roman"/>
          <w:sz w:val="24"/>
          <w:szCs w:val="24"/>
        </w:rPr>
        <w:t xml:space="preserve"> and to create jobs, especially among </w:t>
      </w:r>
      <w:r w:rsidR="00D101EC" w:rsidRPr="0085651A">
        <w:rPr>
          <w:rFonts w:ascii="Times New Roman" w:hAnsi="Times New Roman" w:cs="Times New Roman"/>
          <w:sz w:val="24"/>
          <w:szCs w:val="24"/>
        </w:rPr>
        <w:t xml:space="preserve">the </w:t>
      </w:r>
      <w:r w:rsidR="00B50172" w:rsidRPr="0085651A">
        <w:rPr>
          <w:rFonts w:ascii="Times New Roman" w:hAnsi="Times New Roman" w:cs="Times New Roman"/>
          <w:sz w:val="24"/>
          <w:szCs w:val="24"/>
        </w:rPr>
        <w:t xml:space="preserve">youth. One such initiative would be a Jobs Summit to align the efforts of every sector and every stakeholder behind the </w:t>
      </w:r>
      <w:r w:rsidR="001A3AF1" w:rsidRPr="0085651A">
        <w:rPr>
          <w:rFonts w:ascii="Times New Roman" w:hAnsi="Times New Roman" w:cs="Times New Roman"/>
          <w:sz w:val="24"/>
          <w:szCs w:val="24"/>
        </w:rPr>
        <w:t>imperative</w:t>
      </w:r>
      <w:r w:rsidR="00B50172" w:rsidRPr="0085651A">
        <w:rPr>
          <w:rFonts w:ascii="Times New Roman" w:hAnsi="Times New Roman" w:cs="Times New Roman"/>
          <w:sz w:val="24"/>
          <w:szCs w:val="24"/>
        </w:rPr>
        <w:t xml:space="preserve"> of job creation.</w:t>
      </w:r>
      <w:r w:rsidR="00825AE0" w:rsidRPr="0085651A">
        <w:rPr>
          <w:rFonts w:ascii="Times New Roman" w:hAnsi="Times New Roman" w:cs="Times New Roman"/>
          <w:sz w:val="24"/>
          <w:szCs w:val="24"/>
        </w:rPr>
        <w:t xml:space="preserve"> Other measures to rebuild the economy included</w:t>
      </w:r>
      <w:r w:rsidR="00D101EC" w:rsidRPr="0085651A">
        <w:rPr>
          <w:rFonts w:ascii="Times New Roman" w:hAnsi="Times New Roman" w:cs="Times New Roman"/>
          <w:sz w:val="24"/>
          <w:szCs w:val="24"/>
        </w:rPr>
        <w:t>,</w:t>
      </w:r>
      <w:r w:rsidR="00825AE0" w:rsidRPr="0085651A">
        <w:rPr>
          <w:rFonts w:ascii="Times New Roman" w:hAnsi="Times New Roman" w:cs="Times New Roman"/>
          <w:sz w:val="24"/>
          <w:szCs w:val="24"/>
        </w:rPr>
        <w:t xml:space="preserve"> the convening of an investment </w:t>
      </w:r>
      <w:r w:rsidR="00D101EC" w:rsidRPr="0085651A">
        <w:rPr>
          <w:rFonts w:ascii="Times New Roman" w:hAnsi="Times New Roman" w:cs="Times New Roman"/>
          <w:sz w:val="24"/>
          <w:szCs w:val="24"/>
        </w:rPr>
        <w:t>c</w:t>
      </w:r>
      <w:r w:rsidR="00825AE0" w:rsidRPr="0085651A">
        <w:rPr>
          <w:rFonts w:ascii="Times New Roman" w:hAnsi="Times New Roman" w:cs="Times New Roman"/>
          <w:sz w:val="24"/>
          <w:szCs w:val="24"/>
        </w:rPr>
        <w:t xml:space="preserve">onference targeting domestic and international investors, to make the compelling investment opportunities to be found in the country. </w:t>
      </w:r>
    </w:p>
    <w:p w14:paraId="4222A092" w14:textId="77777777" w:rsidR="00055D37" w:rsidRPr="0085651A" w:rsidRDefault="00055D37" w:rsidP="004D5246">
      <w:pPr>
        <w:pStyle w:val="ListParagraph"/>
        <w:spacing w:after="0"/>
        <w:ind w:left="0"/>
        <w:rPr>
          <w:rFonts w:ascii="Times New Roman" w:hAnsi="Times New Roman" w:cs="Times New Roman"/>
          <w:sz w:val="24"/>
          <w:szCs w:val="24"/>
        </w:rPr>
      </w:pPr>
    </w:p>
    <w:p w14:paraId="4576E871" w14:textId="77777777" w:rsidR="000F6D60" w:rsidRPr="0085651A" w:rsidRDefault="000F6D60" w:rsidP="004D5246">
      <w:pPr>
        <w:pStyle w:val="ListParagraph"/>
        <w:spacing w:after="0"/>
        <w:ind w:left="0"/>
        <w:rPr>
          <w:rFonts w:ascii="Times New Roman" w:hAnsi="Times New Roman" w:cs="Times New Roman"/>
          <w:sz w:val="24"/>
          <w:szCs w:val="24"/>
        </w:rPr>
      </w:pPr>
      <w:r w:rsidRPr="0085651A">
        <w:rPr>
          <w:rFonts w:ascii="Times New Roman" w:hAnsi="Times New Roman" w:cs="Times New Roman"/>
          <w:sz w:val="24"/>
          <w:szCs w:val="24"/>
        </w:rPr>
        <w:t xml:space="preserve">The decline in manufacturing capacity would be addressed through </w:t>
      </w:r>
      <w:r w:rsidR="00803768" w:rsidRPr="0085651A">
        <w:rPr>
          <w:rFonts w:ascii="Times New Roman" w:hAnsi="Times New Roman" w:cs="Times New Roman"/>
          <w:sz w:val="24"/>
          <w:szCs w:val="24"/>
        </w:rPr>
        <w:t xml:space="preserve">the </w:t>
      </w:r>
      <w:r w:rsidRPr="0085651A">
        <w:rPr>
          <w:rFonts w:ascii="Times New Roman" w:hAnsi="Times New Roman" w:cs="Times New Roman"/>
          <w:sz w:val="24"/>
          <w:szCs w:val="24"/>
        </w:rPr>
        <w:t>promotion of investment in key manufacturing sectors</w:t>
      </w:r>
      <w:r w:rsidR="001F0129" w:rsidRPr="0085651A">
        <w:rPr>
          <w:rFonts w:ascii="Times New Roman" w:hAnsi="Times New Roman" w:cs="Times New Roman"/>
          <w:sz w:val="24"/>
          <w:szCs w:val="24"/>
        </w:rPr>
        <w:t>, and</w:t>
      </w:r>
      <w:r w:rsidRPr="0085651A">
        <w:rPr>
          <w:rFonts w:ascii="Times New Roman" w:hAnsi="Times New Roman" w:cs="Times New Roman"/>
          <w:sz w:val="24"/>
          <w:szCs w:val="24"/>
        </w:rPr>
        <w:t xml:space="preserve"> </w:t>
      </w:r>
      <w:r w:rsidR="001F0129" w:rsidRPr="0085651A">
        <w:rPr>
          <w:rFonts w:ascii="Times New Roman" w:hAnsi="Times New Roman" w:cs="Times New Roman"/>
          <w:sz w:val="24"/>
          <w:szCs w:val="24"/>
        </w:rPr>
        <w:t>t</w:t>
      </w:r>
      <w:r w:rsidRPr="0085651A">
        <w:rPr>
          <w:rFonts w:ascii="Times New Roman" w:hAnsi="Times New Roman" w:cs="Times New Roman"/>
          <w:sz w:val="24"/>
          <w:szCs w:val="24"/>
        </w:rPr>
        <w:t>his would include localisation programmes. The President stressed a need to move young people in the centre of the economic agenda as they form a greater part of the labour force</w:t>
      </w:r>
      <w:r w:rsidR="00425492" w:rsidRPr="0085651A">
        <w:rPr>
          <w:rFonts w:ascii="Times New Roman" w:hAnsi="Times New Roman" w:cs="Times New Roman"/>
          <w:sz w:val="24"/>
          <w:szCs w:val="24"/>
        </w:rPr>
        <w:t xml:space="preserve">. There is a need to revive and grow the mining sector, attract investment, create jobs and set </w:t>
      </w:r>
      <w:r w:rsidR="00803768" w:rsidRPr="0085651A">
        <w:rPr>
          <w:rFonts w:ascii="Times New Roman" w:hAnsi="Times New Roman" w:cs="Times New Roman"/>
          <w:sz w:val="24"/>
          <w:szCs w:val="24"/>
        </w:rPr>
        <w:t xml:space="preserve">the </w:t>
      </w:r>
      <w:r w:rsidR="00425492" w:rsidRPr="0085651A">
        <w:rPr>
          <w:rFonts w:ascii="Times New Roman" w:hAnsi="Times New Roman" w:cs="Times New Roman"/>
          <w:sz w:val="24"/>
          <w:szCs w:val="24"/>
        </w:rPr>
        <w:t xml:space="preserve">industry on a new path of transformation and </w:t>
      </w:r>
      <w:r w:rsidR="001A3AF1" w:rsidRPr="0085651A">
        <w:rPr>
          <w:rFonts w:ascii="Times New Roman" w:hAnsi="Times New Roman" w:cs="Times New Roman"/>
          <w:sz w:val="24"/>
          <w:szCs w:val="24"/>
        </w:rPr>
        <w:t>sustainability</w:t>
      </w:r>
      <w:r w:rsidR="00342E1E" w:rsidRPr="0085651A">
        <w:rPr>
          <w:rFonts w:ascii="Times New Roman" w:hAnsi="Times New Roman" w:cs="Times New Roman"/>
          <w:sz w:val="24"/>
          <w:szCs w:val="24"/>
        </w:rPr>
        <w:t xml:space="preserve">. </w:t>
      </w:r>
      <w:r w:rsidR="00E01306" w:rsidRPr="0085651A">
        <w:rPr>
          <w:rFonts w:ascii="Times New Roman" w:hAnsi="Times New Roman" w:cs="Times New Roman"/>
          <w:sz w:val="24"/>
          <w:szCs w:val="24"/>
        </w:rPr>
        <w:t xml:space="preserve">Government will continue investment by </w:t>
      </w:r>
      <w:r w:rsidR="001A3AF1" w:rsidRPr="0085651A">
        <w:rPr>
          <w:rFonts w:ascii="Times New Roman" w:hAnsi="Times New Roman" w:cs="Times New Roman"/>
          <w:sz w:val="24"/>
          <w:szCs w:val="24"/>
        </w:rPr>
        <w:t>setting</w:t>
      </w:r>
      <w:r w:rsidR="00E01306" w:rsidRPr="0085651A">
        <w:rPr>
          <w:rFonts w:ascii="Times New Roman" w:hAnsi="Times New Roman" w:cs="Times New Roman"/>
          <w:sz w:val="24"/>
          <w:szCs w:val="24"/>
        </w:rPr>
        <w:t xml:space="preserve"> aside at least 30 per</w:t>
      </w:r>
      <w:r w:rsidR="00D101EC" w:rsidRPr="0085651A">
        <w:rPr>
          <w:rFonts w:ascii="Times New Roman" w:hAnsi="Times New Roman" w:cs="Times New Roman"/>
          <w:sz w:val="24"/>
          <w:szCs w:val="24"/>
        </w:rPr>
        <w:t>cent of public procurement to S</w:t>
      </w:r>
      <w:r w:rsidR="00E01306" w:rsidRPr="0085651A">
        <w:rPr>
          <w:rFonts w:ascii="Times New Roman" w:hAnsi="Times New Roman" w:cs="Times New Roman"/>
          <w:sz w:val="24"/>
          <w:szCs w:val="24"/>
        </w:rPr>
        <w:t xml:space="preserve">mall, </w:t>
      </w:r>
      <w:r w:rsidR="001F0129" w:rsidRPr="0085651A">
        <w:rPr>
          <w:rFonts w:ascii="Times New Roman" w:hAnsi="Times New Roman" w:cs="Times New Roman"/>
          <w:sz w:val="24"/>
          <w:szCs w:val="24"/>
        </w:rPr>
        <w:t xml:space="preserve">Medium and Micro-sized </w:t>
      </w:r>
      <w:r w:rsidR="00E01306" w:rsidRPr="0085651A">
        <w:rPr>
          <w:rFonts w:ascii="Times New Roman" w:hAnsi="Times New Roman" w:cs="Times New Roman"/>
          <w:sz w:val="24"/>
          <w:szCs w:val="24"/>
        </w:rPr>
        <w:t>Enterprises</w:t>
      </w:r>
      <w:r w:rsidR="00D101EC" w:rsidRPr="0085651A">
        <w:rPr>
          <w:rFonts w:ascii="Times New Roman" w:hAnsi="Times New Roman" w:cs="Times New Roman"/>
          <w:sz w:val="24"/>
          <w:szCs w:val="24"/>
        </w:rPr>
        <w:t xml:space="preserve"> (SMMEs)</w:t>
      </w:r>
      <w:r w:rsidR="00E01306" w:rsidRPr="0085651A">
        <w:rPr>
          <w:rFonts w:ascii="Times New Roman" w:hAnsi="Times New Roman" w:cs="Times New Roman"/>
          <w:sz w:val="24"/>
          <w:szCs w:val="24"/>
        </w:rPr>
        <w:t xml:space="preserve">. </w:t>
      </w:r>
      <w:r w:rsidR="008D2882" w:rsidRPr="0085651A">
        <w:rPr>
          <w:rFonts w:ascii="Times New Roman" w:hAnsi="Times New Roman" w:cs="Times New Roman"/>
          <w:sz w:val="24"/>
          <w:szCs w:val="24"/>
        </w:rPr>
        <w:t>The f</w:t>
      </w:r>
      <w:r w:rsidR="00E01306" w:rsidRPr="0085651A">
        <w:rPr>
          <w:rFonts w:ascii="Times New Roman" w:hAnsi="Times New Roman" w:cs="Times New Roman"/>
          <w:sz w:val="24"/>
          <w:szCs w:val="24"/>
        </w:rPr>
        <w:t xml:space="preserve">ocus would be on growing the agricultural sector by accelerating land redistribution programme not only </w:t>
      </w:r>
      <w:r w:rsidR="008D2882" w:rsidRPr="0085651A">
        <w:rPr>
          <w:rFonts w:ascii="Times New Roman" w:hAnsi="Times New Roman" w:cs="Times New Roman"/>
          <w:sz w:val="24"/>
          <w:szCs w:val="24"/>
        </w:rPr>
        <w:t>to</w:t>
      </w:r>
      <w:r w:rsidR="00E01306" w:rsidRPr="0085651A">
        <w:rPr>
          <w:rFonts w:ascii="Times New Roman" w:hAnsi="Times New Roman" w:cs="Times New Roman"/>
          <w:sz w:val="24"/>
          <w:szCs w:val="24"/>
        </w:rPr>
        <w:t xml:space="preserve"> redress, but also to bring more producers into the agricultural sector and to make land available for cultivation. Government will also strengthen the tourism sector to create </w:t>
      </w:r>
      <w:r w:rsidR="00807365" w:rsidRPr="0085651A">
        <w:rPr>
          <w:rFonts w:ascii="Times New Roman" w:hAnsi="Times New Roman" w:cs="Times New Roman"/>
          <w:sz w:val="24"/>
          <w:szCs w:val="24"/>
        </w:rPr>
        <w:t>much-needed</w:t>
      </w:r>
      <w:r w:rsidR="00E01306" w:rsidRPr="0085651A">
        <w:rPr>
          <w:rFonts w:ascii="Times New Roman" w:hAnsi="Times New Roman" w:cs="Times New Roman"/>
          <w:sz w:val="24"/>
          <w:szCs w:val="24"/>
        </w:rPr>
        <w:t xml:space="preserve"> jobs. The President stated that government </w:t>
      </w:r>
      <w:r w:rsidR="00807365" w:rsidRPr="0085651A">
        <w:rPr>
          <w:rFonts w:ascii="Times New Roman" w:hAnsi="Times New Roman" w:cs="Times New Roman"/>
          <w:sz w:val="24"/>
          <w:szCs w:val="24"/>
        </w:rPr>
        <w:t>would</w:t>
      </w:r>
      <w:r w:rsidR="00E01306" w:rsidRPr="0085651A">
        <w:rPr>
          <w:rFonts w:ascii="Times New Roman" w:hAnsi="Times New Roman" w:cs="Times New Roman"/>
          <w:sz w:val="24"/>
          <w:szCs w:val="24"/>
        </w:rPr>
        <w:t xml:space="preserve"> establish a Digital </w:t>
      </w:r>
      <w:r w:rsidR="001F0129" w:rsidRPr="0085651A">
        <w:rPr>
          <w:rFonts w:ascii="Times New Roman" w:hAnsi="Times New Roman" w:cs="Times New Roman"/>
          <w:sz w:val="24"/>
          <w:szCs w:val="24"/>
        </w:rPr>
        <w:t xml:space="preserve">Industrial </w:t>
      </w:r>
      <w:r w:rsidR="00E01306" w:rsidRPr="0085651A">
        <w:rPr>
          <w:rFonts w:ascii="Times New Roman" w:hAnsi="Times New Roman" w:cs="Times New Roman"/>
          <w:sz w:val="24"/>
          <w:szCs w:val="24"/>
        </w:rPr>
        <w:t xml:space="preserve">Revolution </w:t>
      </w:r>
      <w:r w:rsidR="001A3AF1" w:rsidRPr="0085651A">
        <w:rPr>
          <w:rFonts w:ascii="Times New Roman" w:hAnsi="Times New Roman" w:cs="Times New Roman"/>
          <w:sz w:val="24"/>
          <w:szCs w:val="24"/>
        </w:rPr>
        <w:t>Commission to</w:t>
      </w:r>
      <w:r w:rsidR="00E01306" w:rsidRPr="0085651A">
        <w:rPr>
          <w:rFonts w:ascii="Times New Roman" w:hAnsi="Times New Roman" w:cs="Times New Roman"/>
          <w:sz w:val="24"/>
          <w:szCs w:val="24"/>
        </w:rPr>
        <w:t xml:space="preserve"> develop capabilities in the areas of science, technology and innovation.</w:t>
      </w:r>
    </w:p>
    <w:p w14:paraId="7DC00400" w14:textId="77777777" w:rsidR="005D193F" w:rsidRPr="0085651A" w:rsidRDefault="005D193F" w:rsidP="00480F1E">
      <w:pPr>
        <w:pStyle w:val="ListParagraph"/>
        <w:spacing w:after="0" w:line="280" w:lineRule="exact"/>
        <w:ind w:left="0"/>
        <w:rPr>
          <w:rFonts w:ascii="Times New Roman" w:hAnsi="Times New Roman" w:cs="Times New Roman"/>
          <w:sz w:val="24"/>
          <w:szCs w:val="24"/>
        </w:rPr>
      </w:pPr>
    </w:p>
    <w:p w14:paraId="4A6662BE" w14:textId="77777777" w:rsidR="00915FAC" w:rsidRPr="0085651A" w:rsidRDefault="00CD5FC2" w:rsidP="002E3E89">
      <w:pPr>
        <w:rPr>
          <w:rFonts w:ascii="Times New Roman" w:hAnsi="Times New Roman" w:cs="Times New Roman"/>
          <w:b/>
          <w:sz w:val="24"/>
          <w:szCs w:val="24"/>
        </w:rPr>
      </w:pPr>
      <w:r w:rsidRPr="0085651A">
        <w:rPr>
          <w:rFonts w:ascii="Times New Roman" w:hAnsi="Times New Roman" w:cs="Times New Roman"/>
          <w:b/>
          <w:sz w:val="24"/>
          <w:szCs w:val="24"/>
        </w:rPr>
        <w:lastRenderedPageBreak/>
        <w:t xml:space="preserve">3. </w:t>
      </w:r>
      <w:r w:rsidR="00915FAC" w:rsidRPr="0085651A">
        <w:rPr>
          <w:rFonts w:ascii="Times New Roman" w:hAnsi="Times New Roman" w:cs="Times New Roman"/>
          <w:b/>
          <w:sz w:val="24"/>
          <w:szCs w:val="24"/>
        </w:rPr>
        <w:t xml:space="preserve">OVERVIEW AND ASSESSMENT OF THE 2015/16 – 2019/20 REVISED STRATEGIC PLAN OF THE DEPARTMENT OF HIGHER EDUCATION AND TRAINING </w:t>
      </w:r>
    </w:p>
    <w:p w14:paraId="54E6FED8" w14:textId="77777777" w:rsidR="000B679D" w:rsidRPr="0085651A" w:rsidRDefault="00915FAC" w:rsidP="00915FAC">
      <w:pPr>
        <w:rPr>
          <w:rFonts w:ascii="Times New Roman" w:hAnsi="Times New Roman" w:cs="Times New Roman"/>
          <w:sz w:val="24"/>
          <w:szCs w:val="24"/>
        </w:rPr>
      </w:pPr>
      <w:r w:rsidRPr="0085651A">
        <w:rPr>
          <w:rFonts w:ascii="Times New Roman" w:hAnsi="Times New Roman" w:cs="Times New Roman"/>
          <w:b/>
          <w:sz w:val="24"/>
          <w:szCs w:val="24"/>
        </w:rPr>
        <w:t>3.1. Overview and assessment of the 2015/16 – 2019/20 Revised Strategic Plan and 2018/19 Annual Performance</w:t>
      </w:r>
      <w:r w:rsidRPr="0085651A">
        <w:rPr>
          <w:rFonts w:ascii="Times New Roman" w:hAnsi="Times New Roman" w:cs="Times New Roman"/>
          <w:sz w:val="24"/>
          <w:szCs w:val="24"/>
        </w:rPr>
        <w:t xml:space="preserve"> </w:t>
      </w:r>
      <w:r w:rsidRPr="0085651A">
        <w:rPr>
          <w:rFonts w:ascii="Times New Roman" w:hAnsi="Times New Roman" w:cs="Times New Roman"/>
          <w:b/>
          <w:sz w:val="24"/>
          <w:szCs w:val="24"/>
        </w:rPr>
        <w:t>Plan of the Department</w:t>
      </w:r>
      <w:r w:rsidRPr="0085651A">
        <w:rPr>
          <w:rFonts w:ascii="Times New Roman" w:hAnsi="Times New Roman" w:cs="Times New Roman"/>
          <w:sz w:val="24"/>
          <w:szCs w:val="24"/>
        </w:rPr>
        <w:t xml:space="preserve"> </w:t>
      </w:r>
    </w:p>
    <w:p w14:paraId="3CCB8CEB" w14:textId="77777777" w:rsidR="00915FAC" w:rsidRPr="0085651A" w:rsidRDefault="00915FAC" w:rsidP="00915FAC">
      <w:pPr>
        <w:rPr>
          <w:rFonts w:ascii="Times New Roman" w:hAnsi="Times New Roman" w:cs="Times New Roman"/>
          <w:b/>
          <w:sz w:val="24"/>
          <w:szCs w:val="24"/>
        </w:rPr>
      </w:pPr>
      <w:r w:rsidRPr="0085651A">
        <w:rPr>
          <w:rFonts w:ascii="Times New Roman" w:hAnsi="Times New Roman" w:cs="Times New Roman"/>
          <w:b/>
          <w:sz w:val="24"/>
          <w:szCs w:val="24"/>
        </w:rPr>
        <w:t>3.1.1. Revised Strategic Plan 2015/16 – 2019/20 of the Department</w:t>
      </w:r>
    </w:p>
    <w:p w14:paraId="67E9F527" w14:textId="77777777" w:rsidR="005C446E" w:rsidRPr="0085651A" w:rsidRDefault="005C446E" w:rsidP="005C446E">
      <w:pPr>
        <w:autoSpaceDE w:val="0"/>
        <w:autoSpaceDN w:val="0"/>
        <w:adjustRightInd w:val="0"/>
        <w:spacing w:after="0"/>
        <w:rPr>
          <w:rFonts w:ascii="Times New Roman" w:hAnsi="Times New Roman" w:cs="Times New Roman"/>
          <w:sz w:val="24"/>
          <w:szCs w:val="24"/>
        </w:rPr>
      </w:pPr>
      <w:r w:rsidRPr="0085651A">
        <w:rPr>
          <w:rFonts w:ascii="Times New Roman" w:hAnsi="Times New Roman" w:cs="Times New Roman"/>
          <w:sz w:val="24"/>
          <w:szCs w:val="24"/>
        </w:rPr>
        <w:t xml:space="preserve">The Department has revised its 2015/16 – 2019/20 Strategic Plan to </w:t>
      </w:r>
      <w:r w:rsidR="00B33C9A" w:rsidRPr="0085651A">
        <w:rPr>
          <w:rFonts w:ascii="Times New Roman" w:hAnsi="Times New Roman" w:cs="Times New Roman"/>
          <w:sz w:val="24"/>
          <w:szCs w:val="24"/>
        </w:rPr>
        <w:t xml:space="preserve">review some performance indicators to align with the </w:t>
      </w:r>
      <w:r w:rsidRPr="0085651A">
        <w:rPr>
          <w:rFonts w:ascii="Times New Roman" w:hAnsi="Times New Roman" w:cs="Times New Roman"/>
          <w:sz w:val="24"/>
          <w:szCs w:val="24"/>
        </w:rPr>
        <w:t>new fee-free</w:t>
      </w:r>
      <w:r w:rsidR="001F0129" w:rsidRPr="0085651A">
        <w:rPr>
          <w:rFonts w:ascii="Times New Roman" w:hAnsi="Times New Roman" w:cs="Times New Roman"/>
          <w:sz w:val="24"/>
          <w:szCs w:val="24"/>
        </w:rPr>
        <w:t xml:space="preserve"> higher</w:t>
      </w:r>
      <w:r w:rsidRPr="0085651A">
        <w:rPr>
          <w:rFonts w:ascii="Times New Roman" w:hAnsi="Times New Roman" w:cs="Times New Roman"/>
          <w:sz w:val="24"/>
          <w:szCs w:val="24"/>
        </w:rPr>
        <w:t xml:space="preserve"> education policy as well as </w:t>
      </w:r>
      <w:r w:rsidR="00B33C9A" w:rsidRPr="0085651A">
        <w:rPr>
          <w:rFonts w:ascii="Times New Roman" w:hAnsi="Times New Roman" w:cs="Times New Roman"/>
          <w:sz w:val="24"/>
          <w:szCs w:val="24"/>
        </w:rPr>
        <w:t xml:space="preserve">the increase in the baseline funding for the TVET </w:t>
      </w:r>
      <w:r w:rsidR="001F0129" w:rsidRPr="0085651A">
        <w:rPr>
          <w:rFonts w:ascii="Times New Roman" w:hAnsi="Times New Roman" w:cs="Times New Roman"/>
          <w:sz w:val="24"/>
          <w:szCs w:val="24"/>
        </w:rPr>
        <w:t>s</w:t>
      </w:r>
      <w:r w:rsidR="00B33C9A" w:rsidRPr="0085651A">
        <w:rPr>
          <w:rFonts w:ascii="Times New Roman" w:hAnsi="Times New Roman" w:cs="Times New Roman"/>
          <w:sz w:val="24"/>
          <w:szCs w:val="24"/>
        </w:rPr>
        <w:t xml:space="preserve">ector. </w:t>
      </w:r>
      <w:r w:rsidRPr="0085651A">
        <w:rPr>
          <w:rFonts w:ascii="Times New Roman" w:hAnsi="Times New Roman" w:cs="Times New Roman"/>
          <w:sz w:val="24"/>
          <w:szCs w:val="24"/>
        </w:rPr>
        <w:t xml:space="preserve">The revised performance indicators are as follows: </w:t>
      </w:r>
    </w:p>
    <w:p w14:paraId="156EB495" w14:textId="77777777" w:rsidR="00B33C9A" w:rsidRPr="0085651A" w:rsidRDefault="00B33C9A" w:rsidP="005C446E">
      <w:pPr>
        <w:autoSpaceDE w:val="0"/>
        <w:autoSpaceDN w:val="0"/>
        <w:adjustRightInd w:val="0"/>
        <w:spacing w:after="0"/>
        <w:rPr>
          <w:rFonts w:ascii="Times New Roman" w:hAnsi="Times New Roman" w:cs="Times New Roman"/>
          <w:sz w:val="24"/>
          <w:szCs w:val="24"/>
        </w:rPr>
      </w:pPr>
    </w:p>
    <w:p w14:paraId="531282AF" w14:textId="77777777" w:rsidR="005C446E" w:rsidRPr="0085651A" w:rsidRDefault="005C446E" w:rsidP="005C446E">
      <w:pPr>
        <w:autoSpaceDE w:val="0"/>
        <w:autoSpaceDN w:val="0"/>
        <w:adjustRightInd w:val="0"/>
        <w:spacing w:after="0"/>
        <w:rPr>
          <w:rFonts w:ascii="Times New Roman" w:hAnsi="Times New Roman" w:cs="Times New Roman"/>
          <w:color w:val="000000" w:themeColor="text1"/>
          <w:sz w:val="24"/>
          <w:szCs w:val="24"/>
        </w:rPr>
      </w:pPr>
      <w:r w:rsidRPr="0085651A">
        <w:rPr>
          <w:rFonts w:ascii="Times New Roman" w:hAnsi="Times New Roman" w:cs="Times New Roman"/>
          <w:sz w:val="24"/>
          <w:szCs w:val="24"/>
        </w:rPr>
        <w:t>For the TVET Sector,</w:t>
      </w:r>
      <w:r w:rsidR="009B2EBC" w:rsidRPr="0085651A">
        <w:rPr>
          <w:rFonts w:ascii="Times New Roman" w:hAnsi="Times New Roman" w:cs="Times New Roman"/>
          <w:sz w:val="24"/>
          <w:szCs w:val="24"/>
        </w:rPr>
        <w:t xml:space="preserve"> the Department retained the threshold</w:t>
      </w:r>
      <w:r w:rsidRPr="0085651A">
        <w:rPr>
          <w:rFonts w:ascii="Times New Roman" w:hAnsi="Times New Roman" w:cs="Times New Roman"/>
          <w:sz w:val="24"/>
          <w:szCs w:val="24"/>
        </w:rPr>
        <w:t xml:space="preserve"> of headcount enrolment in the TVET College from 1.238 million to 710 535 over the rema</w:t>
      </w:r>
      <w:r w:rsidR="009B2EBC" w:rsidRPr="0085651A">
        <w:rPr>
          <w:rFonts w:ascii="Times New Roman" w:hAnsi="Times New Roman" w:cs="Times New Roman"/>
          <w:sz w:val="24"/>
          <w:szCs w:val="24"/>
        </w:rPr>
        <w:t>inder of the MTSF, revised the c</w:t>
      </w:r>
      <w:r w:rsidRPr="0085651A">
        <w:rPr>
          <w:rFonts w:ascii="Times New Roman" w:hAnsi="Times New Roman" w:cs="Times New Roman"/>
          <w:sz w:val="24"/>
          <w:szCs w:val="24"/>
        </w:rPr>
        <w:t>ertification rate</w:t>
      </w:r>
      <w:r w:rsidR="009B2EBC" w:rsidRPr="0085651A">
        <w:rPr>
          <w:rFonts w:ascii="Times New Roman" w:hAnsi="Times New Roman" w:cs="Times New Roman"/>
          <w:sz w:val="24"/>
          <w:szCs w:val="24"/>
        </w:rPr>
        <w:t>s</w:t>
      </w:r>
      <w:r w:rsidRPr="0085651A">
        <w:rPr>
          <w:rFonts w:ascii="Times New Roman" w:hAnsi="Times New Roman" w:cs="Times New Roman"/>
          <w:sz w:val="24"/>
          <w:szCs w:val="24"/>
        </w:rPr>
        <w:t xml:space="preserve"> in TVET qualifications: N</w:t>
      </w:r>
      <w:r w:rsidR="009B2EBC" w:rsidRPr="0085651A">
        <w:rPr>
          <w:rFonts w:ascii="Times New Roman" w:hAnsi="Times New Roman" w:cs="Times New Roman"/>
          <w:sz w:val="24"/>
          <w:szCs w:val="24"/>
        </w:rPr>
        <w:t>ational Certificate Vocational NC(</w:t>
      </w:r>
      <w:r w:rsidRPr="0085651A">
        <w:rPr>
          <w:rFonts w:ascii="Times New Roman" w:hAnsi="Times New Roman" w:cs="Times New Roman"/>
          <w:sz w:val="24"/>
          <w:szCs w:val="24"/>
        </w:rPr>
        <w:t>V) L</w:t>
      </w:r>
      <w:r w:rsidR="009B2EBC" w:rsidRPr="0085651A">
        <w:rPr>
          <w:rFonts w:ascii="Times New Roman" w:hAnsi="Times New Roman" w:cs="Times New Roman"/>
          <w:sz w:val="24"/>
          <w:szCs w:val="24"/>
        </w:rPr>
        <w:t xml:space="preserve">evel </w:t>
      </w:r>
      <w:r w:rsidRPr="0085651A">
        <w:rPr>
          <w:rFonts w:ascii="Times New Roman" w:hAnsi="Times New Roman" w:cs="Times New Roman"/>
          <w:sz w:val="24"/>
          <w:szCs w:val="24"/>
        </w:rPr>
        <w:t>4, N3 and N6 to the original targets of 65 percent of the 2019 MTSF,</w:t>
      </w:r>
      <w:r w:rsidR="009B2EBC" w:rsidRPr="0085651A">
        <w:rPr>
          <w:rFonts w:ascii="Times New Roman" w:hAnsi="Times New Roman" w:cs="Times New Roman"/>
          <w:sz w:val="24"/>
          <w:szCs w:val="24"/>
        </w:rPr>
        <w:t xml:space="preserve"> and</w:t>
      </w:r>
      <w:r w:rsidRPr="0085651A">
        <w:rPr>
          <w:rFonts w:ascii="Times New Roman" w:hAnsi="Times New Roman" w:cs="Times New Roman"/>
          <w:sz w:val="24"/>
          <w:szCs w:val="24"/>
        </w:rPr>
        <w:t xml:space="preserve"> certificates issued to qualifying candidates within three-months </w:t>
      </w:r>
      <w:r w:rsidR="00FB388A" w:rsidRPr="0085651A">
        <w:rPr>
          <w:rFonts w:ascii="Times New Roman" w:hAnsi="Times New Roman" w:cs="Times New Roman"/>
          <w:sz w:val="24"/>
          <w:szCs w:val="24"/>
        </w:rPr>
        <w:t>of publication of results</w:t>
      </w:r>
      <w:r w:rsidRPr="0085651A">
        <w:rPr>
          <w:rFonts w:ascii="Times New Roman" w:hAnsi="Times New Roman" w:cs="Times New Roman"/>
          <w:sz w:val="24"/>
          <w:szCs w:val="24"/>
        </w:rPr>
        <w:t xml:space="preserve">. The Department also revised the following performance indicators to the original targets of the 2019 MTSF: 100 percent of </w:t>
      </w:r>
      <w:r w:rsidR="00F6564F" w:rsidRPr="0085651A">
        <w:rPr>
          <w:rFonts w:ascii="Times New Roman" w:hAnsi="Times New Roman" w:cs="Times New Roman"/>
          <w:sz w:val="24"/>
          <w:szCs w:val="24"/>
        </w:rPr>
        <w:t>public</w:t>
      </w:r>
      <w:r w:rsidRPr="0085651A">
        <w:rPr>
          <w:rFonts w:ascii="Times New Roman" w:hAnsi="Times New Roman" w:cs="Times New Roman"/>
          <w:sz w:val="24"/>
          <w:szCs w:val="24"/>
        </w:rPr>
        <w:t xml:space="preserve"> TVET College examination centres conducting national examinations and assessments in compliance with national policy, 60 percent of funded NC(V) L4 students obtaining qualification within stipulated time, 30 percent of TVET College lecturers undergoing specified hours of work in the</w:t>
      </w:r>
      <w:r w:rsidR="00FB388A" w:rsidRPr="0085651A">
        <w:rPr>
          <w:rFonts w:ascii="Times New Roman" w:hAnsi="Times New Roman" w:cs="Times New Roman"/>
          <w:sz w:val="24"/>
          <w:szCs w:val="24"/>
        </w:rPr>
        <w:t>ir</w:t>
      </w:r>
      <w:r w:rsidRPr="0085651A">
        <w:rPr>
          <w:rFonts w:ascii="Times New Roman" w:hAnsi="Times New Roman" w:cs="Times New Roman"/>
          <w:sz w:val="24"/>
          <w:szCs w:val="24"/>
        </w:rPr>
        <w:t xml:space="preserve"> industry for specified period every two years from 2019, 5 000 students entering the foundation programmes by March 201</w:t>
      </w:r>
      <w:r w:rsidR="00F31306" w:rsidRPr="0085651A">
        <w:rPr>
          <w:rFonts w:ascii="Times New Roman" w:hAnsi="Times New Roman" w:cs="Times New Roman"/>
          <w:sz w:val="24"/>
          <w:szCs w:val="24"/>
        </w:rPr>
        <w:t>7</w:t>
      </w:r>
      <w:r w:rsidRPr="0085651A">
        <w:rPr>
          <w:rFonts w:ascii="Times New Roman" w:hAnsi="Times New Roman" w:cs="Times New Roman"/>
          <w:sz w:val="24"/>
          <w:szCs w:val="24"/>
        </w:rPr>
        <w:t xml:space="preserve"> and 90 percent of TVET institutions compliant to governance standards by 2019 and increasing every year thereafter. The target was revised from 100 percent. </w:t>
      </w:r>
      <w:r w:rsidR="00D101EC" w:rsidRPr="0085651A">
        <w:rPr>
          <w:rFonts w:ascii="Times New Roman" w:hAnsi="Times New Roman" w:cs="Times New Roman"/>
          <w:sz w:val="24"/>
          <w:szCs w:val="24"/>
        </w:rPr>
        <w:t>The p</w:t>
      </w:r>
      <w:r w:rsidR="00E05EFB" w:rsidRPr="0085651A">
        <w:rPr>
          <w:rFonts w:ascii="Times New Roman" w:hAnsi="Times New Roman" w:cs="Times New Roman"/>
          <w:sz w:val="24"/>
          <w:szCs w:val="24"/>
        </w:rPr>
        <w:t>erformance indicator to have 484 111 qualifying TVET student</w:t>
      </w:r>
      <w:r w:rsidR="00FB388A" w:rsidRPr="0085651A">
        <w:rPr>
          <w:rFonts w:ascii="Times New Roman" w:hAnsi="Times New Roman" w:cs="Times New Roman"/>
          <w:sz w:val="24"/>
          <w:szCs w:val="24"/>
        </w:rPr>
        <w:t>s</w:t>
      </w:r>
      <w:r w:rsidR="00E05EFB" w:rsidRPr="0085651A">
        <w:rPr>
          <w:rFonts w:ascii="Times New Roman" w:hAnsi="Times New Roman" w:cs="Times New Roman"/>
          <w:sz w:val="24"/>
          <w:szCs w:val="24"/>
        </w:rPr>
        <w:t xml:space="preserve"> obtaining financial assistance annually was revised from 200 000 to align with current funding provision. </w:t>
      </w:r>
      <w:r w:rsidRPr="0085651A">
        <w:rPr>
          <w:rFonts w:ascii="Times New Roman" w:hAnsi="Times New Roman" w:cs="Times New Roman"/>
          <w:sz w:val="24"/>
          <w:szCs w:val="24"/>
        </w:rPr>
        <w:t xml:space="preserve">The performance indicator to have 5 000 </w:t>
      </w:r>
      <w:r w:rsidRPr="0085651A">
        <w:rPr>
          <w:rFonts w:ascii="Times New Roman" w:hAnsi="Times New Roman" w:cs="Times New Roman"/>
          <w:color w:val="000000" w:themeColor="text1"/>
          <w:sz w:val="24"/>
          <w:szCs w:val="24"/>
        </w:rPr>
        <w:t>additional beds for student accommodation in public TVET Colleges remain</w:t>
      </w:r>
      <w:r w:rsidR="009B2EBC" w:rsidRPr="0085651A">
        <w:rPr>
          <w:rFonts w:ascii="Times New Roman" w:hAnsi="Times New Roman" w:cs="Times New Roman"/>
          <w:color w:val="000000" w:themeColor="text1"/>
          <w:sz w:val="24"/>
          <w:szCs w:val="24"/>
        </w:rPr>
        <w:t xml:space="preserve">s unfunded and </w:t>
      </w:r>
      <w:r w:rsidRPr="0085651A">
        <w:rPr>
          <w:rFonts w:ascii="Times New Roman" w:hAnsi="Times New Roman" w:cs="Times New Roman"/>
          <w:color w:val="000000" w:themeColor="text1"/>
          <w:sz w:val="24"/>
          <w:szCs w:val="24"/>
        </w:rPr>
        <w:t>discontinued for the remainder of the 2019 MTSF.</w:t>
      </w:r>
    </w:p>
    <w:p w14:paraId="082C4327" w14:textId="77777777" w:rsidR="00E05EFB" w:rsidRPr="0085651A" w:rsidRDefault="00E05EFB" w:rsidP="005C446E">
      <w:pPr>
        <w:autoSpaceDE w:val="0"/>
        <w:autoSpaceDN w:val="0"/>
        <w:adjustRightInd w:val="0"/>
        <w:spacing w:after="0"/>
        <w:rPr>
          <w:rFonts w:ascii="Times New Roman" w:hAnsi="Times New Roman" w:cs="Times New Roman"/>
          <w:color w:val="000000" w:themeColor="text1"/>
          <w:sz w:val="24"/>
          <w:szCs w:val="24"/>
        </w:rPr>
      </w:pPr>
    </w:p>
    <w:p w14:paraId="2518DEE6" w14:textId="77777777" w:rsidR="005C446E" w:rsidRPr="0085651A" w:rsidRDefault="001B18A4" w:rsidP="000461BD">
      <w:pPr>
        <w:autoSpaceDE w:val="0"/>
        <w:autoSpaceDN w:val="0"/>
        <w:adjustRightInd w:val="0"/>
        <w:spacing w:after="0"/>
        <w:rPr>
          <w:rFonts w:ascii="Times New Roman" w:hAnsi="Times New Roman" w:cs="Times New Roman"/>
          <w:sz w:val="24"/>
          <w:szCs w:val="24"/>
        </w:rPr>
      </w:pPr>
      <w:r w:rsidRPr="0085651A">
        <w:rPr>
          <w:rFonts w:ascii="Times New Roman" w:hAnsi="Times New Roman" w:cs="Times New Roman"/>
          <w:color w:val="000000" w:themeColor="text1"/>
          <w:sz w:val="24"/>
          <w:szCs w:val="24"/>
        </w:rPr>
        <w:t>The Department introduced new performance indicators in the TVET programme</w:t>
      </w:r>
      <w:r w:rsidR="009B2EBC" w:rsidRPr="0085651A">
        <w:rPr>
          <w:rFonts w:ascii="Times New Roman" w:hAnsi="Times New Roman" w:cs="Times New Roman"/>
          <w:color w:val="000000" w:themeColor="text1"/>
          <w:sz w:val="24"/>
          <w:szCs w:val="24"/>
        </w:rPr>
        <w:t>,</w:t>
      </w:r>
      <w:r w:rsidRPr="0085651A">
        <w:rPr>
          <w:rFonts w:ascii="Times New Roman" w:hAnsi="Times New Roman" w:cs="Times New Roman"/>
          <w:color w:val="000000" w:themeColor="text1"/>
          <w:sz w:val="24"/>
          <w:szCs w:val="24"/>
        </w:rPr>
        <w:t xml:space="preserve"> </w:t>
      </w:r>
      <w:r w:rsidR="009B2EBC" w:rsidRPr="0085651A">
        <w:rPr>
          <w:rFonts w:ascii="Times New Roman" w:hAnsi="Times New Roman" w:cs="Times New Roman"/>
          <w:color w:val="000000" w:themeColor="text1"/>
          <w:sz w:val="24"/>
          <w:szCs w:val="24"/>
        </w:rPr>
        <w:t>namely:</w:t>
      </w:r>
      <w:r w:rsidRPr="0085651A">
        <w:rPr>
          <w:rFonts w:ascii="Times New Roman" w:hAnsi="Times New Roman" w:cs="Times New Roman"/>
          <w:color w:val="000000" w:themeColor="text1"/>
          <w:sz w:val="24"/>
          <w:szCs w:val="24"/>
        </w:rPr>
        <w:t xml:space="preserve"> to develop and approve three implementation reports on the operationalisation of each completed College campus, to develop </w:t>
      </w:r>
      <w:r w:rsidR="009B2EBC" w:rsidRPr="0085651A">
        <w:rPr>
          <w:rFonts w:ascii="Times New Roman" w:hAnsi="Times New Roman" w:cs="Times New Roman"/>
          <w:color w:val="000000" w:themeColor="text1"/>
          <w:sz w:val="24"/>
          <w:szCs w:val="24"/>
        </w:rPr>
        <w:t>and approve annual projections o</w:t>
      </w:r>
      <w:r w:rsidRPr="0085651A">
        <w:rPr>
          <w:rFonts w:ascii="Times New Roman" w:hAnsi="Times New Roman" w:cs="Times New Roman"/>
          <w:color w:val="000000" w:themeColor="text1"/>
          <w:sz w:val="24"/>
          <w:szCs w:val="24"/>
        </w:rPr>
        <w:t xml:space="preserve">f budget estimates </w:t>
      </w:r>
      <w:r w:rsidRPr="0085651A">
        <w:rPr>
          <w:rFonts w:ascii="Times New Roman" w:hAnsi="Times New Roman" w:cs="Times New Roman"/>
          <w:color w:val="000000" w:themeColor="text1"/>
          <w:sz w:val="24"/>
          <w:szCs w:val="24"/>
        </w:rPr>
        <w:lastRenderedPageBreak/>
        <w:t>and implementation for TVET Colleges infrastructure needs</w:t>
      </w:r>
      <w:r w:rsidR="00DD4BCF" w:rsidRPr="0085651A">
        <w:rPr>
          <w:rFonts w:ascii="Times New Roman" w:hAnsi="Times New Roman" w:cs="Times New Roman"/>
          <w:color w:val="000000" w:themeColor="text1"/>
          <w:sz w:val="24"/>
          <w:szCs w:val="24"/>
        </w:rPr>
        <w:t>, to develop and approve three reports on the implementation of the national infrastructure asset management system for TVET Colleges.</w:t>
      </w:r>
      <w:r w:rsidR="00DE6433" w:rsidRPr="0085651A">
        <w:rPr>
          <w:rFonts w:ascii="Times New Roman" w:hAnsi="Times New Roman" w:cs="Times New Roman"/>
          <w:sz w:val="24"/>
          <w:szCs w:val="24"/>
        </w:rPr>
        <w:t xml:space="preserve"> </w:t>
      </w:r>
      <w:r w:rsidR="000461BD" w:rsidRPr="0085651A">
        <w:rPr>
          <w:rFonts w:ascii="Times New Roman" w:hAnsi="Times New Roman" w:cs="Times New Roman"/>
          <w:sz w:val="24"/>
          <w:szCs w:val="24"/>
        </w:rPr>
        <w:t xml:space="preserve">For the University Education programme, </w:t>
      </w:r>
      <w:r w:rsidR="009B2EBC" w:rsidRPr="0085651A">
        <w:rPr>
          <w:rFonts w:ascii="Times New Roman" w:hAnsi="Times New Roman" w:cs="Times New Roman"/>
          <w:sz w:val="24"/>
          <w:szCs w:val="24"/>
        </w:rPr>
        <w:t xml:space="preserve">the </w:t>
      </w:r>
      <w:r w:rsidR="000461BD" w:rsidRPr="0085651A">
        <w:rPr>
          <w:rFonts w:ascii="Times New Roman" w:hAnsi="Times New Roman" w:cs="Times New Roman"/>
          <w:sz w:val="24"/>
          <w:szCs w:val="24"/>
        </w:rPr>
        <w:t>performance indicator on the number of eligible students obtaining financial assistance annually was revised from 205 000 to 300 000 to align with current funding provision.</w:t>
      </w:r>
    </w:p>
    <w:p w14:paraId="462BEC14" w14:textId="77777777" w:rsidR="000461BD" w:rsidRPr="0085651A" w:rsidRDefault="000461BD" w:rsidP="000461BD">
      <w:pPr>
        <w:autoSpaceDE w:val="0"/>
        <w:autoSpaceDN w:val="0"/>
        <w:adjustRightInd w:val="0"/>
        <w:spacing w:after="0"/>
        <w:rPr>
          <w:rFonts w:ascii="Times New Roman" w:hAnsi="Times New Roman" w:cs="Times New Roman"/>
          <w:sz w:val="24"/>
          <w:szCs w:val="24"/>
        </w:rPr>
      </w:pPr>
    </w:p>
    <w:p w14:paraId="1E0CA2E5" w14:textId="77777777" w:rsidR="009B2EBC" w:rsidRPr="0085651A" w:rsidRDefault="005C446E" w:rsidP="00F5018B">
      <w:pPr>
        <w:autoSpaceDE w:val="0"/>
        <w:autoSpaceDN w:val="0"/>
        <w:adjustRightInd w:val="0"/>
        <w:spacing w:after="0"/>
        <w:rPr>
          <w:rFonts w:ascii="Times New Roman" w:hAnsi="Times New Roman" w:cs="Times New Roman"/>
          <w:sz w:val="24"/>
          <w:szCs w:val="24"/>
        </w:rPr>
      </w:pPr>
      <w:r w:rsidRPr="0085651A">
        <w:rPr>
          <w:rFonts w:ascii="Times New Roman" w:hAnsi="Times New Roman" w:cs="Times New Roman"/>
          <w:sz w:val="24"/>
          <w:szCs w:val="24"/>
        </w:rPr>
        <w:t xml:space="preserve">For the Skills </w:t>
      </w:r>
      <w:r w:rsidR="000461BD" w:rsidRPr="0085651A">
        <w:rPr>
          <w:rFonts w:ascii="Times New Roman" w:hAnsi="Times New Roman" w:cs="Times New Roman"/>
          <w:sz w:val="24"/>
          <w:szCs w:val="24"/>
        </w:rPr>
        <w:t>Development p</w:t>
      </w:r>
      <w:r w:rsidRPr="0085651A">
        <w:rPr>
          <w:rFonts w:ascii="Times New Roman" w:hAnsi="Times New Roman" w:cs="Times New Roman"/>
          <w:sz w:val="24"/>
          <w:szCs w:val="24"/>
        </w:rPr>
        <w:t xml:space="preserve">rogramme, the MTSF performance indicator to review eight skills development steering mechanisms was revised down to five from eight steering mechanisms. The Department noted that the review of the Skills Development Act, Grant Regulations and Grant Regulations guidelines </w:t>
      </w:r>
      <w:r w:rsidR="009B2EBC" w:rsidRPr="0085651A">
        <w:rPr>
          <w:rFonts w:ascii="Times New Roman" w:hAnsi="Times New Roman" w:cs="Times New Roman"/>
          <w:sz w:val="24"/>
          <w:szCs w:val="24"/>
        </w:rPr>
        <w:t>would</w:t>
      </w:r>
      <w:r w:rsidRPr="0085651A">
        <w:rPr>
          <w:rFonts w:ascii="Times New Roman" w:hAnsi="Times New Roman" w:cs="Times New Roman"/>
          <w:sz w:val="24"/>
          <w:szCs w:val="24"/>
        </w:rPr>
        <w:t xml:space="preserve"> be influenced by the shape and form of the new SETA landscape. The Minister extended the current SETA landscape to 2020 to allow for broader and inclusive consultation with stakeholders</w:t>
      </w:r>
      <w:r w:rsidR="00FB388A" w:rsidRPr="0085651A">
        <w:rPr>
          <w:rFonts w:ascii="Times New Roman" w:hAnsi="Times New Roman" w:cs="Times New Roman"/>
          <w:sz w:val="24"/>
          <w:szCs w:val="24"/>
        </w:rPr>
        <w:t>,</w:t>
      </w:r>
      <w:r w:rsidRPr="0085651A">
        <w:rPr>
          <w:rFonts w:ascii="Times New Roman" w:hAnsi="Times New Roman" w:cs="Times New Roman"/>
          <w:sz w:val="24"/>
          <w:szCs w:val="24"/>
        </w:rPr>
        <w:t xml:space="preserve"> and therefore the envisaged review of the said steering mechanisms cannot be completed in the year 2018/19.</w:t>
      </w:r>
    </w:p>
    <w:p w14:paraId="65D1E6AF" w14:textId="77777777" w:rsidR="00F5018B" w:rsidRPr="0085651A" w:rsidRDefault="00F5018B" w:rsidP="00F5018B">
      <w:pPr>
        <w:autoSpaceDE w:val="0"/>
        <w:autoSpaceDN w:val="0"/>
        <w:adjustRightInd w:val="0"/>
        <w:spacing w:after="0"/>
        <w:rPr>
          <w:rFonts w:ascii="Times New Roman" w:hAnsi="Times New Roman" w:cs="Times New Roman"/>
          <w:sz w:val="24"/>
          <w:szCs w:val="24"/>
        </w:rPr>
      </w:pPr>
    </w:p>
    <w:p w14:paraId="408BA9F5" w14:textId="77777777" w:rsidR="00F54FF7" w:rsidRPr="0085651A" w:rsidRDefault="00F54FF7" w:rsidP="00F54FF7">
      <w:pPr>
        <w:rPr>
          <w:rFonts w:ascii="Times New Roman" w:hAnsi="Times New Roman" w:cs="Times New Roman"/>
          <w:b/>
          <w:sz w:val="24"/>
          <w:szCs w:val="24"/>
        </w:rPr>
      </w:pPr>
      <w:r w:rsidRPr="0085651A">
        <w:rPr>
          <w:rFonts w:ascii="Times New Roman" w:hAnsi="Times New Roman" w:cs="Times New Roman"/>
          <w:b/>
          <w:sz w:val="24"/>
          <w:szCs w:val="24"/>
        </w:rPr>
        <w:t>4. OVERVIEW AND ASSESSMENT OF THE DEPARTMENT’S 2018/19 MEDIUM-</w:t>
      </w:r>
      <w:r w:rsidR="009B2EBC" w:rsidRPr="0085651A">
        <w:rPr>
          <w:rFonts w:ascii="Times New Roman" w:hAnsi="Times New Roman" w:cs="Times New Roman"/>
          <w:b/>
          <w:sz w:val="24"/>
          <w:szCs w:val="24"/>
        </w:rPr>
        <w:t>T</w:t>
      </w:r>
      <w:r w:rsidRPr="0085651A">
        <w:rPr>
          <w:rFonts w:ascii="Times New Roman" w:hAnsi="Times New Roman" w:cs="Times New Roman"/>
          <w:b/>
          <w:sz w:val="24"/>
          <w:szCs w:val="24"/>
        </w:rPr>
        <w:t>ERM EXPENDITURE FRAMEWORK (MTEF) AND ANNUAL PERFORMANCE PLAN (APP)</w:t>
      </w:r>
      <w:r w:rsidR="009B2EBC" w:rsidRPr="0085651A">
        <w:rPr>
          <w:rFonts w:ascii="Times New Roman" w:hAnsi="Times New Roman" w:cs="Times New Roman"/>
          <w:b/>
          <w:sz w:val="24"/>
          <w:szCs w:val="24"/>
        </w:rPr>
        <w:t xml:space="preserve"> 2018/19</w:t>
      </w:r>
    </w:p>
    <w:p w14:paraId="4903E270" w14:textId="77777777" w:rsidR="00E01306" w:rsidRPr="0085651A" w:rsidRDefault="00F54FF7" w:rsidP="00133BD9">
      <w:pPr>
        <w:rPr>
          <w:rFonts w:ascii="Times New Roman" w:hAnsi="Times New Roman" w:cs="Times New Roman"/>
          <w:b/>
          <w:sz w:val="24"/>
          <w:szCs w:val="24"/>
        </w:rPr>
      </w:pPr>
      <w:r w:rsidRPr="0085651A">
        <w:rPr>
          <w:rFonts w:ascii="Times New Roman" w:hAnsi="Times New Roman" w:cs="Times New Roman"/>
          <w:b/>
          <w:sz w:val="24"/>
          <w:szCs w:val="24"/>
        </w:rPr>
        <w:t xml:space="preserve">4.1. </w:t>
      </w:r>
      <w:r w:rsidR="00133BD9" w:rsidRPr="0085651A">
        <w:rPr>
          <w:rFonts w:ascii="Times New Roman" w:hAnsi="Times New Roman" w:cs="Times New Roman"/>
          <w:b/>
          <w:sz w:val="24"/>
          <w:szCs w:val="24"/>
        </w:rPr>
        <w:t>Overview and assessment of the 2018/19 Medium-Term Expenditure Framework (MTEF) Budget</w:t>
      </w:r>
    </w:p>
    <w:p w14:paraId="3512B2A3" w14:textId="77777777" w:rsidR="00133BD9" w:rsidRPr="0085651A" w:rsidRDefault="00133BD9" w:rsidP="00133BD9">
      <w:pPr>
        <w:rPr>
          <w:rFonts w:ascii="Times New Roman" w:hAnsi="Times New Roman" w:cs="Times New Roman"/>
          <w:b/>
          <w:sz w:val="24"/>
          <w:szCs w:val="24"/>
        </w:rPr>
      </w:pPr>
      <w:r w:rsidRPr="0085651A">
        <w:rPr>
          <w:rFonts w:ascii="Times New Roman" w:hAnsi="Times New Roman" w:cs="Times New Roman"/>
          <w:b/>
          <w:sz w:val="24"/>
          <w:szCs w:val="24"/>
        </w:rPr>
        <w:t>Table 1: Overall Budget Allocation and Expenditure Estimates: 2018/19 financial year</w:t>
      </w:r>
    </w:p>
    <w:p w14:paraId="295BE9CA" w14:textId="77777777" w:rsidR="00133BD9" w:rsidRPr="0085651A" w:rsidRDefault="00133BD9" w:rsidP="00133BD9">
      <w:pPr>
        <w:rPr>
          <w:rFonts w:ascii="Times New Roman" w:hAnsi="Times New Roman" w:cs="Times New Roman"/>
          <w:b/>
          <w:sz w:val="24"/>
          <w:szCs w:val="24"/>
        </w:rPr>
      </w:pPr>
      <w:r w:rsidRPr="0085651A">
        <w:rPr>
          <w:rFonts w:ascii="Times New Roman" w:hAnsi="Times New Roman" w:cs="Times New Roman"/>
          <w:noProof/>
          <w:sz w:val="24"/>
          <w:szCs w:val="24"/>
          <w:lang w:eastAsia="en-ZA"/>
        </w:rPr>
        <w:drawing>
          <wp:inline distT="0" distB="0" distL="0" distR="0" wp14:anchorId="0A73FA39" wp14:editId="1E5317C1">
            <wp:extent cx="5731510" cy="2016191"/>
            <wp:effectExtent l="0" t="0" r="2540" b="317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016191"/>
                    </a:xfrm>
                    <a:prstGeom prst="rect">
                      <a:avLst/>
                    </a:prstGeom>
                    <a:noFill/>
                    <a:ln>
                      <a:noFill/>
                    </a:ln>
                  </pic:spPr>
                </pic:pic>
              </a:graphicData>
            </a:graphic>
          </wp:inline>
        </w:drawing>
      </w:r>
    </w:p>
    <w:p w14:paraId="4624A44D" w14:textId="77777777" w:rsidR="00251D5B" w:rsidRPr="0085651A" w:rsidRDefault="00133BD9" w:rsidP="00133BD9">
      <w:pPr>
        <w:rPr>
          <w:rFonts w:ascii="Times New Roman" w:hAnsi="Times New Roman" w:cs="Times New Roman"/>
          <w:sz w:val="24"/>
          <w:szCs w:val="24"/>
        </w:rPr>
      </w:pPr>
      <w:r w:rsidRPr="0085651A">
        <w:rPr>
          <w:rFonts w:ascii="Times New Roman" w:hAnsi="Times New Roman" w:cs="Times New Roman"/>
          <w:sz w:val="24"/>
          <w:szCs w:val="24"/>
        </w:rPr>
        <w:t>The Department’s budget for the 2018/19 financial year, excluding direct charges agai</w:t>
      </w:r>
      <w:r w:rsidR="009B2EBC" w:rsidRPr="0085651A">
        <w:rPr>
          <w:rFonts w:ascii="Times New Roman" w:hAnsi="Times New Roman" w:cs="Times New Roman"/>
          <w:sz w:val="24"/>
          <w:szCs w:val="24"/>
        </w:rPr>
        <w:t>nst the National Revenue Fund amounts to</w:t>
      </w:r>
      <w:r w:rsidRPr="0085651A">
        <w:rPr>
          <w:rFonts w:ascii="Times New Roman" w:hAnsi="Times New Roman" w:cs="Times New Roman"/>
          <w:sz w:val="24"/>
          <w:szCs w:val="24"/>
        </w:rPr>
        <w:t xml:space="preserve"> </w:t>
      </w:r>
      <w:r w:rsidR="009B2EBC" w:rsidRPr="0085651A">
        <w:rPr>
          <w:rFonts w:ascii="Times New Roman" w:hAnsi="Times New Roman" w:cs="Times New Roman"/>
          <w:sz w:val="24"/>
          <w:szCs w:val="24"/>
        </w:rPr>
        <w:t>R73.020 billion. This budget has</w:t>
      </w:r>
      <w:r w:rsidRPr="0085651A">
        <w:rPr>
          <w:rFonts w:ascii="Times New Roman" w:hAnsi="Times New Roman" w:cs="Times New Roman"/>
          <w:sz w:val="24"/>
          <w:szCs w:val="24"/>
        </w:rPr>
        <w:t xml:space="preserve"> increased by 28.4 percent (R20.715 billion) from R52.307 billion allocated in 2017/18. </w:t>
      </w:r>
      <w:r w:rsidR="009B2EBC" w:rsidRPr="0085651A">
        <w:rPr>
          <w:rFonts w:ascii="Times New Roman" w:hAnsi="Times New Roman" w:cs="Times New Roman"/>
          <w:sz w:val="24"/>
          <w:szCs w:val="24"/>
        </w:rPr>
        <w:t>T</w:t>
      </w:r>
      <w:r w:rsidRPr="0085651A">
        <w:rPr>
          <w:rFonts w:ascii="Times New Roman" w:hAnsi="Times New Roman" w:cs="Times New Roman"/>
          <w:sz w:val="24"/>
          <w:szCs w:val="24"/>
        </w:rPr>
        <w:t xml:space="preserve">he overall budget of the Department </w:t>
      </w:r>
      <w:r w:rsidR="009B2EBC" w:rsidRPr="0085651A">
        <w:rPr>
          <w:rFonts w:ascii="Times New Roman" w:hAnsi="Times New Roman" w:cs="Times New Roman"/>
          <w:sz w:val="24"/>
          <w:szCs w:val="24"/>
        </w:rPr>
        <w:t>inclusive of direct charges</w:t>
      </w:r>
      <w:r w:rsidR="00460011" w:rsidRPr="0085651A">
        <w:rPr>
          <w:rFonts w:ascii="Times New Roman" w:hAnsi="Times New Roman" w:cs="Times New Roman"/>
          <w:sz w:val="24"/>
          <w:szCs w:val="24"/>
        </w:rPr>
        <w:t xml:space="preserve"> for the 2018/19</w:t>
      </w:r>
      <w:r w:rsidR="009B2EBC" w:rsidRPr="0085651A">
        <w:rPr>
          <w:rFonts w:ascii="Times New Roman" w:hAnsi="Times New Roman" w:cs="Times New Roman"/>
          <w:sz w:val="24"/>
          <w:szCs w:val="24"/>
        </w:rPr>
        <w:t xml:space="preserve"> financial year amounts to</w:t>
      </w:r>
      <w:r w:rsidRPr="0085651A">
        <w:rPr>
          <w:rFonts w:ascii="Times New Roman" w:hAnsi="Times New Roman" w:cs="Times New Roman"/>
          <w:sz w:val="24"/>
          <w:szCs w:val="24"/>
        </w:rPr>
        <w:t xml:space="preserve"> R89.950 </w:t>
      </w:r>
      <w:r w:rsidRPr="0085651A">
        <w:rPr>
          <w:rFonts w:ascii="Times New Roman" w:hAnsi="Times New Roman" w:cs="Times New Roman"/>
          <w:sz w:val="24"/>
          <w:szCs w:val="24"/>
        </w:rPr>
        <w:lastRenderedPageBreak/>
        <w:t xml:space="preserve">billion. The overall budget has increased by 24.3 percent (R21 871.8 billion) from R68 078.2 billion allocated in 2017/18. The budget will </w:t>
      </w:r>
      <w:r w:rsidR="004D43F0" w:rsidRPr="0085651A">
        <w:rPr>
          <w:rFonts w:ascii="Times New Roman" w:hAnsi="Times New Roman" w:cs="Times New Roman"/>
          <w:sz w:val="24"/>
          <w:szCs w:val="24"/>
        </w:rPr>
        <w:t xml:space="preserve">increase </w:t>
      </w:r>
      <w:r w:rsidRPr="0085651A">
        <w:rPr>
          <w:rFonts w:ascii="Times New Roman" w:hAnsi="Times New Roman" w:cs="Times New Roman"/>
          <w:sz w:val="24"/>
          <w:szCs w:val="24"/>
        </w:rPr>
        <w:t xml:space="preserve">in the </w:t>
      </w:r>
      <w:r w:rsidR="004D43F0" w:rsidRPr="0085651A">
        <w:rPr>
          <w:rFonts w:ascii="Times New Roman" w:hAnsi="Times New Roman" w:cs="Times New Roman"/>
          <w:sz w:val="24"/>
          <w:szCs w:val="24"/>
        </w:rPr>
        <w:t xml:space="preserve">outer two years of the </w:t>
      </w:r>
      <w:r w:rsidRPr="0085651A">
        <w:rPr>
          <w:rFonts w:ascii="Times New Roman" w:hAnsi="Times New Roman" w:cs="Times New Roman"/>
          <w:sz w:val="24"/>
          <w:szCs w:val="24"/>
        </w:rPr>
        <w:t>MTEF</w:t>
      </w:r>
      <w:r w:rsidR="004D43F0" w:rsidRPr="0085651A">
        <w:rPr>
          <w:rFonts w:ascii="Times New Roman" w:hAnsi="Times New Roman" w:cs="Times New Roman"/>
          <w:sz w:val="24"/>
          <w:szCs w:val="24"/>
        </w:rPr>
        <w:t xml:space="preserve"> period to</w:t>
      </w:r>
      <w:r w:rsidRPr="0085651A">
        <w:rPr>
          <w:rFonts w:ascii="Times New Roman" w:hAnsi="Times New Roman" w:cs="Times New Roman"/>
          <w:sz w:val="24"/>
          <w:szCs w:val="24"/>
        </w:rPr>
        <w:t xml:space="preserve"> </w:t>
      </w:r>
      <w:r w:rsidR="00F5018B" w:rsidRPr="0085651A">
        <w:rPr>
          <w:rFonts w:ascii="Times New Roman" w:hAnsi="Times New Roman" w:cs="Times New Roman"/>
          <w:sz w:val="24"/>
          <w:szCs w:val="24"/>
        </w:rPr>
        <w:t>R107. 938 billion and R118. 670</w:t>
      </w:r>
      <w:r w:rsidRPr="0085651A">
        <w:rPr>
          <w:rFonts w:ascii="Times New Roman" w:hAnsi="Times New Roman" w:cs="Times New Roman"/>
          <w:sz w:val="24"/>
          <w:szCs w:val="24"/>
        </w:rPr>
        <w:t xml:space="preserve"> billion in 2019/20 and 2020/21 respectively. Of the Department’s budget excluding direct charge</w:t>
      </w:r>
      <w:r w:rsidR="00460011" w:rsidRPr="0085651A">
        <w:rPr>
          <w:rFonts w:ascii="Times New Roman" w:hAnsi="Times New Roman" w:cs="Times New Roman"/>
          <w:sz w:val="24"/>
          <w:szCs w:val="24"/>
        </w:rPr>
        <w:t>s</w:t>
      </w:r>
      <w:r w:rsidRPr="0085651A">
        <w:rPr>
          <w:rFonts w:ascii="Times New Roman" w:hAnsi="Times New Roman" w:cs="Times New Roman"/>
          <w:sz w:val="24"/>
          <w:szCs w:val="24"/>
        </w:rPr>
        <w:t xml:space="preserve">, 81 percent is allocated for </w:t>
      </w:r>
      <w:r w:rsidR="00460011" w:rsidRPr="0085651A">
        <w:rPr>
          <w:rFonts w:ascii="Times New Roman" w:hAnsi="Times New Roman" w:cs="Times New Roman"/>
          <w:sz w:val="24"/>
          <w:szCs w:val="24"/>
        </w:rPr>
        <w:t>spending in P</w:t>
      </w:r>
      <w:r w:rsidRPr="0085651A">
        <w:rPr>
          <w:rFonts w:ascii="Times New Roman" w:hAnsi="Times New Roman" w:cs="Times New Roman"/>
          <w:sz w:val="24"/>
          <w:szCs w:val="24"/>
        </w:rPr>
        <w:t>rogramme 3: University Education, followed by</w:t>
      </w:r>
      <w:r w:rsidR="00460011" w:rsidRPr="0085651A">
        <w:rPr>
          <w:rFonts w:ascii="Times New Roman" w:hAnsi="Times New Roman" w:cs="Times New Roman"/>
          <w:sz w:val="24"/>
          <w:szCs w:val="24"/>
        </w:rPr>
        <w:t xml:space="preserve"> Programme</w:t>
      </w:r>
      <w:r w:rsidRPr="0085651A">
        <w:rPr>
          <w:rFonts w:ascii="Times New Roman" w:hAnsi="Times New Roman" w:cs="Times New Roman"/>
          <w:sz w:val="24"/>
          <w:szCs w:val="24"/>
        </w:rPr>
        <w:t xml:space="preserve"> 4: TVET at 14.71 percent and programme 6: Community Education and Training at 3.23 percent.  </w:t>
      </w:r>
    </w:p>
    <w:p w14:paraId="06C0077A" w14:textId="77777777" w:rsidR="00133BD9" w:rsidRPr="0085651A" w:rsidRDefault="005D0EB1" w:rsidP="00133BD9">
      <w:pPr>
        <w:rPr>
          <w:rFonts w:ascii="Times New Roman" w:hAnsi="Times New Roman" w:cs="Times New Roman"/>
          <w:b/>
          <w:sz w:val="24"/>
          <w:szCs w:val="24"/>
        </w:rPr>
      </w:pPr>
      <w:r w:rsidRPr="0085651A">
        <w:rPr>
          <w:rFonts w:ascii="Times New Roman" w:hAnsi="Times New Roman" w:cs="Times New Roman"/>
          <w:b/>
          <w:sz w:val="24"/>
          <w:szCs w:val="24"/>
        </w:rPr>
        <w:t>4.2</w:t>
      </w:r>
      <w:r w:rsidR="00133BD9" w:rsidRPr="0085651A">
        <w:rPr>
          <w:rFonts w:ascii="Times New Roman" w:hAnsi="Times New Roman" w:cs="Times New Roman"/>
          <w:b/>
          <w:sz w:val="24"/>
          <w:szCs w:val="24"/>
        </w:rPr>
        <w:t>. Expenditure estimates per economic classification</w:t>
      </w:r>
    </w:p>
    <w:p w14:paraId="0FEB7D35" w14:textId="77777777" w:rsidR="007C3D47" w:rsidRPr="0085651A" w:rsidRDefault="007C3D47" w:rsidP="007C3D47">
      <w:pPr>
        <w:rPr>
          <w:rFonts w:ascii="Times New Roman" w:hAnsi="Times New Roman" w:cs="Times New Roman"/>
          <w:b/>
          <w:sz w:val="24"/>
          <w:szCs w:val="24"/>
        </w:rPr>
      </w:pPr>
      <w:r w:rsidRPr="0085651A">
        <w:rPr>
          <w:rFonts w:ascii="Times New Roman" w:hAnsi="Times New Roman" w:cs="Times New Roman"/>
          <w:b/>
          <w:sz w:val="24"/>
          <w:szCs w:val="24"/>
        </w:rPr>
        <w:t>Table 2: 2018/19 allocation and expenditure per economic classification</w:t>
      </w:r>
    </w:p>
    <w:tbl>
      <w:tblPr>
        <w:tblStyle w:val="TableGrid"/>
        <w:tblW w:w="0" w:type="auto"/>
        <w:tblLook w:val="04A0" w:firstRow="1" w:lastRow="0" w:firstColumn="1" w:lastColumn="0" w:noHBand="0" w:noVBand="1"/>
      </w:tblPr>
      <w:tblGrid>
        <w:gridCol w:w="1783"/>
        <w:gridCol w:w="1801"/>
        <w:gridCol w:w="1772"/>
        <w:gridCol w:w="1710"/>
        <w:gridCol w:w="2026"/>
      </w:tblGrid>
      <w:tr w:rsidR="007C3D47" w:rsidRPr="0085651A" w14:paraId="2B1223A2" w14:textId="77777777" w:rsidTr="00050789">
        <w:tc>
          <w:tcPr>
            <w:tcW w:w="1783" w:type="dxa"/>
            <w:vMerge w:val="restart"/>
            <w:shd w:val="clear" w:color="auto" w:fill="F2F2F2" w:themeFill="background1" w:themeFillShade="F2"/>
          </w:tcPr>
          <w:p w14:paraId="582F2255" w14:textId="77777777" w:rsidR="007C3D47" w:rsidRPr="0085651A" w:rsidRDefault="007C3D47" w:rsidP="00050789">
            <w:pPr>
              <w:spacing w:line="360" w:lineRule="auto"/>
              <w:rPr>
                <w:rFonts w:ascii="Times New Roman" w:hAnsi="Times New Roman" w:cs="Times New Roman"/>
                <w:b/>
                <w:sz w:val="24"/>
                <w:szCs w:val="24"/>
              </w:rPr>
            </w:pPr>
            <w:r w:rsidRPr="0085651A">
              <w:rPr>
                <w:rFonts w:ascii="Times New Roman" w:hAnsi="Times New Roman" w:cs="Times New Roman"/>
                <w:b/>
                <w:sz w:val="24"/>
                <w:szCs w:val="24"/>
              </w:rPr>
              <w:t>Economic Classification</w:t>
            </w:r>
          </w:p>
        </w:tc>
        <w:tc>
          <w:tcPr>
            <w:tcW w:w="7233" w:type="dxa"/>
            <w:gridSpan w:val="4"/>
            <w:shd w:val="clear" w:color="auto" w:fill="F2F2F2" w:themeFill="background1" w:themeFillShade="F2"/>
          </w:tcPr>
          <w:p w14:paraId="23450D0B" w14:textId="77777777" w:rsidR="007C3D47" w:rsidRPr="0085651A" w:rsidRDefault="007C3D47" w:rsidP="00050789">
            <w:pPr>
              <w:spacing w:line="360" w:lineRule="auto"/>
              <w:jc w:val="center"/>
              <w:rPr>
                <w:rFonts w:ascii="Times New Roman" w:hAnsi="Times New Roman" w:cs="Times New Roman"/>
                <w:b/>
                <w:sz w:val="24"/>
                <w:szCs w:val="24"/>
              </w:rPr>
            </w:pPr>
            <w:r w:rsidRPr="0085651A">
              <w:rPr>
                <w:rFonts w:ascii="Times New Roman" w:hAnsi="Times New Roman" w:cs="Times New Roman"/>
                <w:b/>
                <w:sz w:val="24"/>
                <w:szCs w:val="24"/>
              </w:rPr>
              <w:t>Financial year</w:t>
            </w:r>
          </w:p>
        </w:tc>
      </w:tr>
      <w:tr w:rsidR="007C3D47" w:rsidRPr="0085651A" w14:paraId="32F5900A" w14:textId="77777777" w:rsidTr="00050789">
        <w:tc>
          <w:tcPr>
            <w:tcW w:w="1783" w:type="dxa"/>
            <w:vMerge/>
            <w:shd w:val="clear" w:color="auto" w:fill="F2F2F2" w:themeFill="background1" w:themeFillShade="F2"/>
          </w:tcPr>
          <w:p w14:paraId="71EDC003" w14:textId="77777777" w:rsidR="007C3D47" w:rsidRPr="0085651A" w:rsidRDefault="007C3D47" w:rsidP="00050789">
            <w:pPr>
              <w:spacing w:line="360" w:lineRule="auto"/>
              <w:rPr>
                <w:rFonts w:ascii="Times New Roman" w:hAnsi="Times New Roman" w:cs="Times New Roman"/>
                <w:b/>
                <w:sz w:val="24"/>
                <w:szCs w:val="24"/>
              </w:rPr>
            </w:pPr>
          </w:p>
        </w:tc>
        <w:tc>
          <w:tcPr>
            <w:tcW w:w="1801" w:type="dxa"/>
            <w:shd w:val="clear" w:color="auto" w:fill="F2F2F2" w:themeFill="background1" w:themeFillShade="F2"/>
          </w:tcPr>
          <w:p w14:paraId="48EC1BD7" w14:textId="77777777" w:rsidR="007C3D47" w:rsidRPr="0085651A" w:rsidRDefault="007C3D47" w:rsidP="00050789">
            <w:pPr>
              <w:spacing w:line="360" w:lineRule="auto"/>
              <w:rPr>
                <w:rFonts w:ascii="Times New Roman" w:hAnsi="Times New Roman" w:cs="Times New Roman"/>
                <w:b/>
                <w:sz w:val="24"/>
                <w:szCs w:val="24"/>
              </w:rPr>
            </w:pPr>
            <w:r w:rsidRPr="0085651A">
              <w:rPr>
                <w:rFonts w:ascii="Times New Roman" w:hAnsi="Times New Roman" w:cs="Times New Roman"/>
                <w:b/>
                <w:sz w:val="24"/>
                <w:szCs w:val="24"/>
              </w:rPr>
              <w:t>2017/18 Revised Appropriation</w:t>
            </w:r>
          </w:p>
        </w:tc>
        <w:tc>
          <w:tcPr>
            <w:tcW w:w="1772" w:type="dxa"/>
            <w:shd w:val="clear" w:color="auto" w:fill="F2F2F2" w:themeFill="background1" w:themeFillShade="F2"/>
          </w:tcPr>
          <w:p w14:paraId="24F4DE8C" w14:textId="77777777" w:rsidR="007C3D47" w:rsidRPr="0085651A" w:rsidRDefault="007C3D47" w:rsidP="00050789">
            <w:pPr>
              <w:spacing w:line="360" w:lineRule="auto"/>
              <w:rPr>
                <w:rFonts w:ascii="Times New Roman" w:hAnsi="Times New Roman" w:cs="Times New Roman"/>
                <w:b/>
                <w:sz w:val="24"/>
                <w:szCs w:val="24"/>
              </w:rPr>
            </w:pPr>
            <w:r w:rsidRPr="0085651A">
              <w:rPr>
                <w:rFonts w:ascii="Times New Roman" w:hAnsi="Times New Roman" w:cs="Times New Roman"/>
                <w:b/>
                <w:sz w:val="24"/>
                <w:szCs w:val="24"/>
              </w:rPr>
              <w:t>2018/19 Appropriation</w:t>
            </w:r>
          </w:p>
        </w:tc>
        <w:tc>
          <w:tcPr>
            <w:tcW w:w="1634" w:type="dxa"/>
            <w:shd w:val="clear" w:color="auto" w:fill="F2F2F2" w:themeFill="background1" w:themeFillShade="F2"/>
          </w:tcPr>
          <w:p w14:paraId="610A79B9" w14:textId="77777777" w:rsidR="007C3D47" w:rsidRPr="0085651A" w:rsidRDefault="007C3D47" w:rsidP="00050789">
            <w:pPr>
              <w:spacing w:line="360" w:lineRule="auto"/>
              <w:rPr>
                <w:rFonts w:ascii="Times New Roman" w:hAnsi="Times New Roman" w:cs="Times New Roman"/>
                <w:b/>
                <w:sz w:val="24"/>
                <w:szCs w:val="24"/>
              </w:rPr>
            </w:pPr>
            <w:r w:rsidRPr="0085651A">
              <w:rPr>
                <w:rFonts w:ascii="Times New Roman" w:hAnsi="Times New Roman" w:cs="Times New Roman"/>
                <w:b/>
                <w:sz w:val="24"/>
                <w:szCs w:val="24"/>
              </w:rPr>
              <w:t>2019/20</w:t>
            </w:r>
          </w:p>
          <w:p w14:paraId="69EC9861" w14:textId="77777777" w:rsidR="007C3D47" w:rsidRPr="0085651A" w:rsidRDefault="007C3D47" w:rsidP="00050789">
            <w:pPr>
              <w:spacing w:line="360" w:lineRule="auto"/>
              <w:rPr>
                <w:rFonts w:ascii="Times New Roman" w:hAnsi="Times New Roman" w:cs="Times New Roman"/>
                <w:b/>
                <w:sz w:val="24"/>
                <w:szCs w:val="24"/>
              </w:rPr>
            </w:pPr>
            <w:r w:rsidRPr="0085651A">
              <w:rPr>
                <w:rFonts w:ascii="Times New Roman" w:hAnsi="Times New Roman" w:cs="Times New Roman"/>
                <w:b/>
                <w:sz w:val="24"/>
                <w:szCs w:val="24"/>
              </w:rPr>
              <w:t>Appropriation</w:t>
            </w:r>
          </w:p>
        </w:tc>
        <w:tc>
          <w:tcPr>
            <w:tcW w:w="2026" w:type="dxa"/>
            <w:shd w:val="clear" w:color="auto" w:fill="F2F2F2" w:themeFill="background1" w:themeFillShade="F2"/>
          </w:tcPr>
          <w:p w14:paraId="349EA9D7" w14:textId="77777777" w:rsidR="007C3D47" w:rsidRPr="0085651A" w:rsidRDefault="007C3D47" w:rsidP="00050789">
            <w:pPr>
              <w:spacing w:line="360" w:lineRule="auto"/>
              <w:rPr>
                <w:rFonts w:ascii="Times New Roman" w:hAnsi="Times New Roman" w:cs="Times New Roman"/>
                <w:b/>
                <w:sz w:val="24"/>
                <w:szCs w:val="24"/>
              </w:rPr>
            </w:pPr>
            <w:r w:rsidRPr="0085651A">
              <w:rPr>
                <w:rFonts w:ascii="Times New Roman" w:hAnsi="Times New Roman" w:cs="Times New Roman"/>
                <w:b/>
                <w:sz w:val="24"/>
                <w:szCs w:val="24"/>
              </w:rPr>
              <w:t>2020/21</w:t>
            </w:r>
          </w:p>
          <w:p w14:paraId="45E66676" w14:textId="77777777" w:rsidR="007C3D47" w:rsidRPr="0085651A" w:rsidRDefault="007C3D47" w:rsidP="00050789">
            <w:pPr>
              <w:spacing w:line="360" w:lineRule="auto"/>
              <w:rPr>
                <w:rFonts w:ascii="Times New Roman" w:hAnsi="Times New Roman" w:cs="Times New Roman"/>
                <w:b/>
                <w:sz w:val="24"/>
                <w:szCs w:val="24"/>
              </w:rPr>
            </w:pPr>
            <w:r w:rsidRPr="0085651A">
              <w:rPr>
                <w:rFonts w:ascii="Times New Roman" w:hAnsi="Times New Roman" w:cs="Times New Roman"/>
                <w:b/>
                <w:sz w:val="24"/>
                <w:szCs w:val="24"/>
              </w:rPr>
              <w:t>Appropriation</w:t>
            </w:r>
          </w:p>
        </w:tc>
      </w:tr>
      <w:tr w:rsidR="007C3D47" w:rsidRPr="0085651A" w14:paraId="6E14022C" w14:textId="77777777" w:rsidTr="00050789">
        <w:tc>
          <w:tcPr>
            <w:tcW w:w="1783" w:type="dxa"/>
            <w:vMerge/>
            <w:shd w:val="clear" w:color="auto" w:fill="F2F2F2" w:themeFill="background1" w:themeFillShade="F2"/>
          </w:tcPr>
          <w:p w14:paraId="11A39AF0" w14:textId="77777777" w:rsidR="007C3D47" w:rsidRPr="0085651A" w:rsidRDefault="007C3D47" w:rsidP="00050789">
            <w:pPr>
              <w:spacing w:line="360" w:lineRule="auto"/>
              <w:rPr>
                <w:rFonts w:ascii="Times New Roman" w:hAnsi="Times New Roman" w:cs="Times New Roman"/>
                <w:b/>
                <w:sz w:val="24"/>
                <w:szCs w:val="24"/>
              </w:rPr>
            </w:pPr>
          </w:p>
        </w:tc>
        <w:tc>
          <w:tcPr>
            <w:tcW w:w="1801" w:type="dxa"/>
            <w:tcBorders>
              <w:bottom w:val="single" w:sz="4" w:space="0" w:color="auto"/>
            </w:tcBorders>
            <w:shd w:val="clear" w:color="auto" w:fill="FFFFFF" w:themeFill="background1"/>
          </w:tcPr>
          <w:p w14:paraId="4C7BB1B8" w14:textId="77777777" w:rsidR="007C3D47" w:rsidRPr="0085651A" w:rsidRDefault="007C3D47" w:rsidP="00050789">
            <w:pPr>
              <w:spacing w:line="360" w:lineRule="auto"/>
              <w:rPr>
                <w:rFonts w:ascii="Times New Roman" w:hAnsi="Times New Roman" w:cs="Times New Roman"/>
                <w:b/>
                <w:sz w:val="24"/>
                <w:szCs w:val="24"/>
              </w:rPr>
            </w:pPr>
            <w:r w:rsidRPr="0085651A">
              <w:rPr>
                <w:rFonts w:ascii="Times New Roman" w:hAnsi="Times New Roman" w:cs="Times New Roman"/>
                <w:b/>
                <w:sz w:val="24"/>
                <w:szCs w:val="24"/>
              </w:rPr>
              <w:t>R’000</w:t>
            </w:r>
          </w:p>
        </w:tc>
        <w:tc>
          <w:tcPr>
            <w:tcW w:w="1772" w:type="dxa"/>
            <w:shd w:val="clear" w:color="auto" w:fill="FFFFFF" w:themeFill="background1"/>
          </w:tcPr>
          <w:p w14:paraId="405DB317" w14:textId="77777777" w:rsidR="007C3D47" w:rsidRPr="0085651A" w:rsidRDefault="007C3D47" w:rsidP="00050789">
            <w:pPr>
              <w:spacing w:line="360" w:lineRule="auto"/>
              <w:rPr>
                <w:rFonts w:ascii="Times New Roman" w:hAnsi="Times New Roman" w:cs="Times New Roman"/>
                <w:b/>
                <w:sz w:val="24"/>
                <w:szCs w:val="24"/>
              </w:rPr>
            </w:pPr>
            <w:r w:rsidRPr="0085651A">
              <w:rPr>
                <w:rFonts w:ascii="Times New Roman" w:hAnsi="Times New Roman" w:cs="Times New Roman"/>
                <w:b/>
                <w:sz w:val="24"/>
                <w:szCs w:val="24"/>
              </w:rPr>
              <w:t>R’000</w:t>
            </w:r>
          </w:p>
        </w:tc>
        <w:tc>
          <w:tcPr>
            <w:tcW w:w="1634" w:type="dxa"/>
            <w:shd w:val="clear" w:color="auto" w:fill="FFFFFF" w:themeFill="background1"/>
          </w:tcPr>
          <w:p w14:paraId="65AC4BA0" w14:textId="77777777" w:rsidR="007C3D47" w:rsidRPr="0085651A" w:rsidRDefault="007C3D47" w:rsidP="00050789">
            <w:pPr>
              <w:spacing w:line="360" w:lineRule="auto"/>
              <w:rPr>
                <w:rFonts w:ascii="Times New Roman" w:hAnsi="Times New Roman" w:cs="Times New Roman"/>
                <w:b/>
                <w:sz w:val="24"/>
                <w:szCs w:val="24"/>
              </w:rPr>
            </w:pPr>
            <w:r w:rsidRPr="0085651A">
              <w:rPr>
                <w:rFonts w:ascii="Times New Roman" w:hAnsi="Times New Roman" w:cs="Times New Roman"/>
                <w:b/>
                <w:sz w:val="24"/>
                <w:szCs w:val="24"/>
              </w:rPr>
              <w:t>R’000</w:t>
            </w:r>
          </w:p>
        </w:tc>
        <w:tc>
          <w:tcPr>
            <w:tcW w:w="2026" w:type="dxa"/>
            <w:shd w:val="clear" w:color="auto" w:fill="FFFFFF" w:themeFill="background1"/>
          </w:tcPr>
          <w:p w14:paraId="1DDE23E6" w14:textId="77777777" w:rsidR="007C3D47" w:rsidRPr="0085651A" w:rsidRDefault="007C3D47" w:rsidP="00050789">
            <w:pPr>
              <w:spacing w:line="360" w:lineRule="auto"/>
              <w:rPr>
                <w:rFonts w:ascii="Times New Roman" w:hAnsi="Times New Roman" w:cs="Times New Roman"/>
                <w:b/>
                <w:sz w:val="24"/>
                <w:szCs w:val="24"/>
              </w:rPr>
            </w:pPr>
            <w:r w:rsidRPr="0085651A">
              <w:rPr>
                <w:rFonts w:ascii="Times New Roman" w:hAnsi="Times New Roman" w:cs="Times New Roman"/>
                <w:b/>
                <w:sz w:val="24"/>
                <w:szCs w:val="24"/>
              </w:rPr>
              <w:t>R’000</w:t>
            </w:r>
          </w:p>
        </w:tc>
      </w:tr>
      <w:tr w:rsidR="007C3D47" w:rsidRPr="0085651A" w14:paraId="22C5C775" w14:textId="77777777" w:rsidTr="00050789">
        <w:tc>
          <w:tcPr>
            <w:tcW w:w="1783" w:type="dxa"/>
            <w:vMerge w:val="restart"/>
            <w:tcBorders>
              <w:right w:val="nil"/>
            </w:tcBorders>
          </w:tcPr>
          <w:p w14:paraId="10A4471A" w14:textId="77777777" w:rsidR="007C3D47" w:rsidRPr="0085651A" w:rsidRDefault="007C3D47" w:rsidP="00050789">
            <w:pPr>
              <w:spacing w:line="360" w:lineRule="auto"/>
              <w:rPr>
                <w:rFonts w:ascii="Times New Roman" w:hAnsi="Times New Roman" w:cs="Times New Roman"/>
                <w:b/>
                <w:sz w:val="24"/>
                <w:szCs w:val="24"/>
              </w:rPr>
            </w:pPr>
            <w:r w:rsidRPr="0085651A">
              <w:rPr>
                <w:rFonts w:ascii="Times New Roman" w:hAnsi="Times New Roman" w:cs="Times New Roman"/>
                <w:b/>
                <w:sz w:val="24"/>
                <w:szCs w:val="24"/>
              </w:rPr>
              <w:t>Current payments</w:t>
            </w:r>
          </w:p>
          <w:p w14:paraId="09486054" w14:textId="77777777" w:rsidR="007C3D47" w:rsidRPr="0085651A" w:rsidRDefault="007C3D47" w:rsidP="00055D37">
            <w:pPr>
              <w:spacing w:line="360" w:lineRule="auto"/>
              <w:jc w:val="left"/>
              <w:rPr>
                <w:rFonts w:ascii="Times New Roman" w:hAnsi="Times New Roman" w:cs="Times New Roman"/>
                <w:sz w:val="24"/>
                <w:szCs w:val="24"/>
              </w:rPr>
            </w:pPr>
            <w:r w:rsidRPr="0085651A">
              <w:rPr>
                <w:rFonts w:ascii="Times New Roman" w:hAnsi="Times New Roman" w:cs="Times New Roman"/>
                <w:sz w:val="24"/>
                <w:szCs w:val="24"/>
              </w:rPr>
              <w:t>Compensation of employees</w:t>
            </w:r>
          </w:p>
          <w:p w14:paraId="38A42C9D" w14:textId="77777777" w:rsidR="007C3D47" w:rsidRPr="0085651A" w:rsidRDefault="007C3D47" w:rsidP="00055D37">
            <w:pPr>
              <w:spacing w:line="360" w:lineRule="auto"/>
              <w:jc w:val="left"/>
              <w:rPr>
                <w:rFonts w:ascii="Times New Roman" w:hAnsi="Times New Roman" w:cs="Times New Roman"/>
                <w:sz w:val="24"/>
                <w:szCs w:val="24"/>
              </w:rPr>
            </w:pPr>
            <w:r w:rsidRPr="0085651A">
              <w:rPr>
                <w:rFonts w:ascii="Times New Roman" w:hAnsi="Times New Roman" w:cs="Times New Roman"/>
                <w:sz w:val="24"/>
                <w:szCs w:val="24"/>
              </w:rPr>
              <w:t>Goods and Services</w:t>
            </w:r>
          </w:p>
        </w:tc>
        <w:tc>
          <w:tcPr>
            <w:tcW w:w="1801" w:type="dxa"/>
            <w:tcBorders>
              <w:left w:val="nil"/>
            </w:tcBorders>
          </w:tcPr>
          <w:p w14:paraId="0D50626C" w14:textId="77777777" w:rsidR="007C3D47" w:rsidRPr="0085651A" w:rsidRDefault="007C3D47" w:rsidP="00050789">
            <w:pPr>
              <w:spacing w:line="360" w:lineRule="auto"/>
              <w:rPr>
                <w:rFonts w:ascii="Times New Roman" w:hAnsi="Times New Roman" w:cs="Times New Roman"/>
                <w:sz w:val="24"/>
                <w:szCs w:val="24"/>
              </w:rPr>
            </w:pPr>
            <w:r w:rsidRPr="0085651A">
              <w:rPr>
                <w:rFonts w:ascii="Times New Roman" w:hAnsi="Times New Roman" w:cs="Times New Roman"/>
                <w:sz w:val="24"/>
                <w:szCs w:val="24"/>
              </w:rPr>
              <w:t>8 669.6</w:t>
            </w:r>
          </w:p>
          <w:p w14:paraId="5FDC857A" w14:textId="77777777" w:rsidR="007C3D47" w:rsidRPr="0085651A" w:rsidRDefault="007C3D47" w:rsidP="00050789">
            <w:pPr>
              <w:spacing w:line="360" w:lineRule="auto"/>
              <w:rPr>
                <w:rFonts w:ascii="Times New Roman" w:hAnsi="Times New Roman" w:cs="Times New Roman"/>
                <w:sz w:val="24"/>
                <w:szCs w:val="24"/>
              </w:rPr>
            </w:pPr>
          </w:p>
        </w:tc>
        <w:tc>
          <w:tcPr>
            <w:tcW w:w="1772" w:type="dxa"/>
          </w:tcPr>
          <w:p w14:paraId="29F974A9" w14:textId="77777777" w:rsidR="007C3D47" w:rsidRPr="0085651A" w:rsidRDefault="007C3D47" w:rsidP="00050789">
            <w:pPr>
              <w:spacing w:line="360" w:lineRule="auto"/>
              <w:rPr>
                <w:rFonts w:ascii="Times New Roman" w:hAnsi="Times New Roman" w:cs="Times New Roman"/>
                <w:sz w:val="24"/>
                <w:szCs w:val="24"/>
              </w:rPr>
            </w:pPr>
            <w:r w:rsidRPr="0085651A">
              <w:rPr>
                <w:rFonts w:ascii="Times New Roman" w:hAnsi="Times New Roman" w:cs="Times New Roman"/>
                <w:sz w:val="24"/>
                <w:szCs w:val="24"/>
              </w:rPr>
              <w:t>9 391.5</w:t>
            </w:r>
          </w:p>
        </w:tc>
        <w:tc>
          <w:tcPr>
            <w:tcW w:w="1634" w:type="dxa"/>
          </w:tcPr>
          <w:p w14:paraId="61FD3AFA" w14:textId="77777777" w:rsidR="007C3D47" w:rsidRPr="0085651A" w:rsidRDefault="007C3D47" w:rsidP="00050789">
            <w:pPr>
              <w:spacing w:line="360" w:lineRule="auto"/>
              <w:rPr>
                <w:rFonts w:ascii="Times New Roman" w:hAnsi="Times New Roman" w:cs="Times New Roman"/>
                <w:sz w:val="24"/>
                <w:szCs w:val="24"/>
              </w:rPr>
            </w:pPr>
            <w:r w:rsidRPr="0085651A">
              <w:rPr>
                <w:rFonts w:ascii="Times New Roman" w:hAnsi="Times New Roman" w:cs="Times New Roman"/>
                <w:sz w:val="24"/>
                <w:szCs w:val="24"/>
              </w:rPr>
              <w:t>10 370.7</w:t>
            </w:r>
          </w:p>
        </w:tc>
        <w:tc>
          <w:tcPr>
            <w:tcW w:w="2026" w:type="dxa"/>
          </w:tcPr>
          <w:p w14:paraId="4ACC82E1" w14:textId="77777777" w:rsidR="007C3D47" w:rsidRPr="0085651A" w:rsidRDefault="007C3D47" w:rsidP="00050789">
            <w:pPr>
              <w:spacing w:line="360" w:lineRule="auto"/>
              <w:rPr>
                <w:rFonts w:ascii="Times New Roman" w:hAnsi="Times New Roman" w:cs="Times New Roman"/>
                <w:sz w:val="24"/>
                <w:szCs w:val="24"/>
              </w:rPr>
            </w:pPr>
            <w:r w:rsidRPr="0085651A">
              <w:rPr>
                <w:rFonts w:ascii="Times New Roman" w:hAnsi="Times New Roman" w:cs="Times New Roman"/>
                <w:sz w:val="24"/>
                <w:szCs w:val="24"/>
              </w:rPr>
              <w:t>11 133.7</w:t>
            </w:r>
          </w:p>
        </w:tc>
      </w:tr>
      <w:tr w:rsidR="007C3D47" w:rsidRPr="0085651A" w14:paraId="1FD92734" w14:textId="77777777" w:rsidTr="00050789">
        <w:tc>
          <w:tcPr>
            <w:tcW w:w="1783" w:type="dxa"/>
            <w:vMerge/>
          </w:tcPr>
          <w:p w14:paraId="1881A58E" w14:textId="77777777" w:rsidR="007C3D47" w:rsidRPr="0085651A" w:rsidRDefault="007C3D47" w:rsidP="00050789">
            <w:pPr>
              <w:spacing w:line="360" w:lineRule="auto"/>
              <w:rPr>
                <w:rFonts w:ascii="Times New Roman" w:hAnsi="Times New Roman" w:cs="Times New Roman"/>
                <w:b/>
                <w:sz w:val="24"/>
                <w:szCs w:val="24"/>
              </w:rPr>
            </w:pPr>
          </w:p>
        </w:tc>
        <w:tc>
          <w:tcPr>
            <w:tcW w:w="1801" w:type="dxa"/>
          </w:tcPr>
          <w:p w14:paraId="40B8E817" w14:textId="77777777" w:rsidR="007C3D47" w:rsidRPr="0085651A" w:rsidRDefault="007C3D47" w:rsidP="00050789">
            <w:pPr>
              <w:spacing w:line="360" w:lineRule="auto"/>
              <w:rPr>
                <w:rFonts w:ascii="Times New Roman" w:hAnsi="Times New Roman" w:cs="Times New Roman"/>
                <w:sz w:val="24"/>
                <w:szCs w:val="24"/>
              </w:rPr>
            </w:pPr>
          </w:p>
          <w:p w14:paraId="10AC9A58" w14:textId="77777777" w:rsidR="007C3D47" w:rsidRPr="0085651A" w:rsidRDefault="007C3D47" w:rsidP="00050789">
            <w:pPr>
              <w:spacing w:line="360" w:lineRule="auto"/>
              <w:rPr>
                <w:rFonts w:ascii="Times New Roman" w:hAnsi="Times New Roman" w:cs="Times New Roman"/>
                <w:sz w:val="24"/>
                <w:szCs w:val="24"/>
              </w:rPr>
            </w:pPr>
            <w:r w:rsidRPr="0085651A">
              <w:rPr>
                <w:rFonts w:ascii="Times New Roman" w:hAnsi="Times New Roman" w:cs="Times New Roman"/>
                <w:sz w:val="24"/>
                <w:szCs w:val="24"/>
              </w:rPr>
              <w:t>8 282.3</w:t>
            </w:r>
          </w:p>
        </w:tc>
        <w:tc>
          <w:tcPr>
            <w:tcW w:w="1772" w:type="dxa"/>
          </w:tcPr>
          <w:p w14:paraId="48A9C93B" w14:textId="77777777" w:rsidR="007C3D47" w:rsidRPr="0085651A" w:rsidRDefault="007C3D47" w:rsidP="00050789">
            <w:pPr>
              <w:spacing w:line="360" w:lineRule="auto"/>
              <w:rPr>
                <w:rFonts w:ascii="Times New Roman" w:hAnsi="Times New Roman" w:cs="Times New Roman"/>
                <w:sz w:val="24"/>
                <w:szCs w:val="24"/>
              </w:rPr>
            </w:pPr>
          </w:p>
          <w:p w14:paraId="3499BD2B" w14:textId="77777777" w:rsidR="007C3D47" w:rsidRPr="0085651A" w:rsidRDefault="007C3D47" w:rsidP="00050789">
            <w:pPr>
              <w:spacing w:line="360" w:lineRule="auto"/>
              <w:rPr>
                <w:rFonts w:ascii="Times New Roman" w:hAnsi="Times New Roman" w:cs="Times New Roman"/>
                <w:sz w:val="24"/>
                <w:szCs w:val="24"/>
              </w:rPr>
            </w:pPr>
            <w:r w:rsidRPr="0085651A">
              <w:rPr>
                <w:rFonts w:ascii="Times New Roman" w:hAnsi="Times New Roman" w:cs="Times New Roman"/>
                <w:sz w:val="24"/>
                <w:szCs w:val="24"/>
              </w:rPr>
              <w:t>8 957.0</w:t>
            </w:r>
          </w:p>
        </w:tc>
        <w:tc>
          <w:tcPr>
            <w:tcW w:w="1634" w:type="dxa"/>
          </w:tcPr>
          <w:p w14:paraId="08FAE135" w14:textId="77777777" w:rsidR="007C3D47" w:rsidRPr="0085651A" w:rsidRDefault="007C3D47" w:rsidP="00050789">
            <w:pPr>
              <w:spacing w:line="360" w:lineRule="auto"/>
              <w:rPr>
                <w:rFonts w:ascii="Times New Roman" w:hAnsi="Times New Roman" w:cs="Times New Roman"/>
                <w:sz w:val="24"/>
                <w:szCs w:val="24"/>
              </w:rPr>
            </w:pPr>
          </w:p>
          <w:p w14:paraId="1B9E65C7" w14:textId="77777777" w:rsidR="007C3D47" w:rsidRPr="0085651A" w:rsidRDefault="007C3D47" w:rsidP="00050789">
            <w:pPr>
              <w:spacing w:line="360" w:lineRule="auto"/>
              <w:rPr>
                <w:rFonts w:ascii="Times New Roman" w:hAnsi="Times New Roman" w:cs="Times New Roman"/>
                <w:sz w:val="24"/>
                <w:szCs w:val="24"/>
              </w:rPr>
            </w:pPr>
            <w:r w:rsidRPr="0085651A">
              <w:rPr>
                <w:rFonts w:ascii="Times New Roman" w:hAnsi="Times New Roman" w:cs="Times New Roman"/>
                <w:sz w:val="24"/>
                <w:szCs w:val="24"/>
              </w:rPr>
              <w:t>9 637.7</w:t>
            </w:r>
          </w:p>
        </w:tc>
        <w:tc>
          <w:tcPr>
            <w:tcW w:w="2026" w:type="dxa"/>
          </w:tcPr>
          <w:p w14:paraId="26B34DA0" w14:textId="77777777" w:rsidR="007C3D47" w:rsidRPr="0085651A" w:rsidRDefault="007C3D47" w:rsidP="00050789">
            <w:pPr>
              <w:spacing w:line="360" w:lineRule="auto"/>
              <w:rPr>
                <w:rFonts w:ascii="Times New Roman" w:hAnsi="Times New Roman" w:cs="Times New Roman"/>
                <w:sz w:val="24"/>
                <w:szCs w:val="24"/>
              </w:rPr>
            </w:pPr>
          </w:p>
          <w:p w14:paraId="47B5ADCB" w14:textId="77777777" w:rsidR="007C3D47" w:rsidRPr="0085651A" w:rsidRDefault="007C3D47" w:rsidP="00050789">
            <w:pPr>
              <w:spacing w:line="360" w:lineRule="auto"/>
              <w:rPr>
                <w:rFonts w:ascii="Times New Roman" w:hAnsi="Times New Roman" w:cs="Times New Roman"/>
                <w:sz w:val="24"/>
                <w:szCs w:val="24"/>
              </w:rPr>
            </w:pPr>
            <w:r w:rsidRPr="0085651A">
              <w:rPr>
                <w:rFonts w:ascii="Times New Roman" w:hAnsi="Times New Roman" w:cs="Times New Roman"/>
                <w:sz w:val="24"/>
                <w:szCs w:val="24"/>
              </w:rPr>
              <w:t>10 360.5</w:t>
            </w:r>
          </w:p>
        </w:tc>
      </w:tr>
      <w:tr w:rsidR="007C3D47" w:rsidRPr="0085651A" w14:paraId="7EEEF45E" w14:textId="77777777" w:rsidTr="00050789">
        <w:tc>
          <w:tcPr>
            <w:tcW w:w="1783" w:type="dxa"/>
            <w:vMerge/>
          </w:tcPr>
          <w:p w14:paraId="68C1C34A" w14:textId="77777777" w:rsidR="007C3D47" w:rsidRPr="0085651A" w:rsidRDefault="007C3D47" w:rsidP="00050789">
            <w:pPr>
              <w:spacing w:line="360" w:lineRule="auto"/>
              <w:rPr>
                <w:rFonts w:ascii="Times New Roman" w:hAnsi="Times New Roman" w:cs="Times New Roman"/>
                <w:b/>
                <w:sz w:val="24"/>
                <w:szCs w:val="24"/>
              </w:rPr>
            </w:pPr>
          </w:p>
        </w:tc>
        <w:tc>
          <w:tcPr>
            <w:tcW w:w="1801" w:type="dxa"/>
          </w:tcPr>
          <w:p w14:paraId="6C6DE012" w14:textId="77777777" w:rsidR="007C3D47" w:rsidRPr="0085651A" w:rsidRDefault="007C3D47" w:rsidP="00050789">
            <w:pPr>
              <w:spacing w:line="360" w:lineRule="auto"/>
              <w:rPr>
                <w:rFonts w:ascii="Times New Roman" w:hAnsi="Times New Roman" w:cs="Times New Roman"/>
                <w:sz w:val="24"/>
                <w:szCs w:val="24"/>
              </w:rPr>
            </w:pPr>
          </w:p>
          <w:p w14:paraId="4E3A0BD9" w14:textId="77777777" w:rsidR="007C3D47" w:rsidRPr="0085651A" w:rsidRDefault="007C3D47" w:rsidP="00050789">
            <w:pPr>
              <w:spacing w:line="360" w:lineRule="auto"/>
              <w:rPr>
                <w:rFonts w:ascii="Times New Roman" w:hAnsi="Times New Roman" w:cs="Times New Roman"/>
                <w:sz w:val="24"/>
                <w:szCs w:val="24"/>
              </w:rPr>
            </w:pPr>
            <w:r w:rsidRPr="0085651A">
              <w:rPr>
                <w:rFonts w:ascii="Times New Roman" w:hAnsi="Times New Roman" w:cs="Times New Roman"/>
                <w:sz w:val="24"/>
                <w:szCs w:val="24"/>
              </w:rPr>
              <w:t>387.3</w:t>
            </w:r>
          </w:p>
        </w:tc>
        <w:tc>
          <w:tcPr>
            <w:tcW w:w="1772" w:type="dxa"/>
          </w:tcPr>
          <w:p w14:paraId="23E560AC" w14:textId="77777777" w:rsidR="007C3D47" w:rsidRPr="0085651A" w:rsidRDefault="007C3D47" w:rsidP="00050789">
            <w:pPr>
              <w:spacing w:line="360" w:lineRule="auto"/>
              <w:rPr>
                <w:rFonts w:ascii="Times New Roman" w:hAnsi="Times New Roman" w:cs="Times New Roman"/>
                <w:sz w:val="24"/>
                <w:szCs w:val="24"/>
              </w:rPr>
            </w:pPr>
          </w:p>
          <w:p w14:paraId="31BA5BFC" w14:textId="77777777" w:rsidR="007C3D47" w:rsidRPr="0085651A" w:rsidRDefault="007C3D47" w:rsidP="00050789">
            <w:pPr>
              <w:spacing w:line="360" w:lineRule="auto"/>
              <w:rPr>
                <w:rFonts w:ascii="Times New Roman" w:hAnsi="Times New Roman" w:cs="Times New Roman"/>
                <w:sz w:val="24"/>
                <w:szCs w:val="24"/>
              </w:rPr>
            </w:pPr>
            <w:r w:rsidRPr="0085651A">
              <w:rPr>
                <w:rFonts w:ascii="Times New Roman" w:hAnsi="Times New Roman" w:cs="Times New Roman"/>
                <w:sz w:val="24"/>
                <w:szCs w:val="24"/>
              </w:rPr>
              <w:t>434.5</w:t>
            </w:r>
          </w:p>
        </w:tc>
        <w:tc>
          <w:tcPr>
            <w:tcW w:w="1634" w:type="dxa"/>
          </w:tcPr>
          <w:p w14:paraId="5567A08C" w14:textId="77777777" w:rsidR="007C3D47" w:rsidRPr="0085651A" w:rsidRDefault="007C3D47" w:rsidP="00050789">
            <w:pPr>
              <w:spacing w:line="360" w:lineRule="auto"/>
              <w:rPr>
                <w:rFonts w:ascii="Times New Roman" w:hAnsi="Times New Roman" w:cs="Times New Roman"/>
                <w:sz w:val="24"/>
                <w:szCs w:val="24"/>
              </w:rPr>
            </w:pPr>
          </w:p>
          <w:p w14:paraId="0386F813" w14:textId="77777777" w:rsidR="007C3D47" w:rsidRPr="0085651A" w:rsidRDefault="007C3D47" w:rsidP="00050789">
            <w:pPr>
              <w:spacing w:line="360" w:lineRule="auto"/>
              <w:rPr>
                <w:rFonts w:ascii="Times New Roman" w:hAnsi="Times New Roman" w:cs="Times New Roman"/>
                <w:sz w:val="24"/>
                <w:szCs w:val="24"/>
              </w:rPr>
            </w:pPr>
            <w:r w:rsidRPr="0085651A">
              <w:rPr>
                <w:rFonts w:ascii="Times New Roman" w:hAnsi="Times New Roman" w:cs="Times New Roman"/>
                <w:sz w:val="24"/>
                <w:szCs w:val="24"/>
              </w:rPr>
              <w:t>733.0</w:t>
            </w:r>
          </w:p>
        </w:tc>
        <w:tc>
          <w:tcPr>
            <w:tcW w:w="2026" w:type="dxa"/>
          </w:tcPr>
          <w:p w14:paraId="6BE7A2E1" w14:textId="77777777" w:rsidR="007C3D47" w:rsidRPr="0085651A" w:rsidRDefault="007C3D47" w:rsidP="00050789">
            <w:pPr>
              <w:spacing w:line="360" w:lineRule="auto"/>
              <w:rPr>
                <w:rFonts w:ascii="Times New Roman" w:hAnsi="Times New Roman" w:cs="Times New Roman"/>
                <w:sz w:val="24"/>
                <w:szCs w:val="24"/>
              </w:rPr>
            </w:pPr>
          </w:p>
          <w:p w14:paraId="3060717F" w14:textId="77777777" w:rsidR="007C3D47" w:rsidRPr="0085651A" w:rsidRDefault="007C3D47" w:rsidP="00050789">
            <w:pPr>
              <w:spacing w:line="360" w:lineRule="auto"/>
              <w:rPr>
                <w:rFonts w:ascii="Times New Roman" w:hAnsi="Times New Roman" w:cs="Times New Roman"/>
                <w:sz w:val="24"/>
                <w:szCs w:val="24"/>
              </w:rPr>
            </w:pPr>
            <w:r w:rsidRPr="0085651A">
              <w:rPr>
                <w:rFonts w:ascii="Times New Roman" w:hAnsi="Times New Roman" w:cs="Times New Roman"/>
                <w:sz w:val="24"/>
                <w:szCs w:val="24"/>
              </w:rPr>
              <w:t>773.2</w:t>
            </w:r>
          </w:p>
        </w:tc>
      </w:tr>
      <w:tr w:rsidR="007C3D47" w:rsidRPr="0085651A" w14:paraId="0B15716B" w14:textId="77777777" w:rsidTr="00050789">
        <w:tc>
          <w:tcPr>
            <w:tcW w:w="1783" w:type="dxa"/>
          </w:tcPr>
          <w:p w14:paraId="3021B52F" w14:textId="77777777" w:rsidR="007C3D47" w:rsidRPr="0085651A" w:rsidRDefault="007C3D47" w:rsidP="00055D37">
            <w:pPr>
              <w:spacing w:line="360" w:lineRule="auto"/>
              <w:jc w:val="left"/>
              <w:rPr>
                <w:rFonts w:ascii="Times New Roman" w:hAnsi="Times New Roman" w:cs="Times New Roman"/>
                <w:b/>
                <w:sz w:val="24"/>
                <w:szCs w:val="24"/>
              </w:rPr>
            </w:pPr>
            <w:r w:rsidRPr="0085651A">
              <w:rPr>
                <w:rFonts w:ascii="Times New Roman" w:hAnsi="Times New Roman" w:cs="Times New Roman"/>
                <w:b/>
                <w:sz w:val="24"/>
                <w:szCs w:val="24"/>
              </w:rPr>
              <w:t>Transfers and subsidies</w:t>
            </w:r>
          </w:p>
        </w:tc>
        <w:tc>
          <w:tcPr>
            <w:tcW w:w="1801" w:type="dxa"/>
          </w:tcPr>
          <w:p w14:paraId="18308971" w14:textId="77777777" w:rsidR="007C3D47" w:rsidRPr="0085651A" w:rsidRDefault="007C3D47" w:rsidP="00050789">
            <w:pPr>
              <w:spacing w:line="360" w:lineRule="auto"/>
              <w:rPr>
                <w:rFonts w:ascii="Times New Roman" w:hAnsi="Times New Roman" w:cs="Times New Roman"/>
                <w:b/>
                <w:sz w:val="24"/>
                <w:szCs w:val="24"/>
              </w:rPr>
            </w:pPr>
          </w:p>
          <w:p w14:paraId="191584D4" w14:textId="77777777" w:rsidR="007C3D47" w:rsidRPr="0085651A" w:rsidRDefault="007C3D47" w:rsidP="00050789">
            <w:pPr>
              <w:spacing w:line="360" w:lineRule="auto"/>
              <w:rPr>
                <w:rFonts w:ascii="Times New Roman" w:hAnsi="Times New Roman" w:cs="Times New Roman"/>
                <w:sz w:val="24"/>
                <w:szCs w:val="24"/>
              </w:rPr>
            </w:pPr>
            <w:r w:rsidRPr="0085651A">
              <w:rPr>
                <w:rFonts w:ascii="Times New Roman" w:hAnsi="Times New Roman" w:cs="Times New Roman"/>
                <w:sz w:val="24"/>
                <w:szCs w:val="24"/>
              </w:rPr>
              <w:t>59 399.0</w:t>
            </w:r>
          </w:p>
        </w:tc>
        <w:tc>
          <w:tcPr>
            <w:tcW w:w="1772" w:type="dxa"/>
          </w:tcPr>
          <w:p w14:paraId="69956525" w14:textId="77777777" w:rsidR="007C3D47" w:rsidRPr="0085651A" w:rsidRDefault="007C3D47" w:rsidP="00050789">
            <w:pPr>
              <w:spacing w:line="360" w:lineRule="auto"/>
              <w:rPr>
                <w:rFonts w:ascii="Times New Roman" w:hAnsi="Times New Roman" w:cs="Times New Roman"/>
                <w:sz w:val="24"/>
                <w:szCs w:val="24"/>
              </w:rPr>
            </w:pPr>
          </w:p>
          <w:p w14:paraId="23563C1F" w14:textId="77777777" w:rsidR="007C3D47" w:rsidRPr="0085651A" w:rsidRDefault="007C3D47" w:rsidP="00050789">
            <w:pPr>
              <w:spacing w:line="360" w:lineRule="auto"/>
              <w:rPr>
                <w:rFonts w:ascii="Times New Roman" w:hAnsi="Times New Roman" w:cs="Times New Roman"/>
                <w:sz w:val="24"/>
                <w:szCs w:val="24"/>
              </w:rPr>
            </w:pPr>
            <w:r w:rsidRPr="0085651A">
              <w:rPr>
                <w:rFonts w:ascii="Times New Roman" w:hAnsi="Times New Roman" w:cs="Times New Roman"/>
                <w:sz w:val="24"/>
                <w:szCs w:val="24"/>
              </w:rPr>
              <w:t>80 549.9</w:t>
            </w:r>
          </w:p>
        </w:tc>
        <w:tc>
          <w:tcPr>
            <w:tcW w:w="1634" w:type="dxa"/>
          </w:tcPr>
          <w:p w14:paraId="3E4D3885" w14:textId="77777777" w:rsidR="007C3D47" w:rsidRPr="0085651A" w:rsidRDefault="007C3D47" w:rsidP="00050789">
            <w:pPr>
              <w:spacing w:line="360" w:lineRule="auto"/>
              <w:rPr>
                <w:rFonts w:ascii="Times New Roman" w:hAnsi="Times New Roman" w:cs="Times New Roman"/>
                <w:sz w:val="24"/>
                <w:szCs w:val="24"/>
              </w:rPr>
            </w:pPr>
          </w:p>
          <w:p w14:paraId="337E1631" w14:textId="77777777" w:rsidR="007C3D47" w:rsidRPr="0085651A" w:rsidRDefault="007C3D47" w:rsidP="00050789">
            <w:pPr>
              <w:spacing w:line="360" w:lineRule="auto"/>
              <w:rPr>
                <w:rFonts w:ascii="Times New Roman" w:hAnsi="Times New Roman" w:cs="Times New Roman"/>
                <w:sz w:val="24"/>
                <w:szCs w:val="24"/>
              </w:rPr>
            </w:pPr>
            <w:r w:rsidRPr="0085651A">
              <w:rPr>
                <w:rFonts w:ascii="Times New Roman" w:hAnsi="Times New Roman" w:cs="Times New Roman"/>
                <w:sz w:val="24"/>
                <w:szCs w:val="24"/>
              </w:rPr>
              <w:t>97 558.5</w:t>
            </w:r>
          </w:p>
        </w:tc>
        <w:tc>
          <w:tcPr>
            <w:tcW w:w="2026" w:type="dxa"/>
          </w:tcPr>
          <w:p w14:paraId="07262168" w14:textId="77777777" w:rsidR="007C3D47" w:rsidRPr="0085651A" w:rsidRDefault="007C3D47" w:rsidP="00050789">
            <w:pPr>
              <w:spacing w:line="360" w:lineRule="auto"/>
              <w:rPr>
                <w:rFonts w:ascii="Times New Roman" w:hAnsi="Times New Roman" w:cs="Times New Roman"/>
                <w:sz w:val="24"/>
                <w:szCs w:val="24"/>
              </w:rPr>
            </w:pPr>
          </w:p>
          <w:p w14:paraId="5CDC50D2" w14:textId="77777777" w:rsidR="007C3D47" w:rsidRPr="0085651A" w:rsidRDefault="007C3D47" w:rsidP="00050789">
            <w:pPr>
              <w:spacing w:line="360" w:lineRule="auto"/>
              <w:rPr>
                <w:rFonts w:ascii="Times New Roman" w:hAnsi="Times New Roman" w:cs="Times New Roman"/>
                <w:sz w:val="24"/>
                <w:szCs w:val="24"/>
              </w:rPr>
            </w:pPr>
            <w:r w:rsidRPr="0085651A">
              <w:rPr>
                <w:rFonts w:ascii="Times New Roman" w:hAnsi="Times New Roman" w:cs="Times New Roman"/>
                <w:sz w:val="24"/>
                <w:szCs w:val="24"/>
              </w:rPr>
              <w:t>107 526.5</w:t>
            </w:r>
          </w:p>
        </w:tc>
      </w:tr>
      <w:tr w:rsidR="007C3D47" w:rsidRPr="0085651A" w14:paraId="35DF4D25" w14:textId="77777777" w:rsidTr="00050789">
        <w:tc>
          <w:tcPr>
            <w:tcW w:w="1783" w:type="dxa"/>
          </w:tcPr>
          <w:p w14:paraId="50ACC347" w14:textId="77777777" w:rsidR="007C3D47" w:rsidRPr="0085651A" w:rsidRDefault="007C3D47" w:rsidP="00055D37">
            <w:pPr>
              <w:spacing w:line="360" w:lineRule="auto"/>
              <w:jc w:val="left"/>
              <w:rPr>
                <w:rFonts w:ascii="Times New Roman" w:hAnsi="Times New Roman" w:cs="Times New Roman"/>
                <w:b/>
                <w:sz w:val="24"/>
                <w:szCs w:val="24"/>
              </w:rPr>
            </w:pPr>
            <w:r w:rsidRPr="0085651A">
              <w:rPr>
                <w:rFonts w:ascii="Times New Roman" w:hAnsi="Times New Roman" w:cs="Times New Roman"/>
                <w:b/>
                <w:sz w:val="24"/>
                <w:szCs w:val="24"/>
              </w:rPr>
              <w:t>Payments for capital assets</w:t>
            </w:r>
          </w:p>
        </w:tc>
        <w:tc>
          <w:tcPr>
            <w:tcW w:w="1801" w:type="dxa"/>
          </w:tcPr>
          <w:p w14:paraId="0ECC577C" w14:textId="77777777" w:rsidR="007C3D47" w:rsidRPr="0085651A" w:rsidRDefault="007C3D47" w:rsidP="00050789">
            <w:pPr>
              <w:spacing w:line="360" w:lineRule="auto"/>
              <w:rPr>
                <w:rFonts w:ascii="Times New Roman" w:hAnsi="Times New Roman" w:cs="Times New Roman"/>
                <w:b/>
                <w:sz w:val="24"/>
                <w:szCs w:val="24"/>
              </w:rPr>
            </w:pPr>
          </w:p>
          <w:p w14:paraId="5044D79C" w14:textId="77777777" w:rsidR="007C3D47" w:rsidRPr="0085651A" w:rsidRDefault="007C3D47" w:rsidP="00050789">
            <w:pPr>
              <w:spacing w:line="360" w:lineRule="auto"/>
              <w:rPr>
                <w:rFonts w:ascii="Times New Roman" w:hAnsi="Times New Roman" w:cs="Times New Roman"/>
                <w:sz w:val="24"/>
                <w:szCs w:val="24"/>
              </w:rPr>
            </w:pPr>
            <w:r w:rsidRPr="0085651A">
              <w:rPr>
                <w:rFonts w:ascii="Times New Roman" w:hAnsi="Times New Roman" w:cs="Times New Roman"/>
                <w:sz w:val="24"/>
                <w:szCs w:val="24"/>
              </w:rPr>
              <w:t>9.6</w:t>
            </w:r>
          </w:p>
        </w:tc>
        <w:tc>
          <w:tcPr>
            <w:tcW w:w="1772" w:type="dxa"/>
          </w:tcPr>
          <w:p w14:paraId="7C1051E9" w14:textId="77777777" w:rsidR="007C3D47" w:rsidRPr="0085651A" w:rsidRDefault="007C3D47" w:rsidP="00050789">
            <w:pPr>
              <w:spacing w:line="360" w:lineRule="auto"/>
              <w:rPr>
                <w:rFonts w:ascii="Times New Roman" w:hAnsi="Times New Roman" w:cs="Times New Roman"/>
                <w:sz w:val="24"/>
                <w:szCs w:val="24"/>
              </w:rPr>
            </w:pPr>
          </w:p>
          <w:p w14:paraId="19235A79" w14:textId="77777777" w:rsidR="007C3D47" w:rsidRPr="0085651A" w:rsidRDefault="007C3D47" w:rsidP="00050789">
            <w:pPr>
              <w:spacing w:line="360" w:lineRule="auto"/>
              <w:rPr>
                <w:rFonts w:ascii="Times New Roman" w:hAnsi="Times New Roman" w:cs="Times New Roman"/>
                <w:sz w:val="24"/>
                <w:szCs w:val="24"/>
              </w:rPr>
            </w:pPr>
            <w:r w:rsidRPr="0085651A">
              <w:rPr>
                <w:rFonts w:ascii="Times New Roman" w:hAnsi="Times New Roman" w:cs="Times New Roman"/>
                <w:sz w:val="24"/>
                <w:szCs w:val="24"/>
              </w:rPr>
              <w:t>8.6</w:t>
            </w:r>
          </w:p>
        </w:tc>
        <w:tc>
          <w:tcPr>
            <w:tcW w:w="1634" w:type="dxa"/>
          </w:tcPr>
          <w:p w14:paraId="7C528D20" w14:textId="77777777" w:rsidR="007C3D47" w:rsidRPr="0085651A" w:rsidRDefault="007C3D47" w:rsidP="00050789">
            <w:pPr>
              <w:spacing w:line="360" w:lineRule="auto"/>
              <w:rPr>
                <w:rFonts w:ascii="Times New Roman" w:hAnsi="Times New Roman" w:cs="Times New Roman"/>
                <w:sz w:val="24"/>
                <w:szCs w:val="24"/>
              </w:rPr>
            </w:pPr>
          </w:p>
          <w:p w14:paraId="05FCF52C" w14:textId="77777777" w:rsidR="007C3D47" w:rsidRPr="0085651A" w:rsidRDefault="007C3D47" w:rsidP="00050789">
            <w:pPr>
              <w:spacing w:line="360" w:lineRule="auto"/>
              <w:rPr>
                <w:rFonts w:ascii="Times New Roman" w:hAnsi="Times New Roman" w:cs="Times New Roman"/>
                <w:sz w:val="24"/>
                <w:szCs w:val="24"/>
              </w:rPr>
            </w:pPr>
            <w:r w:rsidRPr="0085651A">
              <w:rPr>
                <w:rFonts w:ascii="Times New Roman" w:hAnsi="Times New Roman" w:cs="Times New Roman"/>
                <w:sz w:val="24"/>
                <w:szCs w:val="24"/>
              </w:rPr>
              <w:t>9.3</w:t>
            </w:r>
          </w:p>
        </w:tc>
        <w:tc>
          <w:tcPr>
            <w:tcW w:w="2026" w:type="dxa"/>
          </w:tcPr>
          <w:p w14:paraId="545645DE" w14:textId="77777777" w:rsidR="007C3D47" w:rsidRPr="0085651A" w:rsidRDefault="007C3D47" w:rsidP="00050789">
            <w:pPr>
              <w:spacing w:line="360" w:lineRule="auto"/>
              <w:rPr>
                <w:rFonts w:ascii="Times New Roman" w:hAnsi="Times New Roman" w:cs="Times New Roman"/>
                <w:sz w:val="24"/>
                <w:szCs w:val="24"/>
              </w:rPr>
            </w:pPr>
          </w:p>
          <w:p w14:paraId="0CC327EC" w14:textId="77777777" w:rsidR="007C3D47" w:rsidRPr="0085651A" w:rsidRDefault="007C3D47" w:rsidP="00050789">
            <w:pPr>
              <w:spacing w:line="360" w:lineRule="auto"/>
              <w:rPr>
                <w:rFonts w:ascii="Times New Roman" w:hAnsi="Times New Roman" w:cs="Times New Roman"/>
                <w:sz w:val="24"/>
                <w:szCs w:val="24"/>
              </w:rPr>
            </w:pPr>
            <w:r w:rsidRPr="0085651A">
              <w:rPr>
                <w:rFonts w:ascii="Times New Roman" w:hAnsi="Times New Roman" w:cs="Times New Roman"/>
                <w:sz w:val="24"/>
                <w:szCs w:val="24"/>
              </w:rPr>
              <w:t>9.9</w:t>
            </w:r>
          </w:p>
        </w:tc>
      </w:tr>
      <w:tr w:rsidR="007C3D47" w:rsidRPr="0085651A" w14:paraId="47EB6C6D" w14:textId="77777777" w:rsidTr="00050789">
        <w:tc>
          <w:tcPr>
            <w:tcW w:w="1783" w:type="dxa"/>
          </w:tcPr>
          <w:p w14:paraId="529F5810" w14:textId="77777777" w:rsidR="007C3D47" w:rsidRPr="0085651A" w:rsidRDefault="007C3D47" w:rsidP="00050789">
            <w:pPr>
              <w:spacing w:line="360" w:lineRule="auto"/>
              <w:rPr>
                <w:rFonts w:ascii="Times New Roman" w:hAnsi="Times New Roman" w:cs="Times New Roman"/>
                <w:b/>
                <w:sz w:val="24"/>
                <w:szCs w:val="24"/>
              </w:rPr>
            </w:pPr>
            <w:r w:rsidRPr="0085651A">
              <w:rPr>
                <w:rFonts w:ascii="Times New Roman" w:hAnsi="Times New Roman" w:cs="Times New Roman"/>
                <w:b/>
                <w:sz w:val="24"/>
                <w:szCs w:val="24"/>
              </w:rPr>
              <w:t>Total</w:t>
            </w:r>
          </w:p>
        </w:tc>
        <w:tc>
          <w:tcPr>
            <w:tcW w:w="1801" w:type="dxa"/>
          </w:tcPr>
          <w:p w14:paraId="46022C90" w14:textId="77777777" w:rsidR="007C3D47" w:rsidRPr="0085651A" w:rsidRDefault="007C3D47" w:rsidP="00050789">
            <w:pPr>
              <w:spacing w:line="360" w:lineRule="auto"/>
              <w:rPr>
                <w:rFonts w:ascii="Times New Roman" w:hAnsi="Times New Roman" w:cs="Times New Roman"/>
                <w:b/>
                <w:sz w:val="24"/>
                <w:szCs w:val="24"/>
              </w:rPr>
            </w:pPr>
            <w:r w:rsidRPr="0085651A">
              <w:rPr>
                <w:rFonts w:ascii="Times New Roman" w:hAnsi="Times New Roman" w:cs="Times New Roman"/>
                <w:b/>
                <w:sz w:val="24"/>
                <w:szCs w:val="24"/>
              </w:rPr>
              <w:t>68 078.2</w:t>
            </w:r>
          </w:p>
        </w:tc>
        <w:tc>
          <w:tcPr>
            <w:tcW w:w="1772" w:type="dxa"/>
          </w:tcPr>
          <w:p w14:paraId="5C74667B" w14:textId="77777777" w:rsidR="007C3D47" w:rsidRPr="0085651A" w:rsidRDefault="007C3D47" w:rsidP="00050789">
            <w:pPr>
              <w:spacing w:line="360" w:lineRule="auto"/>
              <w:rPr>
                <w:rFonts w:ascii="Times New Roman" w:hAnsi="Times New Roman" w:cs="Times New Roman"/>
                <w:b/>
                <w:sz w:val="24"/>
                <w:szCs w:val="24"/>
              </w:rPr>
            </w:pPr>
            <w:r w:rsidRPr="0085651A">
              <w:rPr>
                <w:rFonts w:ascii="Times New Roman" w:hAnsi="Times New Roman" w:cs="Times New Roman"/>
                <w:b/>
                <w:sz w:val="24"/>
                <w:szCs w:val="24"/>
              </w:rPr>
              <w:t>89 950.0</w:t>
            </w:r>
          </w:p>
        </w:tc>
        <w:tc>
          <w:tcPr>
            <w:tcW w:w="1634" w:type="dxa"/>
          </w:tcPr>
          <w:p w14:paraId="788C522C" w14:textId="77777777" w:rsidR="007C3D47" w:rsidRPr="0085651A" w:rsidRDefault="007C3D47" w:rsidP="00050789">
            <w:pPr>
              <w:spacing w:line="360" w:lineRule="auto"/>
              <w:rPr>
                <w:rFonts w:ascii="Times New Roman" w:hAnsi="Times New Roman" w:cs="Times New Roman"/>
                <w:b/>
                <w:sz w:val="24"/>
                <w:szCs w:val="24"/>
              </w:rPr>
            </w:pPr>
            <w:r w:rsidRPr="0085651A">
              <w:rPr>
                <w:rFonts w:ascii="Times New Roman" w:hAnsi="Times New Roman" w:cs="Times New Roman"/>
                <w:b/>
                <w:sz w:val="24"/>
                <w:szCs w:val="24"/>
              </w:rPr>
              <w:t>107 938.5</w:t>
            </w:r>
          </w:p>
        </w:tc>
        <w:tc>
          <w:tcPr>
            <w:tcW w:w="2026" w:type="dxa"/>
          </w:tcPr>
          <w:p w14:paraId="3A396BDA" w14:textId="77777777" w:rsidR="007C3D47" w:rsidRPr="0085651A" w:rsidRDefault="007C3D47" w:rsidP="00050789">
            <w:pPr>
              <w:spacing w:line="360" w:lineRule="auto"/>
              <w:rPr>
                <w:rFonts w:ascii="Times New Roman" w:hAnsi="Times New Roman" w:cs="Times New Roman"/>
                <w:b/>
                <w:sz w:val="24"/>
                <w:szCs w:val="24"/>
              </w:rPr>
            </w:pPr>
            <w:r w:rsidRPr="0085651A">
              <w:rPr>
                <w:rFonts w:ascii="Times New Roman" w:hAnsi="Times New Roman" w:cs="Times New Roman"/>
                <w:b/>
                <w:sz w:val="24"/>
                <w:szCs w:val="24"/>
              </w:rPr>
              <w:t>118 670.1</w:t>
            </w:r>
          </w:p>
        </w:tc>
      </w:tr>
    </w:tbl>
    <w:p w14:paraId="2DAB7075" w14:textId="77777777" w:rsidR="00A20658" w:rsidRPr="0085651A" w:rsidRDefault="00A20658" w:rsidP="00133BD9">
      <w:pPr>
        <w:rPr>
          <w:rFonts w:ascii="Times New Roman" w:hAnsi="Times New Roman" w:cs="Times New Roman"/>
          <w:sz w:val="24"/>
          <w:szCs w:val="24"/>
        </w:rPr>
      </w:pPr>
    </w:p>
    <w:p w14:paraId="250610B2" w14:textId="77777777" w:rsidR="00460011" w:rsidRPr="0085651A" w:rsidRDefault="00133BD9" w:rsidP="00133BD9">
      <w:pPr>
        <w:rPr>
          <w:rFonts w:ascii="Times New Roman" w:hAnsi="Times New Roman" w:cs="Times New Roman"/>
          <w:sz w:val="24"/>
          <w:szCs w:val="24"/>
        </w:rPr>
      </w:pPr>
      <w:r w:rsidRPr="0085651A">
        <w:rPr>
          <w:rFonts w:ascii="Times New Roman" w:hAnsi="Times New Roman" w:cs="Times New Roman"/>
          <w:sz w:val="24"/>
          <w:szCs w:val="24"/>
        </w:rPr>
        <w:t xml:space="preserve">The Department’s total budget for the 2018/19 financial year </w:t>
      </w:r>
      <w:r w:rsidR="009823EE" w:rsidRPr="0085651A">
        <w:rPr>
          <w:rFonts w:ascii="Times New Roman" w:hAnsi="Times New Roman" w:cs="Times New Roman"/>
          <w:sz w:val="24"/>
          <w:szCs w:val="24"/>
        </w:rPr>
        <w:t>amounts to</w:t>
      </w:r>
      <w:r w:rsidRPr="0085651A">
        <w:rPr>
          <w:rFonts w:ascii="Times New Roman" w:hAnsi="Times New Roman" w:cs="Times New Roman"/>
          <w:sz w:val="24"/>
          <w:szCs w:val="24"/>
        </w:rPr>
        <w:t xml:space="preserve"> R89.950 billion, inclusive of R16.929 billion (R13</w:t>
      </w:r>
      <w:r w:rsidR="00A46979" w:rsidRPr="0085651A">
        <w:rPr>
          <w:rFonts w:ascii="Times New Roman" w:hAnsi="Times New Roman" w:cs="Times New Roman"/>
          <w:sz w:val="24"/>
          <w:szCs w:val="24"/>
        </w:rPr>
        <w:t>.</w:t>
      </w:r>
      <w:r w:rsidRPr="0085651A">
        <w:rPr>
          <w:rFonts w:ascii="Times New Roman" w:hAnsi="Times New Roman" w:cs="Times New Roman"/>
          <w:sz w:val="24"/>
          <w:szCs w:val="24"/>
        </w:rPr>
        <w:t>543 billion for SETAs and R3</w:t>
      </w:r>
      <w:r w:rsidR="0001560F" w:rsidRPr="0085651A">
        <w:rPr>
          <w:rFonts w:ascii="Times New Roman" w:hAnsi="Times New Roman" w:cs="Times New Roman"/>
          <w:sz w:val="24"/>
          <w:szCs w:val="24"/>
        </w:rPr>
        <w:t>.</w:t>
      </w:r>
      <w:r w:rsidRPr="0085651A">
        <w:rPr>
          <w:rFonts w:ascii="Times New Roman" w:hAnsi="Times New Roman" w:cs="Times New Roman"/>
          <w:sz w:val="24"/>
          <w:szCs w:val="24"/>
        </w:rPr>
        <w:t>385 billion for NSF) direct charge</w:t>
      </w:r>
      <w:r w:rsidR="00D101EC" w:rsidRPr="0085651A">
        <w:rPr>
          <w:rFonts w:ascii="Times New Roman" w:hAnsi="Times New Roman" w:cs="Times New Roman"/>
          <w:sz w:val="24"/>
          <w:szCs w:val="24"/>
        </w:rPr>
        <w:t>s</w:t>
      </w:r>
      <w:r w:rsidRPr="0085651A">
        <w:rPr>
          <w:rFonts w:ascii="Times New Roman" w:hAnsi="Times New Roman" w:cs="Times New Roman"/>
          <w:sz w:val="24"/>
          <w:szCs w:val="24"/>
        </w:rPr>
        <w:t xml:space="preserve"> against the National Revenue Fund. </w:t>
      </w:r>
      <w:r w:rsidR="00460011" w:rsidRPr="0085651A">
        <w:rPr>
          <w:rFonts w:ascii="Times New Roman" w:hAnsi="Times New Roman" w:cs="Times New Roman"/>
          <w:sz w:val="24"/>
          <w:szCs w:val="24"/>
        </w:rPr>
        <w:t>The a</w:t>
      </w:r>
      <w:r w:rsidRPr="0085651A">
        <w:rPr>
          <w:rFonts w:ascii="Times New Roman" w:hAnsi="Times New Roman" w:cs="Times New Roman"/>
          <w:sz w:val="24"/>
          <w:szCs w:val="24"/>
        </w:rPr>
        <w:t xml:space="preserve">llocation for transfers and subsidies to the Departmental </w:t>
      </w:r>
      <w:r w:rsidR="009823EE" w:rsidRPr="0085651A">
        <w:rPr>
          <w:rFonts w:ascii="Times New Roman" w:hAnsi="Times New Roman" w:cs="Times New Roman"/>
          <w:sz w:val="24"/>
          <w:szCs w:val="24"/>
        </w:rPr>
        <w:t>a</w:t>
      </w:r>
      <w:r w:rsidRPr="0085651A">
        <w:rPr>
          <w:rFonts w:ascii="Times New Roman" w:hAnsi="Times New Roman" w:cs="Times New Roman"/>
          <w:sz w:val="24"/>
          <w:szCs w:val="24"/>
        </w:rPr>
        <w:t xml:space="preserve">gencies and accounts, higher education institutions, </w:t>
      </w:r>
      <w:r w:rsidR="00460011" w:rsidRPr="0085651A">
        <w:rPr>
          <w:rFonts w:ascii="Times New Roman" w:hAnsi="Times New Roman" w:cs="Times New Roman"/>
          <w:sz w:val="24"/>
          <w:szCs w:val="24"/>
        </w:rPr>
        <w:t>f</w:t>
      </w:r>
      <w:r w:rsidRPr="0085651A">
        <w:rPr>
          <w:rFonts w:ascii="Times New Roman" w:hAnsi="Times New Roman" w:cs="Times New Roman"/>
          <w:sz w:val="24"/>
          <w:szCs w:val="24"/>
        </w:rPr>
        <w:t>oreign governments and international organisations, non-profit organisations amounts to R80</w:t>
      </w:r>
      <w:r w:rsidR="00A46979" w:rsidRPr="0085651A">
        <w:rPr>
          <w:rFonts w:ascii="Times New Roman" w:hAnsi="Times New Roman" w:cs="Times New Roman"/>
          <w:sz w:val="24"/>
          <w:szCs w:val="24"/>
        </w:rPr>
        <w:t>.</w:t>
      </w:r>
      <w:r w:rsidRPr="0085651A">
        <w:rPr>
          <w:rFonts w:ascii="Times New Roman" w:hAnsi="Times New Roman" w:cs="Times New Roman"/>
          <w:sz w:val="24"/>
          <w:szCs w:val="24"/>
        </w:rPr>
        <w:t xml:space="preserve">549 billion. This represents 89.5 percent of the Department’s total allocated budget. The allocation has increased by 26.3 percent in 2018/19 from R58.399 billion allocated in 2017/18. An </w:t>
      </w:r>
      <w:r w:rsidRPr="0085651A">
        <w:rPr>
          <w:rFonts w:ascii="Times New Roman" w:hAnsi="Times New Roman" w:cs="Times New Roman"/>
          <w:sz w:val="24"/>
          <w:szCs w:val="24"/>
        </w:rPr>
        <w:lastRenderedPageBreak/>
        <w:t>allocation of R59</w:t>
      </w:r>
      <w:r w:rsidR="00A46979" w:rsidRPr="0085651A">
        <w:rPr>
          <w:rFonts w:ascii="Times New Roman" w:hAnsi="Times New Roman" w:cs="Times New Roman"/>
          <w:sz w:val="24"/>
          <w:szCs w:val="24"/>
        </w:rPr>
        <w:t>.010</w:t>
      </w:r>
      <w:r w:rsidRPr="0085651A">
        <w:rPr>
          <w:rFonts w:ascii="Times New Roman" w:hAnsi="Times New Roman" w:cs="Times New Roman"/>
          <w:sz w:val="24"/>
          <w:szCs w:val="24"/>
        </w:rPr>
        <w:t xml:space="preserve"> billion which represents 73.3 percent of the total allocation for transfers and subsidies </w:t>
      </w:r>
      <w:r w:rsidR="00807365" w:rsidRPr="0085651A">
        <w:rPr>
          <w:rFonts w:ascii="Times New Roman" w:hAnsi="Times New Roman" w:cs="Times New Roman"/>
          <w:sz w:val="24"/>
          <w:szCs w:val="24"/>
        </w:rPr>
        <w:t>goes mainly</w:t>
      </w:r>
      <w:r w:rsidR="009823EE" w:rsidRPr="0085651A">
        <w:rPr>
          <w:rFonts w:ascii="Times New Roman" w:hAnsi="Times New Roman" w:cs="Times New Roman"/>
          <w:sz w:val="24"/>
          <w:szCs w:val="24"/>
        </w:rPr>
        <w:t xml:space="preserve"> to</w:t>
      </w:r>
      <w:r w:rsidRPr="0085651A">
        <w:rPr>
          <w:rFonts w:ascii="Times New Roman" w:hAnsi="Times New Roman" w:cs="Times New Roman"/>
          <w:sz w:val="24"/>
          <w:szCs w:val="24"/>
        </w:rPr>
        <w:t xml:space="preserve">, higher education Departmental </w:t>
      </w:r>
      <w:r w:rsidR="009823EE" w:rsidRPr="0085651A">
        <w:rPr>
          <w:rFonts w:ascii="Times New Roman" w:hAnsi="Times New Roman" w:cs="Times New Roman"/>
          <w:sz w:val="24"/>
          <w:szCs w:val="24"/>
        </w:rPr>
        <w:t>a</w:t>
      </w:r>
      <w:r w:rsidRPr="0085651A">
        <w:rPr>
          <w:rFonts w:ascii="Times New Roman" w:hAnsi="Times New Roman" w:cs="Times New Roman"/>
          <w:sz w:val="24"/>
          <w:szCs w:val="24"/>
        </w:rPr>
        <w:t>gencies (the National Student Financial Aid Scheme (NSFAS)</w:t>
      </w:r>
      <w:r w:rsidR="009823EE" w:rsidRPr="0085651A">
        <w:rPr>
          <w:rFonts w:ascii="Times New Roman" w:hAnsi="Times New Roman" w:cs="Times New Roman"/>
          <w:sz w:val="24"/>
          <w:szCs w:val="24"/>
        </w:rPr>
        <w:t>,</w:t>
      </w:r>
      <w:r w:rsidRPr="0085651A">
        <w:rPr>
          <w:rFonts w:ascii="Times New Roman" w:hAnsi="Times New Roman" w:cs="Times New Roman"/>
          <w:sz w:val="24"/>
          <w:szCs w:val="24"/>
        </w:rPr>
        <w:t xml:space="preserve"> Council on Higher Education (CHE), the South African Qualifications Authority (SAQA)</w:t>
      </w:r>
      <w:r w:rsidR="009823EE" w:rsidRPr="0085651A">
        <w:rPr>
          <w:rFonts w:ascii="Times New Roman" w:hAnsi="Times New Roman" w:cs="Times New Roman"/>
          <w:sz w:val="24"/>
          <w:szCs w:val="24"/>
        </w:rPr>
        <w:t>)</w:t>
      </w:r>
      <w:r w:rsidRPr="0085651A">
        <w:rPr>
          <w:rFonts w:ascii="Times New Roman" w:hAnsi="Times New Roman" w:cs="Times New Roman"/>
          <w:sz w:val="24"/>
          <w:szCs w:val="24"/>
        </w:rPr>
        <w:t xml:space="preserve"> and the universities subsidies and for capital</w:t>
      </w:r>
      <w:r w:rsidR="009823EE" w:rsidRPr="0085651A">
        <w:rPr>
          <w:rFonts w:ascii="Times New Roman" w:hAnsi="Times New Roman" w:cs="Times New Roman"/>
          <w:sz w:val="24"/>
          <w:szCs w:val="24"/>
        </w:rPr>
        <w:t xml:space="preserve"> expenditure</w:t>
      </w:r>
      <w:r w:rsidRPr="0085651A">
        <w:rPr>
          <w:rFonts w:ascii="Times New Roman" w:hAnsi="Times New Roman" w:cs="Times New Roman"/>
          <w:sz w:val="24"/>
          <w:szCs w:val="24"/>
        </w:rPr>
        <w:t xml:space="preserve">. </w:t>
      </w:r>
    </w:p>
    <w:p w14:paraId="74BB4E7C" w14:textId="77777777" w:rsidR="008F1091" w:rsidRPr="0085651A" w:rsidRDefault="00133BD9" w:rsidP="00133BD9">
      <w:pPr>
        <w:rPr>
          <w:rFonts w:ascii="Times New Roman" w:hAnsi="Times New Roman" w:cs="Times New Roman"/>
          <w:sz w:val="24"/>
          <w:szCs w:val="24"/>
        </w:rPr>
      </w:pPr>
      <w:r w:rsidRPr="0085651A">
        <w:rPr>
          <w:rFonts w:ascii="Times New Roman" w:hAnsi="Times New Roman" w:cs="Times New Roman"/>
          <w:sz w:val="24"/>
          <w:szCs w:val="24"/>
        </w:rPr>
        <w:t xml:space="preserve">The second largest allocation in terms of economic classification is for current </w:t>
      </w:r>
      <w:r w:rsidR="00807365" w:rsidRPr="0085651A">
        <w:rPr>
          <w:rFonts w:ascii="Times New Roman" w:hAnsi="Times New Roman" w:cs="Times New Roman"/>
          <w:sz w:val="24"/>
          <w:szCs w:val="24"/>
        </w:rPr>
        <w:t>payments, which</w:t>
      </w:r>
      <w:r w:rsidRPr="0085651A">
        <w:rPr>
          <w:rFonts w:ascii="Times New Roman" w:hAnsi="Times New Roman" w:cs="Times New Roman"/>
          <w:sz w:val="24"/>
          <w:szCs w:val="24"/>
        </w:rPr>
        <w:t xml:space="preserve"> amounts to R9</w:t>
      </w:r>
      <w:r w:rsidR="00A46979" w:rsidRPr="0085651A">
        <w:rPr>
          <w:rFonts w:ascii="Times New Roman" w:hAnsi="Times New Roman" w:cs="Times New Roman"/>
          <w:sz w:val="24"/>
          <w:szCs w:val="24"/>
        </w:rPr>
        <w:t>.</w:t>
      </w:r>
      <w:r w:rsidRPr="0085651A">
        <w:rPr>
          <w:rFonts w:ascii="Times New Roman" w:hAnsi="Times New Roman" w:cs="Times New Roman"/>
          <w:sz w:val="24"/>
          <w:szCs w:val="24"/>
        </w:rPr>
        <w:t>391 billion. This is made up of R8</w:t>
      </w:r>
      <w:r w:rsidR="00A46979" w:rsidRPr="0085651A">
        <w:rPr>
          <w:rFonts w:ascii="Times New Roman" w:hAnsi="Times New Roman" w:cs="Times New Roman"/>
          <w:sz w:val="24"/>
          <w:szCs w:val="24"/>
        </w:rPr>
        <w:t>.</w:t>
      </w:r>
      <w:r w:rsidRPr="0085651A">
        <w:rPr>
          <w:rFonts w:ascii="Times New Roman" w:hAnsi="Times New Roman" w:cs="Times New Roman"/>
          <w:sz w:val="24"/>
          <w:szCs w:val="24"/>
        </w:rPr>
        <w:t xml:space="preserve">957 billion for compensation of employees and R434.5 million for goods and services. </w:t>
      </w:r>
      <w:r w:rsidR="009823EE" w:rsidRPr="0085651A">
        <w:rPr>
          <w:rFonts w:ascii="Times New Roman" w:hAnsi="Times New Roman" w:cs="Times New Roman"/>
          <w:sz w:val="24"/>
          <w:szCs w:val="24"/>
        </w:rPr>
        <w:t>The a</w:t>
      </w:r>
      <w:r w:rsidRPr="0085651A">
        <w:rPr>
          <w:rFonts w:ascii="Times New Roman" w:hAnsi="Times New Roman" w:cs="Times New Roman"/>
          <w:sz w:val="24"/>
          <w:szCs w:val="24"/>
        </w:rPr>
        <w:t>llocation for payment for capital assets amounts to R8.6 million for the 2018/19 financial year. The allocation has decreased by R1 million from R9.6 million allocated in 2017/18.</w:t>
      </w:r>
    </w:p>
    <w:p w14:paraId="50BED25F" w14:textId="77777777" w:rsidR="00133BD9" w:rsidRPr="0085651A" w:rsidRDefault="00133BD9" w:rsidP="00133BD9">
      <w:pPr>
        <w:rPr>
          <w:rFonts w:ascii="Times New Roman" w:hAnsi="Times New Roman" w:cs="Times New Roman"/>
          <w:sz w:val="24"/>
          <w:szCs w:val="24"/>
        </w:rPr>
      </w:pPr>
      <w:r w:rsidRPr="0085651A">
        <w:rPr>
          <w:rFonts w:ascii="Times New Roman" w:hAnsi="Times New Roman" w:cs="Times New Roman"/>
          <w:sz w:val="24"/>
          <w:szCs w:val="24"/>
        </w:rPr>
        <w:t>In terms of projected spending on goods and services, 25.1 percent (R109.029 million) of the total budget for goods and services is allocated to travel and subsistence line item. The budget has increased by 16.3 percent from R91.252 million in 2017/18 and it is projected to grow at a</w:t>
      </w:r>
      <w:r w:rsidR="00AF56E7" w:rsidRPr="0085651A">
        <w:rPr>
          <w:rFonts w:ascii="Times New Roman" w:hAnsi="Times New Roman" w:cs="Times New Roman"/>
          <w:sz w:val="24"/>
          <w:szCs w:val="24"/>
        </w:rPr>
        <w:t xml:space="preserve">n average of 52.8 percent between 2017/18 to 20120/2. </w:t>
      </w:r>
    </w:p>
    <w:p w14:paraId="439972EF" w14:textId="77777777" w:rsidR="00E94C87" w:rsidRPr="0085651A" w:rsidRDefault="00133BD9" w:rsidP="00133BD9">
      <w:pPr>
        <w:rPr>
          <w:rFonts w:ascii="Times New Roman" w:hAnsi="Times New Roman" w:cs="Times New Roman"/>
          <w:sz w:val="24"/>
          <w:szCs w:val="24"/>
        </w:rPr>
      </w:pPr>
      <w:r w:rsidRPr="0085651A">
        <w:rPr>
          <w:rFonts w:ascii="Times New Roman" w:hAnsi="Times New Roman" w:cs="Times New Roman"/>
          <w:sz w:val="24"/>
          <w:szCs w:val="24"/>
        </w:rPr>
        <w:t>The second highest spending line item in goods and services is property payment</w:t>
      </w:r>
      <w:r w:rsidR="00D101EC" w:rsidRPr="0085651A">
        <w:rPr>
          <w:rFonts w:ascii="Times New Roman" w:hAnsi="Times New Roman" w:cs="Times New Roman"/>
          <w:sz w:val="24"/>
          <w:szCs w:val="24"/>
        </w:rPr>
        <w:t>s</w:t>
      </w:r>
      <w:r w:rsidRPr="0085651A">
        <w:rPr>
          <w:rFonts w:ascii="Times New Roman" w:hAnsi="Times New Roman" w:cs="Times New Roman"/>
          <w:sz w:val="24"/>
          <w:szCs w:val="24"/>
        </w:rPr>
        <w:t xml:space="preserve">, which increased by 12.3 percent (R8.494 million) from R60.736 million in 2017/18, followed by </w:t>
      </w:r>
      <w:r w:rsidR="00460011" w:rsidRPr="0085651A">
        <w:rPr>
          <w:rFonts w:ascii="Times New Roman" w:hAnsi="Times New Roman" w:cs="Times New Roman"/>
          <w:sz w:val="24"/>
          <w:szCs w:val="24"/>
        </w:rPr>
        <w:t xml:space="preserve">the </w:t>
      </w:r>
      <w:r w:rsidRPr="0085651A">
        <w:rPr>
          <w:rFonts w:ascii="Times New Roman" w:hAnsi="Times New Roman" w:cs="Times New Roman"/>
          <w:sz w:val="24"/>
          <w:szCs w:val="24"/>
        </w:rPr>
        <w:t>allocation for computer services of R53.987 million.</w:t>
      </w:r>
      <w:r w:rsidR="00460011" w:rsidRPr="0085651A">
        <w:rPr>
          <w:rFonts w:ascii="Times New Roman" w:hAnsi="Times New Roman" w:cs="Times New Roman"/>
          <w:sz w:val="24"/>
          <w:szCs w:val="24"/>
        </w:rPr>
        <w:t xml:space="preserve"> The expenditure</w:t>
      </w:r>
      <w:r w:rsidRPr="0085651A">
        <w:rPr>
          <w:rFonts w:ascii="Times New Roman" w:hAnsi="Times New Roman" w:cs="Times New Roman"/>
          <w:sz w:val="24"/>
          <w:szCs w:val="24"/>
        </w:rPr>
        <w:t xml:space="preserve"> on this line item is projected to increase </w:t>
      </w:r>
      <w:r w:rsidR="00AF56E7" w:rsidRPr="0085651A">
        <w:rPr>
          <w:rFonts w:ascii="Times New Roman" w:hAnsi="Times New Roman" w:cs="Times New Roman"/>
          <w:sz w:val="24"/>
          <w:szCs w:val="24"/>
        </w:rPr>
        <w:t>by an average of 8.0 percent between 2017/18 and 2020/21</w:t>
      </w:r>
      <w:r w:rsidRPr="0085651A">
        <w:rPr>
          <w:rFonts w:ascii="Times New Roman" w:hAnsi="Times New Roman" w:cs="Times New Roman"/>
          <w:sz w:val="24"/>
          <w:szCs w:val="24"/>
        </w:rPr>
        <w:t xml:space="preserve">. </w:t>
      </w:r>
      <w:r w:rsidR="00460011" w:rsidRPr="0085651A">
        <w:rPr>
          <w:rFonts w:ascii="Times New Roman" w:hAnsi="Times New Roman" w:cs="Times New Roman"/>
          <w:sz w:val="24"/>
          <w:szCs w:val="24"/>
        </w:rPr>
        <w:t>The a</w:t>
      </w:r>
      <w:r w:rsidRPr="0085651A">
        <w:rPr>
          <w:rFonts w:ascii="Times New Roman" w:hAnsi="Times New Roman" w:cs="Times New Roman"/>
          <w:sz w:val="24"/>
          <w:szCs w:val="24"/>
        </w:rPr>
        <w:t>llocation for spending on co</w:t>
      </w:r>
      <w:r w:rsidR="00460011" w:rsidRPr="0085651A">
        <w:rPr>
          <w:rFonts w:ascii="Times New Roman" w:hAnsi="Times New Roman" w:cs="Times New Roman"/>
          <w:sz w:val="24"/>
          <w:szCs w:val="24"/>
        </w:rPr>
        <w:t>nsumable supplies for 2018/19 amounts to</w:t>
      </w:r>
      <w:r w:rsidRPr="0085651A">
        <w:rPr>
          <w:rFonts w:ascii="Times New Roman" w:hAnsi="Times New Roman" w:cs="Times New Roman"/>
          <w:sz w:val="24"/>
          <w:szCs w:val="24"/>
        </w:rPr>
        <w:t xml:space="preserve"> R4.189 million. This is projected to increase significantly in the MTEF</w:t>
      </w:r>
      <w:r w:rsidR="004D43F0" w:rsidRPr="0085651A">
        <w:rPr>
          <w:rFonts w:ascii="Times New Roman" w:hAnsi="Times New Roman" w:cs="Times New Roman"/>
          <w:sz w:val="24"/>
          <w:szCs w:val="24"/>
        </w:rPr>
        <w:t xml:space="preserve"> period</w:t>
      </w:r>
      <w:r w:rsidRPr="0085651A">
        <w:rPr>
          <w:rFonts w:ascii="Times New Roman" w:hAnsi="Times New Roman" w:cs="Times New Roman"/>
          <w:sz w:val="24"/>
          <w:szCs w:val="24"/>
        </w:rPr>
        <w:t xml:space="preserve"> by 57 percent to R11.369 million in 2019/20. </w:t>
      </w:r>
      <w:r w:rsidR="009823EE" w:rsidRPr="0085651A">
        <w:rPr>
          <w:rFonts w:ascii="Times New Roman" w:hAnsi="Times New Roman" w:cs="Times New Roman"/>
          <w:sz w:val="24"/>
          <w:szCs w:val="24"/>
        </w:rPr>
        <w:t>The o</w:t>
      </w:r>
      <w:r w:rsidR="00E94C87" w:rsidRPr="0085651A">
        <w:rPr>
          <w:rFonts w:ascii="Times New Roman" w:hAnsi="Times New Roman" w:cs="Times New Roman"/>
          <w:sz w:val="24"/>
          <w:szCs w:val="24"/>
        </w:rPr>
        <w:t xml:space="preserve">perating leases allocation increased from R9.287 million in 2017/18 to R13.421 million in 2018/19. The budget is projected to increase significantly in the two outer years of the MTEF </w:t>
      </w:r>
      <w:r w:rsidR="00A67AA4" w:rsidRPr="0085651A">
        <w:rPr>
          <w:rFonts w:ascii="Times New Roman" w:hAnsi="Times New Roman" w:cs="Times New Roman"/>
          <w:sz w:val="24"/>
          <w:szCs w:val="24"/>
        </w:rPr>
        <w:t xml:space="preserve">period </w:t>
      </w:r>
      <w:r w:rsidR="00E94C87" w:rsidRPr="0085651A">
        <w:rPr>
          <w:rFonts w:ascii="Times New Roman" w:hAnsi="Times New Roman" w:cs="Times New Roman"/>
          <w:sz w:val="24"/>
          <w:szCs w:val="24"/>
        </w:rPr>
        <w:t>to R24.188 million in 2019/20 and R29.920 million in 2020/21</w:t>
      </w:r>
      <w:r w:rsidR="009823EE" w:rsidRPr="0085651A">
        <w:rPr>
          <w:rFonts w:ascii="Times New Roman" w:hAnsi="Times New Roman" w:cs="Times New Roman"/>
          <w:sz w:val="24"/>
          <w:szCs w:val="24"/>
        </w:rPr>
        <w:t xml:space="preserve"> respectively</w:t>
      </w:r>
      <w:r w:rsidR="00E94C87" w:rsidRPr="0085651A">
        <w:rPr>
          <w:rFonts w:ascii="Times New Roman" w:hAnsi="Times New Roman" w:cs="Times New Roman"/>
          <w:sz w:val="24"/>
          <w:szCs w:val="24"/>
        </w:rPr>
        <w:t>. The Department noted that the main reason for the large increase between 2018/19 and 2017/18 was due to a once-off provision for additional parking during 2017/18 that is from 2018/19 provided for under Office Accommodation. In addition, the leases of some photocopy machines were not renewed and in some instances, smaller machine/cheaper machines were leased due to cost containment measures. The lease for the Minister’s vehicles were only provided for during virement as the Department did not originally provide for that.</w:t>
      </w:r>
    </w:p>
    <w:p w14:paraId="70DB0E4B" w14:textId="77777777" w:rsidR="00133BD9" w:rsidRPr="0085651A" w:rsidRDefault="00460011" w:rsidP="00133BD9">
      <w:pPr>
        <w:rPr>
          <w:rFonts w:ascii="Times New Roman" w:hAnsi="Times New Roman" w:cs="Times New Roman"/>
          <w:sz w:val="24"/>
          <w:szCs w:val="24"/>
        </w:rPr>
      </w:pPr>
      <w:r w:rsidRPr="0085651A">
        <w:rPr>
          <w:rFonts w:ascii="Times New Roman" w:hAnsi="Times New Roman" w:cs="Times New Roman"/>
          <w:sz w:val="24"/>
          <w:szCs w:val="24"/>
        </w:rPr>
        <w:t>The a</w:t>
      </w:r>
      <w:r w:rsidR="00133BD9" w:rsidRPr="0085651A">
        <w:rPr>
          <w:rFonts w:ascii="Times New Roman" w:hAnsi="Times New Roman" w:cs="Times New Roman"/>
          <w:sz w:val="24"/>
          <w:szCs w:val="24"/>
        </w:rPr>
        <w:t xml:space="preserve">llocation for </w:t>
      </w:r>
      <w:r w:rsidRPr="0085651A">
        <w:rPr>
          <w:rFonts w:ascii="Times New Roman" w:hAnsi="Times New Roman" w:cs="Times New Roman"/>
          <w:sz w:val="24"/>
          <w:szCs w:val="24"/>
        </w:rPr>
        <w:t>o</w:t>
      </w:r>
      <w:r w:rsidR="00133BD9" w:rsidRPr="0085651A">
        <w:rPr>
          <w:rFonts w:ascii="Times New Roman" w:hAnsi="Times New Roman" w:cs="Times New Roman"/>
          <w:sz w:val="24"/>
          <w:szCs w:val="24"/>
        </w:rPr>
        <w:t>perating</w:t>
      </w:r>
      <w:r w:rsidRPr="0085651A">
        <w:rPr>
          <w:rFonts w:ascii="Times New Roman" w:hAnsi="Times New Roman" w:cs="Times New Roman"/>
          <w:sz w:val="24"/>
          <w:szCs w:val="24"/>
        </w:rPr>
        <w:t xml:space="preserve"> payments line item for 2018/19 amounts to</w:t>
      </w:r>
      <w:r w:rsidR="00133BD9" w:rsidRPr="0085651A">
        <w:rPr>
          <w:rFonts w:ascii="Times New Roman" w:hAnsi="Times New Roman" w:cs="Times New Roman"/>
          <w:sz w:val="24"/>
          <w:szCs w:val="24"/>
        </w:rPr>
        <w:t xml:space="preserve"> R12.990 million and it is expected to increase</w:t>
      </w:r>
      <w:r w:rsidR="00241D7A" w:rsidRPr="0085651A">
        <w:rPr>
          <w:rFonts w:ascii="Times New Roman" w:hAnsi="Times New Roman" w:cs="Times New Roman"/>
          <w:sz w:val="24"/>
          <w:szCs w:val="24"/>
        </w:rPr>
        <w:t xml:space="preserve"> significantly</w:t>
      </w:r>
      <w:r w:rsidR="00133BD9" w:rsidRPr="0085651A">
        <w:rPr>
          <w:rFonts w:ascii="Times New Roman" w:hAnsi="Times New Roman" w:cs="Times New Roman"/>
          <w:sz w:val="24"/>
          <w:szCs w:val="24"/>
        </w:rPr>
        <w:t xml:space="preserve"> in the </w:t>
      </w:r>
      <w:r w:rsidR="00AF56E7" w:rsidRPr="0085651A">
        <w:rPr>
          <w:rFonts w:ascii="Times New Roman" w:hAnsi="Times New Roman" w:cs="Times New Roman"/>
          <w:sz w:val="24"/>
          <w:szCs w:val="24"/>
        </w:rPr>
        <w:t xml:space="preserve">outer two years of the </w:t>
      </w:r>
      <w:r w:rsidR="00133BD9" w:rsidRPr="0085651A">
        <w:rPr>
          <w:rFonts w:ascii="Times New Roman" w:hAnsi="Times New Roman" w:cs="Times New Roman"/>
          <w:sz w:val="24"/>
          <w:szCs w:val="24"/>
        </w:rPr>
        <w:t xml:space="preserve">MTEF </w:t>
      </w:r>
      <w:r w:rsidR="00A67AA4" w:rsidRPr="0085651A">
        <w:rPr>
          <w:rFonts w:ascii="Times New Roman" w:hAnsi="Times New Roman" w:cs="Times New Roman"/>
          <w:sz w:val="24"/>
          <w:szCs w:val="24"/>
        </w:rPr>
        <w:t xml:space="preserve">period </w:t>
      </w:r>
      <w:r w:rsidR="00133BD9" w:rsidRPr="0085651A">
        <w:rPr>
          <w:rFonts w:ascii="Times New Roman" w:hAnsi="Times New Roman" w:cs="Times New Roman"/>
          <w:sz w:val="24"/>
          <w:szCs w:val="24"/>
        </w:rPr>
        <w:t xml:space="preserve">to </w:t>
      </w:r>
      <w:r w:rsidR="00AF56E7" w:rsidRPr="0085651A">
        <w:rPr>
          <w:rFonts w:ascii="Times New Roman" w:hAnsi="Times New Roman" w:cs="Times New Roman"/>
          <w:sz w:val="24"/>
          <w:szCs w:val="24"/>
        </w:rPr>
        <w:t xml:space="preserve">R24.716 million </w:t>
      </w:r>
      <w:r w:rsidR="00133BD9" w:rsidRPr="0085651A">
        <w:rPr>
          <w:rFonts w:ascii="Times New Roman" w:hAnsi="Times New Roman" w:cs="Times New Roman"/>
          <w:sz w:val="24"/>
          <w:szCs w:val="24"/>
        </w:rPr>
        <w:t xml:space="preserve">2019/20 and </w:t>
      </w:r>
      <w:r w:rsidR="00AF56E7" w:rsidRPr="0085651A">
        <w:rPr>
          <w:rFonts w:ascii="Times New Roman" w:hAnsi="Times New Roman" w:cs="Times New Roman"/>
          <w:sz w:val="24"/>
          <w:szCs w:val="24"/>
        </w:rPr>
        <w:t xml:space="preserve">to R35.161 million in </w:t>
      </w:r>
      <w:r w:rsidR="00133BD9" w:rsidRPr="0085651A">
        <w:rPr>
          <w:rFonts w:ascii="Times New Roman" w:hAnsi="Times New Roman" w:cs="Times New Roman"/>
          <w:sz w:val="24"/>
          <w:szCs w:val="24"/>
        </w:rPr>
        <w:t xml:space="preserve">2020/21. </w:t>
      </w:r>
    </w:p>
    <w:p w14:paraId="1EC03A6D" w14:textId="77777777" w:rsidR="00133BD9" w:rsidRPr="0085651A" w:rsidRDefault="00133BD9" w:rsidP="00915FAC">
      <w:pPr>
        <w:rPr>
          <w:rFonts w:ascii="Times New Roman" w:hAnsi="Times New Roman" w:cs="Times New Roman"/>
          <w:sz w:val="24"/>
          <w:szCs w:val="24"/>
        </w:rPr>
      </w:pPr>
      <w:r w:rsidRPr="0085651A">
        <w:rPr>
          <w:rFonts w:ascii="Times New Roman" w:hAnsi="Times New Roman" w:cs="Times New Roman"/>
          <w:sz w:val="24"/>
          <w:szCs w:val="24"/>
        </w:rPr>
        <w:lastRenderedPageBreak/>
        <w:t>The Department has effected cost-containment measures in line items such as consultants and business and advisory services, which decreased from R15.297 million in 2017/18 to R8.436 million in 2018/19, agency and support/outsourced services allocation decreased from R2.316 million in 2017/18 to R906 000 in 2018/19, venues and facilities allocation decreased from R8.547 million in 2017/18 to R1.765 million in 2018/19. Other areas w</w:t>
      </w:r>
      <w:r w:rsidR="0001560F" w:rsidRPr="0085651A">
        <w:rPr>
          <w:rFonts w:ascii="Times New Roman" w:hAnsi="Times New Roman" w:cs="Times New Roman"/>
          <w:sz w:val="24"/>
          <w:szCs w:val="24"/>
        </w:rPr>
        <w:t>h</w:t>
      </w:r>
      <w:r w:rsidRPr="0085651A">
        <w:rPr>
          <w:rFonts w:ascii="Times New Roman" w:hAnsi="Times New Roman" w:cs="Times New Roman"/>
          <w:sz w:val="24"/>
          <w:szCs w:val="24"/>
        </w:rPr>
        <w:t>ere cost-containment</w:t>
      </w:r>
      <w:r w:rsidR="009823EE" w:rsidRPr="0085651A">
        <w:rPr>
          <w:rFonts w:ascii="Times New Roman" w:hAnsi="Times New Roman" w:cs="Times New Roman"/>
          <w:sz w:val="24"/>
          <w:szCs w:val="24"/>
        </w:rPr>
        <w:t xml:space="preserve"> measures</w:t>
      </w:r>
      <w:r w:rsidRPr="0085651A">
        <w:rPr>
          <w:rFonts w:ascii="Times New Roman" w:hAnsi="Times New Roman" w:cs="Times New Roman"/>
          <w:sz w:val="24"/>
          <w:szCs w:val="24"/>
        </w:rPr>
        <w:t xml:space="preserve"> were effected are contractors and legal services. </w:t>
      </w:r>
    </w:p>
    <w:p w14:paraId="4F8E1FB8" w14:textId="77777777" w:rsidR="001654AB" w:rsidRPr="0085651A" w:rsidRDefault="001654AB" w:rsidP="001654AB">
      <w:pPr>
        <w:rPr>
          <w:rFonts w:ascii="Times New Roman" w:hAnsi="Times New Roman" w:cs="Times New Roman"/>
          <w:b/>
          <w:sz w:val="24"/>
          <w:szCs w:val="24"/>
        </w:rPr>
      </w:pPr>
      <w:r w:rsidRPr="0085651A">
        <w:rPr>
          <w:rFonts w:ascii="Times New Roman" w:hAnsi="Times New Roman" w:cs="Times New Roman"/>
          <w:b/>
          <w:sz w:val="24"/>
          <w:szCs w:val="24"/>
        </w:rPr>
        <w:t>4.3. Overview and assessment of the 2018/19 MTEF budget allocation per programme and</w:t>
      </w:r>
      <w:r w:rsidR="004274FF" w:rsidRPr="0085651A">
        <w:rPr>
          <w:rFonts w:ascii="Times New Roman" w:hAnsi="Times New Roman" w:cs="Times New Roman"/>
          <w:b/>
          <w:sz w:val="24"/>
          <w:szCs w:val="24"/>
        </w:rPr>
        <w:t xml:space="preserve"> 2018/19</w:t>
      </w:r>
      <w:r w:rsidRPr="0085651A">
        <w:rPr>
          <w:rFonts w:ascii="Times New Roman" w:hAnsi="Times New Roman" w:cs="Times New Roman"/>
          <w:b/>
          <w:sz w:val="24"/>
          <w:szCs w:val="24"/>
        </w:rPr>
        <w:t xml:space="preserve"> </w:t>
      </w:r>
      <w:r w:rsidR="004274FF" w:rsidRPr="0085651A">
        <w:rPr>
          <w:rFonts w:ascii="Times New Roman" w:hAnsi="Times New Roman" w:cs="Times New Roman"/>
          <w:b/>
          <w:sz w:val="24"/>
          <w:szCs w:val="24"/>
        </w:rPr>
        <w:t>performance</w:t>
      </w:r>
      <w:r w:rsidRPr="0085651A">
        <w:rPr>
          <w:rFonts w:ascii="Times New Roman" w:hAnsi="Times New Roman" w:cs="Times New Roman"/>
          <w:b/>
          <w:sz w:val="24"/>
          <w:szCs w:val="24"/>
        </w:rPr>
        <w:t xml:space="preserve"> indicators and targets</w:t>
      </w:r>
    </w:p>
    <w:p w14:paraId="1A63B18F" w14:textId="77777777" w:rsidR="001654AB" w:rsidRPr="0085651A" w:rsidRDefault="001654AB" w:rsidP="001654AB">
      <w:pPr>
        <w:rPr>
          <w:rFonts w:ascii="Times New Roman" w:hAnsi="Times New Roman" w:cs="Times New Roman"/>
          <w:b/>
          <w:sz w:val="24"/>
          <w:szCs w:val="24"/>
        </w:rPr>
      </w:pPr>
      <w:r w:rsidRPr="0085651A">
        <w:rPr>
          <w:rFonts w:ascii="Times New Roman" w:hAnsi="Times New Roman" w:cs="Times New Roman"/>
          <w:b/>
          <w:sz w:val="24"/>
          <w:szCs w:val="24"/>
        </w:rPr>
        <w:t>4.3.1. Programme 1: Administration</w:t>
      </w:r>
    </w:p>
    <w:p w14:paraId="7D9F7B02" w14:textId="77777777" w:rsidR="00EB3997" w:rsidRPr="0085651A" w:rsidRDefault="00EB3997" w:rsidP="00EB3997">
      <w:pPr>
        <w:rPr>
          <w:rFonts w:ascii="Times New Roman" w:hAnsi="Times New Roman" w:cs="Times New Roman"/>
          <w:sz w:val="24"/>
          <w:szCs w:val="24"/>
        </w:rPr>
      </w:pPr>
      <w:r w:rsidRPr="0085651A">
        <w:rPr>
          <w:rFonts w:ascii="Times New Roman" w:hAnsi="Times New Roman" w:cs="Times New Roman"/>
          <w:sz w:val="24"/>
          <w:szCs w:val="24"/>
        </w:rPr>
        <w:t>The purpose of this programme is to provide strategic leadership, management and support services to the Department. The Programme has six sub-programmes, namely: Ministry, Department Management, Corporate Services, Office of the Chief Financial Officer, Internal Audit and Office Accommodation.</w:t>
      </w:r>
    </w:p>
    <w:p w14:paraId="6A3F078A" w14:textId="77777777" w:rsidR="00D31D77" w:rsidRPr="0085651A" w:rsidRDefault="00D31D77" w:rsidP="00D31D77">
      <w:pPr>
        <w:rPr>
          <w:rFonts w:ascii="Times New Roman" w:hAnsi="Times New Roman" w:cs="Times New Roman"/>
          <w:sz w:val="24"/>
          <w:szCs w:val="24"/>
        </w:rPr>
      </w:pPr>
      <w:r w:rsidRPr="0085651A">
        <w:rPr>
          <w:rFonts w:ascii="Times New Roman" w:hAnsi="Times New Roman" w:cs="Times New Roman"/>
          <w:b/>
          <w:sz w:val="24"/>
          <w:szCs w:val="24"/>
        </w:rPr>
        <w:t>4.3.1.1.</w:t>
      </w:r>
      <w:r w:rsidRPr="0085651A">
        <w:rPr>
          <w:rFonts w:ascii="Times New Roman" w:hAnsi="Times New Roman" w:cs="Times New Roman"/>
          <w:sz w:val="24"/>
          <w:szCs w:val="24"/>
        </w:rPr>
        <w:t xml:space="preserve"> </w:t>
      </w:r>
      <w:r w:rsidRPr="0085651A">
        <w:rPr>
          <w:rFonts w:ascii="Times New Roman" w:hAnsi="Times New Roman" w:cs="Times New Roman"/>
          <w:b/>
          <w:sz w:val="24"/>
          <w:szCs w:val="24"/>
        </w:rPr>
        <w:t>Overview and assessment of the 2018/19 MTEF budget allocation</w:t>
      </w:r>
    </w:p>
    <w:p w14:paraId="0F11373E" w14:textId="77777777" w:rsidR="00EB3997" w:rsidRPr="0085651A" w:rsidRDefault="00EB3997" w:rsidP="00EB3997">
      <w:pPr>
        <w:autoSpaceDE w:val="0"/>
        <w:autoSpaceDN w:val="0"/>
        <w:adjustRightInd w:val="0"/>
        <w:spacing w:after="0"/>
        <w:rPr>
          <w:rFonts w:ascii="Times New Roman" w:hAnsi="Times New Roman" w:cs="Times New Roman"/>
          <w:bCs/>
          <w:sz w:val="24"/>
          <w:szCs w:val="24"/>
          <w:lang w:val="en-US"/>
        </w:rPr>
      </w:pPr>
      <w:r w:rsidRPr="0085651A">
        <w:rPr>
          <w:rFonts w:ascii="Times New Roman" w:hAnsi="Times New Roman" w:cs="Times New Roman"/>
          <w:bCs/>
          <w:sz w:val="24"/>
          <w:szCs w:val="24"/>
          <w:lang w:val="en-US"/>
        </w:rPr>
        <w:t>For the 2018/19 financial year, the programme received a total allocation of R432.</w:t>
      </w:r>
      <w:r w:rsidR="000D7963" w:rsidRPr="0085651A">
        <w:rPr>
          <w:rFonts w:ascii="Times New Roman" w:hAnsi="Times New Roman" w:cs="Times New Roman"/>
          <w:bCs/>
          <w:sz w:val="24"/>
          <w:szCs w:val="24"/>
          <w:lang w:val="en-US"/>
        </w:rPr>
        <w:t>3</w:t>
      </w:r>
      <w:r w:rsidRPr="0085651A">
        <w:rPr>
          <w:rFonts w:ascii="Times New Roman" w:hAnsi="Times New Roman" w:cs="Times New Roman"/>
          <w:bCs/>
          <w:sz w:val="24"/>
          <w:szCs w:val="24"/>
          <w:lang w:val="en-US"/>
        </w:rPr>
        <w:t xml:space="preserve"> million</w:t>
      </w:r>
      <w:r w:rsidR="00CF0341" w:rsidRPr="0085651A">
        <w:rPr>
          <w:rFonts w:ascii="Times New Roman" w:hAnsi="Times New Roman" w:cs="Times New Roman"/>
          <w:bCs/>
          <w:sz w:val="24"/>
          <w:szCs w:val="24"/>
          <w:lang w:val="en-US"/>
        </w:rPr>
        <w:t>. The budget increased by</w:t>
      </w:r>
      <w:r w:rsidRPr="0085651A">
        <w:rPr>
          <w:rFonts w:ascii="Times New Roman" w:hAnsi="Times New Roman" w:cs="Times New Roman"/>
          <w:bCs/>
          <w:sz w:val="24"/>
          <w:szCs w:val="24"/>
          <w:lang w:val="en-US"/>
        </w:rPr>
        <w:t xml:space="preserve"> R31.9 million</w:t>
      </w:r>
      <w:r w:rsidR="00CF0341" w:rsidRPr="0085651A">
        <w:rPr>
          <w:rFonts w:ascii="Times New Roman" w:hAnsi="Times New Roman" w:cs="Times New Roman"/>
          <w:bCs/>
          <w:sz w:val="24"/>
          <w:szCs w:val="24"/>
          <w:lang w:val="en-US"/>
        </w:rPr>
        <w:t xml:space="preserve"> from R400.4 million in 2017/18</w:t>
      </w:r>
      <w:r w:rsidR="0001560F" w:rsidRPr="0085651A">
        <w:rPr>
          <w:rFonts w:ascii="Times New Roman" w:hAnsi="Times New Roman" w:cs="Times New Roman"/>
          <w:bCs/>
          <w:sz w:val="24"/>
          <w:szCs w:val="24"/>
          <w:lang w:val="en-US"/>
        </w:rPr>
        <w:t xml:space="preserve">. </w:t>
      </w:r>
      <w:r w:rsidRPr="0085651A">
        <w:rPr>
          <w:rFonts w:ascii="Times New Roman" w:hAnsi="Times New Roman" w:cs="Times New Roman"/>
          <w:bCs/>
          <w:sz w:val="24"/>
          <w:szCs w:val="24"/>
          <w:lang w:val="en-US"/>
        </w:rPr>
        <w:t xml:space="preserve">The programme’s budget accounts for 0.59 percent of the Department’s total budget excluding the direct charges. The budget is expected to increase in the MTEF </w:t>
      </w:r>
      <w:r w:rsidR="00A67AA4" w:rsidRPr="0085651A">
        <w:rPr>
          <w:rFonts w:ascii="Times New Roman" w:hAnsi="Times New Roman" w:cs="Times New Roman"/>
          <w:sz w:val="24"/>
          <w:szCs w:val="24"/>
        </w:rPr>
        <w:t>period</w:t>
      </w:r>
      <w:r w:rsidR="00A67AA4" w:rsidRPr="0085651A">
        <w:rPr>
          <w:rFonts w:ascii="Times New Roman" w:hAnsi="Times New Roman" w:cs="Times New Roman"/>
          <w:bCs/>
          <w:sz w:val="24"/>
          <w:szCs w:val="24"/>
          <w:lang w:val="en-US"/>
        </w:rPr>
        <w:t xml:space="preserve"> </w:t>
      </w:r>
      <w:r w:rsidRPr="0085651A">
        <w:rPr>
          <w:rFonts w:ascii="Times New Roman" w:hAnsi="Times New Roman" w:cs="Times New Roman"/>
          <w:bCs/>
          <w:sz w:val="24"/>
          <w:szCs w:val="24"/>
          <w:lang w:val="en-US"/>
        </w:rPr>
        <w:t xml:space="preserve">to R461.1 million and R493.7 million in 2019/20 and 2020/21 respectively. The bulk of the budget of the programme, 39.02 percent is allocated to sub-programme 3: Corporate Services, followed by sub-programme 4: Office of the Chief Financial Officer at 21.10 percent. Sub-programme 5: Internal Audit received the highest increase of 37.37 percent in nominal terms, followed by sub-programme 2: Departmental Management and sub-programme 1: Ministry by 13.54 percent and 11.46 percent </w:t>
      </w:r>
      <w:r w:rsidR="00D31D77" w:rsidRPr="0085651A">
        <w:rPr>
          <w:rFonts w:ascii="Times New Roman" w:hAnsi="Times New Roman" w:cs="Times New Roman"/>
          <w:bCs/>
          <w:sz w:val="24"/>
          <w:szCs w:val="24"/>
          <w:lang w:val="en-US"/>
        </w:rPr>
        <w:t xml:space="preserve">respectively. </w:t>
      </w:r>
    </w:p>
    <w:p w14:paraId="2280ED8A" w14:textId="77777777" w:rsidR="00D31D77" w:rsidRPr="0085651A" w:rsidRDefault="00D31D77" w:rsidP="00EB3997">
      <w:pPr>
        <w:autoSpaceDE w:val="0"/>
        <w:autoSpaceDN w:val="0"/>
        <w:adjustRightInd w:val="0"/>
        <w:spacing w:after="0"/>
        <w:rPr>
          <w:rFonts w:ascii="Times New Roman" w:hAnsi="Times New Roman" w:cs="Times New Roman"/>
          <w:bCs/>
          <w:sz w:val="24"/>
          <w:szCs w:val="24"/>
          <w:lang w:val="en-US"/>
        </w:rPr>
      </w:pPr>
    </w:p>
    <w:p w14:paraId="47257A75" w14:textId="77777777" w:rsidR="008006FC" w:rsidRPr="0085651A" w:rsidRDefault="00EB3997" w:rsidP="00D31D77">
      <w:pPr>
        <w:autoSpaceDE w:val="0"/>
        <w:autoSpaceDN w:val="0"/>
        <w:adjustRightInd w:val="0"/>
        <w:spacing w:after="0"/>
        <w:rPr>
          <w:rFonts w:ascii="Times New Roman" w:hAnsi="Times New Roman" w:cs="Times New Roman"/>
          <w:bCs/>
          <w:sz w:val="24"/>
          <w:szCs w:val="24"/>
          <w:lang w:val="en-US"/>
        </w:rPr>
      </w:pPr>
      <w:r w:rsidRPr="0085651A">
        <w:rPr>
          <w:rFonts w:ascii="Times New Roman" w:hAnsi="Times New Roman" w:cs="Times New Roman"/>
          <w:bCs/>
          <w:sz w:val="24"/>
          <w:szCs w:val="24"/>
          <w:lang w:val="en-US"/>
        </w:rPr>
        <w:t xml:space="preserve">In terms of economic classification, R427.6 million is for current payments, of which R248 million is for compensation of employees and R179.7 for goods and services. The bulk of the budget on goods and services allocation, R68.3 million is allocated for property payments and followed by R37.5 million for computer services. </w:t>
      </w:r>
    </w:p>
    <w:p w14:paraId="03D7C49B" w14:textId="77777777" w:rsidR="00A20658" w:rsidRPr="0085651A" w:rsidRDefault="00A20658" w:rsidP="00D31D77">
      <w:pPr>
        <w:rPr>
          <w:rFonts w:ascii="Times New Roman" w:hAnsi="Times New Roman" w:cs="Times New Roman"/>
          <w:b/>
          <w:sz w:val="24"/>
          <w:szCs w:val="24"/>
        </w:rPr>
      </w:pPr>
    </w:p>
    <w:p w14:paraId="079E2995" w14:textId="77777777" w:rsidR="0001560F" w:rsidRPr="0085651A" w:rsidRDefault="00D31D77" w:rsidP="00D31D77">
      <w:pPr>
        <w:rPr>
          <w:rFonts w:ascii="Times New Roman" w:hAnsi="Times New Roman" w:cs="Times New Roman"/>
          <w:b/>
          <w:sz w:val="24"/>
          <w:szCs w:val="24"/>
        </w:rPr>
      </w:pPr>
      <w:r w:rsidRPr="0085651A">
        <w:rPr>
          <w:rFonts w:ascii="Times New Roman" w:hAnsi="Times New Roman" w:cs="Times New Roman"/>
          <w:b/>
          <w:sz w:val="24"/>
          <w:szCs w:val="24"/>
        </w:rPr>
        <w:t xml:space="preserve">4.3.1.2. Overview and assessment of </w:t>
      </w:r>
      <w:r w:rsidR="00F53454" w:rsidRPr="0085651A">
        <w:rPr>
          <w:rFonts w:ascii="Times New Roman" w:hAnsi="Times New Roman" w:cs="Times New Roman"/>
          <w:b/>
          <w:sz w:val="24"/>
          <w:szCs w:val="24"/>
        </w:rPr>
        <w:t>2018/19 performance</w:t>
      </w:r>
      <w:r w:rsidRPr="0085651A">
        <w:rPr>
          <w:rFonts w:ascii="Times New Roman" w:hAnsi="Times New Roman" w:cs="Times New Roman"/>
          <w:b/>
          <w:sz w:val="24"/>
          <w:szCs w:val="24"/>
        </w:rPr>
        <w:t xml:space="preserve"> indicators and targets</w:t>
      </w:r>
    </w:p>
    <w:p w14:paraId="59ADE03E" w14:textId="77777777" w:rsidR="00D31D77" w:rsidRPr="0085651A" w:rsidRDefault="00D31D77" w:rsidP="00D31D77">
      <w:pPr>
        <w:rPr>
          <w:rFonts w:ascii="Times New Roman" w:hAnsi="Times New Roman" w:cs="Times New Roman"/>
          <w:b/>
          <w:sz w:val="24"/>
          <w:szCs w:val="24"/>
        </w:rPr>
      </w:pPr>
      <w:r w:rsidRPr="0085651A">
        <w:rPr>
          <w:rFonts w:ascii="Times New Roman" w:hAnsi="Times New Roman" w:cs="Times New Roman"/>
          <w:sz w:val="24"/>
          <w:szCs w:val="24"/>
        </w:rPr>
        <w:lastRenderedPageBreak/>
        <w:t xml:space="preserve">The programme has three strategic objectives with six performance indicators spread across the strategic objectives. For the 2018/19 financial year, the programme has six targets, namely: to fill 90 percent of the approved positions, to resolve 100 percent of disciplinary cases within 90 days per annum, to reduce the average number of days to fill an advertised position to 180 days per annum, to pay creditors within 30 days, to achieve an unqualified audit and to implement 95 percent of Information Communication Technology (ICT) improvement initiatives. </w:t>
      </w:r>
    </w:p>
    <w:p w14:paraId="7E807D51" w14:textId="77777777" w:rsidR="001654AB" w:rsidRPr="0085651A" w:rsidRDefault="001654AB" w:rsidP="001654AB">
      <w:pPr>
        <w:rPr>
          <w:rFonts w:ascii="Times New Roman" w:hAnsi="Times New Roman" w:cs="Times New Roman"/>
          <w:b/>
          <w:bCs/>
          <w:sz w:val="24"/>
          <w:szCs w:val="24"/>
          <w:lang w:val="en-US"/>
        </w:rPr>
      </w:pPr>
      <w:r w:rsidRPr="0085651A">
        <w:rPr>
          <w:rFonts w:ascii="Times New Roman" w:hAnsi="Times New Roman" w:cs="Times New Roman"/>
          <w:b/>
          <w:sz w:val="24"/>
          <w:szCs w:val="24"/>
        </w:rPr>
        <w:t xml:space="preserve">4.3.2. </w:t>
      </w:r>
      <w:r w:rsidRPr="0085651A">
        <w:rPr>
          <w:rFonts w:ascii="Times New Roman" w:hAnsi="Times New Roman" w:cs="Times New Roman"/>
          <w:b/>
          <w:bCs/>
          <w:sz w:val="24"/>
          <w:szCs w:val="24"/>
          <w:lang w:val="en-US"/>
        </w:rPr>
        <w:t>Programme 2: Planning, Policy and Strategy</w:t>
      </w:r>
    </w:p>
    <w:p w14:paraId="2254819E" w14:textId="77777777" w:rsidR="00F91B60" w:rsidRPr="0085651A" w:rsidRDefault="00F91B60" w:rsidP="00F91B60">
      <w:pPr>
        <w:autoSpaceDE w:val="0"/>
        <w:autoSpaceDN w:val="0"/>
        <w:adjustRightInd w:val="0"/>
        <w:spacing w:after="0"/>
        <w:rPr>
          <w:rFonts w:ascii="Times New Roman" w:hAnsi="Times New Roman" w:cs="Times New Roman"/>
          <w:sz w:val="24"/>
          <w:szCs w:val="24"/>
        </w:rPr>
      </w:pPr>
      <w:r w:rsidRPr="0085651A">
        <w:rPr>
          <w:rFonts w:ascii="Times New Roman" w:hAnsi="Times New Roman" w:cs="Times New Roman"/>
          <w:sz w:val="24"/>
          <w:szCs w:val="24"/>
          <w:lang w:val="en-US"/>
        </w:rPr>
        <w:t xml:space="preserve">The purpose of this programme is to provide strategic direction in the development, implementation and monitoring of departmental policies and in the human resource development strategy for South Africa. </w:t>
      </w:r>
      <w:r w:rsidRPr="0085651A">
        <w:rPr>
          <w:rFonts w:ascii="Times New Roman" w:hAnsi="Times New Roman" w:cs="Times New Roman"/>
          <w:sz w:val="24"/>
          <w:szCs w:val="24"/>
        </w:rPr>
        <w:t xml:space="preserve">The Programme has six budget sub-programmes, namely; Programme Management: Planning, Policy and Strategy; Human Resource Development Strategic Planning and Coordination; Planning, Information, Monitoring and Evaluation Coordination; International Relations; Legal and Legislative Services and Social Inclusion in Education. </w:t>
      </w:r>
    </w:p>
    <w:p w14:paraId="1EFD412C" w14:textId="77777777" w:rsidR="00896F6D" w:rsidRPr="0085651A" w:rsidRDefault="00896F6D" w:rsidP="00F91B60">
      <w:pPr>
        <w:autoSpaceDE w:val="0"/>
        <w:autoSpaceDN w:val="0"/>
        <w:adjustRightInd w:val="0"/>
        <w:spacing w:after="0"/>
        <w:rPr>
          <w:rFonts w:ascii="Times New Roman" w:hAnsi="Times New Roman" w:cs="Times New Roman"/>
          <w:sz w:val="24"/>
          <w:szCs w:val="24"/>
        </w:rPr>
      </w:pPr>
    </w:p>
    <w:p w14:paraId="74BA065B" w14:textId="77777777" w:rsidR="00F91B60" w:rsidRPr="0085651A" w:rsidRDefault="00340948" w:rsidP="00080EAE">
      <w:pPr>
        <w:rPr>
          <w:rFonts w:ascii="Times New Roman" w:hAnsi="Times New Roman" w:cs="Times New Roman"/>
          <w:sz w:val="24"/>
          <w:szCs w:val="24"/>
        </w:rPr>
      </w:pPr>
      <w:r w:rsidRPr="0085651A">
        <w:rPr>
          <w:rFonts w:ascii="Times New Roman" w:hAnsi="Times New Roman" w:cs="Times New Roman"/>
          <w:b/>
          <w:sz w:val="24"/>
          <w:szCs w:val="24"/>
        </w:rPr>
        <w:t>4.3.2.1. Overview and assessment of the 2018/19 MTEF budget allocation</w:t>
      </w:r>
    </w:p>
    <w:p w14:paraId="1F92B4F1" w14:textId="77777777" w:rsidR="00657C7F" w:rsidRPr="0085651A" w:rsidRDefault="00F91B60" w:rsidP="007761BD">
      <w:pPr>
        <w:autoSpaceDE w:val="0"/>
        <w:autoSpaceDN w:val="0"/>
        <w:adjustRightInd w:val="0"/>
        <w:spacing w:after="0"/>
        <w:rPr>
          <w:rFonts w:ascii="Times New Roman" w:hAnsi="Times New Roman" w:cs="Times New Roman"/>
          <w:sz w:val="24"/>
          <w:szCs w:val="24"/>
          <w:lang w:val="en-US"/>
        </w:rPr>
      </w:pPr>
      <w:r w:rsidRPr="0085651A">
        <w:rPr>
          <w:rFonts w:ascii="Times New Roman" w:hAnsi="Times New Roman" w:cs="Times New Roman"/>
          <w:sz w:val="24"/>
          <w:szCs w:val="24"/>
          <w:lang w:val="en-US"/>
        </w:rPr>
        <w:t>The programme received a total budget of R80.2 million for the 2018/19 financial year. The programme’s budget accounts for 0.11 percent of the Department’s total budget excluding direct charge</w:t>
      </w:r>
      <w:r w:rsidR="00896F6D" w:rsidRPr="0085651A">
        <w:rPr>
          <w:rFonts w:ascii="Times New Roman" w:hAnsi="Times New Roman" w:cs="Times New Roman"/>
          <w:sz w:val="24"/>
          <w:szCs w:val="24"/>
          <w:lang w:val="en-US"/>
        </w:rPr>
        <w:t>s</w:t>
      </w:r>
      <w:r w:rsidRPr="0085651A">
        <w:rPr>
          <w:rFonts w:ascii="Times New Roman" w:hAnsi="Times New Roman" w:cs="Times New Roman"/>
          <w:sz w:val="24"/>
          <w:szCs w:val="24"/>
          <w:lang w:val="en-US"/>
        </w:rPr>
        <w:t>. The budget has increased by R11.9 million</w:t>
      </w:r>
      <w:r w:rsidR="0001560F" w:rsidRPr="0085651A">
        <w:rPr>
          <w:rFonts w:ascii="Times New Roman" w:hAnsi="Times New Roman" w:cs="Times New Roman"/>
          <w:sz w:val="24"/>
          <w:szCs w:val="24"/>
          <w:lang w:val="en-US"/>
        </w:rPr>
        <w:t>.</w:t>
      </w:r>
      <w:r w:rsidRPr="0085651A">
        <w:rPr>
          <w:rFonts w:ascii="Times New Roman" w:hAnsi="Times New Roman" w:cs="Times New Roman"/>
          <w:sz w:val="24"/>
          <w:szCs w:val="24"/>
          <w:lang w:val="en-US"/>
        </w:rPr>
        <w:t xml:space="preserve">  R76 million of the programme’s total budget is allocated to current payments, of which R65.9 million is for compensation of employees and R10.2 million for goods and services. </w:t>
      </w:r>
      <w:r w:rsidR="000521AF" w:rsidRPr="0085651A">
        <w:rPr>
          <w:rFonts w:ascii="Times New Roman" w:hAnsi="Times New Roman" w:cs="Times New Roman"/>
          <w:sz w:val="24"/>
          <w:szCs w:val="24"/>
          <w:lang w:val="en-US"/>
        </w:rPr>
        <w:t>The budget for t</w:t>
      </w:r>
      <w:r w:rsidRPr="0085651A">
        <w:rPr>
          <w:rFonts w:ascii="Times New Roman" w:hAnsi="Times New Roman" w:cs="Times New Roman"/>
          <w:sz w:val="24"/>
          <w:szCs w:val="24"/>
          <w:lang w:val="en-US"/>
        </w:rPr>
        <w:t xml:space="preserve">ransfers and subsidies to foreign governments </w:t>
      </w:r>
      <w:r w:rsidR="008C2366" w:rsidRPr="0085651A">
        <w:rPr>
          <w:rFonts w:ascii="Times New Roman" w:hAnsi="Times New Roman" w:cs="Times New Roman"/>
          <w:sz w:val="24"/>
          <w:szCs w:val="24"/>
          <w:lang w:val="en-US"/>
        </w:rPr>
        <w:t xml:space="preserve">and </w:t>
      </w:r>
      <w:r w:rsidRPr="0085651A">
        <w:rPr>
          <w:rFonts w:ascii="Times New Roman" w:hAnsi="Times New Roman" w:cs="Times New Roman"/>
          <w:sz w:val="24"/>
          <w:szCs w:val="24"/>
          <w:lang w:val="en-US"/>
        </w:rPr>
        <w:t xml:space="preserve">international </w:t>
      </w:r>
      <w:r w:rsidR="00807365" w:rsidRPr="0085651A">
        <w:rPr>
          <w:rFonts w:ascii="Times New Roman" w:hAnsi="Times New Roman" w:cs="Times New Roman"/>
          <w:sz w:val="24"/>
          <w:szCs w:val="24"/>
          <w:lang w:val="en-US"/>
        </w:rPr>
        <w:t>organizations for</w:t>
      </w:r>
      <w:r w:rsidRPr="0085651A">
        <w:rPr>
          <w:rFonts w:ascii="Times New Roman" w:hAnsi="Times New Roman" w:cs="Times New Roman"/>
          <w:sz w:val="24"/>
          <w:szCs w:val="24"/>
          <w:lang w:val="en-US"/>
        </w:rPr>
        <w:t xml:space="preserve"> the 2018/19 financial year amounts to R3.7 million. </w:t>
      </w:r>
      <w:r w:rsidR="00D101EC" w:rsidRPr="0085651A">
        <w:rPr>
          <w:rFonts w:ascii="Times New Roman" w:hAnsi="Times New Roman" w:cs="Times New Roman"/>
          <w:sz w:val="24"/>
          <w:szCs w:val="24"/>
          <w:lang w:val="en-US"/>
        </w:rPr>
        <w:t>The p</w:t>
      </w:r>
      <w:r w:rsidRPr="0085651A">
        <w:rPr>
          <w:rFonts w:ascii="Times New Roman" w:hAnsi="Times New Roman" w:cs="Times New Roman"/>
          <w:sz w:val="24"/>
          <w:szCs w:val="24"/>
          <w:lang w:val="en-US"/>
        </w:rPr>
        <w:t xml:space="preserve">ayments </w:t>
      </w:r>
      <w:r w:rsidR="00D101EC" w:rsidRPr="0085651A">
        <w:rPr>
          <w:rFonts w:ascii="Times New Roman" w:hAnsi="Times New Roman" w:cs="Times New Roman"/>
          <w:sz w:val="24"/>
          <w:szCs w:val="24"/>
          <w:lang w:val="en-US"/>
        </w:rPr>
        <w:t>for capital assets allocation amounts to</w:t>
      </w:r>
      <w:r w:rsidRPr="0085651A">
        <w:rPr>
          <w:rFonts w:ascii="Times New Roman" w:hAnsi="Times New Roman" w:cs="Times New Roman"/>
          <w:sz w:val="24"/>
          <w:szCs w:val="24"/>
          <w:lang w:val="en-US"/>
        </w:rPr>
        <w:t xml:space="preserve"> R0.4 million.</w:t>
      </w:r>
    </w:p>
    <w:p w14:paraId="5A3439F8" w14:textId="77777777" w:rsidR="00251D5B" w:rsidRPr="0085651A" w:rsidRDefault="00251D5B" w:rsidP="007761BD">
      <w:pPr>
        <w:autoSpaceDE w:val="0"/>
        <w:autoSpaceDN w:val="0"/>
        <w:adjustRightInd w:val="0"/>
        <w:spacing w:after="0"/>
        <w:rPr>
          <w:rFonts w:ascii="Times New Roman" w:hAnsi="Times New Roman" w:cs="Times New Roman"/>
          <w:sz w:val="24"/>
          <w:szCs w:val="24"/>
          <w:lang w:val="en-US"/>
        </w:rPr>
      </w:pPr>
    </w:p>
    <w:p w14:paraId="20A0D6AE" w14:textId="77777777" w:rsidR="0017109E" w:rsidRPr="0085651A" w:rsidRDefault="0017109E" w:rsidP="007761BD">
      <w:pPr>
        <w:autoSpaceDE w:val="0"/>
        <w:autoSpaceDN w:val="0"/>
        <w:adjustRightInd w:val="0"/>
        <w:spacing w:after="0"/>
        <w:rPr>
          <w:rFonts w:ascii="Times New Roman" w:hAnsi="Times New Roman" w:cs="Times New Roman"/>
          <w:b/>
          <w:sz w:val="24"/>
          <w:szCs w:val="24"/>
        </w:rPr>
      </w:pPr>
    </w:p>
    <w:p w14:paraId="5558A727" w14:textId="77777777" w:rsidR="008006FC" w:rsidRPr="0085651A" w:rsidRDefault="008006FC" w:rsidP="007761BD">
      <w:pPr>
        <w:autoSpaceDE w:val="0"/>
        <w:autoSpaceDN w:val="0"/>
        <w:adjustRightInd w:val="0"/>
        <w:spacing w:after="0"/>
        <w:rPr>
          <w:rFonts w:ascii="Times New Roman" w:hAnsi="Times New Roman" w:cs="Times New Roman"/>
          <w:b/>
          <w:sz w:val="24"/>
          <w:szCs w:val="24"/>
        </w:rPr>
      </w:pPr>
      <w:r w:rsidRPr="0085651A">
        <w:rPr>
          <w:rFonts w:ascii="Times New Roman" w:hAnsi="Times New Roman" w:cs="Times New Roman"/>
          <w:b/>
          <w:sz w:val="24"/>
          <w:szCs w:val="24"/>
        </w:rPr>
        <w:t xml:space="preserve">4.3.2.2. Overview and assessment of </w:t>
      </w:r>
      <w:r w:rsidR="004274FF" w:rsidRPr="0085651A">
        <w:rPr>
          <w:rFonts w:ascii="Times New Roman" w:hAnsi="Times New Roman" w:cs="Times New Roman"/>
          <w:b/>
          <w:sz w:val="24"/>
          <w:szCs w:val="24"/>
        </w:rPr>
        <w:t>2018/19 performance</w:t>
      </w:r>
      <w:r w:rsidRPr="0085651A">
        <w:rPr>
          <w:rFonts w:ascii="Times New Roman" w:hAnsi="Times New Roman" w:cs="Times New Roman"/>
          <w:b/>
          <w:sz w:val="24"/>
          <w:szCs w:val="24"/>
        </w:rPr>
        <w:t xml:space="preserve"> indicators and targets</w:t>
      </w:r>
    </w:p>
    <w:p w14:paraId="45116A1F" w14:textId="77777777" w:rsidR="00896F6D" w:rsidRPr="0085651A" w:rsidRDefault="00782F3F" w:rsidP="00782F3F">
      <w:pPr>
        <w:rPr>
          <w:rFonts w:ascii="Times New Roman" w:hAnsi="Times New Roman" w:cs="Times New Roman"/>
          <w:bCs/>
          <w:sz w:val="24"/>
          <w:szCs w:val="24"/>
          <w:lang w:val="en-US"/>
        </w:rPr>
      </w:pPr>
      <w:r w:rsidRPr="0085651A">
        <w:rPr>
          <w:rFonts w:ascii="Times New Roman" w:hAnsi="Times New Roman" w:cs="Times New Roman"/>
          <w:bCs/>
          <w:sz w:val="24"/>
          <w:szCs w:val="24"/>
          <w:lang w:val="en-US"/>
        </w:rPr>
        <w:t xml:space="preserve">The programme has five strategic objectives with 10 MTSF performance indicators. For the 2018/19 financial year, the targets are: to develop and approve seven monitoring and evaluation reports, to develop and approve a report on student support services plan for the post-school education and training (PSET) sector, to develop and approve a report on </w:t>
      </w:r>
      <w:r w:rsidRPr="0085651A">
        <w:rPr>
          <w:rFonts w:ascii="Times New Roman" w:hAnsi="Times New Roman" w:cs="Times New Roman"/>
          <w:bCs/>
          <w:sz w:val="24"/>
          <w:szCs w:val="24"/>
          <w:lang w:val="en-US"/>
        </w:rPr>
        <w:lastRenderedPageBreak/>
        <w:t xml:space="preserve">management information system (MIS), to approve and publish a report on skills supply and demand bi-annually and to approve and publish a statistical report on PSET annually. </w:t>
      </w:r>
    </w:p>
    <w:p w14:paraId="4820F0C4" w14:textId="77777777" w:rsidR="00782F3F" w:rsidRPr="0085651A" w:rsidRDefault="00782F3F" w:rsidP="00782F3F">
      <w:pPr>
        <w:rPr>
          <w:rFonts w:ascii="Times New Roman" w:hAnsi="Times New Roman" w:cs="Times New Roman"/>
          <w:bCs/>
          <w:sz w:val="24"/>
          <w:szCs w:val="24"/>
          <w:lang w:val="en-US"/>
        </w:rPr>
      </w:pPr>
      <w:r w:rsidRPr="0085651A">
        <w:rPr>
          <w:rFonts w:ascii="Times New Roman" w:hAnsi="Times New Roman" w:cs="Times New Roman"/>
          <w:bCs/>
          <w:sz w:val="24"/>
          <w:szCs w:val="24"/>
          <w:lang w:val="en-US"/>
        </w:rPr>
        <w:t>Besides the planned targets, the Department will also prioritise, among others</w:t>
      </w:r>
      <w:r w:rsidR="00FA56E3" w:rsidRPr="0085651A">
        <w:rPr>
          <w:rFonts w:ascii="Times New Roman" w:hAnsi="Times New Roman" w:cs="Times New Roman"/>
          <w:bCs/>
          <w:sz w:val="24"/>
          <w:szCs w:val="24"/>
          <w:lang w:val="en-US"/>
        </w:rPr>
        <w:t>:</w:t>
      </w:r>
      <w:r w:rsidRPr="0085651A">
        <w:rPr>
          <w:rFonts w:ascii="Times New Roman" w:hAnsi="Times New Roman" w:cs="Times New Roman"/>
          <w:bCs/>
          <w:sz w:val="24"/>
          <w:szCs w:val="24"/>
          <w:lang w:val="en-US"/>
        </w:rPr>
        <w:t xml:space="preserve"> the development of </w:t>
      </w:r>
      <w:r w:rsidR="00807365" w:rsidRPr="0085651A">
        <w:rPr>
          <w:rFonts w:ascii="Times New Roman" w:hAnsi="Times New Roman" w:cs="Times New Roman"/>
          <w:bCs/>
          <w:sz w:val="24"/>
          <w:szCs w:val="24"/>
          <w:lang w:val="en-US"/>
        </w:rPr>
        <w:t>an Integrated</w:t>
      </w:r>
      <w:r w:rsidRPr="0085651A">
        <w:rPr>
          <w:rFonts w:ascii="Times New Roman" w:hAnsi="Times New Roman" w:cs="Times New Roman"/>
          <w:bCs/>
          <w:sz w:val="24"/>
          <w:szCs w:val="24"/>
          <w:lang w:val="en-US"/>
        </w:rPr>
        <w:t xml:space="preserve"> National Career Development System for South Africa, submission of Open Learning Policy Framework for PSET System for tabling at Cabinet, implementation of the Recognition of Prior Learning (RPL) coordination mechanism as required by the Minister’s RPL policy, to implement Articulation Policy and student support plan for RPL candidates, and to implement statutory requirements of the South African Qualifications </w:t>
      </w:r>
      <w:r w:rsidR="000521AF" w:rsidRPr="0085651A">
        <w:rPr>
          <w:rFonts w:ascii="Times New Roman" w:hAnsi="Times New Roman" w:cs="Times New Roman"/>
          <w:bCs/>
          <w:sz w:val="24"/>
          <w:szCs w:val="24"/>
          <w:lang w:val="en-US"/>
        </w:rPr>
        <w:t xml:space="preserve">Authority (SAQA) </w:t>
      </w:r>
      <w:r w:rsidRPr="0085651A">
        <w:rPr>
          <w:rFonts w:ascii="Times New Roman" w:hAnsi="Times New Roman" w:cs="Times New Roman"/>
          <w:bCs/>
          <w:sz w:val="24"/>
          <w:szCs w:val="24"/>
          <w:lang w:val="en-US"/>
        </w:rPr>
        <w:t>and the three Quality Councils in terms of the National Qualifications Framework (NQF) Act, Social Inclusion and  the Strategic Policy Framework for Disability in the PSET system.</w:t>
      </w:r>
    </w:p>
    <w:p w14:paraId="32C17050" w14:textId="77777777" w:rsidR="001654AB" w:rsidRPr="0085651A" w:rsidRDefault="001654AB" w:rsidP="001654AB">
      <w:pPr>
        <w:rPr>
          <w:rFonts w:ascii="Times New Roman" w:hAnsi="Times New Roman" w:cs="Times New Roman"/>
          <w:b/>
          <w:sz w:val="24"/>
          <w:szCs w:val="24"/>
        </w:rPr>
      </w:pPr>
      <w:r w:rsidRPr="0085651A">
        <w:rPr>
          <w:rFonts w:ascii="Times New Roman" w:hAnsi="Times New Roman" w:cs="Times New Roman"/>
          <w:b/>
          <w:bCs/>
          <w:sz w:val="24"/>
          <w:szCs w:val="24"/>
          <w:lang w:val="en-US"/>
        </w:rPr>
        <w:t xml:space="preserve">4.3.3. </w:t>
      </w:r>
      <w:r w:rsidRPr="0085651A">
        <w:rPr>
          <w:rFonts w:ascii="Times New Roman" w:hAnsi="Times New Roman" w:cs="Times New Roman"/>
          <w:b/>
          <w:sz w:val="24"/>
          <w:szCs w:val="24"/>
        </w:rPr>
        <w:t>Programme 3: University Education</w:t>
      </w:r>
    </w:p>
    <w:p w14:paraId="41FE7020" w14:textId="77777777" w:rsidR="006B02A7" w:rsidRPr="0085651A" w:rsidRDefault="000758AE" w:rsidP="000758AE">
      <w:pPr>
        <w:rPr>
          <w:rFonts w:ascii="Times New Roman" w:hAnsi="Times New Roman" w:cs="Times New Roman"/>
          <w:sz w:val="24"/>
          <w:szCs w:val="24"/>
          <w:lang w:val="en-US"/>
        </w:rPr>
      </w:pPr>
      <w:r w:rsidRPr="0085651A">
        <w:rPr>
          <w:rFonts w:ascii="Times New Roman" w:hAnsi="Times New Roman" w:cs="Times New Roman"/>
          <w:sz w:val="24"/>
          <w:szCs w:val="24"/>
          <w:lang w:val="en-US"/>
        </w:rPr>
        <w:t>The purpose of this programme is to develop and coordinate policy and regulatory frameworks for an effective and efficient university education system and to provide financial support to universities, the National Student Financial Aid Scheme and national institutes for higher education.</w:t>
      </w:r>
    </w:p>
    <w:p w14:paraId="592044E7" w14:textId="77777777" w:rsidR="00285025" w:rsidRPr="0085651A" w:rsidRDefault="00285025" w:rsidP="000758AE">
      <w:pPr>
        <w:rPr>
          <w:rFonts w:ascii="Times New Roman" w:hAnsi="Times New Roman" w:cs="Times New Roman"/>
          <w:sz w:val="24"/>
          <w:szCs w:val="24"/>
          <w:lang w:val="en-US"/>
        </w:rPr>
      </w:pPr>
      <w:r w:rsidRPr="0085651A">
        <w:rPr>
          <w:rFonts w:ascii="Times New Roman" w:hAnsi="Times New Roman" w:cs="Times New Roman"/>
          <w:b/>
          <w:sz w:val="24"/>
          <w:szCs w:val="24"/>
        </w:rPr>
        <w:t>4.3.3.1. Overview and assessment of the 2018/19 MTEF budget allocation</w:t>
      </w:r>
    </w:p>
    <w:p w14:paraId="4600447C" w14:textId="77777777" w:rsidR="006B02A7" w:rsidRPr="0085651A" w:rsidRDefault="004D43F0" w:rsidP="000A198B">
      <w:pPr>
        <w:autoSpaceDE w:val="0"/>
        <w:autoSpaceDN w:val="0"/>
        <w:adjustRightInd w:val="0"/>
        <w:spacing w:after="0"/>
        <w:rPr>
          <w:rFonts w:ascii="Times New Roman" w:hAnsi="Times New Roman" w:cs="Times New Roman"/>
          <w:sz w:val="24"/>
          <w:szCs w:val="24"/>
        </w:rPr>
      </w:pPr>
      <w:r w:rsidRPr="0085651A">
        <w:rPr>
          <w:rFonts w:ascii="Times New Roman" w:hAnsi="Times New Roman" w:cs="Times New Roman"/>
          <w:sz w:val="24"/>
          <w:szCs w:val="24"/>
          <w:lang w:val="en-US"/>
        </w:rPr>
        <w:t xml:space="preserve">The </w:t>
      </w:r>
      <w:r w:rsidR="000521AF" w:rsidRPr="0085651A">
        <w:rPr>
          <w:rFonts w:ascii="Times New Roman" w:hAnsi="Times New Roman" w:cs="Times New Roman"/>
          <w:sz w:val="24"/>
          <w:szCs w:val="24"/>
          <w:lang w:val="en-US"/>
        </w:rPr>
        <w:t>p</w:t>
      </w:r>
      <w:r w:rsidRPr="0085651A">
        <w:rPr>
          <w:rFonts w:ascii="Times New Roman" w:hAnsi="Times New Roman" w:cs="Times New Roman"/>
          <w:sz w:val="24"/>
          <w:szCs w:val="24"/>
          <w:lang w:val="en-US"/>
        </w:rPr>
        <w:t>rogramme’s budget for the 2018/19 financial year</w:t>
      </w:r>
      <w:r w:rsidR="00080E71" w:rsidRPr="0085651A">
        <w:rPr>
          <w:rFonts w:ascii="Times New Roman" w:hAnsi="Times New Roman" w:cs="Times New Roman"/>
          <w:sz w:val="24"/>
          <w:szCs w:val="24"/>
          <w:lang w:val="en-US"/>
        </w:rPr>
        <w:t xml:space="preserve"> </w:t>
      </w:r>
      <w:r w:rsidR="006B02A7" w:rsidRPr="0085651A">
        <w:rPr>
          <w:rFonts w:ascii="Times New Roman" w:hAnsi="Times New Roman" w:cs="Times New Roman"/>
          <w:sz w:val="24"/>
          <w:szCs w:val="24"/>
          <w:lang w:val="en-US"/>
        </w:rPr>
        <w:t>amounts to</w:t>
      </w:r>
      <w:r w:rsidR="00082F41" w:rsidRPr="0085651A">
        <w:rPr>
          <w:rFonts w:ascii="Times New Roman" w:hAnsi="Times New Roman" w:cs="Times New Roman"/>
          <w:sz w:val="24"/>
          <w:szCs w:val="24"/>
          <w:lang w:val="en-US"/>
        </w:rPr>
        <w:t xml:space="preserve"> R59.147 billion. This budget increased by 41.1 percent (R17.215 billion) from R41.931 billion allocated in 2017/18. The budget is projected to increase in the two outer years of the MTEF period to R73.295 billion and R80.666 billion in 2019/20 and 2020/21 respectively. The programme budget accounts for 81 percent of the Department’s total budget excluding direct charge</w:t>
      </w:r>
      <w:r w:rsidR="00792719" w:rsidRPr="0085651A">
        <w:rPr>
          <w:rFonts w:ascii="Times New Roman" w:hAnsi="Times New Roman" w:cs="Times New Roman"/>
          <w:sz w:val="24"/>
          <w:szCs w:val="24"/>
          <w:lang w:val="en-US"/>
        </w:rPr>
        <w:t>s</w:t>
      </w:r>
      <w:r w:rsidR="00082F41" w:rsidRPr="0085651A">
        <w:rPr>
          <w:rFonts w:ascii="Times New Roman" w:hAnsi="Times New Roman" w:cs="Times New Roman"/>
          <w:sz w:val="24"/>
          <w:szCs w:val="24"/>
          <w:lang w:val="en-US"/>
        </w:rPr>
        <w:t xml:space="preserve"> against the National Revenue Fund. </w:t>
      </w:r>
      <w:r w:rsidR="00DE77B3" w:rsidRPr="0085651A">
        <w:rPr>
          <w:rFonts w:ascii="Times New Roman" w:hAnsi="Times New Roman" w:cs="Times New Roman"/>
          <w:sz w:val="24"/>
          <w:szCs w:val="24"/>
          <w:lang w:val="en-US"/>
        </w:rPr>
        <w:t>The bulk of the budget of this programme, R38.579 billion, is allocated to sub-programme 6: University Subsidies. This sub-programme accounts for 65.26 percent of the programme</w:t>
      </w:r>
      <w:r w:rsidR="000521AF" w:rsidRPr="0085651A">
        <w:rPr>
          <w:rFonts w:ascii="Times New Roman" w:hAnsi="Times New Roman" w:cs="Times New Roman"/>
          <w:sz w:val="24"/>
          <w:szCs w:val="24"/>
          <w:lang w:val="en-US"/>
        </w:rPr>
        <w:t>’s</w:t>
      </w:r>
      <w:r w:rsidR="00DE77B3" w:rsidRPr="0085651A">
        <w:rPr>
          <w:rFonts w:ascii="Times New Roman" w:hAnsi="Times New Roman" w:cs="Times New Roman"/>
          <w:sz w:val="24"/>
          <w:szCs w:val="24"/>
          <w:lang w:val="en-US"/>
        </w:rPr>
        <w:t xml:space="preserve"> budget. The sub-programme is responsible for making annual transfers to universities. </w:t>
      </w:r>
      <w:r w:rsidR="006B02A7" w:rsidRPr="0085651A">
        <w:rPr>
          <w:rFonts w:ascii="Times New Roman" w:hAnsi="Times New Roman" w:cs="Times New Roman"/>
          <w:sz w:val="24"/>
          <w:szCs w:val="24"/>
          <w:lang w:val="en-US"/>
        </w:rPr>
        <w:t>The a</w:t>
      </w:r>
      <w:r w:rsidR="00A21F50" w:rsidRPr="0085651A">
        <w:rPr>
          <w:rFonts w:ascii="Times New Roman" w:hAnsi="Times New Roman" w:cs="Times New Roman"/>
          <w:sz w:val="24"/>
          <w:szCs w:val="24"/>
          <w:lang w:val="en-US"/>
        </w:rPr>
        <w:t xml:space="preserve">llocation for spending on this sub-programme increased by 22.12 percent (R6.991 billion) from R31.606 billion allocated in 2017/18. </w:t>
      </w:r>
      <w:r w:rsidR="00082F41" w:rsidRPr="0085651A">
        <w:rPr>
          <w:rFonts w:ascii="Times New Roman" w:hAnsi="Times New Roman" w:cs="Times New Roman"/>
          <w:sz w:val="24"/>
          <w:szCs w:val="24"/>
          <w:lang w:val="en-US"/>
        </w:rPr>
        <w:t xml:space="preserve">The significant increase in the budget is towards the realization of the pronouncement made by </w:t>
      </w:r>
      <w:r w:rsidR="008C0784" w:rsidRPr="0085651A">
        <w:rPr>
          <w:rFonts w:ascii="Times New Roman" w:hAnsi="Times New Roman" w:cs="Times New Roman"/>
          <w:sz w:val="24"/>
          <w:szCs w:val="24"/>
          <w:lang w:val="en-US"/>
        </w:rPr>
        <w:t xml:space="preserve">the former President Zuma that </w:t>
      </w:r>
      <w:r w:rsidR="007359F0" w:rsidRPr="0085651A">
        <w:rPr>
          <w:rFonts w:ascii="Times New Roman" w:hAnsi="Times New Roman" w:cs="Times New Roman"/>
          <w:sz w:val="24"/>
          <w:szCs w:val="24"/>
        </w:rPr>
        <w:t>government</w:t>
      </w:r>
      <w:r w:rsidR="00082F41" w:rsidRPr="0085651A">
        <w:rPr>
          <w:rFonts w:ascii="Times New Roman" w:hAnsi="Times New Roman" w:cs="Times New Roman"/>
          <w:sz w:val="24"/>
          <w:szCs w:val="24"/>
        </w:rPr>
        <w:t xml:space="preserve"> spending on universities as per percentage of </w:t>
      </w:r>
      <w:r w:rsidR="00A21F50" w:rsidRPr="0085651A">
        <w:rPr>
          <w:rFonts w:ascii="Times New Roman" w:hAnsi="Times New Roman" w:cs="Times New Roman"/>
          <w:sz w:val="24"/>
          <w:szCs w:val="24"/>
        </w:rPr>
        <w:t>Gross Domestic Product (GDP)</w:t>
      </w:r>
      <w:r w:rsidR="00082F41" w:rsidRPr="0085651A">
        <w:rPr>
          <w:rFonts w:ascii="Times New Roman" w:hAnsi="Times New Roman" w:cs="Times New Roman"/>
          <w:sz w:val="24"/>
          <w:szCs w:val="24"/>
        </w:rPr>
        <w:t xml:space="preserve"> will increase from 0.68</w:t>
      </w:r>
      <w:r w:rsidR="00A21F50" w:rsidRPr="0085651A">
        <w:rPr>
          <w:rFonts w:ascii="Times New Roman" w:hAnsi="Times New Roman" w:cs="Times New Roman"/>
          <w:sz w:val="24"/>
          <w:szCs w:val="24"/>
        </w:rPr>
        <w:t xml:space="preserve"> percent </w:t>
      </w:r>
      <w:r w:rsidR="00082F41" w:rsidRPr="0085651A">
        <w:rPr>
          <w:rFonts w:ascii="Times New Roman" w:hAnsi="Times New Roman" w:cs="Times New Roman"/>
          <w:sz w:val="24"/>
          <w:szCs w:val="24"/>
        </w:rPr>
        <w:t>to 1</w:t>
      </w:r>
      <w:r w:rsidR="00A21F50" w:rsidRPr="0085651A">
        <w:rPr>
          <w:rFonts w:ascii="Times New Roman" w:hAnsi="Times New Roman" w:cs="Times New Roman"/>
          <w:sz w:val="24"/>
          <w:szCs w:val="24"/>
        </w:rPr>
        <w:t xml:space="preserve"> percent</w:t>
      </w:r>
      <w:r w:rsidR="00082F41" w:rsidRPr="0085651A">
        <w:rPr>
          <w:rFonts w:ascii="Times New Roman" w:hAnsi="Times New Roman" w:cs="Times New Roman"/>
          <w:sz w:val="24"/>
          <w:szCs w:val="24"/>
        </w:rPr>
        <w:t xml:space="preserve"> over the next five years</w:t>
      </w:r>
      <w:r w:rsidR="00A21F50" w:rsidRPr="0085651A">
        <w:rPr>
          <w:rFonts w:ascii="Times New Roman" w:hAnsi="Times New Roman" w:cs="Times New Roman"/>
          <w:sz w:val="24"/>
          <w:szCs w:val="24"/>
        </w:rPr>
        <w:t xml:space="preserve">. </w:t>
      </w:r>
    </w:p>
    <w:p w14:paraId="13501879" w14:textId="77777777" w:rsidR="006B02A7" w:rsidRPr="0085651A" w:rsidRDefault="006B02A7" w:rsidP="000A198B">
      <w:pPr>
        <w:autoSpaceDE w:val="0"/>
        <w:autoSpaceDN w:val="0"/>
        <w:adjustRightInd w:val="0"/>
        <w:spacing w:after="0"/>
        <w:rPr>
          <w:rFonts w:ascii="Times New Roman" w:hAnsi="Times New Roman" w:cs="Times New Roman"/>
          <w:sz w:val="24"/>
          <w:szCs w:val="24"/>
        </w:rPr>
      </w:pPr>
    </w:p>
    <w:p w14:paraId="02C7A21E" w14:textId="77777777" w:rsidR="000A198B" w:rsidRPr="0085651A" w:rsidRDefault="00A21F50" w:rsidP="000A198B">
      <w:pPr>
        <w:autoSpaceDE w:val="0"/>
        <w:autoSpaceDN w:val="0"/>
        <w:adjustRightInd w:val="0"/>
        <w:spacing w:after="0"/>
        <w:rPr>
          <w:rFonts w:ascii="Times New Roman" w:hAnsi="Times New Roman" w:cs="Times New Roman"/>
          <w:sz w:val="24"/>
          <w:szCs w:val="24"/>
          <w:lang w:val="en-US"/>
        </w:rPr>
      </w:pPr>
      <w:r w:rsidRPr="0085651A">
        <w:rPr>
          <w:rFonts w:ascii="Times New Roman" w:hAnsi="Times New Roman" w:cs="Times New Roman"/>
          <w:sz w:val="24"/>
          <w:szCs w:val="24"/>
        </w:rPr>
        <w:lastRenderedPageBreak/>
        <w:t xml:space="preserve">The increase is also towards increasing earmarked grants </w:t>
      </w:r>
      <w:r w:rsidR="00C52D4C" w:rsidRPr="0085651A">
        <w:rPr>
          <w:rFonts w:ascii="Times New Roman" w:hAnsi="Times New Roman" w:cs="Times New Roman"/>
          <w:sz w:val="24"/>
          <w:szCs w:val="24"/>
        </w:rPr>
        <w:t xml:space="preserve">to universities for the operationalisation </w:t>
      </w:r>
      <w:r w:rsidR="00A20658" w:rsidRPr="0085651A">
        <w:rPr>
          <w:rFonts w:ascii="Times New Roman" w:hAnsi="Times New Roman" w:cs="Times New Roman"/>
          <w:sz w:val="24"/>
          <w:szCs w:val="24"/>
        </w:rPr>
        <w:t>of the three new universities (</w:t>
      </w:r>
      <w:r w:rsidR="00C52D4C" w:rsidRPr="0085651A">
        <w:rPr>
          <w:rFonts w:ascii="Times New Roman" w:hAnsi="Times New Roman" w:cs="Times New Roman"/>
          <w:sz w:val="24"/>
          <w:szCs w:val="24"/>
        </w:rPr>
        <w:t>University</w:t>
      </w:r>
      <w:r w:rsidR="000521AF" w:rsidRPr="0085651A">
        <w:rPr>
          <w:rFonts w:ascii="Times New Roman" w:hAnsi="Times New Roman" w:cs="Times New Roman"/>
          <w:sz w:val="24"/>
          <w:szCs w:val="24"/>
        </w:rPr>
        <w:t xml:space="preserve"> of Mpumalanga</w:t>
      </w:r>
      <w:r w:rsidR="00C52D4C" w:rsidRPr="0085651A">
        <w:rPr>
          <w:rFonts w:ascii="Times New Roman" w:hAnsi="Times New Roman" w:cs="Times New Roman"/>
          <w:sz w:val="24"/>
          <w:szCs w:val="24"/>
        </w:rPr>
        <w:t>, Sol Plaatje University and Sefako Makgatho University)</w:t>
      </w:r>
      <w:r w:rsidR="000A198B" w:rsidRPr="0085651A">
        <w:rPr>
          <w:rFonts w:ascii="Times New Roman" w:hAnsi="Times New Roman" w:cs="Times New Roman"/>
          <w:sz w:val="24"/>
          <w:szCs w:val="24"/>
        </w:rPr>
        <w:t>, Infrastructure Efficiency Grants to the 2</w:t>
      </w:r>
      <w:r w:rsidR="00353988" w:rsidRPr="0085651A">
        <w:rPr>
          <w:rFonts w:ascii="Times New Roman" w:hAnsi="Times New Roman" w:cs="Times New Roman"/>
          <w:sz w:val="24"/>
          <w:szCs w:val="24"/>
        </w:rPr>
        <w:t>3</w:t>
      </w:r>
      <w:r w:rsidR="000A198B" w:rsidRPr="0085651A">
        <w:rPr>
          <w:rFonts w:ascii="Times New Roman" w:hAnsi="Times New Roman" w:cs="Times New Roman"/>
          <w:sz w:val="24"/>
          <w:szCs w:val="24"/>
        </w:rPr>
        <w:t xml:space="preserve"> universities</w:t>
      </w:r>
      <w:r w:rsidR="00C52D4C" w:rsidRPr="0085651A">
        <w:rPr>
          <w:rFonts w:ascii="Times New Roman" w:hAnsi="Times New Roman" w:cs="Times New Roman"/>
          <w:sz w:val="24"/>
          <w:szCs w:val="24"/>
        </w:rPr>
        <w:t xml:space="preserve"> and increased clinical grants. </w:t>
      </w:r>
      <w:r w:rsidR="00390CB4" w:rsidRPr="0085651A">
        <w:rPr>
          <w:rFonts w:ascii="Times New Roman" w:hAnsi="Times New Roman" w:cs="Times New Roman"/>
          <w:sz w:val="24"/>
          <w:szCs w:val="24"/>
          <w:lang w:val="en-US"/>
        </w:rPr>
        <w:t>The increase in subsidies will go a long way in addressing the underfunding of universities, and will improve the</w:t>
      </w:r>
      <w:r w:rsidR="007920CC" w:rsidRPr="0085651A">
        <w:rPr>
          <w:rFonts w:ascii="Times New Roman" w:hAnsi="Times New Roman" w:cs="Times New Roman"/>
          <w:sz w:val="24"/>
          <w:szCs w:val="24"/>
          <w:lang w:val="en-US"/>
        </w:rPr>
        <w:t>ir</w:t>
      </w:r>
      <w:r w:rsidR="00390CB4" w:rsidRPr="0085651A">
        <w:rPr>
          <w:rFonts w:ascii="Times New Roman" w:hAnsi="Times New Roman" w:cs="Times New Roman"/>
          <w:sz w:val="24"/>
          <w:szCs w:val="24"/>
          <w:lang w:val="en-US"/>
        </w:rPr>
        <w:t xml:space="preserve"> financial health</w:t>
      </w:r>
      <w:r w:rsidR="000A198B" w:rsidRPr="0085651A">
        <w:rPr>
          <w:rFonts w:ascii="Times New Roman" w:hAnsi="Times New Roman" w:cs="Times New Roman"/>
          <w:sz w:val="24"/>
          <w:szCs w:val="24"/>
          <w:lang w:val="en-US"/>
        </w:rPr>
        <w:t xml:space="preserve">. In addition, the allocation would also ensure that expansion of access to universities through infrastructure development is incrementally realised. For the 2018/19 financial year, an amount of R3.692 billion has been allocated for capital expenditure, </w:t>
      </w:r>
      <w:r w:rsidR="00792719" w:rsidRPr="0085651A">
        <w:rPr>
          <w:rFonts w:ascii="Times New Roman" w:hAnsi="Times New Roman" w:cs="Times New Roman"/>
          <w:sz w:val="24"/>
          <w:szCs w:val="24"/>
          <w:lang w:val="en-US"/>
        </w:rPr>
        <w:t xml:space="preserve">of </w:t>
      </w:r>
      <w:r w:rsidR="000A198B" w:rsidRPr="0085651A">
        <w:rPr>
          <w:rFonts w:ascii="Times New Roman" w:hAnsi="Times New Roman" w:cs="Times New Roman"/>
          <w:sz w:val="24"/>
          <w:szCs w:val="24"/>
          <w:lang w:val="en-US"/>
        </w:rPr>
        <w:t>which R2.691 billion is allocated for the 2</w:t>
      </w:r>
      <w:r w:rsidR="00353988" w:rsidRPr="0085651A">
        <w:rPr>
          <w:rFonts w:ascii="Times New Roman" w:hAnsi="Times New Roman" w:cs="Times New Roman"/>
          <w:sz w:val="24"/>
          <w:szCs w:val="24"/>
          <w:lang w:val="en-US"/>
        </w:rPr>
        <w:t>3</w:t>
      </w:r>
      <w:r w:rsidR="000A198B" w:rsidRPr="0085651A">
        <w:rPr>
          <w:rFonts w:ascii="Times New Roman" w:hAnsi="Times New Roman" w:cs="Times New Roman"/>
          <w:sz w:val="24"/>
          <w:szCs w:val="24"/>
          <w:lang w:val="en-US"/>
        </w:rPr>
        <w:t xml:space="preserve"> universities and R638.5 million and R362 million for the University of Mpumalanga and Sol Plaatje University respectively. </w:t>
      </w:r>
    </w:p>
    <w:p w14:paraId="3FA3094D" w14:textId="77777777" w:rsidR="00562302" w:rsidRPr="0085651A" w:rsidRDefault="00562302" w:rsidP="00C52D4C">
      <w:pPr>
        <w:autoSpaceDE w:val="0"/>
        <w:autoSpaceDN w:val="0"/>
        <w:adjustRightInd w:val="0"/>
        <w:spacing w:after="0"/>
        <w:rPr>
          <w:rFonts w:ascii="Times New Roman" w:hAnsi="Times New Roman" w:cs="Times New Roman"/>
          <w:sz w:val="24"/>
          <w:szCs w:val="24"/>
        </w:rPr>
      </w:pPr>
    </w:p>
    <w:p w14:paraId="6CA8B5D9" w14:textId="77777777" w:rsidR="006B02A7" w:rsidRPr="0085651A" w:rsidRDefault="00562302" w:rsidP="000758AE">
      <w:pPr>
        <w:autoSpaceDE w:val="0"/>
        <w:autoSpaceDN w:val="0"/>
        <w:adjustRightInd w:val="0"/>
        <w:spacing w:after="0"/>
        <w:rPr>
          <w:rFonts w:ascii="Times New Roman" w:hAnsi="Times New Roman" w:cs="Times New Roman"/>
          <w:sz w:val="24"/>
          <w:szCs w:val="24"/>
        </w:rPr>
      </w:pPr>
      <w:r w:rsidRPr="0085651A">
        <w:rPr>
          <w:rFonts w:ascii="Times New Roman" w:hAnsi="Times New Roman" w:cs="Times New Roman"/>
          <w:sz w:val="24"/>
          <w:szCs w:val="24"/>
        </w:rPr>
        <w:t xml:space="preserve">The second largest allocation is in sub-programme 3: Institutional Governance and Management Support. This sub-programme monitors and supports institutional governance management, and provides sector liaison services. </w:t>
      </w:r>
      <w:r w:rsidR="00FA56E3" w:rsidRPr="0085651A">
        <w:rPr>
          <w:rFonts w:ascii="Times New Roman" w:hAnsi="Times New Roman" w:cs="Times New Roman"/>
          <w:sz w:val="24"/>
          <w:szCs w:val="24"/>
        </w:rPr>
        <w:t>The a</w:t>
      </w:r>
      <w:r w:rsidR="00462F41" w:rsidRPr="0085651A">
        <w:rPr>
          <w:rFonts w:ascii="Times New Roman" w:hAnsi="Times New Roman" w:cs="Times New Roman"/>
          <w:sz w:val="24"/>
          <w:szCs w:val="24"/>
        </w:rPr>
        <w:t>llocation for spending in this sub-programme is R20.471 billion, which increased by 99.27 percent from R10.273 billion in 2017/18. This sub-programme accounts for 34.61 p</w:t>
      </w:r>
      <w:r w:rsidR="00792719" w:rsidRPr="0085651A">
        <w:rPr>
          <w:rFonts w:ascii="Times New Roman" w:hAnsi="Times New Roman" w:cs="Times New Roman"/>
          <w:sz w:val="24"/>
          <w:szCs w:val="24"/>
        </w:rPr>
        <w:t>ercent of the total University s</w:t>
      </w:r>
      <w:r w:rsidR="00462F41" w:rsidRPr="0085651A">
        <w:rPr>
          <w:rFonts w:ascii="Times New Roman" w:hAnsi="Times New Roman" w:cs="Times New Roman"/>
          <w:sz w:val="24"/>
          <w:szCs w:val="24"/>
        </w:rPr>
        <w:t xml:space="preserve">ubsidies programme budget. </w:t>
      </w:r>
      <w:r w:rsidR="00D201F3" w:rsidRPr="0085651A">
        <w:rPr>
          <w:rFonts w:ascii="Times New Roman" w:hAnsi="Times New Roman" w:cs="Times New Roman"/>
          <w:sz w:val="24"/>
          <w:szCs w:val="24"/>
        </w:rPr>
        <w:t>The increased investment in this sub-programme is to support the realisation of the fee-free</w:t>
      </w:r>
      <w:r w:rsidR="000521AF" w:rsidRPr="0085651A">
        <w:rPr>
          <w:rFonts w:ascii="Times New Roman" w:hAnsi="Times New Roman" w:cs="Times New Roman"/>
          <w:sz w:val="24"/>
          <w:szCs w:val="24"/>
        </w:rPr>
        <w:t xml:space="preserve"> higher</w:t>
      </w:r>
      <w:r w:rsidR="00D201F3" w:rsidRPr="0085651A">
        <w:rPr>
          <w:rFonts w:ascii="Times New Roman" w:hAnsi="Times New Roman" w:cs="Times New Roman"/>
          <w:sz w:val="24"/>
          <w:szCs w:val="24"/>
        </w:rPr>
        <w:t xml:space="preserve"> education policy as pronounced by the former President Zuma on 16 December 2017, and reiterated by President Ramaphosa during the State of the Nation Address on 16 February 2018</w:t>
      </w:r>
      <w:r w:rsidR="00AA0B7A" w:rsidRPr="0085651A">
        <w:rPr>
          <w:rFonts w:ascii="Times New Roman" w:hAnsi="Times New Roman" w:cs="Times New Roman"/>
          <w:sz w:val="24"/>
          <w:szCs w:val="24"/>
        </w:rPr>
        <w:t>,</w:t>
      </w:r>
      <w:r w:rsidR="00D201F3" w:rsidRPr="0085651A">
        <w:rPr>
          <w:rFonts w:ascii="Times New Roman" w:hAnsi="Times New Roman" w:cs="Times New Roman"/>
          <w:sz w:val="24"/>
          <w:szCs w:val="24"/>
        </w:rPr>
        <w:t xml:space="preserve"> and the former Minister of Finance, Mr Gigaba during the delivery of budget speech on 21 February 2018. The bulk of the budget of this sub-programme, R20.334 billion is allocated to the National Student Financial Aid Scheme (NSFAS) for implementation of the fee-free</w:t>
      </w:r>
      <w:r w:rsidR="00AA0B7A" w:rsidRPr="0085651A">
        <w:rPr>
          <w:rFonts w:ascii="Times New Roman" w:hAnsi="Times New Roman" w:cs="Times New Roman"/>
          <w:sz w:val="24"/>
          <w:szCs w:val="24"/>
        </w:rPr>
        <w:t xml:space="preserve"> higher</w:t>
      </w:r>
      <w:r w:rsidR="00D201F3" w:rsidRPr="0085651A">
        <w:rPr>
          <w:rFonts w:ascii="Times New Roman" w:hAnsi="Times New Roman" w:cs="Times New Roman"/>
          <w:sz w:val="24"/>
          <w:szCs w:val="24"/>
        </w:rPr>
        <w:t xml:space="preserve"> education, especially for the 2018 first-time-entering students at universities. This will support enrolled TVET Colleges and university students from South African households with a combined annual income of up to R350</w:t>
      </w:r>
      <w:r w:rsidR="00977232" w:rsidRPr="0085651A">
        <w:rPr>
          <w:rFonts w:ascii="Times New Roman" w:hAnsi="Times New Roman" w:cs="Times New Roman"/>
          <w:sz w:val="24"/>
          <w:szCs w:val="24"/>
        </w:rPr>
        <w:t> </w:t>
      </w:r>
      <w:r w:rsidR="00D201F3" w:rsidRPr="0085651A">
        <w:rPr>
          <w:rFonts w:ascii="Times New Roman" w:hAnsi="Times New Roman" w:cs="Times New Roman"/>
          <w:sz w:val="24"/>
          <w:szCs w:val="24"/>
        </w:rPr>
        <w:t>000</w:t>
      </w:r>
      <w:r w:rsidR="006B02A7" w:rsidRPr="0085651A">
        <w:rPr>
          <w:rFonts w:ascii="Times New Roman" w:hAnsi="Times New Roman" w:cs="Times New Roman"/>
          <w:sz w:val="24"/>
          <w:szCs w:val="24"/>
        </w:rPr>
        <w:t xml:space="preserve"> per annum</w:t>
      </w:r>
      <w:r w:rsidR="00977232" w:rsidRPr="0085651A">
        <w:rPr>
          <w:rFonts w:ascii="Times New Roman" w:hAnsi="Times New Roman" w:cs="Times New Roman"/>
          <w:sz w:val="24"/>
          <w:szCs w:val="24"/>
        </w:rPr>
        <w:t xml:space="preserve">. </w:t>
      </w:r>
    </w:p>
    <w:p w14:paraId="1F5545BD" w14:textId="77777777" w:rsidR="006B02A7" w:rsidRPr="0085651A" w:rsidRDefault="006B02A7" w:rsidP="000758AE">
      <w:pPr>
        <w:autoSpaceDE w:val="0"/>
        <w:autoSpaceDN w:val="0"/>
        <w:adjustRightInd w:val="0"/>
        <w:spacing w:after="0"/>
        <w:rPr>
          <w:rFonts w:ascii="Times New Roman" w:hAnsi="Times New Roman" w:cs="Times New Roman"/>
          <w:sz w:val="24"/>
          <w:szCs w:val="24"/>
        </w:rPr>
      </w:pPr>
    </w:p>
    <w:p w14:paraId="25611989" w14:textId="77777777" w:rsidR="000758AE" w:rsidRPr="0085651A" w:rsidRDefault="00977232" w:rsidP="000758AE">
      <w:pPr>
        <w:autoSpaceDE w:val="0"/>
        <w:autoSpaceDN w:val="0"/>
        <w:adjustRightInd w:val="0"/>
        <w:spacing w:after="0"/>
        <w:rPr>
          <w:rFonts w:ascii="Times New Roman" w:hAnsi="Times New Roman" w:cs="Times New Roman"/>
          <w:sz w:val="24"/>
          <w:szCs w:val="24"/>
        </w:rPr>
      </w:pPr>
      <w:r w:rsidRPr="0085651A">
        <w:rPr>
          <w:rFonts w:ascii="Times New Roman" w:hAnsi="Times New Roman" w:cs="Times New Roman"/>
          <w:sz w:val="24"/>
          <w:szCs w:val="24"/>
        </w:rPr>
        <w:t>TVET Colleges and university students eligible for financial assistance will be subsidised for full-cost of study, including: tuition fee</w:t>
      </w:r>
      <w:r w:rsidR="00AA0B7A" w:rsidRPr="0085651A">
        <w:rPr>
          <w:rFonts w:ascii="Times New Roman" w:hAnsi="Times New Roman" w:cs="Times New Roman"/>
          <w:sz w:val="24"/>
          <w:szCs w:val="24"/>
        </w:rPr>
        <w:t>s</w:t>
      </w:r>
      <w:r w:rsidRPr="0085651A">
        <w:rPr>
          <w:rFonts w:ascii="Times New Roman" w:hAnsi="Times New Roman" w:cs="Times New Roman"/>
          <w:sz w:val="24"/>
          <w:szCs w:val="24"/>
        </w:rPr>
        <w:t>, prescribed study material, meals, accommodation and /or transport</w:t>
      </w:r>
      <w:r w:rsidR="00AA0B7A" w:rsidRPr="0085651A">
        <w:rPr>
          <w:rFonts w:ascii="Times New Roman" w:hAnsi="Times New Roman" w:cs="Times New Roman"/>
          <w:sz w:val="24"/>
          <w:szCs w:val="24"/>
        </w:rPr>
        <w:t xml:space="preserve"> allowances</w:t>
      </w:r>
      <w:r w:rsidRPr="0085651A">
        <w:rPr>
          <w:rFonts w:ascii="Times New Roman" w:hAnsi="Times New Roman" w:cs="Times New Roman"/>
          <w:sz w:val="24"/>
          <w:szCs w:val="24"/>
        </w:rPr>
        <w:t>.</w:t>
      </w:r>
      <w:r w:rsidR="00D12784" w:rsidRPr="0085651A">
        <w:rPr>
          <w:rFonts w:ascii="Times New Roman" w:hAnsi="Times New Roman" w:cs="Times New Roman"/>
          <w:sz w:val="24"/>
          <w:szCs w:val="24"/>
        </w:rPr>
        <w:t xml:space="preserve"> </w:t>
      </w:r>
      <w:r w:rsidR="000758AE" w:rsidRPr="0085651A">
        <w:rPr>
          <w:rFonts w:ascii="Times New Roman" w:hAnsi="Times New Roman" w:cs="Times New Roman"/>
          <w:sz w:val="24"/>
          <w:szCs w:val="24"/>
          <w:lang w:val="en-US"/>
        </w:rPr>
        <w:t xml:space="preserve">This will have knock-on effects, thus ensuring that these students will not have any outstanding debts and student debts at universities will decrease; unemployment, poverty and inequality will be reduced when the graduates get employed and improve their earnings. </w:t>
      </w:r>
      <w:r w:rsidR="00AA0B7A" w:rsidRPr="0085651A">
        <w:rPr>
          <w:rFonts w:ascii="Times New Roman" w:hAnsi="Times New Roman" w:cs="Times New Roman"/>
          <w:sz w:val="24"/>
          <w:szCs w:val="24"/>
          <w:lang w:val="en-US"/>
        </w:rPr>
        <w:t>The t</w:t>
      </w:r>
      <w:r w:rsidR="00255002" w:rsidRPr="0085651A">
        <w:rPr>
          <w:rFonts w:ascii="Times New Roman" w:hAnsi="Times New Roman" w:cs="Times New Roman"/>
          <w:sz w:val="24"/>
          <w:szCs w:val="24"/>
          <w:lang w:val="en-US"/>
        </w:rPr>
        <w:t>ransfers to NSFAS grew at an average growth rate of 51.6 percent between 2017/18 – 2020/21</w:t>
      </w:r>
      <w:r w:rsidR="00AA0B7A" w:rsidRPr="0085651A">
        <w:rPr>
          <w:rFonts w:ascii="Times New Roman" w:hAnsi="Times New Roman" w:cs="Times New Roman"/>
          <w:sz w:val="24"/>
          <w:szCs w:val="24"/>
          <w:lang w:val="en-US"/>
        </w:rPr>
        <w:t xml:space="preserve"> respectively</w:t>
      </w:r>
      <w:r w:rsidR="00255002" w:rsidRPr="0085651A">
        <w:rPr>
          <w:rFonts w:ascii="Times New Roman" w:hAnsi="Times New Roman" w:cs="Times New Roman"/>
          <w:sz w:val="24"/>
          <w:szCs w:val="24"/>
          <w:lang w:val="en-US"/>
        </w:rPr>
        <w:t xml:space="preserve">. </w:t>
      </w:r>
      <w:r w:rsidR="00AA470A" w:rsidRPr="0085651A">
        <w:rPr>
          <w:rFonts w:ascii="Times New Roman" w:hAnsi="Times New Roman" w:cs="Times New Roman"/>
          <w:sz w:val="24"/>
          <w:szCs w:val="24"/>
          <w:lang w:val="en-US"/>
        </w:rPr>
        <w:t xml:space="preserve">This sub-programme is also responsible for </w:t>
      </w:r>
      <w:r w:rsidR="00AA470A" w:rsidRPr="0085651A">
        <w:rPr>
          <w:rFonts w:ascii="Times New Roman" w:hAnsi="Times New Roman" w:cs="Times New Roman"/>
          <w:sz w:val="24"/>
          <w:szCs w:val="24"/>
          <w:lang w:val="en-US"/>
        </w:rPr>
        <w:lastRenderedPageBreak/>
        <w:t xml:space="preserve">making annual transfers to the Departmental agencies: the CHE, the QCTO, SAQA, and the National Institute for </w:t>
      </w:r>
      <w:r w:rsidR="00792719" w:rsidRPr="0085651A">
        <w:rPr>
          <w:rFonts w:ascii="Times New Roman" w:hAnsi="Times New Roman" w:cs="Times New Roman"/>
          <w:sz w:val="24"/>
          <w:szCs w:val="24"/>
          <w:lang w:val="en-US"/>
        </w:rPr>
        <w:t xml:space="preserve">the </w:t>
      </w:r>
      <w:r w:rsidR="00AA470A" w:rsidRPr="0085651A">
        <w:rPr>
          <w:rFonts w:ascii="Times New Roman" w:hAnsi="Times New Roman" w:cs="Times New Roman"/>
          <w:sz w:val="24"/>
          <w:szCs w:val="24"/>
          <w:lang w:val="en-US"/>
        </w:rPr>
        <w:t>Humanities and Social Sciences</w:t>
      </w:r>
      <w:r w:rsidR="00AA0B7A" w:rsidRPr="0085651A">
        <w:rPr>
          <w:rFonts w:ascii="Times New Roman" w:hAnsi="Times New Roman" w:cs="Times New Roman"/>
          <w:sz w:val="24"/>
          <w:szCs w:val="24"/>
          <w:lang w:val="en-US"/>
        </w:rPr>
        <w:t xml:space="preserve"> (NIHSS)</w:t>
      </w:r>
      <w:r w:rsidR="00AA470A" w:rsidRPr="0085651A">
        <w:rPr>
          <w:rFonts w:ascii="Times New Roman" w:hAnsi="Times New Roman" w:cs="Times New Roman"/>
          <w:sz w:val="24"/>
          <w:szCs w:val="24"/>
          <w:lang w:val="en-US"/>
        </w:rPr>
        <w:t xml:space="preserve">. </w:t>
      </w:r>
    </w:p>
    <w:p w14:paraId="191D6740" w14:textId="77777777" w:rsidR="000758AE" w:rsidRPr="0085651A" w:rsidRDefault="000758AE" w:rsidP="000758AE">
      <w:pPr>
        <w:autoSpaceDE w:val="0"/>
        <w:autoSpaceDN w:val="0"/>
        <w:adjustRightInd w:val="0"/>
        <w:spacing w:after="0"/>
        <w:rPr>
          <w:rFonts w:ascii="Times New Roman" w:hAnsi="Times New Roman" w:cs="Times New Roman"/>
          <w:sz w:val="24"/>
          <w:szCs w:val="24"/>
          <w:lang w:val="en-US"/>
        </w:rPr>
      </w:pPr>
    </w:p>
    <w:p w14:paraId="180ECADC" w14:textId="77777777" w:rsidR="000B1409" w:rsidRPr="0085651A" w:rsidRDefault="001564DF" w:rsidP="001564DF">
      <w:pPr>
        <w:autoSpaceDE w:val="0"/>
        <w:autoSpaceDN w:val="0"/>
        <w:adjustRightInd w:val="0"/>
        <w:spacing w:after="0"/>
        <w:rPr>
          <w:rFonts w:ascii="Times New Roman" w:hAnsi="Times New Roman" w:cs="Times New Roman"/>
          <w:sz w:val="24"/>
          <w:szCs w:val="24"/>
          <w:lang w:val="en-US"/>
        </w:rPr>
      </w:pPr>
      <w:r w:rsidRPr="0085651A">
        <w:rPr>
          <w:rFonts w:ascii="Times New Roman" w:hAnsi="Times New Roman" w:cs="Times New Roman"/>
          <w:sz w:val="24"/>
          <w:szCs w:val="24"/>
          <w:lang w:val="en-US"/>
        </w:rPr>
        <w:t xml:space="preserve">In terms of economic classification, </w:t>
      </w:r>
      <w:r w:rsidR="000B1409" w:rsidRPr="0085651A">
        <w:rPr>
          <w:rFonts w:ascii="Times New Roman" w:hAnsi="Times New Roman" w:cs="Times New Roman"/>
          <w:sz w:val="24"/>
          <w:szCs w:val="24"/>
          <w:lang w:val="en-US"/>
        </w:rPr>
        <w:t>R79.1 million is allocated for current payment</w:t>
      </w:r>
      <w:r w:rsidR="00AA0B7A" w:rsidRPr="0085651A">
        <w:rPr>
          <w:rFonts w:ascii="Times New Roman" w:hAnsi="Times New Roman" w:cs="Times New Roman"/>
          <w:sz w:val="24"/>
          <w:szCs w:val="24"/>
          <w:lang w:val="en-US"/>
        </w:rPr>
        <w:t>s</w:t>
      </w:r>
      <w:r w:rsidR="000B1409" w:rsidRPr="0085651A">
        <w:rPr>
          <w:rFonts w:ascii="Times New Roman" w:hAnsi="Times New Roman" w:cs="Times New Roman"/>
          <w:sz w:val="24"/>
          <w:szCs w:val="24"/>
          <w:lang w:val="en-US"/>
        </w:rPr>
        <w:t xml:space="preserve">, of which R72.1 million is allocated for compensation of employees and R6.9 million is for goods and services. </w:t>
      </w:r>
      <w:r w:rsidR="00936E13" w:rsidRPr="0085651A">
        <w:rPr>
          <w:rFonts w:ascii="Times New Roman" w:hAnsi="Times New Roman" w:cs="Times New Roman"/>
          <w:sz w:val="24"/>
          <w:szCs w:val="24"/>
          <w:lang w:val="en-US"/>
        </w:rPr>
        <w:t>The a</w:t>
      </w:r>
      <w:r w:rsidR="000B1409" w:rsidRPr="0085651A">
        <w:rPr>
          <w:rFonts w:ascii="Times New Roman" w:hAnsi="Times New Roman" w:cs="Times New Roman"/>
          <w:sz w:val="24"/>
          <w:szCs w:val="24"/>
          <w:lang w:val="en-US"/>
        </w:rPr>
        <w:t>llocation for transfer</w:t>
      </w:r>
      <w:r w:rsidR="00AA0B7A" w:rsidRPr="0085651A">
        <w:rPr>
          <w:rFonts w:ascii="Times New Roman" w:hAnsi="Times New Roman" w:cs="Times New Roman"/>
          <w:sz w:val="24"/>
          <w:szCs w:val="24"/>
          <w:lang w:val="en-US"/>
        </w:rPr>
        <w:t>s</w:t>
      </w:r>
      <w:r w:rsidR="000B1409" w:rsidRPr="0085651A">
        <w:rPr>
          <w:rFonts w:ascii="Times New Roman" w:hAnsi="Times New Roman" w:cs="Times New Roman"/>
          <w:sz w:val="24"/>
          <w:szCs w:val="24"/>
          <w:lang w:val="en-US"/>
        </w:rPr>
        <w:t xml:space="preserve"> and subsidies for 2018/19 amounts to R59.067 billion, </w:t>
      </w:r>
      <w:r w:rsidR="00E9167D" w:rsidRPr="0085651A">
        <w:rPr>
          <w:rFonts w:ascii="Times New Roman" w:hAnsi="Times New Roman" w:cs="Times New Roman"/>
          <w:sz w:val="24"/>
          <w:szCs w:val="24"/>
          <w:lang w:val="en-US"/>
        </w:rPr>
        <w:t>o</w:t>
      </w:r>
      <w:r w:rsidR="000B1409" w:rsidRPr="0085651A">
        <w:rPr>
          <w:rFonts w:ascii="Times New Roman" w:hAnsi="Times New Roman" w:cs="Times New Roman"/>
          <w:sz w:val="24"/>
          <w:szCs w:val="24"/>
          <w:lang w:val="en-US"/>
        </w:rPr>
        <w:t xml:space="preserve">f which R20.451 billion is for </w:t>
      </w:r>
      <w:r w:rsidR="0075589E" w:rsidRPr="0085651A">
        <w:rPr>
          <w:rFonts w:ascii="Times New Roman" w:hAnsi="Times New Roman" w:cs="Times New Roman"/>
          <w:sz w:val="24"/>
          <w:szCs w:val="24"/>
          <w:lang w:val="en-US"/>
        </w:rPr>
        <w:t xml:space="preserve">the </w:t>
      </w:r>
      <w:r w:rsidR="000B1409" w:rsidRPr="0085651A">
        <w:rPr>
          <w:rFonts w:ascii="Times New Roman" w:hAnsi="Times New Roman" w:cs="Times New Roman"/>
          <w:sz w:val="24"/>
          <w:szCs w:val="24"/>
          <w:lang w:val="en-US"/>
        </w:rPr>
        <w:t xml:space="preserve">Departmental agencies and accounts and R38.559 billion is </w:t>
      </w:r>
      <w:r w:rsidR="0075589E" w:rsidRPr="0085651A">
        <w:rPr>
          <w:rFonts w:ascii="Times New Roman" w:hAnsi="Times New Roman" w:cs="Times New Roman"/>
          <w:sz w:val="24"/>
          <w:szCs w:val="24"/>
          <w:lang w:val="en-US"/>
        </w:rPr>
        <w:t xml:space="preserve">for </w:t>
      </w:r>
      <w:r w:rsidR="000B1409" w:rsidRPr="0085651A">
        <w:rPr>
          <w:rFonts w:ascii="Times New Roman" w:hAnsi="Times New Roman" w:cs="Times New Roman"/>
          <w:sz w:val="24"/>
          <w:szCs w:val="24"/>
          <w:lang w:val="en-US"/>
        </w:rPr>
        <w:t>transfers to higher education institutions.</w:t>
      </w:r>
    </w:p>
    <w:p w14:paraId="0A890DC7" w14:textId="77777777" w:rsidR="00285025" w:rsidRPr="0085651A" w:rsidRDefault="00285025" w:rsidP="00285025">
      <w:pPr>
        <w:autoSpaceDE w:val="0"/>
        <w:autoSpaceDN w:val="0"/>
        <w:adjustRightInd w:val="0"/>
        <w:spacing w:after="0"/>
        <w:rPr>
          <w:rFonts w:ascii="Times New Roman" w:hAnsi="Times New Roman" w:cs="Times New Roman"/>
          <w:sz w:val="24"/>
          <w:szCs w:val="24"/>
          <w:lang w:val="en-US"/>
        </w:rPr>
      </w:pPr>
    </w:p>
    <w:p w14:paraId="46E23314" w14:textId="77777777" w:rsidR="00285025" w:rsidRPr="0085651A" w:rsidRDefault="00285025" w:rsidP="00285025">
      <w:pPr>
        <w:autoSpaceDE w:val="0"/>
        <w:autoSpaceDN w:val="0"/>
        <w:adjustRightInd w:val="0"/>
        <w:spacing w:after="0"/>
        <w:rPr>
          <w:rFonts w:ascii="Times New Roman" w:hAnsi="Times New Roman" w:cs="Times New Roman"/>
          <w:b/>
          <w:sz w:val="24"/>
          <w:szCs w:val="24"/>
        </w:rPr>
      </w:pPr>
      <w:r w:rsidRPr="0085651A">
        <w:rPr>
          <w:rFonts w:ascii="Times New Roman" w:hAnsi="Times New Roman" w:cs="Times New Roman"/>
          <w:b/>
          <w:sz w:val="24"/>
          <w:szCs w:val="24"/>
        </w:rPr>
        <w:t xml:space="preserve">4.3.3.2. Overview and assessment of </w:t>
      </w:r>
      <w:r w:rsidR="004274FF" w:rsidRPr="0085651A">
        <w:rPr>
          <w:rFonts w:ascii="Times New Roman" w:hAnsi="Times New Roman" w:cs="Times New Roman"/>
          <w:b/>
          <w:sz w:val="24"/>
          <w:szCs w:val="24"/>
        </w:rPr>
        <w:t>2018/19 performance</w:t>
      </w:r>
      <w:r w:rsidRPr="0085651A">
        <w:rPr>
          <w:rFonts w:ascii="Times New Roman" w:hAnsi="Times New Roman" w:cs="Times New Roman"/>
          <w:b/>
          <w:sz w:val="24"/>
          <w:szCs w:val="24"/>
        </w:rPr>
        <w:t xml:space="preserve"> indicators and targets</w:t>
      </w:r>
    </w:p>
    <w:p w14:paraId="6ECE7169" w14:textId="77777777" w:rsidR="00285025" w:rsidRPr="0085651A" w:rsidRDefault="00285025" w:rsidP="00285025">
      <w:pPr>
        <w:rPr>
          <w:rFonts w:ascii="Times New Roman" w:hAnsi="Times New Roman" w:cs="Times New Roman"/>
          <w:sz w:val="24"/>
          <w:szCs w:val="24"/>
        </w:rPr>
      </w:pPr>
      <w:r w:rsidRPr="0085651A">
        <w:rPr>
          <w:rFonts w:ascii="Times New Roman" w:hAnsi="Times New Roman" w:cs="Times New Roman"/>
          <w:sz w:val="24"/>
          <w:szCs w:val="24"/>
        </w:rPr>
        <w:t xml:space="preserve">This programme has six strategic objectives and eight MTSF performance indicators. For the 2018/19 financial year, the programme has two planned targets, which are to have 14 monitoring and evaluation reports developed and approved per annum. Beside the two targets, the Department </w:t>
      </w:r>
      <w:r w:rsidR="00FA56E3" w:rsidRPr="0085651A">
        <w:rPr>
          <w:rFonts w:ascii="Times New Roman" w:hAnsi="Times New Roman" w:cs="Times New Roman"/>
          <w:sz w:val="24"/>
          <w:szCs w:val="24"/>
        </w:rPr>
        <w:t>will also focus on, among others:</w:t>
      </w:r>
      <w:r w:rsidRPr="0085651A">
        <w:rPr>
          <w:rFonts w:ascii="Times New Roman" w:hAnsi="Times New Roman" w:cs="Times New Roman"/>
          <w:sz w:val="24"/>
          <w:szCs w:val="24"/>
        </w:rPr>
        <w:t xml:space="preserve"> the development of a fee regulatory framework for the Higher Education system, the development of the systems to support the piloting of the planned Central Applications Service, the piloting an expanded financial assistance and support model for funding academically deserving students from poor, working  and middle class families, and the development processes to ensure the integration of agricultural, nursing and other public colleges currently under the governance of other National and Provincial Departments into the PSET system as national competenc</w:t>
      </w:r>
      <w:r w:rsidR="00745E1E" w:rsidRPr="0085651A">
        <w:rPr>
          <w:rFonts w:ascii="Times New Roman" w:hAnsi="Times New Roman" w:cs="Times New Roman"/>
          <w:sz w:val="24"/>
          <w:szCs w:val="24"/>
        </w:rPr>
        <w:t>i</w:t>
      </w:r>
      <w:r w:rsidRPr="0085651A">
        <w:rPr>
          <w:rFonts w:ascii="Times New Roman" w:hAnsi="Times New Roman" w:cs="Times New Roman"/>
          <w:sz w:val="24"/>
          <w:szCs w:val="24"/>
        </w:rPr>
        <w:t>e</w:t>
      </w:r>
      <w:r w:rsidR="00745E1E" w:rsidRPr="0085651A">
        <w:rPr>
          <w:rFonts w:ascii="Times New Roman" w:hAnsi="Times New Roman" w:cs="Times New Roman"/>
          <w:sz w:val="24"/>
          <w:szCs w:val="24"/>
        </w:rPr>
        <w:t>s</w:t>
      </w:r>
      <w:r w:rsidRPr="0085651A">
        <w:rPr>
          <w:rFonts w:ascii="Times New Roman" w:hAnsi="Times New Roman" w:cs="Times New Roman"/>
          <w:sz w:val="24"/>
          <w:szCs w:val="24"/>
        </w:rPr>
        <w:t xml:space="preserve"> governed under Higher Education and Training legislation.</w:t>
      </w:r>
    </w:p>
    <w:p w14:paraId="00E1BF9C" w14:textId="77777777" w:rsidR="00580BF7" w:rsidRPr="0085651A" w:rsidRDefault="00293423" w:rsidP="00580BF7">
      <w:pPr>
        <w:autoSpaceDE w:val="0"/>
        <w:autoSpaceDN w:val="0"/>
        <w:adjustRightInd w:val="0"/>
        <w:spacing w:after="0"/>
        <w:rPr>
          <w:rFonts w:ascii="Times New Roman" w:hAnsi="Times New Roman" w:cs="Times New Roman"/>
          <w:sz w:val="24"/>
          <w:szCs w:val="24"/>
        </w:rPr>
      </w:pPr>
      <w:r w:rsidRPr="0085651A">
        <w:rPr>
          <w:rFonts w:ascii="Times New Roman" w:hAnsi="Times New Roman" w:cs="Times New Roman"/>
          <w:sz w:val="24"/>
          <w:szCs w:val="24"/>
        </w:rPr>
        <w:t xml:space="preserve">This programme is also responsible for overseeing the implementation of the NDP/MTSF targets, which are among others: </w:t>
      </w:r>
      <w:r w:rsidR="00C93276" w:rsidRPr="0085651A">
        <w:rPr>
          <w:rFonts w:ascii="Times New Roman" w:hAnsi="Times New Roman" w:cs="Times New Roman"/>
          <w:sz w:val="24"/>
          <w:szCs w:val="24"/>
        </w:rPr>
        <w:t xml:space="preserve">to </w:t>
      </w:r>
      <w:r w:rsidRPr="0085651A">
        <w:rPr>
          <w:rFonts w:ascii="Times New Roman" w:hAnsi="Times New Roman" w:cs="Times New Roman"/>
          <w:sz w:val="24"/>
          <w:szCs w:val="24"/>
        </w:rPr>
        <w:t xml:space="preserve">enrol 1.7 million students in public higher education studies at universities, to produce 57 000 graduates in engineering sciences from universities, 45 000 graduates in natural and physical sciences, to produce 99 000 graduates in Initial Teacher Education from universities, to achieve 78 percent success rate at universities. </w:t>
      </w:r>
      <w:r w:rsidR="00285025" w:rsidRPr="0085651A">
        <w:rPr>
          <w:rFonts w:ascii="Times New Roman" w:hAnsi="Times New Roman" w:cs="Times New Roman"/>
          <w:sz w:val="24"/>
          <w:szCs w:val="24"/>
        </w:rPr>
        <w:t>With regard to progress in the achievement of the</w:t>
      </w:r>
      <w:r w:rsidRPr="0085651A">
        <w:rPr>
          <w:rFonts w:ascii="Times New Roman" w:hAnsi="Times New Roman" w:cs="Times New Roman"/>
          <w:sz w:val="24"/>
          <w:szCs w:val="24"/>
        </w:rPr>
        <w:t>se</w:t>
      </w:r>
      <w:r w:rsidR="00285025" w:rsidRPr="0085651A">
        <w:rPr>
          <w:rFonts w:ascii="Times New Roman" w:hAnsi="Times New Roman" w:cs="Times New Roman"/>
          <w:sz w:val="24"/>
          <w:szCs w:val="24"/>
        </w:rPr>
        <w:t xml:space="preserve"> targets, </w:t>
      </w:r>
      <w:r w:rsidR="00745E1E" w:rsidRPr="0085651A">
        <w:rPr>
          <w:rFonts w:ascii="Times New Roman" w:hAnsi="Times New Roman" w:cs="Times New Roman"/>
          <w:sz w:val="24"/>
          <w:szCs w:val="24"/>
        </w:rPr>
        <w:t xml:space="preserve">the </w:t>
      </w:r>
      <w:r w:rsidR="00285025" w:rsidRPr="0085651A">
        <w:rPr>
          <w:rFonts w:ascii="Times New Roman" w:hAnsi="Times New Roman" w:cs="Times New Roman"/>
          <w:sz w:val="24"/>
          <w:szCs w:val="24"/>
        </w:rPr>
        <w:t xml:space="preserve">overall numbers of students enrolled in public higher education studies at universities show </w:t>
      </w:r>
      <w:r w:rsidR="00C93276" w:rsidRPr="0085651A">
        <w:rPr>
          <w:rFonts w:ascii="Times New Roman" w:hAnsi="Times New Roman" w:cs="Times New Roman"/>
          <w:sz w:val="24"/>
          <w:szCs w:val="24"/>
        </w:rPr>
        <w:t xml:space="preserve">a </w:t>
      </w:r>
      <w:r w:rsidR="00285025" w:rsidRPr="0085651A">
        <w:rPr>
          <w:rFonts w:ascii="Times New Roman" w:hAnsi="Times New Roman" w:cs="Times New Roman"/>
          <w:sz w:val="24"/>
          <w:szCs w:val="24"/>
        </w:rPr>
        <w:t xml:space="preserve">slight decrease between 2015/16 from 985 212 to 975 837 in 2017/18. </w:t>
      </w:r>
      <w:r w:rsidR="00580BF7" w:rsidRPr="0085651A">
        <w:rPr>
          <w:rFonts w:ascii="Times New Roman" w:hAnsi="Times New Roman" w:cs="Times New Roman"/>
          <w:sz w:val="24"/>
          <w:szCs w:val="24"/>
        </w:rPr>
        <w:t>The deviation was due to the decline in student numbers at the University of South Africa (UNISA). This was first</w:t>
      </w:r>
      <w:r w:rsidR="00936E13" w:rsidRPr="0085651A">
        <w:rPr>
          <w:rFonts w:ascii="Times New Roman" w:hAnsi="Times New Roman" w:cs="Times New Roman"/>
          <w:sz w:val="24"/>
          <w:szCs w:val="24"/>
        </w:rPr>
        <w:t>ly</w:t>
      </w:r>
      <w:r w:rsidR="00580BF7" w:rsidRPr="0085651A">
        <w:rPr>
          <w:rFonts w:ascii="Times New Roman" w:hAnsi="Times New Roman" w:cs="Times New Roman"/>
          <w:sz w:val="24"/>
          <w:szCs w:val="24"/>
        </w:rPr>
        <w:t xml:space="preserve"> noted in 2014/15 financial year and has continued into the 2015/16 and 2017/18 financial year. The decline was partly</w:t>
      </w:r>
      <w:r w:rsidR="006B02A7" w:rsidRPr="0085651A">
        <w:rPr>
          <w:rFonts w:ascii="Times New Roman" w:hAnsi="Times New Roman" w:cs="Times New Roman"/>
          <w:sz w:val="24"/>
          <w:szCs w:val="24"/>
        </w:rPr>
        <w:t xml:space="preserve"> due</w:t>
      </w:r>
      <w:r w:rsidR="00580BF7" w:rsidRPr="0085651A">
        <w:rPr>
          <w:rFonts w:ascii="Times New Roman" w:hAnsi="Times New Roman" w:cs="Times New Roman"/>
          <w:sz w:val="24"/>
          <w:szCs w:val="24"/>
        </w:rPr>
        <w:t xml:space="preserve"> to changes in UNISA’s admission policy, but also to their financial policies as student</w:t>
      </w:r>
      <w:r w:rsidR="006B02A7" w:rsidRPr="0085651A">
        <w:rPr>
          <w:rFonts w:ascii="Times New Roman" w:hAnsi="Times New Roman" w:cs="Times New Roman"/>
          <w:sz w:val="24"/>
          <w:szCs w:val="24"/>
        </w:rPr>
        <w:t>s</w:t>
      </w:r>
      <w:r w:rsidR="00580BF7" w:rsidRPr="0085651A">
        <w:rPr>
          <w:rFonts w:ascii="Times New Roman" w:hAnsi="Times New Roman" w:cs="Times New Roman"/>
          <w:sz w:val="24"/>
          <w:szCs w:val="24"/>
        </w:rPr>
        <w:t xml:space="preserve"> with bad debt could not be registered. </w:t>
      </w:r>
    </w:p>
    <w:p w14:paraId="6F807DE3" w14:textId="77777777" w:rsidR="00580BF7" w:rsidRPr="0085651A" w:rsidRDefault="00580BF7" w:rsidP="00580BF7">
      <w:pPr>
        <w:autoSpaceDE w:val="0"/>
        <w:autoSpaceDN w:val="0"/>
        <w:adjustRightInd w:val="0"/>
        <w:spacing w:after="0"/>
        <w:rPr>
          <w:rFonts w:ascii="Times New Roman" w:hAnsi="Times New Roman" w:cs="Times New Roman"/>
          <w:sz w:val="24"/>
          <w:szCs w:val="24"/>
        </w:rPr>
      </w:pPr>
    </w:p>
    <w:p w14:paraId="2F6A72D7" w14:textId="77777777" w:rsidR="00285025" w:rsidRPr="0085651A" w:rsidRDefault="00285025" w:rsidP="00285025">
      <w:pPr>
        <w:rPr>
          <w:rFonts w:ascii="Times New Roman" w:hAnsi="Times New Roman" w:cs="Times New Roman"/>
          <w:sz w:val="24"/>
          <w:szCs w:val="24"/>
        </w:rPr>
      </w:pPr>
      <w:r w:rsidRPr="0085651A">
        <w:rPr>
          <w:rFonts w:ascii="Times New Roman" w:hAnsi="Times New Roman" w:cs="Times New Roman"/>
          <w:sz w:val="24"/>
          <w:szCs w:val="24"/>
        </w:rPr>
        <w:t>The Committee was informed during its oversight visit to the University of Fort Hare</w:t>
      </w:r>
      <w:r w:rsidR="00745E1E" w:rsidRPr="0085651A">
        <w:rPr>
          <w:rFonts w:ascii="Times New Roman" w:hAnsi="Times New Roman" w:cs="Times New Roman"/>
          <w:sz w:val="24"/>
          <w:szCs w:val="24"/>
        </w:rPr>
        <w:t xml:space="preserve"> (UFH)</w:t>
      </w:r>
      <w:r w:rsidRPr="0085651A">
        <w:rPr>
          <w:rFonts w:ascii="Times New Roman" w:hAnsi="Times New Roman" w:cs="Times New Roman"/>
          <w:sz w:val="24"/>
          <w:szCs w:val="24"/>
        </w:rPr>
        <w:t xml:space="preserve"> that </w:t>
      </w:r>
      <w:r w:rsidR="006B02A7" w:rsidRPr="0085651A">
        <w:rPr>
          <w:rFonts w:ascii="Times New Roman" w:hAnsi="Times New Roman" w:cs="Times New Roman"/>
          <w:sz w:val="24"/>
          <w:szCs w:val="24"/>
        </w:rPr>
        <w:t xml:space="preserve">the </w:t>
      </w:r>
      <w:r w:rsidRPr="0085651A">
        <w:rPr>
          <w:rFonts w:ascii="Times New Roman" w:hAnsi="Times New Roman" w:cs="Times New Roman"/>
          <w:sz w:val="24"/>
          <w:szCs w:val="24"/>
        </w:rPr>
        <w:t xml:space="preserve">enrolment targets were not achieved in the </w:t>
      </w:r>
      <w:r w:rsidR="00745E1E" w:rsidRPr="0085651A">
        <w:rPr>
          <w:rFonts w:ascii="Times New Roman" w:hAnsi="Times New Roman" w:cs="Times New Roman"/>
          <w:sz w:val="24"/>
          <w:szCs w:val="24"/>
        </w:rPr>
        <w:t>a</w:t>
      </w:r>
      <w:r w:rsidRPr="0085651A">
        <w:rPr>
          <w:rFonts w:ascii="Times New Roman" w:hAnsi="Times New Roman" w:cs="Times New Roman"/>
          <w:sz w:val="24"/>
          <w:szCs w:val="24"/>
        </w:rPr>
        <w:t xml:space="preserve">gricultural and </w:t>
      </w:r>
      <w:r w:rsidR="00745E1E" w:rsidRPr="0085651A">
        <w:rPr>
          <w:rFonts w:ascii="Times New Roman" w:hAnsi="Times New Roman" w:cs="Times New Roman"/>
          <w:sz w:val="24"/>
          <w:szCs w:val="24"/>
        </w:rPr>
        <w:t>s</w:t>
      </w:r>
      <w:r w:rsidRPr="0085651A">
        <w:rPr>
          <w:rFonts w:ascii="Times New Roman" w:hAnsi="Times New Roman" w:cs="Times New Roman"/>
          <w:sz w:val="24"/>
          <w:szCs w:val="24"/>
        </w:rPr>
        <w:t>cience related programmes due to low numbers of learners who matriculate</w:t>
      </w:r>
      <w:r w:rsidR="006B02A7" w:rsidRPr="0085651A">
        <w:rPr>
          <w:rFonts w:ascii="Times New Roman" w:hAnsi="Times New Roman" w:cs="Times New Roman"/>
          <w:sz w:val="24"/>
          <w:szCs w:val="24"/>
        </w:rPr>
        <w:t>d</w:t>
      </w:r>
      <w:r w:rsidRPr="0085651A">
        <w:rPr>
          <w:rFonts w:ascii="Times New Roman" w:hAnsi="Times New Roman" w:cs="Times New Roman"/>
          <w:sz w:val="24"/>
          <w:szCs w:val="24"/>
        </w:rPr>
        <w:t xml:space="preserve"> with Maths and Science. The Cape Peninsula University of Technology </w:t>
      </w:r>
      <w:r w:rsidR="00745E1E" w:rsidRPr="0085651A">
        <w:rPr>
          <w:rFonts w:ascii="Times New Roman" w:hAnsi="Times New Roman" w:cs="Times New Roman"/>
          <w:sz w:val="24"/>
          <w:szCs w:val="24"/>
        </w:rPr>
        <w:t xml:space="preserve">(CPUT) </w:t>
      </w:r>
      <w:r w:rsidRPr="0085651A">
        <w:rPr>
          <w:rFonts w:ascii="Times New Roman" w:hAnsi="Times New Roman" w:cs="Times New Roman"/>
          <w:sz w:val="24"/>
          <w:szCs w:val="24"/>
        </w:rPr>
        <w:t xml:space="preserve">also reported to have not met its 2018 target on first-time entering students. There is a likelihood that the target may not be realised in 2018/19. </w:t>
      </w:r>
    </w:p>
    <w:p w14:paraId="21C46D69" w14:textId="77777777" w:rsidR="00285025" w:rsidRPr="0085651A" w:rsidRDefault="006F2080" w:rsidP="000758AE">
      <w:pPr>
        <w:rPr>
          <w:rFonts w:ascii="Times New Roman" w:hAnsi="Times New Roman" w:cs="Times New Roman"/>
          <w:sz w:val="24"/>
          <w:szCs w:val="24"/>
        </w:rPr>
      </w:pPr>
      <w:r w:rsidRPr="0085651A">
        <w:rPr>
          <w:rFonts w:ascii="Times New Roman" w:hAnsi="Times New Roman" w:cs="Times New Roman"/>
          <w:sz w:val="24"/>
          <w:szCs w:val="24"/>
        </w:rPr>
        <w:t>W</w:t>
      </w:r>
      <w:r w:rsidR="00FD2D1E" w:rsidRPr="0085651A">
        <w:rPr>
          <w:rFonts w:ascii="Times New Roman" w:hAnsi="Times New Roman" w:cs="Times New Roman"/>
          <w:sz w:val="24"/>
          <w:szCs w:val="24"/>
        </w:rPr>
        <w:t>ith</w:t>
      </w:r>
      <w:r w:rsidR="001D2B22" w:rsidRPr="0085651A">
        <w:rPr>
          <w:rFonts w:ascii="Times New Roman" w:hAnsi="Times New Roman" w:cs="Times New Roman"/>
          <w:sz w:val="24"/>
          <w:szCs w:val="24"/>
        </w:rPr>
        <w:t xml:space="preserve"> regard to graduate output</w:t>
      </w:r>
      <w:r w:rsidR="00FD2D1E" w:rsidRPr="0085651A">
        <w:rPr>
          <w:rFonts w:ascii="Times New Roman" w:hAnsi="Times New Roman" w:cs="Times New Roman"/>
          <w:sz w:val="24"/>
          <w:szCs w:val="24"/>
        </w:rPr>
        <w:t xml:space="preserve"> </w:t>
      </w:r>
      <w:r w:rsidR="00807365" w:rsidRPr="0085651A">
        <w:rPr>
          <w:rFonts w:ascii="Times New Roman" w:hAnsi="Times New Roman" w:cs="Times New Roman"/>
          <w:sz w:val="24"/>
          <w:szCs w:val="24"/>
        </w:rPr>
        <w:t>in engineering</w:t>
      </w:r>
      <w:r w:rsidR="00FD2D1E" w:rsidRPr="0085651A">
        <w:rPr>
          <w:rFonts w:ascii="Times New Roman" w:hAnsi="Times New Roman" w:cs="Times New Roman"/>
          <w:sz w:val="24"/>
          <w:szCs w:val="24"/>
        </w:rPr>
        <w:t xml:space="preserve"> sciences, the cumulative achievement </w:t>
      </w:r>
      <w:r w:rsidR="001D2B22" w:rsidRPr="0085651A">
        <w:rPr>
          <w:rFonts w:ascii="Times New Roman" w:hAnsi="Times New Roman" w:cs="Times New Roman"/>
          <w:sz w:val="24"/>
          <w:szCs w:val="24"/>
        </w:rPr>
        <w:t>between 2015/16 – 2017/18 is 36 914. This is an indication that the Department is on track to achieve the MTSF target of 57 000</w:t>
      </w:r>
      <w:r w:rsidR="001E1550" w:rsidRPr="0085651A">
        <w:rPr>
          <w:rFonts w:ascii="Times New Roman" w:hAnsi="Times New Roman" w:cs="Times New Roman"/>
          <w:sz w:val="24"/>
          <w:szCs w:val="24"/>
        </w:rPr>
        <w:t xml:space="preserve"> graduates in engineering sciences from by 2019/20</w:t>
      </w:r>
      <w:r w:rsidR="001D2B22" w:rsidRPr="0085651A">
        <w:rPr>
          <w:rFonts w:ascii="Times New Roman" w:hAnsi="Times New Roman" w:cs="Times New Roman"/>
          <w:sz w:val="24"/>
          <w:szCs w:val="24"/>
        </w:rPr>
        <w:t xml:space="preserve">. </w:t>
      </w:r>
      <w:r w:rsidR="00745E1E" w:rsidRPr="0085651A">
        <w:rPr>
          <w:rFonts w:ascii="Times New Roman" w:hAnsi="Times New Roman" w:cs="Times New Roman"/>
          <w:sz w:val="24"/>
          <w:szCs w:val="24"/>
        </w:rPr>
        <w:t>The c</w:t>
      </w:r>
      <w:r w:rsidR="001D2B22" w:rsidRPr="0085651A">
        <w:rPr>
          <w:rFonts w:ascii="Times New Roman" w:hAnsi="Times New Roman" w:cs="Times New Roman"/>
          <w:sz w:val="24"/>
          <w:szCs w:val="24"/>
        </w:rPr>
        <w:t xml:space="preserve">umulative graduate output in </w:t>
      </w:r>
      <w:r w:rsidR="00745E1E" w:rsidRPr="0085651A">
        <w:rPr>
          <w:rFonts w:ascii="Times New Roman" w:hAnsi="Times New Roman" w:cs="Times New Roman"/>
          <w:sz w:val="24"/>
          <w:szCs w:val="24"/>
        </w:rPr>
        <w:t>h</w:t>
      </w:r>
      <w:r w:rsidR="001D2B22" w:rsidRPr="0085651A">
        <w:rPr>
          <w:rFonts w:ascii="Times New Roman" w:hAnsi="Times New Roman" w:cs="Times New Roman"/>
          <w:sz w:val="24"/>
          <w:szCs w:val="24"/>
        </w:rPr>
        <w:t xml:space="preserve">uman and </w:t>
      </w:r>
      <w:r w:rsidR="00745E1E" w:rsidRPr="0085651A">
        <w:rPr>
          <w:rFonts w:ascii="Times New Roman" w:hAnsi="Times New Roman" w:cs="Times New Roman"/>
          <w:sz w:val="24"/>
          <w:szCs w:val="24"/>
        </w:rPr>
        <w:t>a</w:t>
      </w:r>
      <w:r w:rsidR="001D2B22" w:rsidRPr="0085651A">
        <w:rPr>
          <w:rFonts w:ascii="Times New Roman" w:hAnsi="Times New Roman" w:cs="Times New Roman"/>
          <w:sz w:val="24"/>
          <w:szCs w:val="24"/>
        </w:rPr>
        <w:t xml:space="preserve">nimal </w:t>
      </w:r>
      <w:r w:rsidR="00745E1E" w:rsidRPr="0085651A">
        <w:rPr>
          <w:rFonts w:ascii="Times New Roman" w:hAnsi="Times New Roman" w:cs="Times New Roman"/>
          <w:sz w:val="24"/>
          <w:szCs w:val="24"/>
        </w:rPr>
        <w:t>h</w:t>
      </w:r>
      <w:r w:rsidR="001D2B22" w:rsidRPr="0085651A">
        <w:rPr>
          <w:rFonts w:ascii="Times New Roman" w:hAnsi="Times New Roman" w:cs="Times New Roman"/>
          <w:sz w:val="24"/>
          <w:szCs w:val="24"/>
        </w:rPr>
        <w:t xml:space="preserve">ealth </w:t>
      </w:r>
      <w:r w:rsidR="00745E1E" w:rsidRPr="0085651A">
        <w:rPr>
          <w:rFonts w:ascii="Times New Roman" w:hAnsi="Times New Roman" w:cs="Times New Roman"/>
          <w:sz w:val="24"/>
          <w:szCs w:val="24"/>
        </w:rPr>
        <w:t>s</w:t>
      </w:r>
      <w:r w:rsidR="001D2B22" w:rsidRPr="0085651A">
        <w:rPr>
          <w:rFonts w:ascii="Times New Roman" w:hAnsi="Times New Roman" w:cs="Times New Roman"/>
          <w:sz w:val="24"/>
          <w:szCs w:val="24"/>
        </w:rPr>
        <w:t>ciences</w:t>
      </w:r>
      <w:r w:rsidR="00CA6935" w:rsidRPr="0085651A">
        <w:rPr>
          <w:rFonts w:ascii="Times New Roman" w:hAnsi="Times New Roman" w:cs="Times New Roman"/>
          <w:sz w:val="24"/>
          <w:szCs w:val="24"/>
        </w:rPr>
        <w:t xml:space="preserve"> and physical and natural sciences</w:t>
      </w:r>
      <w:r w:rsidR="001D2B22" w:rsidRPr="0085651A">
        <w:rPr>
          <w:rFonts w:ascii="Times New Roman" w:hAnsi="Times New Roman" w:cs="Times New Roman"/>
          <w:sz w:val="24"/>
          <w:szCs w:val="24"/>
        </w:rPr>
        <w:t xml:space="preserve"> achievement between 2015/16 – 2017/18 is </w:t>
      </w:r>
      <w:r w:rsidR="00CA6935" w:rsidRPr="0085651A">
        <w:rPr>
          <w:rFonts w:ascii="Times New Roman" w:hAnsi="Times New Roman" w:cs="Times New Roman"/>
          <w:sz w:val="24"/>
          <w:szCs w:val="24"/>
        </w:rPr>
        <w:t xml:space="preserve">28 920 and 23 000 respectively. </w:t>
      </w:r>
      <w:r w:rsidR="00745E1E" w:rsidRPr="0085651A">
        <w:rPr>
          <w:rFonts w:ascii="Times New Roman" w:hAnsi="Times New Roman" w:cs="Times New Roman"/>
          <w:sz w:val="24"/>
          <w:szCs w:val="24"/>
        </w:rPr>
        <w:t>The g</w:t>
      </w:r>
      <w:r w:rsidR="00CA6935" w:rsidRPr="0085651A">
        <w:rPr>
          <w:rFonts w:ascii="Times New Roman" w:hAnsi="Times New Roman" w:cs="Times New Roman"/>
          <w:sz w:val="24"/>
          <w:szCs w:val="24"/>
        </w:rPr>
        <w:t xml:space="preserve">raduate output in these programmes shows that the Department is on track to achieve the MTSF targets of 45 000 graduates in </w:t>
      </w:r>
      <w:r w:rsidR="00745E1E" w:rsidRPr="0085651A">
        <w:rPr>
          <w:rFonts w:ascii="Times New Roman" w:hAnsi="Times New Roman" w:cs="Times New Roman"/>
          <w:sz w:val="24"/>
          <w:szCs w:val="24"/>
        </w:rPr>
        <w:t>h</w:t>
      </w:r>
      <w:r w:rsidR="00CA6935" w:rsidRPr="0085651A">
        <w:rPr>
          <w:rFonts w:ascii="Times New Roman" w:hAnsi="Times New Roman" w:cs="Times New Roman"/>
          <w:sz w:val="24"/>
          <w:szCs w:val="24"/>
        </w:rPr>
        <w:t xml:space="preserve">uman and </w:t>
      </w:r>
      <w:r w:rsidR="00745E1E" w:rsidRPr="0085651A">
        <w:rPr>
          <w:rFonts w:ascii="Times New Roman" w:hAnsi="Times New Roman" w:cs="Times New Roman"/>
          <w:sz w:val="24"/>
          <w:szCs w:val="24"/>
        </w:rPr>
        <w:t>a</w:t>
      </w:r>
      <w:r w:rsidR="00CA6935" w:rsidRPr="0085651A">
        <w:rPr>
          <w:rFonts w:ascii="Times New Roman" w:hAnsi="Times New Roman" w:cs="Times New Roman"/>
          <w:sz w:val="24"/>
          <w:szCs w:val="24"/>
        </w:rPr>
        <w:t xml:space="preserve">nimal </w:t>
      </w:r>
      <w:r w:rsidR="00745E1E" w:rsidRPr="0085651A">
        <w:rPr>
          <w:rFonts w:ascii="Times New Roman" w:hAnsi="Times New Roman" w:cs="Times New Roman"/>
          <w:sz w:val="24"/>
          <w:szCs w:val="24"/>
        </w:rPr>
        <w:t>h</w:t>
      </w:r>
      <w:r w:rsidR="00CA6935" w:rsidRPr="0085651A">
        <w:rPr>
          <w:rFonts w:ascii="Times New Roman" w:hAnsi="Times New Roman" w:cs="Times New Roman"/>
          <w:sz w:val="24"/>
          <w:szCs w:val="24"/>
        </w:rPr>
        <w:t xml:space="preserve">ealth </w:t>
      </w:r>
      <w:r w:rsidR="00745E1E" w:rsidRPr="0085651A">
        <w:rPr>
          <w:rFonts w:ascii="Times New Roman" w:hAnsi="Times New Roman" w:cs="Times New Roman"/>
          <w:sz w:val="24"/>
          <w:szCs w:val="24"/>
        </w:rPr>
        <w:t>s</w:t>
      </w:r>
      <w:r w:rsidR="00CA6935" w:rsidRPr="0085651A">
        <w:rPr>
          <w:rFonts w:ascii="Times New Roman" w:hAnsi="Times New Roman" w:cs="Times New Roman"/>
          <w:sz w:val="24"/>
          <w:szCs w:val="24"/>
        </w:rPr>
        <w:t>ciences</w:t>
      </w:r>
      <w:r w:rsidR="001E1550" w:rsidRPr="0085651A">
        <w:rPr>
          <w:rFonts w:ascii="Times New Roman" w:hAnsi="Times New Roman" w:cs="Times New Roman"/>
          <w:sz w:val="24"/>
          <w:szCs w:val="24"/>
        </w:rPr>
        <w:t xml:space="preserve"> from universities</w:t>
      </w:r>
      <w:r w:rsidR="00CA6935" w:rsidRPr="0085651A">
        <w:rPr>
          <w:rFonts w:ascii="Times New Roman" w:hAnsi="Times New Roman" w:cs="Times New Roman"/>
          <w:sz w:val="24"/>
          <w:szCs w:val="24"/>
        </w:rPr>
        <w:t xml:space="preserve"> and 36 000 in physical and natural sciences. </w:t>
      </w:r>
      <w:r w:rsidR="00745E1E" w:rsidRPr="0085651A">
        <w:rPr>
          <w:rFonts w:ascii="Times New Roman" w:hAnsi="Times New Roman" w:cs="Times New Roman"/>
          <w:sz w:val="24"/>
          <w:szCs w:val="24"/>
        </w:rPr>
        <w:t>The g</w:t>
      </w:r>
      <w:r w:rsidR="0047749D" w:rsidRPr="0085651A">
        <w:rPr>
          <w:rFonts w:ascii="Times New Roman" w:hAnsi="Times New Roman" w:cs="Times New Roman"/>
          <w:sz w:val="24"/>
          <w:szCs w:val="24"/>
        </w:rPr>
        <w:t xml:space="preserve">raduate output in initial teacher education is 61 945 and </w:t>
      </w:r>
      <w:r w:rsidR="00745E1E" w:rsidRPr="0085651A">
        <w:rPr>
          <w:rFonts w:ascii="Times New Roman" w:hAnsi="Times New Roman" w:cs="Times New Roman"/>
          <w:sz w:val="24"/>
          <w:szCs w:val="24"/>
        </w:rPr>
        <w:t xml:space="preserve">7 585 </w:t>
      </w:r>
      <w:r w:rsidR="0047749D" w:rsidRPr="0085651A">
        <w:rPr>
          <w:rFonts w:ascii="Times New Roman" w:hAnsi="Times New Roman" w:cs="Times New Roman"/>
          <w:sz w:val="24"/>
          <w:szCs w:val="24"/>
        </w:rPr>
        <w:t>for Doctoral studies</w:t>
      </w:r>
      <w:r w:rsidR="00745E1E" w:rsidRPr="0085651A">
        <w:rPr>
          <w:rFonts w:ascii="Times New Roman" w:hAnsi="Times New Roman" w:cs="Times New Roman"/>
          <w:sz w:val="24"/>
          <w:szCs w:val="24"/>
        </w:rPr>
        <w:t>.</w:t>
      </w:r>
      <w:r w:rsidR="0047749D" w:rsidRPr="0085651A">
        <w:rPr>
          <w:rFonts w:ascii="Times New Roman" w:hAnsi="Times New Roman" w:cs="Times New Roman"/>
          <w:sz w:val="24"/>
          <w:szCs w:val="24"/>
        </w:rPr>
        <w:t xml:space="preserve"> </w:t>
      </w:r>
      <w:r w:rsidR="00745E1E" w:rsidRPr="0085651A">
        <w:rPr>
          <w:rFonts w:ascii="Times New Roman" w:hAnsi="Times New Roman" w:cs="Times New Roman"/>
          <w:sz w:val="24"/>
          <w:szCs w:val="24"/>
        </w:rPr>
        <w:t>This</w:t>
      </w:r>
      <w:r w:rsidR="0047749D" w:rsidRPr="0085651A">
        <w:rPr>
          <w:rFonts w:ascii="Times New Roman" w:hAnsi="Times New Roman" w:cs="Times New Roman"/>
          <w:sz w:val="24"/>
          <w:szCs w:val="24"/>
        </w:rPr>
        <w:t xml:space="preserve"> show</w:t>
      </w:r>
      <w:r w:rsidR="00745E1E" w:rsidRPr="0085651A">
        <w:rPr>
          <w:rFonts w:ascii="Times New Roman" w:hAnsi="Times New Roman" w:cs="Times New Roman"/>
          <w:sz w:val="24"/>
          <w:szCs w:val="24"/>
        </w:rPr>
        <w:t>s</w:t>
      </w:r>
      <w:r w:rsidR="0047749D" w:rsidRPr="0085651A">
        <w:rPr>
          <w:rFonts w:ascii="Times New Roman" w:hAnsi="Times New Roman" w:cs="Times New Roman"/>
          <w:sz w:val="24"/>
          <w:szCs w:val="24"/>
        </w:rPr>
        <w:t xml:space="preserve"> satisfactory progress towards achieving</w:t>
      </w:r>
      <w:r w:rsidR="00745E1E" w:rsidRPr="0085651A">
        <w:rPr>
          <w:rFonts w:ascii="Times New Roman" w:hAnsi="Times New Roman" w:cs="Times New Roman"/>
          <w:sz w:val="24"/>
          <w:szCs w:val="24"/>
        </w:rPr>
        <w:t xml:space="preserve"> the</w:t>
      </w:r>
      <w:r w:rsidR="0047749D" w:rsidRPr="0085651A">
        <w:rPr>
          <w:rFonts w:ascii="Times New Roman" w:hAnsi="Times New Roman" w:cs="Times New Roman"/>
          <w:sz w:val="24"/>
          <w:szCs w:val="24"/>
        </w:rPr>
        <w:t xml:space="preserve"> MTSF targets of </w:t>
      </w:r>
      <w:r w:rsidR="00AE367E" w:rsidRPr="0085651A">
        <w:rPr>
          <w:rFonts w:ascii="Times New Roman" w:hAnsi="Times New Roman" w:cs="Times New Roman"/>
          <w:sz w:val="24"/>
          <w:szCs w:val="24"/>
        </w:rPr>
        <w:t>99 000</w:t>
      </w:r>
      <w:r w:rsidR="001E1550" w:rsidRPr="0085651A">
        <w:rPr>
          <w:rFonts w:ascii="Times New Roman" w:hAnsi="Times New Roman" w:cs="Times New Roman"/>
          <w:sz w:val="24"/>
          <w:szCs w:val="24"/>
        </w:rPr>
        <w:t xml:space="preserve"> graduates in initial teacher education from universities</w:t>
      </w:r>
      <w:r w:rsidR="00AE367E" w:rsidRPr="0085651A">
        <w:rPr>
          <w:rFonts w:ascii="Times New Roman" w:hAnsi="Times New Roman" w:cs="Times New Roman"/>
          <w:sz w:val="24"/>
          <w:szCs w:val="24"/>
        </w:rPr>
        <w:t xml:space="preserve"> and 12 000</w:t>
      </w:r>
      <w:r w:rsidR="001E1550" w:rsidRPr="0085651A">
        <w:rPr>
          <w:rFonts w:ascii="Times New Roman" w:hAnsi="Times New Roman" w:cs="Times New Roman"/>
          <w:sz w:val="24"/>
          <w:szCs w:val="24"/>
        </w:rPr>
        <w:t xml:space="preserve"> doctoral graduates from universities</w:t>
      </w:r>
      <w:r w:rsidR="00AE367E" w:rsidRPr="0085651A">
        <w:rPr>
          <w:rFonts w:ascii="Times New Roman" w:hAnsi="Times New Roman" w:cs="Times New Roman"/>
          <w:sz w:val="24"/>
          <w:szCs w:val="24"/>
        </w:rPr>
        <w:t xml:space="preserve"> respectively.</w:t>
      </w:r>
      <w:r w:rsidR="00CC6D52" w:rsidRPr="0085651A">
        <w:rPr>
          <w:rFonts w:ascii="Times New Roman" w:hAnsi="Times New Roman" w:cs="Times New Roman"/>
          <w:sz w:val="24"/>
          <w:szCs w:val="24"/>
        </w:rPr>
        <w:t xml:space="preserve"> The Department has already achieved the MTSF of 78 percent of success rate at universities and the 46 percent of universities academic staff with PhD</w:t>
      </w:r>
      <w:r w:rsidR="00C93276" w:rsidRPr="0085651A">
        <w:rPr>
          <w:rFonts w:ascii="Times New Roman" w:hAnsi="Times New Roman" w:cs="Times New Roman"/>
          <w:sz w:val="24"/>
          <w:szCs w:val="24"/>
        </w:rPr>
        <w:t>s</w:t>
      </w:r>
      <w:r w:rsidR="00CC6D52" w:rsidRPr="0085651A">
        <w:rPr>
          <w:rFonts w:ascii="Times New Roman" w:hAnsi="Times New Roman" w:cs="Times New Roman"/>
          <w:sz w:val="24"/>
          <w:szCs w:val="24"/>
        </w:rPr>
        <w:t xml:space="preserve"> is also on track. The current achievement is 45 percent. </w:t>
      </w:r>
    </w:p>
    <w:p w14:paraId="07A61DAE" w14:textId="77777777" w:rsidR="00CC6D52" w:rsidRPr="0085651A" w:rsidRDefault="00CC6D52" w:rsidP="000758AE">
      <w:pPr>
        <w:rPr>
          <w:rFonts w:ascii="Times New Roman" w:hAnsi="Times New Roman" w:cs="Times New Roman"/>
          <w:sz w:val="24"/>
          <w:szCs w:val="24"/>
        </w:rPr>
      </w:pPr>
      <w:r w:rsidRPr="0085651A">
        <w:rPr>
          <w:rFonts w:ascii="Times New Roman" w:hAnsi="Times New Roman" w:cs="Times New Roman"/>
          <w:sz w:val="24"/>
          <w:szCs w:val="24"/>
        </w:rPr>
        <w:t>Of concern</w:t>
      </w:r>
      <w:r w:rsidR="00745E1E" w:rsidRPr="0085651A">
        <w:rPr>
          <w:rFonts w:ascii="Times New Roman" w:hAnsi="Times New Roman" w:cs="Times New Roman"/>
          <w:sz w:val="24"/>
          <w:szCs w:val="24"/>
        </w:rPr>
        <w:t xml:space="preserve"> to note</w:t>
      </w:r>
      <w:r w:rsidRPr="0085651A">
        <w:rPr>
          <w:rFonts w:ascii="Times New Roman" w:hAnsi="Times New Roman" w:cs="Times New Roman"/>
          <w:sz w:val="24"/>
          <w:szCs w:val="24"/>
        </w:rPr>
        <w:t xml:space="preserve"> is the target of student</w:t>
      </w:r>
      <w:r w:rsidR="003E59FA" w:rsidRPr="0085651A">
        <w:rPr>
          <w:rFonts w:ascii="Times New Roman" w:hAnsi="Times New Roman" w:cs="Times New Roman"/>
          <w:sz w:val="24"/>
          <w:szCs w:val="24"/>
        </w:rPr>
        <w:t>s</w:t>
      </w:r>
      <w:r w:rsidRPr="0085651A">
        <w:rPr>
          <w:rFonts w:ascii="Times New Roman" w:hAnsi="Times New Roman" w:cs="Times New Roman"/>
          <w:sz w:val="24"/>
          <w:szCs w:val="24"/>
        </w:rPr>
        <w:t xml:space="preserve"> in foundation programmes. The annual target of 36</w:t>
      </w:r>
      <w:r w:rsidR="00C93276" w:rsidRPr="0085651A">
        <w:rPr>
          <w:rFonts w:ascii="Times New Roman" w:hAnsi="Times New Roman" w:cs="Times New Roman"/>
          <w:sz w:val="24"/>
          <w:szCs w:val="24"/>
        </w:rPr>
        <w:t> </w:t>
      </w:r>
      <w:r w:rsidRPr="0085651A">
        <w:rPr>
          <w:rFonts w:ascii="Times New Roman" w:hAnsi="Times New Roman" w:cs="Times New Roman"/>
          <w:sz w:val="24"/>
          <w:szCs w:val="24"/>
        </w:rPr>
        <w:t>000</w:t>
      </w:r>
      <w:r w:rsidR="00C93276" w:rsidRPr="0085651A">
        <w:rPr>
          <w:rFonts w:ascii="Times New Roman" w:hAnsi="Times New Roman" w:cs="Times New Roman"/>
          <w:sz w:val="24"/>
          <w:szCs w:val="24"/>
        </w:rPr>
        <w:t xml:space="preserve"> students enrolled in foundation programmes</w:t>
      </w:r>
      <w:r w:rsidRPr="0085651A">
        <w:rPr>
          <w:rFonts w:ascii="Times New Roman" w:hAnsi="Times New Roman" w:cs="Times New Roman"/>
          <w:sz w:val="24"/>
          <w:szCs w:val="24"/>
        </w:rPr>
        <w:t xml:space="preserve"> has not been achieved since the beginning of the MTSF in 2015/16. The Department has attributed the </w:t>
      </w:r>
      <w:r w:rsidR="003E59FA" w:rsidRPr="0085651A">
        <w:rPr>
          <w:rFonts w:ascii="Times New Roman" w:hAnsi="Times New Roman" w:cs="Times New Roman"/>
          <w:sz w:val="24"/>
          <w:szCs w:val="24"/>
        </w:rPr>
        <w:t>under-achievement to the fact that</w:t>
      </w:r>
      <w:r w:rsidRPr="0085651A">
        <w:rPr>
          <w:rFonts w:ascii="Times New Roman" w:hAnsi="Times New Roman" w:cs="Times New Roman"/>
          <w:sz w:val="24"/>
          <w:szCs w:val="24"/>
        </w:rPr>
        <w:t xml:space="preserve"> UNISA has not enrolled student</w:t>
      </w:r>
      <w:r w:rsidR="00206736" w:rsidRPr="0085651A">
        <w:rPr>
          <w:rFonts w:ascii="Times New Roman" w:hAnsi="Times New Roman" w:cs="Times New Roman"/>
          <w:sz w:val="24"/>
          <w:szCs w:val="24"/>
        </w:rPr>
        <w:t>s</w:t>
      </w:r>
      <w:r w:rsidRPr="0085651A">
        <w:rPr>
          <w:rFonts w:ascii="Times New Roman" w:hAnsi="Times New Roman" w:cs="Times New Roman"/>
          <w:sz w:val="24"/>
          <w:szCs w:val="24"/>
        </w:rPr>
        <w:t xml:space="preserve"> in foundation programmes. The Department has since revised down the annual target. The current achievement shows that the MTSF target of 36 000 student</w:t>
      </w:r>
      <w:r w:rsidR="00C93276" w:rsidRPr="0085651A">
        <w:rPr>
          <w:rFonts w:ascii="Times New Roman" w:hAnsi="Times New Roman" w:cs="Times New Roman"/>
          <w:sz w:val="24"/>
          <w:szCs w:val="24"/>
        </w:rPr>
        <w:t>s</w:t>
      </w:r>
      <w:r w:rsidRPr="0085651A">
        <w:rPr>
          <w:rFonts w:ascii="Times New Roman" w:hAnsi="Times New Roman" w:cs="Times New Roman"/>
          <w:sz w:val="24"/>
          <w:szCs w:val="24"/>
        </w:rPr>
        <w:t xml:space="preserve"> enrolled in foundation programmes annually will not be achieved.</w:t>
      </w:r>
    </w:p>
    <w:p w14:paraId="0ACD4919" w14:textId="77777777" w:rsidR="001654AB" w:rsidRPr="0085651A" w:rsidRDefault="001654AB" w:rsidP="001654AB">
      <w:pPr>
        <w:rPr>
          <w:rFonts w:ascii="Times New Roman" w:hAnsi="Times New Roman" w:cs="Times New Roman"/>
          <w:b/>
          <w:sz w:val="24"/>
          <w:szCs w:val="24"/>
        </w:rPr>
      </w:pPr>
      <w:r w:rsidRPr="0085651A">
        <w:rPr>
          <w:rFonts w:ascii="Times New Roman" w:hAnsi="Times New Roman" w:cs="Times New Roman"/>
          <w:b/>
          <w:sz w:val="24"/>
          <w:szCs w:val="24"/>
        </w:rPr>
        <w:t>4.3.4. Programme 4: Technical and Vocational Education and Training</w:t>
      </w:r>
    </w:p>
    <w:p w14:paraId="0079EFFF" w14:textId="77777777" w:rsidR="00E90BB3" w:rsidRPr="0085651A" w:rsidRDefault="00E90BB3" w:rsidP="00E90BB3">
      <w:pPr>
        <w:rPr>
          <w:rFonts w:ascii="Times New Roman" w:hAnsi="Times New Roman" w:cs="Times New Roman"/>
          <w:sz w:val="24"/>
          <w:szCs w:val="24"/>
        </w:rPr>
      </w:pPr>
      <w:r w:rsidRPr="0085651A">
        <w:rPr>
          <w:rFonts w:ascii="Times New Roman" w:hAnsi="Times New Roman" w:cs="Times New Roman"/>
          <w:sz w:val="24"/>
          <w:szCs w:val="24"/>
          <w:lang w:val="en-US"/>
        </w:rPr>
        <w:t xml:space="preserve">The purpose of this programme is to plan, develop, implement, monitor, maintain and evaluate national policy, programme assessment practices and systems for technical and vocational education and training. The programme has </w:t>
      </w:r>
      <w:r w:rsidRPr="0085651A">
        <w:rPr>
          <w:rFonts w:ascii="Times New Roman" w:hAnsi="Times New Roman" w:cs="Times New Roman"/>
          <w:sz w:val="24"/>
          <w:szCs w:val="24"/>
        </w:rPr>
        <w:t xml:space="preserve">five budget sub-programmes. The sub-programmes are: Programme Management: Technical and Vocational Education and Training; Technical and Vocational Education and Training System Planning and </w:t>
      </w:r>
      <w:r w:rsidRPr="0085651A">
        <w:rPr>
          <w:rFonts w:ascii="Times New Roman" w:hAnsi="Times New Roman" w:cs="Times New Roman"/>
          <w:sz w:val="24"/>
          <w:szCs w:val="24"/>
        </w:rPr>
        <w:lastRenderedPageBreak/>
        <w:t xml:space="preserve">Institutional Support; Programmes and Qualifications; National Examination and Assessment and Financial Planning. </w:t>
      </w:r>
    </w:p>
    <w:p w14:paraId="60F8A7AE" w14:textId="77777777" w:rsidR="00AC5CB4" w:rsidRPr="0085651A" w:rsidRDefault="00AC5CB4" w:rsidP="00E90BB3">
      <w:pPr>
        <w:rPr>
          <w:rFonts w:ascii="Times New Roman" w:hAnsi="Times New Roman" w:cs="Times New Roman"/>
          <w:b/>
          <w:sz w:val="24"/>
          <w:szCs w:val="24"/>
        </w:rPr>
      </w:pPr>
    </w:p>
    <w:p w14:paraId="3E45B832" w14:textId="77777777" w:rsidR="00706532" w:rsidRPr="0085651A" w:rsidRDefault="00176C33" w:rsidP="00E90BB3">
      <w:pPr>
        <w:rPr>
          <w:rFonts w:ascii="Times New Roman" w:hAnsi="Times New Roman" w:cs="Times New Roman"/>
          <w:sz w:val="24"/>
          <w:szCs w:val="24"/>
        </w:rPr>
      </w:pPr>
      <w:r w:rsidRPr="0085651A">
        <w:rPr>
          <w:rFonts w:ascii="Times New Roman" w:hAnsi="Times New Roman" w:cs="Times New Roman"/>
          <w:b/>
          <w:sz w:val="24"/>
          <w:szCs w:val="24"/>
        </w:rPr>
        <w:t>4.3.4.1. Overview and assessment of the 2018/19 MTEF budget allocation</w:t>
      </w:r>
    </w:p>
    <w:p w14:paraId="13B83061" w14:textId="77777777" w:rsidR="00E90BB3" w:rsidRPr="0085651A" w:rsidRDefault="00E90BB3" w:rsidP="00E90BB3">
      <w:pPr>
        <w:autoSpaceDE w:val="0"/>
        <w:autoSpaceDN w:val="0"/>
        <w:adjustRightInd w:val="0"/>
        <w:spacing w:after="0"/>
        <w:rPr>
          <w:rFonts w:ascii="Times New Roman" w:hAnsi="Times New Roman" w:cs="Times New Roman"/>
          <w:sz w:val="24"/>
          <w:szCs w:val="24"/>
        </w:rPr>
      </w:pPr>
      <w:r w:rsidRPr="0085651A">
        <w:rPr>
          <w:rFonts w:ascii="Times New Roman" w:hAnsi="Times New Roman" w:cs="Times New Roman"/>
          <w:sz w:val="24"/>
          <w:szCs w:val="24"/>
        </w:rPr>
        <w:t>Th</w:t>
      </w:r>
      <w:r w:rsidR="003E59FA" w:rsidRPr="0085651A">
        <w:rPr>
          <w:rFonts w:ascii="Times New Roman" w:hAnsi="Times New Roman" w:cs="Times New Roman"/>
          <w:sz w:val="24"/>
          <w:szCs w:val="24"/>
        </w:rPr>
        <w:t xml:space="preserve">e programme’s allocation for </w:t>
      </w:r>
      <w:r w:rsidRPr="0085651A">
        <w:rPr>
          <w:rFonts w:ascii="Times New Roman" w:hAnsi="Times New Roman" w:cs="Times New Roman"/>
          <w:sz w:val="24"/>
          <w:szCs w:val="24"/>
        </w:rPr>
        <w:t>2018/19 amounts to R10.739 billion. This is the second highest programme allocation, which accounts for 14.71 per cent of the total Higher Education and Training budget (R73.020 billion), excluding direct charges</w:t>
      </w:r>
      <w:r w:rsidR="009C6A39" w:rsidRPr="0085651A">
        <w:rPr>
          <w:rFonts w:ascii="Times New Roman" w:hAnsi="Times New Roman" w:cs="Times New Roman"/>
          <w:sz w:val="24"/>
          <w:szCs w:val="24"/>
        </w:rPr>
        <w:t xml:space="preserve"> against </w:t>
      </w:r>
      <w:r w:rsidR="00C93276" w:rsidRPr="0085651A">
        <w:rPr>
          <w:rFonts w:ascii="Times New Roman" w:hAnsi="Times New Roman" w:cs="Times New Roman"/>
          <w:sz w:val="24"/>
          <w:szCs w:val="24"/>
        </w:rPr>
        <w:t xml:space="preserve">the </w:t>
      </w:r>
      <w:r w:rsidR="009C6A39" w:rsidRPr="0085651A">
        <w:rPr>
          <w:rFonts w:ascii="Times New Roman" w:hAnsi="Times New Roman" w:cs="Times New Roman"/>
          <w:sz w:val="24"/>
          <w:szCs w:val="24"/>
        </w:rPr>
        <w:t>National Revenue Fund</w:t>
      </w:r>
      <w:r w:rsidRPr="0085651A">
        <w:rPr>
          <w:rFonts w:ascii="Times New Roman" w:hAnsi="Times New Roman" w:cs="Times New Roman"/>
          <w:sz w:val="24"/>
          <w:szCs w:val="24"/>
        </w:rPr>
        <w:t xml:space="preserve">. The budget increased by R3.279 billion in nominal terms from R7.460 billion allocated in 2017/18. This represents an increase of </w:t>
      </w:r>
      <w:r w:rsidR="009C6A39" w:rsidRPr="0085651A">
        <w:rPr>
          <w:rFonts w:ascii="Times New Roman" w:hAnsi="Times New Roman" w:cs="Times New Roman"/>
          <w:sz w:val="24"/>
          <w:szCs w:val="24"/>
        </w:rPr>
        <w:t>44</w:t>
      </w:r>
      <w:r w:rsidR="00AD7406" w:rsidRPr="0085651A">
        <w:rPr>
          <w:rFonts w:ascii="Times New Roman" w:hAnsi="Times New Roman" w:cs="Times New Roman"/>
          <w:sz w:val="24"/>
          <w:szCs w:val="24"/>
        </w:rPr>
        <w:t xml:space="preserve"> percent</w:t>
      </w:r>
      <w:r w:rsidRPr="0085651A">
        <w:rPr>
          <w:rFonts w:ascii="Times New Roman" w:hAnsi="Times New Roman" w:cs="Times New Roman"/>
          <w:sz w:val="24"/>
          <w:szCs w:val="24"/>
        </w:rPr>
        <w:t xml:space="preserve">. </w:t>
      </w:r>
      <w:r w:rsidR="00491F9E" w:rsidRPr="0085651A">
        <w:rPr>
          <w:rFonts w:ascii="Times New Roman" w:hAnsi="Times New Roman" w:cs="Times New Roman"/>
          <w:sz w:val="24"/>
          <w:szCs w:val="24"/>
        </w:rPr>
        <w:t xml:space="preserve">The programme budget is projected to increase in the two outer years of the MTEF period to R12.982 billion and R14.585 billion in 2019/20 and 2020/21 respectively. </w:t>
      </w:r>
    </w:p>
    <w:p w14:paraId="1C24C764" w14:textId="77777777" w:rsidR="00BD28F5" w:rsidRPr="0085651A" w:rsidRDefault="00BD28F5" w:rsidP="00E90BB3">
      <w:pPr>
        <w:autoSpaceDE w:val="0"/>
        <w:autoSpaceDN w:val="0"/>
        <w:adjustRightInd w:val="0"/>
        <w:spacing w:after="0"/>
        <w:rPr>
          <w:rFonts w:ascii="Times New Roman" w:hAnsi="Times New Roman" w:cs="Times New Roman"/>
          <w:sz w:val="24"/>
          <w:szCs w:val="24"/>
        </w:rPr>
      </w:pPr>
    </w:p>
    <w:p w14:paraId="4A020C1D" w14:textId="77777777" w:rsidR="00E90BB3" w:rsidRPr="0085651A" w:rsidRDefault="00BD28F5" w:rsidP="00E90BB3">
      <w:pPr>
        <w:autoSpaceDE w:val="0"/>
        <w:autoSpaceDN w:val="0"/>
        <w:adjustRightInd w:val="0"/>
        <w:spacing w:after="0"/>
        <w:rPr>
          <w:rFonts w:ascii="Times New Roman" w:hAnsi="Times New Roman" w:cs="Times New Roman"/>
          <w:sz w:val="24"/>
          <w:szCs w:val="24"/>
        </w:rPr>
      </w:pPr>
      <w:r w:rsidRPr="0085651A">
        <w:rPr>
          <w:rFonts w:ascii="Times New Roman" w:hAnsi="Times New Roman" w:cs="Times New Roman"/>
          <w:sz w:val="24"/>
          <w:szCs w:val="24"/>
        </w:rPr>
        <w:t>Sub-programme 2: Technical and Vocational Education and Training System Planning and Institutional Support is allocated the bulk of the programme</w:t>
      </w:r>
      <w:r w:rsidR="00135FE5" w:rsidRPr="0085651A">
        <w:rPr>
          <w:rFonts w:ascii="Times New Roman" w:hAnsi="Times New Roman" w:cs="Times New Roman"/>
          <w:sz w:val="24"/>
          <w:szCs w:val="24"/>
        </w:rPr>
        <w:t>’s budget which amounts to</w:t>
      </w:r>
      <w:r w:rsidRPr="0085651A">
        <w:rPr>
          <w:rFonts w:ascii="Times New Roman" w:hAnsi="Times New Roman" w:cs="Times New Roman"/>
          <w:sz w:val="24"/>
          <w:szCs w:val="24"/>
        </w:rPr>
        <w:t xml:space="preserve"> R10.396 billion. This accounts for 96.80 percent of the programme’s total budget. The sub-programme budget has increased by 46.84 percent from R7.080 billion allocated in 2017/18. </w:t>
      </w:r>
      <w:r w:rsidR="00E90BB3" w:rsidRPr="0085651A">
        <w:rPr>
          <w:rFonts w:ascii="Times New Roman" w:hAnsi="Times New Roman" w:cs="Times New Roman"/>
          <w:sz w:val="24"/>
          <w:szCs w:val="24"/>
        </w:rPr>
        <w:t xml:space="preserve">The high increase is to cater for </w:t>
      </w:r>
      <w:r w:rsidR="00C93276" w:rsidRPr="0085651A">
        <w:rPr>
          <w:rFonts w:ascii="Times New Roman" w:hAnsi="Times New Roman" w:cs="Times New Roman"/>
          <w:sz w:val="24"/>
          <w:szCs w:val="24"/>
        </w:rPr>
        <w:t xml:space="preserve">an additional allocation </w:t>
      </w:r>
      <w:r w:rsidR="00E90BB3" w:rsidRPr="0085651A">
        <w:rPr>
          <w:rFonts w:ascii="Times New Roman" w:hAnsi="Times New Roman" w:cs="Times New Roman"/>
          <w:sz w:val="24"/>
          <w:szCs w:val="24"/>
        </w:rPr>
        <w:t>in subsidies to the TVET Colleges to R4.302 billion in 2018/19, which</w:t>
      </w:r>
      <w:r w:rsidR="00135FE5" w:rsidRPr="0085651A">
        <w:rPr>
          <w:rFonts w:ascii="Times New Roman" w:hAnsi="Times New Roman" w:cs="Times New Roman"/>
          <w:sz w:val="24"/>
          <w:szCs w:val="24"/>
        </w:rPr>
        <w:t xml:space="preserve"> is an</w:t>
      </w:r>
      <w:r w:rsidR="00E90BB3" w:rsidRPr="0085651A">
        <w:rPr>
          <w:rFonts w:ascii="Times New Roman" w:hAnsi="Times New Roman" w:cs="Times New Roman"/>
          <w:sz w:val="24"/>
          <w:szCs w:val="24"/>
        </w:rPr>
        <w:t xml:space="preserve"> increase from R1.515 billion</w:t>
      </w:r>
      <w:r w:rsidR="00135FE5" w:rsidRPr="0085651A">
        <w:rPr>
          <w:rFonts w:ascii="Times New Roman" w:hAnsi="Times New Roman" w:cs="Times New Roman"/>
          <w:sz w:val="24"/>
          <w:szCs w:val="24"/>
        </w:rPr>
        <w:t xml:space="preserve"> in 2017/18</w:t>
      </w:r>
      <w:r w:rsidR="00E90BB3" w:rsidRPr="0085651A">
        <w:rPr>
          <w:rFonts w:ascii="Times New Roman" w:hAnsi="Times New Roman" w:cs="Times New Roman"/>
          <w:sz w:val="24"/>
          <w:szCs w:val="24"/>
        </w:rPr>
        <w:t xml:space="preserve">. The increased subsidy is due to the introduction of the TVET infrastructure baseline funding to refurbish campus buildings, purchase workshop equipment and maintain </w:t>
      </w:r>
      <w:r w:rsidRPr="0085651A">
        <w:rPr>
          <w:rFonts w:ascii="Times New Roman" w:hAnsi="Times New Roman" w:cs="Times New Roman"/>
          <w:sz w:val="24"/>
          <w:szCs w:val="24"/>
        </w:rPr>
        <w:t xml:space="preserve">existing </w:t>
      </w:r>
      <w:r w:rsidR="00E90BB3" w:rsidRPr="0085651A">
        <w:rPr>
          <w:rFonts w:ascii="Times New Roman" w:hAnsi="Times New Roman" w:cs="Times New Roman"/>
          <w:sz w:val="24"/>
          <w:szCs w:val="24"/>
        </w:rPr>
        <w:t xml:space="preserve">facilities. The increase in the baseline funding responds to the Committee’s recommendation to have additional funding from the voted funds to ensure operationalisation of the new TVET College campuses, which are currently three (3); to address </w:t>
      </w:r>
      <w:r w:rsidR="00C93276" w:rsidRPr="0085651A">
        <w:rPr>
          <w:rFonts w:ascii="Times New Roman" w:hAnsi="Times New Roman" w:cs="Times New Roman"/>
          <w:sz w:val="24"/>
          <w:szCs w:val="24"/>
        </w:rPr>
        <w:t xml:space="preserve">the </w:t>
      </w:r>
      <w:r w:rsidR="00E90BB3" w:rsidRPr="0085651A">
        <w:rPr>
          <w:rFonts w:ascii="Times New Roman" w:hAnsi="Times New Roman" w:cs="Times New Roman"/>
          <w:sz w:val="24"/>
          <w:szCs w:val="24"/>
        </w:rPr>
        <w:t>infrastructure maintenance backlog and modernisation of equipment at the TVET Colleges workshops.</w:t>
      </w:r>
      <w:r w:rsidR="00172206" w:rsidRPr="0085651A">
        <w:rPr>
          <w:rFonts w:ascii="Times New Roman" w:hAnsi="Times New Roman" w:cs="Times New Roman"/>
          <w:sz w:val="24"/>
          <w:szCs w:val="24"/>
        </w:rPr>
        <w:t xml:space="preserve"> Part of the funding will also go towards</w:t>
      </w:r>
      <w:r w:rsidR="006F2080" w:rsidRPr="0085651A">
        <w:rPr>
          <w:rFonts w:ascii="Times New Roman" w:hAnsi="Times New Roman" w:cs="Times New Roman"/>
          <w:sz w:val="24"/>
          <w:szCs w:val="24"/>
        </w:rPr>
        <w:t xml:space="preserve"> the</w:t>
      </w:r>
      <w:r w:rsidR="00172206" w:rsidRPr="0085651A">
        <w:rPr>
          <w:rFonts w:ascii="Times New Roman" w:hAnsi="Times New Roman" w:cs="Times New Roman"/>
          <w:sz w:val="24"/>
          <w:szCs w:val="24"/>
        </w:rPr>
        <w:t xml:space="preserve"> 80 percent programme funding. </w:t>
      </w:r>
      <w:r w:rsidR="00E90BB3" w:rsidRPr="0085651A">
        <w:rPr>
          <w:rFonts w:ascii="Times New Roman" w:hAnsi="Times New Roman" w:cs="Times New Roman"/>
          <w:sz w:val="24"/>
          <w:szCs w:val="24"/>
        </w:rPr>
        <w:t>Of the R10.739 billion</w:t>
      </w:r>
      <w:r w:rsidR="00135FE5" w:rsidRPr="0085651A">
        <w:rPr>
          <w:rFonts w:ascii="Times New Roman" w:hAnsi="Times New Roman" w:cs="Times New Roman"/>
          <w:sz w:val="24"/>
          <w:szCs w:val="24"/>
        </w:rPr>
        <w:t xml:space="preserve"> total allocation for the programme</w:t>
      </w:r>
      <w:r w:rsidR="00E90BB3" w:rsidRPr="0085651A">
        <w:rPr>
          <w:rFonts w:ascii="Times New Roman" w:hAnsi="Times New Roman" w:cs="Times New Roman"/>
          <w:sz w:val="24"/>
          <w:szCs w:val="24"/>
        </w:rPr>
        <w:t>, R6.276 billion is</w:t>
      </w:r>
      <w:r w:rsidR="00135FE5" w:rsidRPr="0085651A">
        <w:rPr>
          <w:rFonts w:ascii="Times New Roman" w:hAnsi="Times New Roman" w:cs="Times New Roman"/>
          <w:sz w:val="24"/>
          <w:szCs w:val="24"/>
        </w:rPr>
        <w:t xml:space="preserve"> allocated</w:t>
      </w:r>
      <w:r w:rsidR="00E90BB3" w:rsidRPr="0085651A">
        <w:rPr>
          <w:rFonts w:ascii="Times New Roman" w:hAnsi="Times New Roman" w:cs="Times New Roman"/>
          <w:sz w:val="24"/>
          <w:szCs w:val="24"/>
        </w:rPr>
        <w:t xml:space="preserve"> for compensation of employees.  </w:t>
      </w:r>
    </w:p>
    <w:p w14:paraId="4B9784A2" w14:textId="77777777" w:rsidR="00AC6E19" w:rsidRPr="0085651A" w:rsidRDefault="00AC6E19" w:rsidP="00E90BB3">
      <w:pPr>
        <w:autoSpaceDE w:val="0"/>
        <w:autoSpaceDN w:val="0"/>
        <w:adjustRightInd w:val="0"/>
        <w:spacing w:after="0"/>
        <w:rPr>
          <w:rFonts w:ascii="Times New Roman" w:hAnsi="Times New Roman" w:cs="Times New Roman"/>
          <w:sz w:val="24"/>
          <w:szCs w:val="24"/>
        </w:rPr>
      </w:pPr>
    </w:p>
    <w:p w14:paraId="0EC81B5D" w14:textId="77777777" w:rsidR="00AC6E19" w:rsidRPr="0085651A" w:rsidRDefault="00820BE0" w:rsidP="00E90BB3">
      <w:pPr>
        <w:autoSpaceDE w:val="0"/>
        <w:autoSpaceDN w:val="0"/>
        <w:adjustRightInd w:val="0"/>
        <w:spacing w:after="0"/>
        <w:rPr>
          <w:rFonts w:ascii="Times New Roman" w:hAnsi="Times New Roman" w:cs="Times New Roman"/>
          <w:sz w:val="24"/>
          <w:szCs w:val="24"/>
        </w:rPr>
      </w:pPr>
      <w:r w:rsidRPr="0085651A">
        <w:rPr>
          <w:rFonts w:ascii="Times New Roman" w:hAnsi="Times New Roman" w:cs="Times New Roman"/>
          <w:sz w:val="24"/>
          <w:szCs w:val="24"/>
        </w:rPr>
        <w:t>Sub-programme 3</w:t>
      </w:r>
      <w:r w:rsidR="00AC2585" w:rsidRPr="0085651A">
        <w:rPr>
          <w:rFonts w:ascii="Times New Roman" w:hAnsi="Times New Roman" w:cs="Times New Roman"/>
          <w:sz w:val="24"/>
          <w:szCs w:val="24"/>
        </w:rPr>
        <w:t xml:space="preserve">: Programmes and Qualifications received an allocation of R13.6 million from R9.5 million in 2017/18. This represents the second highest budget increase of 43.16 percent within this programme. </w:t>
      </w:r>
      <w:r w:rsidR="003E59FA" w:rsidRPr="0085651A">
        <w:rPr>
          <w:rFonts w:ascii="Times New Roman" w:hAnsi="Times New Roman" w:cs="Times New Roman"/>
          <w:sz w:val="24"/>
          <w:szCs w:val="24"/>
        </w:rPr>
        <w:t xml:space="preserve">The </w:t>
      </w:r>
      <w:r w:rsidR="00AC2585" w:rsidRPr="0085651A">
        <w:rPr>
          <w:rFonts w:ascii="Times New Roman" w:hAnsi="Times New Roman" w:cs="Times New Roman"/>
          <w:sz w:val="24"/>
          <w:szCs w:val="24"/>
        </w:rPr>
        <w:t xml:space="preserve">National Examination Assessment sub-programme received an allocation of R315.6 million, which decreased by 11.22 percent (R39.9 million) from R355.5 million allocated in 2017/18. The budget is projected to increase significantly in </w:t>
      </w:r>
      <w:r w:rsidR="00AC2585" w:rsidRPr="0085651A">
        <w:rPr>
          <w:rFonts w:ascii="Times New Roman" w:hAnsi="Times New Roman" w:cs="Times New Roman"/>
          <w:sz w:val="24"/>
          <w:szCs w:val="24"/>
        </w:rPr>
        <w:lastRenderedPageBreak/>
        <w:t>the two outer years of the MTEF period to R449.1 million and R650 million in 2019/</w:t>
      </w:r>
      <w:r w:rsidR="003E59FA" w:rsidRPr="0085651A">
        <w:rPr>
          <w:rFonts w:ascii="Times New Roman" w:hAnsi="Times New Roman" w:cs="Times New Roman"/>
          <w:sz w:val="24"/>
          <w:szCs w:val="24"/>
        </w:rPr>
        <w:t>20 and 2020/21</w:t>
      </w:r>
      <w:r w:rsidR="00AC2585" w:rsidRPr="0085651A">
        <w:rPr>
          <w:rFonts w:ascii="Times New Roman" w:hAnsi="Times New Roman" w:cs="Times New Roman"/>
          <w:sz w:val="24"/>
          <w:szCs w:val="24"/>
        </w:rPr>
        <w:t xml:space="preserve"> respectively. </w:t>
      </w:r>
      <w:r w:rsidR="00AE2328" w:rsidRPr="0085651A">
        <w:rPr>
          <w:rFonts w:ascii="Times New Roman" w:hAnsi="Times New Roman" w:cs="Times New Roman"/>
          <w:sz w:val="24"/>
          <w:szCs w:val="24"/>
        </w:rPr>
        <w:t>Sub-programme 1: Programme Management</w:t>
      </w:r>
      <w:r w:rsidR="000A1686" w:rsidRPr="0085651A">
        <w:rPr>
          <w:rFonts w:ascii="Times New Roman" w:hAnsi="Times New Roman" w:cs="Times New Roman"/>
          <w:sz w:val="24"/>
          <w:szCs w:val="24"/>
        </w:rPr>
        <w:t xml:space="preserve"> TVET received an allocation of R3.6 million in 2018/19. The budget decreased by R2.2 million from R5.6 million in 2017/18. This represent</w:t>
      </w:r>
      <w:r w:rsidR="00C93276" w:rsidRPr="0085651A">
        <w:rPr>
          <w:rFonts w:ascii="Times New Roman" w:hAnsi="Times New Roman" w:cs="Times New Roman"/>
          <w:sz w:val="24"/>
          <w:szCs w:val="24"/>
        </w:rPr>
        <w:t>s</w:t>
      </w:r>
      <w:r w:rsidR="000A1686" w:rsidRPr="0085651A">
        <w:rPr>
          <w:rFonts w:ascii="Times New Roman" w:hAnsi="Times New Roman" w:cs="Times New Roman"/>
          <w:sz w:val="24"/>
          <w:szCs w:val="24"/>
        </w:rPr>
        <w:t xml:space="preserve"> a decrease of 35.71 percent. The budget is projected to grow marginally to R3.8 million and R4.1 million in 2019/20 and 2020/21 respectively. </w:t>
      </w:r>
    </w:p>
    <w:p w14:paraId="2DCE7077" w14:textId="77777777" w:rsidR="0080505D" w:rsidRPr="0085651A" w:rsidRDefault="0080505D" w:rsidP="0080505D">
      <w:pPr>
        <w:autoSpaceDE w:val="0"/>
        <w:autoSpaceDN w:val="0"/>
        <w:adjustRightInd w:val="0"/>
        <w:spacing w:after="0"/>
        <w:rPr>
          <w:rFonts w:ascii="Times New Roman" w:hAnsi="Times New Roman" w:cs="Times New Roman"/>
          <w:sz w:val="24"/>
          <w:szCs w:val="24"/>
          <w:lang w:val="en-US"/>
        </w:rPr>
      </w:pPr>
    </w:p>
    <w:p w14:paraId="63BD491D" w14:textId="77777777" w:rsidR="0080505D" w:rsidRPr="0085651A" w:rsidRDefault="0080505D" w:rsidP="0080505D">
      <w:pPr>
        <w:autoSpaceDE w:val="0"/>
        <w:autoSpaceDN w:val="0"/>
        <w:adjustRightInd w:val="0"/>
        <w:spacing w:after="0"/>
        <w:rPr>
          <w:rFonts w:ascii="Times New Roman" w:hAnsi="Times New Roman" w:cs="Times New Roman"/>
          <w:sz w:val="24"/>
          <w:szCs w:val="24"/>
          <w:lang w:val="en-US"/>
        </w:rPr>
      </w:pPr>
      <w:r w:rsidRPr="0085651A">
        <w:rPr>
          <w:rFonts w:ascii="Times New Roman" w:hAnsi="Times New Roman" w:cs="Times New Roman"/>
          <w:sz w:val="24"/>
          <w:szCs w:val="24"/>
          <w:lang w:val="en-US"/>
        </w:rPr>
        <w:t>In terms of economic classification, R6.436 billion is allocated for current payment</w:t>
      </w:r>
      <w:r w:rsidR="008649CF" w:rsidRPr="0085651A">
        <w:rPr>
          <w:rFonts w:ascii="Times New Roman" w:hAnsi="Times New Roman" w:cs="Times New Roman"/>
          <w:sz w:val="24"/>
          <w:szCs w:val="24"/>
          <w:lang w:val="en-US"/>
        </w:rPr>
        <w:t>s</w:t>
      </w:r>
      <w:r w:rsidRPr="0085651A">
        <w:rPr>
          <w:rFonts w:ascii="Times New Roman" w:hAnsi="Times New Roman" w:cs="Times New Roman"/>
          <w:sz w:val="24"/>
          <w:szCs w:val="24"/>
          <w:lang w:val="en-US"/>
        </w:rPr>
        <w:t>, of which R6.276 billion is allocated for compensation of employees and R160 million is for goods and services. The bulk of the budget on goods and services</w:t>
      </w:r>
      <w:r w:rsidR="00E9167D" w:rsidRPr="0085651A">
        <w:rPr>
          <w:rFonts w:ascii="Times New Roman" w:hAnsi="Times New Roman" w:cs="Times New Roman"/>
          <w:sz w:val="24"/>
          <w:szCs w:val="24"/>
          <w:lang w:val="en-US"/>
        </w:rPr>
        <w:t>, R73.1 million</w:t>
      </w:r>
      <w:r w:rsidRPr="0085651A">
        <w:rPr>
          <w:rFonts w:ascii="Times New Roman" w:hAnsi="Times New Roman" w:cs="Times New Roman"/>
          <w:sz w:val="24"/>
          <w:szCs w:val="24"/>
          <w:lang w:val="en-US"/>
        </w:rPr>
        <w:t xml:space="preserve"> </w:t>
      </w:r>
      <w:r w:rsidR="00E9167D" w:rsidRPr="0085651A">
        <w:rPr>
          <w:rFonts w:ascii="Times New Roman" w:hAnsi="Times New Roman" w:cs="Times New Roman"/>
          <w:sz w:val="24"/>
          <w:szCs w:val="24"/>
          <w:lang w:val="en-US"/>
        </w:rPr>
        <w:t xml:space="preserve">is allocated for spending on travel and subsidies, followed by R35 million on training and development, R15.4 million on computer services and R11.2 million on consumables: stationery, printing and office supplies. </w:t>
      </w:r>
      <w:r w:rsidR="008649CF" w:rsidRPr="0085651A">
        <w:rPr>
          <w:rFonts w:ascii="Times New Roman" w:hAnsi="Times New Roman" w:cs="Times New Roman"/>
          <w:sz w:val="24"/>
          <w:szCs w:val="24"/>
          <w:lang w:val="en-US"/>
        </w:rPr>
        <w:t>The a</w:t>
      </w:r>
      <w:r w:rsidRPr="0085651A">
        <w:rPr>
          <w:rFonts w:ascii="Times New Roman" w:hAnsi="Times New Roman" w:cs="Times New Roman"/>
          <w:sz w:val="24"/>
          <w:szCs w:val="24"/>
          <w:lang w:val="en-US"/>
        </w:rPr>
        <w:t>llocation for transfer</w:t>
      </w:r>
      <w:r w:rsidR="008649CF" w:rsidRPr="0085651A">
        <w:rPr>
          <w:rFonts w:ascii="Times New Roman" w:hAnsi="Times New Roman" w:cs="Times New Roman"/>
          <w:sz w:val="24"/>
          <w:szCs w:val="24"/>
          <w:lang w:val="en-US"/>
        </w:rPr>
        <w:t>s</w:t>
      </w:r>
      <w:r w:rsidRPr="0085651A">
        <w:rPr>
          <w:rFonts w:ascii="Times New Roman" w:hAnsi="Times New Roman" w:cs="Times New Roman"/>
          <w:sz w:val="24"/>
          <w:szCs w:val="24"/>
          <w:lang w:val="en-US"/>
        </w:rPr>
        <w:t xml:space="preserve"> and subsi</w:t>
      </w:r>
      <w:r w:rsidR="008649CF" w:rsidRPr="0085651A">
        <w:rPr>
          <w:rFonts w:ascii="Times New Roman" w:hAnsi="Times New Roman" w:cs="Times New Roman"/>
          <w:sz w:val="24"/>
          <w:szCs w:val="24"/>
          <w:lang w:val="en-US"/>
        </w:rPr>
        <w:t>stence</w:t>
      </w:r>
      <w:r w:rsidRPr="0085651A">
        <w:rPr>
          <w:rFonts w:ascii="Times New Roman" w:hAnsi="Times New Roman" w:cs="Times New Roman"/>
          <w:sz w:val="24"/>
          <w:szCs w:val="24"/>
          <w:lang w:val="en-US"/>
        </w:rPr>
        <w:t xml:space="preserve"> for 2018/19 amounts to R</w:t>
      </w:r>
      <w:r w:rsidR="00E9167D" w:rsidRPr="0085651A">
        <w:rPr>
          <w:rFonts w:ascii="Times New Roman" w:hAnsi="Times New Roman" w:cs="Times New Roman"/>
          <w:sz w:val="24"/>
          <w:szCs w:val="24"/>
          <w:lang w:val="en-US"/>
        </w:rPr>
        <w:t>4.302</w:t>
      </w:r>
      <w:r w:rsidRPr="0085651A">
        <w:rPr>
          <w:rFonts w:ascii="Times New Roman" w:hAnsi="Times New Roman" w:cs="Times New Roman"/>
          <w:sz w:val="24"/>
          <w:szCs w:val="24"/>
          <w:lang w:val="en-US"/>
        </w:rPr>
        <w:t xml:space="preserve"> billion, </w:t>
      </w:r>
      <w:r w:rsidR="00E9167D" w:rsidRPr="0085651A">
        <w:rPr>
          <w:rFonts w:ascii="Times New Roman" w:hAnsi="Times New Roman" w:cs="Times New Roman"/>
          <w:sz w:val="24"/>
          <w:szCs w:val="24"/>
          <w:lang w:val="en-US"/>
        </w:rPr>
        <w:t>o</w:t>
      </w:r>
      <w:r w:rsidRPr="0085651A">
        <w:rPr>
          <w:rFonts w:ascii="Times New Roman" w:hAnsi="Times New Roman" w:cs="Times New Roman"/>
          <w:sz w:val="24"/>
          <w:szCs w:val="24"/>
          <w:lang w:val="en-US"/>
        </w:rPr>
        <w:t>f which R</w:t>
      </w:r>
      <w:r w:rsidR="006025D8" w:rsidRPr="0085651A">
        <w:rPr>
          <w:rFonts w:ascii="Times New Roman" w:hAnsi="Times New Roman" w:cs="Times New Roman"/>
          <w:sz w:val="24"/>
          <w:szCs w:val="24"/>
          <w:lang w:val="en-US"/>
        </w:rPr>
        <w:t>15.2 m</w:t>
      </w:r>
      <w:r w:rsidRPr="0085651A">
        <w:rPr>
          <w:rFonts w:ascii="Times New Roman" w:hAnsi="Times New Roman" w:cs="Times New Roman"/>
          <w:sz w:val="24"/>
          <w:szCs w:val="24"/>
          <w:lang w:val="en-US"/>
        </w:rPr>
        <w:t>illion is for Departmental agencies and accounts</w:t>
      </w:r>
      <w:r w:rsidR="006025D8" w:rsidRPr="0085651A">
        <w:rPr>
          <w:rFonts w:ascii="Times New Roman" w:hAnsi="Times New Roman" w:cs="Times New Roman"/>
          <w:sz w:val="24"/>
          <w:szCs w:val="24"/>
          <w:lang w:val="en-US"/>
        </w:rPr>
        <w:t xml:space="preserve"> (transfer to ETDP SETA)</w:t>
      </w:r>
      <w:r w:rsidRPr="0085651A">
        <w:rPr>
          <w:rFonts w:ascii="Times New Roman" w:hAnsi="Times New Roman" w:cs="Times New Roman"/>
          <w:sz w:val="24"/>
          <w:szCs w:val="24"/>
          <w:lang w:val="en-US"/>
        </w:rPr>
        <w:t xml:space="preserve"> and R</w:t>
      </w:r>
      <w:r w:rsidR="006025D8" w:rsidRPr="0085651A">
        <w:rPr>
          <w:rFonts w:ascii="Times New Roman" w:hAnsi="Times New Roman" w:cs="Times New Roman"/>
          <w:sz w:val="24"/>
          <w:szCs w:val="24"/>
          <w:lang w:val="en-US"/>
        </w:rPr>
        <w:t>4.287</w:t>
      </w:r>
      <w:r w:rsidRPr="0085651A">
        <w:rPr>
          <w:rFonts w:ascii="Times New Roman" w:hAnsi="Times New Roman" w:cs="Times New Roman"/>
          <w:sz w:val="24"/>
          <w:szCs w:val="24"/>
          <w:lang w:val="en-US"/>
        </w:rPr>
        <w:t xml:space="preserve"> billion is </w:t>
      </w:r>
      <w:r w:rsidR="00C93276" w:rsidRPr="0085651A">
        <w:rPr>
          <w:rFonts w:ascii="Times New Roman" w:hAnsi="Times New Roman" w:cs="Times New Roman"/>
          <w:sz w:val="24"/>
          <w:szCs w:val="24"/>
          <w:lang w:val="en-US"/>
        </w:rPr>
        <w:t xml:space="preserve">for </w:t>
      </w:r>
      <w:r w:rsidRPr="0085651A">
        <w:rPr>
          <w:rFonts w:ascii="Times New Roman" w:hAnsi="Times New Roman" w:cs="Times New Roman"/>
          <w:sz w:val="24"/>
          <w:szCs w:val="24"/>
          <w:lang w:val="en-US"/>
        </w:rPr>
        <w:t xml:space="preserve">transfers to </w:t>
      </w:r>
      <w:r w:rsidR="006025D8" w:rsidRPr="0085651A">
        <w:rPr>
          <w:rFonts w:ascii="Times New Roman" w:hAnsi="Times New Roman" w:cs="Times New Roman"/>
          <w:sz w:val="24"/>
          <w:szCs w:val="24"/>
          <w:lang w:val="en-US"/>
        </w:rPr>
        <w:t>TVET Colleges</w:t>
      </w:r>
      <w:r w:rsidRPr="0085651A">
        <w:rPr>
          <w:rFonts w:ascii="Times New Roman" w:hAnsi="Times New Roman" w:cs="Times New Roman"/>
          <w:sz w:val="24"/>
          <w:szCs w:val="24"/>
          <w:lang w:val="en-US"/>
        </w:rPr>
        <w:t>.</w:t>
      </w:r>
      <w:r w:rsidR="00C67C87" w:rsidRPr="0085651A">
        <w:rPr>
          <w:rFonts w:ascii="Times New Roman" w:hAnsi="Times New Roman" w:cs="Times New Roman"/>
          <w:sz w:val="24"/>
          <w:szCs w:val="24"/>
          <w:lang w:val="en-US"/>
        </w:rPr>
        <w:t xml:space="preserve"> </w:t>
      </w:r>
    </w:p>
    <w:p w14:paraId="6FAACD1A" w14:textId="77777777" w:rsidR="008D49A3" w:rsidRPr="0085651A" w:rsidRDefault="008D49A3" w:rsidP="00E90BB3">
      <w:pPr>
        <w:autoSpaceDE w:val="0"/>
        <w:autoSpaceDN w:val="0"/>
        <w:adjustRightInd w:val="0"/>
        <w:spacing w:after="0"/>
        <w:rPr>
          <w:rFonts w:ascii="Times New Roman" w:hAnsi="Times New Roman" w:cs="Times New Roman"/>
          <w:sz w:val="24"/>
          <w:szCs w:val="24"/>
        </w:rPr>
      </w:pPr>
    </w:p>
    <w:p w14:paraId="068B4A0C" w14:textId="77777777" w:rsidR="006F0B25" w:rsidRPr="0085651A" w:rsidRDefault="00176C33" w:rsidP="001654AB">
      <w:pPr>
        <w:rPr>
          <w:rFonts w:ascii="Times New Roman" w:hAnsi="Times New Roman" w:cs="Times New Roman"/>
          <w:b/>
          <w:sz w:val="24"/>
          <w:szCs w:val="24"/>
        </w:rPr>
      </w:pPr>
      <w:r w:rsidRPr="0085651A">
        <w:rPr>
          <w:rFonts w:ascii="Times New Roman" w:hAnsi="Times New Roman" w:cs="Times New Roman"/>
          <w:b/>
          <w:sz w:val="24"/>
          <w:szCs w:val="24"/>
        </w:rPr>
        <w:t>4.3.4.2. Overview and assessment of</w:t>
      </w:r>
      <w:r w:rsidR="004274FF" w:rsidRPr="0085651A">
        <w:rPr>
          <w:rFonts w:ascii="Times New Roman" w:hAnsi="Times New Roman" w:cs="Times New Roman"/>
          <w:b/>
          <w:sz w:val="24"/>
          <w:szCs w:val="24"/>
        </w:rPr>
        <w:t xml:space="preserve"> 2018/19 performance </w:t>
      </w:r>
      <w:r w:rsidRPr="0085651A">
        <w:rPr>
          <w:rFonts w:ascii="Times New Roman" w:hAnsi="Times New Roman" w:cs="Times New Roman"/>
          <w:b/>
          <w:sz w:val="24"/>
          <w:szCs w:val="24"/>
        </w:rPr>
        <w:t>indicators and targets</w:t>
      </w:r>
    </w:p>
    <w:p w14:paraId="28A45B8B" w14:textId="77777777" w:rsidR="004344E1" w:rsidRPr="0085651A" w:rsidRDefault="004344E1" w:rsidP="001654AB">
      <w:pPr>
        <w:rPr>
          <w:rFonts w:ascii="Times New Roman" w:hAnsi="Times New Roman" w:cs="Times New Roman"/>
          <w:sz w:val="24"/>
          <w:szCs w:val="24"/>
        </w:rPr>
      </w:pPr>
      <w:r w:rsidRPr="0085651A">
        <w:rPr>
          <w:rFonts w:ascii="Times New Roman" w:hAnsi="Times New Roman" w:cs="Times New Roman"/>
          <w:sz w:val="24"/>
          <w:szCs w:val="24"/>
        </w:rPr>
        <w:t xml:space="preserve">This programme has </w:t>
      </w:r>
      <w:r w:rsidR="005E36B4" w:rsidRPr="0085651A">
        <w:rPr>
          <w:rFonts w:ascii="Times New Roman" w:hAnsi="Times New Roman" w:cs="Times New Roman"/>
          <w:sz w:val="24"/>
          <w:szCs w:val="24"/>
        </w:rPr>
        <w:t>five</w:t>
      </w:r>
      <w:r w:rsidRPr="0085651A">
        <w:rPr>
          <w:rFonts w:ascii="Times New Roman" w:hAnsi="Times New Roman" w:cs="Times New Roman"/>
          <w:sz w:val="24"/>
          <w:szCs w:val="24"/>
        </w:rPr>
        <w:t xml:space="preserve"> strategic objectives and </w:t>
      </w:r>
      <w:r w:rsidR="005E36B4" w:rsidRPr="0085651A">
        <w:rPr>
          <w:rFonts w:ascii="Times New Roman" w:hAnsi="Times New Roman" w:cs="Times New Roman"/>
          <w:sz w:val="24"/>
          <w:szCs w:val="24"/>
        </w:rPr>
        <w:t>18</w:t>
      </w:r>
      <w:r w:rsidRPr="0085651A">
        <w:rPr>
          <w:rFonts w:ascii="Times New Roman" w:hAnsi="Times New Roman" w:cs="Times New Roman"/>
          <w:sz w:val="24"/>
          <w:szCs w:val="24"/>
        </w:rPr>
        <w:t xml:space="preserve"> MTSF performance indicators. For the 2018/19 financial year, </w:t>
      </w:r>
      <w:r w:rsidR="005E36B4" w:rsidRPr="0085651A">
        <w:rPr>
          <w:rFonts w:ascii="Times New Roman" w:hAnsi="Times New Roman" w:cs="Times New Roman"/>
          <w:sz w:val="24"/>
          <w:szCs w:val="24"/>
        </w:rPr>
        <w:t>eight of the 18 performance indicators have planned targets. T</w:t>
      </w:r>
      <w:r w:rsidRPr="0085651A">
        <w:rPr>
          <w:rFonts w:ascii="Times New Roman" w:hAnsi="Times New Roman" w:cs="Times New Roman"/>
          <w:sz w:val="24"/>
          <w:szCs w:val="24"/>
        </w:rPr>
        <w:t xml:space="preserve">he </w:t>
      </w:r>
      <w:r w:rsidR="005E36B4" w:rsidRPr="0085651A">
        <w:rPr>
          <w:rFonts w:ascii="Times New Roman" w:hAnsi="Times New Roman" w:cs="Times New Roman"/>
          <w:sz w:val="24"/>
          <w:szCs w:val="24"/>
        </w:rPr>
        <w:t xml:space="preserve">targets are: to have three approved reports on the implementation of steering mechanisms for </w:t>
      </w:r>
      <w:r w:rsidR="003E59FA" w:rsidRPr="0085651A">
        <w:rPr>
          <w:rFonts w:ascii="Times New Roman" w:hAnsi="Times New Roman" w:cs="Times New Roman"/>
          <w:sz w:val="24"/>
          <w:szCs w:val="24"/>
        </w:rPr>
        <w:t xml:space="preserve">the </w:t>
      </w:r>
      <w:r w:rsidR="005E36B4" w:rsidRPr="0085651A">
        <w:rPr>
          <w:rFonts w:ascii="Times New Roman" w:hAnsi="Times New Roman" w:cs="Times New Roman"/>
          <w:sz w:val="24"/>
          <w:szCs w:val="24"/>
        </w:rPr>
        <w:t xml:space="preserve">TVET sector per annum, to have 16 monitoring and evaluation reports approved per annum, to a have a report on the operationalisation of </w:t>
      </w:r>
      <w:r w:rsidR="008649CF" w:rsidRPr="0085651A">
        <w:rPr>
          <w:rFonts w:ascii="Times New Roman" w:hAnsi="Times New Roman" w:cs="Times New Roman"/>
          <w:sz w:val="24"/>
          <w:szCs w:val="24"/>
        </w:rPr>
        <w:t>each completed</w:t>
      </w:r>
      <w:r w:rsidR="005E36B4" w:rsidRPr="0085651A">
        <w:rPr>
          <w:rFonts w:ascii="Times New Roman" w:hAnsi="Times New Roman" w:cs="Times New Roman"/>
          <w:sz w:val="24"/>
          <w:szCs w:val="24"/>
        </w:rPr>
        <w:t xml:space="preserve"> TVET Colleges campus approved, to ha</w:t>
      </w:r>
      <w:r w:rsidR="007B4FCE" w:rsidRPr="0085651A">
        <w:rPr>
          <w:rFonts w:ascii="Times New Roman" w:hAnsi="Times New Roman" w:cs="Times New Roman"/>
          <w:sz w:val="24"/>
          <w:szCs w:val="24"/>
        </w:rPr>
        <w:t>ve</w:t>
      </w:r>
      <w:r w:rsidR="005E36B4" w:rsidRPr="0085651A">
        <w:rPr>
          <w:rFonts w:ascii="Times New Roman" w:hAnsi="Times New Roman" w:cs="Times New Roman"/>
          <w:sz w:val="24"/>
          <w:szCs w:val="24"/>
        </w:rPr>
        <w:t xml:space="preserve"> a report</w:t>
      </w:r>
      <w:r w:rsidR="007B4FCE" w:rsidRPr="0085651A">
        <w:rPr>
          <w:rFonts w:ascii="Times New Roman" w:hAnsi="Times New Roman" w:cs="Times New Roman"/>
          <w:sz w:val="24"/>
          <w:szCs w:val="24"/>
        </w:rPr>
        <w:t xml:space="preserve"> on the implementation </w:t>
      </w:r>
      <w:r w:rsidR="00AC32E0" w:rsidRPr="0085651A">
        <w:rPr>
          <w:rFonts w:ascii="Times New Roman" w:hAnsi="Times New Roman" w:cs="Times New Roman"/>
          <w:sz w:val="24"/>
          <w:szCs w:val="24"/>
        </w:rPr>
        <w:t xml:space="preserve">of a roll-out plan for the construction of nine TVET College campuses approved, to have a report on annual projections of budget estimates and implementation for TVET College infrastructure needs approved, to have a report on the implementation of </w:t>
      </w:r>
      <w:r w:rsidR="003E59FA" w:rsidRPr="0085651A">
        <w:rPr>
          <w:rFonts w:ascii="Times New Roman" w:hAnsi="Times New Roman" w:cs="Times New Roman"/>
          <w:sz w:val="24"/>
          <w:szCs w:val="24"/>
        </w:rPr>
        <w:t xml:space="preserve">the </w:t>
      </w:r>
      <w:r w:rsidR="00AC32E0" w:rsidRPr="0085651A">
        <w:rPr>
          <w:rFonts w:ascii="Times New Roman" w:hAnsi="Times New Roman" w:cs="Times New Roman"/>
          <w:sz w:val="24"/>
          <w:szCs w:val="24"/>
        </w:rPr>
        <w:t>national infrastructure maintenance plan for TVET College sector approved, to have a report on the implementation of</w:t>
      </w:r>
      <w:r w:rsidR="003E59FA" w:rsidRPr="0085651A">
        <w:rPr>
          <w:rFonts w:ascii="Times New Roman" w:hAnsi="Times New Roman" w:cs="Times New Roman"/>
          <w:sz w:val="24"/>
          <w:szCs w:val="24"/>
        </w:rPr>
        <w:t xml:space="preserve"> the</w:t>
      </w:r>
      <w:r w:rsidR="00AC32E0" w:rsidRPr="0085651A">
        <w:rPr>
          <w:rFonts w:ascii="Times New Roman" w:hAnsi="Times New Roman" w:cs="Times New Roman"/>
          <w:sz w:val="24"/>
          <w:szCs w:val="24"/>
        </w:rPr>
        <w:t xml:space="preserve"> national infrastructure asset management for TVET Colleges and to have a report on the South African Institute for Vocational and Continuing Education and Training (SAIVCET) stakeholder engagements approved.</w:t>
      </w:r>
    </w:p>
    <w:p w14:paraId="4458AB47" w14:textId="77777777" w:rsidR="006E0193" w:rsidRPr="0085651A" w:rsidRDefault="006E0193" w:rsidP="006E0193">
      <w:pPr>
        <w:rPr>
          <w:rFonts w:ascii="Times New Roman" w:hAnsi="Times New Roman" w:cs="Times New Roman"/>
          <w:sz w:val="24"/>
          <w:szCs w:val="24"/>
        </w:rPr>
      </w:pPr>
      <w:r w:rsidRPr="0085651A">
        <w:rPr>
          <w:rFonts w:ascii="Times New Roman" w:hAnsi="Times New Roman" w:cs="Times New Roman"/>
          <w:sz w:val="24"/>
          <w:szCs w:val="24"/>
        </w:rPr>
        <w:t>The NDP/MT</w:t>
      </w:r>
      <w:r w:rsidR="003A4172" w:rsidRPr="0085651A">
        <w:rPr>
          <w:rFonts w:ascii="Times New Roman" w:hAnsi="Times New Roman" w:cs="Times New Roman"/>
          <w:sz w:val="24"/>
          <w:szCs w:val="24"/>
        </w:rPr>
        <w:t>S</w:t>
      </w:r>
      <w:r w:rsidRPr="0085651A">
        <w:rPr>
          <w:rFonts w:ascii="Times New Roman" w:hAnsi="Times New Roman" w:cs="Times New Roman"/>
          <w:sz w:val="24"/>
          <w:szCs w:val="24"/>
        </w:rPr>
        <w:t>F targets is to have 1</w:t>
      </w:r>
      <w:r w:rsidR="003E59FA" w:rsidRPr="0085651A">
        <w:rPr>
          <w:rFonts w:ascii="Times New Roman" w:hAnsi="Times New Roman" w:cs="Times New Roman"/>
          <w:sz w:val="24"/>
          <w:szCs w:val="24"/>
        </w:rPr>
        <w:t>.</w:t>
      </w:r>
      <w:r w:rsidRPr="0085651A">
        <w:rPr>
          <w:rFonts w:ascii="Times New Roman" w:hAnsi="Times New Roman" w:cs="Times New Roman"/>
          <w:sz w:val="24"/>
          <w:szCs w:val="24"/>
        </w:rPr>
        <w:t>2 million students enrolled in the TVET colleges by 2019/20. However, the Department has been underperforming in this target for over 3 years. The under</w:t>
      </w:r>
      <w:r w:rsidR="003E59FA" w:rsidRPr="0085651A">
        <w:rPr>
          <w:rFonts w:ascii="Times New Roman" w:hAnsi="Times New Roman" w:cs="Times New Roman"/>
          <w:sz w:val="24"/>
          <w:szCs w:val="24"/>
        </w:rPr>
        <w:t>-</w:t>
      </w:r>
      <w:r w:rsidRPr="0085651A">
        <w:rPr>
          <w:rFonts w:ascii="Times New Roman" w:hAnsi="Times New Roman" w:cs="Times New Roman"/>
          <w:sz w:val="24"/>
          <w:szCs w:val="24"/>
        </w:rPr>
        <w:t>achievement was attributed to underfunding in terms of programmes and student funding i.e. NSFAS, inadequate physical infrastructure and human resource.</w:t>
      </w:r>
    </w:p>
    <w:p w14:paraId="18AF9D16" w14:textId="77777777" w:rsidR="006F2080" w:rsidRPr="0085651A" w:rsidRDefault="006E0193" w:rsidP="006E0193">
      <w:pPr>
        <w:rPr>
          <w:rFonts w:ascii="Times New Roman" w:hAnsi="Times New Roman" w:cs="Times New Roman"/>
          <w:sz w:val="24"/>
          <w:szCs w:val="24"/>
        </w:rPr>
      </w:pPr>
      <w:r w:rsidRPr="0085651A">
        <w:rPr>
          <w:rFonts w:ascii="Times New Roman" w:hAnsi="Times New Roman" w:cs="Times New Roman"/>
          <w:sz w:val="24"/>
          <w:szCs w:val="24"/>
        </w:rPr>
        <w:lastRenderedPageBreak/>
        <w:t>T</w:t>
      </w:r>
      <w:r w:rsidR="006F2080" w:rsidRPr="0085651A">
        <w:rPr>
          <w:rFonts w:ascii="Times New Roman" w:hAnsi="Times New Roman" w:cs="Times New Roman"/>
          <w:sz w:val="24"/>
          <w:szCs w:val="24"/>
        </w:rPr>
        <w:t>he NDP proposes</w:t>
      </w:r>
      <w:r w:rsidRPr="0085651A">
        <w:rPr>
          <w:rFonts w:ascii="Times New Roman" w:hAnsi="Times New Roman" w:cs="Times New Roman"/>
          <w:sz w:val="24"/>
          <w:szCs w:val="24"/>
        </w:rPr>
        <w:t xml:space="preserve"> an increase</w:t>
      </w:r>
      <w:r w:rsidR="006F2080" w:rsidRPr="0085651A">
        <w:rPr>
          <w:rFonts w:ascii="Times New Roman" w:hAnsi="Times New Roman" w:cs="Times New Roman"/>
          <w:sz w:val="24"/>
          <w:szCs w:val="24"/>
        </w:rPr>
        <w:t xml:space="preserve"> in the</w:t>
      </w:r>
      <w:r w:rsidRPr="0085651A">
        <w:rPr>
          <w:rFonts w:ascii="Times New Roman" w:hAnsi="Times New Roman" w:cs="Times New Roman"/>
          <w:sz w:val="24"/>
          <w:szCs w:val="24"/>
        </w:rPr>
        <w:t xml:space="preserve"> throughput</w:t>
      </w:r>
      <w:r w:rsidR="006F2080" w:rsidRPr="0085651A">
        <w:rPr>
          <w:rFonts w:ascii="Times New Roman" w:hAnsi="Times New Roman" w:cs="Times New Roman"/>
          <w:sz w:val="24"/>
          <w:szCs w:val="24"/>
        </w:rPr>
        <w:t xml:space="preserve"> rate</w:t>
      </w:r>
      <w:r w:rsidRPr="0085651A">
        <w:rPr>
          <w:rFonts w:ascii="Times New Roman" w:hAnsi="Times New Roman" w:cs="Times New Roman"/>
          <w:sz w:val="24"/>
          <w:szCs w:val="24"/>
        </w:rPr>
        <w:t xml:space="preserve"> of</w:t>
      </w:r>
      <w:r w:rsidR="003A4172" w:rsidRPr="0085651A">
        <w:rPr>
          <w:rFonts w:ascii="Times New Roman" w:hAnsi="Times New Roman" w:cs="Times New Roman"/>
          <w:sz w:val="24"/>
          <w:szCs w:val="24"/>
        </w:rPr>
        <w:t xml:space="preserve"> the TVET sector to</w:t>
      </w:r>
      <w:r w:rsidRPr="0085651A">
        <w:rPr>
          <w:rFonts w:ascii="Times New Roman" w:hAnsi="Times New Roman" w:cs="Times New Roman"/>
          <w:sz w:val="24"/>
          <w:szCs w:val="24"/>
        </w:rPr>
        <w:t xml:space="preserve"> 75 percent by 2030, in order to have a major impact on South Africa’s skills profile. The certification rates in the NCV </w:t>
      </w:r>
      <w:r w:rsidR="003E59FA" w:rsidRPr="0085651A">
        <w:rPr>
          <w:rFonts w:ascii="Times New Roman" w:hAnsi="Times New Roman" w:cs="Times New Roman"/>
          <w:sz w:val="24"/>
          <w:szCs w:val="24"/>
        </w:rPr>
        <w:t>L</w:t>
      </w:r>
      <w:r w:rsidRPr="0085651A">
        <w:rPr>
          <w:rFonts w:ascii="Times New Roman" w:hAnsi="Times New Roman" w:cs="Times New Roman"/>
          <w:sz w:val="24"/>
          <w:szCs w:val="24"/>
        </w:rPr>
        <w:t xml:space="preserve">evel 4, N3 and N6 have been very low and have not been achieved as expected in the 2015/16 and 2016/17 financial years. A significant improvement has been recorded in the 2017/18 where targets were exceeded in the certification rates of both NC(V) Level 4, N3 and N6. </w:t>
      </w:r>
      <w:r w:rsidR="0083289F" w:rsidRPr="0085651A">
        <w:rPr>
          <w:rFonts w:ascii="Times New Roman" w:hAnsi="Times New Roman" w:cs="Times New Roman"/>
          <w:sz w:val="24"/>
          <w:szCs w:val="24"/>
        </w:rPr>
        <w:t xml:space="preserve">For the 2018/19, the Department has increased the targets for certification rates of both NC(V) Level 4, N3 and N6 to the original MTSF target of 65 percent. </w:t>
      </w:r>
      <w:r w:rsidR="00110025" w:rsidRPr="0085651A">
        <w:rPr>
          <w:rFonts w:ascii="Times New Roman" w:hAnsi="Times New Roman" w:cs="Times New Roman"/>
          <w:sz w:val="24"/>
          <w:szCs w:val="24"/>
        </w:rPr>
        <w:t>This could be attributed to increase</w:t>
      </w:r>
      <w:r w:rsidR="00C93276" w:rsidRPr="0085651A">
        <w:rPr>
          <w:rFonts w:ascii="Times New Roman" w:hAnsi="Times New Roman" w:cs="Times New Roman"/>
          <w:sz w:val="24"/>
          <w:szCs w:val="24"/>
        </w:rPr>
        <w:t>s</w:t>
      </w:r>
      <w:r w:rsidR="00110025" w:rsidRPr="0085651A">
        <w:rPr>
          <w:rFonts w:ascii="Times New Roman" w:hAnsi="Times New Roman" w:cs="Times New Roman"/>
          <w:sz w:val="24"/>
          <w:szCs w:val="24"/>
        </w:rPr>
        <w:t xml:space="preserve"> in funding towards the </w:t>
      </w:r>
      <w:r w:rsidR="0052506A" w:rsidRPr="0085651A">
        <w:rPr>
          <w:rFonts w:ascii="Times New Roman" w:hAnsi="Times New Roman" w:cs="Times New Roman"/>
          <w:sz w:val="24"/>
          <w:szCs w:val="24"/>
        </w:rPr>
        <w:t>80 percent programme funding and student funding through NSFAS</w:t>
      </w:r>
      <w:r w:rsidR="0010097A" w:rsidRPr="0085651A">
        <w:rPr>
          <w:rFonts w:ascii="Times New Roman" w:hAnsi="Times New Roman" w:cs="Times New Roman"/>
          <w:sz w:val="24"/>
          <w:szCs w:val="24"/>
        </w:rPr>
        <w:t>, which it is hoped will address financial challenges that lead to poor performance</w:t>
      </w:r>
      <w:r w:rsidR="0052506A" w:rsidRPr="0085651A">
        <w:rPr>
          <w:rFonts w:ascii="Times New Roman" w:hAnsi="Times New Roman" w:cs="Times New Roman"/>
          <w:sz w:val="24"/>
          <w:szCs w:val="24"/>
        </w:rPr>
        <w:t xml:space="preserve">. </w:t>
      </w:r>
    </w:p>
    <w:p w14:paraId="242A03C0" w14:textId="77777777" w:rsidR="006F2080" w:rsidRPr="0085651A" w:rsidRDefault="006E0193" w:rsidP="006E0193">
      <w:pPr>
        <w:rPr>
          <w:rFonts w:ascii="Times New Roman" w:hAnsi="Times New Roman" w:cs="Times New Roman"/>
          <w:sz w:val="24"/>
          <w:szCs w:val="24"/>
        </w:rPr>
      </w:pPr>
      <w:r w:rsidRPr="0085651A">
        <w:rPr>
          <w:rFonts w:ascii="Times New Roman" w:hAnsi="Times New Roman" w:cs="Times New Roman"/>
          <w:sz w:val="24"/>
          <w:szCs w:val="24"/>
        </w:rPr>
        <w:t>The College</w:t>
      </w:r>
      <w:r w:rsidR="0083289F" w:rsidRPr="0085651A">
        <w:rPr>
          <w:rFonts w:ascii="Times New Roman" w:hAnsi="Times New Roman" w:cs="Times New Roman"/>
          <w:sz w:val="24"/>
          <w:szCs w:val="24"/>
        </w:rPr>
        <w:t>s</w:t>
      </w:r>
      <w:r w:rsidRPr="0085651A">
        <w:rPr>
          <w:rFonts w:ascii="Times New Roman" w:hAnsi="Times New Roman" w:cs="Times New Roman"/>
          <w:sz w:val="24"/>
          <w:szCs w:val="24"/>
        </w:rPr>
        <w:t xml:space="preserve"> still grapple with the challenge of underqualified lecturers and, underprepared students, lack of foundation provision grants, inappropriate or lack of pedagogical training of lecturers and lectures without industry knowledge are found to be the major contributors to the underperformance in this area. Universities receive Foundation Provision Grant</w:t>
      </w:r>
      <w:r w:rsidR="006F2080" w:rsidRPr="0085651A">
        <w:rPr>
          <w:rFonts w:ascii="Times New Roman" w:hAnsi="Times New Roman" w:cs="Times New Roman"/>
          <w:sz w:val="24"/>
          <w:szCs w:val="24"/>
        </w:rPr>
        <w:t>s</w:t>
      </w:r>
      <w:r w:rsidRPr="0085651A">
        <w:rPr>
          <w:rFonts w:ascii="Times New Roman" w:hAnsi="Times New Roman" w:cs="Times New Roman"/>
          <w:sz w:val="24"/>
          <w:szCs w:val="24"/>
        </w:rPr>
        <w:t xml:space="preserve"> to support underprepared student so as to improve their success and throughput rate. Whilst, TVET Colleges also enrol underprepared students, there is no funding for provision of foundation programmes. </w:t>
      </w:r>
      <w:r w:rsidR="00310C2C" w:rsidRPr="0085651A">
        <w:rPr>
          <w:rFonts w:ascii="Times New Roman" w:hAnsi="Times New Roman" w:cs="Times New Roman"/>
          <w:sz w:val="24"/>
          <w:szCs w:val="24"/>
        </w:rPr>
        <w:t>It should be noted that the Department has revised the 2015/16 – 2019/20 Strategic Plan to bring back the original MTSF target to have 5 000 TVET students enrolled i</w:t>
      </w:r>
      <w:r w:rsidR="000F2258" w:rsidRPr="0085651A">
        <w:rPr>
          <w:rFonts w:ascii="Times New Roman" w:hAnsi="Times New Roman" w:cs="Times New Roman"/>
          <w:sz w:val="24"/>
          <w:szCs w:val="24"/>
        </w:rPr>
        <w:t xml:space="preserve">n foundation programmes. For 2018/19, </w:t>
      </w:r>
      <w:r w:rsidR="00310C2C" w:rsidRPr="0085651A">
        <w:rPr>
          <w:rFonts w:ascii="Times New Roman" w:hAnsi="Times New Roman" w:cs="Times New Roman"/>
          <w:sz w:val="24"/>
          <w:szCs w:val="24"/>
        </w:rPr>
        <w:t xml:space="preserve">the target is to have 600 students enrolled in foundation programmes. </w:t>
      </w:r>
    </w:p>
    <w:p w14:paraId="7ADE9D69" w14:textId="77777777" w:rsidR="00C844F1" w:rsidRPr="0085651A" w:rsidRDefault="00310C2C" w:rsidP="006E0193">
      <w:pPr>
        <w:rPr>
          <w:rFonts w:ascii="Times New Roman" w:hAnsi="Times New Roman" w:cs="Times New Roman"/>
          <w:sz w:val="24"/>
          <w:szCs w:val="24"/>
        </w:rPr>
      </w:pPr>
      <w:r w:rsidRPr="0085651A">
        <w:rPr>
          <w:rFonts w:ascii="Times New Roman" w:hAnsi="Times New Roman" w:cs="Times New Roman"/>
          <w:sz w:val="24"/>
          <w:szCs w:val="24"/>
        </w:rPr>
        <w:t xml:space="preserve">The Department reported that funding has not been secured to date for student </w:t>
      </w:r>
      <w:r w:rsidR="00C93276" w:rsidRPr="0085651A">
        <w:rPr>
          <w:rFonts w:ascii="Times New Roman" w:hAnsi="Times New Roman" w:cs="Times New Roman"/>
          <w:sz w:val="24"/>
          <w:szCs w:val="24"/>
        </w:rPr>
        <w:t>enrolment</w:t>
      </w:r>
      <w:r w:rsidRPr="0085651A">
        <w:rPr>
          <w:rFonts w:ascii="Times New Roman" w:hAnsi="Times New Roman" w:cs="Times New Roman"/>
          <w:sz w:val="24"/>
          <w:szCs w:val="24"/>
        </w:rPr>
        <w:t xml:space="preserve"> </w:t>
      </w:r>
      <w:r w:rsidR="00C93276" w:rsidRPr="0085651A">
        <w:rPr>
          <w:rFonts w:ascii="Times New Roman" w:hAnsi="Times New Roman" w:cs="Times New Roman"/>
          <w:sz w:val="24"/>
          <w:szCs w:val="24"/>
        </w:rPr>
        <w:t>in</w:t>
      </w:r>
      <w:r w:rsidRPr="0085651A">
        <w:rPr>
          <w:rFonts w:ascii="Times New Roman" w:hAnsi="Times New Roman" w:cs="Times New Roman"/>
          <w:sz w:val="24"/>
          <w:szCs w:val="24"/>
        </w:rPr>
        <w:t xml:space="preserve"> foundation </w:t>
      </w:r>
      <w:r w:rsidR="00C93276" w:rsidRPr="0085651A">
        <w:rPr>
          <w:rFonts w:ascii="Times New Roman" w:hAnsi="Times New Roman" w:cs="Times New Roman"/>
          <w:sz w:val="24"/>
          <w:szCs w:val="24"/>
        </w:rPr>
        <w:t>program</w:t>
      </w:r>
      <w:r w:rsidR="003A4172" w:rsidRPr="0085651A">
        <w:rPr>
          <w:rFonts w:ascii="Times New Roman" w:hAnsi="Times New Roman" w:cs="Times New Roman"/>
          <w:sz w:val="24"/>
          <w:szCs w:val="24"/>
        </w:rPr>
        <w:t>me</w:t>
      </w:r>
      <w:r w:rsidR="00C93276" w:rsidRPr="0085651A">
        <w:rPr>
          <w:rFonts w:ascii="Times New Roman" w:hAnsi="Times New Roman" w:cs="Times New Roman"/>
          <w:sz w:val="24"/>
          <w:szCs w:val="24"/>
        </w:rPr>
        <w:t>s</w:t>
      </w:r>
      <w:r w:rsidRPr="0085651A">
        <w:rPr>
          <w:rFonts w:ascii="Times New Roman" w:hAnsi="Times New Roman" w:cs="Times New Roman"/>
          <w:sz w:val="24"/>
          <w:szCs w:val="24"/>
        </w:rPr>
        <w:t>. The Department will pilot the offering of foundation programmes in nine</w:t>
      </w:r>
      <w:r w:rsidR="003A4172" w:rsidRPr="0085651A">
        <w:rPr>
          <w:rFonts w:ascii="Times New Roman" w:hAnsi="Times New Roman" w:cs="Times New Roman"/>
          <w:sz w:val="24"/>
          <w:szCs w:val="24"/>
        </w:rPr>
        <w:t xml:space="preserve"> (9)</w:t>
      </w:r>
      <w:r w:rsidRPr="0085651A">
        <w:rPr>
          <w:rFonts w:ascii="Times New Roman" w:hAnsi="Times New Roman" w:cs="Times New Roman"/>
          <w:sz w:val="24"/>
          <w:szCs w:val="24"/>
        </w:rPr>
        <w:t xml:space="preserve"> TVET Colleges in 2018</w:t>
      </w:r>
      <w:r w:rsidR="00E53637" w:rsidRPr="0085651A">
        <w:rPr>
          <w:rFonts w:ascii="Times New Roman" w:hAnsi="Times New Roman" w:cs="Times New Roman"/>
          <w:sz w:val="24"/>
          <w:szCs w:val="24"/>
        </w:rPr>
        <w:t>,</w:t>
      </w:r>
      <w:r w:rsidRPr="0085651A">
        <w:rPr>
          <w:rFonts w:ascii="Times New Roman" w:hAnsi="Times New Roman" w:cs="Times New Roman"/>
          <w:sz w:val="24"/>
          <w:szCs w:val="24"/>
        </w:rPr>
        <w:t xml:space="preserve"> and the </w:t>
      </w:r>
      <w:r w:rsidR="000F2258" w:rsidRPr="0085651A">
        <w:rPr>
          <w:rFonts w:ascii="Times New Roman" w:hAnsi="Times New Roman" w:cs="Times New Roman"/>
          <w:sz w:val="24"/>
          <w:szCs w:val="24"/>
        </w:rPr>
        <w:t>provision will</w:t>
      </w:r>
      <w:r w:rsidR="003A4172" w:rsidRPr="0085651A">
        <w:rPr>
          <w:rFonts w:ascii="Times New Roman" w:hAnsi="Times New Roman" w:cs="Times New Roman"/>
          <w:sz w:val="24"/>
          <w:szCs w:val="24"/>
        </w:rPr>
        <w:t xml:space="preserve"> be</w:t>
      </w:r>
      <w:r w:rsidRPr="0085651A">
        <w:rPr>
          <w:rFonts w:ascii="Times New Roman" w:hAnsi="Times New Roman" w:cs="Times New Roman"/>
          <w:sz w:val="24"/>
          <w:szCs w:val="24"/>
        </w:rPr>
        <w:t xml:space="preserve"> funded out of the National Skills Fund</w:t>
      </w:r>
      <w:r w:rsidR="003E59FA" w:rsidRPr="0085651A">
        <w:rPr>
          <w:rFonts w:ascii="Times New Roman" w:hAnsi="Times New Roman" w:cs="Times New Roman"/>
          <w:sz w:val="24"/>
          <w:szCs w:val="24"/>
        </w:rPr>
        <w:t xml:space="preserve"> (NSF)</w:t>
      </w:r>
      <w:r w:rsidRPr="0085651A">
        <w:rPr>
          <w:rFonts w:ascii="Times New Roman" w:hAnsi="Times New Roman" w:cs="Times New Roman"/>
          <w:sz w:val="24"/>
          <w:szCs w:val="24"/>
        </w:rPr>
        <w:t xml:space="preserve"> project funds. The full roll-out is planned for 2019/20 and will factor enrolments for the foundation programmes into the annual enrolment targets. </w:t>
      </w:r>
      <w:r w:rsidR="00C844F1" w:rsidRPr="0085651A">
        <w:rPr>
          <w:rFonts w:ascii="Times New Roman" w:hAnsi="Times New Roman" w:cs="Times New Roman"/>
          <w:sz w:val="24"/>
          <w:szCs w:val="24"/>
        </w:rPr>
        <w:t xml:space="preserve">The Department </w:t>
      </w:r>
      <w:r w:rsidR="00BA56AD" w:rsidRPr="0085651A">
        <w:rPr>
          <w:rFonts w:ascii="Times New Roman" w:hAnsi="Times New Roman" w:cs="Times New Roman"/>
          <w:sz w:val="24"/>
          <w:szCs w:val="24"/>
        </w:rPr>
        <w:t xml:space="preserve">has </w:t>
      </w:r>
      <w:r w:rsidR="00C844F1" w:rsidRPr="0085651A">
        <w:rPr>
          <w:rFonts w:ascii="Times New Roman" w:hAnsi="Times New Roman" w:cs="Times New Roman"/>
          <w:sz w:val="24"/>
          <w:szCs w:val="24"/>
        </w:rPr>
        <w:t>cautioned that it cannot predeter</w:t>
      </w:r>
      <w:r w:rsidR="003E59FA" w:rsidRPr="0085651A">
        <w:rPr>
          <w:rFonts w:ascii="Times New Roman" w:hAnsi="Times New Roman" w:cs="Times New Roman"/>
          <w:sz w:val="24"/>
          <w:szCs w:val="24"/>
        </w:rPr>
        <w:t>mine at this stage that the MT</w:t>
      </w:r>
      <w:r w:rsidR="003A4172" w:rsidRPr="0085651A">
        <w:rPr>
          <w:rFonts w:ascii="Times New Roman" w:hAnsi="Times New Roman" w:cs="Times New Roman"/>
          <w:sz w:val="24"/>
          <w:szCs w:val="24"/>
        </w:rPr>
        <w:t>S</w:t>
      </w:r>
      <w:r w:rsidR="003E59FA" w:rsidRPr="0085651A">
        <w:rPr>
          <w:rFonts w:ascii="Times New Roman" w:hAnsi="Times New Roman" w:cs="Times New Roman"/>
          <w:sz w:val="24"/>
          <w:szCs w:val="24"/>
        </w:rPr>
        <w:t>F</w:t>
      </w:r>
      <w:r w:rsidR="00C844F1" w:rsidRPr="0085651A">
        <w:rPr>
          <w:rFonts w:ascii="Times New Roman" w:hAnsi="Times New Roman" w:cs="Times New Roman"/>
          <w:sz w:val="24"/>
          <w:szCs w:val="24"/>
        </w:rPr>
        <w:t xml:space="preserve"> target of 5 000</w:t>
      </w:r>
      <w:r w:rsidR="003A4172" w:rsidRPr="0085651A">
        <w:rPr>
          <w:rFonts w:ascii="Times New Roman" w:hAnsi="Times New Roman" w:cs="Times New Roman"/>
          <w:sz w:val="24"/>
          <w:szCs w:val="24"/>
        </w:rPr>
        <w:t xml:space="preserve"> students enrolled in foundation programmes</w:t>
      </w:r>
      <w:r w:rsidR="00C844F1" w:rsidRPr="0085651A">
        <w:rPr>
          <w:rFonts w:ascii="Times New Roman" w:hAnsi="Times New Roman" w:cs="Times New Roman"/>
          <w:sz w:val="24"/>
          <w:szCs w:val="24"/>
        </w:rPr>
        <w:t xml:space="preserve"> will be achieved, given the absence of fiscal funding.</w:t>
      </w:r>
    </w:p>
    <w:p w14:paraId="4949BBFB" w14:textId="77777777" w:rsidR="00C93276" w:rsidRPr="0085651A" w:rsidRDefault="00C844F1" w:rsidP="001654AB">
      <w:pPr>
        <w:rPr>
          <w:rFonts w:ascii="Times New Roman" w:hAnsi="Times New Roman" w:cs="Times New Roman"/>
          <w:sz w:val="24"/>
          <w:szCs w:val="24"/>
        </w:rPr>
      </w:pPr>
      <w:r w:rsidRPr="0085651A">
        <w:rPr>
          <w:rFonts w:ascii="Times New Roman" w:hAnsi="Times New Roman" w:cs="Times New Roman"/>
          <w:sz w:val="24"/>
          <w:szCs w:val="24"/>
        </w:rPr>
        <w:t xml:space="preserve">Notwithstanding the revision of the Strategic Plan to bring back the MTSF target </w:t>
      </w:r>
      <w:r w:rsidR="003E59FA" w:rsidRPr="0085651A">
        <w:rPr>
          <w:rFonts w:ascii="Times New Roman" w:hAnsi="Times New Roman" w:cs="Times New Roman"/>
          <w:sz w:val="24"/>
          <w:szCs w:val="24"/>
        </w:rPr>
        <w:t xml:space="preserve">of </w:t>
      </w:r>
      <w:r w:rsidRPr="0085651A">
        <w:rPr>
          <w:rFonts w:ascii="Times New Roman" w:hAnsi="Times New Roman" w:cs="Times New Roman"/>
          <w:sz w:val="24"/>
          <w:szCs w:val="24"/>
        </w:rPr>
        <w:t xml:space="preserve">5 000 TVET students enrolled in foundation programmes, from 2018/19, the target to have 50 percent </w:t>
      </w:r>
      <w:r w:rsidR="006E0193" w:rsidRPr="0085651A">
        <w:rPr>
          <w:rFonts w:ascii="Times New Roman" w:hAnsi="Times New Roman" w:cs="Times New Roman"/>
          <w:sz w:val="24"/>
          <w:szCs w:val="24"/>
        </w:rPr>
        <w:t>of success rate in foundation programmes</w:t>
      </w:r>
      <w:r w:rsidRPr="0085651A">
        <w:rPr>
          <w:rFonts w:ascii="Times New Roman" w:hAnsi="Times New Roman" w:cs="Times New Roman"/>
          <w:sz w:val="24"/>
          <w:szCs w:val="24"/>
        </w:rPr>
        <w:t xml:space="preserve"> remains discontinued. </w:t>
      </w:r>
      <w:r w:rsidR="00533693" w:rsidRPr="0085651A">
        <w:rPr>
          <w:rFonts w:ascii="Times New Roman" w:hAnsi="Times New Roman" w:cs="Times New Roman"/>
          <w:sz w:val="24"/>
          <w:szCs w:val="24"/>
        </w:rPr>
        <w:t xml:space="preserve">It should also be noted that the significant increase in the baseline funding for the TVET sector has not </w:t>
      </w:r>
      <w:r w:rsidR="00533693" w:rsidRPr="0085651A">
        <w:rPr>
          <w:rFonts w:ascii="Times New Roman" w:hAnsi="Times New Roman" w:cs="Times New Roman"/>
          <w:sz w:val="24"/>
          <w:szCs w:val="24"/>
        </w:rPr>
        <w:lastRenderedPageBreak/>
        <w:t xml:space="preserve">translated into the increased headcount enrolment. The headcount enrolment is still capped at 710 535, far below the MTSF annual target of 1.2 million. </w:t>
      </w:r>
    </w:p>
    <w:p w14:paraId="2CBD6952" w14:textId="77777777" w:rsidR="001654AB" w:rsidRPr="0085651A" w:rsidRDefault="001654AB" w:rsidP="001654AB">
      <w:pPr>
        <w:rPr>
          <w:rFonts w:ascii="Times New Roman" w:hAnsi="Times New Roman" w:cs="Times New Roman"/>
          <w:b/>
          <w:sz w:val="24"/>
          <w:szCs w:val="24"/>
        </w:rPr>
      </w:pPr>
      <w:r w:rsidRPr="0085651A">
        <w:rPr>
          <w:rFonts w:ascii="Times New Roman" w:hAnsi="Times New Roman" w:cs="Times New Roman"/>
          <w:b/>
          <w:sz w:val="24"/>
          <w:szCs w:val="24"/>
        </w:rPr>
        <w:t>4.3.5. Programme 5: Skills Development</w:t>
      </w:r>
    </w:p>
    <w:p w14:paraId="797E4028" w14:textId="77777777" w:rsidR="008D49A3" w:rsidRPr="0085651A" w:rsidRDefault="000D3468" w:rsidP="0060597B">
      <w:pPr>
        <w:autoSpaceDE w:val="0"/>
        <w:autoSpaceDN w:val="0"/>
        <w:adjustRightInd w:val="0"/>
        <w:spacing w:after="0"/>
        <w:rPr>
          <w:rFonts w:ascii="Times New Roman" w:hAnsi="Times New Roman" w:cs="Times New Roman"/>
          <w:sz w:val="24"/>
          <w:szCs w:val="24"/>
          <w:lang w:val="en-US"/>
        </w:rPr>
      </w:pPr>
      <w:r w:rsidRPr="0085651A">
        <w:rPr>
          <w:rFonts w:ascii="Times New Roman" w:hAnsi="Times New Roman" w:cs="Times New Roman"/>
          <w:sz w:val="24"/>
          <w:szCs w:val="24"/>
          <w:lang w:val="en-US"/>
        </w:rPr>
        <w:t xml:space="preserve">The purpose of this programme is to promote and monitor the </w:t>
      </w:r>
      <w:r w:rsidR="00104193" w:rsidRPr="0085651A">
        <w:rPr>
          <w:rFonts w:ascii="Times New Roman" w:hAnsi="Times New Roman" w:cs="Times New Roman"/>
          <w:sz w:val="24"/>
          <w:szCs w:val="24"/>
          <w:lang w:val="en-US"/>
        </w:rPr>
        <w:t>N</w:t>
      </w:r>
      <w:r w:rsidRPr="0085651A">
        <w:rPr>
          <w:rFonts w:ascii="Times New Roman" w:hAnsi="Times New Roman" w:cs="Times New Roman"/>
          <w:sz w:val="24"/>
          <w:szCs w:val="24"/>
          <w:lang w:val="en-US"/>
        </w:rPr>
        <w:t xml:space="preserve">ational </w:t>
      </w:r>
      <w:r w:rsidR="00104193" w:rsidRPr="0085651A">
        <w:rPr>
          <w:rFonts w:ascii="Times New Roman" w:hAnsi="Times New Roman" w:cs="Times New Roman"/>
          <w:sz w:val="24"/>
          <w:szCs w:val="24"/>
          <w:lang w:val="en-US"/>
        </w:rPr>
        <w:t>S</w:t>
      </w:r>
      <w:r w:rsidRPr="0085651A">
        <w:rPr>
          <w:rFonts w:ascii="Times New Roman" w:hAnsi="Times New Roman" w:cs="Times New Roman"/>
          <w:sz w:val="24"/>
          <w:szCs w:val="24"/>
          <w:lang w:val="en-US"/>
        </w:rPr>
        <w:t xml:space="preserve">kills </w:t>
      </w:r>
      <w:r w:rsidR="00104193" w:rsidRPr="0085651A">
        <w:rPr>
          <w:rFonts w:ascii="Times New Roman" w:hAnsi="Times New Roman" w:cs="Times New Roman"/>
          <w:sz w:val="24"/>
          <w:szCs w:val="24"/>
          <w:lang w:val="en-US"/>
        </w:rPr>
        <w:t>D</w:t>
      </w:r>
      <w:r w:rsidRPr="0085651A">
        <w:rPr>
          <w:rFonts w:ascii="Times New Roman" w:hAnsi="Times New Roman" w:cs="Times New Roman"/>
          <w:sz w:val="24"/>
          <w:szCs w:val="24"/>
          <w:lang w:val="en-US"/>
        </w:rPr>
        <w:t xml:space="preserve">evelopment </w:t>
      </w:r>
      <w:r w:rsidR="00104193" w:rsidRPr="0085651A">
        <w:rPr>
          <w:rFonts w:ascii="Times New Roman" w:hAnsi="Times New Roman" w:cs="Times New Roman"/>
          <w:sz w:val="24"/>
          <w:szCs w:val="24"/>
          <w:lang w:val="en-US"/>
        </w:rPr>
        <w:t>S</w:t>
      </w:r>
      <w:r w:rsidRPr="0085651A">
        <w:rPr>
          <w:rFonts w:ascii="Times New Roman" w:hAnsi="Times New Roman" w:cs="Times New Roman"/>
          <w:sz w:val="24"/>
          <w:szCs w:val="24"/>
          <w:lang w:val="en-US"/>
        </w:rPr>
        <w:t>trategy. Develop a skills development policy and regulatory framework for an effective skills development system. This programme has four sub-programmes, namely: Programme Management – Skills Development; SETA Coordination; National Skills Development Services and Quality Development and Promotion.</w:t>
      </w:r>
    </w:p>
    <w:p w14:paraId="7B7048C5" w14:textId="77777777" w:rsidR="00A20658" w:rsidRPr="0085651A" w:rsidRDefault="00A20658" w:rsidP="0060597B">
      <w:pPr>
        <w:autoSpaceDE w:val="0"/>
        <w:autoSpaceDN w:val="0"/>
        <w:adjustRightInd w:val="0"/>
        <w:spacing w:after="0"/>
        <w:rPr>
          <w:rFonts w:ascii="Times New Roman" w:hAnsi="Times New Roman" w:cs="Times New Roman"/>
          <w:sz w:val="24"/>
          <w:szCs w:val="24"/>
          <w:lang w:val="en-US"/>
        </w:rPr>
      </w:pPr>
    </w:p>
    <w:p w14:paraId="1DA4B2B7" w14:textId="77777777" w:rsidR="000D3468" w:rsidRPr="0085651A" w:rsidRDefault="00A84C71" w:rsidP="000D3468">
      <w:pPr>
        <w:rPr>
          <w:rFonts w:ascii="Times New Roman" w:hAnsi="Times New Roman" w:cs="Times New Roman"/>
          <w:b/>
          <w:sz w:val="24"/>
          <w:szCs w:val="24"/>
          <w:lang w:val="en-US"/>
        </w:rPr>
      </w:pPr>
      <w:r w:rsidRPr="0085651A">
        <w:rPr>
          <w:rFonts w:ascii="Times New Roman" w:hAnsi="Times New Roman" w:cs="Times New Roman"/>
          <w:b/>
          <w:sz w:val="24"/>
          <w:szCs w:val="24"/>
        </w:rPr>
        <w:t>4.3.5.1. Overview and assessment of the 2018/19 MTEF budget allocation</w:t>
      </w:r>
    </w:p>
    <w:p w14:paraId="5268E7C7" w14:textId="77777777" w:rsidR="00A42807" w:rsidRPr="0085651A" w:rsidRDefault="00A42807" w:rsidP="001654AB">
      <w:pPr>
        <w:rPr>
          <w:rFonts w:ascii="Times New Roman" w:hAnsi="Times New Roman" w:cs="Times New Roman"/>
          <w:sz w:val="24"/>
          <w:szCs w:val="24"/>
        </w:rPr>
      </w:pPr>
      <w:r w:rsidRPr="0085651A">
        <w:rPr>
          <w:rFonts w:ascii="Times New Roman" w:hAnsi="Times New Roman" w:cs="Times New Roman"/>
          <w:sz w:val="24"/>
          <w:szCs w:val="24"/>
        </w:rPr>
        <w:t>For the 2018</w:t>
      </w:r>
      <w:r w:rsidR="003E59FA" w:rsidRPr="0085651A">
        <w:rPr>
          <w:rFonts w:ascii="Times New Roman" w:hAnsi="Times New Roman" w:cs="Times New Roman"/>
          <w:sz w:val="24"/>
          <w:szCs w:val="24"/>
        </w:rPr>
        <w:t>/19</w:t>
      </w:r>
      <w:r w:rsidRPr="0085651A">
        <w:rPr>
          <w:rFonts w:ascii="Times New Roman" w:hAnsi="Times New Roman" w:cs="Times New Roman"/>
          <w:sz w:val="24"/>
          <w:szCs w:val="24"/>
        </w:rPr>
        <w:t xml:space="preserve"> </w:t>
      </w:r>
      <w:r w:rsidRPr="0085651A">
        <w:rPr>
          <w:rFonts w:ascii="Times New Roman" w:hAnsi="Times New Roman" w:cs="Times New Roman"/>
          <w:color w:val="000000" w:themeColor="text1"/>
          <w:sz w:val="24"/>
          <w:szCs w:val="24"/>
        </w:rPr>
        <w:t xml:space="preserve">financial year, </w:t>
      </w:r>
      <w:r w:rsidRPr="0085651A">
        <w:rPr>
          <w:rFonts w:ascii="Times New Roman" w:hAnsi="Times New Roman" w:cs="Times New Roman"/>
          <w:sz w:val="24"/>
          <w:szCs w:val="24"/>
        </w:rPr>
        <w:t xml:space="preserve">the </w:t>
      </w:r>
      <w:r w:rsidR="00E53637" w:rsidRPr="0085651A">
        <w:rPr>
          <w:rFonts w:ascii="Times New Roman" w:hAnsi="Times New Roman" w:cs="Times New Roman"/>
          <w:sz w:val="24"/>
          <w:szCs w:val="24"/>
        </w:rPr>
        <w:t>p</w:t>
      </w:r>
      <w:r w:rsidRPr="0085651A">
        <w:rPr>
          <w:rFonts w:ascii="Times New Roman" w:hAnsi="Times New Roman" w:cs="Times New Roman"/>
          <w:sz w:val="24"/>
          <w:szCs w:val="24"/>
        </w:rPr>
        <w:t xml:space="preserve">rogramme received an allocation of R262.6 million, which represents 0.4 per cent of the total Higher Education </w:t>
      </w:r>
      <w:r w:rsidR="003462B0" w:rsidRPr="0085651A">
        <w:rPr>
          <w:rFonts w:ascii="Times New Roman" w:hAnsi="Times New Roman" w:cs="Times New Roman"/>
          <w:sz w:val="24"/>
          <w:szCs w:val="24"/>
        </w:rPr>
        <w:t xml:space="preserve">and Training </w:t>
      </w:r>
      <w:r w:rsidRPr="0085651A">
        <w:rPr>
          <w:rFonts w:ascii="Times New Roman" w:hAnsi="Times New Roman" w:cs="Times New Roman"/>
          <w:sz w:val="24"/>
          <w:szCs w:val="24"/>
        </w:rPr>
        <w:t xml:space="preserve">budget. </w:t>
      </w:r>
      <w:r w:rsidR="0016207C" w:rsidRPr="0085651A">
        <w:rPr>
          <w:rFonts w:ascii="Times New Roman" w:hAnsi="Times New Roman" w:cs="Times New Roman"/>
          <w:sz w:val="24"/>
          <w:szCs w:val="24"/>
        </w:rPr>
        <w:t>The budget increased by R13.2 million from R249.4 million allocated in 2017/18. The budget is projected to increase in the outer two years of the MTEF period to R279.8 million and R297 million in 20</w:t>
      </w:r>
      <w:r w:rsidR="003E59FA" w:rsidRPr="0085651A">
        <w:rPr>
          <w:rFonts w:ascii="Times New Roman" w:hAnsi="Times New Roman" w:cs="Times New Roman"/>
          <w:sz w:val="24"/>
          <w:szCs w:val="24"/>
        </w:rPr>
        <w:t>1</w:t>
      </w:r>
      <w:r w:rsidR="0016207C" w:rsidRPr="0085651A">
        <w:rPr>
          <w:rFonts w:ascii="Times New Roman" w:hAnsi="Times New Roman" w:cs="Times New Roman"/>
          <w:sz w:val="24"/>
          <w:szCs w:val="24"/>
        </w:rPr>
        <w:t xml:space="preserve">9/20 and 2020/21 respectively. Sub-programme 2: SETA Coordination, which supports, monitors, reports on the implementation of the national skills development strategy at sectoral level by establishing and managing the performance of service level agreements with SETAs, and conducting trade test at the Institute for National Development of Learnerships, </w:t>
      </w:r>
      <w:r w:rsidR="00E53637" w:rsidRPr="0085651A">
        <w:rPr>
          <w:rFonts w:ascii="Times New Roman" w:hAnsi="Times New Roman" w:cs="Times New Roman"/>
          <w:sz w:val="24"/>
          <w:szCs w:val="24"/>
        </w:rPr>
        <w:t>E</w:t>
      </w:r>
      <w:r w:rsidR="0016207C" w:rsidRPr="0085651A">
        <w:rPr>
          <w:rFonts w:ascii="Times New Roman" w:hAnsi="Times New Roman" w:cs="Times New Roman"/>
          <w:sz w:val="24"/>
          <w:szCs w:val="24"/>
        </w:rPr>
        <w:t>mployment Skills and Labour Assessments (INDLELA)</w:t>
      </w:r>
      <w:r w:rsidR="00D87F3A" w:rsidRPr="0085651A">
        <w:rPr>
          <w:rFonts w:ascii="Times New Roman" w:hAnsi="Times New Roman" w:cs="Times New Roman"/>
          <w:sz w:val="24"/>
          <w:szCs w:val="24"/>
        </w:rPr>
        <w:t xml:space="preserve"> received an allocation of R221.4 million, which accounts for 84.31 percent of the total budget of the Skills Development programme. The sub-programme is expected to grow at an ann</w:t>
      </w:r>
      <w:r w:rsidR="00C93276" w:rsidRPr="0085651A">
        <w:rPr>
          <w:rFonts w:ascii="Times New Roman" w:hAnsi="Times New Roman" w:cs="Times New Roman"/>
          <w:sz w:val="24"/>
          <w:szCs w:val="24"/>
        </w:rPr>
        <w:t xml:space="preserve">ual average growth rate of 6.6 </w:t>
      </w:r>
      <w:r w:rsidR="00D87F3A" w:rsidRPr="0085651A">
        <w:rPr>
          <w:rFonts w:ascii="Times New Roman" w:hAnsi="Times New Roman" w:cs="Times New Roman"/>
          <w:sz w:val="24"/>
          <w:szCs w:val="24"/>
        </w:rPr>
        <w:t>percent between 2017/18 – 2020/21</w:t>
      </w:r>
      <w:r w:rsidR="00E53637" w:rsidRPr="0085651A">
        <w:rPr>
          <w:rFonts w:ascii="Times New Roman" w:hAnsi="Times New Roman" w:cs="Times New Roman"/>
          <w:sz w:val="24"/>
          <w:szCs w:val="24"/>
        </w:rPr>
        <w:t xml:space="preserve"> respectively</w:t>
      </w:r>
      <w:r w:rsidR="00D87F3A" w:rsidRPr="0085651A">
        <w:rPr>
          <w:rFonts w:ascii="Times New Roman" w:hAnsi="Times New Roman" w:cs="Times New Roman"/>
          <w:sz w:val="24"/>
          <w:szCs w:val="24"/>
        </w:rPr>
        <w:t xml:space="preserve">. </w:t>
      </w:r>
    </w:p>
    <w:p w14:paraId="1D909A35" w14:textId="77777777" w:rsidR="00A03C0E" w:rsidRPr="0085651A" w:rsidRDefault="00A03C0E" w:rsidP="001654AB">
      <w:pPr>
        <w:rPr>
          <w:rFonts w:ascii="Times New Roman" w:hAnsi="Times New Roman" w:cs="Times New Roman"/>
          <w:sz w:val="24"/>
          <w:szCs w:val="24"/>
        </w:rPr>
      </w:pPr>
      <w:r w:rsidRPr="0085651A">
        <w:rPr>
          <w:rFonts w:ascii="Times New Roman" w:hAnsi="Times New Roman" w:cs="Times New Roman"/>
          <w:sz w:val="24"/>
          <w:szCs w:val="24"/>
        </w:rPr>
        <w:t xml:space="preserve">Sub-programme 4: Quality Development and Promotion received the second largest allocation of R27.4 million, which increased by R0.5 million from R26.9 million in 2017/18. </w:t>
      </w:r>
      <w:r w:rsidR="00D32240" w:rsidRPr="0085651A">
        <w:rPr>
          <w:rFonts w:ascii="Times New Roman" w:hAnsi="Times New Roman" w:cs="Times New Roman"/>
          <w:sz w:val="24"/>
          <w:szCs w:val="24"/>
        </w:rPr>
        <w:t xml:space="preserve">The sub-programme budget accounts for 10.46 percent of the total programme budget. Sub-programme 3: National Skills Development Services received an allocation of R10.2 million, which decreased by R2.3 million from R12 million in 2017/18. This sub-programme manages projects identified in the national skills development strategy, and advises the Minister on the national development policy and strategy. </w:t>
      </w:r>
    </w:p>
    <w:p w14:paraId="4F789FB8" w14:textId="77777777" w:rsidR="007D4B2F" w:rsidRPr="0085651A" w:rsidRDefault="00801B95" w:rsidP="001654AB">
      <w:pPr>
        <w:rPr>
          <w:rFonts w:ascii="Times New Roman" w:hAnsi="Times New Roman" w:cs="Times New Roman"/>
          <w:sz w:val="24"/>
          <w:szCs w:val="24"/>
        </w:rPr>
      </w:pPr>
      <w:r w:rsidRPr="0085651A">
        <w:rPr>
          <w:rFonts w:ascii="Times New Roman" w:hAnsi="Times New Roman" w:cs="Times New Roman"/>
          <w:sz w:val="24"/>
          <w:szCs w:val="24"/>
        </w:rPr>
        <w:t xml:space="preserve">In terms of economic classification, R127.8 million is allocated for current payments, of which R111.7 million is allocated for compensation of employees and R16.1 million is for </w:t>
      </w:r>
      <w:r w:rsidRPr="0085651A">
        <w:rPr>
          <w:rFonts w:ascii="Times New Roman" w:hAnsi="Times New Roman" w:cs="Times New Roman"/>
          <w:sz w:val="24"/>
          <w:szCs w:val="24"/>
        </w:rPr>
        <w:lastRenderedPageBreak/>
        <w:t xml:space="preserve">goods and services. </w:t>
      </w:r>
      <w:r w:rsidR="003E59FA" w:rsidRPr="0085651A">
        <w:rPr>
          <w:rFonts w:ascii="Times New Roman" w:hAnsi="Times New Roman" w:cs="Times New Roman"/>
          <w:sz w:val="24"/>
          <w:szCs w:val="24"/>
        </w:rPr>
        <w:t>The a</w:t>
      </w:r>
      <w:r w:rsidRPr="0085651A">
        <w:rPr>
          <w:rFonts w:ascii="Times New Roman" w:hAnsi="Times New Roman" w:cs="Times New Roman"/>
          <w:sz w:val="24"/>
          <w:szCs w:val="24"/>
        </w:rPr>
        <w:t>llocation for transfer</w:t>
      </w:r>
      <w:r w:rsidR="00E53637" w:rsidRPr="0085651A">
        <w:rPr>
          <w:rFonts w:ascii="Times New Roman" w:hAnsi="Times New Roman" w:cs="Times New Roman"/>
          <w:sz w:val="24"/>
          <w:szCs w:val="24"/>
        </w:rPr>
        <w:t>s</w:t>
      </w:r>
      <w:r w:rsidRPr="0085651A">
        <w:rPr>
          <w:rFonts w:ascii="Times New Roman" w:hAnsi="Times New Roman" w:cs="Times New Roman"/>
          <w:sz w:val="24"/>
          <w:szCs w:val="24"/>
        </w:rPr>
        <w:t xml:space="preserve"> and subsidies amounts to R133.8 million.</w:t>
      </w:r>
      <w:r w:rsidR="003E59FA" w:rsidRPr="0085651A">
        <w:rPr>
          <w:rFonts w:ascii="Times New Roman" w:hAnsi="Times New Roman" w:cs="Times New Roman"/>
          <w:sz w:val="24"/>
          <w:szCs w:val="24"/>
        </w:rPr>
        <w:t xml:space="preserve"> The</w:t>
      </w:r>
      <w:r w:rsidRPr="0085651A">
        <w:rPr>
          <w:rFonts w:ascii="Times New Roman" w:hAnsi="Times New Roman" w:cs="Times New Roman"/>
          <w:sz w:val="24"/>
          <w:szCs w:val="24"/>
        </w:rPr>
        <w:t xml:space="preserve"> </w:t>
      </w:r>
      <w:r w:rsidR="003E59FA" w:rsidRPr="0085651A">
        <w:rPr>
          <w:rFonts w:ascii="Times New Roman" w:hAnsi="Times New Roman" w:cs="Times New Roman"/>
          <w:sz w:val="24"/>
          <w:szCs w:val="24"/>
        </w:rPr>
        <w:t>p</w:t>
      </w:r>
      <w:r w:rsidRPr="0085651A">
        <w:rPr>
          <w:rFonts w:ascii="Times New Roman" w:hAnsi="Times New Roman" w:cs="Times New Roman"/>
          <w:sz w:val="24"/>
          <w:szCs w:val="24"/>
        </w:rPr>
        <w:t xml:space="preserve">ayments for capital assets amounts to R1 million. </w:t>
      </w:r>
    </w:p>
    <w:p w14:paraId="61944616" w14:textId="77777777" w:rsidR="00A84C71" w:rsidRPr="0085651A" w:rsidRDefault="00A84C71" w:rsidP="001654AB">
      <w:pPr>
        <w:rPr>
          <w:rFonts w:ascii="Times New Roman" w:hAnsi="Times New Roman" w:cs="Times New Roman"/>
          <w:b/>
          <w:sz w:val="24"/>
          <w:szCs w:val="24"/>
        </w:rPr>
      </w:pPr>
      <w:r w:rsidRPr="0085651A">
        <w:rPr>
          <w:rFonts w:ascii="Times New Roman" w:hAnsi="Times New Roman" w:cs="Times New Roman"/>
          <w:b/>
          <w:sz w:val="24"/>
          <w:szCs w:val="24"/>
        </w:rPr>
        <w:t>4.3.5.2. Overview and assessment of</w:t>
      </w:r>
      <w:r w:rsidR="004274FF" w:rsidRPr="0085651A">
        <w:rPr>
          <w:rFonts w:ascii="Times New Roman" w:hAnsi="Times New Roman" w:cs="Times New Roman"/>
          <w:b/>
          <w:sz w:val="24"/>
          <w:szCs w:val="24"/>
        </w:rPr>
        <w:t xml:space="preserve"> 2018/19 performance </w:t>
      </w:r>
      <w:r w:rsidRPr="0085651A">
        <w:rPr>
          <w:rFonts w:ascii="Times New Roman" w:hAnsi="Times New Roman" w:cs="Times New Roman"/>
          <w:b/>
          <w:sz w:val="24"/>
          <w:szCs w:val="24"/>
        </w:rPr>
        <w:t>indicators and targets</w:t>
      </w:r>
    </w:p>
    <w:p w14:paraId="10519795" w14:textId="77777777" w:rsidR="007D4B2F" w:rsidRPr="0085651A" w:rsidRDefault="007D4B2F" w:rsidP="003932CC">
      <w:pPr>
        <w:autoSpaceDE w:val="0"/>
        <w:autoSpaceDN w:val="0"/>
        <w:adjustRightInd w:val="0"/>
        <w:spacing w:after="0"/>
        <w:rPr>
          <w:rFonts w:ascii="Times New Roman" w:hAnsi="Times New Roman" w:cs="Times New Roman"/>
          <w:sz w:val="24"/>
          <w:szCs w:val="24"/>
        </w:rPr>
      </w:pPr>
      <w:r w:rsidRPr="0085651A">
        <w:rPr>
          <w:rFonts w:ascii="Times New Roman" w:hAnsi="Times New Roman" w:cs="Times New Roman"/>
          <w:sz w:val="24"/>
          <w:szCs w:val="24"/>
        </w:rPr>
        <w:t xml:space="preserve">For the 2018/19 financial year, </w:t>
      </w:r>
      <w:r w:rsidR="002345E7" w:rsidRPr="0085651A">
        <w:rPr>
          <w:rFonts w:ascii="Times New Roman" w:hAnsi="Times New Roman" w:cs="Times New Roman"/>
          <w:sz w:val="24"/>
          <w:szCs w:val="24"/>
        </w:rPr>
        <w:t>the programme has four</w:t>
      </w:r>
      <w:r w:rsidRPr="0085651A">
        <w:rPr>
          <w:rFonts w:ascii="Times New Roman" w:hAnsi="Times New Roman" w:cs="Times New Roman"/>
          <w:sz w:val="24"/>
          <w:szCs w:val="24"/>
        </w:rPr>
        <w:t xml:space="preserve"> performance indicators</w:t>
      </w:r>
      <w:r w:rsidR="003E59FA" w:rsidRPr="0085651A">
        <w:rPr>
          <w:rFonts w:ascii="Times New Roman" w:hAnsi="Times New Roman" w:cs="Times New Roman"/>
          <w:sz w:val="24"/>
          <w:szCs w:val="24"/>
        </w:rPr>
        <w:t>/</w:t>
      </w:r>
      <w:r w:rsidR="002345E7" w:rsidRPr="0085651A">
        <w:rPr>
          <w:rFonts w:ascii="Times New Roman" w:hAnsi="Times New Roman" w:cs="Times New Roman"/>
          <w:sz w:val="24"/>
          <w:szCs w:val="24"/>
        </w:rPr>
        <w:t>targets</w:t>
      </w:r>
      <w:r w:rsidRPr="0085651A">
        <w:rPr>
          <w:rFonts w:ascii="Times New Roman" w:hAnsi="Times New Roman" w:cs="Times New Roman"/>
          <w:sz w:val="24"/>
          <w:szCs w:val="24"/>
        </w:rPr>
        <w:t xml:space="preserve">. The targets are: to have </w:t>
      </w:r>
      <w:r w:rsidR="002345E7" w:rsidRPr="0085651A">
        <w:rPr>
          <w:rFonts w:ascii="Times New Roman" w:hAnsi="Times New Roman" w:cs="Times New Roman"/>
          <w:sz w:val="24"/>
          <w:szCs w:val="24"/>
        </w:rPr>
        <w:t xml:space="preserve">a report on the implementation of steering mechanisms for skills development approved, to have five SETA monitoring reports approved, to have 80-days average lead time from qualifying trade test applications received until </w:t>
      </w:r>
      <w:r w:rsidR="00C93276" w:rsidRPr="0085651A">
        <w:rPr>
          <w:rFonts w:ascii="Times New Roman" w:hAnsi="Times New Roman" w:cs="Times New Roman"/>
          <w:sz w:val="24"/>
          <w:szCs w:val="24"/>
        </w:rPr>
        <w:t xml:space="preserve">the </w:t>
      </w:r>
      <w:r w:rsidR="002345E7" w:rsidRPr="0085651A">
        <w:rPr>
          <w:rFonts w:ascii="Times New Roman" w:hAnsi="Times New Roman" w:cs="Times New Roman"/>
          <w:sz w:val="24"/>
          <w:szCs w:val="24"/>
        </w:rPr>
        <w:t>trade test is conducted and to have a national artisan development information management system approved.</w:t>
      </w:r>
    </w:p>
    <w:p w14:paraId="2530DD96" w14:textId="77777777" w:rsidR="002345E7" w:rsidRPr="0085651A" w:rsidRDefault="002345E7" w:rsidP="003932CC">
      <w:pPr>
        <w:autoSpaceDE w:val="0"/>
        <w:autoSpaceDN w:val="0"/>
        <w:adjustRightInd w:val="0"/>
        <w:spacing w:after="0"/>
        <w:rPr>
          <w:rFonts w:ascii="Times New Roman" w:hAnsi="Times New Roman" w:cs="Times New Roman"/>
          <w:b/>
          <w:sz w:val="24"/>
          <w:szCs w:val="24"/>
        </w:rPr>
      </w:pPr>
    </w:p>
    <w:p w14:paraId="5EB18EA5" w14:textId="77777777" w:rsidR="00200E7A" w:rsidRPr="0085651A" w:rsidRDefault="00200E7A" w:rsidP="001654AB">
      <w:pPr>
        <w:rPr>
          <w:rFonts w:ascii="Times New Roman" w:hAnsi="Times New Roman" w:cs="Times New Roman"/>
          <w:sz w:val="24"/>
          <w:szCs w:val="24"/>
        </w:rPr>
      </w:pPr>
      <w:r w:rsidRPr="0085651A">
        <w:rPr>
          <w:rFonts w:ascii="Times New Roman" w:hAnsi="Times New Roman" w:cs="Times New Roman"/>
          <w:sz w:val="24"/>
          <w:szCs w:val="24"/>
        </w:rPr>
        <w:t xml:space="preserve">The 2014 – 2019 MTSF set the targets to produce 24 000 artisans per annum in order to meet the needs of a growing economy. This five-year target of 24 000 is working towards meeting the </w:t>
      </w:r>
      <w:r w:rsidR="003E59FA" w:rsidRPr="0085651A">
        <w:rPr>
          <w:rFonts w:ascii="Times New Roman" w:hAnsi="Times New Roman" w:cs="Times New Roman"/>
          <w:sz w:val="24"/>
          <w:szCs w:val="24"/>
        </w:rPr>
        <w:t>t</w:t>
      </w:r>
      <w:r w:rsidRPr="0085651A">
        <w:rPr>
          <w:rFonts w:ascii="Times New Roman" w:hAnsi="Times New Roman" w:cs="Times New Roman"/>
          <w:sz w:val="24"/>
          <w:szCs w:val="24"/>
        </w:rPr>
        <w:t xml:space="preserve">arget </w:t>
      </w:r>
      <w:r w:rsidR="003E59FA" w:rsidRPr="0085651A">
        <w:rPr>
          <w:rFonts w:ascii="Times New Roman" w:hAnsi="Times New Roman" w:cs="Times New Roman"/>
          <w:sz w:val="24"/>
          <w:szCs w:val="24"/>
        </w:rPr>
        <w:t xml:space="preserve">of 30 000 artisans produced per annum by 2030 as </w:t>
      </w:r>
      <w:r w:rsidRPr="0085651A">
        <w:rPr>
          <w:rFonts w:ascii="Times New Roman" w:hAnsi="Times New Roman" w:cs="Times New Roman"/>
          <w:sz w:val="24"/>
          <w:szCs w:val="24"/>
        </w:rPr>
        <w:t xml:space="preserve">set by the NDP. </w:t>
      </w:r>
      <w:r w:rsidR="00947081" w:rsidRPr="0085651A">
        <w:rPr>
          <w:rFonts w:ascii="Times New Roman" w:hAnsi="Times New Roman" w:cs="Times New Roman"/>
          <w:sz w:val="24"/>
          <w:szCs w:val="24"/>
        </w:rPr>
        <w:t xml:space="preserve">The target was not achieved in </w:t>
      </w:r>
      <w:r w:rsidR="00403B42" w:rsidRPr="0085651A">
        <w:rPr>
          <w:rFonts w:ascii="Times New Roman" w:hAnsi="Times New Roman" w:cs="Times New Roman"/>
          <w:sz w:val="24"/>
          <w:szCs w:val="24"/>
        </w:rPr>
        <w:t>2015/16, however</w:t>
      </w:r>
      <w:r w:rsidR="00C93276" w:rsidRPr="0085651A">
        <w:rPr>
          <w:rFonts w:ascii="Times New Roman" w:hAnsi="Times New Roman" w:cs="Times New Roman"/>
          <w:sz w:val="24"/>
          <w:szCs w:val="24"/>
        </w:rPr>
        <w:t>,</w:t>
      </w:r>
      <w:r w:rsidR="00403B42" w:rsidRPr="0085651A">
        <w:rPr>
          <w:rFonts w:ascii="Times New Roman" w:hAnsi="Times New Roman" w:cs="Times New Roman"/>
          <w:sz w:val="24"/>
          <w:szCs w:val="24"/>
        </w:rPr>
        <w:t xml:space="preserve"> there was a significant improvement in 2016/17 where the achievement </w:t>
      </w:r>
      <w:r w:rsidR="00C93276" w:rsidRPr="0085651A">
        <w:rPr>
          <w:rFonts w:ascii="Times New Roman" w:hAnsi="Times New Roman" w:cs="Times New Roman"/>
          <w:sz w:val="24"/>
          <w:szCs w:val="24"/>
        </w:rPr>
        <w:t>of</w:t>
      </w:r>
      <w:r w:rsidR="00403B42" w:rsidRPr="0085651A">
        <w:rPr>
          <w:rFonts w:ascii="Times New Roman" w:hAnsi="Times New Roman" w:cs="Times New Roman"/>
          <w:sz w:val="24"/>
          <w:szCs w:val="24"/>
        </w:rPr>
        <w:t xml:space="preserve"> the target to have 21 110 new </w:t>
      </w:r>
      <w:r w:rsidR="00A755E6" w:rsidRPr="0085651A">
        <w:rPr>
          <w:rFonts w:ascii="Times New Roman" w:hAnsi="Times New Roman" w:cs="Times New Roman"/>
          <w:sz w:val="24"/>
          <w:szCs w:val="24"/>
        </w:rPr>
        <w:t>artisans qualified</w:t>
      </w:r>
      <w:r w:rsidR="00403B42" w:rsidRPr="0085651A">
        <w:rPr>
          <w:rFonts w:ascii="Times New Roman" w:hAnsi="Times New Roman" w:cs="Times New Roman"/>
          <w:sz w:val="24"/>
          <w:szCs w:val="24"/>
        </w:rPr>
        <w:t xml:space="preserve"> </w:t>
      </w:r>
      <w:r w:rsidR="000F2258" w:rsidRPr="0085651A">
        <w:rPr>
          <w:rFonts w:ascii="Times New Roman" w:hAnsi="Times New Roman" w:cs="Times New Roman"/>
          <w:sz w:val="24"/>
          <w:szCs w:val="24"/>
        </w:rPr>
        <w:t>was achieved</w:t>
      </w:r>
      <w:r w:rsidR="00403B42" w:rsidRPr="0085651A">
        <w:rPr>
          <w:rFonts w:ascii="Times New Roman" w:hAnsi="Times New Roman" w:cs="Times New Roman"/>
          <w:sz w:val="24"/>
          <w:szCs w:val="24"/>
        </w:rPr>
        <w:t xml:space="preserve">. </w:t>
      </w:r>
      <w:r w:rsidR="00A755E6" w:rsidRPr="0085651A">
        <w:rPr>
          <w:rFonts w:ascii="Times New Roman" w:hAnsi="Times New Roman" w:cs="Times New Roman"/>
          <w:sz w:val="24"/>
          <w:szCs w:val="24"/>
        </w:rPr>
        <w:t>Four of the five system targets were achieved in 2016/17</w:t>
      </w:r>
      <w:r w:rsidR="00EA01EC" w:rsidRPr="0085651A">
        <w:rPr>
          <w:rFonts w:ascii="Times New Roman" w:hAnsi="Times New Roman" w:cs="Times New Roman"/>
          <w:sz w:val="24"/>
          <w:szCs w:val="24"/>
        </w:rPr>
        <w:t>, except a target on the proportion of SETAs meeting good governance</w:t>
      </w:r>
      <w:r w:rsidR="00A755E6" w:rsidRPr="0085651A">
        <w:rPr>
          <w:rFonts w:ascii="Times New Roman" w:hAnsi="Times New Roman" w:cs="Times New Roman"/>
          <w:sz w:val="24"/>
          <w:szCs w:val="24"/>
        </w:rPr>
        <w:t>.</w:t>
      </w:r>
      <w:r w:rsidR="00EA01EC" w:rsidRPr="0085651A">
        <w:rPr>
          <w:rFonts w:ascii="Times New Roman" w:hAnsi="Times New Roman" w:cs="Times New Roman"/>
          <w:sz w:val="24"/>
          <w:szCs w:val="24"/>
        </w:rPr>
        <w:t xml:space="preserve"> However, the target was achieved in 2017/18.</w:t>
      </w:r>
      <w:r w:rsidR="00A755E6" w:rsidRPr="0085651A">
        <w:rPr>
          <w:rFonts w:ascii="Times New Roman" w:hAnsi="Times New Roman" w:cs="Times New Roman"/>
          <w:sz w:val="24"/>
          <w:szCs w:val="24"/>
        </w:rPr>
        <w:t xml:space="preserve"> </w:t>
      </w:r>
    </w:p>
    <w:p w14:paraId="5CBA30E6" w14:textId="77777777" w:rsidR="001654AB" w:rsidRPr="0085651A" w:rsidRDefault="001654AB" w:rsidP="001654AB">
      <w:pPr>
        <w:rPr>
          <w:rFonts w:ascii="Times New Roman" w:hAnsi="Times New Roman" w:cs="Times New Roman"/>
          <w:b/>
          <w:sz w:val="24"/>
          <w:szCs w:val="24"/>
        </w:rPr>
      </w:pPr>
      <w:r w:rsidRPr="0085651A">
        <w:rPr>
          <w:rFonts w:ascii="Times New Roman" w:hAnsi="Times New Roman" w:cs="Times New Roman"/>
          <w:b/>
          <w:sz w:val="24"/>
          <w:szCs w:val="24"/>
        </w:rPr>
        <w:t>4.3.6. Programme 6: Community Education Training</w:t>
      </w:r>
    </w:p>
    <w:p w14:paraId="6DF2C30A" w14:textId="77777777" w:rsidR="006F2080" w:rsidRPr="0085651A" w:rsidRDefault="00E114E9" w:rsidP="00E114E9">
      <w:pPr>
        <w:autoSpaceDE w:val="0"/>
        <w:autoSpaceDN w:val="0"/>
        <w:adjustRightInd w:val="0"/>
        <w:spacing w:after="0"/>
        <w:rPr>
          <w:rFonts w:ascii="Times New Roman" w:hAnsi="Times New Roman" w:cs="Times New Roman"/>
          <w:iCs/>
          <w:sz w:val="24"/>
          <w:szCs w:val="24"/>
          <w:lang w:val="en-US"/>
        </w:rPr>
      </w:pPr>
      <w:r w:rsidRPr="0085651A">
        <w:rPr>
          <w:rFonts w:ascii="Times New Roman" w:hAnsi="Times New Roman" w:cs="Times New Roman"/>
          <w:sz w:val="24"/>
          <w:szCs w:val="24"/>
          <w:lang w:val="en-US"/>
        </w:rPr>
        <w:t xml:space="preserve">The purpose of this programme is to plan, develop, implement, monitor, maintain and evaluate national policy, programme assessment practices and systems for community education and training. The programme has four sub-programmes, namely: </w:t>
      </w:r>
      <w:r w:rsidRPr="0085651A">
        <w:rPr>
          <w:rFonts w:ascii="Times New Roman" w:hAnsi="Times New Roman" w:cs="Times New Roman"/>
          <w:iCs/>
          <w:sz w:val="24"/>
          <w:szCs w:val="24"/>
          <w:lang w:val="en-US"/>
        </w:rPr>
        <w:t>Programme Management: Community Education and Training; Community Education and Training Colleges Systems Planning, Institutional Development and Support; Financial Planning; and Education and Training and Development Support.</w:t>
      </w:r>
    </w:p>
    <w:p w14:paraId="15314E85" w14:textId="77777777" w:rsidR="00586071" w:rsidRPr="0085651A" w:rsidRDefault="00586071" w:rsidP="00E114E9">
      <w:pPr>
        <w:autoSpaceDE w:val="0"/>
        <w:autoSpaceDN w:val="0"/>
        <w:adjustRightInd w:val="0"/>
        <w:spacing w:after="0"/>
        <w:rPr>
          <w:rFonts w:ascii="Times New Roman" w:hAnsi="Times New Roman" w:cs="Times New Roman"/>
          <w:b/>
          <w:sz w:val="24"/>
          <w:szCs w:val="24"/>
        </w:rPr>
      </w:pPr>
    </w:p>
    <w:p w14:paraId="1F9E0FC6" w14:textId="77777777" w:rsidR="00E114E9" w:rsidRPr="0085651A" w:rsidRDefault="00A84C71" w:rsidP="00E114E9">
      <w:pPr>
        <w:autoSpaceDE w:val="0"/>
        <w:autoSpaceDN w:val="0"/>
        <w:adjustRightInd w:val="0"/>
        <w:spacing w:after="0"/>
        <w:rPr>
          <w:rFonts w:ascii="Times New Roman" w:hAnsi="Times New Roman" w:cs="Times New Roman"/>
          <w:iCs/>
          <w:sz w:val="24"/>
          <w:szCs w:val="24"/>
          <w:lang w:val="en-US"/>
        </w:rPr>
      </w:pPr>
      <w:r w:rsidRPr="0085651A">
        <w:rPr>
          <w:rFonts w:ascii="Times New Roman" w:hAnsi="Times New Roman" w:cs="Times New Roman"/>
          <w:b/>
          <w:sz w:val="24"/>
          <w:szCs w:val="24"/>
        </w:rPr>
        <w:t>4.3.6.1. Overview and assessment of the 2018/19 MTEF budget allocation</w:t>
      </w:r>
    </w:p>
    <w:p w14:paraId="0DCFCF09" w14:textId="77777777" w:rsidR="00E114E9" w:rsidRPr="0085651A" w:rsidRDefault="00E114E9" w:rsidP="00E114E9">
      <w:pPr>
        <w:autoSpaceDE w:val="0"/>
        <w:autoSpaceDN w:val="0"/>
        <w:adjustRightInd w:val="0"/>
        <w:spacing w:after="0"/>
        <w:rPr>
          <w:rFonts w:ascii="Times New Roman" w:eastAsia="Times New Roman" w:hAnsi="Times New Roman" w:cs="Times New Roman"/>
          <w:sz w:val="24"/>
          <w:szCs w:val="24"/>
          <w:lang w:eastAsia="en-ZA"/>
        </w:rPr>
      </w:pPr>
      <w:r w:rsidRPr="0085651A">
        <w:rPr>
          <w:rFonts w:ascii="Times New Roman" w:hAnsi="Times New Roman" w:cs="Times New Roman"/>
          <w:sz w:val="24"/>
          <w:szCs w:val="24"/>
          <w:lang w:val="en-US"/>
        </w:rPr>
        <w:t>For the 2018/19 financial year, the programme received a total budget of R2.358 billion. The programme’s budget accounts for 3.23 percent of the Department’s total budget excluding direct charge</w:t>
      </w:r>
      <w:r w:rsidR="003E59FA" w:rsidRPr="0085651A">
        <w:rPr>
          <w:rFonts w:ascii="Times New Roman" w:hAnsi="Times New Roman" w:cs="Times New Roman"/>
          <w:sz w:val="24"/>
          <w:szCs w:val="24"/>
          <w:lang w:val="en-US"/>
        </w:rPr>
        <w:t>s</w:t>
      </w:r>
      <w:r w:rsidRPr="0085651A">
        <w:rPr>
          <w:rFonts w:ascii="Times New Roman" w:hAnsi="Times New Roman" w:cs="Times New Roman"/>
          <w:sz w:val="24"/>
          <w:szCs w:val="24"/>
          <w:lang w:val="en-US"/>
        </w:rPr>
        <w:t>. The programme experienced a nominal increase of R161.7 million from R2.197 billion allocated in 2017/18. This represents a real increase of R38.7 million when factoring inflation. Sub-programme 2: Community Education and Training Colleges Systems Planning, Institutional Development and Support receive</w:t>
      </w:r>
      <w:r w:rsidR="009F5599" w:rsidRPr="0085651A">
        <w:rPr>
          <w:rFonts w:ascii="Times New Roman" w:hAnsi="Times New Roman" w:cs="Times New Roman"/>
          <w:sz w:val="24"/>
          <w:szCs w:val="24"/>
          <w:lang w:val="en-US"/>
        </w:rPr>
        <w:t>d</w:t>
      </w:r>
      <w:r w:rsidRPr="0085651A">
        <w:rPr>
          <w:rFonts w:ascii="Times New Roman" w:hAnsi="Times New Roman" w:cs="Times New Roman"/>
          <w:sz w:val="24"/>
          <w:szCs w:val="24"/>
          <w:lang w:val="en-US"/>
        </w:rPr>
        <w:t xml:space="preserve"> the bulk of the programme’s total </w:t>
      </w:r>
      <w:r w:rsidRPr="0085651A">
        <w:rPr>
          <w:rFonts w:ascii="Times New Roman" w:hAnsi="Times New Roman" w:cs="Times New Roman"/>
          <w:sz w:val="24"/>
          <w:szCs w:val="24"/>
          <w:lang w:val="en-US"/>
        </w:rPr>
        <w:lastRenderedPageBreak/>
        <w:t xml:space="preserve">budget amounting to R2.160 billion. This represents 91.60 percent of the programme’s total budget. </w:t>
      </w:r>
      <w:r w:rsidRPr="0085651A">
        <w:rPr>
          <w:rFonts w:ascii="Times New Roman" w:eastAsia="Times New Roman" w:hAnsi="Times New Roman" w:cs="Times New Roman"/>
          <w:sz w:val="24"/>
          <w:szCs w:val="24"/>
          <w:lang w:eastAsia="en-ZA"/>
        </w:rPr>
        <w:t xml:space="preserve">Sub-programme 3: Financial Planning receives R176.4 million for the 2018/19. The budget has experienced a nominal increase of R10.2 million from R166.2 million allocated in 2017/18. </w:t>
      </w:r>
    </w:p>
    <w:p w14:paraId="78465745" w14:textId="77777777" w:rsidR="00E114E9" w:rsidRPr="0085651A" w:rsidRDefault="00E114E9" w:rsidP="00E114E9">
      <w:pPr>
        <w:autoSpaceDE w:val="0"/>
        <w:autoSpaceDN w:val="0"/>
        <w:adjustRightInd w:val="0"/>
        <w:spacing w:after="0"/>
        <w:rPr>
          <w:rFonts w:ascii="Times New Roman" w:hAnsi="Times New Roman" w:cs="Times New Roman"/>
          <w:sz w:val="24"/>
          <w:szCs w:val="24"/>
          <w:lang w:val="en-US"/>
        </w:rPr>
      </w:pPr>
      <w:r w:rsidRPr="0085651A">
        <w:rPr>
          <w:rFonts w:ascii="Times New Roman" w:hAnsi="Times New Roman" w:cs="Times New Roman"/>
          <w:sz w:val="24"/>
          <w:szCs w:val="24"/>
          <w:lang w:val="en-US"/>
        </w:rPr>
        <w:t xml:space="preserve">R2.244 billion of the programme’s total budget is allocated to current payments, of which R2.183 billion is for compensation of employees and R61.2 million for goods and services. </w:t>
      </w:r>
      <w:r w:rsidR="006F2080" w:rsidRPr="0085651A">
        <w:rPr>
          <w:rFonts w:ascii="Times New Roman" w:hAnsi="Times New Roman" w:cs="Times New Roman"/>
          <w:sz w:val="24"/>
          <w:szCs w:val="24"/>
          <w:lang w:val="en-US"/>
        </w:rPr>
        <w:t>The a</w:t>
      </w:r>
      <w:r w:rsidRPr="0085651A">
        <w:rPr>
          <w:rFonts w:ascii="Times New Roman" w:hAnsi="Times New Roman" w:cs="Times New Roman"/>
          <w:sz w:val="24"/>
          <w:szCs w:val="24"/>
          <w:lang w:val="en-US"/>
        </w:rPr>
        <w:t xml:space="preserve">llocation for spending on compensation of employees increased by R153.2 million from R2.029 billion allocated in 2017/18. The bulk of the budget </w:t>
      </w:r>
      <w:r w:rsidR="009F5599" w:rsidRPr="0085651A">
        <w:rPr>
          <w:rFonts w:ascii="Times New Roman" w:hAnsi="Times New Roman" w:cs="Times New Roman"/>
          <w:sz w:val="24"/>
          <w:szCs w:val="24"/>
          <w:lang w:val="en-US"/>
        </w:rPr>
        <w:t xml:space="preserve">is </w:t>
      </w:r>
      <w:r w:rsidRPr="0085651A">
        <w:rPr>
          <w:rFonts w:ascii="Times New Roman" w:hAnsi="Times New Roman" w:cs="Times New Roman"/>
          <w:sz w:val="24"/>
          <w:szCs w:val="24"/>
          <w:lang w:val="en-US"/>
        </w:rPr>
        <w:t xml:space="preserve">allocated for goods and services </w:t>
      </w:r>
      <w:r w:rsidR="00700609" w:rsidRPr="0085651A">
        <w:rPr>
          <w:rFonts w:ascii="Times New Roman" w:hAnsi="Times New Roman" w:cs="Times New Roman"/>
          <w:sz w:val="24"/>
          <w:szCs w:val="24"/>
          <w:lang w:val="en-US"/>
        </w:rPr>
        <w:t xml:space="preserve">at </w:t>
      </w:r>
      <w:r w:rsidRPr="0085651A">
        <w:rPr>
          <w:rFonts w:ascii="Times New Roman" w:hAnsi="Times New Roman" w:cs="Times New Roman"/>
          <w:sz w:val="24"/>
          <w:szCs w:val="24"/>
          <w:lang w:val="en-US"/>
        </w:rPr>
        <w:t xml:space="preserve">R26.3 million </w:t>
      </w:r>
      <w:r w:rsidR="009F5599" w:rsidRPr="0085651A">
        <w:rPr>
          <w:rFonts w:ascii="Times New Roman" w:hAnsi="Times New Roman" w:cs="Times New Roman"/>
          <w:sz w:val="24"/>
          <w:szCs w:val="24"/>
          <w:lang w:val="en-US"/>
        </w:rPr>
        <w:t>for</w:t>
      </w:r>
      <w:r w:rsidRPr="0085651A">
        <w:rPr>
          <w:rFonts w:ascii="Times New Roman" w:hAnsi="Times New Roman" w:cs="Times New Roman"/>
          <w:sz w:val="24"/>
          <w:szCs w:val="24"/>
          <w:lang w:val="en-US"/>
        </w:rPr>
        <w:t xml:space="preserve"> consumables: stationery, printing and office supplies. Though the allocation for this line item is the highest, it has actually decreased by R4.4 million from R30.7 million allocated in 2017/18.</w:t>
      </w:r>
      <w:r w:rsidR="003E59FA" w:rsidRPr="0085651A">
        <w:rPr>
          <w:rFonts w:ascii="Times New Roman" w:hAnsi="Times New Roman" w:cs="Times New Roman"/>
          <w:sz w:val="24"/>
          <w:szCs w:val="24"/>
          <w:lang w:val="en-US"/>
        </w:rPr>
        <w:t xml:space="preserve"> The</w:t>
      </w:r>
      <w:r w:rsidRPr="0085651A">
        <w:rPr>
          <w:rFonts w:ascii="Times New Roman" w:hAnsi="Times New Roman" w:cs="Times New Roman"/>
          <w:sz w:val="24"/>
          <w:szCs w:val="24"/>
          <w:lang w:val="en-US"/>
        </w:rPr>
        <w:t xml:space="preserve"> </w:t>
      </w:r>
      <w:r w:rsidR="003E59FA" w:rsidRPr="0085651A">
        <w:rPr>
          <w:rFonts w:ascii="Times New Roman" w:hAnsi="Times New Roman" w:cs="Times New Roman"/>
          <w:sz w:val="24"/>
          <w:szCs w:val="24"/>
          <w:lang w:val="en-US"/>
        </w:rPr>
        <w:t>a</w:t>
      </w:r>
      <w:r w:rsidRPr="0085651A">
        <w:rPr>
          <w:rFonts w:ascii="Times New Roman" w:hAnsi="Times New Roman" w:cs="Times New Roman"/>
          <w:sz w:val="24"/>
          <w:szCs w:val="24"/>
          <w:lang w:val="en-US"/>
        </w:rPr>
        <w:t>llocation for spending on travel and subsistence is the second highest spending</w:t>
      </w:r>
      <w:r w:rsidR="009F5599" w:rsidRPr="0085651A">
        <w:rPr>
          <w:rFonts w:ascii="Times New Roman" w:hAnsi="Times New Roman" w:cs="Times New Roman"/>
          <w:sz w:val="24"/>
          <w:szCs w:val="24"/>
          <w:lang w:val="en-US"/>
        </w:rPr>
        <w:t xml:space="preserve"> line item</w:t>
      </w:r>
      <w:r w:rsidRPr="0085651A">
        <w:rPr>
          <w:rFonts w:ascii="Times New Roman" w:hAnsi="Times New Roman" w:cs="Times New Roman"/>
          <w:sz w:val="24"/>
          <w:szCs w:val="24"/>
          <w:lang w:val="en-US"/>
        </w:rPr>
        <w:t xml:space="preserve"> at R9.3 million, which increased by R4 million from R5.3 million allocated in 2017/18. </w:t>
      </w:r>
      <w:r w:rsidR="00700609" w:rsidRPr="0085651A">
        <w:rPr>
          <w:rFonts w:ascii="Times New Roman" w:hAnsi="Times New Roman" w:cs="Times New Roman"/>
          <w:sz w:val="24"/>
          <w:szCs w:val="24"/>
          <w:lang w:val="en-US"/>
        </w:rPr>
        <w:t>The t</w:t>
      </w:r>
      <w:r w:rsidRPr="0085651A">
        <w:rPr>
          <w:rFonts w:ascii="Times New Roman" w:hAnsi="Times New Roman" w:cs="Times New Roman"/>
          <w:sz w:val="24"/>
          <w:szCs w:val="24"/>
          <w:lang w:val="en-US"/>
        </w:rPr>
        <w:t>raining and development line item received an allocation of R9 million, which decreased by R3.3 million from R12.3 million allocated in 2017/18.</w:t>
      </w:r>
    </w:p>
    <w:p w14:paraId="3D8EEB73" w14:textId="77777777" w:rsidR="007D4B2F" w:rsidRPr="0085651A" w:rsidRDefault="007D4B2F" w:rsidP="00E114E9">
      <w:pPr>
        <w:autoSpaceDE w:val="0"/>
        <w:autoSpaceDN w:val="0"/>
        <w:adjustRightInd w:val="0"/>
        <w:spacing w:after="0"/>
        <w:rPr>
          <w:rFonts w:ascii="Times New Roman" w:hAnsi="Times New Roman" w:cs="Times New Roman"/>
          <w:sz w:val="24"/>
          <w:szCs w:val="24"/>
          <w:lang w:val="en-US"/>
        </w:rPr>
      </w:pPr>
    </w:p>
    <w:p w14:paraId="2EEB7E82" w14:textId="77777777" w:rsidR="008D49A3" w:rsidRPr="0085651A" w:rsidRDefault="006F2080" w:rsidP="00251D5B">
      <w:pPr>
        <w:autoSpaceDE w:val="0"/>
        <w:autoSpaceDN w:val="0"/>
        <w:adjustRightInd w:val="0"/>
        <w:spacing w:after="0"/>
        <w:rPr>
          <w:rFonts w:ascii="Times New Roman" w:hAnsi="Times New Roman" w:cs="Times New Roman"/>
          <w:sz w:val="24"/>
          <w:szCs w:val="24"/>
          <w:lang w:val="en-US"/>
        </w:rPr>
      </w:pPr>
      <w:r w:rsidRPr="0085651A">
        <w:rPr>
          <w:rFonts w:ascii="Times New Roman" w:hAnsi="Times New Roman" w:cs="Times New Roman"/>
          <w:sz w:val="24"/>
          <w:szCs w:val="24"/>
          <w:lang w:val="en-US"/>
        </w:rPr>
        <w:t>The a</w:t>
      </w:r>
      <w:r w:rsidR="00E114E9" w:rsidRPr="0085651A">
        <w:rPr>
          <w:rFonts w:ascii="Times New Roman" w:hAnsi="Times New Roman" w:cs="Times New Roman"/>
          <w:sz w:val="24"/>
          <w:szCs w:val="24"/>
          <w:lang w:val="en-US"/>
        </w:rPr>
        <w:t>llocation for transfers and subsidies amounts to R112.7 million. Of this amount, R2.8 million is allocated for transfer to</w:t>
      </w:r>
      <w:r w:rsidR="00700609" w:rsidRPr="0085651A">
        <w:rPr>
          <w:rFonts w:ascii="Times New Roman" w:hAnsi="Times New Roman" w:cs="Times New Roman"/>
          <w:sz w:val="24"/>
          <w:szCs w:val="24"/>
          <w:lang w:val="en-US"/>
        </w:rPr>
        <w:t xml:space="preserve"> the</w:t>
      </w:r>
      <w:r w:rsidR="00E114E9" w:rsidRPr="0085651A">
        <w:rPr>
          <w:rFonts w:ascii="Times New Roman" w:hAnsi="Times New Roman" w:cs="Times New Roman"/>
          <w:sz w:val="24"/>
          <w:szCs w:val="24"/>
          <w:lang w:val="en-US"/>
        </w:rPr>
        <w:t xml:space="preserve"> Education, Training and Development Practices Sector Education and Training Authority (ETDP SETA) and R109.9 million is subsidies to TVET Colleges. The </w:t>
      </w:r>
      <w:r w:rsidR="00C93276" w:rsidRPr="0085651A">
        <w:rPr>
          <w:rFonts w:ascii="Times New Roman" w:hAnsi="Times New Roman" w:cs="Times New Roman"/>
          <w:sz w:val="24"/>
          <w:szCs w:val="24"/>
          <w:lang w:val="en-US"/>
        </w:rPr>
        <w:t>subsidy</w:t>
      </w:r>
      <w:r w:rsidR="00E114E9" w:rsidRPr="0085651A">
        <w:rPr>
          <w:rFonts w:ascii="Times New Roman" w:hAnsi="Times New Roman" w:cs="Times New Roman"/>
          <w:sz w:val="24"/>
          <w:szCs w:val="24"/>
          <w:lang w:val="en-US"/>
        </w:rPr>
        <w:t xml:space="preserve"> allocation to TVET Colleges increased by R6 million from R103 million allocated in 2017/18. </w:t>
      </w:r>
      <w:r w:rsidRPr="0085651A">
        <w:rPr>
          <w:rFonts w:ascii="Times New Roman" w:hAnsi="Times New Roman" w:cs="Times New Roman"/>
          <w:sz w:val="24"/>
          <w:szCs w:val="24"/>
          <w:lang w:val="en-US"/>
        </w:rPr>
        <w:t>The allocation</w:t>
      </w:r>
      <w:r w:rsidR="00E114E9" w:rsidRPr="0085651A">
        <w:rPr>
          <w:rFonts w:ascii="Times New Roman" w:hAnsi="Times New Roman" w:cs="Times New Roman"/>
          <w:sz w:val="24"/>
          <w:szCs w:val="24"/>
          <w:lang w:val="en-US"/>
        </w:rPr>
        <w:t xml:space="preserve"> for subsidies to TVET Colleges is projected to grow to R116.9 million and R122.5 million in the 2019/20 and 2020/21 respectively. </w:t>
      </w:r>
      <w:r w:rsidRPr="0085651A">
        <w:rPr>
          <w:rFonts w:ascii="Times New Roman" w:hAnsi="Times New Roman" w:cs="Times New Roman"/>
          <w:sz w:val="24"/>
          <w:szCs w:val="24"/>
          <w:lang w:val="en-US"/>
        </w:rPr>
        <w:t>The p</w:t>
      </w:r>
      <w:r w:rsidR="00E114E9" w:rsidRPr="0085651A">
        <w:rPr>
          <w:rFonts w:ascii="Times New Roman" w:hAnsi="Times New Roman" w:cs="Times New Roman"/>
          <w:sz w:val="24"/>
          <w:szCs w:val="24"/>
          <w:lang w:val="en-US"/>
        </w:rPr>
        <w:t xml:space="preserve">ayments </w:t>
      </w:r>
      <w:r w:rsidRPr="0085651A">
        <w:rPr>
          <w:rFonts w:ascii="Times New Roman" w:hAnsi="Times New Roman" w:cs="Times New Roman"/>
          <w:sz w:val="24"/>
          <w:szCs w:val="24"/>
          <w:lang w:val="en-US"/>
        </w:rPr>
        <w:t>for capital assets allocation amounts to</w:t>
      </w:r>
      <w:r w:rsidR="00E114E9" w:rsidRPr="0085651A">
        <w:rPr>
          <w:rFonts w:ascii="Times New Roman" w:hAnsi="Times New Roman" w:cs="Times New Roman"/>
          <w:sz w:val="24"/>
          <w:szCs w:val="24"/>
          <w:lang w:val="en-US"/>
        </w:rPr>
        <w:t xml:space="preserve"> R1.9 million.</w:t>
      </w:r>
    </w:p>
    <w:p w14:paraId="1B611200" w14:textId="77777777" w:rsidR="00251D5B" w:rsidRPr="0085651A" w:rsidRDefault="00251D5B" w:rsidP="00251D5B">
      <w:pPr>
        <w:autoSpaceDE w:val="0"/>
        <w:autoSpaceDN w:val="0"/>
        <w:adjustRightInd w:val="0"/>
        <w:spacing w:after="0"/>
        <w:rPr>
          <w:rFonts w:ascii="Times New Roman" w:hAnsi="Times New Roman" w:cs="Times New Roman"/>
          <w:sz w:val="24"/>
          <w:szCs w:val="24"/>
          <w:lang w:val="en-US"/>
        </w:rPr>
      </w:pPr>
    </w:p>
    <w:p w14:paraId="75FC5C7E" w14:textId="77777777" w:rsidR="006F0B25" w:rsidRPr="0085651A" w:rsidRDefault="00A84C71" w:rsidP="00E23AA9">
      <w:pPr>
        <w:rPr>
          <w:rFonts w:ascii="Times New Roman" w:hAnsi="Times New Roman" w:cs="Times New Roman"/>
          <w:b/>
          <w:sz w:val="24"/>
          <w:szCs w:val="24"/>
        </w:rPr>
      </w:pPr>
      <w:r w:rsidRPr="0085651A">
        <w:rPr>
          <w:rFonts w:ascii="Times New Roman" w:hAnsi="Times New Roman" w:cs="Times New Roman"/>
          <w:b/>
          <w:sz w:val="24"/>
          <w:szCs w:val="24"/>
        </w:rPr>
        <w:t xml:space="preserve">4.3.6.2. Overview and assessment of </w:t>
      </w:r>
      <w:r w:rsidR="004274FF" w:rsidRPr="0085651A">
        <w:rPr>
          <w:rFonts w:ascii="Times New Roman" w:hAnsi="Times New Roman" w:cs="Times New Roman"/>
          <w:b/>
          <w:sz w:val="24"/>
          <w:szCs w:val="24"/>
        </w:rPr>
        <w:t>2018/19 performance</w:t>
      </w:r>
      <w:r w:rsidRPr="0085651A">
        <w:rPr>
          <w:rFonts w:ascii="Times New Roman" w:hAnsi="Times New Roman" w:cs="Times New Roman"/>
          <w:b/>
          <w:sz w:val="24"/>
          <w:szCs w:val="24"/>
        </w:rPr>
        <w:t xml:space="preserve"> indicators and targets</w:t>
      </w:r>
    </w:p>
    <w:p w14:paraId="6D754D73" w14:textId="77777777" w:rsidR="00D03E17" w:rsidRPr="0085651A" w:rsidRDefault="00F43A45" w:rsidP="00D03E17">
      <w:pPr>
        <w:autoSpaceDE w:val="0"/>
        <w:autoSpaceDN w:val="0"/>
        <w:adjustRightInd w:val="0"/>
        <w:spacing w:after="0"/>
        <w:rPr>
          <w:rFonts w:ascii="Times New Roman" w:hAnsi="Times New Roman" w:cs="Times New Roman"/>
          <w:sz w:val="24"/>
          <w:szCs w:val="24"/>
        </w:rPr>
      </w:pPr>
      <w:r w:rsidRPr="0085651A">
        <w:rPr>
          <w:rFonts w:ascii="Times New Roman" w:hAnsi="Times New Roman" w:cs="Times New Roman"/>
          <w:sz w:val="24"/>
          <w:szCs w:val="24"/>
        </w:rPr>
        <w:t xml:space="preserve">For the 2018/19 financial year, the programme </w:t>
      </w:r>
      <w:r w:rsidR="00277B5B" w:rsidRPr="0085651A">
        <w:rPr>
          <w:rFonts w:ascii="Times New Roman" w:hAnsi="Times New Roman" w:cs="Times New Roman"/>
          <w:sz w:val="24"/>
          <w:szCs w:val="24"/>
        </w:rPr>
        <w:t>will implement two</w:t>
      </w:r>
      <w:r w:rsidRPr="0085651A">
        <w:rPr>
          <w:rFonts w:ascii="Times New Roman" w:hAnsi="Times New Roman" w:cs="Times New Roman"/>
          <w:sz w:val="24"/>
          <w:szCs w:val="24"/>
        </w:rPr>
        <w:t xml:space="preserve"> performance indicators with </w:t>
      </w:r>
      <w:r w:rsidR="00277B5B" w:rsidRPr="0085651A">
        <w:rPr>
          <w:rFonts w:ascii="Times New Roman" w:hAnsi="Times New Roman" w:cs="Times New Roman"/>
          <w:sz w:val="24"/>
          <w:szCs w:val="24"/>
        </w:rPr>
        <w:t xml:space="preserve">the following targets: </w:t>
      </w:r>
      <w:r w:rsidRPr="0085651A">
        <w:rPr>
          <w:rFonts w:ascii="Times New Roman" w:hAnsi="Times New Roman" w:cs="Times New Roman"/>
          <w:sz w:val="24"/>
          <w:szCs w:val="24"/>
        </w:rPr>
        <w:t xml:space="preserve">to have a report on the implementation of steering mechanisms for </w:t>
      </w:r>
      <w:r w:rsidR="00277B5B" w:rsidRPr="0085651A">
        <w:rPr>
          <w:rFonts w:ascii="Times New Roman" w:hAnsi="Times New Roman" w:cs="Times New Roman"/>
          <w:sz w:val="24"/>
          <w:szCs w:val="24"/>
        </w:rPr>
        <w:t xml:space="preserve">CET sector </w:t>
      </w:r>
      <w:r w:rsidRPr="0085651A">
        <w:rPr>
          <w:rFonts w:ascii="Times New Roman" w:hAnsi="Times New Roman" w:cs="Times New Roman"/>
          <w:sz w:val="24"/>
          <w:szCs w:val="24"/>
        </w:rPr>
        <w:t xml:space="preserve">approved, </w:t>
      </w:r>
      <w:r w:rsidR="00277B5B" w:rsidRPr="0085651A">
        <w:rPr>
          <w:rFonts w:ascii="Times New Roman" w:hAnsi="Times New Roman" w:cs="Times New Roman"/>
          <w:sz w:val="24"/>
          <w:szCs w:val="24"/>
        </w:rPr>
        <w:t xml:space="preserve">and </w:t>
      </w:r>
      <w:r w:rsidRPr="0085651A">
        <w:rPr>
          <w:rFonts w:ascii="Times New Roman" w:hAnsi="Times New Roman" w:cs="Times New Roman"/>
          <w:sz w:val="24"/>
          <w:szCs w:val="24"/>
        </w:rPr>
        <w:t xml:space="preserve">to have five </w:t>
      </w:r>
      <w:r w:rsidR="00277B5B" w:rsidRPr="0085651A">
        <w:rPr>
          <w:rFonts w:ascii="Times New Roman" w:hAnsi="Times New Roman" w:cs="Times New Roman"/>
          <w:sz w:val="24"/>
          <w:szCs w:val="24"/>
        </w:rPr>
        <w:t>CET</w:t>
      </w:r>
      <w:r w:rsidRPr="0085651A">
        <w:rPr>
          <w:rFonts w:ascii="Times New Roman" w:hAnsi="Times New Roman" w:cs="Times New Roman"/>
          <w:sz w:val="24"/>
          <w:szCs w:val="24"/>
        </w:rPr>
        <w:t xml:space="preserve"> monitoring reports approved</w:t>
      </w:r>
      <w:r w:rsidR="00277B5B" w:rsidRPr="0085651A">
        <w:rPr>
          <w:rFonts w:ascii="Times New Roman" w:hAnsi="Times New Roman" w:cs="Times New Roman"/>
          <w:sz w:val="24"/>
          <w:szCs w:val="24"/>
        </w:rPr>
        <w:t xml:space="preserve">. </w:t>
      </w:r>
    </w:p>
    <w:p w14:paraId="48292266" w14:textId="77777777" w:rsidR="00D03E17" w:rsidRPr="0085651A" w:rsidRDefault="00D03E17" w:rsidP="00D03E17">
      <w:pPr>
        <w:autoSpaceDE w:val="0"/>
        <w:autoSpaceDN w:val="0"/>
        <w:adjustRightInd w:val="0"/>
        <w:spacing w:after="0"/>
        <w:rPr>
          <w:rFonts w:ascii="Times New Roman" w:hAnsi="Times New Roman" w:cs="Times New Roman"/>
          <w:sz w:val="24"/>
          <w:szCs w:val="24"/>
        </w:rPr>
      </w:pPr>
    </w:p>
    <w:p w14:paraId="6D197300" w14:textId="77777777" w:rsidR="007610C0" w:rsidRPr="0085651A" w:rsidRDefault="00492376" w:rsidP="00D03E17">
      <w:pPr>
        <w:autoSpaceDE w:val="0"/>
        <w:autoSpaceDN w:val="0"/>
        <w:adjustRightInd w:val="0"/>
        <w:spacing w:after="0"/>
        <w:rPr>
          <w:rFonts w:ascii="Times New Roman" w:hAnsi="Times New Roman" w:cs="Times New Roman"/>
          <w:sz w:val="24"/>
          <w:szCs w:val="24"/>
        </w:rPr>
      </w:pPr>
      <w:r w:rsidRPr="0085651A">
        <w:rPr>
          <w:rFonts w:ascii="Times New Roman" w:hAnsi="Times New Roman" w:cs="Times New Roman"/>
          <w:sz w:val="24"/>
          <w:szCs w:val="24"/>
        </w:rPr>
        <w:t>The MTSF has set a target to have 34 000 headcount enrolment in the CET sector.</w:t>
      </w:r>
      <w:r w:rsidR="00D03E17" w:rsidRPr="0085651A">
        <w:rPr>
          <w:rFonts w:ascii="Times New Roman" w:hAnsi="Times New Roman" w:cs="Times New Roman"/>
          <w:sz w:val="24"/>
          <w:szCs w:val="24"/>
        </w:rPr>
        <w:t xml:space="preserve"> </w:t>
      </w:r>
      <w:r w:rsidR="006F2080" w:rsidRPr="0085651A">
        <w:rPr>
          <w:rFonts w:ascii="Times New Roman" w:hAnsi="Times New Roman" w:cs="Times New Roman"/>
          <w:sz w:val="24"/>
          <w:szCs w:val="24"/>
        </w:rPr>
        <w:t>The p</w:t>
      </w:r>
      <w:r w:rsidR="007610C0" w:rsidRPr="0085651A">
        <w:rPr>
          <w:rFonts w:ascii="Times New Roman" w:hAnsi="Times New Roman" w:cs="Times New Roman"/>
          <w:sz w:val="24"/>
          <w:szCs w:val="24"/>
        </w:rPr>
        <w:t xml:space="preserve">erformance on this target could not be reported on for the 2016/17 financial year due to unavailability of data and the target was not achieved for the 2017/18. </w:t>
      </w:r>
      <w:r w:rsidR="00BE787B" w:rsidRPr="0085651A">
        <w:rPr>
          <w:rFonts w:ascii="Times New Roman" w:hAnsi="Times New Roman" w:cs="Times New Roman"/>
          <w:sz w:val="24"/>
          <w:szCs w:val="24"/>
        </w:rPr>
        <w:t xml:space="preserve">The NDP has set a target to have 1 million enrolments in the CET sector by 2030. </w:t>
      </w:r>
      <w:r w:rsidR="00933F7C" w:rsidRPr="0085651A">
        <w:rPr>
          <w:rFonts w:ascii="Times New Roman" w:hAnsi="Times New Roman" w:cs="Times New Roman"/>
          <w:sz w:val="24"/>
          <w:szCs w:val="24"/>
        </w:rPr>
        <w:t xml:space="preserve">Certification rate targets of 45 </w:t>
      </w:r>
      <w:r w:rsidR="00933F7C" w:rsidRPr="0085651A">
        <w:rPr>
          <w:rFonts w:ascii="Times New Roman" w:hAnsi="Times New Roman" w:cs="Times New Roman"/>
          <w:sz w:val="24"/>
          <w:szCs w:val="24"/>
        </w:rPr>
        <w:lastRenderedPageBreak/>
        <w:t>percent in CET formal qualifications ha</w:t>
      </w:r>
      <w:r w:rsidR="009C3078" w:rsidRPr="0085651A">
        <w:rPr>
          <w:rFonts w:ascii="Times New Roman" w:hAnsi="Times New Roman" w:cs="Times New Roman"/>
          <w:sz w:val="24"/>
          <w:szCs w:val="24"/>
        </w:rPr>
        <w:t>ve</w:t>
      </w:r>
      <w:r w:rsidR="00933F7C" w:rsidRPr="0085651A">
        <w:rPr>
          <w:rFonts w:ascii="Times New Roman" w:hAnsi="Times New Roman" w:cs="Times New Roman"/>
          <w:sz w:val="24"/>
          <w:szCs w:val="24"/>
        </w:rPr>
        <w:t xml:space="preserve"> not been achieved. More student support mechanisms should be put in place to address the throughput rate. </w:t>
      </w:r>
    </w:p>
    <w:p w14:paraId="045DBFF0" w14:textId="77777777" w:rsidR="00B457DE" w:rsidRPr="0085651A" w:rsidRDefault="00B457DE" w:rsidP="00753202">
      <w:pPr>
        <w:pStyle w:val="Default"/>
        <w:spacing w:line="360" w:lineRule="auto"/>
        <w:jc w:val="both"/>
        <w:rPr>
          <w:rFonts w:ascii="Times New Roman" w:hAnsi="Times New Roman" w:cs="Times New Roman"/>
          <w:b/>
        </w:rPr>
      </w:pPr>
    </w:p>
    <w:p w14:paraId="1B991442" w14:textId="77777777" w:rsidR="00E3053D" w:rsidRPr="0085651A" w:rsidRDefault="003E59FA" w:rsidP="00753202">
      <w:pPr>
        <w:pStyle w:val="Default"/>
        <w:spacing w:line="360" w:lineRule="auto"/>
        <w:jc w:val="both"/>
        <w:rPr>
          <w:rFonts w:ascii="Times New Roman" w:hAnsi="Times New Roman" w:cs="Times New Roman"/>
          <w:b/>
        </w:rPr>
      </w:pPr>
      <w:r w:rsidRPr="0085651A">
        <w:rPr>
          <w:rFonts w:ascii="Times New Roman" w:hAnsi="Times New Roman" w:cs="Times New Roman"/>
          <w:b/>
        </w:rPr>
        <w:t>5</w:t>
      </w:r>
      <w:r w:rsidR="00C31E52" w:rsidRPr="0085651A">
        <w:rPr>
          <w:rFonts w:ascii="Times New Roman" w:hAnsi="Times New Roman" w:cs="Times New Roman"/>
          <w:b/>
        </w:rPr>
        <w:t>. COMMITTEE</w:t>
      </w:r>
      <w:r w:rsidR="00E3053D" w:rsidRPr="0085651A">
        <w:rPr>
          <w:rFonts w:ascii="Times New Roman" w:hAnsi="Times New Roman" w:cs="Times New Roman"/>
          <w:b/>
        </w:rPr>
        <w:t xml:space="preserve"> OBSERVATIONS</w:t>
      </w:r>
    </w:p>
    <w:p w14:paraId="5AAAF90C" w14:textId="77777777" w:rsidR="00837127" w:rsidRPr="0085651A" w:rsidRDefault="00837127" w:rsidP="00753202">
      <w:pPr>
        <w:pStyle w:val="Default"/>
        <w:spacing w:line="360" w:lineRule="auto"/>
        <w:jc w:val="both"/>
        <w:rPr>
          <w:rFonts w:ascii="Times New Roman" w:hAnsi="Times New Roman" w:cs="Times New Roman"/>
          <w:color w:val="auto"/>
        </w:rPr>
      </w:pPr>
      <w:r w:rsidRPr="0085651A">
        <w:rPr>
          <w:rFonts w:ascii="Times New Roman" w:hAnsi="Times New Roman" w:cs="Times New Roman"/>
          <w:color w:val="auto"/>
        </w:rPr>
        <w:t xml:space="preserve">The following </w:t>
      </w:r>
      <w:r w:rsidR="008051DA" w:rsidRPr="0085651A">
        <w:rPr>
          <w:rFonts w:ascii="Times New Roman" w:hAnsi="Times New Roman" w:cs="Times New Roman"/>
          <w:color w:val="auto"/>
        </w:rPr>
        <w:t xml:space="preserve">formed part of the Committee </w:t>
      </w:r>
      <w:r w:rsidRPr="0085651A">
        <w:rPr>
          <w:rFonts w:ascii="Times New Roman" w:hAnsi="Times New Roman" w:cs="Times New Roman"/>
          <w:color w:val="auto"/>
        </w:rPr>
        <w:t>observations</w:t>
      </w:r>
      <w:r w:rsidR="008051DA" w:rsidRPr="0085651A">
        <w:rPr>
          <w:rFonts w:ascii="Times New Roman" w:hAnsi="Times New Roman" w:cs="Times New Roman"/>
          <w:color w:val="auto"/>
        </w:rPr>
        <w:t>:</w:t>
      </w:r>
    </w:p>
    <w:p w14:paraId="6C212FBA" w14:textId="77777777" w:rsidR="00C01B30" w:rsidRPr="0085651A" w:rsidRDefault="003E59FA" w:rsidP="00753202">
      <w:pPr>
        <w:pStyle w:val="Default"/>
        <w:spacing w:line="360" w:lineRule="auto"/>
        <w:jc w:val="both"/>
        <w:rPr>
          <w:rFonts w:ascii="Times New Roman" w:hAnsi="Times New Roman" w:cs="Times New Roman"/>
          <w:b/>
          <w:color w:val="auto"/>
        </w:rPr>
      </w:pPr>
      <w:r w:rsidRPr="0085651A">
        <w:rPr>
          <w:rFonts w:ascii="Times New Roman" w:hAnsi="Times New Roman" w:cs="Times New Roman"/>
          <w:b/>
          <w:color w:val="auto"/>
        </w:rPr>
        <w:t>5</w:t>
      </w:r>
      <w:r w:rsidR="00964069" w:rsidRPr="0085651A">
        <w:rPr>
          <w:rFonts w:ascii="Times New Roman" w:hAnsi="Times New Roman" w:cs="Times New Roman"/>
          <w:b/>
          <w:color w:val="auto"/>
        </w:rPr>
        <w:t xml:space="preserve">.1. </w:t>
      </w:r>
      <w:r w:rsidR="009E566F" w:rsidRPr="0085651A">
        <w:rPr>
          <w:rFonts w:ascii="Times New Roman" w:hAnsi="Times New Roman" w:cs="Times New Roman"/>
          <w:b/>
          <w:color w:val="auto"/>
        </w:rPr>
        <w:t>Programme 1: Administration</w:t>
      </w:r>
    </w:p>
    <w:p w14:paraId="5030E1C3" w14:textId="77777777" w:rsidR="000C239E" w:rsidRPr="0085651A" w:rsidRDefault="0023328B" w:rsidP="001B77A0">
      <w:pPr>
        <w:pStyle w:val="Default"/>
        <w:numPr>
          <w:ilvl w:val="0"/>
          <w:numId w:val="4"/>
        </w:numPr>
        <w:spacing w:line="360" w:lineRule="auto"/>
        <w:jc w:val="both"/>
        <w:rPr>
          <w:rFonts w:ascii="Times New Roman" w:hAnsi="Times New Roman" w:cs="Times New Roman"/>
          <w:color w:val="auto"/>
        </w:rPr>
      </w:pPr>
      <w:r w:rsidRPr="0085651A">
        <w:rPr>
          <w:rFonts w:ascii="Times New Roman" w:hAnsi="Times New Roman" w:cs="Times New Roman"/>
          <w:color w:val="auto"/>
        </w:rPr>
        <w:t xml:space="preserve">The budget allocated for the Administration programme </w:t>
      </w:r>
      <w:r w:rsidR="00B457DE" w:rsidRPr="0085651A">
        <w:rPr>
          <w:rFonts w:ascii="Times New Roman" w:hAnsi="Times New Roman" w:cs="Times New Roman"/>
          <w:color w:val="auto"/>
        </w:rPr>
        <w:t xml:space="preserve">amounts to </w:t>
      </w:r>
      <w:r w:rsidRPr="0085651A">
        <w:rPr>
          <w:rFonts w:ascii="Times New Roman" w:hAnsi="Times New Roman" w:cs="Times New Roman"/>
          <w:color w:val="auto"/>
        </w:rPr>
        <w:t>R432.2 million, which increased by 8.0 percent in nominal terms. The budget increase is 2.34 percent</w:t>
      </w:r>
      <w:r w:rsidR="007C1429" w:rsidRPr="0085651A">
        <w:rPr>
          <w:rFonts w:ascii="Times New Roman" w:hAnsi="Times New Roman" w:cs="Times New Roman"/>
          <w:color w:val="auto"/>
        </w:rPr>
        <w:t xml:space="preserve"> in real terms,</w:t>
      </w:r>
      <w:r w:rsidRPr="0085651A">
        <w:rPr>
          <w:rFonts w:ascii="Times New Roman" w:hAnsi="Times New Roman" w:cs="Times New Roman"/>
          <w:color w:val="auto"/>
        </w:rPr>
        <w:t xml:space="preserve"> when value has been adjusted to take inflation into account. All the six budget sub</w:t>
      </w:r>
      <w:r w:rsidR="008D2882" w:rsidRPr="0085651A">
        <w:rPr>
          <w:rFonts w:ascii="Times New Roman" w:hAnsi="Times New Roman" w:cs="Times New Roman"/>
          <w:color w:val="auto"/>
        </w:rPr>
        <w:t>-</w:t>
      </w:r>
      <w:r w:rsidRPr="0085651A">
        <w:rPr>
          <w:rFonts w:ascii="Times New Roman" w:hAnsi="Times New Roman" w:cs="Times New Roman"/>
          <w:color w:val="auto"/>
        </w:rPr>
        <w:t xml:space="preserve">programmes have received </w:t>
      </w:r>
      <w:r w:rsidR="00D2731E" w:rsidRPr="0085651A">
        <w:rPr>
          <w:rFonts w:ascii="Times New Roman" w:hAnsi="Times New Roman" w:cs="Times New Roman"/>
          <w:color w:val="auto"/>
        </w:rPr>
        <w:t xml:space="preserve">budget </w:t>
      </w:r>
      <w:r w:rsidRPr="0085651A">
        <w:rPr>
          <w:rFonts w:ascii="Times New Roman" w:hAnsi="Times New Roman" w:cs="Times New Roman"/>
          <w:color w:val="auto"/>
        </w:rPr>
        <w:t>increases for the 2018/19 financial year</w:t>
      </w:r>
      <w:r w:rsidR="00D2731E" w:rsidRPr="0085651A">
        <w:rPr>
          <w:rFonts w:ascii="Times New Roman" w:hAnsi="Times New Roman" w:cs="Times New Roman"/>
          <w:color w:val="auto"/>
        </w:rPr>
        <w:t>, ho</w:t>
      </w:r>
      <w:r w:rsidRPr="0085651A">
        <w:rPr>
          <w:rFonts w:ascii="Times New Roman" w:hAnsi="Times New Roman" w:cs="Times New Roman"/>
          <w:color w:val="auto"/>
        </w:rPr>
        <w:t xml:space="preserve">wever, </w:t>
      </w:r>
      <w:r w:rsidR="00D2731E" w:rsidRPr="0085651A">
        <w:rPr>
          <w:rFonts w:ascii="Times New Roman" w:hAnsi="Times New Roman" w:cs="Times New Roman"/>
          <w:color w:val="auto"/>
        </w:rPr>
        <w:t xml:space="preserve">the percentage increases are below 4 percent in real terms. </w:t>
      </w:r>
      <w:r w:rsidR="00D65A55" w:rsidRPr="0085651A">
        <w:rPr>
          <w:rFonts w:ascii="Times New Roman" w:hAnsi="Times New Roman" w:cs="Times New Roman"/>
          <w:color w:val="auto"/>
        </w:rPr>
        <w:t xml:space="preserve">The </w:t>
      </w:r>
      <w:r w:rsidR="00D2731E" w:rsidRPr="0085651A">
        <w:rPr>
          <w:rFonts w:ascii="Times New Roman" w:hAnsi="Times New Roman" w:cs="Times New Roman"/>
          <w:color w:val="auto"/>
        </w:rPr>
        <w:t xml:space="preserve">Corporate Services sub-programme’s budget, though increased </w:t>
      </w:r>
      <w:r w:rsidR="00AE371D" w:rsidRPr="0085651A">
        <w:rPr>
          <w:rFonts w:ascii="Times New Roman" w:hAnsi="Times New Roman" w:cs="Times New Roman"/>
          <w:color w:val="auto"/>
        </w:rPr>
        <w:t xml:space="preserve">nominally </w:t>
      </w:r>
      <w:r w:rsidR="00D2731E" w:rsidRPr="0085651A">
        <w:rPr>
          <w:rFonts w:ascii="Times New Roman" w:hAnsi="Times New Roman" w:cs="Times New Roman"/>
          <w:color w:val="auto"/>
        </w:rPr>
        <w:t>by R6.3 million from R162.4 million allocated in 2017/18</w:t>
      </w:r>
      <w:r w:rsidR="000F2258" w:rsidRPr="0085651A">
        <w:rPr>
          <w:rFonts w:ascii="Times New Roman" w:hAnsi="Times New Roman" w:cs="Times New Roman"/>
          <w:color w:val="auto"/>
        </w:rPr>
        <w:t>, has</w:t>
      </w:r>
      <w:r w:rsidR="00D2731E" w:rsidRPr="0085651A">
        <w:rPr>
          <w:rFonts w:ascii="Times New Roman" w:hAnsi="Times New Roman" w:cs="Times New Roman"/>
          <w:color w:val="auto"/>
        </w:rPr>
        <w:t xml:space="preserve"> decreased by </w:t>
      </w:r>
      <w:r w:rsidR="00AE371D" w:rsidRPr="0085651A">
        <w:rPr>
          <w:rFonts w:ascii="Times New Roman" w:hAnsi="Times New Roman" w:cs="Times New Roman"/>
          <w:color w:val="auto"/>
        </w:rPr>
        <w:t>R</w:t>
      </w:r>
      <w:r w:rsidR="00D2731E" w:rsidRPr="0085651A">
        <w:rPr>
          <w:rFonts w:ascii="Times New Roman" w:hAnsi="Times New Roman" w:cs="Times New Roman"/>
          <w:color w:val="auto"/>
        </w:rPr>
        <w:t xml:space="preserve">2.5 </w:t>
      </w:r>
      <w:r w:rsidR="00AE371D" w:rsidRPr="0085651A">
        <w:rPr>
          <w:rFonts w:ascii="Times New Roman" w:hAnsi="Times New Roman" w:cs="Times New Roman"/>
          <w:color w:val="auto"/>
        </w:rPr>
        <w:t>million</w:t>
      </w:r>
      <w:r w:rsidR="00D2731E" w:rsidRPr="0085651A">
        <w:rPr>
          <w:rFonts w:ascii="Times New Roman" w:hAnsi="Times New Roman" w:cs="Times New Roman"/>
          <w:color w:val="auto"/>
        </w:rPr>
        <w:t xml:space="preserve"> in real terms when considering inflation. </w:t>
      </w:r>
      <w:r w:rsidR="00C5638E" w:rsidRPr="0085651A">
        <w:rPr>
          <w:rFonts w:ascii="Times New Roman" w:hAnsi="Times New Roman" w:cs="Times New Roman"/>
          <w:color w:val="auto"/>
        </w:rPr>
        <w:t xml:space="preserve">This sub-programme provides corporate services management support to the Department and Colleges in support of the attainment of its strategic objectives. </w:t>
      </w:r>
      <w:r w:rsidR="00D2731E" w:rsidRPr="0085651A">
        <w:rPr>
          <w:rFonts w:ascii="Times New Roman" w:hAnsi="Times New Roman" w:cs="Times New Roman"/>
          <w:color w:val="auto"/>
        </w:rPr>
        <w:t>Of significan</w:t>
      </w:r>
      <w:r w:rsidR="008D2882" w:rsidRPr="0085651A">
        <w:rPr>
          <w:rFonts w:ascii="Times New Roman" w:hAnsi="Times New Roman" w:cs="Times New Roman"/>
          <w:color w:val="auto"/>
        </w:rPr>
        <w:t>ce</w:t>
      </w:r>
      <w:r w:rsidR="00D2731E" w:rsidRPr="0085651A">
        <w:rPr>
          <w:rFonts w:ascii="Times New Roman" w:hAnsi="Times New Roman" w:cs="Times New Roman"/>
          <w:color w:val="auto"/>
        </w:rPr>
        <w:t xml:space="preserve"> to note is that Cabinet approved budget reductions of R28.2 million in this programme over the medium term. The reduction would be accommodated by cost containment measures on various goods and services items, such as minor assets, outsourced services, travel and subsistence, computer services, and operating payments. </w:t>
      </w:r>
    </w:p>
    <w:p w14:paraId="7E51E4F4" w14:textId="77777777" w:rsidR="00DF595C" w:rsidRPr="0085651A" w:rsidRDefault="00DF595C" w:rsidP="001B77A0">
      <w:pPr>
        <w:pStyle w:val="Default"/>
        <w:numPr>
          <w:ilvl w:val="0"/>
          <w:numId w:val="4"/>
        </w:numPr>
        <w:spacing w:line="360" w:lineRule="auto"/>
        <w:jc w:val="both"/>
        <w:rPr>
          <w:rFonts w:ascii="Times New Roman" w:hAnsi="Times New Roman" w:cs="Times New Roman"/>
          <w:color w:val="auto"/>
        </w:rPr>
      </w:pPr>
      <w:r w:rsidRPr="0085651A">
        <w:rPr>
          <w:rFonts w:ascii="Times New Roman" w:hAnsi="Times New Roman" w:cs="Times New Roman"/>
          <w:color w:val="auto"/>
        </w:rPr>
        <w:t>The programme is responsible for providing strategic leadership, management and support services to the Department. The approved budget reductions of R28.2 million is of concern</w:t>
      </w:r>
      <w:r w:rsidR="005926A3" w:rsidRPr="0085651A">
        <w:rPr>
          <w:rFonts w:ascii="Times New Roman" w:hAnsi="Times New Roman" w:cs="Times New Roman"/>
          <w:color w:val="auto"/>
        </w:rPr>
        <w:t xml:space="preserve">, given that since its establishment in 2009, the administrative capacity of the Department has been </w:t>
      </w:r>
      <w:r w:rsidR="00402437" w:rsidRPr="0085651A">
        <w:rPr>
          <w:rFonts w:ascii="Times New Roman" w:hAnsi="Times New Roman" w:cs="Times New Roman"/>
          <w:color w:val="auto"/>
        </w:rPr>
        <w:t xml:space="preserve">a </w:t>
      </w:r>
      <w:r w:rsidR="00CE0878" w:rsidRPr="0085651A">
        <w:rPr>
          <w:rFonts w:ascii="Times New Roman" w:hAnsi="Times New Roman" w:cs="Times New Roman"/>
          <w:color w:val="auto"/>
        </w:rPr>
        <w:t>constraint</w:t>
      </w:r>
      <w:r w:rsidR="005926A3" w:rsidRPr="0085651A">
        <w:rPr>
          <w:rFonts w:ascii="Times New Roman" w:hAnsi="Times New Roman" w:cs="Times New Roman"/>
          <w:color w:val="auto"/>
        </w:rPr>
        <w:t xml:space="preserve">. </w:t>
      </w:r>
      <w:r w:rsidR="00CE0878" w:rsidRPr="0085651A">
        <w:rPr>
          <w:rFonts w:ascii="Times New Roman" w:hAnsi="Times New Roman" w:cs="Times New Roman"/>
          <w:color w:val="auto"/>
        </w:rPr>
        <w:t xml:space="preserve">There has been </w:t>
      </w:r>
      <w:r w:rsidR="009C5165" w:rsidRPr="0085651A">
        <w:rPr>
          <w:rFonts w:ascii="Times New Roman" w:hAnsi="Times New Roman" w:cs="Times New Roman"/>
          <w:color w:val="auto"/>
        </w:rPr>
        <w:t xml:space="preserve">a </w:t>
      </w:r>
      <w:r w:rsidR="00CE0878" w:rsidRPr="0085651A">
        <w:rPr>
          <w:rFonts w:ascii="Times New Roman" w:hAnsi="Times New Roman" w:cs="Times New Roman"/>
          <w:color w:val="auto"/>
        </w:rPr>
        <w:t xml:space="preserve">consistent underperformance in </w:t>
      </w:r>
      <w:r w:rsidR="005926A3" w:rsidRPr="0085651A">
        <w:rPr>
          <w:rFonts w:ascii="Times New Roman" w:hAnsi="Times New Roman" w:cs="Times New Roman"/>
          <w:color w:val="auto"/>
        </w:rPr>
        <w:t>meet</w:t>
      </w:r>
      <w:r w:rsidR="00CE0878" w:rsidRPr="0085651A">
        <w:rPr>
          <w:rFonts w:ascii="Times New Roman" w:hAnsi="Times New Roman" w:cs="Times New Roman"/>
          <w:color w:val="auto"/>
        </w:rPr>
        <w:t>ing</w:t>
      </w:r>
      <w:r w:rsidR="005926A3" w:rsidRPr="0085651A">
        <w:rPr>
          <w:rFonts w:ascii="Times New Roman" w:hAnsi="Times New Roman" w:cs="Times New Roman"/>
          <w:color w:val="auto"/>
        </w:rPr>
        <w:t xml:space="preserve"> the targets to fill</w:t>
      </w:r>
      <w:r w:rsidR="00CE0878" w:rsidRPr="0085651A">
        <w:rPr>
          <w:rFonts w:ascii="Times New Roman" w:hAnsi="Times New Roman" w:cs="Times New Roman"/>
          <w:color w:val="auto"/>
        </w:rPr>
        <w:t xml:space="preserve"> advertised posts within 180 days and to resolve the disciplinary cases within 90 days. </w:t>
      </w:r>
      <w:r w:rsidR="00D53AC2" w:rsidRPr="0085651A">
        <w:rPr>
          <w:rFonts w:ascii="Times New Roman" w:hAnsi="Times New Roman" w:cs="Times New Roman"/>
          <w:color w:val="auto"/>
        </w:rPr>
        <w:t>The underperformance was due to lack of capacity in the Recruitment and Selection Unit</w:t>
      </w:r>
      <w:r w:rsidR="00D53AC2" w:rsidRPr="0085651A">
        <w:rPr>
          <w:rFonts w:ascii="Times New Roman" w:hAnsi="Times New Roman" w:cs="Times New Roman"/>
          <w:color w:val="C00000"/>
        </w:rPr>
        <w:t xml:space="preserve">. </w:t>
      </w:r>
      <w:r w:rsidR="00D53AC2" w:rsidRPr="0085651A">
        <w:rPr>
          <w:rFonts w:ascii="Times New Roman" w:hAnsi="Times New Roman" w:cs="Times New Roman"/>
        </w:rPr>
        <w:t>There have been delays in the implementation of the e-recruitment system to reduce turn</w:t>
      </w:r>
      <w:r w:rsidR="00D65A55" w:rsidRPr="0085651A">
        <w:rPr>
          <w:rFonts w:ascii="Times New Roman" w:hAnsi="Times New Roman" w:cs="Times New Roman"/>
        </w:rPr>
        <w:t>-</w:t>
      </w:r>
      <w:r w:rsidR="00D53AC2" w:rsidRPr="0085651A">
        <w:rPr>
          <w:rFonts w:ascii="Times New Roman" w:hAnsi="Times New Roman" w:cs="Times New Roman"/>
        </w:rPr>
        <w:t xml:space="preserve">around time in the filling of vacancies by the Department and automating other processes that may bring efficiencies within the Department. </w:t>
      </w:r>
    </w:p>
    <w:p w14:paraId="26C97328" w14:textId="77777777" w:rsidR="00AB719C" w:rsidRPr="0085651A" w:rsidRDefault="00AB719C" w:rsidP="001B77A0">
      <w:pPr>
        <w:pStyle w:val="ListParagraph"/>
        <w:numPr>
          <w:ilvl w:val="0"/>
          <w:numId w:val="4"/>
        </w:numPr>
        <w:rPr>
          <w:rFonts w:ascii="Times New Roman" w:hAnsi="Times New Roman" w:cs="Times New Roman"/>
          <w:sz w:val="24"/>
          <w:szCs w:val="24"/>
        </w:rPr>
      </w:pPr>
      <w:r w:rsidRPr="0085651A">
        <w:rPr>
          <w:rFonts w:ascii="Times New Roman" w:hAnsi="Times New Roman" w:cs="Times New Roman"/>
          <w:sz w:val="24"/>
          <w:szCs w:val="24"/>
        </w:rPr>
        <w:t xml:space="preserve">The Department is still experiencing capacity challenges as a direct consequence of staff migration from the provinces and the delays in the approval of the </w:t>
      </w:r>
      <w:r w:rsidR="00D65A55" w:rsidRPr="0085651A">
        <w:rPr>
          <w:rFonts w:ascii="Times New Roman" w:hAnsi="Times New Roman" w:cs="Times New Roman"/>
          <w:sz w:val="24"/>
          <w:szCs w:val="24"/>
        </w:rPr>
        <w:t>o</w:t>
      </w:r>
      <w:r w:rsidRPr="0085651A">
        <w:rPr>
          <w:rFonts w:ascii="Times New Roman" w:hAnsi="Times New Roman" w:cs="Times New Roman"/>
          <w:sz w:val="24"/>
          <w:szCs w:val="24"/>
        </w:rPr>
        <w:t xml:space="preserve">rganogram. The key administrative functions of the Department are still centralized at the head </w:t>
      </w:r>
      <w:r w:rsidRPr="0085651A">
        <w:rPr>
          <w:rFonts w:ascii="Times New Roman" w:hAnsi="Times New Roman" w:cs="Times New Roman"/>
          <w:sz w:val="24"/>
          <w:szCs w:val="24"/>
        </w:rPr>
        <w:lastRenderedPageBreak/>
        <w:t>office due to insufficient capacity at regional offices. As a result, the Department does not have adequate capacity at the head office to attend to all human resources related queries, particularly from TVET and CET colleges.</w:t>
      </w:r>
    </w:p>
    <w:p w14:paraId="19538B98" w14:textId="77777777" w:rsidR="00A3092A" w:rsidRPr="0085651A" w:rsidRDefault="00AB719C" w:rsidP="001B77A0">
      <w:pPr>
        <w:pStyle w:val="ListParagraph"/>
        <w:numPr>
          <w:ilvl w:val="0"/>
          <w:numId w:val="4"/>
        </w:numPr>
        <w:rPr>
          <w:rFonts w:ascii="Times New Roman" w:hAnsi="Times New Roman" w:cs="Times New Roman"/>
          <w:sz w:val="24"/>
          <w:szCs w:val="24"/>
        </w:rPr>
      </w:pPr>
      <w:r w:rsidRPr="0085651A">
        <w:rPr>
          <w:rFonts w:ascii="Times New Roman" w:hAnsi="Times New Roman" w:cs="Times New Roman"/>
          <w:sz w:val="24"/>
          <w:szCs w:val="24"/>
        </w:rPr>
        <w:t>The position of the Deputy Director-General (DDG) for the CET Branch was still filled on an acting basis, while the DDG position for the Policy and Strategy was filled on contractual basis and the delays in finalising the appointment processes were noted with serious concern.</w:t>
      </w:r>
    </w:p>
    <w:p w14:paraId="351EF354" w14:textId="77777777" w:rsidR="009E566F" w:rsidRPr="0085651A" w:rsidRDefault="003E59FA" w:rsidP="00753202">
      <w:pPr>
        <w:pStyle w:val="Default"/>
        <w:spacing w:line="360" w:lineRule="auto"/>
        <w:jc w:val="both"/>
        <w:rPr>
          <w:rFonts w:ascii="Times New Roman" w:hAnsi="Times New Roman" w:cs="Times New Roman"/>
          <w:b/>
        </w:rPr>
      </w:pPr>
      <w:r w:rsidRPr="0085651A">
        <w:rPr>
          <w:rFonts w:ascii="Times New Roman" w:hAnsi="Times New Roman" w:cs="Times New Roman"/>
          <w:b/>
        </w:rPr>
        <w:t>5</w:t>
      </w:r>
      <w:r w:rsidR="00A3092A" w:rsidRPr="0085651A">
        <w:rPr>
          <w:rFonts w:ascii="Times New Roman" w:hAnsi="Times New Roman" w:cs="Times New Roman"/>
          <w:b/>
        </w:rPr>
        <w:t xml:space="preserve">.2. </w:t>
      </w:r>
      <w:r w:rsidR="006F3B44" w:rsidRPr="0085651A">
        <w:rPr>
          <w:rFonts w:ascii="Times New Roman" w:hAnsi="Times New Roman" w:cs="Times New Roman"/>
          <w:b/>
        </w:rPr>
        <w:t>Programme 2: Planning, Policy &amp; Strategy</w:t>
      </w:r>
    </w:p>
    <w:p w14:paraId="7F699E53" w14:textId="77777777" w:rsidR="00515BF3" w:rsidRPr="0085651A" w:rsidRDefault="0087425F" w:rsidP="001B77A0">
      <w:pPr>
        <w:pStyle w:val="Default"/>
        <w:numPr>
          <w:ilvl w:val="0"/>
          <w:numId w:val="5"/>
        </w:numPr>
        <w:spacing w:line="360" w:lineRule="auto"/>
        <w:jc w:val="both"/>
        <w:rPr>
          <w:rFonts w:ascii="Times New Roman" w:hAnsi="Times New Roman" w:cs="Times New Roman"/>
          <w:color w:val="auto"/>
        </w:rPr>
      </w:pPr>
      <w:r w:rsidRPr="0085651A">
        <w:rPr>
          <w:rFonts w:ascii="Times New Roman" w:hAnsi="Times New Roman" w:cs="Times New Roman"/>
          <w:color w:val="auto"/>
        </w:rPr>
        <w:t>The progr</w:t>
      </w:r>
      <w:r w:rsidR="00B457DE" w:rsidRPr="0085651A">
        <w:rPr>
          <w:rFonts w:ascii="Times New Roman" w:hAnsi="Times New Roman" w:cs="Times New Roman"/>
          <w:color w:val="auto"/>
        </w:rPr>
        <w:t>amme’s budget for the 2018/19 amounts to</w:t>
      </w:r>
      <w:r w:rsidRPr="0085651A">
        <w:rPr>
          <w:rFonts w:ascii="Times New Roman" w:hAnsi="Times New Roman" w:cs="Times New Roman"/>
          <w:color w:val="auto"/>
        </w:rPr>
        <w:t xml:space="preserve"> R80.2 million, which increased 11.30 percent in real terms from R68.3 million in 2017/18. </w:t>
      </w:r>
      <w:r w:rsidR="00892EF2" w:rsidRPr="0085651A">
        <w:rPr>
          <w:rFonts w:ascii="Times New Roman" w:hAnsi="Times New Roman" w:cs="Times New Roman"/>
          <w:color w:val="auto"/>
        </w:rPr>
        <w:t xml:space="preserve">Five sub-programmes received budget increases of over 10 percent in real terms, while Social Inclusion in Education </w:t>
      </w:r>
      <w:r w:rsidR="000B1D5D" w:rsidRPr="0085651A">
        <w:rPr>
          <w:rFonts w:ascii="Times New Roman" w:hAnsi="Times New Roman" w:cs="Times New Roman"/>
          <w:color w:val="auto"/>
        </w:rPr>
        <w:t xml:space="preserve">sub-programmes received </w:t>
      </w:r>
      <w:r w:rsidR="00515BF3" w:rsidRPr="0085651A">
        <w:rPr>
          <w:rFonts w:ascii="Times New Roman" w:hAnsi="Times New Roman" w:cs="Times New Roman"/>
          <w:color w:val="auto"/>
        </w:rPr>
        <w:t xml:space="preserve">an increase of 3.23 percent in nominal terms, which is a 2.16 percent decrease in real terms when factoring in inflation. Of great concern is that this sub-programme is responsible for promoting access to higher education and participation by all learners in training programmes; managing the development and maintenance of policy, programmes and systems for learners with special needs, and monitors the implementation of those policies. The marginal budget increase will impact negatively on achievement of transformation in the PSET sector. </w:t>
      </w:r>
    </w:p>
    <w:p w14:paraId="11EBDAEE" w14:textId="77777777" w:rsidR="00BF6A75" w:rsidRPr="0085651A" w:rsidRDefault="00BF6A75" w:rsidP="001B77A0">
      <w:pPr>
        <w:pStyle w:val="Default"/>
        <w:numPr>
          <w:ilvl w:val="0"/>
          <w:numId w:val="5"/>
        </w:numPr>
        <w:spacing w:line="360" w:lineRule="auto"/>
        <w:jc w:val="both"/>
        <w:rPr>
          <w:rFonts w:ascii="Times New Roman" w:hAnsi="Times New Roman" w:cs="Times New Roman"/>
          <w:color w:val="auto"/>
        </w:rPr>
      </w:pPr>
      <w:r w:rsidRPr="0085651A">
        <w:rPr>
          <w:rFonts w:ascii="Times New Roman" w:hAnsi="Times New Roman" w:cs="Times New Roman"/>
          <w:color w:val="auto"/>
        </w:rPr>
        <w:t>The programme is responsible for the creation of a credible institutional mechanism for labour market skills planning and the lack of management information systems (MIS) for the TVET and CET sectors impacted on the performance reporting of the sectors outputs</w:t>
      </w:r>
      <w:r w:rsidR="00D0661C" w:rsidRPr="0085651A">
        <w:rPr>
          <w:rFonts w:ascii="Times New Roman" w:hAnsi="Times New Roman" w:cs="Times New Roman"/>
          <w:color w:val="auto"/>
        </w:rPr>
        <w:t>.</w:t>
      </w:r>
      <w:r w:rsidRPr="0085651A">
        <w:rPr>
          <w:rFonts w:ascii="Times New Roman" w:hAnsi="Times New Roman" w:cs="Times New Roman"/>
          <w:color w:val="auto"/>
        </w:rPr>
        <w:t xml:space="preserve"> </w:t>
      </w:r>
    </w:p>
    <w:p w14:paraId="203A8AD8" w14:textId="77777777" w:rsidR="007E1755" w:rsidRPr="0085651A" w:rsidRDefault="00BF6A75" w:rsidP="001B77A0">
      <w:pPr>
        <w:pStyle w:val="Default"/>
        <w:numPr>
          <w:ilvl w:val="0"/>
          <w:numId w:val="5"/>
        </w:numPr>
        <w:spacing w:line="360" w:lineRule="auto"/>
        <w:jc w:val="both"/>
        <w:rPr>
          <w:rFonts w:ascii="Times New Roman" w:hAnsi="Times New Roman" w:cs="Times New Roman"/>
          <w:color w:val="auto"/>
        </w:rPr>
      </w:pPr>
      <w:r w:rsidRPr="0085651A">
        <w:rPr>
          <w:rFonts w:ascii="Times New Roman" w:hAnsi="Times New Roman" w:cs="Times New Roman"/>
          <w:color w:val="auto"/>
        </w:rPr>
        <w:t>For the 2017/18 financial year, the Department planned to review the National Qualifications Framework Act for tabling in Parliament by end March 2018. However, there have been delays in the finalisatio</w:t>
      </w:r>
      <w:r w:rsidR="00EB63EC" w:rsidRPr="0085651A">
        <w:rPr>
          <w:rFonts w:ascii="Times New Roman" w:hAnsi="Times New Roman" w:cs="Times New Roman"/>
          <w:color w:val="auto"/>
        </w:rPr>
        <w:t>n</w:t>
      </w:r>
      <w:r w:rsidRPr="0085651A">
        <w:rPr>
          <w:rFonts w:ascii="Times New Roman" w:hAnsi="Times New Roman" w:cs="Times New Roman"/>
          <w:color w:val="auto"/>
        </w:rPr>
        <w:t xml:space="preserve"> of the Bill. </w:t>
      </w:r>
    </w:p>
    <w:p w14:paraId="00ED44A8" w14:textId="77777777" w:rsidR="00700F04" w:rsidRPr="0085651A" w:rsidRDefault="00F429E8" w:rsidP="00700F04">
      <w:pPr>
        <w:rPr>
          <w:rFonts w:ascii="Times New Roman" w:hAnsi="Times New Roman" w:cs="Times New Roman"/>
          <w:b/>
          <w:sz w:val="24"/>
          <w:szCs w:val="24"/>
        </w:rPr>
      </w:pPr>
      <w:r w:rsidRPr="0085651A">
        <w:rPr>
          <w:rFonts w:ascii="Times New Roman" w:hAnsi="Times New Roman" w:cs="Times New Roman"/>
          <w:b/>
          <w:sz w:val="24"/>
          <w:szCs w:val="24"/>
        </w:rPr>
        <w:t>5</w:t>
      </w:r>
      <w:r w:rsidR="00A3092A" w:rsidRPr="0085651A">
        <w:rPr>
          <w:rFonts w:ascii="Times New Roman" w:hAnsi="Times New Roman" w:cs="Times New Roman"/>
          <w:b/>
          <w:sz w:val="24"/>
          <w:szCs w:val="24"/>
        </w:rPr>
        <w:t xml:space="preserve">.3. </w:t>
      </w:r>
      <w:r w:rsidR="00700F04" w:rsidRPr="0085651A">
        <w:rPr>
          <w:rFonts w:ascii="Times New Roman" w:hAnsi="Times New Roman" w:cs="Times New Roman"/>
          <w:b/>
          <w:sz w:val="24"/>
          <w:szCs w:val="24"/>
        </w:rPr>
        <w:t>Programme 3: University Education</w:t>
      </w:r>
    </w:p>
    <w:p w14:paraId="296F9FBF" w14:textId="77777777" w:rsidR="00700F04" w:rsidRPr="0085651A" w:rsidRDefault="0039784E" w:rsidP="001B77A0">
      <w:pPr>
        <w:pStyle w:val="ListParagraph"/>
        <w:numPr>
          <w:ilvl w:val="0"/>
          <w:numId w:val="7"/>
        </w:numPr>
        <w:rPr>
          <w:rFonts w:ascii="Times New Roman" w:hAnsi="Times New Roman" w:cs="Times New Roman"/>
          <w:b/>
          <w:sz w:val="24"/>
          <w:szCs w:val="24"/>
        </w:rPr>
      </w:pPr>
      <w:r w:rsidRPr="0085651A">
        <w:rPr>
          <w:rFonts w:ascii="Times New Roman" w:hAnsi="Times New Roman" w:cs="Times New Roman"/>
          <w:sz w:val="24"/>
          <w:szCs w:val="24"/>
        </w:rPr>
        <w:t>For the 2018/19</w:t>
      </w:r>
      <w:r w:rsidR="00D65A55" w:rsidRPr="0085651A">
        <w:rPr>
          <w:rFonts w:ascii="Times New Roman" w:hAnsi="Times New Roman" w:cs="Times New Roman"/>
          <w:sz w:val="24"/>
          <w:szCs w:val="24"/>
        </w:rPr>
        <w:t xml:space="preserve"> financial year</w:t>
      </w:r>
      <w:r w:rsidRPr="0085651A">
        <w:rPr>
          <w:rFonts w:ascii="Times New Roman" w:hAnsi="Times New Roman" w:cs="Times New Roman"/>
          <w:sz w:val="24"/>
          <w:szCs w:val="24"/>
        </w:rPr>
        <w:t>, U</w:t>
      </w:r>
      <w:r w:rsidR="00700F04" w:rsidRPr="0085651A">
        <w:rPr>
          <w:rFonts w:ascii="Times New Roman" w:hAnsi="Times New Roman" w:cs="Times New Roman"/>
          <w:sz w:val="24"/>
          <w:szCs w:val="24"/>
        </w:rPr>
        <w:t xml:space="preserve">niversity Education programme is allocated a budget </w:t>
      </w:r>
      <w:r w:rsidR="00F8763B" w:rsidRPr="0085651A">
        <w:rPr>
          <w:rFonts w:ascii="Times New Roman" w:hAnsi="Times New Roman" w:cs="Times New Roman"/>
          <w:sz w:val="24"/>
          <w:szCs w:val="24"/>
        </w:rPr>
        <w:t xml:space="preserve">of R59.147 billion for the year 2018/19 and this budget increased by R17.2 billion from R41.931 billion in 2017/18. </w:t>
      </w:r>
      <w:r w:rsidR="0089695D" w:rsidRPr="0085651A">
        <w:rPr>
          <w:rFonts w:ascii="Times New Roman" w:hAnsi="Times New Roman" w:cs="Times New Roman"/>
          <w:sz w:val="24"/>
          <w:szCs w:val="24"/>
        </w:rPr>
        <w:t xml:space="preserve">The bulk of this budget, 65.26 percent is spent on University </w:t>
      </w:r>
      <w:r w:rsidR="00D65A55" w:rsidRPr="0085651A">
        <w:rPr>
          <w:rFonts w:ascii="Times New Roman" w:hAnsi="Times New Roman" w:cs="Times New Roman"/>
          <w:sz w:val="24"/>
          <w:szCs w:val="24"/>
        </w:rPr>
        <w:t>s</w:t>
      </w:r>
      <w:r w:rsidR="0089695D" w:rsidRPr="0085651A">
        <w:rPr>
          <w:rFonts w:ascii="Times New Roman" w:hAnsi="Times New Roman" w:cs="Times New Roman"/>
          <w:sz w:val="24"/>
          <w:szCs w:val="24"/>
        </w:rPr>
        <w:t>ubsidies. Driving this significant increase is the additional funding towards realising government’s commitment to improve the baseline funding of institutions as per percentage of GDP</w:t>
      </w:r>
      <w:r w:rsidR="00970812" w:rsidRPr="0085651A">
        <w:rPr>
          <w:rFonts w:ascii="Times New Roman" w:hAnsi="Times New Roman" w:cs="Times New Roman"/>
          <w:sz w:val="24"/>
          <w:szCs w:val="24"/>
        </w:rPr>
        <w:t xml:space="preserve">, which will progressively increase from 0.68 </w:t>
      </w:r>
      <w:r w:rsidR="00970812" w:rsidRPr="0085651A">
        <w:rPr>
          <w:rFonts w:ascii="Times New Roman" w:hAnsi="Times New Roman" w:cs="Times New Roman"/>
          <w:sz w:val="24"/>
          <w:szCs w:val="24"/>
        </w:rPr>
        <w:lastRenderedPageBreak/>
        <w:t xml:space="preserve">percent to 1 percent over five-years. </w:t>
      </w:r>
      <w:r w:rsidR="003162DE" w:rsidRPr="0085651A">
        <w:rPr>
          <w:rFonts w:ascii="Times New Roman" w:hAnsi="Times New Roman" w:cs="Times New Roman"/>
          <w:sz w:val="24"/>
          <w:szCs w:val="24"/>
        </w:rPr>
        <w:t>This will ensure that university operating cost are adequately funded. Furthermore, t</w:t>
      </w:r>
      <w:r w:rsidR="0089695D" w:rsidRPr="0085651A">
        <w:rPr>
          <w:rFonts w:ascii="Times New Roman" w:hAnsi="Times New Roman" w:cs="Times New Roman"/>
          <w:sz w:val="24"/>
          <w:szCs w:val="24"/>
        </w:rPr>
        <w:t xml:space="preserve">he </w:t>
      </w:r>
      <w:r w:rsidR="003162DE" w:rsidRPr="0085651A">
        <w:rPr>
          <w:rFonts w:ascii="Times New Roman" w:hAnsi="Times New Roman" w:cs="Times New Roman"/>
          <w:sz w:val="24"/>
          <w:szCs w:val="24"/>
        </w:rPr>
        <w:t xml:space="preserve">additional funding </w:t>
      </w:r>
      <w:r w:rsidR="00970812" w:rsidRPr="0085651A">
        <w:rPr>
          <w:rFonts w:ascii="Times New Roman" w:hAnsi="Times New Roman" w:cs="Times New Roman"/>
          <w:sz w:val="24"/>
          <w:szCs w:val="24"/>
        </w:rPr>
        <w:t xml:space="preserve">will support the </w:t>
      </w:r>
      <w:r w:rsidR="0089695D" w:rsidRPr="0085651A">
        <w:rPr>
          <w:rFonts w:ascii="Times New Roman" w:hAnsi="Times New Roman" w:cs="Times New Roman"/>
          <w:sz w:val="24"/>
          <w:szCs w:val="24"/>
        </w:rPr>
        <w:t xml:space="preserve">2014-2019 MTSF </w:t>
      </w:r>
      <w:r w:rsidR="00970812" w:rsidRPr="0085651A">
        <w:rPr>
          <w:rFonts w:ascii="Times New Roman" w:hAnsi="Times New Roman" w:cs="Times New Roman"/>
          <w:sz w:val="24"/>
          <w:szCs w:val="24"/>
        </w:rPr>
        <w:t xml:space="preserve">priorities to </w:t>
      </w:r>
      <w:r w:rsidR="0089695D" w:rsidRPr="0085651A">
        <w:rPr>
          <w:rFonts w:ascii="Times New Roman" w:hAnsi="Times New Roman" w:cs="Times New Roman"/>
          <w:sz w:val="24"/>
          <w:szCs w:val="24"/>
        </w:rPr>
        <w:t xml:space="preserve">increase enrolments of students in higher education studies at universities to 1.7 million by 2019/20, and graduates in scarce and critical skills, such as engineering sciences, </w:t>
      </w:r>
      <w:r w:rsidR="00D65A55" w:rsidRPr="0085651A">
        <w:rPr>
          <w:rFonts w:ascii="Times New Roman" w:hAnsi="Times New Roman" w:cs="Times New Roman"/>
          <w:sz w:val="24"/>
          <w:szCs w:val="24"/>
        </w:rPr>
        <w:t>h</w:t>
      </w:r>
      <w:r w:rsidR="0089695D" w:rsidRPr="0085651A">
        <w:rPr>
          <w:rFonts w:ascii="Times New Roman" w:hAnsi="Times New Roman" w:cs="Times New Roman"/>
          <w:sz w:val="24"/>
          <w:szCs w:val="24"/>
        </w:rPr>
        <w:t xml:space="preserve">uman and </w:t>
      </w:r>
      <w:r w:rsidR="00D65A55" w:rsidRPr="0085651A">
        <w:rPr>
          <w:rFonts w:ascii="Times New Roman" w:hAnsi="Times New Roman" w:cs="Times New Roman"/>
          <w:sz w:val="24"/>
          <w:szCs w:val="24"/>
        </w:rPr>
        <w:t>a</w:t>
      </w:r>
      <w:r w:rsidR="0089695D" w:rsidRPr="0085651A">
        <w:rPr>
          <w:rFonts w:ascii="Times New Roman" w:hAnsi="Times New Roman" w:cs="Times New Roman"/>
          <w:sz w:val="24"/>
          <w:szCs w:val="24"/>
        </w:rPr>
        <w:t xml:space="preserve">nimal </w:t>
      </w:r>
      <w:r w:rsidR="00D65A55" w:rsidRPr="0085651A">
        <w:rPr>
          <w:rFonts w:ascii="Times New Roman" w:hAnsi="Times New Roman" w:cs="Times New Roman"/>
          <w:sz w:val="24"/>
          <w:szCs w:val="24"/>
        </w:rPr>
        <w:t>h</w:t>
      </w:r>
      <w:r w:rsidR="0089695D" w:rsidRPr="0085651A">
        <w:rPr>
          <w:rFonts w:ascii="Times New Roman" w:hAnsi="Times New Roman" w:cs="Times New Roman"/>
          <w:sz w:val="24"/>
          <w:szCs w:val="24"/>
        </w:rPr>
        <w:t xml:space="preserve">ealth, </w:t>
      </w:r>
      <w:r w:rsidR="00D65A55" w:rsidRPr="0085651A">
        <w:rPr>
          <w:rFonts w:ascii="Times New Roman" w:hAnsi="Times New Roman" w:cs="Times New Roman"/>
          <w:sz w:val="24"/>
          <w:szCs w:val="24"/>
        </w:rPr>
        <w:t>n</w:t>
      </w:r>
      <w:r w:rsidR="0089695D" w:rsidRPr="0085651A">
        <w:rPr>
          <w:rFonts w:ascii="Times New Roman" w:hAnsi="Times New Roman" w:cs="Times New Roman"/>
          <w:sz w:val="24"/>
          <w:szCs w:val="24"/>
        </w:rPr>
        <w:t xml:space="preserve">atural and physical sciences, </w:t>
      </w:r>
      <w:r w:rsidR="00D65A55" w:rsidRPr="0085651A">
        <w:rPr>
          <w:rFonts w:ascii="Times New Roman" w:hAnsi="Times New Roman" w:cs="Times New Roman"/>
          <w:sz w:val="24"/>
          <w:szCs w:val="24"/>
        </w:rPr>
        <w:t>i</w:t>
      </w:r>
      <w:r w:rsidR="0089695D" w:rsidRPr="0085651A">
        <w:rPr>
          <w:rFonts w:ascii="Times New Roman" w:hAnsi="Times New Roman" w:cs="Times New Roman"/>
          <w:sz w:val="24"/>
          <w:szCs w:val="24"/>
        </w:rPr>
        <w:t xml:space="preserve">nitial </w:t>
      </w:r>
      <w:r w:rsidR="00D65A55" w:rsidRPr="0085651A">
        <w:rPr>
          <w:rFonts w:ascii="Times New Roman" w:hAnsi="Times New Roman" w:cs="Times New Roman"/>
          <w:sz w:val="24"/>
          <w:szCs w:val="24"/>
        </w:rPr>
        <w:t>t</w:t>
      </w:r>
      <w:r w:rsidR="0089695D" w:rsidRPr="0085651A">
        <w:rPr>
          <w:rFonts w:ascii="Times New Roman" w:hAnsi="Times New Roman" w:cs="Times New Roman"/>
          <w:sz w:val="24"/>
          <w:szCs w:val="24"/>
        </w:rPr>
        <w:t xml:space="preserve">eacher </w:t>
      </w:r>
      <w:r w:rsidR="00A20658" w:rsidRPr="0085651A">
        <w:rPr>
          <w:rFonts w:ascii="Times New Roman" w:hAnsi="Times New Roman" w:cs="Times New Roman"/>
          <w:sz w:val="24"/>
          <w:szCs w:val="24"/>
        </w:rPr>
        <w:t>e</w:t>
      </w:r>
      <w:r w:rsidR="0089695D" w:rsidRPr="0085651A">
        <w:rPr>
          <w:rFonts w:ascii="Times New Roman" w:hAnsi="Times New Roman" w:cs="Times New Roman"/>
          <w:sz w:val="24"/>
          <w:szCs w:val="24"/>
        </w:rPr>
        <w:t xml:space="preserve">ducation, </w:t>
      </w:r>
      <w:r w:rsidR="00D65A55" w:rsidRPr="0085651A">
        <w:rPr>
          <w:rFonts w:ascii="Times New Roman" w:hAnsi="Times New Roman" w:cs="Times New Roman"/>
          <w:sz w:val="24"/>
          <w:szCs w:val="24"/>
        </w:rPr>
        <w:t>d</w:t>
      </w:r>
      <w:r w:rsidR="0089695D" w:rsidRPr="0085651A">
        <w:rPr>
          <w:rFonts w:ascii="Times New Roman" w:hAnsi="Times New Roman" w:cs="Times New Roman"/>
          <w:sz w:val="24"/>
          <w:szCs w:val="24"/>
        </w:rPr>
        <w:t xml:space="preserve">octoral and </w:t>
      </w:r>
      <w:r w:rsidR="00D65A55" w:rsidRPr="0085651A">
        <w:rPr>
          <w:rFonts w:ascii="Times New Roman" w:hAnsi="Times New Roman" w:cs="Times New Roman"/>
          <w:sz w:val="24"/>
          <w:szCs w:val="24"/>
        </w:rPr>
        <w:t>r</w:t>
      </w:r>
      <w:r w:rsidR="0089695D" w:rsidRPr="0085651A">
        <w:rPr>
          <w:rFonts w:ascii="Times New Roman" w:hAnsi="Times New Roman" w:cs="Times New Roman"/>
          <w:sz w:val="24"/>
          <w:szCs w:val="24"/>
        </w:rPr>
        <w:t xml:space="preserve">esearch </w:t>
      </w:r>
      <w:r w:rsidR="00D65A55" w:rsidRPr="0085651A">
        <w:rPr>
          <w:rFonts w:ascii="Times New Roman" w:hAnsi="Times New Roman" w:cs="Times New Roman"/>
          <w:sz w:val="24"/>
          <w:szCs w:val="24"/>
        </w:rPr>
        <w:t>m</w:t>
      </w:r>
      <w:r w:rsidR="0089695D" w:rsidRPr="0085651A">
        <w:rPr>
          <w:rFonts w:ascii="Times New Roman" w:hAnsi="Times New Roman" w:cs="Times New Roman"/>
          <w:sz w:val="24"/>
          <w:szCs w:val="24"/>
        </w:rPr>
        <w:t xml:space="preserve">asters, increasing success rate at higher education institutions. This is to increase mid to </w:t>
      </w:r>
      <w:r w:rsidR="000F2258" w:rsidRPr="0085651A">
        <w:rPr>
          <w:rFonts w:ascii="Times New Roman" w:hAnsi="Times New Roman" w:cs="Times New Roman"/>
          <w:sz w:val="24"/>
          <w:szCs w:val="24"/>
        </w:rPr>
        <w:t>high-level</w:t>
      </w:r>
      <w:r w:rsidR="0089695D" w:rsidRPr="0085651A">
        <w:rPr>
          <w:rFonts w:ascii="Times New Roman" w:hAnsi="Times New Roman" w:cs="Times New Roman"/>
          <w:sz w:val="24"/>
          <w:szCs w:val="24"/>
        </w:rPr>
        <w:t xml:space="preserve"> skills to support government’s economic priorities.</w:t>
      </w:r>
      <w:r w:rsidR="00970812" w:rsidRPr="0085651A">
        <w:rPr>
          <w:rFonts w:ascii="Times New Roman" w:hAnsi="Times New Roman" w:cs="Times New Roman"/>
          <w:sz w:val="24"/>
          <w:szCs w:val="24"/>
        </w:rPr>
        <w:t xml:space="preserve"> The increased funding will also </w:t>
      </w:r>
      <w:r w:rsidR="00212F44" w:rsidRPr="0085651A">
        <w:rPr>
          <w:rFonts w:ascii="Times New Roman" w:hAnsi="Times New Roman" w:cs="Times New Roman"/>
          <w:sz w:val="24"/>
          <w:szCs w:val="24"/>
        </w:rPr>
        <w:t xml:space="preserve">be </w:t>
      </w:r>
      <w:r w:rsidR="00970812" w:rsidRPr="0085651A">
        <w:rPr>
          <w:rFonts w:ascii="Times New Roman" w:hAnsi="Times New Roman" w:cs="Times New Roman"/>
          <w:sz w:val="24"/>
          <w:szCs w:val="24"/>
        </w:rPr>
        <w:t>geared towards expansion of infrastructure effi</w:t>
      </w:r>
      <w:r w:rsidR="00212F44" w:rsidRPr="0085651A">
        <w:rPr>
          <w:rFonts w:ascii="Times New Roman" w:hAnsi="Times New Roman" w:cs="Times New Roman"/>
          <w:sz w:val="24"/>
          <w:szCs w:val="24"/>
        </w:rPr>
        <w:t>ci</w:t>
      </w:r>
      <w:r w:rsidR="00970812" w:rsidRPr="0085651A">
        <w:rPr>
          <w:rFonts w:ascii="Times New Roman" w:hAnsi="Times New Roman" w:cs="Times New Roman"/>
          <w:sz w:val="24"/>
          <w:szCs w:val="24"/>
        </w:rPr>
        <w:t xml:space="preserve">ency grants to address </w:t>
      </w:r>
      <w:r w:rsidR="00402437" w:rsidRPr="0085651A">
        <w:rPr>
          <w:rFonts w:ascii="Times New Roman" w:hAnsi="Times New Roman" w:cs="Times New Roman"/>
          <w:sz w:val="24"/>
          <w:szCs w:val="24"/>
        </w:rPr>
        <w:t xml:space="preserve">the </w:t>
      </w:r>
      <w:r w:rsidR="00970812" w:rsidRPr="0085651A">
        <w:rPr>
          <w:rFonts w:ascii="Times New Roman" w:hAnsi="Times New Roman" w:cs="Times New Roman"/>
          <w:sz w:val="24"/>
          <w:szCs w:val="24"/>
        </w:rPr>
        <w:t xml:space="preserve">infrastructure maintenance backlog at universities, construction of new teaching and learning facilities, including student housing. </w:t>
      </w:r>
    </w:p>
    <w:p w14:paraId="3A503D80" w14:textId="77777777" w:rsidR="00C933BD" w:rsidRPr="0085651A" w:rsidRDefault="00D65A55" w:rsidP="001B77A0">
      <w:pPr>
        <w:pStyle w:val="ListParagraph"/>
        <w:numPr>
          <w:ilvl w:val="0"/>
          <w:numId w:val="7"/>
        </w:numPr>
        <w:rPr>
          <w:rFonts w:ascii="Times New Roman" w:hAnsi="Times New Roman" w:cs="Times New Roman"/>
          <w:b/>
          <w:sz w:val="24"/>
          <w:szCs w:val="24"/>
        </w:rPr>
      </w:pPr>
      <w:r w:rsidRPr="0085651A">
        <w:rPr>
          <w:rFonts w:ascii="Times New Roman" w:hAnsi="Times New Roman" w:cs="Times New Roman"/>
          <w:sz w:val="24"/>
          <w:szCs w:val="24"/>
        </w:rPr>
        <w:t xml:space="preserve"> </w:t>
      </w:r>
      <w:r w:rsidR="004B0E08" w:rsidRPr="0085651A">
        <w:rPr>
          <w:rFonts w:ascii="Times New Roman" w:hAnsi="Times New Roman" w:cs="Times New Roman"/>
          <w:sz w:val="24"/>
          <w:szCs w:val="24"/>
        </w:rPr>
        <w:t>S</w:t>
      </w:r>
      <w:r w:rsidR="00C933BD" w:rsidRPr="0085651A">
        <w:rPr>
          <w:rFonts w:ascii="Times New Roman" w:hAnsi="Times New Roman" w:cs="Times New Roman"/>
          <w:sz w:val="24"/>
          <w:szCs w:val="24"/>
        </w:rPr>
        <w:t xml:space="preserve">ignificant budget increase </w:t>
      </w:r>
      <w:r w:rsidR="000F2258" w:rsidRPr="0085651A">
        <w:rPr>
          <w:rFonts w:ascii="Times New Roman" w:hAnsi="Times New Roman" w:cs="Times New Roman"/>
          <w:sz w:val="24"/>
          <w:szCs w:val="24"/>
        </w:rPr>
        <w:t>is effected</w:t>
      </w:r>
      <w:r w:rsidR="00C933BD" w:rsidRPr="0085651A">
        <w:rPr>
          <w:rFonts w:ascii="Times New Roman" w:hAnsi="Times New Roman" w:cs="Times New Roman"/>
          <w:sz w:val="24"/>
          <w:szCs w:val="24"/>
        </w:rPr>
        <w:t xml:space="preserve"> in sub-programme 3: Institutional </w:t>
      </w:r>
      <w:r w:rsidR="00D23AB0" w:rsidRPr="0085651A">
        <w:rPr>
          <w:rFonts w:ascii="Times New Roman" w:hAnsi="Times New Roman" w:cs="Times New Roman"/>
          <w:sz w:val="24"/>
          <w:szCs w:val="24"/>
        </w:rPr>
        <w:t>G</w:t>
      </w:r>
      <w:r w:rsidR="00C079C5" w:rsidRPr="0085651A">
        <w:rPr>
          <w:rFonts w:ascii="Times New Roman" w:hAnsi="Times New Roman" w:cs="Times New Roman"/>
          <w:sz w:val="24"/>
          <w:szCs w:val="24"/>
        </w:rPr>
        <w:t xml:space="preserve">overnance and Management Support </w:t>
      </w:r>
      <w:r w:rsidR="002F415A" w:rsidRPr="0085651A">
        <w:rPr>
          <w:rFonts w:ascii="Times New Roman" w:hAnsi="Times New Roman" w:cs="Times New Roman"/>
          <w:sz w:val="24"/>
          <w:szCs w:val="24"/>
        </w:rPr>
        <w:t xml:space="preserve">received an allocation of R20.471 billion, which is an increase of 99.27 percent from R10.273 billion in 2017/18. </w:t>
      </w:r>
      <w:r w:rsidR="00C5258E" w:rsidRPr="0085651A">
        <w:rPr>
          <w:rFonts w:ascii="Times New Roman" w:hAnsi="Times New Roman" w:cs="Times New Roman"/>
          <w:sz w:val="24"/>
          <w:szCs w:val="24"/>
        </w:rPr>
        <w:t>The allocation reaffirms government’s commitment to implement fee-free</w:t>
      </w:r>
      <w:r w:rsidRPr="0085651A">
        <w:rPr>
          <w:rFonts w:ascii="Times New Roman" w:hAnsi="Times New Roman" w:cs="Times New Roman"/>
          <w:sz w:val="24"/>
          <w:szCs w:val="24"/>
        </w:rPr>
        <w:t xml:space="preserve"> higher</w:t>
      </w:r>
      <w:r w:rsidR="00C5258E" w:rsidRPr="0085651A">
        <w:rPr>
          <w:rFonts w:ascii="Times New Roman" w:hAnsi="Times New Roman" w:cs="Times New Roman"/>
          <w:sz w:val="24"/>
          <w:szCs w:val="24"/>
        </w:rPr>
        <w:t xml:space="preserve"> education policy. Over 90 percent of this budget is allocated to NSFAS to progressively implement the new funding policy, starting with the first-entering students at universities</w:t>
      </w:r>
      <w:r w:rsidR="007B160F" w:rsidRPr="0085651A">
        <w:rPr>
          <w:rFonts w:ascii="Times New Roman" w:hAnsi="Times New Roman" w:cs="Times New Roman"/>
          <w:sz w:val="24"/>
          <w:szCs w:val="24"/>
        </w:rPr>
        <w:t xml:space="preserve"> in 2018</w:t>
      </w:r>
      <w:r w:rsidR="00C5258E" w:rsidRPr="0085651A">
        <w:rPr>
          <w:rFonts w:ascii="Times New Roman" w:hAnsi="Times New Roman" w:cs="Times New Roman"/>
          <w:sz w:val="24"/>
          <w:szCs w:val="24"/>
        </w:rPr>
        <w:t xml:space="preserve">. The funding will also support TVET College students from households with a combined income of up to R350 000. </w:t>
      </w:r>
      <w:r w:rsidR="003053EA" w:rsidRPr="0085651A">
        <w:rPr>
          <w:rFonts w:ascii="Times New Roman" w:hAnsi="Times New Roman" w:cs="Times New Roman"/>
          <w:sz w:val="24"/>
          <w:szCs w:val="24"/>
        </w:rPr>
        <w:t xml:space="preserve">The additional allocation is a progressive realisation of the of the constitutional right of access to education and training to the students from poor and working class families. </w:t>
      </w:r>
    </w:p>
    <w:p w14:paraId="3354380C" w14:textId="77777777" w:rsidR="001166E1" w:rsidRPr="0085651A" w:rsidRDefault="00402437" w:rsidP="001B77A0">
      <w:pPr>
        <w:pStyle w:val="ListParagraph"/>
        <w:numPr>
          <w:ilvl w:val="0"/>
          <w:numId w:val="7"/>
        </w:numPr>
        <w:rPr>
          <w:rFonts w:ascii="Times New Roman" w:hAnsi="Times New Roman" w:cs="Times New Roman"/>
          <w:b/>
          <w:sz w:val="24"/>
          <w:szCs w:val="24"/>
        </w:rPr>
      </w:pPr>
      <w:r w:rsidRPr="0085651A">
        <w:rPr>
          <w:rFonts w:ascii="Times New Roman" w:hAnsi="Times New Roman" w:cs="Times New Roman"/>
          <w:sz w:val="24"/>
          <w:szCs w:val="24"/>
        </w:rPr>
        <w:t>The h</w:t>
      </w:r>
      <w:r w:rsidR="001166E1" w:rsidRPr="0085651A">
        <w:rPr>
          <w:rFonts w:ascii="Times New Roman" w:hAnsi="Times New Roman" w:cs="Times New Roman"/>
          <w:sz w:val="24"/>
          <w:szCs w:val="24"/>
        </w:rPr>
        <w:t xml:space="preserve">eadcount enrolment </w:t>
      </w:r>
      <w:r w:rsidR="009A4F1A" w:rsidRPr="0085651A">
        <w:rPr>
          <w:rFonts w:ascii="Times New Roman" w:hAnsi="Times New Roman" w:cs="Times New Roman"/>
          <w:sz w:val="24"/>
          <w:szCs w:val="24"/>
        </w:rPr>
        <w:t xml:space="preserve">target </w:t>
      </w:r>
      <w:r w:rsidR="006066DE" w:rsidRPr="0085651A">
        <w:rPr>
          <w:rFonts w:ascii="Times New Roman" w:hAnsi="Times New Roman" w:cs="Times New Roman"/>
          <w:sz w:val="24"/>
          <w:szCs w:val="24"/>
        </w:rPr>
        <w:t xml:space="preserve">of 985 212 and 975 837 students enrolled in public higher education studies at universities </w:t>
      </w:r>
      <w:r w:rsidR="001166E1" w:rsidRPr="0085651A">
        <w:rPr>
          <w:rFonts w:ascii="Times New Roman" w:hAnsi="Times New Roman" w:cs="Times New Roman"/>
          <w:sz w:val="24"/>
          <w:szCs w:val="24"/>
        </w:rPr>
        <w:t>has not been achieved in 2015/16 and 2017/18 financial years. The inadequate registration systems at the University of South Africa (UNISA) continues to have a negative impact on the overall enrolment target for the sector. The under-enrolment has also been reported at the University of Fort Hare and the Cape Peninsula University of Technology for the 2018 academic year</w:t>
      </w:r>
      <w:r w:rsidR="006066DE" w:rsidRPr="0085651A">
        <w:rPr>
          <w:rFonts w:ascii="Times New Roman" w:hAnsi="Times New Roman" w:cs="Times New Roman"/>
          <w:sz w:val="24"/>
          <w:szCs w:val="24"/>
        </w:rPr>
        <w:t>, and this</w:t>
      </w:r>
      <w:r w:rsidR="001166E1" w:rsidRPr="0085651A">
        <w:rPr>
          <w:rFonts w:ascii="Times New Roman" w:hAnsi="Times New Roman" w:cs="Times New Roman"/>
          <w:sz w:val="24"/>
          <w:szCs w:val="24"/>
        </w:rPr>
        <w:t xml:space="preserve"> would impact negatively on the achievement of the headcount enrolment target</w:t>
      </w:r>
      <w:r w:rsidR="00BA3AF7" w:rsidRPr="0085651A">
        <w:rPr>
          <w:rFonts w:ascii="Times New Roman" w:hAnsi="Times New Roman" w:cs="Times New Roman"/>
          <w:sz w:val="24"/>
          <w:szCs w:val="24"/>
        </w:rPr>
        <w:t>.</w:t>
      </w:r>
    </w:p>
    <w:p w14:paraId="40F6ECBE" w14:textId="77777777" w:rsidR="00BA3AF7" w:rsidRPr="0085651A" w:rsidRDefault="00BA3AF7" w:rsidP="001B77A0">
      <w:pPr>
        <w:pStyle w:val="ListParagraph"/>
        <w:numPr>
          <w:ilvl w:val="0"/>
          <w:numId w:val="7"/>
        </w:numPr>
        <w:rPr>
          <w:rFonts w:ascii="Times New Roman" w:hAnsi="Times New Roman" w:cs="Times New Roman"/>
          <w:b/>
          <w:sz w:val="24"/>
          <w:szCs w:val="24"/>
        </w:rPr>
      </w:pPr>
      <w:r w:rsidRPr="0085651A">
        <w:rPr>
          <w:rFonts w:ascii="Times New Roman" w:hAnsi="Times New Roman" w:cs="Times New Roman"/>
          <w:sz w:val="24"/>
          <w:szCs w:val="24"/>
        </w:rPr>
        <w:t xml:space="preserve">The annual target of 36 000 university students enrolled in foundation programmes has not been achieved since the beginning of the MTSF in 2015/16. The Department has attributed the underperformance to the fact the UNISA has not enrolled students in foundation programmes. The Department reported to the Committee during an oversight visit to UNISA in January 2018 that the state budget for foundation </w:t>
      </w:r>
      <w:r w:rsidRPr="0085651A">
        <w:rPr>
          <w:rFonts w:ascii="Times New Roman" w:hAnsi="Times New Roman" w:cs="Times New Roman"/>
          <w:sz w:val="24"/>
          <w:szCs w:val="24"/>
        </w:rPr>
        <w:lastRenderedPageBreak/>
        <w:t>provision for UNISA was zero for 2018/19, pending approval of its foundation programmes. The projected headcount intake into foundation programmes, subject to the approval of their programmes, is 13 879 students in 2019. This will continue to impact on the achievement of the MTSF annual target of 36 000.</w:t>
      </w:r>
    </w:p>
    <w:p w14:paraId="5BE4FA55" w14:textId="77777777" w:rsidR="004D76F6" w:rsidRPr="0085651A" w:rsidRDefault="006066DE" w:rsidP="001B77A0">
      <w:pPr>
        <w:pStyle w:val="ListParagraph"/>
        <w:numPr>
          <w:ilvl w:val="0"/>
          <w:numId w:val="7"/>
        </w:numPr>
        <w:rPr>
          <w:rFonts w:ascii="Times New Roman" w:hAnsi="Times New Roman" w:cs="Times New Roman"/>
          <w:sz w:val="24"/>
          <w:szCs w:val="24"/>
        </w:rPr>
      </w:pPr>
      <w:r w:rsidRPr="0085651A">
        <w:rPr>
          <w:rFonts w:ascii="Times New Roman" w:hAnsi="Times New Roman" w:cs="Times New Roman"/>
          <w:sz w:val="24"/>
          <w:szCs w:val="24"/>
        </w:rPr>
        <w:t>The g</w:t>
      </w:r>
      <w:r w:rsidR="004D76F6" w:rsidRPr="0085651A">
        <w:rPr>
          <w:rFonts w:ascii="Times New Roman" w:hAnsi="Times New Roman" w:cs="Times New Roman"/>
          <w:sz w:val="24"/>
          <w:szCs w:val="24"/>
        </w:rPr>
        <w:t>raduate output in PhD studies has been growing since the 2015/16 to 2017/18. Of concern to note is the low enrolment of Black South African students and women in the programmes, as was reported at the University of Fort Hare during the Committee’s oversight visit in Janu</w:t>
      </w:r>
      <w:r w:rsidR="00A20658" w:rsidRPr="0085651A">
        <w:rPr>
          <w:rFonts w:ascii="Times New Roman" w:hAnsi="Times New Roman" w:cs="Times New Roman"/>
          <w:sz w:val="24"/>
          <w:szCs w:val="24"/>
        </w:rPr>
        <w:t>ary 2018. This will in the long run</w:t>
      </w:r>
      <w:r w:rsidR="004D76F6" w:rsidRPr="0085651A">
        <w:rPr>
          <w:rFonts w:ascii="Times New Roman" w:hAnsi="Times New Roman" w:cs="Times New Roman"/>
          <w:sz w:val="24"/>
          <w:szCs w:val="24"/>
        </w:rPr>
        <w:t xml:space="preserve"> contribute to the slow transformation in the university sector and in the labour market. The undertaking by the Minister to establish a Ministerial Task Team to investigate the challenges is commendable. </w:t>
      </w:r>
    </w:p>
    <w:p w14:paraId="7A646964" w14:textId="77777777" w:rsidR="00B0217B" w:rsidRPr="0085651A" w:rsidRDefault="00B0217B" w:rsidP="001B77A0">
      <w:pPr>
        <w:pStyle w:val="ListParagraph"/>
        <w:numPr>
          <w:ilvl w:val="0"/>
          <w:numId w:val="7"/>
        </w:numPr>
        <w:rPr>
          <w:rFonts w:ascii="Times New Roman" w:hAnsi="Times New Roman" w:cs="Times New Roman"/>
          <w:b/>
          <w:sz w:val="24"/>
          <w:szCs w:val="24"/>
        </w:rPr>
      </w:pPr>
      <w:r w:rsidRPr="0085651A">
        <w:rPr>
          <w:rFonts w:ascii="Times New Roman" w:hAnsi="Times New Roman" w:cs="Times New Roman"/>
          <w:sz w:val="24"/>
          <w:szCs w:val="24"/>
        </w:rPr>
        <w:t>The inadequate number of black academics at senior management positions in universities remains a challenge. The Department’s interventions, such as the Staffing South Africa’s Universities Frameworks (SSAUF) through the New Generation of Academics Programme (NGAP) are welcomed as they are aimed at redressing equity challenges in the staff demographics at universities.</w:t>
      </w:r>
    </w:p>
    <w:p w14:paraId="792C0B59" w14:textId="77777777" w:rsidR="00C12B42" w:rsidRPr="0085651A" w:rsidRDefault="00C12B42" w:rsidP="001B77A0">
      <w:pPr>
        <w:pStyle w:val="ListParagraph"/>
        <w:numPr>
          <w:ilvl w:val="0"/>
          <w:numId w:val="7"/>
        </w:numPr>
        <w:rPr>
          <w:rFonts w:ascii="Times New Roman" w:hAnsi="Times New Roman" w:cs="Times New Roman"/>
          <w:b/>
          <w:sz w:val="24"/>
          <w:szCs w:val="24"/>
        </w:rPr>
      </w:pPr>
      <w:r w:rsidRPr="0085651A">
        <w:rPr>
          <w:rFonts w:ascii="Times New Roman" w:hAnsi="Times New Roman" w:cs="Times New Roman"/>
          <w:sz w:val="24"/>
          <w:szCs w:val="24"/>
        </w:rPr>
        <w:t>It is concerning that five universities produce 55 percent of postgraduate qualifications while 21 produce the rest.</w:t>
      </w:r>
    </w:p>
    <w:p w14:paraId="29BC566F" w14:textId="77777777" w:rsidR="00C12B42" w:rsidRPr="0085651A" w:rsidRDefault="00C12B42" w:rsidP="001B77A0">
      <w:pPr>
        <w:pStyle w:val="ListParagraph"/>
        <w:numPr>
          <w:ilvl w:val="0"/>
          <w:numId w:val="7"/>
        </w:numPr>
        <w:rPr>
          <w:rFonts w:ascii="Times New Roman" w:hAnsi="Times New Roman" w:cs="Times New Roman"/>
          <w:b/>
          <w:sz w:val="24"/>
          <w:szCs w:val="24"/>
        </w:rPr>
      </w:pPr>
      <w:r w:rsidRPr="0085651A">
        <w:rPr>
          <w:rFonts w:ascii="Times New Roman" w:hAnsi="Times New Roman" w:cs="Times New Roman"/>
          <w:sz w:val="24"/>
          <w:szCs w:val="24"/>
        </w:rPr>
        <w:t xml:space="preserve">The under-utilisation of e-learning in higher education as an alternative means of teaching and learning remains a challenge given the inadequate spaces at contact learning institutions. </w:t>
      </w:r>
    </w:p>
    <w:p w14:paraId="394CB8F7" w14:textId="77777777" w:rsidR="00CE6290" w:rsidRPr="0085651A" w:rsidRDefault="001166E1" w:rsidP="001B77A0">
      <w:pPr>
        <w:pStyle w:val="ListParagraph"/>
        <w:numPr>
          <w:ilvl w:val="0"/>
          <w:numId w:val="7"/>
        </w:numPr>
        <w:rPr>
          <w:rFonts w:ascii="Times New Roman" w:hAnsi="Times New Roman" w:cs="Times New Roman"/>
          <w:b/>
          <w:sz w:val="24"/>
          <w:szCs w:val="24"/>
        </w:rPr>
      </w:pPr>
      <w:r w:rsidRPr="0085651A">
        <w:rPr>
          <w:rFonts w:ascii="Times New Roman" w:hAnsi="Times New Roman" w:cs="Times New Roman"/>
          <w:sz w:val="24"/>
          <w:szCs w:val="24"/>
        </w:rPr>
        <w:t>Whilst the university success rates remain positive at 78 percent, the number of students that complete their three-year programmes within a regulated time remains a concern.</w:t>
      </w:r>
    </w:p>
    <w:p w14:paraId="4F60B100" w14:textId="77777777" w:rsidR="001166E1" w:rsidRPr="0085651A" w:rsidRDefault="006066DE" w:rsidP="001B77A0">
      <w:pPr>
        <w:pStyle w:val="ListParagraph"/>
        <w:numPr>
          <w:ilvl w:val="0"/>
          <w:numId w:val="7"/>
        </w:numPr>
        <w:rPr>
          <w:rFonts w:ascii="Times New Roman" w:hAnsi="Times New Roman" w:cs="Times New Roman"/>
          <w:b/>
          <w:sz w:val="24"/>
          <w:szCs w:val="24"/>
        </w:rPr>
      </w:pPr>
      <w:r w:rsidRPr="0085651A">
        <w:rPr>
          <w:rFonts w:ascii="Times New Roman" w:hAnsi="Times New Roman" w:cs="Times New Roman"/>
          <w:sz w:val="24"/>
          <w:szCs w:val="24"/>
        </w:rPr>
        <w:t>The recurring</w:t>
      </w:r>
      <w:r w:rsidR="001166E1" w:rsidRPr="0085651A">
        <w:rPr>
          <w:rFonts w:ascii="Times New Roman" w:hAnsi="Times New Roman" w:cs="Times New Roman"/>
          <w:sz w:val="24"/>
          <w:szCs w:val="24"/>
        </w:rPr>
        <w:t xml:space="preserve"> student protests in higher education institutions over the delays </w:t>
      </w:r>
      <w:r w:rsidR="003A2EE9" w:rsidRPr="0085651A">
        <w:rPr>
          <w:rFonts w:ascii="Times New Roman" w:hAnsi="Times New Roman" w:cs="Times New Roman"/>
          <w:sz w:val="24"/>
          <w:szCs w:val="24"/>
        </w:rPr>
        <w:t>in the payment of students</w:t>
      </w:r>
      <w:r w:rsidR="00402437" w:rsidRPr="0085651A">
        <w:rPr>
          <w:rFonts w:ascii="Times New Roman" w:hAnsi="Times New Roman" w:cs="Times New Roman"/>
          <w:sz w:val="24"/>
          <w:szCs w:val="24"/>
        </w:rPr>
        <w:t>’</w:t>
      </w:r>
      <w:r w:rsidR="003A2EE9" w:rsidRPr="0085651A">
        <w:rPr>
          <w:rFonts w:ascii="Times New Roman" w:hAnsi="Times New Roman" w:cs="Times New Roman"/>
          <w:sz w:val="24"/>
          <w:szCs w:val="24"/>
        </w:rPr>
        <w:t xml:space="preserve"> allowances (for transport, accommodation, meals and book) </w:t>
      </w:r>
      <w:r w:rsidR="001166E1" w:rsidRPr="0085651A">
        <w:rPr>
          <w:rFonts w:ascii="Times New Roman" w:hAnsi="Times New Roman" w:cs="Times New Roman"/>
          <w:sz w:val="24"/>
          <w:szCs w:val="24"/>
        </w:rPr>
        <w:t>by</w:t>
      </w:r>
      <w:r w:rsidRPr="0085651A">
        <w:rPr>
          <w:rFonts w:ascii="Times New Roman" w:hAnsi="Times New Roman" w:cs="Times New Roman"/>
          <w:sz w:val="24"/>
          <w:szCs w:val="24"/>
        </w:rPr>
        <w:t xml:space="preserve"> NSFAS</w:t>
      </w:r>
      <w:r w:rsidR="001166E1" w:rsidRPr="0085651A">
        <w:rPr>
          <w:rFonts w:ascii="Times New Roman" w:hAnsi="Times New Roman" w:cs="Times New Roman"/>
          <w:sz w:val="24"/>
          <w:szCs w:val="24"/>
        </w:rPr>
        <w:t xml:space="preserve"> remains a serious concern.</w:t>
      </w:r>
      <w:r w:rsidR="003A2EE9" w:rsidRPr="0085651A">
        <w:rPr>
          <w:rFonts w:ascii="Times New Roman" w:hAnsi="Times New Roman" w:cs="Times New Roman"/>
          <w:sz w:val="24"/>
          <w:szCs w:val="24"/>
        </w:rPr>
        <w:t xml:space="preserve"> </w:t>
      </w:r>
      <w:r w:rsidRPr="0085651A">
        <w:rPr>
          <w:rFonts w:ascii="Times New Roman" w:hAnsi="Times New Roman" w:cs="Times New Roman"/>
          <w:sz w:val="24"/>
          <w:szCs w:val="24"/>
        </w:rPr>
        <w:t>The p</w:t>
      </w:r>
      <w:r w:rsidR="003A2EE9" w:rsidRPr="0085651A">
        <w:rPr>
          <w:rFonts w:ascii="Times New Roman" w:hAnsi="Times New Roman" w:cs="Times New Roman"/>
          <w:sz w:val="24"/>
          <w:szCs w:val="24"/>
        </w:rPr>
        <w:t>oor coordination and lack of integration of NSFAS IT system</w:t>
      </w:r>
      <w:r w:rsidRPr="0085651A">
        <w:rPr>
          <w:rFonts w:ascii="Times New Roman" w:hAnsi="Times New Roman" w:cs="Times New Roman"/>
          <w:sz w:val="24"/>
          <w:szCs w:val="24"/>
        </w:rPr>
        <w:t>s</w:t>
      </w:r>
      <w:r w:rsidR="003A2EE9" w:rsidRPr="0085651A">
        <w:rPr>
          <w:rFonts w:ascii="Times New Roman" w:hAnsi="Times New Roman" w:cs="Times New Roman"/>
          <w:sz w:val="24"/>
          <w:szCs w:val="24"/>
        </w:rPr>
        <w:t xml:space="preserve"> with the universities compounds the situation. </w:t>
      </w:r>
    </w:p>
    <w:p w14:paraId="4B731B99" w14:textId="77777777" w:rsidR="00BF6A75" w:rsidRPr="0085651A" w:rsidRDefault="00F429E8" w:rsidP="00753202">
      <w:pPr>
        <w:pStyle w:val="Default"/>
        <w:spacing w:line="360" w:lineRule="auto"/>
        <w:jc w:val="both"/>
        <w:rPr>
          <w:rFonts w:ascii="Times New Roman" w:hAnsi="Times New Roman" w:cs="Times New Roman"/>
          <w:b/>
        </w:rPr>
      </w:pPr>
      <w:r w:rsidRPr="0085651A">
        <w:rPr>
          <w:rFonts w:ascii="Times New Roman" w:hAnsi="Times New Roman" w:cs="Times New Roman"/>
          <w:b/>
        </w:rPr>
        <w:t>5</w:t>
      </w:r>
      <w:r w:rsidR="00A3092A" w:rsidRPr="0085651A">
        <w:rPr>
          <w:rFonts w:ascii="Times New Roman" w:hAnsi="Times New Roman" w:cs="Times New Roman"/>
          <w:b/>
        </w:rPr>
        <w:t xml:space="preserve">.4. </w:t>
      </w:r>
      <w:r w:rsidR="00050789" w:rsidRPr="0085651A">
        <w:rPr>
          <w:rFonts w:ascii="Times New Roman" w:hAnsi="Times New Roman" w:cs="Times New Roman"/>
          <w:b/>
        </w:rPr>
        <w:t xml:space="preserve">Programme 4: </w:t>
      </w:r>
      <w:r w:rsidR="00A3092A" w:rsidRPr="0085651A">
        <w:rPr>
          <w:rFonts w:ascii="Times New Roman" w:hAnsi="Times New Roman" w:cs="Times New Roman"/>
          <w:b/>
        </w:rPr>
        <w:t>Technical and Vocational Education and Training</w:t>
      </w:r>
    </w:p>
    <w:p w14:paraId="19F6AB2E" w14:textId="77777777" w:rsidR="00B62C30" w:rsidRPr="0085651A" w:rsidRDefault="003D31EE" w:rsidP="001B77A0">
      <w:pPr>
        <w:pStyle w:val="ListParagraph"/>
        <w:numPr>
          <w:ilvl w:val="0"/>
          <w:numId w:val="9"/>
        </w:numPr>
        <w:autoSpaceDE w:val="0"/>
        <w:autoSpaceDN w:val="0"/>
        <w:adjustRightInd w:val="0"/>
        <w:rPr>
          <w:rFonts w:ascii="Times New Roman" w:hAnsi="Times New Roman" w:cs="Times New Roman"/>
          <w:b/>
          <w:sz w:val="24"/>
          <w:szCs w:val="24"/>
        </w:rPr>
      </w:pPr>
      <w:r w:rsidRPr="0085651A">
        <w:rPr>
          <w:rFonts w:ascii="Times New Roman" w:hAnsi="Times New Roman" w:cs="Times New Roman"/>
          <w:sz w:val="24"/>
          <w:szCs w:val="24"/>
        </w:rPr>
        <w:t>This programme received an allocation R10.739 billion, which increase</w:t>
      </w:r>
      <w:r w:rsidR="006066DE" w:rsidRPr="0085651A">
        <w:rPr>
          <w:rFonts w:ascii="Times New Roman" w:hAnsi="Times New Roman" w:cs="Times New Roman"/>
          <w:sz w:val="24"/>
          <w:szCs w:val="24"/>
        </w:rPr>
        <w:t>d</w:t>
      </w:r>
      <w:r w:rsidRPr="0085651A">
        <w:rPr>
          <w:rFonts w:ascii="Times New Roman" w:hAnsi="Times New Roman" w:cs="Times New Roman"/>
          <w:sz w:val="24"/>
          <w:szCs w:val="24"/>
        </w:rPr>
        <w:t xml:space="preserve"> by R3.297 billion</w:t>
      </w:r>
      <w:r w:rsidR="006066DE" w:rsidRPr="0085651A">
        <w:rPr>
          <w:rFonts w:ascii="Times New Roman" w:hAnsi="Times New Roman" w:cs="Times New Roman"/>
          <w:sz w:val="24"/>
          <w:szCs w:val="24"/>
        </w:rPr>
        <w:t xml:space="preserve"> from 2017/18</w:t>
      </w:r>
      <w:r w:rsidRPr="0085651A">
        <w:rPr>
          <w:rFonts w:ascii="Times New Roman" w:hAnsi="Times New Roman" w:cs="Times New Roman"/>
          <w:sz w:val="24"/>
          <w:szCs w:val="24"/>
        </w:rPr>
        <w:t xml:space="preserve">. This represents an increase of 44 percent. The budget is projected to grow to R14.585 billion in 2020/21. The additional increase is to support the NDP mandates to expand access to skills programmes that address labour </w:t>
      </w:r>
      <w:r w:rsidRPr="0085651A">
        <w:rPr>
          <w:rFonts w:ascii="Times New Roman" w:hAnsi="Times New Roman" w:cs="Times New Roman"/>
          <w:sz w:val="24"/>
          <w:szCs w:val="24"/>
        </w:rPr>
        <w:lastRenderedPageBreak/>
        <w:t xml:space="preserve">market’s need. Driving the budget increase is the additional allocation </w:t>
      </w:r>
      <w:r w:rsidR="004D07ED" w:rsidRPr="0085651A">
        <w:rPr>
          <w:rFonts w:ascii="Times New Roman" w:hAnsi="Times New Roman" w:cs="Times New Roman"/>
          <w:sz w:val="24"/>
          <w:szCs w:val="24"/>
        </w:rPr>
        <w:t>for infrastructure</w:t>
      </w:r>
      <w:r w:rsidR="005B0C94" w:rsidRPr="0085651A">
        <w:rPr>
          <w:rFonts w:ascii="Times New Roman" w:hAnsi="Times New Roman" w:cs="Times New Roman"/>
          <w:sz w:val="24"/>
          <w:szCs w:val="24"/>
        </w:rPr>
        <w:t xml:space="preserve"> refurbishment and maintenance of TVET Colleges </w:t>
      </w:r>
      <w:r w:rsidRPr="0085651A">
        <w:rPr>
          <w:rFonts w:ascii="Times New Roman" w:hAnsi="Times New Roman" w:cs="Times New Roman"/>
          <w:sz w:val="24"/>
          <w:szCs w:val="24"/>
        </w:rPr>
        <w:t xml:space="preserve">buildings, allocation for </w:t>
      </w:r>
      <w:r w:rsidR="005B0C94" w:rsidRPr="0085651A">
        <w:rPr>
          <w:rFonts w:ascii="Times New Roman" w:hAnsi="Times New Roman" w:cs="Times New Roman"/>
          <w:sz w:val="24"/>
          <w:szCs w:val="24"/>
        </w:rPr>
        <w:t>purchasi</w:t>
      </w:r>
      <w:r w:rsidRPr="0085651A">
        <w:rPr>
          <w:rFonts w:ascii="Times New Roman" w:hAnsi="Times New Roman" w:cs="Times New Roman"/>
          <w:sz w:val="24"/>
          <w:szCs w:val="24"/>
        </w:rPr>
        <w:t xml:space="preserve">ng of modern workshop equipment and allocation to increase TVET programme costs from the current 54 percent to the 80 percent by 2022/23. The funding will address inefficiencies in the sector and improve the quality of teaching and learning. </w:t>
      </w:r>
      <w:r w:rsidR="005B0C94" w:rsidRPr="0085651A">
        <w:rPr>
          <w:rFonts w:ascii="Times New Roman" w:hAnsi="Times New Roman" w:cs="Times New Roman"/>
          <w:sz w:val="24"/>
          <w:szCs w:val="24"/>
        </w:rPr>
        <w:t xml:space="preserve"> </w:t>
      </w:r>
      <w:r w:rsidRPr="0085651A">
        <w:rPr>
          <w:rFonts w:ascii="Times New Roman" w:hAnsi="Times New Roman" w:cs="Times New Roman"/>
          <w:sz w:val="24"/>
          <w:szCs w:val="24"/>
        </w:rPr>
        <w:t>Over the MTEF period, add</w:t>
      </w:r>
      <w:r w:rsidR="00541561" w:rsidRPr="0085651A">
        <w:rPr>
          <w:rFonts w:ascii="Times New Roman" w:hAnsi="Times New Roman" w:cs="Times New Roman"/>
          <w:sz w:val="24"/>
          <w:szCs w:val="24"/>
        </w:rPr>
        <w:t>itional allocation will be made</w:t>
      </w:r>
      <w:r w:rsidR="006066DE" w:rsidRPr="0085651A">
        <w:rPr>
          <w:rFonts w:ascii="Times New Roman" w:hAnsi="Times New Roman" w:cs="Times New Roman"/>
          <w:sz w:val="24"/>
          <w:szCs w:val="24"/>
        </w:rPr>
        <w:t xml:space="preserve"> from</w:t>
      </w:r>
      <w:r w:rsidR="00541561" w:rsidRPr="0085651A">
        <w:rPr>
          <w:rFonts w:ascii="Times New Roman" w:hAnsi="Times New Roman" w:cs="Times New Roman"/>
          <w:sz w:val="24"/>
          <w:szCs w:val="24"/>
        </w:rPr>
        <w:t xml:space="preserve"> R400 million</w:t>
      </w:r>
      <w:r w:rsidR="006066DE" w:rsidRPr="0085651A">
        <w:rPr>
          <w:rFonts w:ascii="Times New Roman" w:hAnsi="Times New Roman" w:cs="Times New Roman"/>
          <w:sz w:val="24"/>
          <w:szCs w:val="24"/>
        </w:rPr>
        <w:t xml:space="preserve"> in</w:t>
      </w:r>
      <w:r w:rsidR="00541561" w:rsidRPr="0085651A">
        <w:rPr>
          <w:rFonts w:ascii="Times New Roman" w:hAnsi="Times New Roman" w:cs="Times New Roman"/>
          <w:sz w:val="24"/>
          <w:szCs w:val="24"/>
        </w:rPr>
        <w:t xml:space="preserve"> 2019/20 and R422 million in 2020/21 for the operationalisation of the new three TVET college campuses, and R161.9 million in 2019/20 and R290.1 million in 2020/21 for the TVET college examination services function. </w:t>
      </w:r>
    </w:p>
    <w:p w14:paraId="2711BB16" w14:textId="77777777" w:rsidR="00A3092A" w:rsidRPr="0085651A" w:rsidRDefault="00964D73" w:rsidP="001B77A0">
      <w:pPr>
        <w:pStyle w:val="ListParagraph"/>
        <w:numPr>
          <w:ilvl w:val="0"/>
          <w:numId w:val="9"/>
        </w:numPr>
        <w:autoSpaceDE w:val="0"/>
        <w:autoSpaceDN w:val="0"/>
        <w:adjustRightInd w:val="0"/>
        <w:rPr>
          <w:rFonts w:ascii="Times New Roman" w:hAnsi="Times New Roman" w:cs="Times New Roman"/>
          <w:b/>
          <w:sz w:val="24"/>
          <w:szCs w:val="24"/>
        </w:rPr>
      </w:pPr>
      <w:r w:rsidRPr="0085651A">
        <w:rPr>
          <w:rFonts w:ascii="Times New Roman" w:hAnsi="Times New Roman" w:cs="Times New Roman"/>
          <w:sz w:val="24"/>
          <w:szCs w:val="24"/>
        </w:rPr>
        <w:t xml:space="preserve">Notwithstanding the significant increase in the baseline funding for the TVET sector, it should be noted that the baseline increase has not catered for </w:t>
      </w:r>
      <w:r w:rsidR="00402437" w:rsidRPr="0085651A">
        <w:rPr>
          <w:rFonts w:ascii="Times New Roman" w:hAnsi="Times New Roman" w:cs="Times New Roman"/>
          <w:sz w:val="24"/>
          <w:szCs w:val="24"/>
        </w:rPr>
        <w:t xml:space="preserve">the </w:t>
      </w:r>
      <w:r w:rsidRPr="0085651A">
        <w:rPr>
          <w:rFonts w:ascii="Times New Roman" w:hAnsi="Times New Roman" w:cs="Times New Roman"/>
          <w:sz w:val="24"/>
          <w:szCs w:val="24"/>
        </w:rPr>
        <w:t>increase in the headcount enrolment. Headcount enrolment in the TVET Colleges remains capped at 710 535 for the remainder of the MTSF. Consequently, the MTSF target of 1.2 million headcount enrolment will not be realised.</w:t>
      </w:r>
    </w:p>
    <w:p w14:paraId="6E42F762" w14:textId="77777777" w:rsidR="005B0C94" w:rsidRPr="0085651A" w:rsidRDefault="005B0C94" w:rsidP="001B77A0">
      <w:pPr>
        <w:pStyle w:val="ListParagraph"/>
        <w:numPr>
          <w:ilvl w:val="0"/>
          <w:numId w:val="9"/>
        </w:numPr>
        <w:autoSpaceDE w:val="0"/>
        <w:autoSpaceDN w:val="0"/>
        <w:adjustRightInd w:val="0"/>
        <w:rPr>
          <w:rFonts w:ascii="Times New Roman" w:hAnsi="Times New Roman" w:cs="Times New Roman"/>
          <w:sz w:val="24"/>
          <w:szCs w:val="24"/>
        </w:rPr>
      </w:pPr>
      <w:r w:rsidRPr="0085651A">
        <w:rPr>
          <w:rFonts w:ascii="Times New Roman" w:hAnsi="Times New Roman" w:cs="Times New Roman"/>
          <w:sz w:val="24"/>
          <w:szCs w:val="24"/>
        </w:rPr>
        <w:t xml:space="preserve">The </w:t>
      </w:r>
      <w:r w:rsidR="006066DE" w:rsidRPr="0085651A">
        <w:rPr>
          <w:rFonts w:ascii="Times New Roman" w:hAnsi="Times New Roman" w:cs="Times New Roman"/>
          <w:sz w:val="24"/>
          <w:szCs w:val="24"/>
        </w:rPr>
        <w:t xml:space="preserve">Department </w:t>
      </w:r>
      <w:r w:rsidR="000F2258" w:rsidRPr="0085651A">
        <w:rPr>
          <w:rFonts w:ascii="Times New Roman" w:hAnsi="Times New Roman" w:cs="Times New Roman"/>
          <w:sz w:val="24"/>
          <w:szCs w:val="24"/>
        </w:rPr>
        <w:t>revised the</w:t>
      </w:r>
      <w:r w:rsidRPr="0085651A">
        <w:rPr>
          <w:rFonts w:ascii="Times New Roman" w:hAnsi="Times New Roman" w:cs="Times New Roman"/>
          <w:sz w:val="24"/>
          <w:szCs w:val="24"/>
        </w:rPr>
        <w:t xml:space="preserve"> 2015/16 – 2019/20 Strategic Plan to align the targets with the original MTSF targets in line with the funding increase. The certification rates for the NC(V) Level 4, N3 and N6 were revised upward to the original MTSF target of 65 percent. The targets of 30 percent of TVET College lecturers undergoing specified hours in the</w:t>
      </w:r>
      <w:r w:rsidR="006066DE" w:rsidRPr="0085651A">
        <w:rPr>
          <w:rFonts w:ascii="Times New Roman" w:hAnsi="Times New Roman" w:cs="Times New Roman"/>
          <w:sz w:val="24"/>
          <w:szCs w:val="24"/>
        </w:rPr>
        <w:t>ir</w:t>
      </w:r>
      <w:r w:rsidRPr="0085651A">
        <w:rPr>
          <w:rFonts w:ascii="Times New Roman" w:hAnsi="Times New Roman" w:cs="Times New Roman"/>
          <w:sz w:val="24"/>
          <w:szCs w:val="24"/>
        </w:rPr>
        <w:t xml:space="preserve"> industry for specified period every two years, 5000 students entering foundation programmes were revised to the original MTSF targets. The targets on the number of qualifying TVET students obtaining NSFAS financial assistance annually was revised upward to align with the current funding provision.</w:t>
      </w:r>
    </w:p>
    <w:p w14:paraId="1A1953E1" w14:textId="77777777" w:rsidR="00CF749E" w:rsidRPr="0085651A" w:rsidRDefault="00CF749E" w:rsidP="001B77A0">
      <w:pPr>
        <w:pStyle w:val="ListParagraph"/>
        <w:numPr>
          <w:ilvl w:val="0"/>
          <w:numId w:val="9"/>
        </w:numPr>
        <w:rPr>
          <w:rFonts w:ascii="Times New Roman" w:hAnsi="Times New Roman" w:cs="Times New Roman"/>
          <w:sz w:val="24"/>
          <w:szCs w:val="24"/>
        </w:rPr>
      </w:pPr>
      <w:r w:rsidRPr="0085651A">
        <w:rPr>
          <w:rFonts w:ascii="Times New Roman" w:hAnsi="Times New Roman" w:cs="Times New Roman"/>
          <w:sz w:val="24"/>
          <w:szCs w:val="24"/>
        </w:rPr>
        <w:t>Whilst the Department has revised the Strategic Plan to implement the performance indicator of 5 000 students entering foundation programmes to the original MTSF targets</w:t>
      </w:r>
      <w:r w:rsidR="006066DE" w:rsidRPr="0085651A">
        <w:rPr>
          <w:rFonts w:ascii="Times New Roman" w:hAnsi="Times New Roman" w:cs="Times New Roman"/>
          <w:sz w:val="24"/>
          <w:szCs w:val="24"/>
        </w:rPr>
        <w:t>,</w:t>
      </w:r>
      <w:r w:rsidRPr="0085651A">
        <w:rPr>
          <w:rFonts w:ascii="Times New Roman" w:hAnsi="Times New Roman" w:cs="Times New Roman"/>
          <w:sz w:val="24"/>
          <w:szCs w:val="24"/>
        </w:rPr>
        <w:t xml:space="preserve"> there is no funding from the fiscus to fund the target. For the 2018/19 financial year, the Department will pilot the 600 student enrolment in foundation programmes in nine (9) colleges and this would be funded out of the National Skills Fund project funds. The Department has warned that it cannot predetermine at this stage that the MTS</w:t>
      </w:r>
      <w:r w:rsidR="006066DE" w:rsidRPr="0085651A">
        <w:rPr>
          <w:rFonts w:ascii="Times New Roman" w:hAnsi="Times New Roman" w:cs="Times New Roman"/>
          <w:sz w:val="24"/>
          <w:szCs w:val="24"/>
        </w:rPr>
        <w:t>F</w:t>
      </w:r>
      <w:r w:rsidRPr="0085651A">
        <w:rPr>
          <w:rFonts w:ascii="Times New Roman" w:hAnsi="Times New Roman" w:cs="Times New Roman"/>
          <w:sz w:val="24"/>
          <w:szCs w:val="24"/>
        </w:rPr>
        <w:t xml:space="preserve"> target of 5 000 </w:t>
      </w:r>
      <w:r w:rsidR="006066DE" w:rsidRPr="0085651A">
        <w:rPr>
          <w:rFonts w:ascii="Times New Roman" w:hAnsi="Times New Roman" w:cs="Times New Roman"/>
          <w:sz w:val="24"/>
          <w:szCs w:val="24"/>
        </w:rPr>
        <w:t xml:space="preserve">entering foundation programmes </w:t>
      </w:r>
      <w:r w:rsidRPr="0085651A">
        <w:rPr>
          <w:rFonts w:ascii="Times New Roman" w:hAnsi="Times New Roman" w:cs="Times New Roman"/>
          <w:sz w:val="24"/>
          <w:szCs w:val="24"/>
        </w:rPr>
        <w:t xml:space="preserve">would be achieved, given the   fiscal </w:t>
      </w:r>
      <w:r w:rsidR="006066DE" w:rsidRPr="0085651A">
        <w:rPr>
          <w:rFonts w:ascii="Times New Roman" w:hAnsi="Times New Roman" w:cs="Times New Roman"/>
          <w:sz w:val="24"/>
          <w:szCs w:val="24"/>
        </w:rPr>
        <w:t>constraints</w:t>
      </w:r>
      <w:r w:rsidRPr="0085651A">
        <w:rPr>
          <w:rFonts w:ascii="Times New Roman" w:hAnsi="Times New Roman" w:cs="Times New Roman"/>
          <w:sz w:val="24"/>
          <w:szCs w:val="24"/>
        </w:rPr>
        <w:t xml:space="preserve">. The funding of the target through the NSF project fund is not sustainable. </w:t>
      </w:r>
    </w:p>
    <w:p w14:paraId="58B39A28" w14:textId="77777777" w:rsidR="00CF749E" w:rsidRPr="0085651A" w:rsidRDefault="00A5540C" w:rsidP="001B77A0">
      <w:pPr>
        <w:pStyle w:val="ListParagraph"/>
        <w:numPr>
          <w:ilvl w:val="0"/>
          <w:numId w:val="9"/>
        </w:numPr>
        <w:rPr>
          <w:rFonts w:ascii="Times New Roman" w:hAnsi="Times New Roman" w:cs="Times New Roman"/>
          <w:sz w:val="24"/>
          <w:szCs w:val="24"/>
        </w:rPr>
      </w:pPr>
      <w:r w:rsidRPr="0085651A">
        <w:rPr>
          <w:rFonts w:ascii="Times New Roman" w:hAnsi="Times New Roman" w:cs="Times New Roman"/>
          <w:sz w:val="24"/>
          <w:szCs w:val="24"/>
        </w:rPr>
        <w:t xml:space="preserve">The programme has received </w:t>
      </w:r>
      <w:r w:rsidR="00402437" w:rsidRPr="0085651A">
        <w:rPr>
          <w:rFonts w:ascii="Times New Roman" w:hAnsi="Times New Roman" w:cs="Times New Roman"/>
          <w:sz w:val="24"/>
          <w:szCs w:val="24"/>
        </w:rPr>
        <w:t xml:space="preserve">an </w:t>
      </w:r>
      <w:r w:rsidRPr="0085651A">
        <w:rPr>
          <w:rFonts w:ascii="Times New Roman" w:hAnsi="Times New Roman" w:cs="Times New Roman"/>
          <w:sz w:val="24"/>
          <w:szCs w:val="24"/>
        </w:rPr>
        <w:t xml:space="preserve">additional baseline increase to address infrastructure maintenance backlogs at TVET Colleges. The additional funding still does not cater </w:t>
      </w:r>
      <w:r w:rsidRPr="0085651A">
        <w:rPr>
          <w:rFonts w:ascii="Times New Roman" w:hAnsi="Times New Roman" w:cs="Times New Roman"/>
          <w:sz w:val="24"/>
          <w:szCs w:val="24"/>
        </w:rPr>
        <w:lastRenderedPageBreak/>
        <w:t>for the</w:t>
      </w:r>
      <w:r w:rsidR="00CB1D60" w:rsidRPr="0085651A">
        <w:rPr>
          <w:rFonts w:ascii="Times New Roman" w:hAnsi="Times New Roman" w:cs="Times New Roman"/>
          <w:sz w:val="24"/>
          <w:szCs w:val="24"/>
        </w:rPr>
        <w:t xml:space="preserve"> MTSF target to have</w:t>
      </w:r>
      <w:r w:rsidRPr="0085651A">
        <w:rPr>
          <w:rFonts w:ascii="Times New Roman" w:hAnsi="Times New Roman" w:cs="Times New Roman"/>
          <w:sz w:val="24"/>
          <w:szCs w:val="24"/>
        </w:rPr>
        <w:t xml:space="preserve"> additional 5 000 beds at public TVET colleges</w:t>
      </w:r>
      <w:r w:rsidR="00CB1D60" w:rsidRPr="0085651A">
        <w:rPr>
          <w:rFonts w:ascii="Times New Roman" w:hAnsi="Times New Roman" w:cs="Times New Roman"/>
          <w:sz w:val="24"/>
          <w:szCs w:val="24"/>
        </w:rPr>
        <w:t xml:space="preserve"> by 2019</w:t>
      </w:r>
      <w:r w:rsidRPr="0085651A">
        <w:rPr>
          <w:rFonts w:ascii="Times New Roman" w:hAnsi="Times New Roman" w:cs="Times New Roman"/>
          <w:sz w:val="24"/>
          <w:szCs w:val="24"/>
        </w:rPr>
        <w:t xml:space="preserve">. The target remains discontinued for the remainder of the MTSF period.  </w:t>
      </w:r>
    </w:p>
    <w:p w14:paraId="7D2DCBF1" w14:textId="77777777" w:rsidR="007F66D4" w:rsidRPr="0085651A" w:rsidRDefault="007F66D4" w:rsidP="001B77A0">
      <w:pPr>
        <w:pStyle w:val="ListParagraph"/>
        <w:numPr>
          <w:ilvl w:val="0"/>
          <w:numId w:val="9"/>
        </w:numPr>
        <w:rPr>
          <w:rFonts w:ascii="Times New Roman" w:hAnsi="Times New Roman" w:cs="Times New Roman"/>
          <w:sz w:val="24"/>
          <w:szCs w:val="24"/>
        </w:rPr>
      </w:pPr>
      <w:r w:rsidRPr="0085651A">
        <w:rPr>
          <w:rFonts w:ascii="Times New Roman" w:hAnsi="Times New Roman" w:cs="Times New Roman"/>
          <w:sz w:val="24"/>
          <w:szCs w:val="24"/>
        </w:rPr>
        <w:t>There has been a significant improvement in the reduction of the NC(V) certification backlog. However, the historic backlog of 80 000 NATED certificates and diplomas, as well as the GETC certification backlog remain a serious concern.</w:t>
      </w:r>
    </w:p>
    <w:p w14:paraId="60F5CD77" w14:textId="77777777" w:rsidR="004A08D3" w:rsidRPr="0085651A" w:rsidRDefault="007F66D4" w:rsidP="001B77A0">
      <w:pPr>
        <w:pStyle w:val="ListParagraph"/>
        <w:numPr>
          <w:ilvl w:val="0"/>
          <w:numId w:val="9"/>
        </w:numPr>
        <w:rPr>
          <w:rFonts w:ascii="Times New Roman" w:hAnsi="Times New Roman" w:cs="Times New Roman"/>
          <w:sz w:val="24"/>
          <w:szCs w:val="24"/>
        </w:rPr>
      </w:pPr>
      <w:r w:rsidRPr="0085651A">
        <w:rPr>
          <w:rFonts w:ascii="Times New Roman" w:hAnsi="Times New Roman" w:cs="Times New Roman"/>
          <w:sz w:val="24"/>
          <w:szCs w:val="24"/>
        </w:rPr>
        <w:t xml:space="preserve">The inability of the State Information Technology Agency (SITA) to assist the Department with a reliable data management system for the TVET sector remains a serious challenge. </w:t>
      </w:r>
      <w:r w:rsidR="00CC7312" w:rsidRPr="0085651A">
        <w:rPr>
          <w:rFonts w:ascii="Times New Roman" w:hAnsi="Times New Roman" w:cs="Times New Roman"/>
          <w:sz w:val="24"/>
          <w:szCs w:val="24"/>
        </w:rPr>
        <w:t>T</w:t>
      </w:r>
      <w:r w:rsidRPr="0085651A">
        <w:rPr>
          <w:rFonts w:ascii="Times New Roman" w:hAnsi="Times New Roman" w:cs="Times New Roman"/>
          <w:sz w:val="24"/>
          <w:szCs w:val="24"/>
        </w:rPr>
        <w:t>his has serious implications in the certification and resulting of candidates enrolled in the colleges.</w:t>
      </w:r>
    </w:p>
    <w:p w14:paraId="50D8443E" w14:textId="77777777" w:rsidR="007F66D4" w:rsidRPr="0085651A" w:rsidRDefault="007F66D4" w:rsidP="001B77A0">
      <w:pPr>
        <w:pStyle w:val="ListParagraph"/>
        <w:numPr>
          <w:ilvl w:val="0"/>
          <w:numId w:val="9"/>
        </w:numPr>
        <w:rPr>
          <w:rFonts w:ascii="Times New Roman" w:hAnsi="Times New Roman" w:cs="Times New Roman"/>
          <w:sz w:val="24"/>
          <w:szCs w:val="24"/>
        </w:rPr>
      </w:pPr>
      <w:r w:rsidRPr="0085651A">
        <w:rPr>
          <w:rFonts w:ascii="Times New Roman" w:hAnsi="Times New Roman" w:cs="Times New Roman"/>
          <w:sz w:val="24"/>
          <w:szCs w:val="24"/>
        </w:rPr>
        <w:t>The inadequate number of suitably qualified lecturers in the TVET sector continues to have serious implications for teaching and learning. As a result, the throughput and certification rates at colleges are low.</w:t>
      </w:r>
    </w:p>
    <w:p w14:paraId="13BEDB96" w14:textId="77777777" w:rsidR="009A4F1A" w:rsidRPr="0085651A" w:rsidRDefault="00754215" w:rsidP="001B77A0">
      <w:pPr>
        <w:pStyle w:val="ListParagraph"/>
        <w:numPr>
          <w:ilvl w:val="0"/>
          <w:numId w:val="9"/>
        </w:numPr>
        <w:rPr>
          <w:rFonts w:ascii="Times New Roman" w:hAnsi="Times New Roman" w:cs="Times New Roman"/>
          <w:sz w:val="24"/>
          <w:szCs w:val="24"/>
        </w:rPr>
      </w:pPr>
      <w:r w:rsidRPr="0085651A">
        <w:rPr>
          <w:rFonts w:ascii="Times New Roman" w:hAnsi="Times New Roman" w:cs="Times New Roman"/>
          <w:sz w:val="24"/>
          <w:szCs w:val="24"/>
        </w:rPr>
        <w:t>The target of 1.</w:t>
      </w:r>
      <w:r w:rsidR="009A4F1A" w:rsidRPr="0085651A">
        <w:rPr>
          <w:rFonts w:ascii="Times New Roman" w:hAnsi="Times New Roman" w:cs="Times New Roman"/>
          <w:sz w:val="24"/>
          <w:szCs w:val="24"/>
        </w:rPr>
        <w:t>2 million students enrolled in the TVET colleges by 2019/20 has not been achieved 2015/16 and 2016/17 financial years. The underachievement was attributed to underfunding in terms of programmes and student funding</w:t>
      </w:r>
      <w:r w:rsidR="00402437" w:rsidRPr="0085651A">
        <w:rPr>
          <w:rFonts w:ascii="Times New Roman" w:hAnsi="Times New Roman" w:cs="Times New Roman"/>
          <w:sz w:val="24"/>
          <w:szCs w:val="24"/>
        </w:rPr>
        <w:t>,</w:t>
      </w:r>
      <w:r w:rsidR="009A4F1A" w:rsidRPr="0085651A">
        <w:rPr>
          <w:rFonts w:ascii="Times New Roman" w:hAnsi="Times New Roman" w:cs="Times New Roman"/>
          <w:sz w:val="24"/>
          <w:szCs w:val="24"/>
        </w:rPr>
        <w:t xml:space="preserve"> i.e. NSFAS, inadequate physical infrastructure and human resource.</w:t>
      </w:r>
      <w:r w:rsidR="008E0E34" w:rsidRPr="0085651A">
        <w:rPr>
          <w:rFonts w:ascii="Times New Roman" w:hAnsi="Times New Roman" w:cs="Times New Roman"/>
          <w:sz w:val="24"/>
          <w:szCs w:val="24"/>
        </w:rPr>
        <w:t xml:space="preserve"> </w:t>
      </w:r>
      <w:r w:rsidR="009A4F1A" w:rsidRPr="0085651A">
        <w:rPr>
          <w:rFonts w:ascii="Times New Roman" w:hAnsi="Times New Roman" w:cs="Times New Roman"/>
          <w:sz w:val="24"/>
          <w:szCs w:val="24"/>
        </w:rPr>
        <w:t>The certification rates in the NCV level 4, N3 and N6 have been not been achieved as expected in the 2015/16 and 2016/17 financial years. A significant improvement has been recorded in the 2017/18 where targets were exceeded in the certification rates of both NC(V) Level 4, N3 and N6</w:t>
      </w:r>
      <w:r w:rsidR="008E0E34" w:rsidRPr="0085651A">
        <w:rPr>
          <w:rFonts w:ascii="Times New Roman" w:hAnsi="Times New Roman" w:cs="Times New Roman"/>
          <w:sz w:val="24"/>
          <w:szCs w:val="24"/>
        </w:rPr>
        <w:t>.</w:t>
      </w:r>
    </w:p>
    <w:p w14:paraId="1BFAD3E6" w14:textId="77777777" w:rsidR="000E26CC" w:rsidRPr="0085651A" w:rsidRDefault="000E26CC" w:rsidP="001B77A0">
      <w:pPr>
        <w:pStyle w:val="ListParagraph"/>
        <w:numPr>
          <w:ilvl w:val="0"/>
          <w:numId w:val="9"/>
        </w:numPr>
        <w:rPr>
          <w:rFonts w:ascii="Times New Roman" w:hAnsi="Times New Roman" w:cs="Times New Roman"/>
          <w:sz w:val="24"/>
          <w:szCs w:val="24"/>
        </w:rPr>
      </w:pPr>
      <w:r w:rsidRPr="0085651A">
        <w:rPr>
          <w:rFonts w:ascii="Times New Roman" w:hAnsi="Times New Roman" w:cs="Times New Roman"/>
          <w:sz w:val="24"/>
          <w:szCs w:val="24"/>
        </w:rPr>
        <w:t xml:space="preserve">There is noted disparity in the targets set for the TVET sector and the university sector. </w:t>
      </w:r>
      <w:r w:rsidR="00402437" w:rsidRPr="0085651A">
        <w:rPr>
          <w:rFonts w:ascii="Times New Roman" w:hAnsi="Times New Roman" w:cs="Times New Roman"/>
          <w:sz w:val="24"/>
          <w:szCs w:val="24"/>
        </w:rPr>
        <w:t>The Department specified university sector</w:t>
      </w:r>
      <w:r w:rsidR="00402437" w:rsidRPr="0085651A">
        <w:rPr>
          <w:rFonts w:ascii="Times New Roman" w:hAnsi="Times New Roman" w:cs="Times New Roman"/>
          <w:color w:val="FF0000"/>
          <w:sz w:val="24"/>
          <w:szCs w:val="24"/>
        </w:rPr>
        <w:t xml:space="preserve"> </w:t>
      </w:r>
      <w:r w:rsidRPr="0085651A">
        <w:rPr>
          <w:rFonts w:ascii="Times New Roman" w:hAnsi="Times New Roman" w:cs="Times New Roman"/>
          <w:sz w:val="24"/>
          <w:szCs w:val="24"/>
        </w:rPr>
        <w:t>target</w:t>
      </w:r>
      <w:r w:rsidR="00402437" w:rsidRPr="0085651A">
        <w:rPr>
          <w:rFonts w:ascii="Times New Roman" w:hAnsi="Times New Roman" w:cs="Times New Roman"/>
          <w:sz w:val="24"/>
          <w:szCs w:val="24"/>
        </w:rPr>
        <w:t>s for</w:t>
      </w:r>
      <w:r w:rsidRPr="0085651A">
        <w:rPr>
          <w:rFonts w:ascii="Times New Roman" w:hAnsi="Times New Roman" w:cs="Times New Roman"/>
          <w:sz w:val="24"/>
          <w:szCs w:val="24"/>
        </w:rPr>
        <w:t xml:space="preserve"> scarce and critical skills that require improved graduate outputs, while such targets are not set for the TVET sector.</w:t>
      </w:r>
    </w:p>
    <w:p w14:paraId="009FE032" w14:textId="77777777" w:rsidR="006F50CD" w:rsidRPr="0085651A" w:rsidRDefault="006F50CD" w:rsidP="001B77A0">
      <w:pPr>
        <w:pStyle w:val="ListParagraph"/>
        <w:numPr>
          <w:ilvl w:val="0"/>
          <w:numId w:val="9"/>
        </w:numPr>
        <w:rPr>
          <w:rFonts w:ascii="Times New Roman" w:hAnsi="Times New Roman" w:cs="Times New Roman"/>
          <w:sz w:val="24"/>
          <w:szCs w:val="24"/>
        </w:rPr>
      </w:pPr>
      <w:r w:rsidRPr="0085651A">
        <w:rPr>
          <w:rFonts w:ascii="Times New Roman" w:hAnsi="Times New Roman" w:cs="Times New Roman"/>
          <w:sz w:val="24"/>
          <w:szCs w:val="24"/>
        </w:rPr>
        <w:t>There has been a significant improvement in the reduction of the NC(V) certification backlog. However, the historic backlog of 80 000 NATED certificates and diplomas, as well as the GETC certification backlog remain a serious concern.</w:t>
      </w:r>
    </w:p>
    <w:p w14:paraId="10689624" w14:textId="77777777" w:rsidR="006F50CD" w:rsidRPr="0085651A" w:rsidRDefault="006F50CD" w:rsidP="001B77A0">
      <w:pPr>
        <w:pStyle w:val="ListParagraph"/>
        <w:numPr>
          <w:ilvl w:val="0"/>
          <w:numId w:val="9"/>
        </w:numPr>
        <w:rPr>
          <w:rFonts w:ascii="Times New Roman" w:hAnsi="Times New Roman" w:cs="Times New Roman"/>
          <w:sz w:val="24"/>
          <w:szCs w:val="24"/>
        </w:rPr>
      </w:pPr>
      <w:r w:rsidRPr="0085651A">
        <w:rPr>
          <w:rFonts w:ascii="Times New Roman" w:hAnsi="Times New Roman" w:cs="Times New Roman"/>
          <w:sz w:val="24"/>
          <w:szCs w:val="24"/>
        </w:rPr>
        <w:t>The backlog in the processing</w:t>
      </w:r>
      <w:r w:rsidR="00CB1D60" w:rsidRPr="0085651A">
        <w:rPr>
          <w:rFonts w:ascii="Times New Roman" w:hAnsi="Times New Roman" w:cs="Times New Roman"/>
          <w:sz w:val="24"/>
          <w:szCs w:val="24"/>
        </w:rPr>
        <w:t xml:space="preserve"> and payment</w:t>
      </w:r>
      <w:r w:rsidRPr="0085651A">
        <w:rPr>
          <w:rFonts w:ascii="Times New Roman" w:hAnsi="Times New Roman" w:cs="Times New Roman"/>
          <w:sz w:val="24"/>
          <w:szCs w:val="24"/>
        </w:rPr>
        <w:t xml:space="preserve"> of student allowances</w:t>
      </w:r>
      <w:r w:rsidR="00CB1D60" w:rsidRPr="0085651A">
        <w:rPr>
          <w:rFonts w:ascii="Times New Roman" w:hAnsi="Times New Roman" w:cs="Times New Roman"/>
          <w:sz w:val="24"/>
          <w:szCs w:val="24"/>
        </w:rPr>
        <w:t xml:space="preserve"> </w:t>
      </w:r>
      <w:r w:rsidRPr="0085651A">
        <w:rPr>
          <w:rFonts w:ascii="Times New Roman" w:hAnsi="Times New Roman" w:cs="Times New Roman"/>
          <w:sz w:val="24"/>
          <w:szCs w:val="24"/>
        </w:rPr>
        <w:t>by NSFAS remains a critical challenge for the sector. There is an indication of poor integration between NSFAS and colleges IT systems. Compounding the situation are the delays by colleges in submitting student enrolment data to NSFAS for processing their applications.</w:t>
      </w:r>
    </w:p>
    <w:p w14:paraId="17548A7F" w14:textId="77777777" w:rsidR="006F50CD" w:rsidRPr="0085651A" w:rsidRDefault="006F50CD" w:rsidP="001B77A0">
      <w:pPr>
        <w:pStyle w:val="ListParagraph"/>
        <w:numPr>
          <w:ilvl w:val="0"/>
          <w:numId w:val="9"/>
        </w:numPr>
        <w:rPr>
          <w:rFonts w:ascii="Times New Roman" w:hAnsi="Times New Roman" w:cs="Times New Roman"/>
          <w:sz w:val="24"/>
          <w:szCs w:val="24"/>
        </w:rPr>
      </w:pPr>
      <w:r w:rsidRPr="0085651A">
        <w:rPr>
          <w:rFonts w:ascii="Times New Roman" w:hAnsi="Times New Roman" w:cs="Times New Roman"/>
          <w:sz w:val="24"/>
          <w:szCs w:val="24"/>
        </w:rPr>
        <w:lastRenderedPageBreak/>
        <w:t>The shortage of student residences in the TVET sector remains a serious challenge, including the backlog in infrastructure maintenance.</w:t>
      </w:r>
    </w:p>
    <w:p w14:paraId="2151D795" w14:textId="77777777" w:rsidR="00070A05" w:rsidRPr="0085651A" w:rsidRDefault="00070A05" w:rsidP="001B77A0">
      <w:pPr>
        <w:pStyle w:val="ListParagraph"/>
        <w:numPr>
          <w:ilvl w:val="0"/>
          <w:numId w:val="9"/>
        </w:numPr>
        <w:rPr>
          <w:rFonts w:ascii="Times New Roman" w:hAnsi="Times New Roman" w:cs="Times New Roman"/>
          <w:sz w:val="24"/>
          <w:szCs w:val="24"/>
        </w:rPr>
      </w:pPr>
      <w:r w:rsidRPr="0085651A">
        <w:rPr>
          <w:rFonts w:ascii="Times New Roman" w:hAnsi="Times New Roman" w:cs="Times New Roman"/>
          <w:sz w:val="24"/>
          <w:szCs w:val="24"/>
        </w:rPr>
        <w:t>The delays in the filling of vacant positions in the TVET sector remains a serious challenge since the human resource functions of the Department are centralized at its head office.</w:t>
      </w:r>
    </w:p>
    <w:p w14:paraId="5BC83C1E" w14:textId="77777777" w:rsidR="00070A05" w:rsidRPr="0085651A" w:rsidRDefault="00070A05" w:rsidP="001B77A0">
      <w:pPr>
        <w:pStyle w:val="ListParagraph"/>
        <w:numPr>
          <w:ilvl w:val="0"/>
          <w:numId w:val="9"/>
        </w:numPr>
        <w:rPr>
          <w:rFonts w:ascii="Times New Roman" w:hAnsi="Times New Roman" w:cs="Times New Roman"/>
          <w:sz w:val="24"/>
          <w:szCs w:val="24"/>
        </w:rPr>
      </w:pPr>
      <w:r w:rsidRPr="0085651A">
        <w:rPr>
          <w:rFonts w:ascii="Times New Roman" w:hAnsi="Times New Roman" w:cs="Times New Roman"/>
          <w:sz w:val="24"/>
          <w:szCs w:val="24"/>
        </w:rPr>
        <w:t xml:space="preserve">The delays in the finalization of post provisioning norms for the TVET sector remains a challenge. </w:t>
      </w:r>
    </w:p>
    <w:p w14:paraId="2BB729F2" w14:textId="77777777" w:rsidR="009E4B45" w:rsidRPr="0085651A" w:rsidRDefault="00F429E8" w:rsidP="006C67E0">
      <w:pPr>
        <w:pStyle w:val="Default"/>
        <w:spacing w:line="360" w:lineRule="auto"/>
        <w:jc w:val="both"/>
        <w:rPr>
          <w:rFonts w:ascii="Times New Roman" w:hAnsi="Times New Roman" w:cs="Times New Roman"/>
          <w:b/>
        </w:rPr>
      </w:pPr>
      <w:r w:rsidRPr="0085651A">
        <w:rPr>
          <w:rFonts w:ascii="Times New Roman" w:hAnsi="Times New Roman" w:cs="Times New Roman"/>
          <w:b/>
        </w:rPr>
        <w:t>5</w:t>
      </w:r>
      <w:r w:rsidR="006C67E0" w:rsidRPr="0085651A">
        <w:rPr>
          <w:rFonts w:ascii="Times New Roman" w:hAnsi="Times New Roman" w:cs="Times New Roman"/>
          <w:b/>
        </w:rPr>
        <w:t>.</w:t>
      </w:r>
      <w:r w:rsidR="009E4B45" w:rsidRPr="0085651A">
        <w:rPr>
          <w:rFonts w:ascii="Times New Roman" w:hAnsi="Times New Roman" w:cs="Times New Roman"/>
          <w:b/>
        </w:rPr>
        <w:t>5</w:t>
      </w:r>
      <w:r w:rsidR="006C67E0" w:rsidRPr="0085651A">
        <w:rPr>
          <w:rFonts w:ascii="Times New Roman" w:hAnsi="Times New Roman" w:cs="Times New Roman"/>
          <w:b/>
        </w:rPr>
        <w:t xml:space="preserve">. </w:t>
      </w:r>
      <w:r w:rsidR="00050789" w:rsidRPr="0085651A">
        <w:rPr>
          <w:rFonts w:ascii="Times New Roman" w:hAnsi="Times New Roman" w:cs="Times New Roman"/>
          <w:b/>
        </w:rPr>
        <w:t xml:space="preserve">Programme 5: </w:t>
      </w:r>
      <w:r w:rsidR="009E4B45" w:rsidRPr="0085651A">
        <w:rPr>
          <w:rFonts w:ascii="Times New Roman" w:hAnsi="Times New Roman" w:cs="Times New Roman"/>
          <w:b/>
        </w:rPr>
        <w:t>Skills Development</w:t>
      </w:r>
    </w:p>
    <w:p w14:paraId="2CD0FF62" w14:textId="77777777" w:rsidR="00CE614D" w:rsidRPr="0085651A" w:rsidRDefault="00295916" w:rsidP="001B77A0">
      <w:pPr>
        <w:pStyle w:val="Default"/>
        <w:numPr>
          <w:ilvl w:val="0"/>
          <w:numId w:val="12"/>
        </w:numPr>
        <w:spacing w:line="360" w:lineRule="auto"/>
        <w:jc w:val="both"/>
        <w:rPr>
          <w:rFonts w:ascii="Times New Roman" w:hAnsi="Times New Roman" w:cs="Times New Roman"/>
        </w:rPr>
      </w:pPr>
      <w:r w:rsidRPr="0085651A">
        <w:rPr>
          <w:rFonts w:ascii="Times New Roman" w:hAnsi="Times New Roman" w:cs="Times New Roman"/>
        </w:rPr>
        <w:t xml:space="preserve">The programme received an allocation of R262.6 million for 2018/19, which increased </w:t>
      </w:r>
      <w:r w:rsidR="00CB1D60" w:rsidRPr="0085651A">
        <w:rPr>
          <w:rFonts w:ascii="Times New Roman" w:hAnsi="Times New Roman" w:cs="Times New Roman"/>
        </w:rPr>
        <w:t xml:space="preserve">by </w:t>
      </w:r>
      <w:r w:rsidRPr="0085651A">
        <w:rPr>
          <w:rFonts w:ascii="Times New Roman" w:hAnsi="Times New Roman" w:cs="Times New Roman"/>
        </w:rPr>
        <w:t>R13.2 million</w:t>
      </w:r>
      <w:r w:rsidR="00CB1D60" w:rsidRPr="0085651A">
        <w:rPr>
          <w:rFonts w:ascii="Times New Roman" w:hAnsi="Times New Roman" w:cs="Times New Roman"/>
        </w:rPr>
        <w:t xml:space="preserve"> from 2017/18</w:t>
      </w:r>
      <w:r w:rsidR="00000261" w:rsidRPr="0085651A">
        <w:rPr>
          <w:rFonts w:ascii="Times New Roman" w:hAnsi="Times New Roman" w:cs="Times New Roman"/>
        </w:rPr>
        <w:t xml:space="preserve">. This represents a nominal increase of 5.3 percent, which is </w:t>
      </w:r>
      <w:r w:rsidR="00402437" w:rsidRPr="0085651A">
        <w:rPr>
          <w:rFonts w:ascii="Times New Roman" w:hAnsi="Times New Roman" w:cs="Times New Roman"/>
        </w:rPr>
        <w:t xml:space="preserve">a </w:t>
      </w:r>
      <w:r w:rsidR="00000261" w:rsidRPr="0085651A">
        <w:rPr>
          <w:rFonts w:ascii="Times New Roman" w:hAnsi="Times New Roman" w:cs="Times New Roman"/>
        </w:rPr>
        <w:t xml:space="preserve">decrease of 0.2 percent in real terms when factoring inflation. </w:t>
      </w:r>
      <w:r w:rsidR="00FE3E22" w:rsidRPr="0085651A">
        <w:rPr>
          <w:rFonts w:ascii="Times New Roman" w:hAnsi="Times New Roman" w:cs="Times New Roman"/>
        </w:rPr>
        <w:t xml:space="preserve">Sub-programme 3: National Skills Development Services received a decreased allocation of R10.2 million in 2018/19 from R12.5 million in 2017/18. This sub-programme manages projects identified in the national skills development strategy, advises the Minister on the national skills development policy and strategy. </w:t>
      </w:r>
      <w:r w:rsidR="007D298F" w:rsidRPr="0085651A">
        <w:rPr>
          <w:rFonts w:ascii="Times New Roman" w:hAnsi="Times New Roman" w:cs="Times New Roman"/>
        </w:rPr>
        <w:t>The budget reduction in this sub-programme will have adverse effects on the work of the Branch and the critical advisory function on t</w:t>
      </w:r>
      <w:r w:rsidR="00F2605D" w:rsidRPr="0085651A">
        <w:rPr>
          <w:rFonts w:ascii="Times New Roman" w:hAnsi="Times New Roman" w:cs="Times New Roman"/>
        </w:rPr>
        <w:t>h</w:t>
      </w:r>
      <w:r w:rsidR="007D298F" w:rsidRPr="0085651A">
        <w:rPr>
          <w:rFonts w:ascii="Times New Roman" w:hAnsi="Times New Roman" w:cs="Times New Roman"/>
        </w:rPr>
        <w:t xml:space="preserve">e skills development policy and strategy. </w:t>
      </w:r>
    </w:p>
    <w:p w14:paraId="68E21D9A" w14:textId="77777777" w:rsidR="00521646" w:rsidRPr="0085651A" w:rsidRDefault="00D9169F" w:rsidP="001B77A0">
      <w:pPr>
        <w:pStyle w:val="Default"/>
        <w:numPr>
          <w:ilvl w:val="0"/>
          <w:numId w:val="12"/>
        </w:numPr>
        <w:spacing w:line="360" w:lineRule="auto"/>
        <w:jc w:val="both"/>
        <w:rPr>
          <w:rFonts w:ascii="Times New Roman" w:hAnsi="Times New Roman" w:cs="Times New Roman"/>
          <w:b/>
        </w:rPr>
      </w:pPr>
      <w:r w:rsidRPr="0085651A">
        <w:rPr>
          <w:rFonts w:ascii="Times New Roman" w:hAnsi="Times New Roman" w:cs="Times New Roman"/>
        </w:rPr>
        <w:t>The allocation in this programme will enable the Department to focus on improving the public skills development system my manag</w:t>
      </w:r>
      <w:r w:rsidR="00521646" w:rsidRPr="0085651A">
        <w:rPr>
          <w:rFonts w:ascii="Times New Roman" w:hAnsi="Times New Roman" w:cs="Times New Roman"/>
        </w:rPr>
        <w:t xml:space="preserve">ing performance of service </w:t>
      </w:r>
      <w:r w:rsidR="005D5D92" w:rsidRPr="0085651A">
        <w:rPr>
          <w:rFonts w:ascii="Times New Roman" w:hAnsi="Times New Roman" w:cs="Times New Roman"/>
        </w:rPr>
        <w:t>level</w:t>
      </w:r>
      <w:r w:rsidR="00521646" w:rsidRPr="0085651A">
        <w:rPr>
          <w:rFonts w:ascii="Times New Roman" w:hAnsi="Times New Roman" w:cs="Times New Roman"/>
        </w:rPr>
        <w:t xml:space="preserve"> agreements with SETAs more effectively. </w:t>
      </w:r>
      <w:r w:rsidR="00CB1D60" w:rsidRPr="0085651A">
        <w:rPr>
          <w:rFonts w:ascii="Times New Roman" w:hAnsi="Times New Roman" w:cs="Times New Roman"/>
        </w:rPr>
        <w:t>The f</w:t>
      </w:r>
      <w:r w:rsidR="00521646" w:rsidRPr="0085651A">
        <w:rPr>
          <w:rFonts w:ascii="Times New Roman" w:hAnsi="Times New Roman" w:cs="Times New Roman"/>
        </w:rPr>
        <w:t xml:space="preserve">unding </w:t>
      </w:r>
      <w:r w:rsidR="00636B21" w:rsidRPr="0085651A">
        <w:rPr>
          <w:rFonts w:ascii="Times New Roman" w:hAnsi="Times New Roman" w:cs="Times New Roman"/>
        </w:rPr>
        <w:t>will</w:t>
      </w:r>
      <w:r w:rsidR="00CB1D60" w:rsidRPr="0085651A">
        <w:rPr>
          <w:rFonts w:ascii="Times New Roman" w:hAnsi="Times New Roman" w:cs="Times New Roman"/>
        </w:rPr>
        <w:t xml:space="preserve"> also</w:t>
      </w:r>
      <w:r w:rsidR="00636B21" w:rsidRPr="0085651A">
        <w:rPr>
          <w:rFonts w:ascii="Times New Roman" w:hAnsi="Times New Roman" w:cs="Times New Roman"/>
        </w:rPr>
        <w:t xml:space="preserve"> enable the Department to ensure that the NDP/MTSF related targets to produce 21 1</w:t>
      </w:r>
      <w:r w:rsidR="00CB1D60" w:rsidRPr="0085651A">
        <w:rPr>
          <w:rFonts w:ascii="Times New Roman" w:hAnsi="Times New Roman" w:cs="Times New Roman"/>
        </w:rPr>
        <w:t>88</w:t>
      </w:r>
      <w:r w:rsidR="00636B21" w:rsidRPr="0085651A">
        <w:rPr>
          <w:rFonts w:ascii="Times New Roman" w:hAnsi="Times New Roman" w:cs="Times New Roman"/>
        </w:rPr>
        <w:t xml:space="preserve"> artisans per annum by 2019,</w:t>
      </w:r>
      <w:r w:rsidR="00CB1D60" w:rsidRPr="0085651A">
        <w:rPr>
          <w:rFonts w:ascii="Times New Roman" w:hAnsi="Times New Roman" w:cs="Times New Roman"/>
        </w:rPr>
        <w:t xml:space="preserve"> and</w:t>
      </w:r>
      <w:r w:rsidR="00636B21" w:rsidRPr="0085651A">
        <w:rPr>
          <w:rFonts w:ascii="Times New Roman" w:hAnsi="Times New Roman" w:cs="Times New Roman"/>
        </w:rPr>
        <w:t xml:space="preserve"> to create 140 000 work-based </w:t>
      </w:r>
      <w:r w:rsidR="005D5D92" w:rsidRPr="0085651A">
        <w:rPr>
          <w:rFonts w:ascii="Times New Roman" w:hAnsi="Times New Roman" w:cs="Times New Roman"/>
        </w:rPr>
        <w:t>learning</w:t>
      </w:r>
      <w:r w:rsidR="00CB1D60" w:rsidRPr="0085651A">
        <w:rPr>
          <w:rFonts w:ascii="Times New Roman" w:hAnsi="Times New Roman" w:cs="Times New Roman"/>
        </w:rPr>
        <w:t xml:space="preserve"> opportunities</w:t>
      </w:r>
      <w:r w:rsidR="005D5D92" w:rsidRPr="0085651A">
        <w:rPr>
          <w:rFonts w:ascii="Times New Roman" w:hAnsi="Times New Roman" w:cs="Times New Roman"/>
        </w:rPr>
        <w:t xml:space="preserve"> annually </w:t>
      </w:r>
      <w:r w:rsidR="00CB1D60" w:rsidRPr="0085651A">
        <w:rPr>
          <w:rFonts w:ascii="Times New Roman" w:hAnsi="Times New Roman" w:cs="Times New Roman"/>
        </w:rPr>
        <w:t>are achieved</w:t>
      </w:r>
      <w:r w:rsidR="00636B21" w:rsidRPr="0085651A">
        <w:rPr>
          <w:rFonts w:ascii="Times New Roman" w:hAnsi="Times New Roman" w:cs="Times New Roman"/>
        </w:rPr>
        <w:t>.</w:t>
      </w:r>
    </w:p>
    <w:p w14:paraId="45969654" w14:textId="77777777" w:rsidR="009E4B45" w:rsidRPr="0085651A" w:rsidRDefault="007C56F1" w:rsidP="001B77A0">
      <w:pPr>
        <w:pStyle w:val="Default"/>
        <w:numPr>
          <w:ilvl w:val="0"/>
          <w:numId w:val="12"/>
        </w:numPr>
        <w:spacing w:line="360" w:lineRule="auto"/>
        <w:jc w:val="both"/>
        <w:rPr>
          <w:rFonts w:ascii="Times New Roman" w:hAnsi="Times New Roman" w:cs="Times New Roman"/>
          <w:b/>
        </w:rPr>
      </w:pPr>
      <w:r w:rsidRPr="0085651A">
        <w:rPr>
          <w:rFonts w:ascii="Times New Roman" w:hAnsi="Times New Roman" w:cs="Times New Roman"/>
        </w:rPr>
        <w:t>The Committee was concerned about the duplication of functions among the SETAs, which served interrelated sectors.</w:t>
      </w:r>
    </w:p>
    <w:p w14:paraId="3D11F83F" w14:textId="77777777" w:rsidR="007C56F1" w:rsidRPr="0085651A" w:rsidRDefault="007C56F1" w:rsidP="001B77A0">
      <w:pPr>
        <w:pStyle w:val="BodyText"/>
        <w:numPr>
          <w:ilvl w:val="0"/>
          <w:numId w:val="12"/>
        </w:numPr>
        <w:spacing w:line="360" w:lineRule="auto"/>
        <w:jc w:val="both"/>
      </w:pPr>
      <w:r w:rsidRPr="0085651A">
        <w:t>The Committee was concerned that some SETAs developed performance indicators just to enroll learners and not to qualify them.</w:t>
      </w:r>
    </w:p>
    <w:p w14:paraId="756D59A8" w14:textId="77777777" w:rsidR="007C56F1" w:rsidRPr="0085651A" w:rsidRDefault="007C56F1" w:rsidP="001B77A0">
      <w:pPr>
        <w:pStyle w:val="BodyText"/>
        <w:numPr>
          <w:ilvl w:val="0"/>
          <w:numId w:val="11"/>
        </w:numPr>
        <w:spacing w:line="360" w:lineRule="auto"/>
        <w:jc w:val="both"/>
      </w:pPr>
      <w:r w:rsidRPr="0085651A">
        <w:t xml:space="preserve">The Committee was concerned about </w:t>
      </w:r>
      <w:r w:rsidR="00402437" w:rsidRPr="0085651A">
        <w:t xml:space="preserve">the </w:t>
      </w:r>
      <w:r w:rsidRPr="0085651A">
        <w:t xml:space="preserve">poor monitoring of the SETAs by the Department and the Auditor-General found that </w:t>
      </w:r>
      <w:r w:rsidR="005449FA" w:rsidRPr="0085651A">
        <w:t xml:space="preserve">the </w:t>
      </w:r>
      <w:r w:rsidRPr="0085651A">
        <w:t>targets set in most of the SETA</w:t>
      </w:r>
      <w:r w:rsidR="00CB1D60" w:rsidRPr="0085651A">
        <w:t>’</w:t>
      </w:r>
      <w:r w:rsidRPr="0085651A">
        <w:t xml:space="preserve"> APPs for 2018/19 financial were not well defined and some SETAs had duplicated performance indicators or targets.</w:t>
      </w:r>
    </w:p>
    <w:p w14:paraId="7F157AE3" w14:textId="77777777" w:rsidR="006C6354" w:rsidRPr="0085651A" w:rsidRDefault="006C6354" w:rsidP="001B77A0">
      <w:pPr>
        <w:pStyle w:val="BodyText"/>
        <w:numPr>
          <w:ilvl w:val="0"/>
          <w:numId w:val="11"/>
        </w:numPr>
        <w:spacing w:line="360" w:lineRule="auto"/>
        <w:jc w:val="both"/>
        <w:rPr>
          <w:color w:val="000000" w:themeColor="text1"/>
        </w:rPr>
      </w:pPr>
      <w:r w:rsidRPr="0085651A">
        <w:lastRenderedPageBreak/>
        <w:t>The low uptake of trade assessment at INDLELA remains a concern</w:t>
      </w:r>
      <w:r w:rsidR="00CB1D60" w:rsidRPr="0085651A">
        <w:t>.</w:t>
      </w:r>
      <w:r w:rsidRPr="0085651A">
        <w:t xml:space="preserve"> The Department should put systems in place to improve the accessibility of INDLELA to the public</w:t>
      </w:r>
      <w:r w:rsidRPr="0085651A">
        <w:rPr>
          <w:color w:val="000000" w:themeColor="text1"/>
        </w:rPr>
        <w:t>.</w:t>
      </w:r>
    </w:p>
    <w:p w14:paraId="76185637" w14:textId="77777777" w:rsidR="00E20996" w:rsidRPr="0085651A" w:rsidRDefault="00E20996" w:rsidP="001B77A0">
      <w:pPr>
        <w:pStyle w:val="BodyText"/>
        <w:numPr>
          <w:ilvl w:val="0"/>
          <w:numId w:val="11"/>
        </w:numPr>
        <w:spacing w:line="360" w:lineRule="auto"/>
        <w:jc w:val="both"/>
      </w:pPr>
      <w:r w:rsidRPr="0085651A">
        <w:t xml:space="preserve">The target of artisan qualifications </w:t>
      </w:r>
      <w:r w:rsidR="005D5D92" w:rsidRPr="0085651A">
        <w:t>has</w:t>
      </w:r>
      <w:r w:rsidRPr="0085651A">
        <w:t xml:space="preserve"> been met over time and qualification output has been high in this regard. However, this raises a new challenge due to the industry’s inability to absorb the high numbers of newly qualified artisans. This </w:t>
      </w:r>
      <w:r w:rsidR="000F2258" w:rsidRPr="0085651A">
        <w:t>significant issue</w:t>
      </w:r>
      <w:r w:rsidRPr="0085651A">
        <w:t xml:space="preserve"> has been mirrored in several sectors and professional qualifications. </w:t>
      </w:r>
    </w:p>
    <w:p w14:paraId="1EB070A5" w14:textId="77777777" w:rsidR="00CF749E" w:rsidRPr="0085651A" w:rsidRDefault="0041792D" w:rsidP="006C67E0">
      <w:pPr>
        <w:pStyle w:val="Default"/>
        <w:spacing w:line="360" w:lineRule="auto"/>
        <w:jc w:val="both"/>
        <w:rPr>
          <w:rFonts w:ascii="Times New Roman" w:hAnsi="Times New Roman" w:cs="Times New Roman"/>
          <w:b/>
          <w:color w:val="auto"/>
        </w:rPr>
      </w:pPr>
      <w:r w:rsidRPr="0085651A">
        <w:rPr>
          <w:rFonts w:ascii="Times New Roman" w:hAnsi="Times New Roman" w:cs="Times New Roman"/>
          <w:b/>
        </w:rPr>
        <w:t>5</w:t>
      </w:r>
      <w:r w:rsidR="009E4B45" w:rsidRPr="0085651A">
        <w:rPr>
          <w:rFonts w:ascii="Times New Roman" w:hAnsi="Times New Roman" w:cs="Times New Roman"/>
          <w:b/>
        </w:rPr>
        <w:t xml:space="preserve">.6. </w:t>
      </w:r>
      <w:r w:rsidR="00050789" w:rsidRPr="0085651A">
        <w:rPr>
          <w:rFonts w:ascii="Times New Roman" w:hAnsi="Times New Roman" w:cs="Times New Roman"/>
          <w:b/>
        </w:rPr>
        <w:t xml:space="preserve">Programme 6: </w:t>
      </w:r>
      <w:r w:rsidR="006C67E0" w:rsidRPr="0085651A">
        <w:rPr>
          <w:rFonts w:ascii="Times New Roman" w:hAnsi="Times New Roman" w:cs="Times New Roman"/>
          <w:b/>
        </w:rPr>
        <w:t xml:space="preserve">Community Education and Training </w:t>
      </w:r>
    </w:p>
    <w:p w14:paraId="71DE3CBC" w14:textId="77777777" w:rsidR="006C67E0" w:rsidRPr="0085651A" w:rsidRDefault="006C67E0" w:rsidP="001B77A0">
      <w:pPr>
        <w:pStyle w:val="ListParagraph"/>
        <w:numPr>
          <w:ilvl w:val="0"/>
          <w:numId w:val="10"/>
        </w:numPr>
        <w:autoSpaceDE w:val="0"/>
        <w:autoSpaceDN w:val="0"/>
        <w:adjustRightInd w:val="0"/>
        <w:rPr>
          <w:rFonts w:ascii="Times New Roman" w:hAnsi="Times New Roman" w:cs="Times New Roman"/>
          <w:sz w:val="24"/>
          <w:szCs w:val="24"/>
          <w:lang w:val="en-US"/>
        </w:rPr>
      </w:pPr>
      <w:r w:rsidRPr="0085651A">
        <w:rPr>
          <w:rFonts w:ascii="Times New Roman" w:hAnsi="Times New Roman" w:cs="Times New Roman"/>
          <w:sz w:val="24"/>
          <w:szCs w:val="24"/>
        </w:rPr>
        <w:t>The CET programme received an increased allocation of R2.358 billion in 2018/19 from R2.197 billion allocated in 2017/18</w:t>
      </w:r>
      <w:r w:rsidR="00CB1D60" w:rsidRPr="0085651A">
        <w:rPr>
          <w:rFonts w:ascii="Times New Roman" w:hAnsi="Times New Roman" w:cs="Times New Roman"/>
          <w:sz w:val="24"/>
          <w:szCs w:val="24"/>
        </w:rPr>
        <w:t>.</w:t>
      </w:r>
      <w:r w:rsidRPr="0085651A">
        <w:rPr>
          <w:rFonts w:ascii="Times New Roman" w:hAnsi="Times New Roman" w:cs="Times New Roman"/>
          <w:sz w:val="24"/>
          <w:szCs w:val="24"/>
        </w:rPr>
        <w:t xml:space="preserve"> </w:t>
      </w:r>
      <w:r w:rsidR="00CB1D60" w:rsidRPr="0085651A">
        <w:rPr>
          <w:rFonts w:ascii="Times New Roman" w:hAnsi="Times New Roman" w:cs="Times New Roman"/>
          <w:sz w:val="24"/>
          <w:szCs w:val="24"/>
        </w:rPr>
        <w:t>I</w:t>
      </w:r>
      <w:r w:rsidRPr="0085651A">
        <w:rPr>
          <w:rFonts w:ascii="Times New Roman" w:hAnsi="Times New Roman" w:cs="Times New Roman"/>
          <w:sz w:val="24"/>
          <w:szCs w:val="24"/>
        </w:rPr>
        <w:t xml:space="preserve">t should be noted that </w:t>
      </w:r>
      <w:r w:rsidRPr="0085651A">
        <w:rPr>
          <w:rFonts w:ascii="Times New Roman" w:hAnsi="Times New Roman" w:cs="Times New Roman"/>
          <w:sz w:val="24"/>
          <w:szCs w:val="24"/>
          <w:lang w:val="en-US"/>
        </w:rPr>
        <w:t xml:space="preserve">94.7 percent of the increase, R153.2 million is allocated for compensation of employees, while 3.7 percent of the total budget increase, R6 million is for the subsidies to CET Colleges. Furthermore, 92.6 percent of programme 6: CET’s total budget is allocated for compensation of employees. </w:t>
      </w:r>
      <w:r w:rsidRPr="0085651A">
        <w:rPr>
          <w:rFonts w:ascii="Times New Roman" w:hAnsi="Times New Roman" w:cs="Times New Roman"/>
          <w:sz w:val="24"/>
          <w:szCs w:val="24"/>
        </w:rPr>
        <w:t xml:space="preserve">The current inflation adjusted budget for the CET sector will not enable the Department to: </w:t>
      </w:r>
      <w:r w:rsidRPr="0085651A">
        <w:rPr>
          <w:rFonts w:ascii="Times New Roman" w:hAnsi="Times New Roman" w:cs="Times New Roman"/>
          <w:sz w:val="24"/>
          <w:szCs w:val="24"/>
          <w:lang w:val="en-US"/>
        </w:rPr>
        <w:t>standardize the conditions of services of the CET college staff, and to address maintenance needs of the teaching and learning facilities</w:t>
      </w:r>
      <w:r w:rsidR="00CB215E" w:rsidRPr="0085651A">
        <w:rPr>
          <w:rFonts w:ascii="Times New Roman" w:hAnsi="Times New Roman" w:cs="Times New Roman"/>
          <w:sz w:val="24"/>
          <w:szCs w:val="24"/>
          <w:lang w:val="en-US"/>
        </w:rPr>
        <w:t xml:space="preserve"> to provide adequate teaching and learning materials, strengthen</w:t>
      </w:r>
      <w:r w:rsidR="00512226" w:rsidRPr="0085651A">
        <w:rPr>
          <w:rFonts w:ascii="Times New Roman" w:hAnsi="Times New Roman" w:cs="Times New Roman"/>
          <w:sz w:val="24"/>
          <w:szCs w:val="24"/>
          <w:lang w:val="en-US"/>
        </w:rPr>
        <w:t>ing</w:t>
      </w:r>
      <w:r w:rsidR="00CB215E" w:rsidRPr="0085651A">
        <w:rPr>
          <w:rFonts w:ascii="Times New Roman" w:hAnsi="Times New Roman" w:cs="Times New Roman"/>
          <w:sz w:val="24"/>
          <w:szCs w:val="24"/>
          <w:lang w:val="en-US"/>
        </w:rPr>
        <w:t xml:space="preserve"> governance and management</w:t>
      </w:r>
      <w:r w:rsidRPr="0085651A">
        <w:rPr>
          <w:rFonts w:ascii="Times New Roman" w:hAnsi="Times New Roman" w:cs="Times New Roman"/>
          <w:sz w:val="24"/>
          <w:szCs w:val="24"/>
          <w:lang w:val="en-US"/>
        </w:rPr>
        <w:t xml:space="preserve">. </w:t>
      </w:r>
    </w:p>
    <w:p w14:paraId="75CCED7B" w14:textId="77777777" w:rsidR="006C67E0" w:rsidRPr="0085651A" w:rsidRDefault="0001619A" w:rsidP="001B77A0">
      <w:pPr>
        <w:pStyle w:val="Default"/>
        <w:numPr>
          <w:ilvl w:val="0"/>
          <w:numId w:val="10"/>
        </w:numPr>
        <w:spacing w:line="360" w:lineRule="auto"/>
        <w:jc w:val="both"/>
        <w:rPr>
          <w:rFonts w:ascii="Times New Roman" w:hAnsi="Times New Roman" w:cs="Times New Roman"/>
        </w:rPr>
      </w:pPr>
      <w:r w:rsidRPr="0085651A">
        <w:rPr>
          <w:rFonts w:ascii="Times New Roman" w:hAnsi="Times New Roman" w:cs="Times New Roman"/>
          <w:lang w:val="en-US"/>
        </w:rPr>
        <w:t xml:space="preserve">The Department has developed the National Senior Certificate for Adults (NASCA) to provide a general educational pathway for adults who have completed the General Education and Training Certificate (GETC NQF Level 1), and for people who have left school without an exit-level qualification, and provides the opportunity to acquire a school-leaving certificate, one which allows for the possibility of access to higher education also. The Department has also developed a General Education and Training Certificate for Adults (GETCA). The Department reported on 29 November 2017 that it has not been in a position to determine the implementation date for the two qualifications as funding has not been allocated, despite </w:t>
      </w:r>
      <w:r w:rsidR="00402437" w:rsidRPr="0085651A">
        <w:rPr>
          <w:rFonts w:ascii="Times New Roman" w:hAnsi="Times New Roman" w:cs="Times New Roman"/>
          <w:lang w:val="en-US"/>
        </w:rPr>
        <w:t xml:space="preserve">the </w:t>
      </w:r>
      <w:r w:rsidRPr="0085651A">
        <w:rPr>
          <w:rFonts w:ascii="Times New Roman" w:hAnsi="Times New Roman" w:cs="Times New Roman"/>
          <w:lang w:val="en-US"/>
        </w:rPr>
        <w:t xml:space="preserve">submission of funding bids to National Treasury. This is of great concern because without the required funding, this sector will not be able to realise its full mandate of providing lifelong </w:t>
      </w:r>
      <w:r w:rsidR="00CB1D60" w:rsidRPr="0085651A">
        <w:rPr>
          <w:rFonts w:ascii="Times New Roman" w:hAnsi="Times New Roman" w:cs="Times New Roman"/>
          <w:lang w:val="en-US"/>
        </w:rPr>
        <w:t>learning</w:t>
      </w:r>
      <w:r w:rsidRPr="0085651A">
        <w:rPr>
          <w:rFonts w:ascii="Times New Roman" w:hAnsi="Times New Roman" w:cs="Times New Roman"/>
          <w:lang w:val="en-US"/>
        </w:rPr>
        <w:t xml:space="preserve"> opportunities to the out of school youth and adults.</w:t>
      </w:r>
    </w:p>
    <w:p w14:paraId="51BF8B2F" w14:textId="77777777" w:rsidR="004677A0" w:rsidRPr="0085651A" w:rsidRDefault="004677A0" w:rsidP="001B77A0">
      <w:pPr>
        <w:pStyle w:val="ListParagraph"/>
        <w:numPr>
          <w:ilvl w:val="0"/>
          <w:numId w:val="10"/>
        </w:numPr>
        <w:autoSpaceDE w:val="0"/>
        <w:autoSpaceDN w:val="0"/>
        <w:adjustRightInd w:val="0"/>
        <w:rPr>
          <w:rFonts w:ascii="Times New Roman" w:hAnsi="Times New Roman" w:cs="Times New Roman"/>
          <w:sz w:val="24"/>
          <w:szCs w:val="24"/>
          <w:lang w:val="en-US"/>
        </w:rPr>
      </w:pPr>
      <w:r w:rsidRPr="0085651A">
        <w:rPr>
          <w:rFonts w:ascii="Times New Roman" w:hAnsi="Times New Roman" w:cs="Times New Roman"/>
          <w:sz w:val="24"/>
          <w:szCs w:val="24"/>
          <w:lang w:val="en-US"/>
        </w:rPr>
        <w:t>There are functions that cut across the SET</w:t>
      </w:r>
      <w:r w:rsidR="00402437" w:rsidRPr="0085651A">
        <w:rPr>
          <w:rFonts w:ascii="Times New Roman" w:hAnsi="Times New Roman" w:cs="Times New Roman"/>
          <w:sz w:val="24"/>
          <w:szCs w:val="24"/>
          <w:lang w:val="en-US"/>
        </w:rPr>
        <w:t>As,</w:t>
      </w:r>
      <w:r w:rsidR="008B042B" w:rsidRPr="0085651A">
        <w:rPr>
          <w:rFonts w:ascii="Times New Roman" w:hAnsi="Times New Roman" w:cs="Times New Roman"/>
          <w:sz w:val="24"/>
          <w:szCs w:val="24"/>
          <w:lang w:val="en-US"/>
        </w:rPr>
        <w:t xml:space="preserve"> such </w:t>
      </w:r>
      <w:r w:rsidR="000F2258" w:rsidRPr="0085651A">
        <w:rPr>
          <w:rFonts w:ascii="Times New Roman" w:hAnsi="Times New Roman" w:cs="Times New Roman"/>
          <w:sz w:val="24"/>
          <w:szCs w:val="24"/>
          <w:lang w:val="en-US"/>
        </w:rPr>
        <w:t>as addressing</w:t>
      </w:r>
      <w:r w:rsidRPr="0085651A">
        <w:rPr>
          <w:rFonts w:ascii="Times New Roman" w:hAnsi="Times New Roman" w:cs="Times New Roman"/>
          <w:sz w:val="24"/>
          <w:szCs w:val="24"/>
        </w:rPr>
        <w:t xml:space="preserve"> the low-level of youth and adult language and numeracy skills to enable additional training. This seeks to provide all young people leaving school with an opportunity to engage in training </w:t>
      </w:r>
      <w:r w:rsidRPr="0085651A">
        <w:rPr>
          <w:rFonts w:ascii="Times New Roman" w:hAnsi="Times New Roman" w:cs="Times New Roman"/>
          <w:sz w:val="24"/>
          <w:szCs w:val="24"/>
        </w:rPr>
        <w:lastRenderedPageBreak/>
        <w:t xml:space="preserve">or work experience, or improve their employability. </w:t>
      </w:r>
      <w:r w:rsidR="008B042B" w:rsidRPr="0085651A">
        <w:rPr>
          <w:rFonts w:ascii="Times New Roman" w:hAnsi="Times New Roman" w:cs="Times New Roman"/>
          <w:sz w:val="24"/>
          <w:szCs w:val="24"/>
        </w:rPr>
        <w:t>The p</w:t>
      </w:r>
      <w:r w:rsidRPr="0085651A">
        <w:rPr>
          <w:rFonts w:ascii="Times New Roman" w:hAnsi="Times New Roman" w:cs="Times New Roman"/>
          <w:sz w:val="24"/>
          <w:szCs w:val="24"/>
        </w:rPr>
        <w:t>artnerships between the SETAs/NSF and the CET Colleges are grossly inadequate or non-existence in this regard.</w:t>
      </w:r>
    </w:p>
    <w:p w14:paraId="3C4B5B86" w14:textId="77777777" w:rsidR="007D20A9" w:rsidRPr="0085651A" w:rsidRDefault="007D20A9" w:rsidP="001B77A0">
      <w:pPr>
        <w:pStyle w:val="BodyText"/>
        <w:numPr>
          <w:ilvl w:val="0"/>
          <w:numId w:val="10"/>
        </w:numPr>
        <w:spacing w:line="360" w:lineRule="auto"/>
        <w:jc w:val="both"/>
        <w:rPr>
          <w:b/>
        </w:rPr>
      </w:pPr>
      <w:r w:rsidRPr="0085651A">
        <w:t xml:space="preserve">There is still inadequate implementation of skills development programmes to respond to the local economic needs.  </w:t>
      </w:r>
    </w:p>
    <w:p w14:paraId="3202E82A" w14:textId="77777777" w:rsidR="007D20A9" w:rsidRPr="0085651A" w:rsidRDefault="007D20A9" w:rsidP="001B77A0">
      <w:pPr>
        <w:pStyle w:val="ListParagraph"/>
        <w:numPr>
          <w:ilvl w:val="0"/>
          <w:numId w:val="10"/>
        </w:numPr>
        <w:rPr>
          <w:rFonts w:ascii="Times New Roman" w:hAnsi="Times New Roman" w:cs="Times New Roman"/>
          <w:b/>
          <w:sz w:val="24"/>
          <w:szCs w:val="24"/>
        </w:rPr>
      </w:pPr>
      <w:r w:rsidRPr="0085651A">
        <w:rPr>
          <w:rFonts w:ascii="Times New Roman" w:hAnsi="Times New Roman" w:cs="Times New Roman"/>
          <w:sz w:val="24"/>
          <w:szCs w:val="24"/>
        </w:rPr>
        <w:t xml:space="preserve">Enrolment rates are not increasing in line with the projected NDP targets and the certification rate target has also not been achieved as planned. The success of the students is crucial and needs to be addressed urgently. There has been a significant increase in the number of learners who need to rewrite their matric as opposed to learners who require short-term skills programmes in the CET sector. </w:t>
      </w:r>
    </w:p>
    <w:p w14:paraId="34916DD9" w14:textId="77777777" w:rsidR="007D20A9" w:rsidRPr="0085651A" w:rsidRDefault="007D20A9" w:rsidP="001B77A0">
      <w:pPr>
        <w:pStyle w:val="ListParagraph"/>
        <w:numPr>
          <w:ilvl w:val="0"/>
          <w:numId w:val="10"/>
        </w:numPr>
        <w:autoSpaceDE w:val="0"/>
        <w:autoSpaceDN w:val="0"/>
        <w:adjustRightInd w:val="0"/>
        <w:rPr>
          <w:rFonts w:ascii="Times New Roman" w:hAnsi="Times New Roman" w:cs="Times New Roman"/>
          <w:sz w:val="24"/>
          <w:szCs w:val="24"/>
          <w:lang w:val="en-US"/>
        </w:rPr>
      </w:pPr>
      <w:r w:rsidRPr="0085651A">
        <w:rPr>
          <w:rFonts w:ascii="Times New Roman" w:hAnsi="Times New Roman" w:cs="Times New Roman"/>
          <w:sz w:val="24"/>
          <w:szCs w:val="24"/>
        </w:rPr>
        <w:t>The Committee noted that the Department has inherited different practices, as well as disparate funding and administrative regimes. This has placed some administrative strain on the Department.</w:t>
      </w:r>
    </w:p>
    <w:p w14:paraId="4A2FE876" w14:textId="77777777" w:rsidR="004A08D3" w:rsidRPr="0085651A" w:rsidRDefault="007D20A9" w:rsidP="001B77A0">
      <w:pPr>
        <w:pStyle w:val="BodyText"/>
        <w:numPr>
          <w:ilvl w:val="0"/>
          <w:numId w:val="10"/>
        </w:numPr>
        <w:spacing w:line="360" w:lineRule="auto"/>
        <w:jc w:val="both"/>
      </w:pPr>
      <w:r w:rsidRPr="0085651A">
        <w:t>The delays in the finalisation of harmonization of conditions of service of CET lecturers have noted with serious concern. Funding constraints have also seen rising protest action by CET lecturers’ union for the standardization of conditions of service as well as lack of address of CET infrastructure needs.</w:t>
      </w:r>
    </w:p>
    <w:p w14:paraId="2AF5CD69" w14:textId="77777777" w:rsidR="007D20A9" w:rsidRPr="0085651A" w:rsidRDefault="007D20A9" w:rsidP="001B77A0">
      <w:pPr>
        <w:pStyle w:val="ListParagraph"/>
        <w:numPr>
          <w:ilvl w:val="0"/>
          <w:numId w:val="10"/>
        </w:numPr>
        <w:rPr>
          <w:rFonts w:ascii="Times New Roman" w:hAnsi="Times New Roman" w:cs="Times New Roman"/>
          <w:b/>
          <w:sz w:val="24"/>
          <w:szCs w:val="24"/>
        </w:rPr>
      </w:pPr>
      <w:r w:rsidRPr="0085651A">
        <w:rPr>
          <w:rFonts w:ascii="Times New Roman" w:hAnsi="Times New Roman" w:cs="Times New Roman"/>
          <w:sz w:val="24"/>
          <w:szCs w:val="24"/>
        </w:rPr>
        <w:t>The CET colleges do not have the capacity to administer funds for their operational expenses. The TVET colleges manage the procurement processes on behalf CET colleges. This has a negative impact in the day-to-day management of CET colleges’ operations since they do not have control over their budget.</w:t>
      </w:r>
    </w:p>
    <w:p w14:paraId="32D6071E" w14:textId="77777777" w:rsidR="007D20A9" w:rsidRPr="0085651A" w:rsidRDefault="007D20A9" w:rsidP="001B77A0">
      <w:pPr>
        <w:pStyle w:val="ListParagraph"/>
        <w:numPr>
          <w:ilvl w:val="0"/>
          <w:numId w:val="10"/>
        </w:numPr>
        <w:rPr>
          <w:rFonts w:ascii="Times New Roman" w:hAnsi="Times New Roman" w:cs="Times New Roman"/>
          <w:b/>
          <w:sz w:val="24"/>
          <w:szCs w:val="24"/>
        </w:rPr>
      </w:pPr>
      <w:r w:rsidRPr="0085651A">
        <w:rPr>
          <w:rFonts w:ascii="Times New Roman" w:hAnsi="Times New Roman" w:cs="Times New Roman"/>
          <w:sz w:val="24"/>
          <w:szCs w:val="24"/>
        </w:rPr>
        <w:t xml:space="preserve"> The inadequate student enrolment data impacts on student certification in the CET sector, especially the General Education and Training Certificate (GETC) programme.</w:t>
      </w:r>
    </w:p>
    <w:p w14:paraId="57DBD8CC" w14:textId="77777777" w:rsidR="004677A0" w:rsidRPr="0085651A" w:rsidRDefault="007D20A9" w:rsidP="001B77A0">
      <w:pPr>
        <w:pStyle w:val="ListParagraph"/>
        <w:numPr>
          <w:ilvl w:val="0"/>
          <w:numId w:val="10"/>
        </w:numPr>
        <w:rPr>
          <w:rFonts w:ascii="Times New Roman" w:hAnsi="Times New Roman" w:cs="Times New Roman"/>
          <w:b/>
          <w:sz w:val="24"/>
          <w:szCs w:val="24"/>
        </w:rPr>
      </w:pPr>
      <w:r w:rsidRPr="0085651A">
        <w:rPr>
          <w:rFonts w:ascii="Times New Roman" w:hAnsi="Times New Roman" w:cs="Times New Roman"/>
          <w:sz w:val="24"/>
          <w:szCs w:val="24"/>
        </w:rPr>
        <w:t>Teaching and learning in the CET sector remain a concern. As a result, the certification and throughput rates of the sector remain very low.</w:t>
      </w:r>
    </w:p>
    <w:p w14:paraId="2818EE37" w14:textId="77777777" w:rsidR="00E3053D" w:rsidRPr="0085651A" w:rsidRDefault="0041792D" w:rsidP="00753202">
      <w:pPr>
        <w:pStyle w:val="Default"/>
        <w:spacing w:line="360" w:lineRule="auto"/>
        <w:jc w:val="both"/>
        <w:rPr>
          <w:rFonts w:ascii="Times New Roman" w:hAnsi="Times New Roman" w:cs="Times New Roman"/>
          <w:b/>
        </w:rPr>
      </w:pPr>
      <w:r w:rsidRPr="0085651A">
        <w:rPr>
          <w:rFonts w:ascii="Times New Roman" w:hAnsi="Times New Roman" w:cs="Times New Roman"/>
          <w:b/>
        </w:rPr>
        <w:t>6</w:t>
      </w:r>
      <w:r w:rsidR="00E3053D" w:rsidRPr="0085651A">
        <w:rPr>
          <w:rFonts w:ascii="Times New Roman" w:hAnsi="Times New Roman" w:cs="Times New Roman"/>
          <w:b/>
        </w:rPr>
        <w:t xml:space="preserve">. SUMMARY </w:t>
      </w:r>
    </w:p>
    <w:p w14:paraId="5F77813B" w14:textId="77777777" w:rsidR="0088614D" w:rsidRPr="0085651A" w:rsidRDefault="0088614D" w:rsidP="0088614D">
      <w:pPr>
        <w:rPr>
          <w:rFonts w:ascii="Times New Roman" w:hAnsi="Times New Roman" w:cs="Times New Roman"/>
          <w:sz w:val="24"/>
          <w:szCs w:val="24"/>
        </w:rPr>
      </w:pPr>
      <w:r w:rsidRPr="0085651A">
        <w:rPr>
          <w:rFonts w:ascii="Times New Roman" w:hAnsi="Times New Roman" w:cs="Times New Roman"/>
          <w:sz w:val="24"/>
          <w:szCs w:val="24"/>
        </w:rPr>
        <w:t xml:space="preserve">The Department of Higher Education and Training received a total allocation of R73.020 billion, </w:t>
      </w:r>
      <w:r w:rsidR="000F2258" w:rsidRPr="0085651A">
        <w:rPr>
          <w:rFonts w:ascii="Times New Roman" w:hAnsi="Times New Roman" w:cs="Times New Roman"/>
          <w:sz w:val="24"/>
          <w:szCs w:val="24"/>
        </w:rPr>
        <w:t>excluding direct</w:t>
      </w:r>
      <w:r w:rsidRPr="0085651A">
        <w:rPr>
          <w:rFonts w:ascii="Times New Roman" w:hAnsi="Times New Roman" w:cs="Times New Roman"/>
          <w:sz w:val="24"/>
          <w:szCs w:val="24"/>
        </w:rPr>
        <w:t xml:space="preserve"> charge</w:t>
      </w:r>
      <w:r w:rsidR="008B042B" w:rsidRPr="0085651A">
        <w:rPr>
          <w:rFonts w:ascii="Times New Roman" w:hAnsi="Times New Roman" w:cs="Times New Roman"/>
          <w:sz w:val="24"/>
          <w:szCs w:val="24"/>
        </w:rPr>
        <w:t>s</w:t>
      </w:r>
      <w:r w:rsidRPr="0085651A">
        <w:rPr>
          <w:rFonts w:ascii="Times New Roman" w:hAnsi="Times New Roman" w:cs="Times New Roman"/>
          <w:sz w:val="24"/>
          <w:szCs w:val="24"/>
        </w:rPr>
        <w:t xml:space="preserve"> from </w:t>
      </w:r>
      <w:r w:rsidR="00C94381" w:rsidRPr="0085651A">
        <w:rPr>
          <w:rFonts w:ascii="Times New Roman" w:hAnsi="Times New Roman" w:cs="Times New Roman"/>
          <w:sz w:val="24"/>
          <w:szCs w:val="24"/>
        </w:rPr>
        <w:t xml:space="preserve">the </w:t>
      </w:r>
      <w:r w:rsidRPr="0085651A">
        <w:rPr>
          <w:rFonts w:ascii="Times New Roman" w:hAnsi="Times New Roman" w:cs="Times New Roman"/>
          <w:sz w:val="24"/>
          <w:szCs w:val="24"/>
        </w:rPr>
        <w:t>National Revenue Fund. The budget increased by R20.715 billion from R52.307 billion allocated in 2017/18. The increase in the baseline funding is to cater for the implementation of fee-free education policy to support enrolled TVET Colleges and university students from South African households with a combined annual income of up to R350 000</w:t>
      </w:r>
      <w:r w:rsidR="00CA6813" w:rsidRPr="0085651A">
        <w:rPr>
          <w:rFonts w:ascii="Times New Roman" w:hAnsi="Times New Roman" w:cs="Times New Roman"/>
          <w:sz w:val="24"/>
          <w:szCs w:val="24"/>
        </w:rPr>
        <w:t xml:space="preserve"> per annum</w:t>
      </w:r>
      <w:r w:rsidRPr="0085651A">
        <w:rPr>
          <w:rFonts w:ascii="Times New Roman" w:hAnsi="Times New Roman" w:cs="Times New Roman"/>
          <w:sz w:val="24"/>
          <w:szCs w:val="24"/>
        </w:rPr>
        <w:t xml:space="preserve">. TVET Colleges and university students eligible </w:t>
      </w:r>
      <w:r w:rsidRPr="0085651A">
        <w:rPr>
          <w:rFonts w:ascii="Times New Roman" w:hAnsi="Times New Roman" w:cs="Times New Roman"/>
          <w:sz w:val="24"/>
          <w:szCs w:val="24"/>
        </w:rPr>
        <w:lastRenderedPageBreak/>
        <w:t>for financial assistance will be subsidised for full-cost of study, including: tuition fee</w:t>
      </w:r>
      <w:r w:rsidR="008B042B" w:rsidRPr="0085651A">
        <w:rPr>
          <w:rFonts w:ascii="Times New Roman" w:hAnsi="Times New Roman" w:cs="Times New Roman"/>
          <w:sz w:val="24"/>
          <w:szCs w:val="24"/>
        </w:rPr>
        <w:t>s</w:t>
      </w:r>
      <w:r w:rsidRPr="0085651A">
        <w:rPr>
          <w:rFonts w:ascii="Times New Roman" w:hAnsi="Times New Roman" w:cs="Times New Roman"/>
          <w:sz w:val="24"/>
          <w:szCs w:val="24"/>
        </w:rPr>
        <w:t>, prescribed study material, meals, accommodation and /or transport</w:t>
      </w:r>
      <w:r w:rsidR="008B042B" w:rsidRPr="0085651A">
        <w:rPr>
          <w:rFonts w:ascii="Times New Roman" w:hAnsi="Times New Roman" w:cs="Times New Roman"/>
          <w:sz w:val="24"/>
          <w:szCs w:val="24"/>
        </w:rPr>
        <w:t xml:space="preserve"> allowances</w:t>
      </w:r>
      <w:r w:rsidRPr="0085651A">
        <w:rPr>
          <w:rFonts w:ascii="Times New Roman" w:hAnsi="Times New Roman" w:cs="Times New Roman"/>
          <w:sz w:val="24"/>
          <w:szCs w:val="24"/>
        </w:rPr>
        <w:t xml:space="preserve">. Funding for NSFAS increased from R10.1 billion in 2017/18 to R20.334 billion in 2018/19. </w:t>
      </w:r>
    </w:p>
    <w:p w14:paraId="06A598B1" w14:textId="77777777" w:rsidR="0088614D" w:rsidRPr="0085651A" w:rsidRDefault="0088614D" w:rsidP="0088614D">
      <w:pPr>
        <w:rPr>
          <w:rFonts w:ascii="Times New Roman" w:hAnsi="Times New Roman" w:cs="Times New Roman"/>
          <w:sz w:val="24"/>
          <w:szCs w:val="24"/>
        </w:rPr>
      </w:pPr>
      <w:r w:rsidRPr="0085651A">
        <w:rPr>
          <w:rFonts w:ascii="Times New Roman" w:hAnsi="Times New Roman" w:cs="Times New Roman"/>
          <w:sz w:val="24"/>
          <w:szCs w:val="24"/>
        </w:rPr>
        <w:t>The increase in funding will go towards increasing government spending on universities as per percentage of Gross Domestic Product (GDP) which is expected to increase from 0.68 percent to 1 percent over the next five years, as well to increase earmarked grants to universities for the operationalisation of the three new universities ( University</w:t>
      </w:r>
      <w:r w:rsidR="008B042B" w:rsidRPr="0085651A">
        <w:rPr>
          <w:rFonts w:ascii="Times New Roman" w:hAnsi="Times New Roman" w:cs="Times New Roman"/>
          <w:sz w:val="24"/>
          <w:szCs w:val="24"/>
        </w:rPr>
        <w:t xml:space="preserve"> of Mpumalanga</w:t>
      </w:r>
      <w:r w:rsidRPr="0085651A">
        <w:rPr>
          <w:rFonts w:ascii="Times New Roman" w:hAnsi="Times New Roman" w:cs="Times New Roman"/>
          <w:sz w:val="24"/>
          <w:szCs w:val="24"/>
        </w:rPr>
        <w:t>, Sol Plaatje University and Sefako Makgatho University), Infrastructure Efficiency Grants to the 2</w:t>
      </w:r>
      <w:r w:rsidR="00F53454" w:rsidRPr="0085651A">
        <w:rPr>
          <w:rFonts w:ascii="Times New Roman" w:hAnsi="Times New Roman" w:cs="Times New Roman"/>
          <w:sz w:val="24"/>
          <w:szCs w:val="24"/>
        </w:rPr>
        <w:t>3</w:t>
      </w:r>
      <w:r w:rsidRPr="0085651A">
        <w:rPr>
          <w:rFonts w:ascii="Times New Roman" w:hAnsi="Times New Roman" w:cs="Times New Roman"/>
          <w:sz w:val="24"/>
          <w:szCs w:val="24"/>
        </w:rPr>
        <w:t xml:space="preserve"> universities and increased clinical grants.</w:t>
      </w:r>
    </w:p>
    <w:p w14:paraId="19DF7321" w14:textId="77777777" w:rsidR="0088614D" w:rsidRPr="0085651A" w:rsidRDefault="0088614D" w:rsidP="0088614D">
      <w:pPr>
        <w:rPr>
          <w:rFonts w:ascii="Times New Roman" w:hAnsi="Times New Roman" w:cs="Times New Roman"/>
          <w:sz w:val="24"/>
          <w:szCs w:val="24"/>
        </w:rPr>
      </w:pPr>
      <w:r w:rsidRPr="0085651A">
        <w:rPr>
          <w:rFonts w:ascii="Times New Roman" w:hAnsi="Times New Roman" w:cs="Times New Roman"/>
          <w:sz w:val="24"/>
          <w:szCs w:val="24"/>
        </w:rPr>
        <w:t>The TVET College sector has also benefitted from the increase in the baseline funding due to the introduction of the TVET infrastructure baseline funding to refurbish campus buildings, purchase workshop equipment and maintain existing facilities. Notwithstanding the significan</w:t>
      </w:r>
      <w:r w:rsidR="00837127" w:rsidRPr="0085651A">
        <w:rPr>
          <w:rFonts w:ascii="Times New Roman" w:hAnsi="Times New Roman" w:cs="Times New Roman"/>
          <w:sz w:val="24"/>
          <w:szCs w:val="24"/>
        </w:rPr>
        <w:t>t</w:t>
      </w:r>
      <w:r w:rsidRPr="0085651A">
        <w:rPr>
          <w:rFonts w:ascii="Times New Roman" w:hAnsi="Times New Roman" w:cs="Times New Roman"/>
          <w:sz w:val="24"/>
          <w:szCs w:val="24"/>
        </w:rPr>
        <w:t xml:space="preserve"> increase in the baseline funding, no</w:t>
      </w:r>
      <w:r w:rsidR="0017540A" w:rsidRPr="0085651A">
        <w:rPr>
          <w:rFonts w:ascii="Times New Roman" w:hAnsi="Times New Roman" w:cs="Times New Roman"/>
          <w:sz w:val="24"/>
          <w:szCs w:val="24"/>
        </w:rPr>
        <w:t xml:space="preserve"> funding</w:t>
      </w:r>
      <w:r w:rsidRPr="0085651A">
        <w:rPr>
          <w:rFonts w:ascii="Times New Roman" w:hAnsi="Times New Roman" w:cs="Times New Roman"/>
          <w:sz w:val="24"/>
          <w:szCs w:val="24"/>
        </w:rPr>
        <w:t xml:space="preserve"> provision has been </w:t>
      </w:r>
      <w:r w:rsidR="00837127" w:rsidRPr="0085651A">
        <w:rPr>
          <w:rFonts w:ascii="Times New Roman" w:hAnsi="Times New Roman" w:cs="Times New Roman"/>
          <w:sz w:val="24"/>
          <w:szCs w:val="24"/>
        </w:rPr>
        <w:t xml:space="preserve">made </w:t>
      </w:r>
      <w:r w:rsidRPr="0085651A">
        <w:rPr>
          <w:rFonts w:ascii="Times New Roman" w:hAnsi="Times New Roman" w:cs="Times New Roman"/>
          <w:sz w:val="24"/>
          <w:szCs w:val="24"/>
        </w:rPr>
        <w:t xml:space="preserve">towards increasing headcount enrolment in the TVET sector. Headcount </w:t>
      </w:r>
      <w:r w:rsidR="008E2C9E" w:rsidRPr="0085651A">
        <w:rPr>
          <w:rFonts w:ascii="Times New Roman" w:hAnsi="Times New Roman" w:cs="Times New Roman"/>
          <w:sz w:val="24"/>
          <w:szCs w:val="24"/>
        </w:rPr>
        <w:t>enrolment</w:t>
      </w:r>
      <w:r w:rsidRPr="0085651A">
        <w:rPr>
          <w:rFonts w:ascii="Times New Roman" w:hAnsi="Times New Roman" w:cs="Times New Roman"/>
          <w:sz w:val="24"/>
          <w:szCs w:val="24"/>
        </w:rPr>
        <w:t xml:space="preserve"> remains capped at 710 535 for the remainder of the MTSF period. The target to have 5 000 additional beds for students in the public TVET Colleges will also not be implemented due to lack of funding.  </w:t>
      </w:r>
    </w:p>
    <w:p w14:paraId="2C506EA3" w14:textId="77777777" w:rsidR="006774F2" w:rsidRPr="0085651A" w:rsidRDefault="0088614D" w:rsidP="00CF0341">
      <w:pPr>
        <w:rPr>
          <w:rFonts w:ascii="Times New Roman" w:hAnsi="Times New Roman" w:cs="Times New Roman"/>
          <w:sz w:val="24"/>
          <w:szCs w:val="24"/>
        </w:rPr>
      </w:pPr>
      <w:r w:rsidRPr="0085651A">
        <w:rPr>
          <w:rFonts w:ascii="Times New Roman" w:hAnsi="Times New Roman" w:cs="Times New Roman"/>
          <w:sz w:val="24"/>
          <w:szCs w:val="24"/>
        </w:rPr>
        <w:t xml:space="preserve">In line with the baseline funding increase, the Department has revised its 2015/16 – 2019/20 Strategic Plan. The targets that </w:t>
      </w:r>
      <w:r w:rsidR="00D61DB4" w:rsidRPr="0085651A">
        <w:rPr>
          <w:rFonts w:ascii="Times New Roman" w:hAnsi="Times New Roman" w:cs="Times New Roman"/>
          <w:sz w:val="24"/>
          <w:szCs w:val="24"/>
        </w:rPr>
        <w:t xml:space="preserve">were </w:t>
      </w:r>
      <w:r w:rsidRPr="0085651A">
        <w:rPr>
          <w:rFonts w:ascii="Times New Roman" w:hAnsi="Times New Roman" w:cs="Times New Roman"/>
          <w:sz w:val="24"/>
          <w:szCs w:val="24"/>
        </w:rPr>
        <w:t xml:space="preserve">revised downwards due to underfunding </w:t>
      </w:r>
      <w:r w:rsidR="0017540A" w:rsidRPr="0085651A">
        <w:rPr>
          <w:rFonts w:ascii="Times New Roman" w:hAnsi="Times New Roman" w:cs="Times New Roman"/>
          <w:sz w:val="24"/>
          <w:szCs w:val="24"/>
        </w:rPr>
        <w:t>were</w:t>
      </w:r>
      <w:r w:rsidRPr="0085651A">
        <w:rPr>
          <w:rFonts w:ascii="Times New Roman" w:hAnsi="Times New Roman" w:cs="Times New Roman"/>
          <w:sz w:val="24"/>
          <w:szCs w:val="24"/>
        </w:rPr>
        <w:t xml:space="preserve"> revised upwards</w:t>
      </w:r>
      <w:r w:rsidR="00D61DB4" w:rsidRPr="0085651A">
        <w:rPr>
          <w:rFonts w:ascii="Times New Roman" w:hAnsi="Times New Roman" w:cs="Times New Roman"/>
          <w:sz w:val="24"/>
          <w:szCs w:val="24"/>
        </w:rPr>
        <w:t xml:space="preserve"> for the remainder of the MTSF</w:t>
      </w:r>
      <w:r w:rsidRPr="0085651A">
        <w:rPr>
          <w:rFonts w:ascii="Times New Roman" w:hAnsi="Times New Roman" w:cs="Times New Roman"/>
          <w:sz w:val="24"/>
          <w:szCs w:val="24"/>
        </w:rPr>
        <w:t>. These are: NC(V) Level 4, N3 and N6. For the 2018/19 were revised to the original MTSF target of 65 percent. The following targets which were discontinued due lack of funding: 30 percent of TVET College lecturers undergoing specified hours in the industry for specified period every two years, 5</w:t>
      </w:r>
      <w:r w:rsidR="006A0B0C" w:rsidRPr="0085651A">
        <w:rPr>
          <w:rFonts w:ascii="Times New Roman" w:hAnsi="Times New Roman" w:cs="Times New Roman"/>
          <w:sz w:val="24"/>
          <w:szCs w:val="24"/>
        </w:rPr>
        <w:t xml:space="preserve"> </w:t>
      </w:r>
      <w:r w:rsidRPr="0085651A">
        <w:rPr>
          <w:rFonts w:ascii="Times New Roman" w:hAnsi="Times New Roman" w:cs="Times New Roman"/>
          <w:sz w:val="24"/>
          <w:szCs w:val="24"/>
        </w:rPr>
        <w:t xml:space="preserve">000 students entering foundation programmes were revised to the original MTSF targets. The targets on the number of qualifying TVET and university students obtaining NSFAS financial assistance annually were revised upwards to align with the current funding provision. New performance indicators were also introduced in the TVET programme, to monitor and report on infrastructure development as a result of the introduction of infrastructure maintenance grants for the sector. </w:t>
      </w:r>
    </w:p>
    <w:p w14:paraId="24B13F27" w14:textId="77777777" w:rsidR="0041792D" w:rsidRPr="0085651A" w:rsidRDefault="0041792D" w:rsidP="00753202">
      <w:pPr>
        <w:pStyle w:val="Default"/>
        <w:spacing w:line="360" w:lineRule="auto"/>
        <w:jc w:val="both"/>
        <w:rPr>
          <w:rFonts w:ascii="Times New Roman" w:hAnsi="Times New Roman" w:cs="Times New Roman"/>
          <w:b/>
        </w:rPr>
      </w:pPr>
    </w:p>
    <w:p w14:paraId="3ED09023" w14:textId="77777777" w:rsidR="00E3053D" w:rsidRPr="0085651A" w:rsidRDefault="0041792D" w:rsidP="00753202">
      <w:pPr>
        <w:pStyle w:val="Default"/>
        <w:spacing w:line="360" w:lineRule="auto"/>
        <w:jc w:val="both"/>
        <w:rPr>
          <w:rFonts w:ascii="Times New Roman" w:hAnsi="Times New Roman" w:cs="Times New Roman"/>
          <w:b/>
        </w:rPr>
      </w:pPr>
      <w:r w:rsidRPr="0085651A">
        <w:rPr>
          <w:rFonts w:ascii="Times New Roman" w:hAnsi="Times New Roman" w:cs="Times New Roman"/>
          <w:b/>
        </w:rPr>
        <w:t>7</w:t>
      </w:r>
      <w:r w:rsidR="00DE6433" w:rsidRPr="0085651A">
        <w:rPr>
          <w:rFonts w:ascii="Times New Roman" w:hAnsi="Times New Roman" w:cs="Times New Roman"/>
          <w:b/>
        </w:rPr>
        <w:t xml:space="preserve">. </w:t>
      </w:r>
      <w:r w:rsidR="00E3053D" w:rsidRPr="0085651A">
        <w:rPr>
          <w:rFonts w:ascii="Times New Roman" w:hAnsi="Times New Roman" w:cs="Times New Roman"/>
          <w:b/>
        </w:rPr>
        <w:t>RECOMMENDATIONS</w:t>
      </w:r>
    </w:p>
    <w:p w14:paraId="623667CE" w14:textId="77777777" w:rsidR="005C157B" w:rsidRPr="0085651A" w:rsidRDefault="00ED5FA0" w:rsidP="001F4B0D">
      <w:pPr>
        <w:rPr>
          <w:rFonts w:ascii="Times New Roman" w:hAnsi="Times New Roman" w:cs="Times New Roman"/>
          <w:sz w:val="24"/>
          <w:szCs w:val="24"/>
        </w:rPr>
      </w:pPr>
      <w:r w:rsidRPr="0085651A">
        <w:rPr>
          <w:rFonts w:ascii="Times New Roman" w:hAnsi="Times New Roman" w:cs="Times New Roman"/>
          <w:sz w:val="24"/>
          <w:szCs w:val="24"/>
        </w:rPr>
        <w:t>The Committee recommends that the Minister of Higher Education and Training consider the following:</w:t>
      </w:r>
    </w:p>
    <w:p w14:paraId="5C39228D" w14:textId="77777777" w:rsidR="001F4B0D" w:rsidRPr="0085651A" w:rsidRDefault="0041792D" w:rsidP="001F4B0D">
      <w:pPr>
        <w:rPr>
          <w:rFonts w:ascii="Times New Roman" w:hAnsi="Times New Roman" w:cs="Times New Roman"/>
          <w:b/>
          <w:sz w:val="24"/>
          <w:szCs w:val="24"/>
        </w:rPr>
      </w:pPr>
      <w:r w:rsidRPr="0085651A">
        <w:rPr>
          <w:rFonts w:ascii="Times New Roman" w:hAnsi="Times New Roman" w:cs="Times New Roman"/>
          <w:b/>
          <w:sz w:val="24"/>
          <w:szCs w:val="24"/>
        </w:rPr>
        <w:lastRenderedPageBreak/>
        <w:t>7</w:t>
      </w:r>
      <w:r w:rsidR="006774F2" w:rsidRPr="0085651A">
        <w:rPr>
          <w:rFonts w:ascii="Times New Roman" w:hAnsi="Times New Roman" w:cs="Times New Roman"/>
          <w:b/>
          <w:sz w:val="24"/>
          <w:szCs w:val="24"/>
        </w:rPr>
        <w:t xml:space="preserve">.1. </w:t>
      </w:r>
      <w:r w:rsidR="006F3B44" w:rsidRPr="0085651A">
        <w:rPr>
          <w:rFonts w:ascii="Times New Roman" w:hAnsi="Times New Roman" w:cs="Times New Roman"/>
          <w:b/>
          <w:sz w:val="24"/>
          <w:szCs w:val="24"/>
        </w:rPr>
        <w:t>Programme 1: Administration</w:t>
      </w:r>
    </w:p>
    <w:p w14:paraId="16EF5776" w14:textId="77777777" w:rsidR="008649BE" w:rsidRPr="0085651A" w:rsidRDefault="008649BE" w:rsidP="001B77A0">
      <w:pPr>
        <w:pStyle w:val="ListParagraph"/>
        <w:numPr>
          <w:ilvl w:val="0"/>
          <w:numId w:val="6"/>
        </w:numPr>
        <w:rPr>
          <w:rFonts w:ascii="Times New Roman" w:hAnsi="Times New Roman" w:cs="Times New Roman"/>
          <w:b/>
          <w:sz w:val="24"/>
          <w:szCs w:val="24"/>
        </w:rPr>
      </w:pPr>
      <w:r w:rsidRPr="0085651A">
        <w:rPr>
          <w:rFonts w:ascii="Times New Roman" w:hAnsi="Times New Roman" w:cs="Times New Roman"/>
          <w:sz w:val="24"/>
          <w:szCs w:val="24"/>
        </w:rPr>
        <w:t>The programme has received a budget reduction of R28.2 million over the MTEF</w:t>
      </w:r>
      <w:r w:rsidR="00CA2CDC" w:rsidRPr="0085651A">
        <w:rPr>
          <w:rFonts w:ascii="Times New Roman" w:hAnsi="Times New Roman" w:cs="Times New Roman"/>
          <w:sz w:val="24"/>
          <w:szCs w:val="24"/>
        </w:rPr>
        <w:t xml:space="preserve"> period</w:t>
      </w:r>
      <w:r w:rsidRPr="0085651A">
        <w:rPr>
          <w:rFonts w:ascii="Times New Roman" w:hAnsi="Times New Roman" w:cs="Times New Roman"/>
          <w:sz w:val="24"/>
          <w:szCs w:val="24"/>
        </w:rPr>
        <w:t xml:space="preserve">. Despite the assurance by the Department </w:t>
      </w:r>
      <w:r w:rsidR="00CA2CDC" w:rsidRPr="0085651A">
        <w:rPr>
          <w:rFonts w:ascii="Times New Roman" w:hAnsi="Times New Roman" w:cs="Times New Roman"/>
          <w:sz w:val="24"/>
          <w:szCs w:val="24"/>
        </w:rPr>
        <w:t xml:space="preserve">that </w:t>
      </w:r>
      <w:r w:rsidRPr="0085651A">
        <w:rPr>
          <w:rFonts w:ascii="Times New Roman" w:hAnsi="Times New Roman" w:cs="Times New Roman"/>
          <w:sz w:val="24"/>
          <w:szCs w:val="24"/>
        </w:rPr>
        <w:t xml:space="preserve">the reduction will be accommodated by cost-containment measures, the operational budget of the Department has been </w:t>
      </w:r>
      <w:r w:rsidR="00754215" w:rsidRPr="0085651A">
        <w:rPr>
          <w:rFonts w:ascii="Times New Roman" w:hAnsi="Times New Roman" w:cs="Times New Roman"/>
          <w:sz w:val="24"/>
          <w:szCs w:val="24"/>
        </w:rPr>
        <w:t xml:space="preserve">constraint </w:t>
      </w:r>
      <w:r w:rsidRPr="0085651A">
        <w:rPr>
          <w:rFonts w:ascii="Times New Roman" w:hAnsi="Times New Roman" w:cs="Times New Roman"/>
          <w:sz w:val="24"/>
          <w:szCs w:val="24"/>
        </w:rPr>
        <w:t>and the reduction will further compound the current challenges</w:t>
      </w:r>
      <w:r w:rsidR="00754215" w:rsidRPr="0085651A">
        <w:rPr>
          <w:rFonts w:ascii="Times New Roman" w:hAnsi="Times New Roman" w:cs="Times New Roman"/>
          <w:sz w:val="24"/>
          <w:szCs w:val="24"/>
        </w:rPr>
        <w:t>.</w:t>
      </w:r>
      <w:r w:rsidRPr="0085651A">
        <w:rPr>
          <w:rFonts w:ascii="Times New Roman" w:hAnsi="Times New Roman" w:cs="Times New Roman"/>
          <w:sz w:val="24"/>
          <w:szCs w:val="24"/>
        </w:rPr>
        <w:t xml:space="preserve"> </w:t>
      </w:r>
      <w:r w:rsidR="00677D8A" w:rsidRPr="0085651A">
        <w:rPr>
          <w:rFonts w:ascii="Times New Roman" w:hAnsi="Times New Roman" w:cs="Times New Roman"/>
          <w:sz w:val="24"/>
          <w:szCs w:val="24"/>
        </w:rPr>
        <w:t xml:space="preserve">Without adequate funding, the Department will continue to experience capacity </w:t>
      </w:r>
      <w:r w:rsidR="001A3AF1" w:rsidRPr="0085651A">
        <w:rPr>
          <w:rFonts w:ascii="Times New Roman" w:hAnsi="Times New Roman" w:cs="Times New Roman"/>
          <w:sz w:val="24"/>
          <w:szCs w:val="24"/>
        </w:rPr>
        <w:t>constraints</w:t>
      </w:r>
      <w:r w:rsidR="00677D8A" w:rsidRPr="0085651A">
        <w:rPr>
          <w:rFonts w:ascii="Times New Roman" w:hAnsi="Times New Roman" w:cs="Times New Roman"/>
          <w:sz w:val="24"/>
          <w:szCs w:val="24"/>
        </w:rPr>
        <w:t xml:space="preserve"> to implement the planned targets</w:t>
      </w:r>
      <w:r w:rsidR="00754215" w:rsidRPr="0085651A">
        <w:rPr>
          <w:rFonts w:ascii="Times New Roman" w:hAnsi="Times New Roman" w:cs="Times New Roman"/>
          <w:sz w:val="24"/>
          <w:szCs w:val="24"/>
        </w:rPr>
        <w:t>, especially in the Corporate Services sub-programme</w:t>
      </w:r>
      <w:r w:rsidR="00677D8A" w:rsidRPr="0085651A">
        <w:rPr>
          <w:rFonts w:ascii="Times New Roman" w:hAnsi="Times New Roman" w:cs="Times New Roman"/>
          <w:sz w:val="24"/>
          <w:szCs w:val="24"/>
        </w:rPr>
        <w:t xml:space="preserve">. </w:t>
      </w:r>
      <w:r w:rsidR="00754215" w:rsidRPr="0085651A">
        <w:rPr>
          <w:rFonts w:ascii="Times New Roman" w:hAnsi="Times New Roman" w:cs="Times New Roman"/>
          <w:sz w:val="24"/>
          <w:szCs w:val="24"/>
        </w:rPr>
        <w:t>Consideration for additional funding should be made towards improving the administrative capacit</w:t>
      </w:r>
      <w:r w:rsidR="009C2CF8" w:rsidRPr="0085651A">
        <w:rPr>
          <w:rFonts w:ascii="Times New Roman" w:hAnsi="Times New Roman" w:cs="Times New Roman"/>
          <w:sz w:val="24"/>
          <w:szCs w:val="24"/>
        </w:rPr>
        <w:t>y of the Department.</w:t>
      </w:r>
    </w:p>
    <w:p w14:paraId="76FB1458" w14:textId="77777777" w:rsidR="008649BE" w:rsidRPr="0085651A" w:rsidRDefault="008649BE" w:rsidP="001B77A0">
      <w:pPr>
        <w:pStyle w:val="ListParagraph"/>
        <w:numPr>
          <w:ilvl w:val="0"/>
          <w:numId w:val="2"/>
        </w:numPr>
        <w:rPr>
          <w:rFonts w:ascii="Times New Roman" w:hAnsi="Times New Roman" w:cs="Times New Roman"/>
          <w:sz w:val="24"/>
          <w:szCs w:val="24"/>
        </w:rPr>
      </w:pPr>
      <w:r w:rsidRPr="0085651A">
        <w:rPr>
          <w:rFonts w:ascii="Times New Roman" w:hAnsi="Times New Roman" w:cs="Times New Roman"/>
          <w:sz w:val="24"/>
          <w:szCs w:val="24"/>
        </w:rPr>
        <w:t xml:space="preserve">The capacity to deal with recruitment and </w:t>
      </w:r>
      <w:r w:rsidR="001A3AF1" w:rsidRPr="0085651A">
        <w:rPr>
          <w:rFonts w:ascii="Times New Roman" w:hAnsi="Times New Roman" w:cs="Times New Roman"/>
          <w:sz w:val="24"/>
          <w:szCs w:val="24"/>
        </w:rPr>
        <w:t>selection</w:t>
      </w:r>
      <w:r w:rsidRPr="0085651A">
        <w:rPr>
          <w:rFonts w:ascii="Times New Roman" w:hAnsi="Times New Roman" w:cs="Times New Roman"/>
          <w:sz w:val="24"/>
          <w:szCs w:val="24"/>
        </w:rPr>
        <w:t xml:space="preserve"> challenges need to be addressed. The implementation of the e-recruitment system should be fast tracked to eliminate the processing of the large volume of applications received for advertised posts.</w:t>
      </w:r>
      <w:r w:rsidR="004D586F" w:rsidRPr="0085651A">
        <w:rPr>
          <w:rFonts w:ascii="Times New Roman" w:hAnsi="Times New Roman" w:cs="Times New Roman"/>
          <w:sz w:val="24"/>
          <w:szCs w:val="24"/>
        </w:rPr>
        <w:t xml:space="preserve"> </w:t>
      </w:r>
      <w:r w:rsidR="00710328" w:rsidRPr="0085651A">
        <w:rPr>
          <w:rFonts w:ascii="Times New Roman" w:hAnsi="Times New Roman" w:cs="Times New Roman"/>
          <w:sz w:val="24"/>
          <w:szCs w:val="24"/>
        </w:rPr>
        <w:t xml:space="preserve">In addition, the Department should </w:t>
      </w:r>
      <w:r w:rsidR="00DB7B1B" w:rsidRPr="0085651A">
        <w:rPr>
          <w:rFonts w:ascii="Times New Roman" w:hAnsi="Times New Roman" w:cs="Times New Roman"/>
          <w:sz w:val="24"/>
          <w:szCs w:val="24"/>
        </w:rPr>
        <w:t xml:space="preserve">consider </w:t>
      </w:r>
      <w:r w:rsidR="00710328" w:rsidRPr="0085651A">
        <w:rPr>
          <w:rFonts w:ascii="Times New Roman" w:hAnsi="Times New Roman" w:cs="Times New Roman"/>
          <w:sz w:val="24"/>
          <w:szCs w:val="24"/>
        </w:rPr>
        <w:t>appoint</w:t>
      </w:r>
      <w:r w:rsidR="00DB7B1B" w:rsidRPr="0085651A">
        <w:rPr>
          <w:rFonts w:ascii="Times New Roman" w:hAnsi="Times New Roman" w:cs="Times New Roman"/>
          <w:sz w:val="24"/>
          <w:szCs w:val="24"/>
        </w:rPr>
        <w:t>ing</w:t>
      </w:r>
      <w:r w:rsidR="00710328" w:rsidRPr="0085651A">
        <w:rPr>
          <w:rFonts w:ascii="Times New Roman" w:hAnsi="Times New Roman" w:cs="Times New Roman"/>
          <w:sz w:val="24"/>
          <w:szCs w:val="24"/>
        </w:rPr>
        <w:t xml:space="preserve"> a Director to deal with administration. </w:t>
      </w:r>
    </w:p>
    <w:p w14:paraId="194862F1" w14:textId="77777777" w:rsidR="008649BE" w:rsidRPr="0085651A" w:rsidRDefault="008649BE" w:rsidP="001B77A0">
      <w:pPr>
        <w:pStyle w:val="ListParagraph"/>
        <w:numPr>
          <w:ilvl w:val="0"/>
          <w:numId w:val="2"/>
        </w:numPr>
        <w:rPr>
          <w:rFonts w:ascii="Times New Roman" w:hAnsi="Times New Roman" w:cs="Times New Roman"/>
          <w:sz w:val="24"/>
          <w:szCs w:val="24"/>
        </w:rPr>
      </w:pPr>
      <w:r w:rsidRPr="0085651A">
        <w:rPr>
          <w:rFonts w:ascii="Times New Roman" w:hAnsi="Times New Roman" w:cs="Times New Roman"/>
          <w:sz w:val="24"/>
          <w:szCs w:val="24"/>
        </w:rPr>
        <w:t xml:space="preserve">The centralisation of the Department’s HR functions at the head office contributes to the significant delays in resolving queries from TVET colleges and other institutions. The capacitation of regional offices should be prioritised to support PSET institutions at regional and provincial levels. </w:t>
      </w:r>
    </w:p>
    <w:p w14:paraId="09086B7B" w14:textId="77777777" w:rsidR="008649BE" w:rsidRPr="0085651A" w:rsidRDefault="008649BE" w:rsidP="001B77A0">
      <w:pPr>
        <w:pStyle w:val="ListParagraph"/>
        <w:numPr>
          <w:ilvl w:val="0"/>
          <w:numId w:val="5"/>
        </w:numPr>
        <w:rPr>
          <w:rFonts w:ascii="Times New Roman" w:hAnsi="Times New Roman" w:cs="Times New Roman"/>
          <w:b/>
          <w:sz w:val="24"/>
          <w:szCs w:val="24"/>
        </w:rPr>
      </w:pPr>
      <w:r w:rsidRPr="0085651A">
        <w:rPr>
          <w:rFonts w:ascii="Times New Roman" w:hAnsi="Times New Roman" w:cs="Times New Roman"/>
          <w:sz w:val="24"/>
          <w:szCs w:val="24"/>
        </w:rPr>
        <w:t>The filling of the Deputy Director General (DDG) positions for programmes 3, 4 and 6 should be fast tracked.</w:t>
      </w:r>
    </w:p>
    <w:p w14:paraId="230FFC71" w14:textId="77777777" w:rsidR="006F3B44" w:rsidRPr="0085651A" w:rsidRDefault="0041792D" w:rsidP="001F4B0D">
      <w:pPr>
        <w:rPr>
          <w:rFonts w:ascii="Times New Roman" w:hAnsi="Times New Roman" w:cs="Times New Roman"/>
          <w:b/>
          <w:sz w:val="24"/>
          <w:szCs w:val="24"/>
        </w:rPr>
      </w:pPr>
      <w:r w:rsidRPr="0085651A">
        <w:rPr>
          <w:rFonts w:ascii="Times New Roman" w:hAnsi="Times New Roman" w:cs="Times New Roman"/>
          <w:b/>
          <w:sz w:val="24"/>
          <w:szCs w:val="24"/>
        </w:rPr>
        <w:t>7</w:t>
      </w:r>
      <w:r w:rsidR="006774F2" w:rsidRPr="0085651A">
        <w:rPr>
          <w:rFonts w:ascii="Times New Roman" w:hAnsi="Times New Roman" w:cs="Times New Roman"/>
          <w:b/>
          <w:sz w:val="24"/>
          <w:szCs w:val="24"/>
        </w:rPr>
        <w:t xml:space="preserve">.2. </w:t>
      </w:r>
      <w:r w:rsidR="006F3B44" w:rsidRPr="0085651A">
        <w:rPr>
          <w:rFonts w:ascii="Times New Roman" w:hAnsi="Times New Roman" w:cs="Times New Roman"/>
          <w:b/>
          <w:sz w:val="24"/>
          <w:szCs w:val="24"/>
        </w:rPr>
        <w:t>Programme 2: Planning, Policy &amp; Strategy</w:t>
      </w:r>
    </w:p>
    <w:p w14:paraId="37543BB7" w14:textId="77777777" w:rsidR="00B93337" w:rsidRPr="0085651A" w:rsidRDefault="00D2736A" w:rsidP="001B77A0">
      <w:pPr>
        <w:pStyle w:val="ListParagraph"/>
        <w:numPr>
          <w:ilvl w:val="0"/>
          <w:numId w:val="5"/>
        </w:numPr>
        <w:rPr>
          <w:rFonts w:ascii="Times New Roman" w:hAnsi="Times New Roman" w:cs="Times New Roman"/>
          <w:b/>
          <w:sz w:val="24"/>
          <w:szCs w:val="24"/>
        </w:rPr>
      </w:pPr>
      <w:r w:rsidRPr="0085651A">
        <w:rPr>
          <w:rFonts w:ascii="Times New Roman" w:hAnsi="Times New Roman" w:cs="Times New Roman"/>
          <w:sz w:val="24"/>
          <w:szCs w:val="24"/>
        </w:rPr>
        <w:t xml:space="preserve">A credible management information system is critical to inform and create credible and reliable labour market skills planning for the country. The lack of management information systems (MIS) to provide reliable data for the TVET and CET sectors performance outputs should be urgently addressed. </w:t>
      </w:r>
      <w:r w:rsidR="00B93337" w:rsidRPr="0085651A">
        <w:rPr>
          <w:rFonts w:ascii="Times New Roman" w:hAnsi="Times New Roman" w:cs="Times New Roman"/>
          <w:sz w:val="24"/>
          <w:szCs w:val="24"/>
        </w:rPr>
        <w:t>The development of a reliable and functional management information system (MIS) for the CET, TVET and Skills Development programmes should be prioritised. This will enable the programme</w:t>
      </w:r>
      <w:r w:rsidRPr="0085651A">
        <w:rPr>
          <w:rFonts w:ascii="Times New Roman" w:hAnsi="Times New Roman" w:cs="Times New Roman"/>
          <w:sz w:val="24"/>
          <w:szCs w:val="24"/>
        </w:rPr>
        <w:t xml:space="preserve">s to plan and for efficient use of resources. </w:t>
      </w:r>
    </w:p>
    <w:p w14:paraId="3583ABF4" w14:textId="77777777" w:rsidR="003D589E" w:rsidRPr="0085651A" w:rsidRDefault="003D589E" w:rsidP="001B77A0">
      <w:pPr>
        <w:pStyle w:val="ListParagraph"/>
        <w:numPr>
          <w:ilvl w:val="0"/>
          <w:numId w:val="5"/>
        </w:numPr>
        <w:rPr>
          <w:rFonts w:ascii="Times New Roman" w:hAnsi="Times New Roman" w:cs="Times New Roman"/>
          <w:b/>
          <w:sz w:val="24"/>
          <w:szCs w:val="24"/>
        </w:rPr>
      </w:pPr>
      <w:r w:rsidRPr="0085651A">
        <w:rPr>
          <w:rFonts w:ascii="Times New Roman" w:hAnsi="Times New Roman" w:cs="Times New Roman"/>
          <w:sz w:val="24"/>
          <w:szCs w:val="24"/>
        </w:rPr>
        <w:t xml:space="preserve">The marginal budget increase for the Social Inclusion in Education sub-programme, will impact negatively on achievement of transformation in the PSET sector and the goals of equity and redress. Consideration for additional funding should be made </w:t>
      </w:r>
      <w:r w:rsidRPr="0085651A">
        <w:rPr>
          <w:rFonts w:ascii="Times New Roman" w:hAnsi="Times New Roman" w:cs="Times New Roman"/>
          <w:sz w:val="24"/>
          <w:szCs w:val="24"/>
        </w:rPr>
        <w:lastRenderedPageBreak/>
        <w:t xml:space="preserve">towards this programme to support social inclusion policy implementation, including monitoring and evaluation. </w:t>
      </w:r>
    </w:p>
    <w:p w14:paraId="17688CA1" w14:textId="77777777" w:rsidR="00B93337" w:rsidRPr="0085651A" w:rsidRDefault="00A07615" w:rsidP="001B77A0">
      <w:pPr>
        <w:pStyle w:val="ListParagraph"/>
        <w:numPr>
          <w:ilvl w:val="0"/>
          <w:numId w:val="5"/>
        </w:numPr>
        <w:rPr>
          <w:rFonts w:ascii="Times New Roman" w:hAnsi="Times New Roman" w:cs="Times New Roman"/>
          <w:b/>
          <w:sz w:val="24"/>
          <w:szCs w:val="24"/>
        </w:rPr>
      </w:pPr>
      <w:r w:rsidRPr="0085651A">
        <w:rPr>
          <w:rFonts w:ascii="Times New Roman" w:hAnsi="Times New Roman" w:cs="Times New Roman"/>
          <w:sz w:val="24"/>
          <w:szCs w:val="24"/>
        </w:rPr>
        <w:t xml:space="preserve">Career development services is critical to ensuring that learners are provided with information to make better career choices. </w:t>
      </w:r>
      <w:r w:rsidR="00B93337" w:rsidRPr="0085651A">
        <w:rPr>
          <w:rFonts w:ascii="Times New Roman" w:hAnsi="Times New Roman" w:cs="Times New Roman"/>
          <w:sz w:val="24"/>
          <w:szCs w:val="24"/>
        </w:rPr>
        <w:t xml:space="preserve">Requisite funding </w:t>
      </w:r>
      <w:r w:rsidRPr="0085651A">
        <w:rPr>
          <w:rFonts w:ascii="Times New Roman" w:hAnsi="Times New Roman" w:cs="Times New Roman"/>
          <w:sz w:val="24"/>
          <w:szCs w:val="24"/>
        </w:rPr>
        <w:t xml:space="preserve">should be made available </w:t>
      </w:r>
      <w:r w:rsidR="00B93337" w:rsidRPr="0085651A">
        <w:rPr>
          <w:rFonts w:ascii="Times New Roman" w:hAnsi="Times New Roman" w:cs="Times New Roman"/>
          <w:sz w:val="24"/>
          <w:szCs w:val="24"/>
        </w:rPr>
        <w:t xml:space="preserve">for the implementation of career development services. </w:t>
      </w:r>
    </w:p>
    <w:p w14:paraId="20E7BFED" w14:textId="77777777" w:rsidR="008F2E11" w:rsidRPr="0085651A" w:rsidRDefault="00125F3F" w:rsidP="001B77A0">
      <w:pPr>
        <w:pStyle w:val="ListParagraph"/>
        <w:numPr>
          <w:ilvl w:val="0"/>
          <w:numId w:val="5"/>
        </w:numPr>
        <w:tabs>
          <w:tab w:val="center" w:pos="4513"/>
        </w:tabs>
        <w:rPr>
          <w:rFonts w:ascii="Times New Roman" w:hAnsi="Times New Roman" w:cs="Times New Roman"/>
          <w:sz w:val="24"/>
          <w:szCs w:val="24"/>
        </w:rPr>
      </w:pPr>
      <w:r w:rsidRPr="0085651A">
        <w:rPr>
          <w:rFonts w:ascii="Times New Roman" w:hAnsi="Times New Roman" w:cs="Times New Roman"/>
          <w:sz w:val="24"/>
          <w:szCs w:val="24"/>
        </w:rPr>
        <w:t>C</w:t>
      </w:r>
      <w:r w:rsidR="008F2E11" w:rsidRPr="0085651A">
        <w:rPr>
          <w:rFonts w:ascii="Times New Roman" w:hAnsi="Times New Roman" w:cs="Times New Roman"/>
          <w:sz w:val="24"/>
          <w:szCs w:val="24"/>
        </w:rPr>
        <w:t xml:space="preserve">areer guidance at the high school level needs </w:t>
      </w:r>
      <w:r w:rsidR="008B042B" w:rsidRPr="0085651A">
        <w:rPr>
          <w:rFonts w:ascii="Times New Roman" w:hAnsi="Times New Roman" w:cs="Times New Roman"/>
          <w:sz w:val="24"/>
          <w:szCs w:val="24"/>
        </w:rPr>
        <w:t xml:space="preserve">to be </w:t>
      </w:r>
      <w:r w:rsidR="008F2E11" w:rsidRPr="0085651A">
        <w:rPr>
          <w:rFonts w:ascii="Times New Roman" w:hAnsi="Times New Roman" w:cs="Times New Roman"/>
          <w:sz w:val="24"/>
          <w:szCs w:val="24"/>
        </w:rPr>
        <w:t xml:space="preserve">further address and </w:t>
      </w:r>
      <w:r w:rsidR="008B042B" w:rsidRPr="0085651A">
        <w:rPr>
          <w:rFonts w:ascii="Times New Roman" w:hAnsi="Times New Roman" w:cs="Times New Roman"/>
          <w:sz w:val="24"/>
          <w:szCs w:val="24"/>
        </w:rPr>
        <w:t>should</w:t>
      </w:r>
      <w:r w:rsidR="008F2E11" w:rsidRPr="0085651A">
        <w:rPr>
          <w:rFonts w:ascii="Times New Roman" w:hAnsi="Times New Roman" w:cs="Times New Roman"/>
          <w:sz w:val="24"/>
          <w:szCs w:val="24"/>
        </w:rPr>
        <w:t xml:space="preserve"> start earlier in Grade 8 and 9 to support the objectives and targets of the DHET. School career guidance should</w:t>
      </w:r>
      <w:r w:rsidR="008B042B" w:rsidRPr="0085651A">
        <w:rPr>
          <w:rFonts w:ascii="Times New Roman" w:hAnsi="Times New Roman" w:cs="Times New Roman"/>
          <w:sz w:val="24"/>
          <w:szCs w:val="24"/>
        </w:rPr>
        <w:t xml:space="preserve"> also</w:t>
      </w:r>
      <w:r w:rsidR="008F2E11" w:rsidRPr="0085651A">
        <w:rPr>
          <w:rFonts w:ascii="Times New Roman" w:hAnsi="Times New Roman" w:cs="Times New Roman"/>
          <w:sz w:val="24"/>
          <w:szCs w:val="24"/>
        </w:rPr>
        <w:t xml:space="preserve"> be orientated to TVET and CET Colleges programmes.</w:t>
      </w:r>
    </w:p>
    <w:p w14:paraId="75BAACDA" w14:textId="77777777" w:rsidR="0054130E" w:rsidRPr="0085651A" w:rsidRDefault="0054130E" w:rsidP="0054130E">
      <w:pPr>
        <w:pStyle w:val="ListParagraph"/>
        <w:numPr>
          <w:ilvl w:val="0"/>
          <w:numId w:val="5"/>
        </w:numPr>
        <w:rPr>
          <w:rFonts w:ascii="Times New Roman" w:hAnsi="Times New Roman" w:cs="Times New Roman"/>
          <w:sz w:val="24"/>
          <w:szCs w:val="24"/>
          <w:shd w:val="clear" w:color="auto" w:fill="FFFFFF"/>
        </w:rPr>
      </w:pPr>
      <w:r w:rsidRPr="0085651A">
        <w:rPr>
          <w:rFonts w:ascii="Times New Roman" w:hAnsi="Times New Roman" w:cs="Times New Roman"/>
          <w:sz w:val="24"/>
          <w:szCs w:val="24"/>
          <w:shd w:val="clear" w:color="auto" w:fill="FFFFFF"/>
        </w:rPr>
        <w:t>The Department must ensure that it schedules to Parliament the National Qualification</w:t>
      </w:r>
      <w:r w:rsidR="0041792D" w:rsidRPr="0085651A">
        <w:rPr>
          <w:rFonts w:ascii="Times New Roman" w:hAnsi="Times New Roman" w:cs="Times New Roman"/>
          <w:sz w:val="24"/>
          <w:szCs w:val="24"/>
          <w:shd w:val="clear" w:color="auto" w:fill="FFFFFF"/>
        </w:rPr>
        <w:t>s Framework Amendment Bill</w:t>
      </w:r>
      <w:r w:rsidRPr="0085651A">
        <w:rPr>
          <w:rFonts w:ascii="Times New Roman" w:hAnsi="Times New Roman" w:cs="Times New Roman"/>
          <w:sz w:val="24"/>
          <w:szCs w:val="24"/>
          <w:shd w:val="clear" w:color="auto" w:fill="FFFFFF"/>
        </w:rPr>
        <w:t xml:space="preserve"> (NQF Amendment Bill).</w:t>
      </w:r>
    </w:p>
    <w:p w14:paraId="15862B86" w14:textId="77777777" w:rsidR="00FA0F96" w:rsidRPr="0085651A" w:rsidRDefault="00FA0F96" w:rsidP="001B77A0">
      <w:pPr>
        <w:pStyle w:val="ListParagraph"/>
        <w:numPr>
          <w:ilvl w:val="0"/>
          <w:numId w:val="5"/>
        </w:numPr>
        <w:rPr>
          <w:rFonts w:ascii="Times New Roman" w:hAnsi="Times New Roman" w:cs="Times New Roman"/>
          <w:b/>
          <w:sz w:val="24"/>
          <w:szCs w:val="24"/>
        </w:rPr>
      </w:pPr>
      <w:r w:rsidRPr="0085651A">
        <w:rPr>
          <w:rFonts w:ascii="Times New Roman" w:hAnsi="Times New Roman" w:cs="Times New Roman"/>
          <w:sz w:val="24"/>
          <w:szCs w:val="24"/>
        </w:rPr>
        <w:t xml:space="preserve">The National Student Financial Act should be reviewed to align with the new funding policy, especially </w:t>
      </w:r>
      <w:r w:rsidR="008B042B" w:rsidRPr="0085651A">
        <w:rPr>
          <w:rFonts w:ascii="Times New Roman" w:hAnsi="Times New Roman" w:cs="Times New Roman"/>
          <w:sz w:val="24"/>
          <w:szCs w:val="24"/>
        </w:rPr>
        <w:t xml:space="preserve">that </w:t>
      </w:r>
      <w:r w:rsidRPr="0085651A">
        <w:rPr>
          <w:rFonts w:ascii="Times New Roman" w:hAnsi="Times New Roman" w:cs="Times New Roman"/>
          <w:sz w:val="24"/>
          <w:szCs w:val="24"/>
        </w:rPr>
        <w:t>NSFAS is no longer granting loans</w:t>
      </w:r>
      <w:r w:rsidR="008B042B" w:rsidRPr="0085651A">
        <w:rPr>
          <w:rFonts w:ascii="Times New Roman" w:hAnsi="Times New Roman" w:cs="Times New Roman"/>
          <w:sz w:val="24"/>
          <w:szCs w:val="24"/>
        </w:rPr>
        <w:t xml:space="preserve"> to students</w:t>
      </w:r>
      <w:r w:rsidRPr="0085651A">
        <w:rPr>
          <w:rFonts w:ascii="Times New Roman" w:hAnsi="Times New Roman" w:cs="Times New Roman"/>
          <w:sz w:val="24"/>
          <w:szCs w:val="24"/>
        </w:rPr>
        <w:t xml:space="preserve"> from 2018 onwards.</w:t>
      </w:r>
    </w:p>
    <w:p w14:paraId="57405EC3" w14:textId="77777777" w:rsidR="00700F04" w:rsidRPr="0085651A" w:rsidRDefault="0041792D" w:rsidP="00700F04">
      <w:pPr>
        <w:rPr>
          <w:rFonts w:ascii="Times New Roman" w:hAnsi="Times New Roman" w:cs="Times New Roman"/>
          <w:b/>
          <w:sz w:val="24"/>
          <w:szCs w:val="24"/>
        </w:rPr>
      </w:pPr>
      <w:r w:rsidRPr="0085651A">
        <w:rPr>
          <w:rFonts w:ascii="Times New Roman" w:hAnsi="Times New Roman" w:cs="Times New Roman"/>
          <w:b/>
          <w:sz w:val="24"/>
          <w:szCs w:val="24"/>
        </w:rPr>
        <w:t>7</w:t>
      </w:r>
      <w:r w:rsidR="006774F2" w:rsidRPr="0085651A">
        <w:rPr>
          <w:rFonts w:ascii="Times New Roman" w:hAnsi="Times New Roman" w:cs="Times New Roman"/>
          <w:b/>
          <w:sz w:val="24"/>
          <w:szCs w:val="24"/>
        </w:rPr>
        <w:t xml:space="preserve">.3. </w:t>
      </w:r>
      <w:r w:rsidR="00700F04" w:rsidRPr="0085651A">
        <w:rPr>
          <w:rFonts w:ascii="Times New Roman" w:hAnsi="Times New Roman" w:cs="Times New Roman"/>
          <w:b/>
          <w:sz w:val="24"/>
          <w:szCs w:val="24"/>
        </w:rPr>
        <w:t>Programme 3: University Education</w:t>
      </w:r>
    </w:p>
    <w:p w14:paraId="5B8049B0" w14:textId="77777777" w:rsidR="00D15551" w:rsidRPr="0085651A" w:rsidRDefault="00D15551" w:rsidP="001B77A0">
      <w:pPr>
        <w:pStyle w:val="ListParagraph"/>
        <w:numPr>
          <w:ilvl w:val="0"/>
          <w:numId w:val="3"/>
        </w:numPr>
        <w:rPr>
          <w:rFonts w:ascii="Times New Roman" w:hAnsi="Times New Roman" w:cs="Times New Roman"/>
          <w:b/>
          <w:sz w:val="24"/>
          <w:szCs w:val="24"/>
        </w:rPr>
      </w:pPr>
      <w:r w:rsidRPr="0085651A">
        <w:rPr>
          <w:rFonts w:ascii="Times New Roman" w:hAnsi="Times New Roman" w:cs="Times New Roman"/>
          <w:sz w:val="24"/>
          <w:szCs w:val="24"/>
        </w:rPr>
        <w:t xml:space="preserve">Given the new fee-free education policy and additional funding to progressively increase the university subsidies to 1 percent of the GDP, the Department should finalise the funding framework for the university sector. Furthermore, the Department should expedite the policy development to inform the new </w:t>
      </w:r>
      <w:r w:rsidR="005D5D92" w:rsidRPr="0085651A">
        <w:rPr>
          <w:rFonts w:ascii="Times New Roman" w:hAnsi="Times New Roman" w:cs="Times New Roman"/>
          <w:sz w:val="24"/>
          <w:szCs w:val="24"/>
        </w:rPr>
        <w:t>funding</w:t>
      </w:r>
      <w:r w:rsidRPr="0085651A">
        <w:rPr>
          <w:rFonts w:ascii="Times New Roman" w:hAnsi="Times New Roman" w:cs="Times New Roman"/>
          <w:sz w:val="24"/>
          <w:szCs w:val="24"/>
        </w:rPr>
        <w:t xml:space="preserve"> policy, including the ethical conduct policy for NSFAS beneficiaries to curb the corrupt use of allowances by both TVET College and university students.</w:t>
      </w:r>
    </w:p>
    <w:p w14:paraId="6397BF86" w14:textId="77777777" w:rsidR="009D48E6" w:rsidRPr="0085651A" w:rsidRDefault="009D48E6" w:rsidP="001B77A0">
      <w:pPr>
        <w:pStyle w:val="ListParagraph"/>
        <w:numPr>
          <w:ilvl w:val="0"/>
          <w:numId w:val="3"/>
        </w:numPr>
        <w:rPr>
          <w:rFonts w:ascii="Times New Roman" w:hAnsi="Times New Roman" w:cs="Times New Roman"/>
          <w:b/>
          <w:sz w:val="24"/>
          <w:szCs w:val="24"/>
        </w:rPr>
      </w:pPr>
      <w:r w:rsidRPr="0085651A">
        <w:rPr>
          <w:rFonts w:ascii="Times New Roman" w:hAnsi="Times New Roman" w:cs="Times New Roman"/>
          <w:sz w:val="24"/>
          <w:szCs w:val="24"/>
        </w:rPr>
        <w:t>The Department should engage with the student leadership in the higher education sector to clarify the implementation of fee-free higher education for the poor and working class students.</w:t>
      </w:r>
    </w:p>
    <w:p w14:paraId="4F9B68AC" w14:textId="77777777" w:rsidR="00FA2167" w:rsidRPr="0085651A" w:rsidRDefault="00FA2167" w:rsidP="001B77A0">
      <w:pPr>
        <w:pStyle w:val="ListParagraph"/>
        <w:numPr>
          <w:ilvl w:val="0"/>
          <w:numId w:val="3"/>
        </w:numPr>
        <w:rPr>
          <w:rFonts w:ascii="Times New Roman" w:hAnsi="Times New Roman" w:cs="Times New Roman"/>
          <w:b/>
          <w:sz w:val="24"/>
          <w:szCs w:val="24"/>
        </w:rPr>
      </w:pPr>
      <w:r w:rsidRPr="0085651A">
        <w:rPr>
          <w:rFonts w:ascii="Times New Roman" w:hAnsi="Times New Roman" w:cs="Times New Roman"/>
          <w:sz w:val="24"/>
          <w:szCs w:val="24"/>
        </w:rPr>
        <w:t>The sporadic student protests in higher education over the inability of NSFAS to process the outstanding claims from students is a cause of concern. The Department should ensure that the inefficiencies in the administration of student funding in higher education by NSFAS are eliminated to stabilise the sector.</w:t>
      </w:r>
    </w:p>
    <w:p w14:paraId="180B6508" w14:textId="77777777" w:rsidR="00AC7A01" w:rsidRPr="0085651A" w:rsidRDefault="009D48E6" w:rsidP="00AC7A01">
      <w:pPr>
        <w:pStyle w:val="ListParagraph"/>
        <w:numPr>
          <w:ilvl w:val="0"/>
          <w:numId w:val="3"/>
        </w:numPr>
        <w:rPr>
          <w:rFonts w:ascii="Times New Roman" w:hAnsi="Times New Roman" w:cs="Times New Roman"/>
          <w:b/>
          <w:sz w:val="24"/>
          <w:szCs w:val="24"/>
        </w:rPr>
      </w:pPr>
      <w:r w:rsidRPr="0085651A">
        <w:rPr>
          <w:rFonts w:ascii="Times New Roman" w:hAnsi="Times New Roman" w:cs="Times New Roman"/>
          <w:sz w:val="24"/>
          <w:szCs w:val="24"/>
        </w:rPr>
        <w:t>The student support services in higher education should be expanded to eliminate the low throughput and high drop-out rates.</w:t>
      </w:r>
    </w:p>
    <w:p w14:paraId="082F8F85" w14:textId="77777777" w:rsidR="009D48E6" w:rsidRPr="0085651A" w:rsidRDefault="009D48E6" w:rsidP="00AC7A01">
      <w:pPr>
        <w:pStyle w:val="ListParagraph"/>
        <w:numPr>
          <w:ilvl w:val="0"/>
          <w:numId w:val="3"/>
        </w:numPr>
        <w:rPr>
          <w:rFonts w:ascii="Times New Roman" w:hAnsi="Times New Roman" w:cs="Times New Roman"/>
          <w:b/>
          <w:sz w:val="24"/>
          <w:szCs w:val="24"/>
        </w:rPr>
      </w:pPr>
      <w:r w:rsidRPr="0085651A">
        <w:rPr>
          <w:rFonts w:ascii="Times New Roman" w:hAnsi="Times New Roman" w:cs="Times New Roman"/>
          <w:sz w:val="24"/>
          <w:szCs w:val="24"/>
        </w:rPr>
        <w:t xml:space="preserve">The Department should investigate the under enrolment of students in some programmes at universities and put in place mitigation strategies to ensure that that the MTSF headcount enrolment is achieved. Furthermore, the Department should </w:t>
      </w:r>
      <w:r w:rsidRPr="0085651A">
        <w:rPr>
          <w:rFonts w:ascii="Times New Roman" w:hAnsi="Times New Roman" w:cs="Times New Roman"/>
          <w:sz w:val="24"/>
          <w:szCs w:val="24"/>
        </w:rPr>
        <w:lastRenderedPageBreak/>
        <w:t xml:space="preserve">monitor that UNISA develop foundation programmes so as to increase throughput rates of students in distance learning. </w:t>
      </w:r>
    </w:p>
    <w:p w14:paraId="23A189DB" w14:textId="77777777" w:rsidR="00AC7A01" w:rsidRPr="0085651A" w:rsidRDefault="009D48E6" w:rsidP="00AC7A01">
      <w:pPr>
        <w:pStyle w:val="ListParagraph"/>
        <w:numPr>
          <w:ilvl w:val="0"/>
          <w:numId w:val="3"/>
        </w:numPr>
        <w:rPr>
          <w:rFonts w:ascii="Times New Roman" w:hAnsi="Times New Roman" w:cs="Times New Roman"/>
          <w:b/>
          <w:sz w:val="24"/>
          <w:szCs w:val="24"/>
        </w:rPr>
      </w:pPr>
      <w:r w:rsidRPr="0085651A">
        <w:rPr>
          <w:rFonts w:ascii="Times New Roman" w:hAnsi="Times New Roman" w:cs="Times New Roman"/>
          <w:sz w:val="24"/>
          <w:szCs w:val="24"/>
        </w:rPr>
        <w:t>The student support services in higher education should be expanded to eliminate the low throughput and high drop-out rates.</w:t>
      </w:r>
    </w:p>
    <w:p w14:paraId="0732544E" w14:textId="77777777" w:rsidR="00700F04" w:rsidRPr="0085651A" w:rsidRDefault="00B45B41" w:rsidP="001B77A0">
      <w:pPr>
        <w:pStyle w:val="ListParagraph"/>
        <w:numPr>
          <w:ilvl w:val="0"/>
          <w:numId w:val="8"/>
        </w:numPr>
        <w:rPr>
          <w:rFonts w:ascii="Times New Roman" w:hAnsi="Times New Roman" w:cs="Times New Roman"/>
          <w:sz w:val="24"/>
          <w:szCs w:val="24"/>
        </w:rPr>
      </w:pPr>
      <w:r w:rsidRPr="0085651A">
        <w:rPr>
          <w:rFonts w:ascii="Times New Roman" w:hAnsi="Times New Roman" w:cs="Times New Roman"/>
          <w:sz w:val="24"/>
          <w:szCs w:val="24"/>
        </w:rPr>
        <w:t xml:space="preserve">The University Education Branch should strengthen its monitoring and evaluation function over the </w:t>
      </w:r>
      <w:r w:rsidR="00A72666" w:rsidRPr="0085651A">
        <w:rPr>
          <w:rFonts w:ascii="Times New Roman" w:hAnsi="Times New Roman" w:cs="Times New Roman"/>
          <w:sz w:val="24"/>
          <w:szCs w:val="24"/>
        </w:rPr>
        <w:t xml:space="preserve">higher education </w:t>
      </w:r>
      <w:r w:rsidRPr="0085651A">
        <w:rPr>
          <w:rFonts w:ascii="Times New Roman" w:hAnsi="Times New Roman" w:cs="Times New Roman"/>
          <w:sz w:val="24"/>
          <w:szCs w:val="24"/>
        </w:rPr>
        <w:t>institutions to ensure that there is value f</w:t>
      </w:r>
      <w:r w:rsidR="00403BFA" w:rsidRPr="0085651A">
        <w:rPr>
          <w:rFonts w:ascii="Times New Roman" w:hAnsi="Times New Roman" w:cs="Times New Roman"/>
          <w:sz w:val="24"/>
          <w:szCs w:val="24"/>
        </w:rPr>
        <w:t>or the huge investment made in</w:t>
      </w:r>
      <w:r w:rsidRPr="0085651A">
        <w:rPr>
          <w:rFonts w:ascii="Times New Roman" w:hAnsi="Times New Roman" w:cs="Times New Roman"/>
          <w:sz w:val="24"/>
          <w:szCs w:val="24"/>
        </w:rPr>
        <w:t xml:space="preserve"> the sector. </w:t>
      </w:r>
    </w:p>
    <w:p w14:paraId="30D8DB3A" w14:textId="77777777" w:rsidR="00C04226" w:rsidRPr="0085651A" w:rsidRDefault="00C04226" w:rsidP="00C04226">
      <w:pPr>
        <w:pStyle w:val="ListParagraph"/>
        <w:numPr>
          <w:ilvl w:val="0"/>
          <w:numId w:val="8"/>
        </w:numPr>
        <w:rPr>
          <w:rFonts w:ascii="Times New Roman" w:hAnsi="Times New Roman" w:cs="Times New Roman"/>
          <w:sz w:val="24"/>
          <w:szCs w:val="24"/>
        </w:rPr>
      </w:pPr>
      <w:r w:rsidRPr="0085651A">
        <w:rPr>
          <w:rFonts w:ascii="Times New Roman" w:hAnsi="Times New Roman" w:cs="Times New Roman"/>
          <w:sz w:val="24"/>
          <w:szCs w:val="24"/>
        </w:rPr>
        <w:t>Both universities of Mpumalanga and Sol Plaatje have been opened and construction is ongoing. It is important that the construction process is adhered to ensure that construction targets are met within the set timeframe. This is largely due to the operational costs of the universities being insufficient due to fiscal constraints which is reducing the construction process and targets of the universities. Currently the construction process is nearing the completion of the second phase (meant to have been completed in 2014/15) whereas it is meant to be at the fourth phase (meant to have been completed in July 2017). This is important for both universities contribution to boosting expansion, production of mid to high level skills moving towards the NDPs 2030 target of 1.6 million enrolments and to ensure enhanced access to the public higher education system.</w:t>
      </w:r>
    </w:p>
    <w:p w14:paraId="0A5EFDF7" w14:textId="77777777" w:rsidR="00A2241A" w:rsidRPr="0085651A" w:rsidRDefault="00A2241A" w:rsidP="00A2241A">
      <w:pPr>
        <w:pStyle w:val="ListParagraph"/>
        <w:numPr>
          <w:ilvl w:val="0"/>
          <w:numId w:val="8"/>
        </w:numPr>
        <w:rPr>
          <w:rFonts w:ascii="Times New Roman" w:hAnsi="Times New Roman" w:cs="Times New Roman"/>
          <w:sz w:val="24"/>
          <w:szCs w:val="24"/>
        </w:rPr>
      </w:pPr>
      <w:r w:rsidRPr="0085651A">
        <w:rPr>
          <w:rFonts w:ascii="Times New Roman" w:hAnsi="Times New Roman" w:cs="Times New Roman"/>
          <w:sz w:val="24"/>
          <w:szCs w:val="24"/>
        </w:rPr>
        <w:t xml:space="preserve">Lessons and experiences should be drawn from the Health Sciences (medical doctors, nurses and social workers) as well from the Fundza Lushaka bursary programme on the execution of a community service graduate programme. These are practical programmes which the Department can use in its drafting of a community service programme for beneficiaries of fee-free </w:t>
      </w:r>
      <w:r w:rsidR="008B042B" w:rsidRPr="0085651A">
        <w:rPr>
          <w:rFonts w:ascii="Times New Roman" w:hAnsi="Times New Roman" w:cs="Times New Roman"/>
          <w:sz w:val="24"/>
          <w:szCs w:val="24"/>
        </w:rPr>
        <w:t xml:space="preserve">higher </w:t>
      </w:r>
      <w:r w:rsidRPr="0085651A">
        <w:rPr>
          <w:rFonts w:ascii="Times New Roman" w:hAnsi="Times New Roman" w:cs="Times New Roman"/>
          <w:sz w:val="24"/>
          <w:szCs w:val="24"/>
        </w:rPr>
        <w:t>education.</w:t>
      </w:r>
    </w:p>
    <w:p w14:paraId="7941A18D" w14:textId="77777777" w:rsidR="00A2241A" w:rsidRPr="0085651A" w:rsidRDefault="00A2241A" w:rsidP="00A2241A">
      <w:pPr>
        <w:pStyle w:val="ListParagraph"/>
        <w:numPr>
          <w:ilvl w:val="0"/>
          <w:numId w:val="8"/>
        </w:numPr>
        <w:rPr>
          <w:rFonts w:ascii="Times New Roman" w:hAnsi="Times New Roman" w:cs="Times New Roman"/>
          <w:sz w:val="24"/>
          <w:szCs w:val="24"/>
        </w:rPr>
      </w:pPr>
      <w:r w:rsidRPr="0085651A">
        <w:rPr>
          <w:rFonts w:ascii="Times New Roman" w:hAnsi="Times New Roman" w:cs="Times New Roman"/>
          <w:sz w:val="24"/>
          <w:szCs w:val="24"/>
        </w:rPr>
        <w:t xml:space="preserve">The Department of Human Settlements must be engaged to provide assistance to ensure that additional student accommodation is provided. As in the university sector the TVET sector must also engage in public-private-partnerships as </w:t>
      </w:r>
      <w:r w:rsidR="00EF6FCD" w:rsidRPr="0085651A">
        <w:rPr>
          <w:rFonts w:ascii="Times New Roman" w:hAnsi="Times New Roman" w:cs="Times New Roman"/>
          <w:sz w:val="24"/>
          <w:szCs w:val="24"/>
        </w:rPr>
        <w:t xml:space="preserve">a </w:t>
      </w:r>
      <w:r w:rsidRPr="0085651A">
        <w:rPr>
          <w:rFonts w:ascii="Times New Roman" w:hAnsi="Times New Roman" w:cs="Times New Roman"/>
          <w:sz w:val="24"/>
          <w:szCs w:val="24"/>
        </w:rPr>
        <w:t>means of acquiring accommodation for students.</w:t>
      </w:r>
    </w:p>
    <w:p w14:paraId="65DFA099" w14:textId="77777777" w:rsidR="006F3B44" w:rsidRPr="0085651A" w:rsidRDefault="0041792D" w:rsidP="001F4B0D">
      <w:pPr>
        <w:rPr>
          <w:rFonts w:ascii="Times New Roman" w:hAnsi="Times New Roman" w:cs="Times New Roman"/>
          <w:b/>
          <w:sz w:val="24"/>
          <w:szCs w:val="24"/>
        </w:rPr>
      </w:pPr>
      <w:r w:rsidRPr="0085651A">
        <w:rPr>
          <w:rFonts w:ascii="Times New Roman" w:hAnsi="Times New Roman" w:cs="Times New Roman"/>
          <w:b/>
          <w:sz w:val="24"/>
          <w:szCs w:val="24"/>
        </w:rPr>
        <w:t>7</w:t>
      </w:r>
      <w:r w:rsidR="006774F2" w:rsidRPr="0085651A">
        <w:rPr>
          <w:rFonts w:ascii="Times New Roman" w:hAnsi="Times New Roman" w:cs="Times New Roman"/>
          <w:b/>
          <w:sz w:val="24"/>
          <w:szCs w:val="24"/>
        </w:rPr>
        <w:t xml:space="preserve">.4. </w:t>
      </w:r>
      <w:r w:rsidR="006F3B44" w:rsidRPr="0085651A">
        <w:rPr>
          <w:rFonts w:ascii="Times New Roman" w:hAnsi="Times New Roman" w:cs="Times New Roman"/>
          <w:b/>
          <w:sz w:val="24"/>
          <w:szCs w:val="24"/>
        </w:rPr>
        <w:t>Programme 4: Technical and Vocational Education and Training</w:t>
      </w:r>
    </w:p>
    <w:p w14:paraId="4F20E985" w14:textId="77777777" w:rsidR="00964D73" w:rsidRPr="0085651A" w:rsidRDefault="00D1248D" w:rsidP="001B77A0">
      <w:pPr>
        <w:pStyle w:val="ListParagraph"/>
        <w:numPr>
          <w:ilvl w:val="0"/>
          <w:numId w:val="8"/>
        </w:numPr>
        <w:rPr>
          <w:rFonts w:ascii="Times New Roman" w:hAnsi="Times New Roman" w:cs="Times New Roman"/>
          <w:b/>
          <w:sz w:val="24"/>
          <w:szCs w:val="24"/>
        </w:rPr>
      </w:pPr>
      <w:r w:rsidRPr="0085651A">
        <w:rPr>
          <w:rFonts w:ascii="Times New Roman" w:hAnsi="Times New Roman" w:cs="Times New Roman"/>
          <w:sz w:val="24"/>
          <w:szCs w:val="24"/>
        </w:rPr>
        <w:t>The baseline funding increase of R3.297 billion to the programme is welcomed, including the projected annual average growth rate of 25 percent to the budget</w:t>
      </w:r>
      <w:r w:rsidR="00654B8D" w:rsidRPr="0085651A">
        <w:rPr>
          <w:rFonts w:ascii="Times New Roman" w:hAnsi="Times New Roman" w:cs="Times New Roman"/>
          <w:sz w:val="24"/>
          <w:szCs w:val="24"/>
        </w:rPr>
        <w:t xml:space="preserve"> and the approved allocations for operationalisation of the new three TVET college campuses and the </w:t>
      </w:r>
      <w:r w:rsidR="005D5D92" w:rsidRPr="0085651A">
        <w:rPr>
          <w:rFonts w:ascii="Times New Roman" w:hAnsi="Times New Roman" w:cs="Times New Roman"/>
          <w:sz w:val="24"/>
          <w:szCs w:val="24"/>
        </w:rPr>
        <w:t>examination</w:t>
      </w:r>
      <w:r w:rsidR="00654B8D" w:rsidRPr="0085651A">
        <w:rPr>
          <w:rFonts w:ascii="Times New Roman" w:hAnsi="Times New Roman" w:cs="Times New Roman"/>
          <w:sz w:val="24"/>
          <w:szCs w:val="24"/>
        </w:rPr>
        <w:t xml:space="preserve"> services function</w:t>
      </w:r>
      <w:r w:rsidRPr="0085651A">
        <w:rPr>
          <w:rFonts w:ascii="Times New Roman" w:hAnsi="Times New Roman" w:cs="Times New Roman"/>
          <w:sz w:val="24"/>
          <w:szCs w:val="24"/>
        </w:rPr>
        <w:t xml:space="preserve">. </w:t>
      </w:r>
      <w:r w:rsidR="00F27E27" w:rsidRPr="0085651A">
        <w:rPr>
          <w:rFonts w:ascii="Times New Roman" w:hAnsi="Times New Roman" w:cs="Times New Roman"/>
          <w:sz w:val="24"/>
          <w:szCs w:val="24"/>
        </w:rPr>
        <w:t xml:space="preserve">The additional allocation for infrastructure refurbishment and </w:t>
      </w:r>
      <w:r w:rsidR="005D5D92" w:rsidRPr="0085651A">
        <w:rPr>
          <w:rFonts w:ascii="Times New Roman" w:hAnsi="Times New Roman" w:cs="Times New Roman"/>
          <w:sz w:val="24"/>
          <w:szCs w:val="24"/>
        </w:rPr>
        <w:t>maintenance</w:t>
      </w:r>
      <w:r w:rsidR="00F27E27" w:rsidRPr="0085651A">
        <w:rPr>
          <w:rFonts w:ascii="Times New Roman" w:hAnsi="Times New Roman" w:cs="Times New Roman"/>
          <w:sz w:val="24"/>
          <w:szCs w:val="24"/>
        </w:rPr>
        <w:t xml:space="preserve"> as well as for purchasing of workshop equipment is </w:t>
      </w:r>
      <w:r w:rsidR="000F2258" w:rsidRPr="0085651A">
        <w:rPr>
          <w:rFonts w:ascii="Times New Roman" w:hAnsi="Times New Roman" w:cs="Times New Roman"/>
          <w:sz w:val="24"/>
          <w:szCs w:val="24"/>
        </w:rPr>
        <w:lastRenderedPageBreak/>
        <w:t>commendable,</w:t>
      </w:r>
      <w:r w:rsidR="00F27E27" w:rsidRPr="0085651A">
        <w:rPr>
          <w:rFonts w:ascii="Times New Roman" w:hAnsi="Times New Roman" w:cs="Times New Roman"/>
          <w:sz w:val="24"/>
          <w:szCs w:val="24"/>
        </w:rPr>
        <w:t xml:space="preserve"> as it would ensure relevancy and alignment of practical work with industry. </w:t>
      </w:r>
      <w:r w:rsidRPr="0085651A">
        <w:rPr>
          <w:rFonts w:ascii="Times New Roman" w:hAnsi="Times New Roman" w:cs="Times New Roman"/>
          <w:sz w:val="24"/>
          <w:szCs w:val="24"/>
        </w:rPr>
        <w:t xml:space="preserve"> </w:t>
      </w:r>
      <w:r w:rsidR="000B20CC" w:rsidRPr="0085651A">
        <w:rPr>
          <w:rFonts w:ascii="Times New Roman" w:hAnsi="Times New Roman" w:cs="Times New Roman"/>
          <w:sz w:val="24"/>
          <w:szCs w:val="24"/>
        </w:rPr>
        <w:t>Notwithstanding the significant increase in the baseline funding for the TVET sector, no funding provision has been made towards increasing headcount enrolment, which would remain capped at 710</w:t>
      </w:r>
      <w:r w:rsidR="00263DF1" w:rsidRPr="0085651A">
        <w:rPr>
          <w:rFonts w:ascii="Times New Roman" w:hAnsi="Times New Roman" w:cs="Times New Roman"/>
          <w:sz w:val="24"/>
          <w:szCs w:val="24"/>
        </w:rPr>
        <w:t> </w:t>
      </w:r>
      <w:r w:rsidR="000B20CC" w:rsidRPr="0085651A">
        <w:rPr>
          <w:rFonts w:ascii="Times New Roman" w:hAnsi="Times New Roman" w:cs="Times New Roman"/>
          <w:sz w:val="24"/>
          <w:szCs w:val="24"/>
        </w:rPr>
        <w:t>535</w:t>
      </w:r>
      <w:r w:rsidR="00263DF1" w:rsidRPr="0085651A">
        <w:rPr>
          <w:rFonts w:ascii="Times New Roman" w:hAnsi="Times New Roman" w:cs="Times New Roman"/>
          <w:sz w:val="24"/>
          <w:szCs w:val="24"/>
        </w:rPr>
        <w:t xml:space="preserve"> and</w:t>
      </w:r>
      <w:r w:rsidR="000B20CC" w:rsidRPr="0085651A">
        <w:rPr>
          <w:rFonts w:ascii="Times New Roman" w:hAnsi="Times New Roman" w:cs="Times New Roman"/>
          <w:sz w:val="24"/>
          <w:szCs w:val="24"/>
        </w:rPr>
        <w:t xml:space="preserve"> additional 5 000 beds in public TVET Colleges to address </w:t>
      </w:r>
      <w:r w:rsidR="00C04226" w:rsidRPr="0085651A">
        <w:rPr>
          <w:rFonts w:ascii="Times New Roman" w:hAnsi="Times New Roman" w:cs="Times New Roman"/>
          <w:sz w:val="24"/>
          <w:szCs w:val="24"/>
        </w:rPr>
        <w:t xml:space="preserve">the </w:t>
      </w:r>
      <w:r w:rsidR="000B20CC" w:rsidRPr="0085651A">
        <w:rPr>
          <w:rFonts w:ascii="Times New Roman" w:hAnsi="Times New Roman" w:cs="Times New Roman"/>
          <w:sz w:val="24"/>
          <w:szCs w:val="24"/>
        </w:rPr>
        <w:t xml:space="preserve">shortage of </w:t>
      </w:r>
      <w:r w:rsidR="001A3AF1" w:rsidRPr="0085651A">
        <w:rPr>
          <w:rFonts w:ascii="Times New Roman" w:hAnsi="Times New Roman" w:cs="Times New Roman"/>
          <w:sz w:val="24"/>
          <w:szCs w:val="24"/>
        </w:rPr>
        <w:t>student’s</w:t>
      </w:r>
      <w:r w:rsidR="000B20CC" w:rsidRPr="0085651A">
        <w:rPr>
          <w:rFonts w:ascii="Times New Roman" w:hAnsi="Times New Roman" w:cs="Times New Roman"/>
          <w:sz w:val="24"/>
          <w:szCs w:val="24"/>
        </w:rPr>
        <w:t xml:space="preserve"> accommodation. </w:t>
      </w:r>
    </w:p>
    <w:p w14:paraId="3CAB6849" w14:textId="77777777" w:rsidR="00C04226" w:rsidRPr="0085651A" w:rsidRDefault="00C04226" w:rsidP="00C04226">
      <w:pPr>
        <w:pStyle w:val="ListParagraph"/>
        <w:numPr>
          <w:ilvl w:val="0"/>
          <w:numId w:val="8"/>
        </w:numPr>
        <w:rPr>
          <w:rFonts w:ascii="Times New Roman" w:hAnsi="Times New Roman" w:cs="Times New Roman"/>
          <w:sz w:val="24"/>
          <w:szCs w:val="24"/>
        </w:rPr>
      </w:pPr>
      <w:r w:rsidRPr="0085651A">
        <w:rPr>
          <w:rFonts w:ascii="Times New Roman" w:hAnsi="Times New Roman" w:cs="Times New Roman"/>
          <w:sz w:val="24"/>
          <w:szCs w:val="24"/>
        </w:rPr>
        <w:t>The commitment to enrol 1.25 million students in TVET Colleges will not be met within the Medium Term Strategic Framework (MTSF) due Department retaining the cap of headcount enrolment 710 535. This hinders the Department from working towards ensuring the NDP target of increasing participation rates in TVETs to 25 percent, which would accommodate about 1.25 million enrolments by 2030. As the Department is working on introducing the revised budgeting, enrolment and strategic planning processes in Colleges</w:t>
      </w:r>
      <w:r w:rsidR="008B042B" w:rsidRPr="0085651A">
        <w:rPr>
          <w:rFonts w:ascii="Times New Roman" w:hAnsi="Times New Roman" w:cs="Times New Roman"/>
          <w:sz w:val="24"/>
          <w:szCs w:val="24"/>
        </w:rPr>
        <w:t>,</w:t>
      </w:r>
      <w:r w:rsidRPr="0085651A">
        <w:rPr>
          <w:rFonts w:ascii="Times New Roman" w:hAnsi="Times New Roman" w:cs="Times New Roman"/>
          <w:sz w:val="24"/>
          <w:szCs w:val="24"/>
        </w:rPr>
        <w:t xml:space="preserve"> it must address the resource related and efficiency factors inhibiting the desired growth in the sector. It must also ensure the finalisation of the draft policy for administration/management of student admission for TVET colleges</w:t>
      </w:r>
      <w:r w:rsidR="008B042B" w:rsidRPr="0085651A">
        <w:rPr>
          <w:rFonts w:ascii="Times New Roman" w:hAnsi="Times New Roman" w:cs="Times New Roman"/>
          <w:sz w:val="24"/>
          <w:szCs w:val="24"/>
        </w:rPr>
        <w:t>.</w:t>
      </w:r>
    </w:p>
    <w:p w14:paraId="16CC919D" w14:textId="77777777" w:rsidR="00C04226" w:rsidRPr="0085651A" w:rsidRDefault="00C04226" w:rsidP="001B77A0">
      <w:pPr>
        <w:pStyle w:val="ListParagraph"/>
        <w:numPr>
          <w:ilvl w:val="0"/>
          <w:numId w:val="8"/>
        </w:numPr>
        <w:rPr>
          <w:rFonts w:ascii="Times New Roman" w:hAnsi="Times New Roman" w:cs="Times New Roman"/>
          <w:b/>
          <w:sz w:val="24"/>
          <w:szCs w:val="24"/>
        </w:rPr>
      </w:pPr>
      <w:r w:rsidRPr="0085651A">
        <w:rPr>
          <w:rFonts w:ascii="Times New Roman" w:hAnsi="Times New Roman" w:cs="Times New Roman"/>
          <w:sz w:val="24"/>
          <w:szCs w:val="24"/>
        </w:rPr>
        <w:t>Strengthening the governance and management of TVET colleges is at the core of ensuring that</w:t>
      </w:r>
      <w:r w:rsidR="00CA5BF3" w:rsidRPr="0085651A">
        <w:rPr>
          <w:rFonts w:ascii="Times New Roman" w:hAnsi="Times New Roman" w:cs="Times New Roman"/>
          <w:sz w:val="24"/>
          <w:szCs w:val="24"/>
        </w:rPr>
        <w:t xml:space="preserve"> the</w:t>
      </w:r>
      <w:r w:rsidRPr="0085651A">
        <w:rPr>
          <w:rFonts w:ascii="Times New Roman" w:hAnsi="Times New Roman" w:cs="Times New Roman"/>
          <w:sz w:val="24"/>
          <w:szCs w:val="24"/>
        </w:rPr>
        <w:t xml:space="preserve"> structural </w:t>
      </w:r>
      <w:r w:rsidR="000F2258" w:rsidRPr="0085651A">
        <w:rPr>
          <w:rFonts w:ascii="Times New Roman" w:hAnsi="Times New Roman" w:cs="Times New Roman"/>
          <w:sz w:val="24"/>
          <w:szCs w:val="24"/>
        </w:rPr>
        <w:t>challenges the</w:t>
      </w:r>
      <w:r w:rsidRPr="0085651A">
        <w:rPr>
          <w:rFonts w:ascii="Times New Roman" w:hAnsi="Times New Roman" w:cs="Times New Roman"/>
          <w:sz w:val="24"/>
          <w:szCs w:val="24"/>
        </w:rPr>
        <w:t xml:space="preserve"> sector confronts are addressed. It is important that there is proper management and governance of TVET colleges. The TVET branch in </w:t>
      </w:r>
      <w:r w:rsidR="000F2258" w:rsidRPr="0085651A">
        <w:rPr>
          <w:rFonts w:ascii="Times New Roman" w:hAnsi="Times New Roman" w:cs="Times New Roman"/>
          <w:sz w:val="24"/>
          <w:szCs w:val="24"/>
        </w:rPr>
        <w:t>its development</w:t>
      </w:r>
      <w:r w:rsidRPr="0085651A">
        <w:rPr>
          <w:rFonts w:ascii="Times New Roman" w:hAnsi="Times New Roman" w:cs="Times New Roman"/>
          <w:sz w:val="24"/>
          <w:szCs w:val="24"/>
        </w:rPr>
        <w:t xml:space="preserve"> of common standards for governance, management and leadership as well as the framework for monitoring and evaluation of the quality of governance in TVET Colleges must ensure that the College Council Charter is annually reviewed and optimally implemented by Colleges, capacity-building programmes for senior managers are continuously conducted to ensure that they are optimally equipped to perform their responsibilities</w:t>
      </w:r>
      <w:r w:rsidR="00CA5BF3" w:rsidRPr="0085651A">
        <w:rPr>
          <w:rFonts w:ascii="Times New Roman" w:hAnsi="Times New Roman" w:cs="Times New Roman"/>
          <w:sz w:val="24"/>
          <w:szCs w:val="24"/>
        </w:rPr>
        <w:t>.</w:t>
      </w:r>
      <w:r w:rsidRPr="0085651A">
        <w:rPr>
          <w:rFonts w:ascii="Times New Roman" w:hAnsi="Times New Roman" w:cs="Times New Roman"/>
          <w:sz w:val="24"/>
          <w:szCs w:val="24"/>
        </w:rPr>
        <w:t xml:space="preserve"> </w:t>
      </w:r>
      <w:r w:rsidR="00CA5BF3" w:rsidRPr="0085651A">
        <w:rPr>
          <w:rFonts w:ascii="Times New Roman" w:hAnsi="Times New Roman" w:cs="Times New Roman"/>
          <w:sz w:val="24"/>
          <w:szCs w:val="24"/>
        </w:rPr>
        <w:t>A</w:t>
      </w:r>
      <w:r w:rsidRPr="0085651A">
        <w:rPr>
          <w:rFonts w:ascii="Times New Roman" w:hAnsi="Times New Roman" w:cs="Times New Roman"/>
          <w:sz w:val="24"/>
          <w:szCs w:val="24"/>
        </w:rPr>
        <w:t>cademic boards must also be strengthened so that they are able to contribute qualitatively in improving the college programme offering. Sourcing funding for the South African Institute for Vocational and Continuing Education and Training (SAIVCET) is important in providing support to colleges by upgrading the technical knowledge and pedagogical skills of existing staff in TVET and community colleges, and promoting the professionalization of lecturers, instructors and trainers and developing innovative curricula for the TVET Colleges.</w:t>
      </w:r>
    </w:p>
    <w:p w14:paraId="40FAE663" w14:textId="77777777" w:rsidR="00C04226" w:rsidRPr="0085651A" w:rsidRDefault="00917F6F" w:rsidP="00C04226">
      <w:pPr>
        <w:pStyle w:val="ListParagraph"/>
        <w:numPr>
          <w:ilvl w:val="0"/>
          <w:numId w:val="8"/>
        </w:numPr>
        <w:rPr>
          <w:rFonts w:ascii="Times New Roman" w:hAnsi="Times New Roman" w:cs="Times New Roman"/>
          <w:sz w:val="24"/>
          <w:szCs w:val="24"/>
        </w:rPr>
      </w:pPr>
      <w:r w:rsidRPr="0085651A">
        <w:rPr>
          <w:rFonts w:ascii="Times New Roman" w:hAnsi="Times New Roman" w:cs="Times New Roman"/>
          <w:sz w:val="24"/>
          <w:szCs w:val="24"/>
        </w:rPr>
        <w:t xml:space="preserve">The Department committed to develop TVET College-based mathematics and science foundation programmes to assist students to take up careers in engineering, science </w:t>
      </w:r>
      <w:r w:rsidRPr="0085651A">
        <w:rPr>
          <w:rFonts w:ascii="Times New Roman" w:hAnsi="Times New Roman" w:cs="Times New Roman"/>
          <w:sz w:val="24"/>
          <w:szCs w:val="24"/>
        </w:rPr>
        <w:lastRenderedPageBreak/>
        <w:t xml:space="preserve">and technology. </w:t>
      </w:r>
      <w:r w:rsidR="00C04226" w:rsidRPr="0085651A">
        <w:rPr>
          <w:rFonts w:ascii="Times New Roman" w:hAnsi="Times New Roman" w:cs="Times New Roman"/>
          <w:sz w:val="24"/>
          <w:szCs w:val="24"/>
        </w:rPr>
        <w:t>Progress in realising this c</w:t>
      </w:r>
      <w:r w:rsidRPr="0085651A">
        <w:rPr>
          <w:rFonts w:ascii="Times New Roman" w:hAnsi="Times New Roman" w:cs="Times New Roman"/>
          <w:sz w:val="24"/>
          <w:szCs w:val="24"/>
        </w:rPr>
        <w:t>ommitment</w:t>
      </w:r>
      <w:r w:rsidR="00C04226" w:rsidRPr="0085651A">
        <w:rPr>
          <w:rFonts w:ascii="Times New Roman" w:hAnsi="Times New Roman" w:cs="Times New Roman"/>
          <w:sz w:val="24"/>
          <w:szCs w:val="24"/>
        </w:rPr>
        <w:t xml:space="preserve"> has been impacted by a lack of funding, because the TVET sector does not have foundation provision grants unlike the university education sector. The Foundational Learning Programme (FLP) at NQF </w:t>
      </w:r>
      <w:r w:rsidR="00CA5BF3" w:rsidRPr="0085651A">
        <w:rPr>
          <w:rFonts w:ascii="Times New Roman" w:hAnsi="Times New Roman" w:cs="Times New Roman"/>
          <w:sz w:val="24"/>
          <w:szCs w:val="24"/>
        </w:rPr>
        <w:t>L</w:t>
      </w:r>
      <w:r w:rsidR="00C04226" w:rsidRPr="0085651A">
        <w:rPr>
          <w:rFonts w:ascii="Times New Roman" w:hAnsi="Times New Roman" w:cs="Times New Roman"/>
          <w:sz w:val="24"/>
          <w:szCs w:val="24"/>
        </w:rPr>
        <w:t>evel 1 has been conceptualised. The Department needs to discuss and consult the Quality Council for Trades Occupations for it to be developed and implemented.</w:t>
      </w:r>
    </w:p>
    <w:p w14:paraId="74654033" w14:textId="77777777" w:rsidR="00917F6F" w:rsidRPr="0085651A" w:rsidRDefault="00917F6F" w:rsidP="00917F6F">
      <w:pPr>
        <w:pStyle w:val="ListParagraph"/>
        <w:numPr>
          <w:ilvl w:val="0"/>
          <w:numId w:val="8"/>
        </w:numPr>
        <w:rPr>
          <w:rFonts w:ascii="Times New Roman" w:hAnsi="Times New Roman" w:cs="Times New Roman"/>
          <w:b/>
          <w:sz w:val="24"/>
          <w:szCs w:val="24"/>
        </w:rPr>
      </w:pPr>
      <w:r w:rsidRPr="0085651A">
        <w:rPr>
          <w:rFonts w:ascii="Times New Roman" w:hAnsi="Times New Roman" w:cs="Times New Roman"/>
          <w:sz w:val="24"/>
          <w:szCs w:val="24"/>
        </w:rPr>
        <w:t xml:space="preserve">The Committee also notes that funding for the implementation of the target to have 5 000 TVET students enrolled in foundation programmes is funded through the National Skills Fund, and the target for 2018/19 to enrol 600 students in the pilot foundation programmes at nine TVET Colleges is not sustainable. The lack of voted funds to support the implementation of this programme poses a sustainability risk to its planned </w:t>
      </w:r>
      <w:r w:rsidR="000F2258" w:rsidRPr="0085651A">
        <w:rPr>
          <w:rFonts w:ascii="Times New Roman" w:hAnsi="Times New Roman" w:cs="Times New Roman"/>
          <w:sz w:val="24"/>
          <w:szCs w:val="24"/>
        </w:rPr>
        <w:t>full-scale</w:t>
      </w:r>
      <w:r w:rsidRPr="0085651A">
        <w:rPr>
          <w:rFonts w:ascii="Times New Roman" w:hAnsi="Times New Roman" w:cs="Times New Roman"/>
          <w:sz w:val="24"/>
          <w:szCs w:val="24"/>
        </w:rPr>
        <w:t xml:space="preserve"> rollout. Consideration for additional voted funds should be made towards ensuring these MTSF targets are implemented. </w:t>
      </w:r>
    </w:p>
    <w:p w14:paraId="6B5CD55E" w14:textId="77777777" w:rsidR="000D5C23" w:rsidRPr="0085651A" w:rsidRDefault="000D5C23" w:rsidP="001B77A0">
      <w:pPr>
        <w:pStyle w:val="ListParagraph"/>
        <w:numPr>
          <w:ilvl w:val="0"/>
          <w:numId w:val="8"/>
        </w:numPr>
        <w:rPr>
          <w:rFonts w:ascii="Times New Roman" w:hAnsi="Times New Roman" w:cs="Times New Roman"/>
          <w:b/>
          <w:sz w:val="24"/>
          <w:szCs w:val="24"/>
        </w:rPr>
      </w:pPr>
      <w:r w:rsidRPr="0085651A">
        <w:rPr>
          <w:rFonts w:ascii="Times New Roman" w:hAnsi="Times New Roman" w:cs="Times New Roman"/>
          <w:sz w:val="24"/>
          <w:szCs w:val="24"/>
        </w:rPr>
        <w:t>The inability of the State Information Technology Agency (SITA) to assist the Department with a reliable data management system for the TVET sector remains a serious challenge. This has serious implications in the certification and resulting of candidates enrolled in the colleges.</w:t>
      </w:r>
    </w:p>
    <w:p w14:paraId="63726644" w14:textId="77777777" w:rsidR="000D5C23" w:rsidRPr="0085651A" w:rsidRDefault="000D5C23" w:rsidP="001B77A0">
      <w:pPr>
        <w:pStyle w:val="ListParagraph"/>
        <w:numPr>
          <w:ilvl w:val="0"/>
          <w:numId w:val="8"/>
        </w:numPr>
        <w:rPr>
          <w:rFonts w:ascii="Times New Roman" w:hAnsi="Times New Roman" w:cs="Times New Roman"/>
          <w:b/>
          <w:sz w:val="24"/>
          <w:szCs w:val="24"/>
        </w:rPr>
      </w:pPr>
      <w:r w:rsidRPr="0085651A">
        <w:rPr>
          <w:rFonts w:ascii="Times New Roman" w:hAnsi="Times New Roman" w:cs="Times New Roman"/>
          <w:sz w:val="24"/>
          <w:szCs w:val="24"/>
        </w:rPr>
        <w:t>The Committee has noted disparity in the targets set for the TVET sector and the university sector. The Department should specify targets in terms of scarce and critical skills or graduate outputs in different programmes in order to address areas of sever</w:t>
      </w:r>
      <w:r w:rsidR="00403BFA" w:rsidRPr="0085651A">
        <w:rPr>
          <w:rFonts w:ascii="Times New Roman" w:hAnsi="Times New Roman" w:cs="Times New Roman"/>
          <w:sz w:val="24"/>
          <w:szCs w:val="24"/>
        </w:rPr>
        <w:t>e</w:t>
      </w:r>
      <w:r w:rsidRPr="0085651A">
        <w:rPr>
          <w:rFonts w:ascii="Times New Roman" w:hAnsi="Times New Roman" w:cs="Times New Roman"/>
          <w:sz w:val="24"/>
          <w:szCs w:val="24"/>
        </w:rPr>
        <w:t xml:space="preserve"> skills shortage.  The Department should use the Labour Market Intelligence Report to inform the target setting for the TVET sector. </w:t>
      </w:r>
    </w:p>
    <w:p w14:paraId="36CA26EE" w14:textId="77777777" w:rsidR="00EE51E3" w:rsidRPr="0085651A" w:rsidRDefault="000B1477" w:rsidP="001B77A0">
      <w:pPr>
        <w:pStyle w:val="ListParagraph"/>
        <w:numPr>
          <w:ilvl w:val="0"/>
          <w:numId w:val="8"/>
        </w:numPr>
        <w:rPr>
          <w:rFonts w:ascii="Times New Roman" w:hAnsi="Times New Roman" w:cs="Times New Roman"/>
          <w:b/>
          <w:sz w:val="24"/>
          <w:szCs w:val="24"/>
        </w:rPr>
      </w:pPr>
      <w:r w:rsidRPr="0085651A">
        <w:rPr>
          <w:rFonts w:ascii="Times New Roman" w:hAnsi="Times New Roman" w:cs="Times New Roman"/>
          <w:sz w:val="24"/>
          <w:szCs w:val="24"/>
        </w:rPr>
        <w:t>The f</w:t>
      </w:r>
      <w:r w:rsidR="00EE51E3" w:rsidRPr="0085651A">
        <w:rPr>
          <w:rFonts w:ascii="Times New Roman" w:hAnsi="Times New Roman" w:cs="Times New Roman"/>
          <w:sz w:val="24"/>
          <w:szCs w:val="24"/>
        </w:rPr>
        <w:t xml:space="preserve">inancial </w:t>
      </w:r>
      <w:r w:rsidRPr="0085651A">
        <w:rPr>
          <w:rFonts w:ascii="Times New Roman" w:hAnsi="Times New Roman" w:cs="Times New Roman"/>
          <w:sz w:val="24"/>
          <w:szCs w:val="24"/>
        </w:rPr>
        <w:t>m</w:t>
      </w:r>
      <w:r w:rsidR="00EE51E3" w:rsidRPr="0085651A">
        <w:rPr>
          <w:rFonts w:ascii="Times New Roman" w:hAnsi="Times New Roman" w:cs="Times New Roman"/>
          <w:sz w:val="24"/>
          <w:szCs w:val="24"/>
        </w:rPr>
        <w:t xml:space="preserve">anagement systems and procurement policies should be strengthened at TVET Colleges given that additional funding will be allocated and for procurement of contractors for infrastructure </w:t>
      </w:r>
      <w:r w:rsidR="005D5D92" w:rsidRPr="0085651A">
        <w:rPr>
          <w:rFonts w:ascii="Times New Roman" w:hAnsi="Times New Roman" w:cs="Times New Roman"/>
          <w:sz w:val="24"/>
          <w:szCs w:val="24"/>
        </w:rPr>
        <w:t>maintenance</w:t>
      </w:r>
      <w:r w:rsidR="00EE51E3" w:rsidRPr="0085651A">
        <w:rPr>
          <w:rFonts w:ascii="Times New Roman" w:hAnsi="Times New Roman" w:cs="Times New Roman"/>
          <w:sz w:val="24"/>
          <w:szCs w:val="24"/>
        </w:rPr>
        <w:t xml:space="preserve">. </w:t>
      </w:r>
    </w:p>
    <w:p w14:paraId="04444557" w14:textId="77777777" w:rsidR="00802B75" w:rsidRPr="0085651A" w:rsidRDefault="00802B75" w:rsidP="001B77A0">
      <w:pPr>
        <w:pStyle w:val="ListParagraph"/>
        <w:numPr>
          <w:ilvl w:val="0"/>
          <w:numId w:val="8"/>
        </w:numPr>
        <w:rPr>
          <w:rFonts w:ascii="Times New Roman" w:hAnsi="Times New Roman" w:cs="Times New Roman"/>
          <w:b/>
          <w:sz w:val="24"/>
          <w:szCs w:val="24"/>
        </w:rPr>
      </w:pPr>
      <w:r w:rsidRPr="0085651A">
        <w:rPr>
          <w:rFonts w:ascii="Times New Roman" w:hAnsi="Times New Roman" w:cs="Times New Roman"/>
          <w:sz w:val="24"/>
          <w:szCs w:val="24"/>
        </w:rPr>
        <w:t>The TVET sector should enter into a social contract with the Department to deliver a predetermined output to inform and justify budget allocations and expenditure.</w:t>
      </w:r>
    </w:p>
    <w:p w14:paraId="4A24DC04" w14:textId="77777777" w:rsidR="00754215" w:rsidRPr="0085651A" w:rsidRDefault="00D71B9F" w:rsidP="00754215">
      <w:pPr>
        <w:pStyle w:val="ListParagraph"/>
        <w:numPr>
          <w:ilvl w:val="0"/>
          <w:numId w:val="8"/>
        </w:numPr>
        <w:rPr>
          <w:rFonts w:ascii="Times New Roman" w:hAnsi="Times New Roman" w:cs="Times New Roman"/>
          <w:b/>
          <w:sz w:val="24"/>
          <w:szCs w:val="24"/>
        </w:rPr>
      </w:pPr>
      <w:r w:rsidRPr="0085651A">
        <w:rPr>
          <w:rFonts w:ascii="Times New Roman" w:hAnsi="Times New Roman" w:cs="Times New Roman"/>
          <w:sz w:val="24"/>
          <w:szCs w:val="24"/>
        </w:rPr>
        <w:t>Apprentices should be utilised to participate in the construction of new college campuses. This will provide a practical learning opportunity and valuable experience. In addition, it should result in a cost saving.</w:t>
      </w:r>
    </w:p>
    <w:p w14:paraId="03197540" w14:textId="77777777" w:rsidR="00D71B9F" w:rsidRPr="0085651A" w:rsidRDefault="006F50CD" w:rsidP="00754215">
      <w:pPr>
        <w:pStyle w:val="ListParagraph"/>
        <w:numPr>
          <w:ilvl w:val="0"/>
          <w:numId w:val="8"/>
        </w:numPr>
        <w:rPr>
          <w:rFonts w:ascii="Times New Roman" w:hAnsi="Times New Roman" w:cs="Times New Roman"/>
          <w:b/>
          <w:sz w:val="24"/>
          <w:szCs w:val="24"/>
        </w:rPr>
      </w:pPr>
      <w:r w:rsidRPr="0085651A">
        <w:rPr>
          <w:rFonts w:ascii="Times New Roman" w:hAnsi="Times New Roman" w:cs="Times New Roman"/>
          <w:sz w:val="24"/>
          <w:szCs w:val="24"/>
        </w:rPr>
        <w:t xml:space="preserve">The eradication of the </w:t>
      </w:r>
      <w:r w:rsidR="00E45CBD" w:rsidRPr="0085651A">
        <w:rPr>
          <w:rFonts w:ascii="Times New Roman" w:hAnsi="Times New Roman" w:cs="Times New Roman"/>
          <w:sz w:val="24"/>
          <w:szCs w:val="24"/>
        </w:rPr>
        <w:t xml:space="preserve">backlog of </w:t>
      </w:r>
      <w:r w:rsidRPr="0085651A">
        <w:rPr>
          <w:rFonts w:ascii="Times New Roman" w:hAnsi="Times New Roman" w:cs="Times New Roman"/>
          <w:sz w:val="24"/>
          <w:szCs w:val="24"/>
        </w:rPr>
        <w:t>80 000 NATED certificates and diplomas should be prioritised</w:t>
      </w:r>
      <w:r w:rsidR="004E6FBE" w:rsidRPr="0085651A">
        <w:rPr>
          <w:rFonts w:ascii="Times New Roman" w:hAnsi="Times New Roman" w:cs="Times New Roman"/>
          <w:sz w:val="24"/>
          <w:szCs w:val="24"/>
        </w:rPr>
        <w:t>.</w:t>
      </w:r>
    </w:p>
    <w:p w14:paraId="02B3CC08" w14:textId="77777777" w:rsidR="004E6FBE" w:rsidRPr="0085651A" w:rsidRDefault="004E6FBE" w:rsidP="001B77A0">
      <w:pPr>
        <w:pStyle w:val="ListParagraph"/>
        <w:numPr>
          <w:ilvl w:val="0"/>
          <w:numId w:val="8"/>
        </w:numPr>
        <w:rPr>
          <w:rFonts w:ascii="Times New Roman" w:hAnsi="Times New Roman" w:cs="Times New Roman"/>
          <w:sz w:val="24"/>
          <w:szCs w:val="24"/>
        </w:rPr>
      </w:pPr>
      <w:r w:rsidRPr="0085651A">
        <w:rPr>
          <w:rFonts w:ascii="Times New Roman" w:hAnsi="Times New Roman" w:cs="Times New Roman"/>
          <w:sz w:val="24"/>
          <w:szCs w:val="24"/>
        </w:rPr>
        <w:lastRenderedPageBreak/>
        <w:t>The NATED curriculum is outdated and does not respond to the needs of the economy. The Department working with the QCTO should finalise the reconstruction of the NATED curriculum.</w:t>
      </w:r>
    </w:p>
    <w:p w14:paraId="46A6EFBA" w14:textId="77777777" w:rsidR="00927985" w:rsidRPr="0085651A" w:rsidRDefault="001254B8" w:rsidP="00927985">
      <w:pPr>
        <w:pStyle w:val="ListParagraph"/>
        <w:numPr>
          <w:ilvl w:val="0"/>
          <w:numId w:val="8"/>
        </w:numPr>
        <w:rPr>
          <w:rFonts w:ascii="Times New Roman" w:hAnsi="Times New Roman" w:cs="Times New Roman"/>
          <w:sz w:val="24"/>
          <w:szCs w:val="24"/>
        </w:rPr>
      </w:pPr>
      <w:r w:rsidRPr="0085651A">
        <w:rPr>
          <w:rFonts w:ascii="Times New Roman" w:hAnsi="Times New Roman" w:cs="Times New Roman"/>
          <w:sz w:val="24"/>
          <w:szCs w:val="24"/>
        </w:rPr>
        <w:t>A progress report on</w:t>
      </w:r>
      <w:r w:rsidR="000B1477" w:rsidRPr="0085651A">
        <w:rPr>
          <w:rFonts w:ascii="Times New Roman" w:hAnsi="Times New Roman" w:cs="Times New Roman"/>
          <w:sz w:val="24"/>
          <w:szCs w:val="24"/>
        </w:rPr>
        <w:t xml:space="preserve"> the</w:t>
      </w:r>
      <w:r w:rsidRPr="0085651A">
        <w:rPr>
          <w:rFonts w:ascii="Times New Roman" w:hAnsi="Times New Roman" w:cs="Times New Roman"/>
          <w:sz w:val="24"/>
          <w:szCs w:val="24"/>
        </w:rPr>
        <w:t xml:space="preserve"> NC</w:t>
      </w:r>
      <w:r w:rsidR="00927985" w:rsidRPr="0085651A">
        <w:rPr>
          <w:rFonts w:ascii="Times New Roman" w:hAnsi="Times New Roman" w:cs="Times New Roman"/>
          <w:sz w:val="24"/>
          <w:szCs w:val="24"/>
        </w:rPr>
        <w:t>(V)</w:t>
      </w:r>
      <w:r w:rsidR="000B1477" w:rsidRPr="0085651A">
        <w:rPr>
          <w:rFonts w:ascii="Times New Roman" w:hAnsi="Times New Roman" w:cs="Times New Roman"/>
          <w:sz w:val="24"/>
          <w:szCs w:val="24"/>
        </w:rPr>
        <w:t xml:space="preserve"> curricula</w:t>
      </w:r>
      <w:r w:rsidR="00927985" w:rsidRPr="0085651A">
        <w:rPr>
          <w:rFonts w:ascii="Times New Roman" w:hAnsi="Times New Roman" w:cs="Times New Roman"/>
          <w:sz w:val="24"/>
          <w:szCs w:val="24"/>
        </w:rPr>
        <w:t xml:space="preserve"> review must be provided</w:t>
      </w:r>
      <w:r w:rsidR="000B1477" w:rsidRPr="0085651A">
        <w:rPr>
          <w:rFonts w:ascii="Times New Roman" w:hAnsi="Times New Roman" w:cs="Times New Roman"/>
          <w:sz w:val="24"/>
          <w:szCs w:val="24"/>
        </w:rPr>
        <w:t xml:space="preserve"> and</w:t>
      </w:r>
      <w:r w:rsidR="00927985" w:rsidRPr="0085651A">
        <w:rPr>
          <w:rFonts w:ascii="Times New Roman" w:hAnsi="Times New Roman" w:cs="Times New Roman"/>
          <w:sz w:val="24"/>
          <w:szCs w:val="24"/>
        </w:rPr>
        <w:t xml:space="preserve"> it is important that the Departments of Basic Education is included in this review as it also offers vocational programmes as part of its three streams model.</w:t>
      </w:r>
    </w:p>
    <w:p w14:paraId="0D47927A" w14:textId="77777777" w:rsidR="004E6FBE" w:rsidRPr="0085651A" w:rsidRDefault="004E6FBE" w:rsidP="001B77A0">
      <w:pPr>
        <w:pStyle w:val="ListParagraph"/>
        <w:numPr>
          <w:ilvl w:val="0"/>
          <w:numId w:val="8"/>
        </w:numPr>
        <w:rPr>
          <w:rFonts w:ascii="Times New Roman" w:hAnsi="Times New Roman" w:cs="Times New Roman"/>
          <w:sz w:val="24"/>
          <w:szCs w:val="24"/>
        </w:rPr>
      </w:pPr>
      <w:r w:rsidRPr="0085651A">
        <w:rPr>
          <w:rFonts w:ascii="Times New Roman" w:hAnsi="Times New Roman" w:cs="Times New Roman"/>
          <w:sz w:val="24"/>
          <w:szCs w:val="24"/>
        </w:rPr>
        <w:t>The review of the TVET examination cycle should be prioritised to eliminate archaic exam system which is costly.</w:t>
      </w:r>
    </w:p>
    <w:p w14:paraId="0DCB1157" w14:textId="77777777" w:rsidR="004E6FBE" w:rsidRPr="0085651A" w:rsidRDefault="004E6FBE" w:rsidP="001B77A0">
      <w:pPr>
        <w:pStyle w:val="ListParagraph"/>
        <w:numPr>
          <w:ilvl w:val="0"/>
          <w:numId w:val="8"/>
        </w:numPr>
        <w:rPr>
          <w:rFonts w:ascii="Times New Roman" w:hAnsi="Times New Roman" w:cs="Times New Roman"/>
          <w:sz w:val="24"/>
          <w:szCs w:val="24"/>
        </w:rPr>
      </w:pPr>
      <w:r w:rsidRPr="0085651A">
        <w:rPr>
          <w:rFonts w:ascii="Times New Roman" w:hAnsi="Times New Roman" w:cs="Times New Roman"/>
          <w:sz w:val="24"/>
          <w:szCs w:val="24"/>
        </w:rPr>
        <w:t>Teaching and learning in the TVET sector remain a concern. The Department should fast track the expansion of universities offering TVET lecturer qualifications to improve the quality teaching and learning in the sector.</w:t>
      </w:r>
    </w:p>
    <w:p w14:paraId="4264E0DD" w14:textId="77777777" w:rsidR="004E6FBE" w:rsidRPr="0085651A" w:rsidRDefault="004E6FBE" w:rsidP="001B77A0">
      <w:pPr>
        <w:pStyle w:val="ListParagraph"/>
        <w:numPr>
          <w:ilvl w:val="0"/>
          <w:numId w:val="8"/>
        </w:numPr>
        <w:rPr>
          <w:rFonts w:ascii="Times New Roman" w:hAnsi="Times New Roman" w:cs="Times New Roman"/>
          <w:sz w:val="24"/>
          <w:szCs w:val="24"/>
        </w:rPr>
      </w:pPr>
      <w:r w:rsidRPr="0085651A">
        <w:rPr>
          <w:rFonts w:ascii="Times New Roman" w:hAnsi="Times New Roman" w:cs="Times New Roman"/>
          <w:sz w:val="24"/>
          <w:szCs w:val="24"/>
        </w:rPr>
        <w:t>The poor throughput and certification rates in the TVET sector is a concern. The Department should support TVET colleges in enhancing their student support services.</w:t>
      </w:r>
    </w:p>
    <w:p w14:paraId="33136935" w14:textId="77777777" w:rsidR="004E6FBE" w:rsidRPr="0085651A" w:rsidRDefault="004E6FBE" w:rsidP="001B77A0">
      <w:pPr>
        <w:pStyle w:val="ListParagraph"/>
        <w:numPr>
          <w:ilvl w:val="0"/>
          <w:numId w:val="8"/>
        </w:numPr>
        <w:rPr>
          <w:rFonts w:ascii="Times New Roman" w:hAnsi="Times New Roman" w:cs="Times New Roman"/>
          <w:sz w:val="24"/>
          <w:szCs w:val="24"/>
        </w:rPr>
      </w:pPr>
      <w:r w:rsidRPr="0085651A">
        <w:rPr>
          <w:rFonts w:ascii="Times New Roman" w:hAnsi="Times New Roman" w:cs="Times New Roman"/>
          <w:sz w:val="24"/>
          <w:szCs w:val="24"/>
        </w:rPr>
        <w:t>The poor IT systems of TVET colleges hamper on the ability of NSFAS to process the payment of outstanding claims from students due to incomplete student enrolment data. The TVET ICT systems should be improved.</w:t>
      </w:r>
    </w:p>
    <w:p w14:paraId="0AB7F7D0" w14:textId="77777777" w:rsidR="004E6FBE" w:rsidRPr="0085651A" w:rsidRDefault="004E6FBE" w:rsidP="001B77A0">
      <w:pPr>
        <w:pStyle w:val="ListParagraph"/>
        <w:numPr>
          <w:ilvl w:val="0"/>
          <w:numId w:val="8"/>
        </w:numPr>
        <w:rPr>
          <w:rFonts w:ascii="Times New Roman" w:hAnsi="Times New Roman" w:cs="Times New Roman"/>
          <w:sz w:val="24"/>
          <w:szCs w:val="24"/>
        </w:rPr>
      </w:pPr>
      <w:r w:rsidRPr="0085651A">
        <w:rPr>
          <w:rFonts w:ascii="Times New Roman" w:hAnsi="Times New Roman" w:cs="Times New Roman"/>
          <w:sz w:val="24"/>
          <w:szCs w:val="24"/>
        </w:rPr>
        <w:t>The finalisation of the staff provisioning norms for the TVET sector should be prioritised.</w:t>
      </w:r>
    </w:p>
    <w:p w14:paraId="4EAAAD12" w14:textId="77777777" w:rsidR="006F3B44" w:rsidRPr="0085651A" w:rsidRDefault="0041792D" w:rsidP="000D5C23">
      <w:pPr>
        <w:rPr>
          <w:rFonts w:ascii="Times New Roman" w:hAnsi="Times New Roman" w:cs="Times New Roman"/>
          <w:b/>
          <w:sz w:val="24"/>
          <w:szCs w:val="24"/>
        </w:rPr>
      </w:pPr>
      <w:r w:rsidRPr="0085651A">
        <w:rPr>
          <w:rFonts w:ascii="Times New Roman" w:hAnsi="Times New Roman" w:cs="Times New Roman"/>
          <w:b/>
          <w:sz w:val="24"/>
          <w:szCs w:val="24"/>
        </w:rPr>
        <w:t>7</w:t>
      </w:r>
      <w:r w:rsidR="006774F2" w:rsidRPr="0085651A">
        <w:rPr>
          <w:rFonts w:ascii="Times New Roman" w:hAnsi="Times New Roman" w:cs="Times New Roman"/>
          <w:b/>
          <w:sz w:val="24"/>
          <w:szCs w:val="24"/>
        </w:rPr>
        <w:t xml:space="preserve">.5. </w:t>
      </w:r>
      <w:r w:rsidR="006F3B44" w:rsidRPr="0085651A">
        <w:rPr>
          <w:rFonts w:ascii="Times New Roman" w:hAnsi="Times New Roman" w:cs="Times New Roman"/>
          <w:b/>
          <w:sz w:val="24"/>
          <w:szCs w:val="24"/>
        </w:rPr>
        <w:t>Programme 5: Skills Development</w:t>
      </w:r>
    </w:p>
    <w:p w14:paraId="04BE6276" w14:textId="77777777" w:rsidR="00956A13" w:rsidRPr="0085651A" w:rsidRDefault="000B1477" w:rsidP="001B77A0">
      <w:pPr>
        <w:pStyle w:val="Default"/>
        <w:numPr>
          <w:ilvl w:val="0"/>
          <w:numId w:val="13"/>
        </w:numPr>
        <w:spacing w:line="360" w:lineRule="auto"/>
        <w:jc w:val="both"/>
        <w:rPr>
          <w:rFonts w:ascii="Times New Roman" w:hAnsi="Times New Roman" w:cs="Times New Roman"/>
        </w:rPr>
      </w:pPr>
      <w:r w:rsidRPr="0085651A">
        <w:rPr>
          <w:rFonts w:ascii="Times New Roman" w:hAnsi="Times New Roman" w:cs="Times New Roman"/>
        </w:rPr>
        <w:t>The b</w:t>
      </w:r>
      <w:r w:rsidR="00F2605D" w:rsidRPr="0085651A">
        <w:rPr>
          <w:rFonts w:ascii="Times New Roman" w:hAnsi="Times New Roman" w:cs="Times New Roman"/>
        </w:rPr>
        <w:t xml:space="preserve">udget reduction in sub-programme 3: National Skills Development Services of R2.3 million in 2018/19 is of concern, given the critical role of the sub-programme to manage projects identified in the national skills development strategy, advises the Minister on the national skills development policy and strategy. The budget reduction will have adverse effects on the work of the Branch and the critical advisory function on the skills development policy and strategy. Consideration for additional funding should be made to ensure that the sub-programme achieves its mandate. </w:t>
      </w:r>
    </w:p>
    <w:p w14:paraId="16D3F0F5" w14:textId="77777777" w:rsidR="00927985" w:rsidRPr="0085651A" w:rsidRDefault="000B1477" w:rsidP="00927985">
      <w:pPr>
        <w:pStyle w:val="ListParagraph"/>
        <w:numPr>
          <w:ilvl w:val="0"/>
          <w:numId w:val="13"/>
        </w:numPr>
        <w:rPr>
          <w:rFonts w:ascii="Times New Roman" w:hAnsi="Times New Roman" w:cs="Times New Roman"/>
          <w:sz w:val="24"/>
          <w:szCs w:val="24"/>
        </w:rPr>
      </w:pPr>
      <w:r w:rsidRPr="0085651A">
        <w:rPr>
          <w:rFonts w:ascii="Times New Roman" w:hAnsi="Times New Roman" w:cs="Times New Roman"/>
          <w:sz w:val="24"/>
          <w:szCs w:val="24"/>
        </w:rPr>
        <w:t>The w</w:t>
      </w:r>
      <w:r w:rsidR="00927985" w:rsidRPr="0085651A">
        <w:rPr>
          <w:rFonts w:ascii="Times New Roman" w:hAnsi="Times New Roman" w:cs="Times New Roman"/>
          <w:sz w:val="24"/>
          <w:szCs w:val="24"/>
        </w:rPr>
        <w:t xml:space="preserve">orkplace training and the </w:t>
      </w:r>
      <w:r w:rsidRPr="0085651A">
        <w:rPr>
          <w:rFonts w:ascii="Times New Roman" w:hAnsi="Times New Roman" w:cs="Times New Roman"/>
          <w:sz w:val="24"/>
          <w:szCs w:val="24"/>
        </w:rPr>
        <w:t>w</w:t>
      </w:r>
      <w:r w:rsidR="00927985" w:rsidRPr="0085651A">
        <w:rPr>
          <w:rFonts w:ascii="Times New Roman" w:hAnsi="Times New Roman" w:cs="Times New Roman"/>
          <w:sz w:val="24"/>
          <w:szCs w:val="24"/>
        </w:rPr>
        <w:t xml:space="preserve">ork- </w:t>
      </w:r>
      <w:r w:rsidRPr="0085651A">
        <w:rPr>
          <w:rFonts w:ascii="Times New Roman" w:hAnsi="Times New Roman" w:cs="Times New Roman"/>
          <w:sz w:val="24"/>
          <w:szCs w:val="24"/>
        </w:rPr>
        <w:t>i</w:t>
      </w:r>
      <w:r w:rsidR="00927985" w:rsidRPr="0085651A">
        <w:rPr>
          <w:rFonts w:ascii="Times New Roman" w:hAnsi="Times New Roman" w:cs="Times New Roman"/>
          <w:sz w:val="24"/>
          <w:szCs w:val="24"/>
        </w:rPr>
        <w:t xml:space="preserve">ntegral </w:t>
      </w:r>
      <w:r w:rsidRPr="0085651A">
        <w:rPr>
          <w:rFonts w:ascii="Times New Roman" w:hAnsi="Times New Roman" w:cs="Times New Roman"/>
          <w:sz w:val="24"/>
          <w:szCs w:val="24"/>
        </w:rPr>
        <w:t>l</w:t>
      </w:r>
      <w:r w:rsidR="00927985" w:rsidRPr="0085651A">
        <w:rPr>
          <w:rFonts w:ascii="Times New Roman" w:hAnsi="Times New Roman" w:cs="Times New Roman"/>
          <w:sz w:val="24"/>
          <w:szCs w:val="24"/>
        </w:rPr>
        <w:t xml:space="preserve">earning (WIL) must be at the core of the training system.  Partnerships remain central to Workplace training, measures should be put in place to encourage more universities </w:t>
      </w:r>
      <w:r w:rsidRPr="0085651A">
        <w:rPr>
          <w:rFonts w:ascii="Times New Roman" w:hAnsi="Times New Roman" w:cs="Times New Roman"/>
          <w:sz w:val="24"/>
          <w:szCs w:val="24"/>
        </w:rPr>
        <w:t xml:space="preserve">to </w:t>
      </w:r>
      <w:r w:rsidR="00927985" w:rsidRPr="0085651A">
        <w:rPr>
          <w:rFonts w:ascii="Times New Roman" w:hAnsi="Times New Roman" w:cs="Times New Roman"/>
          <w:sz w:val="24"/>
          <w:szCs w:val="24"/>
        </w:rPr>
        <w:t xml:space="preserve">build strong partnerships with TVETs, industry and SETAs as highlighted in the </w:t>
      </w:r>
      <w:r w:rsidRPr="0085651A">
        <w:rPr>
          <w:rFonts w:ascii="Times New Roman" w:hAnsi="Times New Roman" w:cs="Times New Roman"/>
          <w:sz w:val="24"/>
          <w:szCs w:val="24"/>
        </w:rPr>
        <w:t>t</w:t>
      </w:r>
      <w:r w:rsidR="00927985" w:rsidRPr="0085651A">
        <w:rPr>
          <w:rFonts w:ascii="Times New Roman" w:hAnsi="Times New Roman" w:cs="Times New Roman"/>
          <w:sz w:val="24"/>
          <w:szCs w:val="24"/>
        </w:rPr>
        <w:t>hird National Skills Development</w:t>
      </w:r>
      <w:r w:rsidRPr="0085651A">
        <w:rPr>
          <w:rFonts w:ascii="Times New Roman" w:hAnsi="Times New Roman" w:cs="Times New Roman"/>
          <w:sz w:val="24"/>
          <w:szCs w:val="24"/>
        </w:rPr>
        <w:t xml:space="preserve"> Strategy</w:t>
      </w:r>
      <w:r w:rsidR="00927985" w:rsidRPr="0085651A">
        <w:rPr>
          <w:rFonts w:ascii="Times New Roman" w:hAnsi="Times New Roman" w:cs="Times New Roman"/>
          <w:sz w:val="24"/>
          <w:szCs w:val="24"/>
        </w:rPr>
        <w:t xml:space="preserve">. There is a need to improve the data supply to assess the accuracy of </w:t>
      </w:r>
      <w:r w:rsidR="00927985" w:rsidRPr="0085651A">
        <w:rPr>
          <w:rFonts w:ascii="Times New Roman" w:hAnsi="Times New Roman" w:cs="Times New Roman"/>
          <w:sz w:val="24"/>
          <w:szCs w:val="24"/>
        </w:rPr>
        <w:lastRenderedPageBreak/>
        <w:t xml:space="preserve">reporting mechanisms and impact of the mandatory grant that SETAs give to employers. </w:t>
      </w:r>
    </w:p>
    <w:p w14:paraId="5BCFA14C" w14:textId="77777777" w:rsidR="00927985" w:rsidRPr="0085651A" w:rsidRDefault="00927985" w:rsidP="00927985">
      <w:pPr>
        <w:pStyle w:val="ListParagraph"/>
        <w:numPr>
          <w:ilvl w:val="0"/>
          <w:numId w:val="13"/>
        </w:numPr>
        <w:rPr>
          <w:rFonts w:ascii="Times New Roman" w:hAnsi="Times New Roman" w:cs="Times New Roman"/>
          <w:sz w:val="24"/>
          <w:szCs w:val="24"/>
        </w:rPr>
      </w:pPr>
      <w:r w:rsidRPr="0085651A">
        <w:rPr>
          <w:rFonts w:ascii="Times New Roman" w:hAnsi="Times New Roman" w:cs="Times New Roman"/>
          <w:sz w:val="24"/>
          <w:szCs w:val="24"/>
        </w:rPr>
        <w:t>The Department must complete it</w:t>
      </w:r>
      <w:r w:rsidR="00E45CBD" w:rsidRPr="0085651A">
        <w:rPr>
          <w:rFonts w:ascii="Times New Roman" w:hAnsi="Times New Roman" w:cs="Times New Roman"/>
          <w:sz w:val="24"/>
          <w:szCs w:val="24"/>
        </w:rPr>
        <w:t>s</w:t>
      </w:r>
      <w:r w:rsidRPr="0085651A">
        <w:rPr>
          <w:rFonts w:ascii="Times New Roman" w:hAnsi="Times New Roman" w:cs="Times New Roman"/>
          <w:sz w:val="24"/>
          <w:szCs w:val="24"/>
        </w:rPr>
        <w:t xml:space="preserve"> finalisation process of the SETA Workplace Based Learning Programme Agreement Regulations.  </w:t>
      </w:r>
    </w:p>
    <w:p w14:paraId="476BC696" w14:textId="77777777" w:rsidR="00927985" w:rsidRPr="0085651A" w:rsidRDefault="00927985" w:rsidP="00927985">
      <w:pPr>
        <w:pStyle w:val="ListParagraph"/>
        <w:numPr>
          <w:ilvl w:val="0"/>
          <w:numId w:val="13"/>
        </w:numPr>
        <w:rPr>
          <w:rFonts w:ascii="Times New Roman" w:hAnsi="Times New Roman" w:cs="Times New Roman"/>
          <w:sz w:val="24"/>
          <w:szCs w:val="24"/>
        </w:rPr>
      </w:pPr>
      <w:r w:rsidRPr="0085651A">
        <w:rPr>
          <w:rFonts w:ascii="Times New Roman" w:hAnsi="Times New Roman" w:cs="Times New Roman"/>
          <w:sz w:val="24"/>
          <w:szCs w:val="24"/>
        </w:rPr>
        <w:t xml:space="preserve">Consideration must also be taken on the contribution that the Human Resource Development Strategy is </w:t>
      </w:r>
      <w:r w:rsidR="00F4570B" w:rsidRPr="0085651A">
        <w:rPr>
          <w:rFonts w:ascii="Times New Roman" w:hAnsi="Times New Roman" w:cs="Times New Roman"/>
          <w:sz w:val="24"/>
          <w:szCs w:val="24"/>
        </w:rPr>
        <w:t xml:space="preserve">making </w:t>
      </w:r>
      <w:r w:rsidRPr="0085651A">
        <w:rPr>
          <w:rFonts w:ascii="Times New Roman" w:hAnsi="Times New Roman" w:cs="Times New Roman"/>
          <w:sz w:val="24"/>
          <w:szCs w:val="24"/>
        </w:rPr>
        <w:t xml:space="preserve">towards </w:t>
      </w:r>
      <w:r w:rsidR="00A956E7" w:rsidRPr="0085651A">
        <w:rPr>
          <w:rFonts w:ascii="Times New Roman" w:hAnsi="Times New Roman" w:cs="Times New Roman"/>
          <w:sz w:val="24"/>
          <w:szCs w:val="24"/>
        </w:rPr>
        <w:t>skills development.</w:t>
      </w:r>
    </w:p>
    <w:p w14:paraId="0CAE4A80" w14:textId="77777777" w:rsidR="00927985" w:rsidRPr="0085651A" w:rsidRDefault="00927985" w:rsidP="00927985">
      <w:pPr>
        <w:pStyle w:val="ListParagraph"/>
        <w:numPr>
          <w:ilvl w:val="0"/>
          <w:numId w:val="13"/>
        </w:numPr>
        <w:rPr>
          <w:rFonts w:ascii="Times New Roman" w:hAnsi="Times New Roman" w:cs="Times New Roman"/>
          <w:sz w:val="24"/>
          <w:szCs w:val="24"/>
        </w:rPr>
      </w:pPr>
      <w:r w:rsidRPr="0085651A">
        <w:rPr>
          <w:rFonts w:ascii="Times New Roman" w:hAnsi="Times New Roman" w:cs="Times New Roman"/>
          <w:sz w:val="24"/>
          <w:szCs w:val="24"/>
        </w:rPr>
        <w:t xml:space="preserve">All spheres of government should take a lead in providing training in the public sector. More needs to done by government departments in recruiting graduates not only to provide training but as a means to address skills shortage. </w:t>
      </w:r>
    </w:p>
    <w:p w14:paraId="156CDA75" w14:textId="77777777" w:rsidR="00927985" w:rsidRPr="0085651A" w:rsidRDefault="00927985" w:rsidP="00927985">
      <w:pPr>
        <w:pStyle w:val="ListParagraph"/>
        <w:numPr>
          <w:ilvl w:val="0"/>
          <w:numId w:val="13"/>
        </w:numPr>
        <w:rPr>
          <w:rFonts w:ascii="Times New Roman" w:hAnsi="Times New Roman" w:cs="Times New Roman"/>
          <w:sz w:val="24"/>
          <w:szCs w:val="24"/>
        </w:rPr>
      </w:pPr>
      <w:r w:rsidRPr="0085651A">
        <w:rPr>
          <w:rFonts w:ascii="Times New Roman" w:hAnsi="Times New Roman" w:cs="Times New Roman"/>
          <w:sz w:val="24"/>
          <w:szCs w:val="24"/>
        </w:rPr>
        <w:t>The training systems requires a close cooperation between educational institutions and industry. It is therefore of importance that amongst other components of such a system the training of artisans through apprenticeships and learnerships (as part of work integrated learning) is prioritised so that by 2030 the country is producing 30 000 artisans per an annum. Furthermore, to ensure the success of these artisans</w:t>
      </w:r>
      <w:r w:rsidR="00437FEA" w:rsidRPr="0085651A">
        <w:rPr>
          <w:rFonts w:ascii="Times New Roman" w:hAnsi="Times New Roman" w:cs="Times New Roman"/>
          <w:sz w:val="24"/>
          <w:szCs w:val="24"/>
        </w:rPr>
        <w:t>,</w:t>
      </w:r>
      <w:r w:rsidRPr="0085651A">
        <w:rPr>
          <w:rFonts w:ascii="Times New Roman" w:hAnsi="Times New Roman" w:cs="Times New Roman"/>
          <w:sz w:val="24"/>
          <w:szCs w:val="24"/>
        </w:rPr>
        <w:t xml:space="preserve"> it is important to ensure that</w:t>
      </w:r>
      <w:r w:rsidR="00437FEA" w:rsidRPr="0085651A">
        <w:rPr>
          <w:rFonts w:ascii="Times New Roman" w:hAnsi="Times New Roman" w:cs="Times New Roman"/>
          <w:sz w:val="24"/>
          <w:szCs w:val="24"/>
        </w:rPr>
        <w:t xml:space="preserve"> proper</w:t>
      </w:r>
      <w:r w:rsidRPr="0085651A">
        <w:rPr>
          <w:rFonts w:ascii="Times New Roman" w:hAnsi="Times New Roman" w:cs="Times New Roman"/>
          <w:sz w:val="24"/>
          <w:szCs w:val="24"/>
        </w:rPr>
        <w:t xml:space="preserve"> system</w:t>
      </w:r>
      <w:r w:rsidR="00437FEA" w:rsidRPr="0085651A">
        <w:rPr>
          <w:rFonts w:ascii="Times New Roman" w:hAnsi="Times New Roman" w:cs="Times New Roman"/>
          <w:sz w:val="24"/>
          <w:szCs w:val="24"/>
        </w:rPr>
        <w:t>s</w:t>
      </w:r>
      <w:r w:rsidRPr="0085651A">
        <w:rPr>
          <w:rFonts w:ascii="Times New Roman" w:hAnsi="Times New Roman" w:cs="Times New Roman"/>
          <w:sz w:val="24"/>
          <w:szCs w:val="24"/>
        </w:rPr>
        <w:t xml:space="preserve"> or partnerships </w:t>
      </w:r>
      <w:r w:rsidR="00437FEA" w:rsidRPr="0085651A">
        <w:rPr>
          <w:rFonts w:ascii="Times New Roman" w:hAnsi="Times New Roman" w:cs="Times New Roman"/>
          <w:sz w:val="24"/>
          <w:szCs w:val="24"/>
        </w:rPr>
        <w:t xml:space="preserve">are in place to </w:t>
      </w:r>
      <w:r w:rsidRPr="0085651A">
        <w:rPr>
          <w:rFonts w:ascii="Times New Roman" w:hAnsi="Times New Roman" w:cs="Times New Roman"/>
          <w:sz w:val="24"/>
          <w:szCs w:val="24"/>
        </w:rPr>
        <w:t>create sufficient workplaces to absorb certified artisans. It is important that the public sector increases the availability of training spaces. The National Artisan Development Strategy remains central in contributing to the growth of the economy.</w:t>
      </w:r>
    </w:p>
    <w:p w14:paraId="0C0578B3" w14:textId="77777777" w:rsidR="00927985" w:rsidRPr="0085651A" w:rsidRDefault="00927985" w:rsidP="00927985">
      <w:pPr>
        <w:pStyle w:val="ListParagraph"/>
        <w:numPr>
          <w:ilvl w:val="0"/>
          <w:numId w:val="13"/>
        </w:numPr>
        <w:rPr>
          <w:rFonts w:ascii="Times New Roman" w:hAnsi="Times New Roman" w:cs="Times New Roman"/>
          <w:b/>
          <w:sz w:val="24"/>
          <w:szCs w:val="24"/>
        </w:rPr>
      </w:pPr>
      <w:r w:rsidRPr="0085651A">
        <w:rPr>
          <w:rFonts w:ascii="Times New Roman" w:eastAsia="PMingLiU-ExtB" w:hAnsi="Times New Roman" w:cs="Times New Roman"/>
          <w:sz w:val="24"/>
          <w:szCs w:val="24"/>
        </w:rPr>
        <w:t xml:space="preserve">The Department should provide an update on the examination process that it has embarked on to ascertain the appropriateness and adequacy of the legal framework for the enforcement of compliance by all government departments </w:t>
      </w:r>
      <w:r w:rsidR="00437FEA" w:rsidRPr="0085651A">
        <w:rPr>
          <w:rFonts w:ascii="Times New Roman" w:eastAsia="PMingLiU-ExtB" w:hAnsi="Times New Roman" w:cs="Times New Roman"/>
          <w:sz w:val="24"/>
          <w:szCs w:val="24"/>
        </w:rPr>
        <w:t>to the</w:t>
      </w:r>
      <w:r w:rsidR="00090A5F" w:rsidRPr="0085651A">
        <w:rPr>
          <w:rFonts w:ascii="Times New Roman" w:eastAsia="PMingLiU-ExtB" w:hAnsi="Times New Roman" w:cs="Times New Roman"/>
          <w:sz w:val="24"/>
          <w:szCs w:val="24"/>
        </w:rPr>
        <w:t xml:space="preserve"> </w:t>
      </w:r>
      <w:r w:rsidRPr="0085651A">
        <w:rPr>
          <w:rFonts w:ascii="Times New Roman" w:eastAsia="PMingLiU-ExtB" w:hAnsi="Times New Roman" w:cs="Times New Roman"/>
          <w:sz w:val="24"/>
          <w:szCs w:val="24"/>
        </w:rPr>
        <w:t>provisions of the Skills Development Act (SDA) and Skills Development Lev</w:t>
      </w:r>
      <w:r w:rsidR="00437FEA" w:rsidRPr="0085651A">
        <w:rPr>
          <w:rFonts w:ascii="Times New Roman" w:eastAsia="PMingLiU-ExtB" w:hAnsi="Times New Roman" w:cs="Times New Roman"/>
          <w:sz w:val="24"/>
          <w:szCs w:val="24"/>
        </w:rPr>
        <w:t>ies</w:t>
      </w:r>
      <w:r w:rsidRPr="0085651A">
        <w:rPr>
          <w:rFonts w:ascii="Times New Roman" w:eastAsia="PMingLiU-ExtB" w:hAnsi="Times New Roman" w:cs="Times New Roman"/>
          <w:sz w:val="24"/>
          <w:szCs w:val="24"/>
        </w:rPr>
        <w:t xml:space="preserve"> Act.</w:t>
      </w:r>
    </w:p>
    <w:p w14:paraId="48F4155D" w14:textId="77777777" w:rsidR="00927985" w:rsidRPr="0085651A" w:rsidRDefault="00927985" w:rsidP="00927985">
      <w:pPr>
        <w:pStyle w:val="ListParagraph"/>
        <w:numPr>
          <w:ilvl w:val="0"/>
          <w:numId w:val="13"/>
        </w:numPr>
        <w:rPr>
          <w:rFonts w:ascii="Times New Roman" w:hAnsi="Times New Roman" w:cs="Times New Roman"/>
          <w:sz w:val="24"/>
          <w:szCs w:val="24"/>
        </w:rPr>
      </w:pPr>
      <w:r w:rsidRPr="0085651A">
        <w:rPr>
          <w:rFonts w:ascii="Times New Roman" w:hAnsi="Times New Roman" w:cs="Times New Roman"/>
          <w:sz w:val="24"/>
          <w:szCs w:val="24"/>
        </w:rPr>
        <w:t xml:space="preserve">The Departments of Higher Education and Training and Public Service and Administration need to develop a working document on how they will collaborate to ensure that there are efforts to significantly increase internships and </w:t>
      </w:r>
      <w:r w:rsidR="00437FEA" w:rsidRPr="0085651A">
        <w:rPr>
          <w:rFonts w:ascii="Times New Roman" w:hAnsi="Times New Roman" w:cs="Times New Roman"/>
          <w:sz w:val="24"/>
          <w:szCs w:val="24"/>
        </w:rPr>
        <w:t xml:space="preserve">work-based opportunities </w:t>
      </w:r>
      <w:r w:rsidRPr="0085651A">
        <w:rPr>
          <w:rFonts w:ascii="Times New Roman" w:hAnsi="Times New Roman" w:cs="Times New Roman"/>
          <w:sz w:val="24"/>
          <w:szCs w:val="24"/>
        </w:rPr>
        <w:t>in the public sector. This primarily because the coordination of internships in the public service is the responsibility of the Department of Service and Administration as directed by the Human Resource Development Strategy of South Africa.</w:t>
      </w:r>
    </w:p>
    <w:p w14:paraId="56E45C50" w14:textId="77777777" w:rsidR="00927985" w:rsidRPr="0085651A" w:rsidRDefault="00927985" w:rsidP="0003168A">
      <w:pPr>
        <w:pStyle w:val="ListParagraph"/>
        <w:numPr>
          <w:ilvl w:val="0"/>
          <w:numId w:val="13"/>
        </w:numPr>
        <w:rPr>
          <w:rFonts w:ascii="Times New Roman" w:hAnsi="Times New Roman" w:cs="Times New Roman"/>
          <w:sz w:val="24"/>
          <w:szCs w:val="24"/>
        </w:rPr>
      </w:pPr>
      <w:r w:rsidRPr="0085651A">
        <w:rPr>
          <w:rFonts w:ascii="Times New Roman" w:hAnsi="Times New Roman" w:cs="Times New Roman"/>
          <w:sz w:val="24"/>
          <w:szCs w:val="24"/>
        </w:rPr>
        <w:t>An impact assessment must be produced on the contribution of the NEDLAC partners to workplace to Commitment one to five of the National Skills Accord.</w:t>
      </w:r>
    </w:p>
    <w:p w14:paraId="11B64680" w14:textId="77777777" w:rsidR="00956A13" w:rsidRPr="0085651A" w:rsidRDefault="00956A13" w:rsidP="001B77A0">
      <w:pPr>
        <w:pStyle w:val="ListParagraph"/>
        <w:numPr>
          <w:ilvl w:val="0"/>
          <w:numId w:val="13"/>
        </w:numPr>
        <w:rPr>
          <w:rFonts w:ascii="Times New Roman" w:hAnsi="Times New Roman" w:cs="Times New Roman"/>
          <w:sz w:val="24"/>
          <w:szCs w:val="24"/>
        </w:rPr>
      </w:pPr>
      <w:r w:rsidRPr="0085651A">
        <w:rPr>
          <w:rFonts w:ascii="Times New Roman" w:hAnsi="Times New Roman" w:cs="Times New Roman"/>
          <w:sz w:val="24"/>
          <w:szCs w:val="24"/>
        </w:rPr>
        <w:t xml:space="preserve">Regular stakeholder workshops with workforce strengthening programmes (i.e. Harambee and others) to foster private and civil society engagement and partnerships </w:t>
      </w:r>
      <w:r w:rsidRPr="0085651A">
        <w:rPr>
          <w:rFonts w:ascii="Times New Roman" w:hAnsi="Times New Roman" w:cs="Times New Roman"/>
          <w:sz w:val="24"/>
          <w:szCs w:val="24"/>
        </w:rPr>
        <w:lastRenderedPageBreak/>
        <w:t xml:space="preserve">and also to gain insight into the impact and outputs of the DHET and PSET initiatives in terms of its ultimate objective: </w:t>
      </w:r>
      <w:r w:rsidRPr="0085651A">
        <w:rPr>
          <w:rFonts w:ascii="Times New Roman" w:hAnsi="Times New Roman" w:cs="Times New Roman"/>
          <w:i/>
          <w:sz w:val="24"/>
          <w:szCs w:val="24"/>
        </w:rPr>
        <w:t>“A skilled and capable workforce to support an inclusive growth path”.</w:t>
      </w:r>
    </w:p>
    <w:p w14:paraId="18BB6363" w14:textId="77777777" w:rsidR="00956A13" w:rsidRPr="0085651A" w:rsidRDefault="00956A13" w:rsidP="001B77A0">
      <w:pPr>
        <w:pStyle w:val="ListParagraph"/>
        <w:numPr>
          <w:ilvl w:val="0"/>
          <w:numId w:val="13"/>
        </w:numPr>
        <w:rPr>
          <w:rFonts w:ascii="Times New Roman" w:hAnsi="Times New Roman" w:cs="Times New Roman"/>
          <w:sz w:val="24"/>
          <w:szCs w:val="24"/>
        </w:rPr>
      </w:pPr>
      <w:r w:rsidRPr="0085651A">
        <w:rPr>
          <w:rFonts w:ascii="Times New Roman" w:hAnsi="Times New Roman" w:cs="Times New Roman"/>
          <w:sz w:val="24"/>
          <w:szCs w:val="24"/>
        </w:rPr>
        <w:t>SETAs need to assist in finding options within their sectors to report on non-funded employer training as these numbers are not validated and captured for artisan data reporting.</w:t>
      </w:r>
    </w:p>
    <w:p w14:paraId="67E079FF" w14:textId="77777777" w:rsidR="00956A13" w:rsidRPr="0085651A" w:rsidRDefault="00956A13" w:rsidP="001B77A0">
      <w:pPr>
        <w:pStyle w:val="ListParagraph"/>
        <w:numPr>
          <w:ilvl w:val="0"/>
          <w:numId w:val="13"/>
        </w:numPr>
        <w:rPr>
          <w:rFonts w:ascii="Times New Roman" w:hAnsi="Times New Roman" w:cs="Times New Roman"/>
          <w:sz w:val="24"/>
          <w:szCs w:val="24"/>
        </w:rPr>
      </w:pPr>
      <w:r w:rsidRPr="0085651A">
        <w:rPr>
          <w:rFonts w:ascii="Times New Roman" w:hAnsi="Times New Roman" w:cs="Times New Roman"/>
          <w:sz w:val="24"/>
          <w:szCs w:val="24"/>
        </w:rPr>
        <w:t xml:space="preserve">A partnership needs to be </w:t>
      </w:r>
      <w:r w:rsidR="00DD7C50" w:rsidRPr="0085651A">
        <w:rPr>
          <w:rFonts w:ascii="Times New Roman" w:hAnsi="Times New Roman" w:cs="Times New Roman"/>
          <w:sz w:val="24"/>
          <w:szCs w:val="24"/>
        </w:rPr>
        <w:t>e</w:t>
      </w:r>
      <w:r w:rsidRPr="0085651A">
        <w:rPr>
          <w:rFonts w:ascii="Times New Roman" w:hAnsi="Times New Roman" w:cs="Times New Roman"/>
          <w:sz w:val="24"/>
          <w:szCs w:val="24"/>
        </w:rPr>
        <w:t xml:space="preserve">stablished wherein the private and public sector are able to collaborate on issues related to skills development and employability. The Human Resource Development Council is a best-practice space for such partnership development and its role in identifying and supporting the Department targets and outputs need to be further strengthened, including the Labour Market Intelligence Partnerships. </w:t>
      </w:r>
    </w:p>
    <w:p w14:paraId="29B50BD9" w14:textId="77777777" w:rsidR="00956A13" w:rsidRPr="0085651A" w:rsidRDefault="00956A13" w:rsidP="001B77A0">
      <w:pPr>
        <w:pStyle w:val="ListParagraph"/>
        <w:numPr>
          <w:ilvl w:val="0"/>
          <w:numId w:val="13"/>
        </w:numPr>
        <w:rPr>
          <w:rFonts w:ascii="Times New Roman" w:hAnsi="Times New Roman" w:cs="Times New Roman"/>
          <w:sz w:val="24"/>
          <w:szCs w:val="24"/>
        </w:rPr>
      </w:pPr>
      <w:r w:rsidRPr="0085651A">
        <w:rPr>
          <w:rFonts w:ascii="Times New Roman" w:hAnsi="Times New Roman" w:cs="Times New Roman"/>
          <w:sz w:val="24"/>
          <w:szCs w:val="24"/>
        </w:rPr>
        <w:t>SETAs</w:t>
      </w:r>
      <w:r w:rsidR="00437FEA" w:rsidRPr="0085651A">
        <w:rPr>
          <w:rFonts w:ascii="Times New Roman" w:hAnsi="Times New Roman" w:cs="Times New Roman"/>
          <w:sz w:val="24"/>
          <w:szCs w:val="24"/>
        </w:rPr>
        <w:t xml:space="preserve"> </w:t>
      </w:r>
      <w:r w:rsidR="000F2258" w:rsidRPr="0085651A">
        <w:rPr>
          <w:rFonts w:ascii="Times New Roman" w:hAnsi="Times New Roman" w:cs="Times New Roman"/>
          <w:sz w:val="24"/>
          <w:szCs w:val="24"/>
        </w:rPr>
        <w:t>should</w:t>
      </w:r>
      <w:r w:rsidRPr="0085651A">
        <w:rPr>
          <w:rFonts w:ascii="Times New Roman" w:hAnsi="Times New Roman" w:cs="Times New Roman"/>
          <w:sz w:val="24"/>
          <w:szCs w:val="24"/>
        </w:rPr>
        <w:t xml:space="preserve"> be contracted to produce the skills identified as being required by the economy, i.e. 3</w:t>
      </w:r>
      <w:r w:rsidR="00E45CBD" w:rsidRPr="0085651A">
        <w:rPr>
          <w:rFonts w:ascii="Times New Roman" w:hAnsi="Times New Roman" w:cs="Times New Roman"/>
          <w:sz w:val="24"/>
          <w:szCs w:val="24"/>
        </w:rPr>
        <w:t>/</w:t>
      </w:r>
      <w:r w:rsidRPr="0085651A">
        <w:rPr>
          <w:rFonts w:ascii="Times New Roman" w:hAnsi="Times New Roman" w:cs="Times New Roman"/>
          <w:sz w:val="24"/>
          <w:szCs w:val="24"/>
        </w:rPr>
        <w:t>6/12 month courses that ha</w:t>
      </w:r>
      <w:r w:rsidR="00DD7C50" w:rsidRPr="0085651A">
        <w:rPr>
          <w:rFonts w:ascii="Times New Roman" w:hAnsi="Times New Roman" w:cs="Times New Roman"/>
          <w:sz w:val="24"/>
          <w:szCs w:val="24"/>
        </w:rPr>
        <w:t>ve</w:t>
      </w:r>
      <w:r w:rsidRPr="0085651A">
        <w:rPr>
          <w:rFonts w:ascii="Times New Roman" w:hAnsi="Times New Roman" w:cs="Times New Roman"/>
          <w:sz w:val="24"/>
          <w:szCs w:val="24"/>
        </w:rPr>
        <w:t xml:space="preserve"> an output </w:t>
      </w:r>
      <w:r w:rsidR="00DD7C50" w:rsidRPr="0085651A">
        <w:rPr>
          <w:rFonts w:ascii="Times New Roman" w:hAnsi="Times New Roman" w:cs="Times New Roman"/>
          <w:sz w:val="24"/>
          <w:szCs w:val="24"/>
        </w:rPr>
        <w:t xml:space="preserve">of </w:t>
      </w:r>
      <w:r w:rsidRPr="0085651A">
        <w:rPr>
          <w:rFonts w:ascii="Times New Roman" w:hAnsi="Times New Roman" w:cs="Times New Roman"/>
          <w:sz w:val="24"/>
          <w:szCs w:val="24"/>
        </w:rPr>
        <w:t xml:space="preserve">specific skills that will address skills shortage linked to the skills development targets. </w:t>
      </w:r>
    </w:p>
    <w:p w14:paraId="21944000" w14:textId="77777777" w:rsidR="00B725AF" w:rsidRPr="0085651A" w:rsidRDefault="00B725AF" w:rsidP="001B77A0">
      <w:pPr>
        <w:pStyle w:val="ListParagraph"/>
        <w:numPr>
          <w:ilvl w:val="0"/>
          <w:numId w:val="13"/>
        </w:numPr>
        <w:rPr>
          <w:rFonts w:ascii="Times New Roman" w:hAnsi="Times New Roman" w:cs="Times New Roman"/>
          <w:b/>
          <w:sz w:val="24"/>
          <w:szCs w:val="24"/>
        </w:rPr>
      </w:pPr>
      <w:r w:rsidRPr="0085651A">
        <w:rPr>
          <w:rFonts w:ascii="Times New Roman" w:hAnsi="Times New Roman" w:cs="Times New Roman"/>
          <w:sz w:val="24"/>
          <w:szCs w:val="24"/>
        </w:rPr>
        <w:t>The low national artisan pass rates remain a concern. The Department should put mechanisms in place to improve the national artisan pass rates.</w:t>
      </w:r>
    </w:p>
    <w:p w14:paraId="4F68145E" w14:textId="77777777" w:rsidR="00B725AF" w:rsidRPr="0085651A" w:rsidRDefault="00B725AF" w:rsidP="001B77A0">
      <w:pPr>
        <w:pStyle w:val="ListParagraph"/>
        <w:numPr>
          <w:ilvl w:val="0"/>
          <w:numId w:val="13"/>
        </w:numPr>
        <w:rPr>
          <w:rFonts w:ascii="Times New Roman" w:hAnsi="Times New Roman" w:cs="Times New Roman"/>
          <w:b/>
          <w:sz w:val="24"/>
          <w:szCs w:val="24"/>
        </w:rPr>
      </w:pPr>
      <w:r w:rsidRPr="0085651A">
        <w:rPr>
          <w:rFonts w:ascii="Times New Roman" w:hAnsi="Times New Roman" w:cs="Times New Roman"/>
          <w:sz w:val="24"/>
          <w:szCs w:val="24"/>
        </w:rPr>
        <w:t>The low uptake of trade assessment at INDLELA remains a concern The Department should put systems in place to improve the accessibility of INDLELA to the public.</w:t>
      </w:r>
    </w:p>
    <w:p w14:paraId="66E24837" w14:textId="77777777" w:rsidR="00B725AF" w:rsidRPr="0085651A" w:rsidRDefault="00B725AF" w:rsidP="001B77A0">
      <w:pPr>
        <w:pStyle w:val="ListParagraph"/>
        <w:numPr>
          <w:ilvl w:val="0"/>
          <w:numId w:val="13"/>
        </w:numPr>
        <w:rPr>
          <w:rFonts w:ascii="Times New Roman" w:hAnsi="Times New Roman" w:cs="Times New Roman"/>
          <w:b/>
          <w:sz w:val="24"/>
          <w:szCs w:val="24"/>
        </w:rPr>
      </w:pPr>
      <w:r w:rsidRPr="0085651A">
        <w:rPr>
          <w:rFonts w:ascii="Times New Roman" w:hAnsi="Times New Roman" w:cs="Times New Roman"/>
          <w:sz w:val="24"/>
          <w:szCs w:val="24"/>
        </w:rPr>
        <w:t xml:space="preserve">The finalisation of the new SETA landscape should be prioritised to </w:t>
      </w:r>
      <w:r w:rsidR="00E45CBD" w:rsidRPr="0085651A">
        <w:rPr>
          <w:rFonts w:ascii="Times New Roman" w:hAnsi="Times New Roman" w:cs="Times New Roman"/>
          <w:sz w:val="24"/>
          <w:szCs w:val="24"/>
        </w:rPr>
        <w:t>address</w:t>
      </w:r>
      <w:r w:rsidRPr="0085651A">
        <w:rPr>
          <w:rFonts w:ascii="Times New Roman" w:hAnsi="Times New Roman" w:cs="Times New Roman"/>
          <w:sz w:val="24"/>
          <w:szCs w:val="24"/>
        </w:rPr>
        <w:t xml:space="preserve"> the uncertainties regarding the future of the SETAs and the duplication in their skills development programmes.</w:t>
      </w:r>
    </w:p>
    <w:p w14:paraId="11F95FAB" w14:textId="77777777" w:rsidR="006F3B44" w:rsidRPr="0085651A" w:rsidRDefault="0041792D" w:rsidP="001F4B0D">
      <w:pPr>
        <w:rPr>
          <w:rFonts w:ascii="Times New Roman" w:hAnsi="Times New Roman" w:cs="Times New Roman"/>
          <w:sz w:val="24"/>
          <w:szCs w:val="24"/>
        </w:rPr>
      </w:pPr>
      <w:r w:rsidRPr="0085651A">
        <w:rPr>
          <w:rFonts w:ascii="Times New Roman" w:hAnsi="Times New Roman" w:cs="Times New Roman"/>
          <w:b/>
          <w:sz w:val="24"/>
          <w:szCs w:val="24"/>
        </w:rPr>
        <w:t>7</w:t>
      </w:r>
      <w:r w:rsidR="006774F2" w:rsidRPr="0085651A">
        <w:rPr>
          <w:rFonts w:ascii="Times New Roman" w:hAnsi="Times New Roman" w:cs="Times New Roman"/>
          <w:b/>
          <w:sz w:val="24"/>
          <w:szCs w:val="24"/>
        </w:rPr>
        <w:t xml:space="preserve">.6. </w:t>
      </w:r>
      <w:r w:rsidR="006F3B44" w:rsidRPr="0085651A">
        <w:rPr>
          <w:rFonts w:ascii="Times New Roman" w:hAnsi="Times New Roman" w:cs="Times New Roman"/>
          <w:b/>
          <w:sz w:val="24"/>
          <w:szCs w:val="24"/>
        </w:rPr>
        <w:t>Programme 6: Community Education Training</w:t>
      </w:r>
    </w:p>
    <w:p w14:paraId="26D7D600" w14:textId="77777777" w:rsidR="00927985" w:rsidRPr="0085651A" w:rsidRDefault="00927985" w:rsidP="00927985">
      <w:pPr>
        <w:pStyle w:val="ListParagraph"/>
        <w:numPr>
          <w:ilvl w:val="0"/>
          <w:numId w:val="10"/>
        </w:numPr>
        <w:rPr>
          <w:rFonts w:ascii="Times New Roman" w:hAnsi="Times New Roman" w:cs="Times New Roman"/>
          <w:sz w:val="24"/>
          <w:szCs w:val="24"/>
        </w:rPr>
      </w:pPr>
      <w:r w:rsidRPr="0085651A">
        <w:rPr>
          <w:rFonts w:ascii="Times New Roman" w:hAnsi="Times New Roman" w:cs="Times New Roman"/>
          <w:sz w:val="24"/>
          <w:szCs w:val="24"/>
        </w:rPr>
        <w:t>In order to meet the targets of the NDP of 1 million headcount enrolment, the CET colleges need to be responsive to the needs and challenges of the communities that they service by offering appropriate and quality programmes. This requires that there should be requisite funding and proper infrastructure to support colleges. The CET branch should look at innovative ways such as expanding its partnership networks to ensure that it prioritises the challenge of infrastructure so that it progressively turnover around its ability to deliver quality teaching and learning. CETs should also look into forming partnerships with business and other sectors within the area that they are located in an effort to provide appropriate skills.</w:t>
      </w:r>
    </w:p>
    <w:p w14:paraId="41397E4A" w14:textId="77777777" w:rsidR="008F2E11" w:rsidRPr="0085651A" w:rsidRDefault="008F2E11" w:rsidP="001B77A0">
      <w:pPr>
        <w:pStyle w:val="ListParagraph"/>
        <w:numPr>
          <w:ilvl w:val="0"/>
          <w:numId w:val="10"/>
        </w:numPr>
        <w:autoSpaceDE w:val="0"/>
        <w:autoSpaceDN w:val="0"/>
        <w:adjustRightInd w:val="0"/>
        <w:rPr>
          <w:rFonts w:ascii="Times New Roman" w:hAnsi="Times New Roman" w:cs="Times New Roman"/>
          <w:sz w:val="24"/>
          <w:szCs w:val="24"/>
          <w:lang w:val="en-US"/>
        </w:rPr>
      </w:pPr>
      <w:r w:rsidRPr="0085651A">
        <w:rPr>
          <w:rFonts w:ascii="Times New Roman" w:hAnsi="Times New Roman" w:cs="Times New Roman"/>
          <w:sz w:val="24"/>
          <w:szCs w:val="24"/>
          <w:lang w:val="en-US"/>
        </w:rPr>
        <w:lastRenderedPageBreak/>
        <w:t>Consideration for additional funding should be made towards funding functions that cannot be funded through the NSF/SETA part</w:t>
      </w:r>
      <w:r w:rsidR="00927985" w:rsidRPr="0085651A">
        <w:rPr>
          <w:rFonts w:ascii="Times New Roman" w:hAnsi="Times New Roman" w:cs="Times New Roman"/>
          <w:sz w:val="24"/>
          <w:szCs w:val="24"/>
          <w:lang w:val="en-US"/>
        </w:rPr>
        <w:t>nerships as they are not a once-</w:t>
      </w:r>
      <w:r w:rsidRPr="0085651A">
        <w:rPr>
          <w:rFonts w:ascii="Times New Roman" w:hAnsi="Times New Roman" w:cs="Times New Roman"/>
          <w:sz w:val="24"/>
          <w:szCs w:val="24"/>
          <w:lang w:val="en-US"/>
        </w:rPr>
        <w:t xml:space="preserve">off projects and require sustainable funding. These are the standardization of conditions of services of the CET college staff, </w:t>
      </w:r>
      <w:r w:rsidR="00DD7C50" w:rsidRPr="0085651A">
        <w:rPr>
          <w:rFonts w:ascii="Times New Roman" w:hAnsi="Times New Roman" w:cs="Times New Roman"/>
          <w:sz w:val="24"/>
          <w:szCs w:val="24"/>
          <w:lang w:val="en-US"/>
        </w:rPr>
        <w:t xml:space="preserve">the </w:t>
      </w:r>
      <w:r w:rsidRPr="0085651A">
        <w:rPr>
          <w:rFonts w:ascii="Times New Roman" w:hAnsi="Times New Roman" w:cs="Times New Roman"/>
          <w:sz w:val="24"/>
          <w:szCs w:val="24"/>
          <w:lang w:val="en-US"/>
        </w:rPr>
        <w:t xml:space="preserve">maintenance needs of the teaching and learning facilities, provision of adequate teaching and learning materials, strengthening governance and management. </w:t>
      </w:r>
    </w:p>
    <w:p w14:paraId="55AEB0E0" w14:textId="77777777" w:rsidR="00B51C3F" w:rsidRPr="0085651A" w:rsidRDefault="008F2E11" w:rsidP="001B77A0">
      <w:pPr>
        <w:pStyle w:val="ListParagraph"/>
        <w:numPr>
          <w:ilvl w:val="0"/>
          <w:numId w:val="10"/>
        </w:numPr>
        <w:autoSpaceDE w:val="0"/>
        <w:autoSpaceDN w:val="0"/>
        <w:adjustRightInd w:val="0"/>
        <w:rPr>
          <w:rFonts w:ascii="Times New Roman" w:hAnsi="Times New Roman" w:cs="Times New Roman"/>
          <w:sz w:val="24"/>
          <w:szCs w:val="24"/>
          <w:lang w:val="en-US"/>
        </w:rPr>
      </w:pPr>
      <w:r w:rsidRPr="0085651A">
        <w:rPr>
          <w:rFonts w:ascii="Times New Roman" w:hAnsi="Times New Roman" w:cs="Times New Roman"/>
          <w:sz w:val="24"/>
          <w:szCs w:val="24"/>
          <w:lang w:val="en-US"/>
        </w:rPr>
        <w:t xml:space="preserve">The Minister of Finance in the response </w:t>
      </w:r>
      <w:r w:rsidR="00405B70" w:rsidRPr="0085651A">
        <w:rPr>
          <w:rFonts w:ascii="Times New Roman" w:hAnsi="Times New Roman" w:cs="Times New Roman"/>
          <w:sz w:val="24"/>
          <w:szCs w:val="24"/>
          <w:lang w:val="en-US"/>
        </w:rPr>
        <w:t>to</w:t>
      </w:r>
      <w:r w:rsidRPr="0085651A">
        <w:rPr>
          <w:rFonts w:ascii="Times New Roman" w:hAnsi="Times New Roman" w:cs="Times New Roman"/>
          <w:sz w:val="24"/>
          <w:szCs w:val="24"/>
          <w:lang w:val="en-US"/>
        </w:rPr>
        <w:t xml:space="preserve"> the 2017 BRRR indicated that the Department should use all available resources allocated for the CET sector, including the funding from the skills development levy institutions to improve delivery as efficiently as possible within the available resources over the medium term. In light of this, the Department should work together with the SETAs and the National Skills Fund to reprioritize funding from the skills levy to improve the role and performance of the CET Colleges as they do with the TVET Colleges.</w:t>
      </w:r>
    </w:p>
    <w:p w14:paraId="29C472F8" w14:textId="77777777" w:rsidR="004677A0" w:rsidRPr="0085651A" w:rsidRDefault="008F2E11" w:rsidP="001B77A0">
      <w:pPr>
        <w:pStyle w:val="ListParagraph"/>
        <w:numPr>
          <w:ilvl w:val="0"/>
          <w:numId w:val="10"/>
        </w:numPr>
        <w:autoSpaceDE w:val="0"/>
        <w:autoSpaceDN w:val="0"/>
        <w:adjustRightInd w:val="0"/>
        <w:rPr>
          <w:rFonts w:ascii="Times New Roman" w:hAnsi="Times New Roman" w:cs="Times New Roman"/>
          <w:sz w:val="24"/>
          <w:szCs w:val="24"/>
          <w:lang w:val="en-US"/>
        </w:rPr>
      </w:pPr>
      <w:r w:rsidRPr="0085651A">
        <w:rPr>
          <w:rFonts w:ascii="Times New Roman" w:hAnsi="Times New Roman" w:cs="Times New Roman"/>
          <w:sz w:val="24"/>
          <w:szCs w:val="24"/>
          <w:lang w:val="en-US"/>
        </w:rPr>
        <w:t xml:space="preserve">There are functions that cut across the SETAs, like the </w:t>
      </w:r>
      <w:r w:rsidRPr="0085651A">
        <w:rPr>
          <w:rFonts w:ascii="Times New Roman" w:hAnsi="Times New Roman" w:cs="Times New Roman"/>
          <w:sz w:val="24"/>
          <w:szCs w:val="24"/>
        </w:rPr>
        <w:t xml:space="preserve">addressing the low-level of youth and adult language and numeracy skills to enable additional training. This seeks to provide all young people leaving school with an opportunity to engage in training or work experience, or improve their employability. </w:t>
      </w:r>
      <w:r w:rsidR="007D20A9" w:rsidRPr="0085651A">
        <w:rPr>
          <w:rFonts w:ascii="Times New Roman" w:hAnsi="Times New Roman" w:cs="Times New Roman"/>
          <w:sz w:val="24"/>
          <w:szCs w:val="24"/>
        </w:rPr>
        <w:t>Partnerships between the SETAs/NSF and the CET colleges should be encouraged in this regard.</w:t>
      </w:r>
    </w:p>
    <w:p w14:paraId="707B55A7" w14:textId="77777777" w:rsidR="008F2E11" w:rsidRPr="0085651A" w:rsidRDefault="008F2E11" w:rsidP="001B77A0">
      <w:pPr>
        <w:pStyle w:val="ListParagraph"/>
        <w:numPr>
          <w:ilvl w:val="0"/>
          <w:numId w:val="10"/>
        </w:numPr>
        <w:rPr>
          <w:rFonts w:ascii="Times New Roman" w:hAnsi="Times New Roman" w:cs="Times New Roman"/>
          <w:b/>
          <w:sz w:val="24"/>
          <w:szCs w:val="24"/>
        </w:rPr>
      </w:pPr>
      <w:r w:rsidRPr="0085651A">
        <w:rPr>
          <w:rFonts w:ascii="Times New Roman" w:hAnsi="Times New Roman" w:cs="Times New Roman"/>
          <w:sz w:val="24"/>
          <w:szCs w:val="24"/>
        </w:rPr>
        <w:t>The establishment of financial management system</w:t>
      </w:r>
      <w:r w:rsidR="00437FEA" w:rsidRPr="0085651A">
        <w:rPr>
          <w:rFonts w:ascii="Times New Roman" w:hAnsi="Times New Roman" w:cs="Times New Roman"/>
          <w:sz w:val="24"/>
          <w:szCs w:val="24"/>
        </w:rPr>
        <w:t>s</w:t>
      </w:r>
      <w:r w:rsidRPr="0085651A">
        <w:rPr>
          <w:rFonts w:ascii="Times New Roman" w:hAnsi="Times New Roman" w:cs="Times New Roman"/>
          <w:sz w:val="24"/>
          <w:szCs w:val="24"/>
        </w:rPr>
        <w:t xml:space="preserve"> and procurement management at CET Colleges should be expedited. </w:t>
      </w:r>
    </w:p>
    <w:p w14:paraId="4691E566" w14:textId="77777777" w:rsidR="008F2E11" w:rsidRPr="0085651A" w:rsidRDefault="008F2E11" w:rsidP="001B77A0">
      <w:pPr>
        <w:pStyle w:val="ListParagraph"/>
        <w:numPr>
          <w:ilvl w:val="0"/>
          <w:numId w:val="10"/>
        </w:numPr>
        <w:rPr>
          <w:rFonts w:ascii="Times New Roman" w:hAnsi="Times New Roman" w:cs="Times New Roman"/>
          <w:b/>
          <w:sz w:val="24"/>
          <w:szCs w:val="24"/>
        </w:rPr>
      </w:pPr>
      <w:r w:rsidRPr="0085651A">
        <w:rPr>
          <w:rFonts w:ascii="Times New Roman" w:hAnsi="Times New Roman" w:cs="Times New Roman"/>
          <w:sz w:val="24"/>
          <w:szCs w:val="24"/>
        </w:rPr>
        <w:t xml:space="preserve">The poor certification rates of CET colleges should be improved by improving teaching and learning in the sector. </w:t>
      </w:r>
    </w:p>
    <w:p w14:paraId="661A4C19" w14:textId="77777777" w:rsidR="00B51C3F" w:rsidRPr="0085651A" w:rsidRDefault="00B51C3F" w:rsidP="001B77A0">
      <w:pPr>
        <w:pStyle w:val="ListParagraph"/>
        <w:numPr>
          <w:ilvl w:val="0"/>
          <w:numId w:val="10"/>
        </w:numPr>
        <w:rPr>
          <w:rFonts w:ascii="Times New Roman" w:hAnsi="Times New Roman" w:cs="Times New Roman"/>
          <w:sz w:val="24"/>
          <w:szCs w:val="24"/>
        </w:rPr>
      </w:pPr>
      <w:r w:rsidRPr="0085651A">
        <w:rPr>
          <w:rFonts w:ascii="Times New Roman" w:hAnsi="Times New Roman" w:cs="Times New Roman"/>
          <w:sz w:val="24"/>
          <w:szCs w:val="24"/>
        </w:rPr>
        <w:t>The harmonization of the conditions of service of CET educators should be prioritised.</w:t>
      </w:r>
    </w:p>
    <w:p w14:paraId="19E65751" w14:textId="77777777" w:rsidR="00C7162B" w:rsidRPr="0085651A" w:rsidRDefault="00F6564F" w:rsidP="001B77A0">
      <w:pPr>
        <w:pStyle w:val="ListParagraph"/>
        <w:numPr>
          <w:ilvl w:val="0"/>
          <w:numId w:val="10"/>
        </w:numPr>
        <w:rPr>
          <w:rFonts w:ascii="Times New Roman" w:hAnsi="Times New Roman" w:cs="Times New Roman"/>
          <w:sz w:val="24"/>
          <w:szCs w:val="24"/>
        </w:rPr>
      </w:pPr>
      <w:r w:rsidRPr="0085651A">
        <w:rPr>
          <w:rFonts w:ascii="Times New Roman" w:hAnsi="Times New Roman" w:cs="Times New Roman"/>
          <w:sz w:val="24"/>
          <w:szCs w:val="24"/>
        </w:rPr>
        <w:t>Progress on the post-establishment for CET Colleges should be reported to the Committee</w:t>
      </w:r>
      <w:r w:rsidR="00C7162B" w:rsidRPr="0085651A">
        <w:rPr>
          <w:rFonts w:ascii="Times New Roman" w:hAnsi="Times New Roman" w:cs="Times New Roman"/>
          <w:sz w:val="24"/>
          <w:szCs w:val="24"/>
        </w:rPr>
        <w:t xml:space="preserve">. </w:t>
      </w:r>
    </w:p>
    <w:p w14:paraId="34B0780C" w14:textId="77777777" w:rsidR="008F2E11" w:rsidRPr="0085651A" w:rsidRDefault="00B51C3F" w:rsidP="001B77A0">
      <w:pPr>
        <w:pStyle w:val="ListParagraph"/>
        <w:numPr>
          <w:ilvl w:val="0"/>
          <w:numId w:val="10"/>
        </w:numPr>
        <w:rPr>
          <w:rFonts w:ascii="Times New Roman" w:hAnsi="Times New Roman" w:cs="Times New Roman"/>
          <w:sz w:val="24"/>
          <w:szCs w:val="24"/>
        </w:rPr>
      </w:pPr>
      <w:r w:rsidRPr="0085651A">
        <w:rPr>
          <w:rFonts w:ascii="Times New Roman" w:hAnsi="Times New Roman" w:cs="Times New Roman"/>
          <w:sz w:val="24"/>
          <w:szCs w:val="24"/>
        </w:rPr>
        <w:t xml:space="preserve">The identification of under-utilised public infrastructure </w:t>
      </w:r>
      <w:r w:rsidR="007D73CC" w:rsidRPr="0085651A">
        <w:rPr>
          <w:rFonts w:ascii="Times New Roman" w:hAnsi="Times New Roman" w:cs="Times New Roman"/>
          <w:sz w:val="24"/>
          <w:szCs w:val="24"/>
        </w:rPr>
        <w:t xml:space="preserve">country wide </w:t>
      </w:r>
      <w:r w:rsidRPr="0085651A">
        <w:rPr>
          <w:rFonts w:ascii="Times New Roman" w:hAnsi="Times New Roman" w:cs="Times New Roman"/>
          <w:sz w:val="24"/>
          <w:szCs w:val="24"/>
        </w:rPr>
        <w:t xml:space="preserve">to be used as public </w:t>
      </w:r>
      <w:r w:rsidR="008F21AA" w:rsidRPr="0085651A">
        <w:rPr>
          <w:rFonts w:ascii="Times New Roman" w:hAnsi="Times New Roman" w:cs="Times New Roman"/>
          <w:sz w:val="24"/>
          <w:szCs w:val="24"/>
        </w:rPr>
        <w:t>community</w:t>
      </w:r>
      <w:r w:rsidRPr="0085651A">
        <w:rPr>
          <w:rFonts w:ascii="Times New Roman" w:hAnsi="Times New Roman" w:cs="Times New Roman"/>
          <w:sz w:val="24"/>
          <w:szCs w:val="24"/>
        </w:rPr>
        <w:t xml:space="preserve"> learning centres (P</w:t>
      </w:r>
      <w:r w:rsidR="008F21AA" w:rsidRPr="0085651A">
        <w:rPr>
          <w:rFonts w:ascii="Times New Roman" w:hAnsi="Times New Roman" w:cs="Times New Roman"/>
          <w:sz w:val="24"/>
          <w:szCs w:val="24"/>
        </w:rPr>
        <w:t>C</w:t>
      </w:r>
      <w:r w:rsidRPr="0085651A">
        <w:rPr>
          <w:rFonts w:ascii="Times New Roman" w:hAnsi="Times New Roman" w:cs="Times New Roman"/>
          <w:sz w:val="24"/>
          <w:szCs w:val="24"/>
        </w:rPr>
        <w:t xml:space="preserve">LC) </w:t>
      </w:r>
      <w:r w:rsidR="008F21AA" w:rsidRPr="0085651A">
        <w:rPr>
          <w:rFonts w:ascii="Times New Roman" w:hAnsi="Times New Roman" w:cs="Times New Roman"/>
          <w:sz w:val="24"/>
          <w:szCs w:val="24"/>
        </w:rPr>
        <w:t xml:space="preserve">to address infrastructure challenges </w:t>
      </w:r>
      <w:r w:rsidR="005E38D9" w:rsidRPr="0085651A">
        <w:rPr>
          <w:rFonts w:ascii="Times New Roman" w:hAnsi="Times New Roman" w:cs="Times New Roman"/>
          <w:sz w:val="24"/>
          <w:szCs w:val="24"/>
        </w:rPr>
        <w:t xml:space="preserve">must </w:t>
      </w:r>
      <w:r w:rsidRPr="0085651A">
        <w:rPr>
          <w:rFonts w:ascii="Times New Roman" w:hAnsi="Times New Roman" w:cs="Times New Roman"/>
          <w:sz w:val="24"/>
          <w:szCs w:val="24"/>
        </w:rPr>
        <w:t xml:space="preserve">be </w:t>
      </w:r>
      <w:r w:rsidR="004D07ED" w:rsidRPr="0085651A">
        <w:rPr>
          <w:rFonts w:ascii="Times New Roman" w:hAnsi="Times New Roman" w:cs="Times New Roman"/>
          <w:sz w:val="24"/>
          <w:szCs w:val="24"/>
        </w:rPr>
        <w:t>prioritised.</w:t>
      </w:r>
    </w:p>
    <w:p w14:paraId="70FA31FC" w14:textId="77777777" w:rsidR="005A04CC" w:rsidRPr="0085651A" w:rsidRDefault="005A04CC" w:rsidP="001B77A0">
      <w:pPr>
        <w:pStyle w:val="ListParagraph"/>
        <w:numPr>
          <w:ilvl w:val="0"/>
          <w:numId w:val="10"/>
        </w:numPr>
        <w:rPr>
          <w:rFonts w:ascii="Times New Roman" w:hAnsi="Times New Roman" w:cs="Times New Roman"/>
          <w:sz w:val="24"/>
          <w:szCs w:val="24"/>
        </w:rPr>
      </w:pPr>
      <w:r w:rsidRPr="0085651A">
        <w:rPr>
          <w:rFonts w:ascii="Times New Roman" w:hAnsi="Times New Roman" w:cs="Times New Roman"/>
          <w:sz w:val="24"/>
          <w:szCs w:val="24"/>
        </w:rPr>
        <w:t xml:space="preserve">CET Colleges should enter into a social compact with the Department to deliver a predetermined output to inform and justify budget allocations and expenditure. </w:t>
      </w:r>
    </w:p>
    <w:p w14:paraId="495C7147" w14:textId="77777777" w:rsidR="0085651A" w:rsidRDefault="0085651A" w:rsidP="00833539">
      <w:pPr>
        <w:rPr>
          <w:rFonts w:ascii="Times New Roman" w:hAnsi="Times New Roman" w:cs="Times New Roman"/>
          <w:sz w:val="24"/>
          <w:szCs w:val="24"/>
        </w:rPr>
      </w:pPr>
    </w:p>
    <w:p w14:paraId="7A729DCF" w14:textId="77777777" w:rsidR="009E0760" w:rsidRPr="0085651A" w:rsidRDefault="009E0760" w:rsidP="00833539">
      <w:pPr>
        <w:rPr>
          <w:rFonts w:ascii="Times New Roman" w:hAnsi="Times New Roman" w:cs="Times New Roman"/>
          <w:sz w:val="24"/>
          <w:szCs w:val="24"/>
        </w:rPr>
      </w:pPr>
      <w:r w:rsidRPr="0085651A">
        <w:rPr>
          <w:rFonts w:ascii="Times New Roman" w:hAnsi="Times New Roman" w:cs="Times New Roman"/>
          <w:sz w:val="24"/>
          <w:szCs w:val="24"/>
        </w:rPr>
        <w:lastRenderedPageBreak/>
        <w:t>Report to be considered</w:t>
      </w:r>
      <w:r w:rsidR="00833539" w:rsidRPr="0085651A">
        <w:rPr>
          <w:rFonts w:ascii="Times New Roman" w:hAnsi="Times New Roman" w:cs="Times New Roman"/>
          <w:sz w:val="24"/>
          <w:szCs w:val="24"/>
        </w:rPr>
        <w:t>.</w:t>
      </w:r>
    </w:p>
    <w:p w14:paraId="1A1D196B" w14:textId="77777777" w:rsidR="00055D37" w:rsidRPr="0085651A" w:rsidRDefault="00055D37">
      <w:pPr>
        <w:rPr>
          <w:rFonts w:ascii="Times New Roman" w:hAnsi="Times New Roman" w:cs="Times New Roman"/>
          <w:sz w:val="24"/>
          <w:szCs w:val="24"/>
        </w:rPr>
      </w:pPr>
    </w:p>
    <w:sectPr w:rsidR="00055D37" w:rsidRPr="0085651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E8DB8" w14:textId="77777777" w:rsidR="00116498" w:rsidRDefault="00116498" w:rsidP="008B7DA8">
      <w:pPr>
        <w:spacing w:after="0" w:line="240" w:lineRule="auto"/>
      </w:pPr>
      <w:r>
        <w:separator/>
      </w:r>
    </w:p>
  </w:endnote>
  <w:endnote w:type="continuationSeparator" w:id="0">
    <w:p w14:paraId="4501FA2D" w14:textId="77777777" w:rsidR="00116498" w:rsidRDefault="00116498" w:rsidP="008B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638305"/>
      <w:docPartObj>
        <w:docPartGallery w:val="Page Numbers (Bottom of Page)"/>
        <w:docPartUnique/>
      </w:docPartObj>
    </w:sdtPr>
    <w:sdtEndPr>
      <w:rPr>
        <w:noProof/>
      </w:rPr>
    </w:sdtEndPr>
    <w:sdtContent>
      <w:p w14:paraId="0573F302" w14:textId="7536D52C" w:rsidR="00055D37" w:rsidRDefault="00055D37">
        <w:pPr>
          <w:pStyle w:val="Footer"/>
          <w:jc w:val="right"/>
        </w:pPr>
        <w:r>
          <w:fldChar w:fldCharType="begin"/>
        </w:r>
        <w:r>
          <w:instrText xml:space="preserve"> PAGE   \* MERGEFORMAT </w:instrText>
        </w:r>
        <w:r>
          <w:fldChar w:fldCharType="separate"/>
        </w:r>
        <w:r w:rsidR="00D53A28">
          <w:rPr>
            <w:noProof/>
          </w:rPr>
          <w:t>1</w:t>
        </w:r>
        <w:r>
          <w:rPr>
            <w:noProof/>
          </w:rPr>
          <w:fldChar w:fldCharType="end"/>
        </w:r>
      </w:p>
    </w:sdtContent>
  </w:sdt>
  <w:p w14:paraId="4C3E4567" w14:textId="77777777" w:rsidR="00055D37" w:rsidRDefault="00055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2FFAE" w14:textId="77777777" w:rsidR="00116498" w:rsidRDefault="00116498" w:rsidP="008B7DA8">
      <w:pPr>
        <w:spacing w:after="0" w:line="240" w:lineRule="auto"/>
      </w:pPr>
      <w:r>
        <w:separator/>
      </w:r>
    </w:p>
  </w:footnote>
  <w:footnote w:type="continuationSeparator" w:id="0">
    <w:p w14:paraId="2A49E926" w14:textId="77777777" w:rsidR="00116498" w:rsidRDefault="00116498" w:rsidP="008B7D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2CE"/>
    <w:multiLevelType w:val="hybridMultilevel"/>
    <w:tmpl w:val="C89220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36546E"/>
    <w:multiLevelType w:val="hybridMultilevel"/>
    <w:tmpl w:val="2A92702E"/>
    <w:lvl w:ilvl="0" w:tplc="09F0B414">
      <w:start w:val="1"/>
      <w:numFmt w:val="bullet"/>
      <w:pStyle w:val="bulletlist"/>
      <w:lvlText w:val="•"/>
      <w:lvlJc w:val="left"/>
      <w:pPr>
        <w:ind w:left="720" w:hanging="360"/>
      </w:pPr>
      <w:rPr>
        <w:rFonts w:ascii="Arial" w:hAnsi="Arial" w:cs="Times New Roman" w:hint="default"/>
        <w:b w:val="0"/>
        <w:bCs w:val="0"/>
        <w:i w:val="0"/>
        <w:iCs w:val="0"/>
        <w:caps w:val="0"/>
        <w:smallCaps w:val="0"/>
        <w:strike w:val="0"/>
        <w:dstrike w:val="0"/>
        <w:noProof w:val="0"/>
        <w:snapToGrid w:val="0"/>
        <w:vanish w:val="0"/>
        <w:color w:val="000000" w:themeColor="text1"/>
        <w:spacing w:val="0"/>
        <w:w w:val="0"/>
        <w:kern w:val="0"/>
        <w:position w:val="0"/>
        <w:szCs w:val="0"/>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A3DBD"/>
    <w:multiLevelType w:val="hybridMultilevel"/>
    <w:tmpl w:val="55A630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61A168E"/>
    <w:multiLevelType w:val="hybridMultilevel"/>
    <w:tmpl w:val="C5A4C8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3F1303"/>
    <w:multiLevelType w:val="hybridMultilevel"/>
    <w:tmpl w:val="E85EE1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EB9330D"/>
    <w:multiLevelType w:val="hybridMultilevel"/>
    <w:tmpl w:val="A4DE63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62A1885"/>
    <w:multiLevelType w:val="hybridMultilevel"/>
    <w:tmpl w:val="A33CA1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5051B96"/>
    <w:multiLevelType w:val="hybridMultilevel"/>
    <w:tmpl w:val="45B0CC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6773F1"/>
    <w:multiLevelType w:val="hybridMultilevel"/>
    <w:tmpl w:val="3CB8EB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1335534"/>
    <w:multiLevelType w:val="hybridMultilevel"/>
    <w:tmpl w:val="FF1A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3A4975"/>
    <w:multiLevelType w:val="hybridMultilevel"/>
    <w:tmpl w:val="7EA895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4C561D5"/>
    <w:multiLevelType w:val="hybridMultilevel"/>
    <w:tmpl w:val="F6D017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7A35E7D"/>
    <w:multiLevelType w:val="hybridMultilevel"/>
    <w:tmpl w:val="FDB24C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B0F1C38"/>
    <w:multiLevelType w:val="hybridMultilevel"/>
    <w:tmpl w:val="775EAEA6"/>
    <w:lvl w:ilvl="0" w:tplc="AEFC955C">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BD66892"/>
    <w:multiLevelType w:val="hybridMultilevel"/>
    <w:tmpl w:val="062E6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88176F9"/>
    <w:multiLevelType w:val="hybridMultilevel"/>
    <w:tmpl w:val="F05E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D5760F"/>
    <w:multiLevelType w:val="hybridMultilevel"/>
    <w:tmpl w:val="8BF6EC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F2B6961"/>
    <w:multiLevelType w:val="hybridMultilevel"/>
    <w:tmpl w:val="19FC30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9"/>
  </w:num>
  <w:num w:numId="4">
    <w:abstractNumId w:val="14"/>
  </w:num>
  <w:num w:numId="5">
    <w:abstractNumId w:val="16"/>
  </w:num>
  <w:num w:numId="6">
    <w:abstractNumId w:val="13"/>
  </w:num>
  <w:num w:numId="7">
    <w:abstractNumId w:val="17"/>
  </w:num>
  <w:num w:numId="8">
    <w:abstractNumId w:val="5"/>
  </w:num>
  <w:num w:numId="9">
    <w:abstractNumId w:val="4"/>
  </w:num>
  <w:num w:numId="10">
    <w:abstractNumId w:val="0"/>
  </w:num>
  <w:num w:numId="11">
    <w:abstractNumId w:val="10"/>
  </w:num>
  <w:num w:numId="12">
    <w:abstractNumId w:val="3"/>
  </w:num>
  <w:num w:numId="13">
    <w:abstractNumId w:val="6"/>
  </w:num>
  <w:num w:numId="14">
    <w:abstractNumId w:val="8"/>
  </w:num>
  <w:num w:numId="15">
    <w:abstractNumId w:val="7"/>
  </w:num>
  <w:num w:numId="16">
    <w:abstractNumId w:val="12"/>
  </w:num>
  <w:num w:numId="17">
    <w:abstractNumId w:val="2"/>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4F"/>
    <w:rsid w:val="00000261"/>
    <w:rsid w:val="000002F8"/>
    <w:rsid w:val="00001964"/>
    <w:rsid w:val="00003422"/>
    <w:rsid w:val="00005C23"/>
    <w:rsid w:val="000065C3"/>
    <w:rsid w:val="00007EF0"/>
    <w:rsid w:val="00010EE3"/>
    <w:rsid w:val="0001105A"/>
    <w:rsid w:val="000111EE"/>
    <w:rsid w:val="000114CD"/>
    <w:rsid w:val="00011C06"/>
    <w:rsid w:val="000129E1"/>
    <w:rsid w:val="000130B3"/>
    <w:rsid w:val="000133B4"/>
    <w:rsid w:val="000136AE"/>
    <w:rsid w:val="0001560B"/>
    <w:rsid w:val="0001560F"/>
    <w:rsid w:val="00015886"/>
    <w:rsid w:val="0001601E"/>
    <w:rsid w:val="0001619A"/>
    <w:rsid w:val="00016702"/>
    <w:rsid w:val="000168FA"/>
    <w:rsid w:val="00017B32"/>
    <w:rsid w:val="00017D08"/>
    <w:rsid w:val="00020DB7"/>
    <w:rsid w:val="000210DD"/>
    <w:rsid w:val="000211D2"/>
    <w:rsid w:val="00021B29"/>
    <w:rsid w:val="00021F5B"/>
    <w:rsid w:val="00022FE9"/>
    <w:rsid w:val="00024704"/>
    <w:rsid w:val="0002518C"/>
    <w:rsid w:val="00025792"/>
    <w:rsid w:val="00025C9F"/>
    <w:rsid w:val="00027533"/>
    <w:rsid w:val="00027EB4"/>
    <w:rsid w:val="0003027E"/>
    <w:rsid w:val="0003168A"/>
    <w:rsid w:val="00032A3A"/>
    <w:rsid w:val="00032E71"/>
    <w:rsid w:val="00033885"/>
    <w:rsid w:val="0003487C"/>
    <w:rsid w:val="00035017"/>
    <w:rsid w:val="00035486"/>
    <w:rsid w:val="00035EAC"/>
    <w:rsid w:val="00036062"/>
    <w:rsid w:val="0004101A"/>
    <w:rsid w:val="00041F85"/>
    <w:rsid w:val="00043187"/>
    <w:rsid w:val="000448EF"/>
    <w:rsid w:val="0004524F"/>
    <w:rsid w:val="0004532C"/>
    <w:rsid w:val="00045627"/>
    <w:rsid w:val="00045732"/>
    <w:rsid w:val="00046028"/>
    <w:rsid w:val="000461BD"/>
    <w:rsid w:val="000467CE"/>
    <w:rsid w:val="0004721B"/>
    <w:rsid w:val="00050789"/>
    <w:rsid w:val="0005079C"/>
    <w:rsid w:val="00050A5D"/>
    <w:rsid w:val="00051125"/>
    <w:rsid w:val="000516D5"/>
    <w:rsid w:val="0005179A"/>
    <w:rsid w:val="00051B5D"/>
    <w:rsid w:val="000521AF"/>
    <w:rsid w:val="00055D37"/>
    <w:rsid w:val="00057F5E"/>
    <w:rsid w:val="00060F99"/>
    <w:rsid w:val="00060FC7"/>
    <w:rsid w:val="000618EF"/>
    <w:rsid w:val="00062214"/>
    <w:rsid w:val="00062508"/>
    <w:rsid w:val="00062510"/>
    <w:rsid w:val="00065FB6"/>
    <w:rsid w:val="00066784"/>
    <w:rsid w:val="00066836"/>
    <w:rsid w:val="0006765D"/>
    <w:rsid w:val="00067F9D"/>
    <w:rsid w:val="00067FB3"/>
    <w:rsid w:val="00070A05"/>
    <w:rsid w:val="00070A38"/>
    <w:rsid w:val="0007133A"/>
    <w:rsid w:val="0007267E"/>
    <w:rsid w:val="00072D65"/>
    <w:rsid w:val="00073134"/>
    <w:rsid w:val="0007361C"/>
    <w:rsid w:val="00073D12"/>
    <w:rsid w:val="00074872"/>
    <w:rsid w:val="00074C6F"/>
    <w:rsid w:val="000758AE"/>
    <w:rsid w:val="00077010"/>
    <w:rsid w:val="00080BA4"/>
    <w:rsid w:val="00080E71"/>
    <w:rsid w:val="00080EAE"/>
    <w:rsid w:val="000823A0"/>
    <w:rsid w:val="000829F9"/>
    <w:rsid w:val="00082B59"/>
    <w:rsid w:val="00082D2F"/>
    <w:rsid w:val="00082D32"/>
    <w:rsid w:val="00082F41"/>
    <w:rsid w:val="00083480"/>
    <w:rsid w:val="00083994"/>
    <w:rsid w:val="00083A6A"/>
    <w:rsid w:val="00084C36"/>
    <w:rsid w:val="00086964"/>
    <w:rsid w:val="00086DE6"/>
    <w:rsid w:val="00087866"/>
    <w:rsid w:val="000902C8"/>
    <w:rsid w:val="00090A5F"/>
    <w:rsid w:val="000910F6"/>
    <w:rsid w:val="00091B4D"/>
    <w:rsid w:val="00091DF9"/>
    <w:rsid w:val="00092A1F"/>
    <w:rsid w:val="00095663"/>
    <w:rsid w:val="00095964"/>
    <w:rsid w:val="000968A0"/>
    <w:rsid w:val="000968AF"/>
    <w:rsid w:val="00096D15"/>
    <w:rsid w:val="00097D06"/>
    <w:rsid w:val="000A02C3"/>
    <w:rsid w:val="000A0952"/>
    <w:rsid w:val="000A1686"/>
    <w:rsid w:val="000A174B"/>
    <w:rsid w:val="000A198B"/>
    <w:rsid w:val="000A1ADD"/>
    <w:rsid w:val="000A25AC"/>
    <w:rsid w:val="000A48FF"/>
    <w:rsid w:val="000A533B"/>
    <w:rsid w:val="000A5BBB"/>
    <w:rsid w:val="000A5D20"/>
    <w:rsid w:val="000A6852"/>
    <w:rsid w:val="000A6E9E"/>
    <w:rsid w:val="000B0044"/>
    <w:rsid w:val="000B0441"/>
    <w:rsid w:val="000B0557"/>
    <w:rsid w:val="000B1409"/>
    <w:rsid w:val="000B1477"/>
    <w:rsid w:val="000B1C71"/>
    <w:rsid w:val="000B1D5D"/>
    <w:rsid w:val="000B1E90"/>
    <w:rsid w:val="000B20CC"/>
    <w:rsid w:val="000B23D4"/>
    <w:rsid w:val="000B35B5"/>
    <w:rsid w:val="000B3AE9"/>
    <w:rsid w:val="000B5320"/>
    <w:rsid w:val="000B542F"/>
    <w:rsid w:val="000B59A6"/>
    <w:rsid w:val="000B5B9E"/>
    <w:rsid w:val="000B679D"/>
    <w:rsid w:val="000B7E74"/>
    <w:rsid w:val="000C083C"/>
    <w:rsid w:val="000C1C56"/>
    <w:rsid w:val="000C239E"/>
    <w:rsid w:val="000C6F1E"/>
    <w:rsid w:val="000C71FC"/>
    <w:rsid w:val="000C768E"/>
    <w:rsid w:val="000D0EB9"/>
    <w:rsid w:val="000D216E"/>
    <w:rsid w:val="000D3468"/>
    <w:rsid w:val="000D4BCD"/>
    <w:rsid w:val="000D5560"/>
    <w:rsid w:val="000D5C23"/>
    <w:rsid w:val="000D7963"/>
    <w:rsid w:val="000D7F30"/>
    <w:rsid w:val="000E07B1"/>
    <w:rsid w:val="000E26CC"/>
    <w:rsid w:val="000E282D"/>
    <w:rsid w:val="000E30EB"/>
    <w:rsid w:val="000E582E"/>
    <w:rsid w:val="000E6842"/>
    <w:rsid w:val="000E77EB"/>
    <w:rsid w:val="000E7C3C"/>
    <w:rsid w:val="000F193F"/>
    <w:rsid w:val="000F2258"/>
    <w:rsid w:val="000F3DF7"/>
    <w:rsid w:val="000F6D60"/>
    <w:rsid w:val="0010097A"/>
    <w:rsid w:val="00100A53"/>
    <w:rsid w:val="0010111F"/>
    <w:rsid w:val="00101B5C"/>
    <w:rsid w:val="0010205E"/>
    <w:rsid w:val="0010291C"/>
    <w:rsid w:val="00104193"/>
    <w:rsid w:val="001042D9"/>
    <w:rsid w:val="00104EE2"/>
    <w:rsid w:val="001058D6"/>
    <w:rsid w:val="00107B0F"/>
    <w:rsid w:val="00107CAC"/>
    <w:rsid w:val="00110025"/>
    <w:rsid w:val="00110761"/>
    <w:rsid w:val="00110ACE"/>
    <w:rsid w:val="001113B9"/>
    <w:rsid w:val="0011213C"/>
    <w:rsid w:val="001129A1"/>
    <w:rsid w:val="00112D64"/>
    <w:rsid w:val="001143EF"/>
    <w:rsid w:val="00114D77"/>
    <w:rsid w:val="00115057"/>
    <w:rsid w:val="00115C9D"/>
    <w:rsid w:val="00116498"/>
    <w:rsid w:val="001166E1"/>
    <w:rsid w:val="00116D94"/>
    <w:rsid w:val="00116DA6"/>
    <w:rsid w:val="00117875"/>
    <w:rsid w:val="00117C28"/>
    <w:rsid w:val="0012023F"/>
    <w:rsid w:val="001212D5"/>
    <w:rsid w:val="00122328"/>
    <w:rsid w:val="00122FD4"/>
    <w:rsid w:val="00124C13"/>
    <w:rsid w:val="001254B8"/>
    <w:rsid w:val="00125F3F"/>
    <w:rsid w:val="00127B38"/>
    <w:rsid w:val="00127CAB"/>
    <w:rsid w:val="00130801"/>
    <w:rsid w:val="001311C9"/>
    <w:rsid w:val="001322C4"/>
    <w:rsid w:val="00132392"/>
    <w:rsid w:val="001330E5"/>
    <w:rsid w:val="00133754"/>
    <w:rsid w:val="00133BD9"/>
    <w:rsid w:val="0013416C"/>
    <w:rsid w:val="00135FE5"/>
    <w:rsid w:val="001361BD"/>
    <w:rsid w:val="00136347"/>
    <w:rsid w:val="00136737"/>
    <w:rsid w:val="001367ED"/>
    <w:rsid w:val="00140373"/>
    <w:rsid w:val="001410ED"/>
    <w:rsid w:val="00142EB4"/>
    <w:rsid w:val="00144E17"/>
    <w:rsid w:val="00145CDC"/>
    <w:rsid w:val="00146DCE"/>
    <w:rsid w:val="00146EA3"/>
    <w:rsid w:val="00147DE2"/>
    <w:rsid w:val="00152083"/>
    <w:rsid w:val="00152EB6"/>
    <w:rsid w:val="00153B72"/>
    <w:rsid w:val="00153F2E"/>
    <w:rsid w:val="001558D4"/>
    <w:rsid w:val="001564DF"/>
    <w:rsid w:val="00156EC9"/>
    <w:rsid w:val="00156FBB"/>
    <w:rsid w:val="0016207C"/>
    <w:rsid w:val="00164E32"/>
    <w:rsid w:val="001654AB"/>
    <w:rsid w:val="00165A49"/>
    <w:rsid w:val="00167575"/>
    <w:rsid w:val="00167DFD"/>
    <w:rsid w:val="0017042C"/>
    <w:rsid w:val="00170CA7"/>
    <w:rsid w:val="0017109E"/>
    <w:rsid w:val="00171F33"/>
    <w:rsid w:val="00172206"/>
    <w:rsid w:val="001723BE"/>
    <w:rsid w:val="00172A1E"/>
    <w:rsid w:val="001738CF"/>
    <w:rsid w:val="00173F18"/>
    <w:rsid w:val="001740AB"/>
    <w:rsid w:val="00174A06"/>
    <w:rsid w:val="0017504C"/>
    <w:rsid w:val="0017540A"/>
    <w:rsid w:val="0017619D"/>
    <w:rsid w:val="00176896"/>
    <w:rsid w:val="00176C33"/>
    <w:rsid w:val="001804EB"/>
    <w:rsid w:val="00180AC1"/>
    <w:rsid w:val="0018106A"/>
    <w:rsid w:val="0018194F"/>
    <w:rsid w:val="00181A33"/>
    <w:rsid w:val="00183B5A"/>
    <w:rsid w:val="00185978"/>
    <w:rsid w:val="00185CDA"/>
    <w:rsid w:val="00185E38"/>
    <w:rsid w:val="00186B1D"/>
    <w:rsid w:val="00186D87"/>
    <w:rsid w:val="0018700B"/>
    <w:rsid w:val="00187481"/>
    <w:rsid w:val="001876D1"/>
    <w:rsid w:val="00187F58"/>
    <w:rsid w:val="00190BC7"/>
    <w:rsid w:val="00190EE7"/>
    <w:rsid w:val="0019113B"/>
    <w:rsid w:val="001923A7"/>
    <w:rsid w:val="00193B78"/>
    <w:rsid w:val="0019472A"/>
    <w:rsid w:val="00195FCB"/>
    <w:rsid w:val="00196A48"/>
    <w:rsid w:val="00197287"/>
    <w:rsid w:val="001A0527"/>
    <w:rsid w:val="001A11B4"/>
    <w:rsid w:val="001A1797"/>
    <w:rsid w:val="001A3AF1"/>
    <w:rsid w:val="001A4893"/>
    <w:rsid w:val="001A5818"/>
    <w:rsid w:val="001A60C4"/>
    <w:rsid w:val="001A77FB"/>
    <w:rsid w:val="001A7CDD"/>
    <w:rsid w:val="001B0736"/>
    <w:rsid w:val="001B0942"/>
    <w:rsid w:val="001B09C3"/>
    <w:rsid w:val="001B18A4"/>
    <w:rsid w:val="001B2CBF"/>
    <w:rsid w:val="001B307A"/>
    <w:rsid w:val="001B3433"/>
    <w:rsid w:val="001B3E69"/>
    <w:rsid w:val="001B67D9"/>
    <w:rsid w:val="001B7060"/>
    <w:rsid w:val="001B77A0"/>
    <w:rsid w:val="001B78C7"/>
    <w:rsid w:val="001C06BE"/>
    <w:rsid w:val="001C09CE"/>
    <w:rsid w:val="001C0AAB"/>
    <w:rsid w:val="001C1C31"/>
    <w:rsid w:val="001C2832"/>
    <w:rsid w:val="001C2C66"/>
    <w:rsid w:val="001C37BA"/>
    <w:rsid w:val="001C49B6"/>
    <w:rsid w:val="001C5487"/>
    <w:rsid w:val="001C57E1"/>
    <w:rsid w:val="001C6208"/>
    <w:rsid w:val="001C7600"/>
    <w:rsid w:val="001D0A8F"/>
    <w:rsid w:val="001D1CDD"/>
    <w:rsid w:val="001D1E70"/>
    <w:rsid w:val="001D2B22"/>
    <w:rsid w:val="001D3DB8"/>
    <w:rsid w:val="001D4280"/>
    <w:rsid w:val="001D6C81"/>
    <w:rsid w:val="001D7D5B"/>
    <w:rsid w:val="001E0841"/>
    <w:rsid w:val="001E0BC3"/>
    <w:rsid w:val="001E1550"/>
    <w:rsid w:val="001E15CD"/>
    <w:rsid w:val="001E3260"/>
    <w:rsid w:val="001E4675"/>
    <w:rsid w:val="001E6273"/>
    <w:rsid w:val="001E6E24"/>
    <w:rsid w:val="001E72A7"/>
    <w:rsid w:val="001E7648"/>
    <w:rsid w:val="001E7C39"/>
    <w:rsid w:val="001F0129"/>
    <w:rsid w:val="001F2BFE"/>
    <w:rsid w:val="001F2CC6"/>
    <w:rsid w:val="001F2FD8"/>
    <w:rsid w:val="001F3076"/>
    <w:rsid w:val="001F38A3"/>
    <w:rsid w:val="001F3ACE"/>
    <w:rsid w:val="001F4B0D"/>
    <w:rsid w:val="001F55A4"/>
    <w:rsid w:val="001F601A"/>
    <w:rsid w:val="002007A1"/>
    <w:rsid w:val="00200AA8"/>
    <w:rsid w:val="00200E7A"/>
    <w:rsid w:val="0020131F"/>
    <w:rsid w:val="00201814"/>
    <w:rsid w:val="00202086"/>
    <w:rsid w:val="00202979"/>
    <w:rsid w:val="00202D7D"/>
    <w:rsid w:val="00203A7E"/>
    <w:rsid w:val="00206736"/>
    <w:rsid w:val="00206AA4"/>
    <w:rsid w:val="00206E25"/>
    <w:rsid w:val="00210333"/>
    <w:rsid w:val="00210FF3"/>
    <w:rsid w:val="00211E3A"/>
    <w:rsid w:val="00212F44"/>
    <w:rsid w:val="0021349B"/>
    <w:rsid w:val="00213727"/>
    <w:rsid w:val="00214D7B"/>
    <w:rsid w:val="00215609"/>
    <w:rsid w:val="0021714B"/>
    <w:rsid w:val="00217236"/>
    <w:rsid w:val="00217362"/>
    <w:rsid w:val="00221907"/>
    <w:rsid w:val="00222E2C"/>
    <w:rsid w:val="0022550F"/>
    <w:rsid w:val="00225B15"/>
    <w:rsid w:val="00225D1D"/>
    <w:rsid w:val="0022667F"/>
    <w:rsid w:val="0022675A"/>
    <w:rsid w:val="00226C2E"/>
    <w:rsid w:val="00226FC3"/>
    <w:rsid w:val="0023328B"/>
    <w:rsid w:val="002338B5"/>
    <w:rsid w:val="00233FCC"/>
    <w:rsid w:val="002345E7"/>
    <w:rsid w:val="00237661"/>
    <w:rsid w:val="00240B97"/>
    <w:rsid w:val="002414A6"/>
    <w:rsid w:val="00241D7A"/>
    <w:rsid w:val="00242192"/>
    <w:rsid w:val="002423D9"/>
    <w:rsid w:val="00242E35"/>
    <w:rsid w:val="002449D3"/>
    <w:rsid w:val="00245381"/>
    <w:rsid w:val="002453C1"/>
    <w:rsid w:val="00245D21"/>
    <w:rsid w:val="00246481"/>
    <w:rsid w:val="002478AF"/>
    <w:rsid w:val="00250B4C"/>
    <w:rsid w:val="002514E1"/>
    <w:rsid w:val="00251D5B"/>
    <w:rsid w:val="00252701"/>
    <w:rsid w:val="00254A1A"/>
    <w:rsid w:val="00254F95"/>
    <w:rsid w:val="00255002"/>
    <w:rsid w:val="00255FEB"/>
    <w:rsid w:val="0025623C"/>
    <w:rsid w:val="002572E7"/>
    <w:rsid w:val="00257792"/>
    <w:rsid w:val="00257E78"/>
    <w:rsid w:val="0026007D"/>
    <w:rsid w:val="002616C1"/>
    <w:rsid w:val="00263DF1"/>
    <w:rsid w:val="002661D9"/>
    <w:rsid w:val="00266945"/>
    <w:rsid w:val="00266B5C"/>
    <w:rsid w:val="00267C43"/>
    <w:rsid w:val="00271351"/>
    <w:rsid w:val="00272453"/>
    <w:rsid w:val="00272F03"/>
    <w:rsid w:val="00273A52"/>
    <w:rsid w:val="00273C80"/>
    <w:rsid w:val="00274170"/>
    <w:rsid w:val="0027535A"/>
    <w:rsid w:val="002759C8"/>
    <w:rsid w:val="00275B12"/>
    <w:rsid w:val="00275BE8"/>
    <w:rsid w:val="0027734B"/>
    <w:rsid w:val="00277B35"/>
    <w:rsid w:val="00277B5B"/>
    <w:rsid w:val="00277FCC"/>
    <w:rsid w:val="002801E9"/>
    <w:rsid w:val="0028084D"/>
    <w:rsid w:val="0028124F"/>
    <w:rsid w:val="00281EBB"/>
    <w:rsid w:val="0028218B"/>
    <w:rsid w:val="002823E6"/>
    <w:rsid w:val="00282C8D"/>
    <w:rsid w:val="00282C8F"/>
    <w:rsid w:val="002832CA"/>
    <w:rsid w:val="002832FA"/>
    <w:rsid w:val="002835EC"/>
    <w:rsid w:val="00285025"/>
    <w:rsid w:val="00286199"/>
    <w:rsid w:val="0028634F"/>
    <w:rsid w:val="00286EAF"/>
    <w:rsid w:val="002904F4"/>
    <w:rsid w:val="00290D3A"/>
    <w:rsid w:val="00291E37"/>
    <w:rsid w:val="002923F9"/>
    <w:rsid w:val="002930E0"/>
    <w:rsid w:val="00293355"/>
    <w:rsid w:val="00293423"/>
    <w:rsid w:val="00295916"/>
    <w:rsid w:val="002965A6"/>
    <w:rsid w:val="00296C14"/>
    <w:rsid w:val="00297653"/>
    <w:rsid w:val="002A0194"/>
    <w:rsid w:val="002A0FAF"/>
    <w:rsid w:val="002A10BB"/>
    <w:rsid w:val="002A339C"/>
    <w:rsid w:val="002A5807"/>
    <w:rsid w:val="002A5AF9"/>
    <w:rsid w:val="002A5E41"/>
    <w:rsid w:val="002A68E6"/>
    <w:rsid w:val="002A73A0"/>
    <w:rsid w:val="002B0E25"/>
    <w:rsid w:val="002B3D3E"/>
    <w:rsid w:val="002B3E2F"/>
    <w:rsid w:val="002B4840"/>
    <w:rsid w:val="002B540B"/>
    <w:rsid w:val="002B577C"/>
    <w:rsid w:val="002B6F5B"/>
    <w:rsid w:val="002B7468"/>
    <w:rsid w:val="002B786D"/>
    <w:rsid w:val="002C1661"/>
    <w:rsid w:val="002C2525"/>
    <w:rsid w:val="002C3B52"/>
    <w:rsid w:val="002C3BA6"/>
    <w:rsid w:val="002C428E"/>
    <w:rsid w:val="002C50F4"/>
    <w:rsid w:val="002C5736"/>
    <w:rsid w:val="002C5884"/>
    <w:rsid w:val="002C59AA"/>
    <w:rsid w:val="002D0608"/>
    <w:rsid w:val="002D08B7"/>
    <w:rsid w:val="002D1418"/>
    <w:rsid w:val="002D1BAC"/>
    <w:rsid w:val="002D2FFF"/>
    <w:rsid w:val="002D3557"/>
    <w:rsid w:val="002D48B2"/>
    <w:rsid w:val="002D613F"/>
    <w:rsid w:val="002D738C"/>
    <w:rsid w:val="002D7845"/>
    <w:rsid w:val="002E120B"/>
    <w:rsid w:val="002E121E"/>
    <w:rsid w:val="002E2355"/>
    <w:rsid w:val="002E23A9"/>
    <w:rsid w:val="002E2B61"/>
    <w:rsid w:val="002E3896"/>
    <w:rsid w:val="002E3BB2"/>
    <w:rsid w:val="002E3E89"/>
    <w:rsid w:val="002E439A"/>
    <w:rsid w:val="002E43C9"/>
    <w:rsid w:val="002E6020"/>
    <w:rsid w:val="002E7B9C"/>
    <w:rsid w:val="002F043C"/>
    <w:rsid w:val="002F0F2F"/>
    <w:rsid w:val="002F11C3"/>
    <w:rsid w:val="002F177D"/>
    <w:rsid w:val="002F1911"/>
    <w:rsid w:val="002F214B"/>
    <w:rsid w:val="002F267E"/>
    <w:rsid w:val="002F2EB7"/>
    <w:rsid w:val="002F34A2"/>
    <w:rsid w:val="002F38C3"/>
    <w:rsid w:val="002F415A"/>
    <w:rsid w:val="002F44B3"/>
    <w:rsid w:val="002F485D"/>
    <w:rsid w:val="002F5022"/>
    <w:rsid w:val="002F5C06"/>
    <w:rsid w:val="002F7B60"/>
    <w:rsid w:val="003005C6"/>
    <w:rsid w:val="00302380"/>
    <w:rsid w:val="003045FA"/>
    <w:rsid w:val="00304E8E"/>
    <w:rsid w:val="00304F81"/>
    <w:rsid w:val="003053EA"/>
    <w:rsid w:val="003053F8"/>
    <w:rsid w:val="00305A35"/>
    <w:rsid w:val="00306178"/>
    <w:rsid w:val="00306A51"/>
    <w:rsid w:val="00307C7F"/>
    <w:rsid w:val="003107ED"/>
    <w:rsid w:val="00310C2C"/>
    <w:rsid w:val="00311037"/>
    <w:rsid w:val="003116A4"/>
    <w:rsid w:val="00312394"/>
    <w:rsid w:val="003123D6"/>
    <w:rsid w:val="00312B5D"/>
    <w:rsid w:val="00313BDC"/>
    <w:rsid w:val="003143EF"/>
    <w:rsid w:val="00314A50"/>
    <w:rsid w:val="00314C5C"/>
    <w:rsid w:val="00314EA9"/>
    <w:rsid w:val="003150E4"/>
    <w:rsid w:val="00315BE2"/>
    <w:rsid w:val="00315C3F"/>
    <w:rsid w:val="00315ED0"/>
    <w:rsid w:val="003162DE"/>
    <w:rsid w:val="00316824"/>
    <w:rsid w:val="00317057"/>
    <w:rsid w:val="0031707D"/>
    <w:rsid w:val="003205F9"/>
    <w:rsid w:val="003228F5"/>
    <w:rsid w:val="00326526"/>
    <w:rsid w:val="0032787A"/>
    <w:rsid w:val="003317F0"/>
    <w:rsid w:val="00331E78"/>
    <w:rsid w:val="00332736"/>
    <w:rsid w:val="00333364"/>
    <w:rsid w:val="003341C2"/>
    <w:rsid w:val="0033452A"/>
    <w:rsid w:val="00334ACF"/>
    <w:rsid w:val="00334E6B"/>
    <w:rsid w:val="00335D81"/>
    <w:rsid w:val="0034034A"/>
    <w:rsid w:val="00340617"/>
    <w:rsid w:val="00340753"/>
    <w:rsid w:val="00340948"/>
    <w:rsid w:val="00340F21"/>
    <w:rsid w:val="0034107E"/>
    <w:rsid w:val="0034273E"/>
    <w:rsid w:val="00342E1E"/>
    <w:rsid w:val="00342E62"/>
    <w:rsid w:val="003434AC"/>
    <w:rsid w:val="00343613"/>
    <w:rsid w:val="003436ED"/>
    <w:rsid w:val="00343FFE"/>
    <w:rsid w:val="00346093"/>
    <w:rsid w:val="003462B0"/>
    <w:rsid w:val="0035069C"/>
    <w:rsid w:val="00350FE1"/>
    <w:rsid w:val="00351F40"/>
    <w:rsid w:val="00352218"/>
    <w:rsid w:val="00352AC8"/>
    <w:rsid w:val="0035305C"/>
    <w:rsid w:val="00353936"/>
    <w:rsid w:val="00353988"/>
    <w:rsid w:val="00353C94"/>
    <w:rsid w:val="00354560"/>
    <w:rsid w:val="00355F84"/>
    <w:rsid w:val="00362486"/>
    <w:rsid w:val="00362F17"/>
    <w:rsid w:val="0036322F"/>
    <w:rsid w:val="0036499E"/>
    <w:rsid w:val="00365FCE"/>
    <w:rsid w:val="003670BD"/>
    <w:rsid w:val="00367E83"/>
    <w:rsid w:val="00370F28"/>
    <w:rsid w:val="00371C82"/>
    <w:rsid w:val="003728D1"/>
    <w:rsid w:val="00373665"/>
    <w:rsid w:val="003737B2"/>
    <w:rsid w:val="003740FD"/>
    <w:rsid w:val="0037544D"/>
    <w:rsid w:val="00375ECD"/>
    <w:rsid w:val="003761D0"/>
    <w:rsid w:val="00376A18"/>
    <w:rsid w:val="003774C1"/>
    <w:rsid w:val="00377FB6"/>
    <w:rsid w:val="00380643"/>
    <w:rsid w:val="00380C3E"/>
    <w:rsid w:val="0038106C"/>
    <w:rsid w:val="00382627"/>
    <w:rsid w:val="00382628"/>
    <w:rsid w:val="00384D28"/>
    <w:rsid w:val="0038581B"/>
    <w:rsid w:val="00385E7E"/>
    <w:rsid w:val="0038610C"/>
    <w:rsid w:val="00386F29"/>
    <w:rsid w:val="00387185"/>
    <w:rsid w:val="003872D3"/>
    <w:rsid w:val="00390CB4"/>
    <w:rsid w:val="00390D29"/>
    <w:rsid w:val="00391817"/>
    <w:rsid w:val="00391A80"/>
    <w:rsid w:val="003920F6"/>
    <w:rsid w:val="00392A06"/>
    <w:rsid w:val="003932CC"/>
    <w:rsid w:val="00393671"/>
    <w:rsid w:val="0039429F"/>
    <w:rsid w:val="00394E30"/>
    <w:rsid w:val="003954B0"/>
    <w:rsid w:val="0039784E"/>
    <w:rsid w:val="003A0506"/>
    <w:rsid w:val="003A0B65"/>
    <w:rsid w:val="003A1145"/>
    <w:rsid w:val="003A205C"/>
    <w:rsid w:val="003A205D"/>
    <w:rsid w:val="003A2EE9"/>
    <w:rsid w:val="003A391D"/>
    <w:rsid w:val="003A4172"/>
    <w:rsid w:val="003A5CCC"/>
    <w:rsid w:val="003A5DEB"/>
    <w:rsid w:val="003A688B"/>
    <w:rsid w:val="003A7312"/>
    <w:rsid w:val="003B0309"/>
    <w:rsid w:val="003B0335"/>
    <w:rsid w:val="003B5529"/>
    <w:rsid w:val="003B611A"/>
    <w:rsid w:val="003B69D9"/>
    <w:rsid w:val="003C0260"/>
    <w:rsid w:val="003C02EF"/>
    <w:rsid w:val="003C066B"/>
    <w:rsid w:val="003C07DB"/>
    <w:rsid w:val="003C1F93"/>
    <w:rsid w:val="003C2655"/>
    <w:rsid w:val="003C3302"/>
    <w:rsid w:val="003C3DD2"/>
    <w:rsid w:val="003C4C0A"/>
    <w:rsid w:val="003C61B6"/>
    <w:rsid w:val="003C7F9E"/>
    <w:rsid w:val="003D161E"/>
    <w:rsid w:val="003D31EE"/>
    <w:rsid w:val="003D3A2D"/>
    <w:rsid w:val="003D3FA7"/>
    <w:rsid w:val="003D48A1"/>
    <w:rsid w:val="003D4B0A"/>
    <w:rsid w:val="003D589E"/>
    <w:rsid w:val="003D5B85"/>
    <w:rsid w:val="003D5F5E"/>
    <w:rsid w:val="003D5FED"/>
    <w:rsid w:val="003D6396"/>
    <w:rsid w:val="003E3CB4"/>
    <w:rsid w:val="003E59FA"/>
    <w:rsid w:val="003E67A6"/>
    <w:rsid w:val="003E7B13"/>
    <w:rsid w:val="003E7E1C"/>
    <w:rsid w:val="003F00AE"/>
    <w:rsid w:val="003F155E"/>
    <w:rsid w:val="003F3BA0"/>
    <w:rsid w:val="003F501D"/>
    <w:rsid w:val="003F542E"/>
    <w:rsid w:val="003F5B25"/>
    <w:rsid w:val="003F7418"/>
    <w:rsid w:val="003F77AF"/>
    <w:rsid w:val="004000F0"/>
    <w:rsid w:val="0040120F"/>
    <w:rsid w:val="00402437"/>
    <w:rsid w:val="004026A7"/>
    <w:rsid w:val="0040293A"/>
    <w:rsid w:val="00403AE7"/>
    <w:rsid w:val="00403B42"/>
    <w:rsid w:val="00403BFA"/>
    <w:rsid w:val="00403D71"/>
    <w:rsid w:val="00405255"/>
    <w:rsid w:val="004057DE"/>
    <w:rsid w:val="00405B70"/>
    <w:rsid w:val="00405E6E"/>
    <w:rsid w:val="004062C5"/>
    <w:rsid w:val="00407F97"/>
    <w:rsid w:val="004102F6"/>
    <w:rsid w:val="00411213"/>
    <w:rsid w:val="0041171E"/>
    <w:rsid w:val="004163D2"/>
    <w:rsid w:val="00416624"/>
    <w:rsid w:val="00416BC4"/>
    <w:rsid w:val="0041792D"/>
    <w:rsid w:val="004179E0"/>
    <w:rsid w:val="004207CF"/>
    <w:rsid w:val="004207D0"/>
    <w:rsid w:val="00421C14"/>
    <w:rsid w:val="00421D9F"/>
    <w:rsid w:val="0042464B"/>
    <w:rsid w:val="0042464D"/>
    <w:rsid w:val="004247E4"/>
    <w:rsid w:val="00424DB9"/>
    <w:rsid w:val="00425492"/>
    <w:rsid w:val="0042650C"/>
    <w:rsid w:val="00426588"/>
    <w:rsid w:val="004274FF"/>
    <w:rsid w:val="004278E4"/>
    <w:rsid w:val="00431929"/>
    <w:rsid w:val="00433176"/>
    <w:rsid w:val="00433FCE"/>
    <w:rsid w:val="004344E1"/>
    <w:rsid w:val="004351E5"/>
    <w:rsid w:val="004371E8"/>
    <w:rsid w:val="00437BF0"/>
    <w:rsid w:val="00437FEA"/>
    <w:rsid w:val="00440090"/>
    <w:rsid w:val="004416D9"/>
    <w:rsid w:val="00442397"/>
    <w:rsid w:val="00442B9F"/>
    <w:rsid w:val="004433A1"/>
    <w:rsid w:val="00444BE9"/>
    <w:rsid w:val="00444C88"/>
    <w:rsid w:val="00444E00"/>
    <w:rsid w:val="0044675E"/>
    <w:rsid w:val="00446875"/>
    <w:rsid w:val="00446C7A"/>
    <w:rsid w:val="00447BFC"/>
    <w:rsid w:val="00450AB0"/>
    <w:rsid w:val="00451D47"/>
    <w:rsid w:val="0045293B"/>
    <w:rsid w:val="0045384A"/>
    <w:rsid w:val="00455B2C"/>
    <w:rsid w:val="00457141"/>
    <w:rsid w:val="0045766A"/>
    <w:rsid w:val="00457CEC"/>
    <w:rsid w:val="00460011"/>
    <w:rsid w:val="00460C61"/>
    <w:rsid w:val="004615F6"/>
    <w:rsid w:val="00462F41"/>
    <w:rsid w:val="0046336E"/>
    <w:rsid w:val="004633B4"/>
    <w:rsid w:val="004642B8"/>
    <w:rsid w:val="004644FF"/>
    <w:rsid w:val="00465B1F"/>
    <w:rsid w:val="00465F21"/>
    <w:rsid w:val="004663E6"/>
    <w:rsid w:val="004677A0"/>
    <w:rsid w:val="00467841"/>
    <w:rsid w:val="00467B62"/>
    <w:rsid w:val="004709CD"/>
    <w:rsid w:val="00471A10"/>
    <w:rsid w:val="00472824"/>
    <w:rsid w:val="00473B39"/>
    <w:rsid w:val="00474480"/>
    <w:rsid w:val="0047450B"/>
    <w:rsid w:val="0047454A"/>
    <w:rsid w:val="0047493F"/>
    <w:rsid w:val="00475FF3"/>
    <w:rsid w:val="0047749D"/>
    <w:rsid w:val="00480D17"/>
    <w:rsid w:val="00480F1E"/>
    <w:rsid w:val="004817AD"/>
    <w:rsid w:val="00481F70"/>
    <w:rsid w:val="0048323B"/>
    <w:rsid w:val="00483286"/>
    <w:rsid w:val="0048342F"/>
    <w:rsid w:val="00483DED"/>
    <w:rsid w:val="004845F9"/>
    <w:rsid w:val="00484A67"/>
    <w:rsid w:val="00485082"/>
    <w:rsid w:val="00485F65"/>
    <w:rsid w:val="00486D44"/>
    <w:rsid w:val="00487764"/>
    <w:rsid w:val="00491181"/>
    <w:rsid w:val="004915B1"/>
    <w:rsid w:val="004915B9"/>
    <w:rsid w:val="00491F9E"/>
    <w:rsid w:val="00492376"/>
    <w:rsid w:val="00492A95"/>
    <w:rsid w:val="00495527"/>
    <w:rsid w:val="00495934"/>
    <w:rsid w:val="00496437"/>
    <w:rsid w:val="004A04E5"/>
    <w:rsid w:val="004A08D3"/>
    <w:rsid w:val="004A10AB"/>
    <w:rsid w:val="004A25B9"/>
    <w:rsid w:val="004A5A51"/>
    <w:rsid w:val="004A62C5"/>
    <w:rsid w:val="004A6ED4"/>
    <w:rsid w:val="004A78D6"/>
    <w:rsid w:val="004B0E08"/>
    <w:rsid w:val="004B123B"/>
    <w:rsid w:val="004B1753"/>
    <w:rsid w:val="004B1E5F"/>
    <w:rsid w:val="004B2512"/>
    <w:rsid w:val="004B2D20"/>
    <w:rsid w:val="004B416B"/>
    <w:rsid w:val="004B4B51"/>
    <w:rsid w:val="004B4C1F"/>
    <w:rsid w:val="004B4D83"/>
    <w:rsid w:val="004B55F7"/>
    <w:rsid w:val="004B7634"/>
    <w:rsid w:val="004B7B1B"/>
    <w:rsid w:val="004B7D18"/>
    <w:rsid w:val="004C03DD"/>
    <w:rsid w:val="004C0969"/>
    <w:rsid w:val="004C10D5"/>
    <w:rsid w:val="004C11BD"/>
    <w:rsid w:val="004C123A"/>
    <w:rsid w:val="004C1975"/>
    <w:rsid w:val="004C250E"/>
    <w:rsid w:val="004C2F14"/>
    <w:rsid w:val="004C315A"/>
    <w:rsid w:val="004C32C9"/>
    <w:rsid w:val="004C3BB6"/>
    <w:rsid w:val="004C3DB8"/>
    <w:rsid w:val="004C4F56"/>
    <w:rsid w:val="004C5AF4"/>
    <w:rsid w:val="004C63C9"/>
    <w:rsid w:val="004C63E2"/>
    <w:rsid w:val="004C6B84"/>
    <w:rsid w:val="004D04F3"/>
    <w:rsid w:val="004D07ED"/>
    <w:rsid w:val="004D0E0A"/>
    <w:rsid w:val="004D1C9B"/>
    <w:rsid w:val="004D2A43"/>
    <w:rsid w:val="004D43F0"/>
    <w:rsid w:val="004D4833"/>
    <w:rsid w:val="004D5246"/>
    <w:rsid w:val="004D5422"/>
    <w:rsid w:val="004D586F"/>
    <w:rsid w:val="004D76F6"/>
    <w:rsid w:val="004E0B11"/>
    <w:rsid w:val="004E2C7A"/>
    <w:rsid w:val="004E34A2"/>
    <w:rsid w:val="004E5BF1"/>
    <w:rsid w:val="004E6FBE"/>
    <w:rsid w:val="004F1EB6"/>
    <w:rsid w:val="004F20CB"/>
    <w:rsid w:val="004F3839"/>
    <w:rsid w:val="004F3DD2"/>
    <w:rsid w:val="004F40BE"/>
    <w:rsid w:val="004F42D9"/>
    <w:rsid w:val="004F43FA"/>
    <w:rsid w:val="004F4415"/>
    <w:rsid w:val="004F4E47"/>
    <w:rsid w:val="004F608D"/>
    <w:rsid w:val="004F7CB3"/>
    <w:rsid w:val="005002D6"/>
    <w:rsid w:val="0050118F"/>
    <w:rsid w:val="0050190D"/>
    <w:rsid w:val="00501C67"/>
    <w:rsid w:val="0050200E"/>
    <w:rsid w:val="005025E1"/>
    <w:rsid w:val="00502C2C"/>
    <w:rsid w:val="00503F26"/>
    <w:rsid w:val="00504C4D"/>
    <w:rsid w:val="0050501F"/>
    <w:rsid w:val="00505ABE"/>
    <w:rsid w:val="00506211"/>
    <w:rsid w:val="00506549"/>
    <w:rsid w:val="00506BA1"/>
    <w:rsid w:val="0050768A"/>
    <w:rsid w:val="0050794C"/>
    <w:rsid w:val="00511464"/>
    <w:rsid w:val="005121F7"/>
    <w:rsid w:val="00512226"/>
    <w:rsid w:val="005124C3"/>
    <w:rsid w:val="00513E04"/>
    <w:rsid w:val="00515278"/>
    <w:rsid w:val="00515BF3"/>
    <w:rsid w:val="00515EC5"/>
    <w:rsid w:val="005164D5"/>
    <w:rsid w:val="00516C5B"/>
    <w:rsid w:val="0051749D"/>
    <w:rsid w:val="005212B1"/>
    <w:rsid w:val="00521646"/>
    <w:rsid w:val="00521E51"/>
    <w:rsid w:val="00522EBA"/>
    <w:rsid w:val="00524808"/>
    <w:rsid w:val="0052506A"/>
    <w:rsid w:val="00525756"/>
    <w:rsid w:val="00526613"/>
    <w:rsid w:val="005314A4"/>
    <w:rsid w:val="00531B9B"/>
    <w:rsid w:val="00531CC4"/>
    <w:rsid w:val="00532248"/>
    <w:rsid w:val="00533693"/>
    <w:rsid w:val="0053417D"/>
    <w:rsid w:val="0053485C"/>
    <w:rsid w:val="00534CD7"/>
    <w:rsid w:val="00535076"/>
    <w:rsid w:val="00536270"/>
    <w:rsid w:val="0053789A"/>
    <w:rsid w:val="00537C66"/>
    <w:rsid w:val="00537D43"/>
    <w:rsid w:val="0054053D"/>
    <w:rsid w:val="0054130E"/>
    <w:rsid w:val="00541561"/>
    <w:rsid w:val="00542DEF"/>
    <w:rsid w:val="0054347C"/>
    <w:rsid w:val="00543A07"/>
    <w:rsid w:val="005449FA"/>
    <w:rsid w:val="00545DD0"/>
    <w:rsid w:val="005460E3"/>
    <w:rsid w:val="005464C2"/>
    <w:rsid w:val="00546832"/>
    <w:rsid w:val="00546F91"/>
    <w:rsid w:val="005475E1"/>
    <w:rsid w:val="00547F67"/>
    <w:rsid w:val="00550C54"/>
    <w:rsid w:val="00551116"/>
    <w:rsid w:val="00551779"/>
    <w:rsid w:val="00551E97"/>
    <w:rsid w:val="005528D2"/>
    <w:rsid w:val="00553684"/>
    <w:rsid w:val="005536BE"/>
    <w:rsid w:val="00554A34"/>
    <w:rsid w:val="00555D6D"/>
    <w:rsid w:val="0055797B"/>
    <w:rsid w:val="00557B14"/>
    <w:rsid w:val="00557D2E"/>
    <w:rsid w:val="00560C44"/>
    <w:rsid w:val="00561556"/>
    <w:rsid w:val="0056195B"/>
    <w:rsid w:val="00561BFF"/>
    <w:rsid w:val="00561DD1"/>
    <w:rsid w:val="00562302"/>
    <w:rsid w:val="0056273C"/>
    <w:rsid w:val="00563241"/>
    <w:rsid w:val="00563715"/>
    <w:rsid w:val="00563F8E"/>
    <w:rsid w:val="00565074"/>
    <w:rsid w:val="00565C6C"/>
    <w:rsid w:val="0057101A"/>
    <w:rsid w:val="0057273A"/>
    <w:rsid w:val="0057577E"/>
    <w:rsid w:val="00576F9A"/>
    <w:rsid w:val="00580403"/>
    <w:rsid w:val="00580BF7"/>
    <w:rsid w:val="00581516"/>
    <w:rsid w:val="005838BD"/>
    <w:rsid w:val="00583A1E"/>
    <w:rsid w:val="00584E84"/>
    <w:rsid w:val="005857A2"/>
    <w:rsid w:val="00586071"/>
    <w:rsid w:val="005865CF"/>
    <w:rsid w:val="00586BAD"/>
    <w:rsid w:val="005879AF"/>
    <w:rsid w:val="00587BA0"/>
    <w:rsid w:val="0059005D"/>
    <w:rsid w:val="00590DE5"/>
    <w:rsid w:val="00590FCD"/>
    <w:rsid w:val="00591A65"/>
    <w:rsid w:val="005926A3"/>
    <w:rsid w:val="0059313F"/>
    <w:rsid w:val="00593348"/>
    <w:rsid w:val="00593AB4"/>
    <w:rsid w:val="00593E60"/>
    <w:rsid w:val="00596A8B"/>
    <w:rsid w:val="0059755E"/>
    <w:rsid w:val="005A04CC"/>
    <w:rsid w:val="005A10BC"/>
    <w:rsid w:val="005A2107"/>
    <w:rsid w:val="005A2386"/>
    <w:rsid w:val="005A244C"/>
    <w:rsid w:val="005A5003"/>
    <w:rsid w:val="005A5FFA"/>
    <w:rsid w:val="005A73C5"/>
    <w:rsid w:val="005B0C0D"/>
    <w:rsid w:val="005B0C94"/>
    <w:rsid w:val="005B1759"/>
    <w:rsid w:val="005B641A"/>
    <w:rsid w:val="005B6912"/>
    <w:rsid w:val="005C0335"/>
    <w:rsid w:val="005C1190"/>
    <w:rsid w:val="005C14FB"/>
    <w:rsid w:val="005C157B"/>
    <w:rsid w:val="005C252B"/>
    <w:rsid w:val="005C3930"/>
    <w:rsid w:val="005C3BFE"/>
    <w:rsid w:val="005C4081"/>
    <w:rsid w:val="005C446E"/>
    <w:rsid w:val="005C4D32"/>
    <w:rsid w:val="005C4E77"/>
    <w:rsid w:val="005C569A"/>
    <w:rsid w:val="005C5957"/>
    <w:rsid w:val="005C765B"/>
    <w:rsid w:val="005C7AB9"/>
    <w:rsid w:val="005C7E19"/>
    <w:rsid w:val="005D016E"/>
    <w:rsid w:val="005D0429"/>
    <w:rsid w:val="005D09C2"/>
    <w:rsid w:val="005D0EB1"/>
    <w:rsid w:val="005D0ECE"/>
    <w:rsid w:val="005D193F"/>
    <w:rsid w:val="005D1984"/>
    <w:rsid w:val="005D26A5"/>
    <w:rsid w:val="005D328E"/>
    <w:rsid w:val="005D3291"/>
    <w:rsid w:val="005D3AFE"/>
    <w:rsid w:val="005D3C3A"/>
    <w:rsid w:val="005D4323"/>
    <w:rsid w:val="005D5D92"/>
    <w:rsid w:val="005D77CD"/>
    <w:rsid w:val="005E056F"/>
    <w:rsid w:val="005E0E2A"/>
    <w:rsid w:val="005E1240"/>
    <w:rsid w:val="005E125C"/>
    <w:rsid w:val="005E2A65"/>
    <w:rsid w:val="005E36B4"/>
    <w:rsid w:val="005E38D9"/>
    <w:rsid w:val="005F0021"/>
    <w:rsid w:val="005F00AC"/>
    <w:rsid w:val="005F0ED4"/>
    <w:rsid w:val="005F1618"/>
    <w:rsid w:val="005F2038"/>
    <w:rsid w:val="005F2AD2"/>
    <w:rsid w:val="005F34B2"/>
    <w:rsid w:val="005F77A2"/>
    <w:rsid w:val="00601B8C"/>
    <w:rsid w:val="00601D14"/>
    <w:rsid w:val="006025D8"/>
    <w:rsid w:val="0060390A"/>
    <w:rsid w:val="00603E7D"/>
    <w:rsid w:val="00604F48"/>
    <w:rsid w:val="006054A2"/>
    <w:rsid w:val="0060597B"/>
    <w:rsid w:val="006066DE"/>
    <w:rsid w:val="00606B0E"/>
    <w:rsid w:val="00607439"/>
    <w:rsid w:val="0060745E"/>
    <w:rsid w:val="00607E23"/>
    <w:rsid w:val="0061228C"/>
    <w:rsid w:val="00614220"/>
    <w:rsid w:val="00614BF0"/>
    <w:rsid w:val="00616536"/>
    <w:rsid w:val="00616C4E"/>
    <w:rsid w:val="006172DB"/>
    <w:rsid w:val="006205C3"/>
    <w:rsid w:val="00622787"/>
    <w:rsid w:val="00623581"/>
    <w:rsid w:val="00624FC8"/>
    <w:rsid w:val="00626ABD"/>
    <w:rsid w:val="00627E6B"/>
    <w:rsid w:val="00630240"/>
    <w:rsid w:val="0063196B"/>
    <w:rsid w:val="0063199C"/>
    <w:rsid w:val="00631FEC"/>
    <w:rsid w:val="00632C99"/>
    <w:rsid w:val="00634012"/>
    <w:rsid w:val="0063407E"/>
    <w:rsid w:val="00634CD6"/>
    <w:rsid w:val="00635D2E"/>
    <w:rsid w:val="00636B21"/>
    <w:rsid w:val="00641B0C"/>
    <w:rsid w:val="00641B5F"/>
    <w:rsid w:val="00642B69"/>
    <w:rsid w:val="00643028"/>
    <w:rsid w:val="006434A6"/>
    <w:rsid w:val="00643B9E"/>
    <w:rsid w:val="00643CF0"/>
    <w:rsid w:val="00644070"/>
    <w:rsid w:val="00644E92"/>
    <w:rsid w:val="00645F4A"/>
    <w:rsid w:val="00646A64"/>
    <w:rsid w:val="00646CAE"/>
    <w:rsid w:val="00647213"/>
    <w:rsid w:val="00647950"/>
    <w:rsid w:val="00647AF0"/>
    <w:rsid w:val="00650BDE"/>
    <w:rsid w:val="00651681"/>
    <w:rsid w:val="0065201B"/>
    <w:rsid w:val="00654942"/>
    <w:rsid w:val="00654B8D"/>
    <w:rsid w:val="00655932"/>
    <w:rsid w:val="00657701"/>
    <w:rsid w:val="00657C7F"/>
    <w:rsid w:val="00657E63"/>
    <w:rsid w:val="0066009B"/>
    <w:rsid w:val="00662DA9"/>
    <w:rsid w:val="00663A1B"/>
    <w:rsid w:val="00664C1E"/>
    <w:rsid w:val="00671122"/>
    <w:rsid w:val="006723A4"/>
    <w:rsid w:val="0067256C"/>
    <w:rsid w:val="00673184"/>
    <w:rsid w:val="006734A8"/>
    <w:rsid w:val="00675547"/>
    <w:rsid w:val="00675A32"/>
    <w:rsid w:val="00676855"/>
    <w:rsid w:val="006774F2"/>
    <w:rsid w:val="00677A1D"/>
    <w:rsid w:val="00677D8A"/>
    <w:rsid w:val="0068028E"/>
    <w:rsid w:val="00680B07"/>
    <w:rsid w:val="00681131"/>
    <w:rsid w:val="006811AA"/>
    <w:rsid w:val="00681E37"/>
    <w:rsid w:val="006831D4"/>
    <w:rsid w:val="00683506"/>
    <w:rsid w:val="006844C1"/>
    <w:rsid w:val="00684561"/>
    <w:rsid w:val="006845E7"/>
    <w:rsid w:val="00684EF5"/>
    <w:rsid w:val="00685066"/>
    <w:rsid w:val="006855A3"/>
    <w:rsid w:val="006869E0"/>
    <w:rsid w:val="0068770F"/>
    <w:rsid w:val="00687DE2"/>
    <w:rsid w:val="006908BF"/>
    <w:rsid w:val="00692BCD"/>
    <w:rsid w:val="00693493"/>
    <w:rsid w:val="00694943"/>
    <w:rsid w:val="00694A0C"/>
    <w:rsid w:val="006965F1"/>
    <w:rsid w:val="006974B5"/>
    <w:rsid w:val="006976DA"/>
    <w:rsid w:val="00697F7D"/>
    <w:rsid w:val="006A097D"/>
    <w:rsid w:val="006A0B0C"/>
    <w:rsid w:val="006A1776"/>
    <w:rsid w:val="006A2B01"/>
    <w:rsid w:val="006A37DE"/>
    <w:rsid w:val="006A4F39"/>
    <w:rsid w:val="006A7342"/>
    <w:rsid w:val="006A7CBC"/>
    <w:rsid w:val="006B00A8"/>
    <w:rsid w:val="006B02A7"/>
    <w:rsid w:val="006B13BD"/>
    <w:rsid w:val="006B1D78"/>
    <w:rsid w:val="006B1E76"/>
    <w:rsid w:val="006B266F"/>
    <w:rsid w:val="006B288A"/>
    <w:rsid w:val="006B2D6C"/>
    <w:rsid w:val="006B3F24"/>
    <w:rsid w:val="006B412A"/>
    <w:rsid w:val="006B4F1F"/>
    <w:rsid w:val="006B5C6C"/>
    <w:rsid w:val="006B63B6"/>
    <w:rsid w:val="006B6942"/>
    <w:rsid w:val="006B7297"/>
    <w:rsid w:val="006B7673"/>
    <w:rsid w:val="006B76CD"/>
    <w:rsid w:val="006C0526"/>
    <w:rsid w:val="006C106C"/>
    <w:rsid w:val="006C1C09"/>
    <w:rsid w:val="006C3437"/>
    <w:rsid w:val="006C3C08"/>
    <w:rsid w:val="006C3FF3"/>
    <w:rsid w:val="006C6354"/>
    <w:rsid w:val="006C67E0"/>
    <w:rsid w:val="006C6B0F"/>
    <w:rsid w:val="006C771F"/>
    <w:rsid w:val="006D2022"/>
    <w:rsid w:val="006D2AC0"/>
    <w:rsid w:val="006D2C0F"/>
    <w:rsid w:val="006D3596"/>
    <w:rsid w:val="006D5241"/>
    <w:rsid w:val="006D5864"/>
    <w:rsid w:val="006D7DC8"/>
    <w:rsid w:val="006E0193"/>
    <w:rsid w:val="006E0854"/>
    <w:rsid w:val="006E1295"/>
    <w:rsid w:val="006E198A"/>
    <w:rsid w:val="006E29E3"/>
    <w:rsid w:val="006E342E"/>
    <w:rsid w:val="006E38EF"/>
    <w:rsid w:val="006E3DC7"/>
    <w:rsid w:val="006E4855"/>
    <w:rsid w:val="006E4C2C"/>
    <w:rsid w:val="006E53E0"/>
    <w:rsid w:val="006E6435"/>
    <w:rsid w:val="006E6D56"/>
    <w:rsid w:val="006F0B25"/>
    <w:rsid w:val="006F0E5F"/>
    <w:rsid w:val="006F1407"/>
    <w:rsid w:val="006F1FD2"/>
    <w:rsid w:val="006F2080"/>
    <w:rsid w:val="006F317D"/>
    <w:rsid w:val="006F3B44"/>
    <w:rsid w:val="006F4934"/>
    <w:rsid w:val="006F49EA"/>
    <w:rsid w:val="006F5097"/>
    <w:rsid w:val="006F50CD"/>
    <w:rsid w:val="006F66DF"/>
    <w:rsid w:val="006F750F"/>
    <w:rsid w:val="006F7AB6"/>
    <w:rsid w:val="00700245"/>
    <w:rsid w:val="00700609"/>
    <w:rsid w:val="00700F04"/>
    <w:rsid w:val="00701D0A"/>
    <w:rsid w:val="007023B7"/>
    <w:rsid w:val="00703121"/>
    <w:rsid w:val="00704F74"/>
    <w:rsid w:val="00706532"/>
    <w:rsid w:val="00707469"/>
    <w:rsid w:val="007079CB"/>
    <w:rsid w:val="00710328"/>
    <w:rsid w:val="00712CFB"/>
    <w:rsid w:val="00713651"/>
    <w:rsid w:val="007140DB"/>
    <w:rsid w:val="00715DE4"/>
    <w:rsid w:val="0071635F"/>
    <w:rsid w:val="007201BA"/>
    <w:rsid w:val="00720B84"/>
    <w:rsid w:val="00721C9A"/>
    <w:rsid w:val="00722134"/>
    <w:rsid w:val="007225E2"/>
    <w:rsid w:val="0072454B"/>
    <w:rsid w:val="0072456A"/>
    <w:rsid w:val="00725221"/>
    <w:rsid w:val="007256CB"/>
    <w:rsid w:val="00727360"/>
    <w:rsid w:val="00727BF7"/>
    <w:rsid w:val="007302E3"/>
    <w:rsid w:val="00731268"/>
    <w:rsid w:val="00733A5A"/>
    <w:rsid w:val="007349A1"/>
    <w:rsid w:val="00734FBB"/>
    <w:rsid w:val="00735605"/>
    <w:rsid w:val="007359F0"/>
    <w:rsid w:val="00735A48"/>
    <w:rsid w:val="00735EE6"/>
    <w:rsid w:val="00736E06"/>
    <w:rsid w:val="0073749F"/>
    <w:rsid w:val="00740026"/>
    <w:rsid w:val="007404E8"/>
    <w:rsid w:val="00740774"/>
    <w:rsid w:val="00740D7B"/>
    <w:rsid w:val="00741878"/>
    <w:rsid w:val="007421B9"/>
    <w:rsid w:val="00743664"/>
    <w:rsid w:val="007445E4"/>
    <w:rsid w:val="00745635"/>
    <w:rsid w:val="00745E1E"/>
    <w:rsid w:val="0074607B"/>
    <w:rsid w:val="007507FC"/>
    <w:rsid w:val="007511A5"/>
    <w:rsid w:val="007527CB"/>
    <w:rsid w:val="0075292B"/>
    <w:rsid w:val="00752F1D"/>
    <w:rsid w:val="00753202"/>
    <w:rsid w:val="00754215"/>
    <w:rsid w:val="007553E4"/>
    <w:rsid w:val="0075589E"/>
    <w:rsid w:val="00755B5D"/>
    <w:rsid w:val="00755FAE"/>
    <w:rsid w:val="00757DBD"/>
    <w:rsid w:val="007610C0"/>
    <w:rsid w:val="0076317A"/>
    <w:rsid w:val="0076375A"/>
    <w:rsid w:val="00763E34"/>
    <w:rsid w:val="00764202"/>
    <w:rsid w:val="0076454D"/>
    <w:rsid w:val="007646BA"/>
    <w:rsid w:val="0076533F"/>
    <w:rsid w:val="00765488"/>
    <w:rsid w:val="00765538"/>
    <w:rsid w:val="00765772"/>
    <w:rsid w:val="00766E34"/>
    <w:rsid w:val="00766EA6"/>
    <w:rsid w:val="00767875"/>
    <w:rsid w:val="00773148"/>
    <w:rsid w:val="00773789"/>
    <w:rsid w:val="00773949"/>
    <w:rsid w:val="00774109"/>
    <w:rsid w:val="00774FC1"/>
    <w:rsid w:val="0077527A"/>
    <w:rsid w:val="007755C5"/>
    <w:rsid w:val="007761BD"/>
    <w:rsid w:val="007763BF"/>
    <w:rsid w:val="00781783"/>
    <w:rsid w:val="00782F3F"/>
    <w:rsid w:val="00782F7D"/>
    <w:rsid w:val="007838B9"/>
    <w:rsid w:val="00783EA2"/>
    <w:rsid w:val="0078503D"/>
    <w:rsid w:val="00786037"/>
    <w:rsid w:val="00786484"/>
    <w:rsid w:val="0078768A"/>
    <w:rsid w:val="00787C4A"/>
    <w:rsid w:val="0079179E"/>
    <w:rsid w:val="00791F9C"/>
    <w:rsid w:val="007920CC"/>
    <w:rsid w:val="00792719"/>
    <w:rsid w:val="0079300B"/>
    <w:rsid w:val="0079455D"/>
    <w:rsid w:val="007945F2"/>
    <w:rsid w:val="00795017"/>
    <w:rsid w:val="007A14AB"/>
    <w:rsid w:val="007A1E38"/>
    <w:rsid w:val="007A6738"/>
    <w:rsid w:val="007A6856"/>
    <w:rsid w:val="007B04E7"/>
    <w:rsid w:val="007B08A5"/>
    <w:rsid w:val="007B0A4C"/>
    <w:rsid w:val="007B12BC"/>
    <w:rsid w:val="007B160F"/>
    <w:rsid w:val="007B170A"/>
    <w:rsid w:val="007B1760"/>
    <w:rsid w:val="007B342E"/>
    <w:rsid w:val="007B4FCE"/>
    <w:rsid w:val="007B6965"/>
    <w:rsid w:val="007C0D79"/>
    <w:rsid w:val="007C10BE"/>
    <w:rsid w:val="007C136C"/>
    <w:rsid w:val="007C1429"/>
    <w:rsid w:val="007C1E78"/>
    <w:rsid w:val="007C203B"/>
    <w:rsid w:val="007C248E"/>
    <w:rsid w:val="007C3C33"/>
    <w:rsid w:val="007C3D47"/>
    <w:rsid w:val="007C4D67"/>
    <w:rsid w:val="007C56F1"/>
    <w:rsid w:val="007C599D"/>
    <w:rsid w:val="007C67AA"/>
    <w:rsid w:val="007C72F2"/>
    <w:rsid w:val="007D0C4F"/>
    <w:rsid w:val="007D20A9"/>
    <w:rsid w:val="007D27ED"/>
    <w:rsid w:val="007D298F"/>
    <w:rsid w:val="007D2DBC"/>
    <w:rsid w:val="007D2F66"/>
    <w:rsid w:val="007D4B2F"/>
    <w:rsid w:val="007D522C"/>
    <w:rsid w:val="007D6499"/>
    <w:rsid w:val="007D73CC"/>
    <w:rsid w:val="007E0474"/>
    <w:rsid w:val="007E0C38"/>
    <w:rsid w:val="007E1755"/>
    <w:rsid w:val="007E2105"/>
    <w:rsid w:val="007E2872"/>
    <w:rsid w:val="007E2F5A"/>
    <w:rsid w:val="007E490E"/>
    <w:rsid w:val="007F01E2"/>
    <w:rsid w:val="007F0CC4"/>
    <w:rsid w:val="007F2B6E"/>
    <w:rsid w:val="007F4789"/>
    <w:rsid w:val="007F4FCE"/>
    <w:rsid w:val="007F60CA"/>
    <w:rsid w:val="007F66D4"/>
    <w:rsid w:val="007F6B0E"/>
    <w:rsid w:val="007F7E02"/>
    <w:rsid w:val="008006FC"/>
    <w:rsid w:val="00801295"/>
    <w:rsid w:val="0080170E"/>
    <w:rsid w:val="00801B95"/>
    <w:rsid w:val="008026DC"/>
    <w:rsid w:val="00802775"/>
    <w:rsid w:val="00802B75"/>
    <w:rsid w:val="00803768"/>
    <w:rsid w:val="0080447A"/>
    <w:rsid w:val="00804529"/>
    <w:rsid w:val="0080505D"/>
    <w:rsid w:val="008051DA"/>
    <w:rsid w:val="008054B2"/>
    <w:rsid w:val="00806442"/>
    <w:rsid w:val="00807365"/>
    <w:rsid w:val="00807FD5"/>
    <w:rsid w:val="00810793"/>
    <w:rsid w:val="00810BF4"/>
    <w:rsid w:val="00811277"/>
    <w:rsid w:val="00812427"/>
    <w:rsid w:val="0081293B"/>
    <w:rsid w:val="00813E6A"/>
    <w:rsid w:val="00814DC0"/>
    <w:rsid w:val="0081642C"/>
    <w:rsid w:val="00816A53"/>
    <w:rsid w:val="00817CD7"/>
    <w:rsid w:val="00820BE0"/>
    <w:rsid w:val="00821AB9"/>
    <w:rsid w:val="00822DD3"/>
    <w:rsid w:val="00823393"/>
    <w:rsid w:val="008241E2"/>
    <w:rsid w:val="00824D56"/>
    <w:rsid w:val="008256C8"/>
    <w:rsid w:val="00825922"/>
    <w:rsid w:val="00825AE0"/>
    <w:rsid w:val="008307A3"/>
    <w:rsid w:val="0083289F"/>
    <w:rsid w:val="00833539"/>
    <w:rsid w:val="008352EA"/>
    <w:rsid w:val="00835E3C"/>
    <w:rsid w:val="00836655"/>
    <w:rsid w:val="00837127"/>
    <w:rsid w:val="00837325"/>
    <w:rsid w:val="008377AD"/>
    <w:rsid w:val="0083792B"/>
    <w:rsid w:val="00837D7B"/>
    <w:rsid w:val="00840015"/>
    <w:rsid w:val="00840B6D"/>
    <w:rsid w:val="008411F3"/>
    <w:rsid w:val="00841BEB"/>
    <w:rsid w:val="008427D2"/>
    <w:rsid w:val="00843440"/>
    <w:rsid w:val="00844BB0"/>
    <w:rsid w:val="00844E7C"/>
    <w:rsid w:val="0084625F"/>
    <w:rsid w:val="008477B4"/>
    <w:rsid w:val="00847A45"/>
    <w:rsid w:val="00850016"/>
    <w:rsid w:val="008501E7"/>
    <w:rsid w:val="00850477"/>
    <w:rsid w:val="00851205"/>
    <w:rsid w:val="008524D9"/>
    <w:rsid w:val="008527B0"/>
    <w:rsid w:val="00853CC8"/>
    <w:rsid w:val="008563EA"/>
    <w:rsid w:val="0085649A"/>
    <w:rsid w:val="0085651A"/>
    <w:rsid w:val="00856833"/>
    <w:rsid w:val="0085736D"/>
    <w:rsid w:val="00860970"/>
    <w:rsid w:val="0086246B"/>
    <w:rsid w:val="00862805"/>
    <w:rsid w:val="00862D20"/>
    <w:rsid w:val="008649BE"/>
    <w:rsid w:val="008649CF"/>
    <w:rsid w:val="008660F7"/>
    <w:rsid w:val="008662EA"/>
    <w:rsid w:val="00866A58"/>
    <w:rsid w:val="00867DDF"/>
    <w:rsid w:val="0087099E"/>
    <w:rsid w:val="008709EA"/>
    <w:rsid w:val="00871030"/>
    <w:rsid w:val="00871F8C"/>
    <w:rsid w:val="00872412"/>
    <w:rsid w:val="008725AF"/>
    <w:rsid w:val="008728EF"/>
    <w:rsid w:val="00872D7C"/>
    <w:rsid w:val="0087323A"/>
    <w:rsid w:val="008734AD"/>
    <w:rsid w:val="0087425F"/>
    <w:rsid w:val="008749E5"/>
    <w:rsid w:val="00875485"/>
    <w:rsid w:val="008762E5"/>
    <w:rsid w:val="008775AE"/>
    <w:rsid w:val="00880BF7"/>
    <w:rsid w:val="0088110C"/>
    <w:rsid w:val="008811BF"/>
    <w:rsid w:val="0088238B"/>
    <w:rsid w:val="008830C3"/>
    <w:rsid w:val="00883BD5"/>
    <w:rsid w:val="00883CC3"/>
    <w:rsid w:val="00884869"/>
    <w:rsid w:val="008849C1"/>
    <w:rsid w:val="008859E1"/>
    <w:rsid w:val="0088614D"/>
    <w:rsid w:val="00890578"/>
    <w:rsid w:val="00890C70"/>
    <w:rsid w:val="008918C5"/>
    <w:rsid w:val="00892EF2"/>
    <w:rsid w:val="0089383C"/>
    <w:rsid w:val="00894891"/>
    <w:rsid w:val="00894A0C"/>
    <w:rsid w:val="0089695D"/>
    <w:rsid w:val="00896DD2"/>
    <w:rsid w:val="00896F6D"/>
    <w:rsid w:val="008A0227"/>
    <w:rsid w:val="008A047A"/>
    <w:rsid w:val="008A0F62"/>
    <w:rsid w:val="008A216C"/>
    <w:rsid w:val="008A3CC5"/>
    <w:rsid w:val="008A3FCD"/>
    <w:rsid w:val="008A47D4"/>
    <w:rsid w:val="008A4AB4"/>
    <w:rsid w:val="008A6444"/>
    <w:rsid w:val="008B042B"/>
    <w:rsid w:val="008B0A3E"/>
    <w:rsid w:val="008B111E"/>
    <w:rsid w:val="008B12A6"/>
    <w:rsid w:val="008B23CC"/>
    <w:rsid w:val="008B3BD5"/>
    <w:rsid w:val="008B45A3"/>
    <w:rsid w:val="008B5099"/>
    <w:rsid w:val="008B5BC4"/>
    <w:rsid w:val="008B614B"/>
    <w:rsid w:val="008B7C90"/>
    <w:rsid w:val="008B7DA8"/>
    <w:rsid w:val="008C0604"/>
    <w:rsid w:val="008C0784"/>
    <w:rsid w:val="008C2366"/>
    <w:rsid w:val="008C26B7"/>
    <w:rsid w:val="008C2902"/>
    <w:rsid w:val="008C2A26"/>
    <w:rsid w:val="008C409C"/>
    <w:rsid w:val="008C4CF2"/>
    <w:rsid w:val="008C5240"/>
    <w:rsid w:val="008C59DC"/>
    <w:rsid w:val="008C5EA7"/>
    <w:rsid w:val="008C65EB"/>
    <w:rsid w:val="008D00F9"/>
    <w:rsid w:val="008D2882"/>
    <w:rsid w:val="008D34E9"/>
    <w:rsid w:val="008D4020"/>
    <w:rsid w:val="008D49A3"/>
    <w:rsid w:val="008D4EC3"/>
    <w:rsid w:val="008D4FE0"/>
    <w:rsid w:val="008D5006"/>
    <w:rsid w:val="008D6356"/>
    <w:rsid w:val="008E0832"/>
    <w:rsid w:val="008E0E34"/>
    <w:rsid w:val="008E2C9E"/>
    <w:rsid w:val="008E4156"/>
    <w:rsid w:val="008E4F05"/>
    <w:rsid w:val="008E540D"/>
    <w:rsid w:val="008E5CEB"/>
    <w:rsid w:val="008E5CF5"/>
    <w:rsid w:val="008E68AE"/>
    <w:rsid w:val="008E7CA7"/>
    <w:rsid w:val="008E7D2D"/>
    <w:rsid w:val="008F04A1"/>
    <w:rsid w:val="008F0533"/>
    <w:rsid w:val="008F1091"/>
    <w:rsid w:val="008F1E46"/>
    <w:rsid w:val="008F21AA"/>
    <w:rsid w:val="008F26B1"/>
    <w:rsid w:val="008F2E11"/>
    <w:rsid w:val="008F2F0E"/>
    <w:rsid w:val="008F2F17"/>
    <w:rsid w:val="008F33E1"/>
    <w:rsid w:val="008F4DF2"/>
    <w:rsid w:val="008F6716"/>
    <w:rsid w:val="008F6961"/>
    <w:rsid w:val="008F6B9A"/>
    <w:rsid w:val="008F7D67"/>
    <w:rsid w:val="00901086"/>
    <w:rsid w:val="00901E02"/>
    <w:rsid w:val="00902925"/>
    <w:rsid w:val="0090388A"/>
    <w:rsid w:val="009040E9"/>
    <w:rsid w:val="0090457D"/>
    <w:rsid w:val="00904C58"/>
    <w:rsid w:val="009051C1"/>
    <w:rsid w:val="0090587F"/>
    <w:rsid w:val="00906212"/>
    <w:rsid w:val="00906995"/>
    <w:rsid w:val="00910152"/>
    <w:rsid w:val="00911EFB"/>
    <w:rsid w:val="00912BD5"/>
    <w:rsid w:val="00913028"/>
    <w:rsid w:val="009130FA"/>
    <w:rsid w:val="00913D40"/>
    <w:rsid w:val="00915AE3"/>
    <w:rsid w:val="00915FAC"/>
    <w:rsid w:val="009165D0"/>
    <w:rsid w:val="00916705"/>
    <w:rsid w:val="00917B76"/>
    <w:rsid w:val="00917F6F"/>
    <w:rsid w:val="0092095D"/>
    <w:rsid w:val="00921B01"/>
    <w:rsid w:val="00922261"/>
    <w:rsid w:val="0092252D"/>
    <w:rsid w:val="00922EC6"/>
    <w:rsid w:val="00924886"/>
    <w:rsid w:val="009252E5"/>
    <w:rsid w:val="009258E1"/>
    <w:rsid w:val="00925A35"/>
    <w:rsid w:val="00926CAD"/>
    <w:rsid w:val="00927985"/>
    <w:rsid w:val="0093108B"/>
    <w:rsid w:val="009317EB"/>
    <w:rsid w:val="00931946"/>
    <w:rsid w:val="00931E4C"/>
    <w:rsid w:val="00931FA8"/>
    <w:rsid w:val="00932D30"/>
    <w:rsid w:val="009339B6"/>
    <w:rsid w:val="00933F7C"/>
    <w:rsid w:val="0093483B"/>
    <w:rsid w:val="009348FA"/>
    <w:rsid w:val="0093600A"/>
    <w:rsid w:val="00936E13"/>
    <w:rsid w:val="0093759B"/>
    <w:rsid w:val="00940B87"/>
    <w:rsid w:val="0094222F"/>
    <w:rsid w:val="00942F18"/>
    <w:rsid w:val="009431A6"/>
    <w:rsid w:val="00944A98"/>
    <w:rsid w:val="009456F7"/>
    <w:rsid w:val="0094590A"/>
    <w:rsid w:val="00946090"/>
    <w:rsid w:val="00947081"/>
    <w:rsid w:val="00950EC8"/>
    <w:rsid w:val="00951176"/>
    <w:rsid w:val="00952318"/>
    <w:rsid w:val="00952D85"/>
    <w:rsid w:val="009546CD"/>
    <w:rsid w:val="00954D3D"/>
    <w:rsid w:val="00955370"/>
    <w:rsid w:val="00956A13"/>
    <w:rsid w:val="0095781E"/>
    <w:rsid w:val="00957857"/>
    <w:rsid w:val="00960F5C"/>
    <w:rsid w:val="00961CF3"/>
    <w:rsid w:val="00962891"/>
    <w:rsid w:val="00962AD9"/>
    <w:rsid w:val="00962BFA"/>
    <w:rsid w:val="00962F4D"/>
    <w:rsid w:val="009630FF"/>
    <w:rsid w:val="00963C65"/>
    <w:rsid w:val="00964069"/>
    <w:rsid w:val="00964D73"/>
    <w:rsid w:val="0096542A"/>
    <w:rsid w:val="00966684"/>
    <w:rsid w:val="00967349"/>
    <w:rsid w:val="00967AD6"/>
    <w:rsid w:val="00970812"/>
    <w:rsid w:val="009724AD"/>
    <w:rsid w:val="00972880"/>
    <w:rsid w:val="00972B37"/>
    <w:rsid w:val="00974376"/>
    <w:rsid w:val="009755AC"/>
    <w:rsid w:val="00976209"/>
    <w:rsid w:val="00976656"/>
    <w:rsid w:val="009770A8"/>
    <w:rsid w:val="00977232"/>
    <w:rsid w:val="009773EB"/>
    <w:rsid w:val="00980103"/>
    <w:rsid w:val="0098071B"/>
    <w:rsid w:val="0098090B"/>
    <w:rsid w:val="00980C43"/>
    <w:rsid w:val="00982167"/>
    <w:rsid w:val="00982312"/>
    <w:rsid w:val="009823EE"/>
    <w:rsid w:val="009824B4"/>
    <w:rsid w:val="00982AFA"/>
    <w:rsid w:val="009836D1"/>
    <w:rsid w:val="009845B7"/>
    <w:rsid w:val="009901FA"/>
    <w:rsid w:val="00990564"/>
    <w:rsid w:val="009906BE"/>
    <w:rsid w:val="00991A4D"/>
    <w:rsid w:val="00991C7A"/>
    <w:rsid w:val="00991F69"/>
    <w:rsid w:val="00992E99"/>
    <w:rsid w:val="00993170"/>
    <w:rsid w:val="009953F2"/>
    <w:rsid w:val="00995E1D"/>
    <w:rsid w:val="00996C46"/>
    <w:rsid w:val="00996EA7"/>
    <w:rsid w:val="009A0097"/>
    <w:rsid w:val="009A162C"/>
    <w:rsid w:val="009A295A"/>
    <w:rsid w:val="009A295E"/>
    <w:rsid w:val="009A44D6"/>
    <w:rsid w:val="009A4F1A"/>
    <w:rsid w:val="009A6286"/>
    <w:rsid w:val="009A691F"/>
    <w:rsid w:val="009A6B45"/>
    <w:rsid w:val="009A6F8A"/>
    <w:rsid w:val="009B02D9"/>
    <w:rsid w:val="009B0787"/>
    <w:rsid w:val="009B2217"/>
    <w:rsid w:val="009B2BFE"/>
    <w:rsid w:val="009B2EBC"/>
    <w:rsid w:val="009B568A"/>
    <w:rsid w:val="009B59EB"/>
    <w:rsid w:val="009B6060"/>
    <w:rsid w:val="009B6754"/>
    <w:rsid w:val="009C002E"/>
    <w:rsid w:val="009C0D29"/>
    <w:rsid w:val="009C0D49"/>
    <w:rsid w:val="009C15B3"/>
    <w:rsid w:val="009C16F0"/>
    <w:rsid w:val="009C2CF8"/>
    <w:rsid w:val="009C2E68"/>
    <w:rsid w:val="009C3078"/>
    <w:rsid w:val="009C471E"/>
    <w:rsid w:val="009C5165"/>
    <w:rsid w:val="009C6212"/>
    <w:rsid w:val="009C631E"/>
    <w:rsid w:val="009C6A39"/>
    <w:rsid w:val="009C7757"/>
    <w:rsid w:val="009C7BDE"/>
    <w:rsid w:val="009D08F7"/>
    <w:rsid w:val="009D14FB"/>
    <w:rsid w:val="009D208C"/>
    <w:rsid w:val="009D48E6"/>
    <w:rsid w:val="009D6DB1"/>
    <w:rsid w:val="009D6FE9"/>
    <w:rsid w:val="009D7AF7"/>
    <w:rsid w:val="009D7B6E"/>
    <w:rsid w:val="009E0760"/>
    <w:rsid w:val="009E0941"/>
    <w:rsid w:val="009E193E"/>
    <w:rsid w:val="009E1BCF"/>
    <w:rsid w:val="009E26ED"/>
    <w:rsid w:val="009E3736"/>
    <w:rsid w:val="009E3B6C"/>
    <w:rsid w:val="009E4B45"/>
    <w:rsid w:val="009E566F"/>
    <w:rsid w:val="009F18BB"/>
    <w:rsid w:val="009F1CE9"/>
    <w:rsid w:val="009F247B"/>
    <w:rsid w:val="009F358C"/>
    <w:rsid w:val="009F38A6"/>
    <w:rsid w:val="009F4330"/>
    <w:rsid w:val="009F46CC"/>
    <w:rsid w:val="009F473A"/>
    <w:rsid w:val="009F4F67"/>
    <w:rsid w:val="009F5542"/>
    <w:rsid w:val="009F5599"/>
    <w:rsid w:val="009F5873"/>
    <w:rsid w:val="009F58E7"/>
    <w:rsid w:val="009F5E79"/>
    <w:rsid w:val="00A00F36"/>
    <w:rsid w:val="00A01F43"/>
    <w:rsid w:val="00A03C0E"/>
    <w:rsid w:val="00A07615"/>
    <w:rsid w:val="00A07ADC"/>
    <w:rsid w:val="00A07B45"/>
    <w:rsid w:val="00A12C88"/>
    <w:rsid w:val="00A13E75"/>
    <w:rsid w:val="00A144B7"/>
    <w:rsid w:val="00A15473"/>
    <w:rsid w:val="00A15F64"/>
    <w:rsid w:val="00A169EF"/>
    <w:rsid w:val="00A16BF0"/>
    <w:rsid w:val="00A16D28"/>
    <w:rsid w:val="00A20151"/>
    <w:rsid w:val="00A20658"/>
    <w:rsid w:val="00A21596"/>
    <w:rsid w:val="00A21F50"/>
    <w:rsid w:val="00A2202E"/>
    <w:rsid w:val="00A22383"/>
    <w:rsid w:val="00A2241A"/>
    <w:rsid w:val="00A22D96"/>
    <w:rsid w:val="00A23606"/>
    <w:rsid w:val="00A240FD"/>
    <w:rsid w:val="00A254E8"/>
    <w:rsid w:val="00A25988"/>
    <w:rsid w:val="00A25993"/>
    <w:rsid w:val="00A26D1E"/>
    <w:rsid w:val="00A3092A"/>
    <w:rsid w:val="00A30F66"/>
    <w:rsid w:val="00A315B3"/>
    <w:rsid w:val="00A337FA"/>
    <w:rsid w:val="00A33D84"/>
    <w:rsid w:val="00A33DF4"/>
    <w:rsid w:val="00A35405"/>
    <w:rsid w:val="00A3738A"/>
    <w:rsid w:val="00A400ED"/>
    <w:rsid w:val="00A42586"/>
    <w:rsid w:val="00A42807"/>
    <w:rsid w:val="00A42C16"/>
    <w:rsid w:val="00A43194"/>
    <w:rsid w:val="00A43A0D"/>
    <w:rsid w:val="00A43B31"/>
    <w:rsid w:val="00A46120"/>
    <w:rsid w:val="00A46979"/>
    <w:rsid w:val="00A47809"/>
    <w:rsid w:val="00A47ED6"/>
    <w:rsid w:val="00A47EE9"/>
    <w:rsid w:val="00A50AF9"/>
    <w:rsid w:val="00A513B3"/>
    <w:rsid w:val="00A53EFA"/>
    <w:rsid w:val="00A54656"/>
    <w:rsid w:val="00A54FD6"/>
    <w:rsid w:val="00A5540C"/>
    <w:rsid w:val="00A60CBC"/>
    <w:rsid w:val="00A60F4B"/>
    <w:rsid w:val="00A616C3"/>
    <w:rsid w:val="00A62CCE"/>
    <w:rsid w:val="00A6332D"/>
    <w:rsid w:val="00A64042"/>
    <w:rsid w:val="00A64059"/>
    <w:rsid w:val="00A653E8"/>
    <w:rsid w:val="00A65FCB"/>
    <w:rsid w:val="00A661BB"/>
    <w:rsid w:val="00A67AA4"/>
    <w:rsid w:val="00A70334"/>
    <w:rsid w:val="00A71218"/>
    <w:rsid w:val="00A724E5"/>
    <w:rsid w:val="00A72666"/>
    <w:rsid w:val="00A72BB0"/>
    <w:rsid w:val="00A73F4D"/>
    <w:rsid w:val="00A74B18"/>
    <w:rsid w:val="00A74C2D"/>
    <w:rsid w:val="00A755E6"/>
    <w:rsid w:val="00A75861"/>
    <w:rsid w:val="00A76036"/>
    <w:rsid w:val="00A76571"/>
    <w:rsid w:val="00A77A25"/>
    <w:rsid w:val="00A82392"/>
    <w:rsid w:val="00A82737"/>
    <w:rsid w:val="00A8445D"/>
    <w:rsid w:val="00A84C71"/>
    <w:rsid w:val="00A84D9A"/>
    <w:rsid w:val="00A866D9"/>
    <w:rsid w:val="00A86741"/>
    <w:rsid w:val="00A870C2"/>
    <w:rsid w:val="00A87586"/>
    <w:rsid w:val="00A87EDF"/>
    <w:rsid w:val="00A905C1"/>
    <w:rsid w:val="00A90A92"/>
    <w:rsid w:val="00A90F3A"/>
    <w:rsid w:val="00A924DF"/>
    <w:rsid w:val="00A936AB"/>
    <w:rsid w:val="00A956E7"/>
    <w:rsid w:val="00A95BB1"/>
    <w:rsid w:val="00A964CD"/>
    <w:rsid w:val="00AA0585"/>
    <w:rsid w:val="00AA0B7A"/>
    <w:rsid w:val="00AA0C15"/>
    <w:rsid w:val="00AA0FC7"/>
    <w:rsid w:val="00AA161C"/>
    <w:rsid w:val="00AA23A6"/>
    <w:rsid w:val="00AA2F2B"/>
    <w:rsid w:val="00AA3AE9"/>
    <w:rsid w:val="00AA3D09"/>
    <w:rsid w:val="00AA470A"/>
    <w:rsid w:val="00AA5335"/>
    <w:rsid w:val="00AA551E"/>
    <w:rsid w:val="00AA637F"/>
    <w:rsid w:val="00AA77A7"/>
    <w:rsid w:val="00AB02B2"/>
    <w:rsid w:val="00AB0FEE"/>
    <w:rsid w:val="00AB308B"/>
    <w:rsid w:val="00AB39F6"/>
    <w:rsid w:val="00AB4022"/>
    <w:rsid w:val="00AB438D"/>
    <w:rsid w:val="00AB46B1"/>
    <w:rsid w:val="00AB4DCE"/>
    <w:rsid w:val="00AB5A2B"/>
    <w:rsid w:val="00AB6FDD"/>
    <w:rsid w:val="00AB719C"/>
    <w:rsid w:val="00AB7C6D"/>
    <w:rsid w:val="00AB7CA0"/>
    <w:rsid w:val="00AC0336"/>
    <w:rsid w:val="00AC039A"/>
    <w:rsid w:val="00AC0D9A"/>
    <w:rsid w:val="00AC2585"/>
    <w:rsid w:val="00AC32E0"/>
    <w:rsid w:val="00AC36FB"/>
    <w:rsid w:val="00AC4312"/>
    <w:rsid w:val="00AC4424"/>
    <w:rsid w:val="00AC48A8"/>
    <w:rsid w:val="00AC5B5C"/>
    <w:rsid w:val="00AC5CB4"/>
    <w:rsid w:val="00AC6E19"/>
    <w:rsid w:val="00AC73B9"/>
    <w:rsid w:val="00AC756C"/>
    <w:rsid w:val="00AC7A01"/>
    <w:rsid w:val="00AD06D9"/>
    <w:rsid w:val="00AD07CE"/>
    <w:rsid w:val="00AD1264"/>
    <w:rsid w:val="00AD1937"/>
    <w:rsid w:val="00AD1ECC"/>
    <w:rsid w:val="00AD28FC"/>
    <w:rsid w:val="00AD2D6B"/>
    <w:rsid w:val="00AD35A3"/>
    <w:rsid w:val="00AD4403"/>
    <w:rsid w:val="00AD48E6"/>
    <w:rsid w:val="00AD6987"/>
    <w:rsid w:val="00AD7406"/>
    <w:rsid w:val="00AD7F31"/>
    <w:rsid w:val="00AE003A"/>
    <w:rsid w:val="00AE0D43"/>
    <w:rsid w:val="00AE0E88"/>
    <w:rsid w:val="00AE2328"/>
    <w:rsid w:val="00AE2BB0"/>
    <w:rsid w:val="00AE2FD9"/>
    <w:rsid w:val="00AE3592"/>
    <w:rsid w:val="00AE367E"/>
    <w:rsid w:val="00AE371D"/>
    <w:rsid w:val="00AE3958"/>
    <w:rsid w:val="00AE3DE0"/>
    <w:rsid w:val="00AE4375"/>
    <w:rsid w:val="00AE4BED"/>
    <w:rsid w:val="00AE556B"/>
    <w:rsid w:val="00AE5952"/>
    <w:rsid w:val="00AE783B"/>
    <w:rsid w:val="00AF0018"/>
    <w:rsid w:val="00AF20C5"/>
    <w:rsid w:val="00AF26C5"/>
    <w:rsid w:val="00AF29F2"/>
    <w:rsid w:val="00AF2F8F"/>
    <w:rsid w:val="00AF51CA"/>
    <w:rsid w:val="00AF56E7"/>
    <w:rsid w:val="00AF6547"/>
    <w:rsid w:val="00AF732E"/>
    <w:rsid w:val="00AF79F0"/>
    <w:rsid w:val="00B004A8"/>
    <w:rsid w:val="00B010F8"/>
    <w:rsid w:val="00B014ED"/>
    <w:rsid w:val="00B0170B"/>
    <w:rsid w:val="00B020C7"/>
    <w:rsid w:val="00B0217B"/>
    <w:rsid w:val="00B02638"/>
    <w:rsid w:val="00B03AE5"/>
    <w:rsid w:val="00B03BF9"/>
    <w:rsid w:val="00B04400"/>
    <w:rsid w:val="00B06698"/>
    <w:rsid w:val="00B06725"/>
    <w:rsid w:val="00B06CEA"/>
    <w:rsid w:val="00B11BEA"/>
    <w:rsid w:val="00B11C58"/>
    <w:rsid w:val="00B120CB"/>
    <w:rsid w:val="00B12B1A"/>
    <w:rsid w:val="00B13B95"/>
    <w:rsid w:val="00B13E81"/>
    <w:rsid w:val="00B13F6E"/>
    <w:rsid w:val="00B143CD"/>
    <w:rsid w:val="00B14D0C"/>
    <w:rsid w:val="00B1553B"/>
    <w:rsid w:val="00B15BB5"/>
    <w:rsid w:val="00B164F9"/>
    <w:rsid w:val="00B17B7F"/>
    <w:rsid w:val="00B21285"/>
    <w:rsid w:val="00B24366"/>
    <w:rsid w:val="00B247DA"/>
    <w:rsid w:val="00B24F5B"/>
    <w:rsid w:val="00B2561B"/>
    <w:rsid w:val="00B304BD"/>
    <w:rsid w:val="00B30851"/>
    <w:rsid w:val="00B30BDD"/>
    <w:rsid w:val="00B312B6"/>
    <w:rsid w:val="00B31A24"/>
    <w:rsid w:val="00B32B00"/>
    <w:rsid w:val="00B32D64"/>
    <w:rsid w:val="00B33C9A"/>
    <w:rsid w:val="00B34261"/>
    <w:rsid w:val="00B346C9"/>
    <w:rsid w:val="00B3543D"/>
    <w:rsid w:val="00B36367"/>
    <w:rsid w:val="00B377AB"/>
    <w:rsid w:val="00B37F36"/>
    <w:rsid w:val="00B40473"/>
    <w:rsid w:val="00B43A35"/>
    <w:rsid w:val="00B43B70"/>
    <w:rsid w:val="00B451DB"/>
    <w:rsid w:val="00B457DE"/>
    <w:rsid w:val="00B45B41"/>
    <w:rsid w:val="00B47191"/>
    <w:rsid w:val="00B47911"/>
    <w:rsid w:val="00B50172"/>
    <w:rsid w:val="00B506AF"/>
    <w:rsid w:val="00B518C7"/>
    <w:rsid w:val="00B51C3F"/>
    <w:rsid w:val="00B51D6A"/>
    <w:rsid w:val="00B53721"/>
    <w:rsid w:val="00B5467B"/>
    <w:rsid w:val="00B54A58"/>
    <w:rsid w:val="00B557D9"/>
    <w:rsid w:val="00B56182"/>
    <w:rsid w:val="00B56AAB"/>
    <w:rsid w:val="00B56F4F"/>
    <w:rsid w:val="00B61891"/>
    <w:rsid w:val="00B629BF"/>
    <w:rsid w:val="00B62C30"/>
    <w:rsid w:val="00B632A0"/>
    <w:rsid w:val="00B64177"/>
    <w:rsid w:val="00B641CA"/>
    <w:rsid w:val="00B65163"/>
    <w:rsid w:val="00B6563D"/>
    <w:rsid w:val="00B6658A"/>
    <w:rsid w:val="00B67416"/>
    <w:rsid w:val="00B70203"/>
    <w:rsid w:val="00B71418"/>
    <w:rsid w:val="00B725AF"/>
    <w:rsid w:val="00B72BC0"/>
    <w:rsid w:val="00B731DA"/>
    <w:rsid w:val="00B75327"/>
    <w:rsid w:val="00B75CEA"/>
    <w:rsid w:val="00B768FF"/>
    <w:rsid w:val="00B77E31"/>
    <w:rsid w:val="00B80CA4"/>
    <w:rsid w:val="00B81B5F"/>
    <w:rsid w:val="00B82E12"/>
    <w:rsid w:val="00B83B4E"/>
    <w:rsid w:val="00B840DF"/>
    <w:rsid w:val="00B841DB"/>
    <w:rsid w:val="00B843D4"/>
    <w:rsid w:val="00B8472D"/>
    <w:rsid w:val="00B8502A"/>
    <w:rsid w:val="00B857A2"/>
    <w:rsid w:val="00B85882"/>
    <w:rsid w:val="00B85AF3"/>
    <w:rsid w:val="00B860FC"/>
    <w:rsid w:val="00B86846"/>
    <w:rsid w:val="00B8748C"/>
    <w:rsid w:val="00B87827"/>
    <w:rsid w:val="00B87E03"/>
    <w:rsid w:val="00B92E8F"/>
    <w:rsid w:val="00B93337"/>
    <w:rsid w:val="00B94F51"/>
    <w:rsid w:val="00B95328"/>
    <w:rsid w:val="00B96096"/>
    <w:rsid w:val="00B96D33"/>
    <w:rsid w:val="00B96F55"/>
    <w:rsid w:val="00B97097"/>
    <w:rsid w:val="00B97108"/>
    <w:rsid w:val="00B97E31"/>
    <w:rsid w:val="00BA1132"/>
    <w:rsid w:val="00BA2720"/>
    <w:rsid w:val="00BA2F94"/>
    <w:rsid w:val="00BA3A4D"/>
    <w:rsid w:val="00BA3AF7"/>
    <w:rsid w:val="00BA5130"/>
    <w:rsid w:val="00BA56AD"/>
    <w:rsid w:val="00BA5E7A"/>
    <w:rsid w:val="00BA6068"/>
    <w:rsid w:val="00BA64C1"/>
    <w:rsid w:val="00BA6B47"/>
    <w:rsid w:val="00BA7534"/>
    <w:rsid w:val="00BA7BD0"/>
    <w:rsid w:val="00BB0C92"/>
    <w:rsid w:val="00BB0D5F"/>
    <w:rsid w:val="00BB1586"/>
    <w:rsid w:val="00BB21CC"/>
    <w:rsid w:val="00BB3D2A"/>
    <w:rsid w:val="00BB534D"/>
    <w:rsid w:val="00BB55BC"/>
    <w:rsid w:val="00BB599F"/>
    <w:rsid w:val="00BB5F95"/>
    <w:rsid w:val="00BB6D57"/>
    <w:rsid w:val="00BB71D0"/>
    <w:rsid w:val="00BC01A8"/>
    <w:rsid w:val="00BC0D05"/>
    <w:rsid w:val="00BC19E3"/>
    <w:rsid w:val="00BC2150"/>
    <w:rsid w:val="00BC2FFC"/>
    <w:rsid w:val="00BC6892"/>
    <w:rsid w:val="00BC7024"/>
    <w:rsid w:val="00BC7B2C"/>
    <w:rsid w:val="00BC7C63"/>
    <w:rsid w:val="00BD173C"/>
    <w:rsid w:val="00BD1F90"/>
    <w:rsid w:val="00BD206C"/>
    <w:rsid w:val="00BD21A6"/>
    <w:rsid w:val="00BD223E"/>
    <w:rsid w:val="00BD28F5"/>
    <w:rsid w:val="00BD2E50"/>
    <w:rsid w:val="00BD3055"/>
    <w:rsid w:val="00BD448B"/>
    <w:rsid w:val="00BD65C4"/>
    <w:rsid w:val="00BD6A7A"/>
    <w:rsid w:val="00BD71E6"/>
    <w:rsid w:val="00BE0FBA"/>
    <w:rsid w:val="00BE5913"/>
    <w:rsid w:val="00BE5D3C"/>
    <w:rsid w:val="00BE6274"/>
    <w:rsid w:val="00BE6918"/>
    <w:rsid w:val="00BE7359"/>
    <w:rsid w:val="00BE787B"/>
    <w:rsid w:val="00BF0FB7"/>
    <w:rsid w:val="00BF10E2"/>
    <w:rsid w:val="00BF1197"/>
    <w:rsid w:val="00BF1564"/>
    <w:rsid w:val="00BF161C"/>
    <w:rsid w:val="00BF2C97"/>
    <w:rsid w:val="00BF3926"/>
    <w:rsid w:val="00BF3A38"/>
    <w:rsid w:val="00BF6A75"/>
    <w:rsid w:val="00BF7142"/>
    <w:rsid w:val="00BF75B8"/>
    <w:rsid w:val="00BF795E"/>
    <w:rsid w:val="00C005CB"/>
    <w:rsid w:val="00C01690"/>
    <w:rsid w:val="00C01ACA"/>
    <w:rsid w:val="00C01AF6"/>
    <w:rsid w:val="00C01B30"/>
    <w:rsid w:val="00C01EE8"/>
    <w:rsid w:val="00C01FD9"/>
    <w:rsid w:val="00C03519"/>
    <w:rsid w:val="00C0419A"/>
    <w:rsid w:val="00C04226"/>
    <w:rsid w:val="00C05CDF"/>
    <w:rsid w:val="00C074BD"/>
    <w:rsid w:val="00C07591"/>
    <w:rsid w:val="00C079B0"/>
    <w:rsid w:val="00C079C5"/>
    <w:rsid w:val="00C10904"/>
    <w:rsid w:val="00C128DF"/>
    <w:rsid w:val="00C12B42"/>
    <w:rsid w:val="00C1551E"/>
    <w:rsid w:val="00C176F9"/>
    <w:rsid w:val="00C200C6"/>
    <w:rsid w:val="00C20D59"/>
    <w:rsid w:val="00C211A0"/>
    <w:rsid w:val="00C216A2"/>
    <w:rsid w:val="00C21DB1"/>
    <w:rsid w:val="00C21EB6"/>
    <w:rsid w:val="00C230F3"/>
    <w:rsid w:val="00C242DB"/>
    <w:rsid w:val="00C257B4"/>
    <w:rsid w:val="00C25CA7"/>
    <w:rsid w:val="00C263F3"/>
    <w:rsid w:val="00C2688F"/>
    <w:rsid w:val="00C26AC2"/>
    <w:rsid w:val="00C27414"/>
    <w:rsid w:val="00C31B03"/>
    <w:rsid w:val="00C31E52"/>
    <w:rsid w:val="00C31FFF"/>
    <w:rsid w:val="00C33A4F"/>
    <w:rsid w:val="00C36CE5"/>
    <w:rsid w:val="00C3755E"/>
    <w:rsid w:val="00C375E5"/>
    <w:rsid w:val="00C379C6"/>
    <w:rsid w:val="00C40B17"/>
    <w:rsid w:val="00C41EB8"/>
    <w:rsid w:val="00C42099"/>
    <w:rsid w:val="00C424BA"/>
    <w:rsid w:val="00C43A33"/>
    <w:rsid w:val="00C442DA"/>
    <w:rsid w:val="00C444BC"/>
    <w:rsid w:val="00C44D96"/>
    <w:rsid w:val="00C4609B"/>
    <w:rsid w:val="00C5187F"/>
    <w:rsid w:val="00C5258E"/>
    <w:rsid w:val="00C52D4C"/>
    <w:rsid w:val="00C52DF2"/>
    <w:rsid w:val="00C52F21"/>
    <w:rsid w:val="00C53BF3"/>
    <w:rsid w:val="00C5406D"/>
    <w:rsid w:val="00C54DA5"/>
    <w:rsid w:val="00C5638E"/>
    <w:rsid w:val="00C571E4"/>
    <w:rsid w:val="00C57389"/>
    <w:rsid w:val="00C57899"/>
    <w:rsid w:val="00C57D84"/>
    <w:rsid w:val="00C60E7E"/>
    <w:rsid w:val="00C6137B"/>
    <w:rsid w:val="00C6159B"/>
    <w:rsid w:val="00C61A0D"/>
    <w:rsid w:val="00C61EBD"/>
    <w:rsid w:val="00C6289E"/>
    <w:rsid w:val="00C62A2C"/>
    <w:rsid w:val="00C62A90"/>
    <w:rsid w:val="00C63D87"/>
    <w:rsid w:val="00C63EB7"/>
    <w:rsid w:val="00C652B5"/>
    <w:rsid w:val="00C67C87"/>
    <w:rsid w:val="00C713F9"/>
    <w:rsid w:val="00C7162B"/>
    <w:rsid w:val="00C72893"/>
    <w:rsid w:val="00C7384D"/>
    <w:rsid w:val="00C73F60"/>
    <w:rsid w:val="00C7517A"/>
    <w:rsid w:val="00C754CE"/>
    <w:rsid w:val="00C7606D"/>
    <w:rsid w:val="00C76B66"/>
    <w:rsid w:val="00C771DD"/>
    <w:rsid w:val="00C774EE"/>
    <w:rsid w:val="00C778DD"/>
    <w:rsid w:val="00C77A15"/>
    <w:rsid w:val="00C809F4"/>
    <w:rsid w:val="00C83262"/>
    <w:rsid w:val="00C844F1"/>
    <w:rsid w:val="00C85EA2"/>
    <w:rsid w:val="00C8712C"/>
    <w:rsid w:val="00C8720E"/>
    <w:rsid w:val="00C90210"/>
    <w:rsid w:val="00C90C78"/>
    <w:rsid w:val="00C90DA0"/>
    <w:rsid w:val="00C92408"/>
    <w:rsid w:val="00C925AF"/>
    <w:rsid w:val="00C92A5B"/>
    <w:rsid w:val="00C92EA0"/>
    <w:rsid w:val="00C93276"/>
    <w:rsid w:val="00C933BD"/>
    <w:rsid w:val="00C93F11"/>
    <w:rsid w:val="00C94381"/>
    <w:rsid w:val="00C954F6"/>
    <w:rsid w:val="00C9701E"/>
    <w:rsid w:val="00C9707C"/>
    <w:rsid w:val="00C97221"/>
    <w:rsid w:val="00C97D6C"/>
    <w:rsid w:val="00CA153E"/>
    <w:rsid w:val="00CA195B"/>
    <w:rsid w:val="00CA1C49"/>
    <w:rsid w:val="00CA24D4"/>
    <w:rsid w:val="00CA2CDC"/>
    <w:rsid w:val="00CA2EEA"/>
    <w:rsid w:val="00CA3870"/>
    <w:rsid w:val="00CA3E37"/>
    <w:rsid w:val="00CA4DA0"/>
    <w:rsid w:val="00CA52A6"/>
    <w:rsid w:val="00CA5BF3"/>
    <w:rsid w:val="00CA5EB2"/>
    <w:rsid w:val="00CA6813"/>
    <w:rsid w:val="00CA6935"/>
    <w:rsid w:val="00CA6CEB"/>
    <w:rsid w:val="00CB072F"/>
    <w:rsid w:val="00CB0BBD"/>
    <w:rsid w:val="00CB1D60"/>
    <w:rsid w:val="00CB215E"/>
    <w:rsid w:val="00CB3240"/>
    <w:rsid w:val="00CB344C"/>
    <w:rsid w:val="00CB3D6E"/>
    <w:rsid w:val="00CB4A01"/>
    <w:rsid w:val="00CB6C66"/>
    <w:rsid w:val="00CB745D"/>
    <w:rsid w:val="00CB777A"/>
    <w:rsid w:val="00CB78D1"/>
    <w:rsid w:val="00CB7D5E"/>
    <w:rsid w:val="00CC0C43"/>
    <w:rsid w:val="00CC1447"/>
    <w:rsid w:val="00CC23D3"/>
    <w:rsid w:val="00CC2EE3"/>
    <w:rsid w:val="00CC3C35"/>
    <w:rsid w:val="00CC46A2"/>
    <w:rsid w:val="00CC6D52"/>
    <w:rsid w:val="00CC6E25"/>
    <w:rsid w:val="00CC7249"/>
    <w:rsid w:val="00CC7312"/>
    <w:rsid w:val="00CD00FF"/>
    <w:rsid w:val="00CD0994"/>
    <w:rsid w:val="00CD0E55"/>
    <w:rsid w:val="00CD0F71"/>
    <w:rsid w:val="00CD0FBD"/>
    <w:rsid w:val="00CD1CF3"/>
    <w:rsid w:val="00CD2B64"/>
    <w:rsid w:val="00CD330E"/>
    <w:rsid w:val="00CD4D87"/>
    <w:rsid w:val="00CD4E9A"/>
    <w:rsid w:val="00CD5EAE"/>
    <w:rsid w:val="00CD5FC2"/>
    <w:rsid w:val="00CD6807"/>
    <w:rsid w:val="00CD6DB8"/>
    <w:rsid w:val="00CD6DC4"/>
    <w:rsid w:val="00CD6EC5"/>
    <w:rsid w:val="00CE064E"/>
    <w:rsid w:val="00CE0878"/>
    <w:rsid w:val="00CE1173"/>
    <w:rsid w:val="00CE11C4"/>
    <w:rsid w:val="00CE1753"/>
    <w:rsid w:val="00CE1A6D"/>
    <w:rsid w:val="00CE2085"/>
    <w:rsid w:val="00CE2FBA"/>
    <w:rsid w:val="00CE33C4"/>
    <w:rsid w:val="00CE4C44"/>
    <w:rsid w:val="00CE5469"/>
    <w:rsid w:val="00CE614D"/>
    <w:rsid w:val="00CE6290"/>
    <w:rsid w:val="00CE72D1"/>
    <w:rsid w:val="00CE7B65"/>
    <w:rsid w:val="00CF0341"/>
    <w:rsid w:val="00CF0618"/>
    <w:rsid w:val="00CF24E0"/>
    <w:rsid w:val="00CF5B64"/>
    <w:rsid w:val="00CF60D3"/>
    <w:rsid w:val="00CF6A03"/>
    <w:rsid w:val="00CF749E"/>
    <w:rsid w:val="00CF79AF"/>
    <w:rsid w:val="00CF7DAB"/>
    <w:rsid w:val="00D00421"/>
    <w:rsid w:val="00D01912"/>
    <w:rsid w:val="00D02809"/>
    <w:rsid w:val="00D02A76"/>
    <w:rsid w:val="00D03E17"/>
    <w:rsid w:val="00D04ABB"/>
    <w:rsid w:val="00D04C71"/>
    <w:rsid w:val="00D053C6"/>
    <w:rsid w:val="00D05F2C"/>
    <w:rsid w:val="00D061FF"/>
    <w:rsid w:val="00D0639E"/>
    <w:rsid w:val="00D064D9"/>
    <w:rsid w:val="00D0661C"/>
    <w:rsid w:val="00D0773C"/>
    <w:rsid w:val="00D07FEA"/>
    <w:rsid w:val="00D101EC"/>
    <w:rsid w:val="00D1029E"/>
    <w:rsid w:val="00D109DE"/>
    <w:rsid w:val="00D1126F"/>
    <w:rsid w:val="00D1248D"/>
    <w:rsid w:val="00D12784"/>
    <w:rsid w:val="00D13782"/>
    <w:rsid w:val="00D14988"/>
    <w:rsid w:val="00D15551"/>
    <w:rsid w:val="00D15C88"/>
    <w:rsid w:val="00D17D0F"/>
    <w:rsid w:val="00D201F3"/>
    <w:rsid w:val="00D2080C"/>
    <w:rsid w:val="00D20AAC"/>
    <w:rsid w:val="00D21284"/>
    <w:rsid w:val="00D23001"/>
    <w:rsid w:val="00D23AB0"/>
    <w:rsid w:val="00D23C7E"/>
    <w:rsid w:val="00D24470"/>
    <w:rsid w:val="00D2458F"/>
    <w:rsid w:val="00D255A7"/>
    <w:rsid w:val="00D25672"/>
    <w:rsid w:val="00D25C46"/>
    <w:rsid w:val="00D25E09"/>
    <w:rsid w:val="00D2731E"/>
    <w:rsid w:val="00D2736A"/>
    <w:rsid w:val="00D3168D"/>
    <w:rsid w:val="00D31D77"/>
    <w:rsid w:val="00D32240"/>
    <w:rsid w:val="00D34262"/>
    <w:rsid w:val="00D357EC"/>
    <w:rsid w:val="00D36D54"/>
    <w:rsid w:val="00D410D1"/>
    <w:rsid w:val="00D41807"/>
    <w:rsid w:val="00D4191F"/>
    <w:rsid w:val="00D41FFD"/>
    <w:rsid w:val="00D420CB"/>
    <w:rsid w:val="00D421C5"/>
    <w:rsid w:val="00D427CB"/>
    <w:rsid w:val="00D441F3"/>
    <w:rsid w:val="00D4540D"/>
    <w:rsid w:val="00D45CAA"/>
    <w:rsid w:val="00D45EB4"/>
    <w:rsid w:val="00D46610"/>
    <w:rsid w:val="00D473D5"/>
    <w:rsid w:val="00D503D9"/>
    <w:rsid w:val="00D5189C"/>
    <w:rsid w:val="00D51D67"/>
    <w:rsid w:val="00D52208"/>
    <w:rsid w:val="00D524C1"/>
    <w:rsid w:val="00D53A28"/>
    <w:rsid w:val="00D53AC2"/>
    <w:rsid w:val="00D5594D"/>
    <w:rsid w:val="00D55A2A"/>
    <w:rsid w:val="00D56B84"/>
    <w:rsid w:val="00D57349"/>
    <w:rsid w:val="00D57595"/>
    <w:rsid w:val="00D575FB"/>
    <w:rsid w:val="00D57827"/>
    <w:rsid w:val="00D60AF3"/>
    <w:rsid w:val="00D610BB"/>
    <w:rsid w:val="00D61DB4"/>
    <w:rsid w:val="00D62E16"/>
    <w:rsid w:val="00D638D5"/>
    <w:rsid w:val="00D643C7"/>
    <w:rsid w:val="00D64446"/>
    <w:rsid w:val="00D64D3B"/>
    <w:rsid w:val="00D64F33"/>
    <w:rsid w:val="00D65799"/>
    <w:rsid w:val="00D65A55"/>
    <w:rsid w:val="00D6617E"/>
    <w:rsid w:val="00D717F5"/>
    <w:rsid w:val="00D71B9F"/>
    <w:rsid w:val="00D720F0"/>
    <w:rsid w:val="00D72185"/>
    <w:rsid w:val="00D722E6"/>
    <w:rsid w:val="00D72B38"/>
    <w:rsid w:val="00D72DFD"/>
    <w:rsid w:val="00D72F5D"/>
    <w:rsid w:val="00D76BFD"/>
    <w:rsid w:val="00D77630"/>
    <w:rsid w:val="00D77D97"/>
    <w:rsid w:val="00D80474"/>
    <w:rsid w:val="00D80CBA"/>
    <w:rsid w:val="00D81B04"/>
    <w:rsid w:val="00D81F9E"/>
    <w:rsid w:val="00D827E0"/>
    <w:rsid w:val="00D842AB"/>
    <w:rsid w:val="00D84468"/>
    <w:rsid w:val="00D85405"/>
    <w:rsid w:val="00D85BA0"/>
    <w:rsid w:val="00D85F93"/>
    <w:rsid w:val="00D873B4"/>
    <w:rsid w:val="00D87F3A"/>
    <w:rsid w:val="00D913D1"/>
    <w:rsid w:val="00D9169F"/>
    <w:rsid w:val="00D91E44"/>
    <w:rsid w:val="00D92C5B"/>
    <w:rsid w:val="00D937B9"/>
    <w:rsid w:val="00D955D3"/>
    <w:rsid w:val="00D95A9A"/>
    <w:rsid w:val="00D96F1F"/>
    <w:rsid w:val="00DA055B"/>
    <w:rsid w:val="00DA05D1"/>
    <w:rsid w:val="00DA0C09"/>
    <w:rsid w:val="00DA340E"/>
    <w:rsid w:val="00DA3ACD"/>
    <w:rsid w:val="00DA5785"/>
    <w:rsid w:val="00DA6301"/>
    <w:rsid w:val="00DA6EDB"/>
    <w:rsid w:val="00DA71AB"/>
    <w:rsid w:val="00DB0164"/>
    <w:rsid w:val="00DB031C"/>
    <w:rsid w:val="00DB0FA3"/>
    <w:rsid w:val="00DB357F"/>
    <w:rsid w:val="00DB37EC"/>
    <w:rsid w:val="00DB37F9"/>
    <w:rsid w:val="00DB4359"/>
    <w:rsid w:val="00DB5D64"/>
    <w:rsid w:val="00DB6FE7"/>
    <w:rsid w:val="00DB7743"/>
    <w:rsid w:val="00DB7B1B"/>
    <w:rsid w:val="00DC0105"/>
    <w:rsid w:val="00DC0553"/>
    <w:rsid w:val="00DC0A2B"/>
    <w:rsid w:val="00DC2EC0"/>
    <w:rsid w:val="00DC3697"/>
    <w:rsid w:val="00DC39F8"/>
    <w:rsid w:val="00DC57EB"/>
    <w:rsid w:val="00DC6757"/>
    <w:rsid w:val="00DC6D53"/>
    <w:rsid w:val="00DC7160"/>
    <w:rsid w:val="00DD06FE"/>
    <w:rsid w:val="00DD14B2"/>
    <w:rsid w:val="00DD15F2"/>
    <w:rsid w:val="00DD1D7E"/>
    <w:rsid w:val="00DD482F"/>
    <w:rsid w:val="00DD4BCF"/>
    <w:rsid w:val="00DD5064"/>
    <w:rsid w:val="00DD512A"/>
    <w:rsid w:val="00DD6A23"/>
    <w:rsid w:val="00DD781A"/>
    <w:rsid w:val="00DD7AE4"/>
    <w:rsid w:val="00DD7C50"/>
    <w:rsid w:val="00DE0A92"/>
    <w:rsid w:val="00DE16E5"/>
    <w:rsid w:val="00DE1AFB"/>
    <w:rsid w:val="00DE5D64"/>
    <w:rsid w:val="00DE5D65"/>
    <w:rsid w:val="00DE6433"/>
    <w:rsid w:val="00DE65D5"/>
    <w:rsid w:val="00DE6A14"/>
    <w:rsid w:val="00DE6AB0"/>
    <w:rsid w:val="00DE77B3"/>
    <w:rsid w:val="00DF22D3"/>
    <w:rsid w:val="00DF2A45"/>
    <w:rsid w:val="00DF3197"/>
    <w:rsid w:val="00DF32BF"/>
    <w:rsid w:val="00DF37C3"/>
    <w:rsid w:val="00DF404C"/>
    <w:rsid w:val="00DF52CB"/>
    <w:rsid w:val="00DF595C"/>
    <w:rsid w:val="00DF5AF7"/>
    <w:rsid w:val="00DF667B"/>
    <w:rsid w:val="00DF7338"/>
    <w:rsid w:val="00E0007E"/>
    <w:rsid w:val="00E002F7"/>
    <w:rsid w:val="00E01306"/>
    <w:rsid w:val="00E01B75"/>
    <w:rsid w:val="00E025CE"/>
    <w:rsid w:val="00E02EAA"/>
    <w:rsid w:val="00E039DB"/>
    <w:rsid w:val="00E05EFB"/>
    <w:rsid w:val="00E06B96"/>
    <w:rsid w:val="00E07AFB"/>
    <w:rsid w:val="00E103C0"/>
    <w:rsid w:val="00E10FEB"/>
    <w:rsid w:val="00E114E9"/>
    <w:rsid w:val="00E12475"/>
    <w:rsid w:val="00E12674"/>
    <w:rsid w:val="00E1313C"/>
    <w:rsid w:val="00E13431"/>
    <w:rsid w:val="00E13C55"/>
    <w:rsid w:val="00E14604"/>
    <w:rsid w:val="00E16038"/>
    <w:rsid w:val="00E165FD"/>
    <w:rsid w:val="00E1789C"/>
    <w:rsid w:val="00E17E02"/>
    <w:rsid w:val="00E204F9"/>
    <w:rsid w:val="00E20996"/>
    <w:rsid w:val="00E22E1E"/>
    <w:rsid w:val="00E23751"/>
    <w:rsid w:val="00E23AA9"/>
    <w:rsid w:val="00E25791"/>
    <w:rsid w:val="00E25AB7"/>
    <w:rsid w:val="00E2616F"/>
    <w:rsid w:val="00E30251"/>
    <w:rsid w:val="00E3053D"/>
    <w:rsid w:val="00E327D7"/>
    <w:rsid w:val="00E329D2"/>
    <w:rsid w:val="00E32AC0"/>
    <w:rsid w:val="00E3309A"/>
    <w:rsid w:val="00E330FA"/>
    <w:rsid w:val="00E33447"/>
    <w:rsid w:val="00E351C2"/>
    <w:rsid w:val="00E35D32"/>
    <w:rsid w:val="00E4059A"/>
    <w:rsid w:val="00E4077A"/>
    <w:rsid w:val="00E41555"/>
    <w:rsid w:val="00E4275B"/>
    <w:rsid w:val="00E42E4F"/>
    <w:rsid w:val="00E43249"/>
    <w:rsid w:val="00E43810"/>
    <w:rsid w:val="00E43860"/>
    <w:rsid w:val="00E44889"/>
    <w:rsid w:val="00E45CBD"/>
    <w:rsid w:val="00E468A2"/>
    <w:rsid w:val="00E4695E"/>
    <w:rsid w:val="00E46CB7"/>
    <w:rsid w:val="00E4779F"/>
    <w:rsid w:val="00E500BB"/>
    <w:rsid w:val="00E509B9"/>
    <w:rsid w:val="00E51DBB"/>
    <w:rsid w:val="00E53637"/>
    <w:rsid w:val="00E555E0"/>
    <w:rsid w:val="00E61391"/>
    <w:rsid w:val="00E61D24"/>
    <w:rsid w:val="00E63258"/>
    <w:rsid w:val="00E63B1C"/>
    <w:rsid w:val="00E641E4"/>
    <w:rsid w:val="00E644B1"/>
    <w:rsid w:val="00E70528"/>
    <w:rsid w:val="00E71276"/>
    <w:rsid w:val="00E716B3"/>
    <w:rsid w:val="00E7227D"/>
    <w:rsid w:val="00E7257E"/>
    <w:rsid w:val="00E72E63"/>
    <w:rsid w:val="00E73E44"/>
    <w:rsid w:val="00E744E4"/>
    <w:rsid w:val="00E74B26"/>
    <w:rsid w:val="00E753AE"/>
    <w:rsid w:val="00E76F41"/>
    <w:rsid w:val="00E81982"/>
    <w:rsid w:val="00E81ABB"/>
    <w:rsid w:val="00E82761"/>
    <w:rsid w:val="00E84E27"/>
    <w:rsid w:val="00E858E7"/>
    <w:rsid w:val="00E85B9E"/>
    <w:rsid w:val="00E85E74"/>
    <w:rsid w:val="00E8629F"/>
    <w:rsid w:val="00E862A3"/>
    <w:rsid w:val="00E86419"/>
    <w:rsid w:val="00E86937"/>
    <w:rsid w:val="00E86DD5"/>
    <w:rsid w:val="00E87B6D"/>
    <w:rsid w:val="00E87EEC"/>
    <w:rsid w:val="00E90BB3"/>
    <w:rsid w:val="00E91552"/>
    <w:rsid w:val="00E9167D"/>
    <w:rsid w:val="00E91797"/>
    <w:rsid w:val="00E91B74"/>
    <w:rsid w:val="00E91C02"/>
    <w:rsid w:val="00E9393E"/>
    <w:rsid w:val="00E93CC4"/>
    <w:rsid w:val="00E949BB"/>
    <w:rsid w:val="00E94C87"/>
    <w:rsid w:val="00E9515F"/>
    <w:rsid w:val="00E962F4"/>
    <w:rsid w:val="00E96DD9"/>
    <w:rsid w:val="00E9732E"/>
    <w:rsid w:val="00E9792A"/>
    <w:rsid w:val="00E97A8C"/>
    <w:rsid w:val="00EA01EC"/>
    <w:rsid w:val="00EA046B"/>
    <w:rsid w:val="00EA04F4"/>
    <w:rsid w:val="00EA1A0A"/>
    <w:rsid w:val="00EA1E00"/>
    <w:rsid w:val="00EA2366"/>
    <w:rsid w:val="00EA2A05"/>
    <w:rsid w:val="00EA3FBA"/>
    <w:rsid w:val="00EA7CB4"/>
    <w:rsid w:val="00EB0488"/>
    <w:rsid w:val="00EB0BF9"/>
    <w:rsid w:val="00EB3997"/>
    <w:rsid w:val="00EB470A"/>
    <w:rsid w:val="00EB59E9"/>
    <w:rsid w:val="00EB628B"/>
    <w:rsid w:val="00EB63EC"/>
    <w:rsid w:val="00EB6519"/>
    <w:rsid w:val="00EC0027"/>
    <w:rsid w:val="00EC08DF"/>
    <w:rsid w:val="00EC18CA"/>
    <w:rsid w:val="00EC1D4E"/>
    <w:rsid w:val="00EC2766"/>
    <w:rsid w:val="00EC28A6"/>
    <w:rsid w:val="00EC2A50"/>
    <w:rsid w:val="00EC2FB1"/>
    <w:rsid w:val="00EC3E4D"/>
    <w:rsid w:val="00EC46D1"/>
    <w:rsid w:val="00EC5402"/>
    <w:rsid w:val="00EC5683"/>
    <w:rsid w:val="00EC5E36"/>
    <w:rsid w:val="00EC659F"/>
    <w:rsid w:val="00EC6B59"/>
    <w:rsid w:val="00ED0B07"/>
    <w:rsid w:val="00ED134D"/>
    <w:rsid w:val="00ED1EA6"/>
    <w:rsid w:val="00ED22F5"/>
    <w:rsid w:val="00ED274F"/>
    <w:rsid w:val="00ED5165"/>
    <w:rsid w:val="00ED5FA0"/>
    <w:rsid w:val="00ED7E2C"/>
    <w:rsid w:val="00EE080D"/>
    <w:rsid w:val="00EE0E57"/>
    <w:rsid w:val="00EE24AB"/>
    <w:rsid w:val="00EE3553"/>
    <w:rsid w:val="00EE409F"/>
    <w:rsid w:val="00EE4222"/>
    <w:rsid w:val="00EE42B7"/>
    <w:rsid w:val="00EE51E3"/>
    <w:rsid w:val="00EE520A"/>
    <w:rsid w:val="00EE6328"/>
    <w:rsid w:val="00EE64C2"/>
    <w:rsid w:val="00EE7096"/>
    <w:rsid w:val="00EE7199"/>
    <w:rsid w:val="00EE7B2F"/>
    <w:rsid w:val="00EF0064"/>
    <w:rsid w:val="00EF119F"/>
    <w:rsid w:val="00EF3613"/>
    <w:rsid w:val="00EF4151"/>
    <w:rsid w:val="00EF5118"/>
    <w:rsid w:val="00EF51A0"/>
    <w:rsid w:val="00EF569B"/>
    <w:rsid w:val="00EF58C5"/>
    <w:rsid w:val="00EF6FCD"/>
    <w:rsid w:val="00EF77CB"/>
    <w:rsid w:val="00EF780A"/>
    <w:rsid w:val="00F00293"/>
    <w:rsid w:val="00F00986"/>
    <w:rsid w:val="00F010AA"/>
    <w:rsid w:val="00F02509"/>
    <w:rsid w:val="00F02A57"/>
    <w:rsid w:val="00F02E5E"/>
    <w:rsid w:val="00F03542"/>
    <w:rsid w:val="00F03EE4"/>
    <w:rsid w:val="00F0404F"/>
    <w:rsid w:val="00F0446F"/>
    <w:rsid w:val="00F04D3D"/>
    <w:rsid w:val="00F04D66"/>
    <w:rsid w:val="00F057E2"/>
    <w:rsid w:val="00F05A1B"/>
    <w:rsid w:val="00F06935"/>
    <w:rsid w:val="00F06CC9"/>
    <w:rsid w:val="00F076C3"/>
    <w:rsid w:val="00F11559"/>
    <w:rsid w:val="00F12EA8"/>
    <w:rsid w:val="00F14C9D"/>
    <w:rsid w:val="00F15174"/>
    <w:rsid w:val="00F154C2"/>
    <w:rsid w:val="00F20157"/>
    <w:rsid w:val="00F20D17"/>
    <w:rsid w:val="00F20FC1"/>
    <w:rsid w:val="00F22BCF"/>
    <w:rsid w:val="00F25994"/>
    <w:rsid w:val="00F25A21"/>
    <w:rsid w:val="00F2605D"/>
    <w:rsid w:val="00F26ED1"/>
    <w:rsid w:val="00F2700F"/>
    <w:rsid w:val="00F2748B"/>
    <w:rsid w:val="00F27E27"/>
    <w:rsid w:val="00F30A78"/>
    <w:rsid w:val="00F31306"/>
    <w:rsid w:val="00F31516"/>
    <w:rsid w:val="00F31E47"/>
    <w:rsid w:val="00F31F66"/>
    <w:rsid w:val="00F32573"/>
    <w:rsid w:val="00F32746"/>
    <w:rsid w:val="00F33AA2"/>
    <w:rsid w:val="00F33B61"/>
    <w:rsid w:val="00F340A3"/>
    <w:rsid w:val="00F34F03"/>
    <w:rsid w:val="00F359DB"/>
    <w:rsid w:val="00F35FE4"/>
    <w:rsid w:val="00F36BB3"/>
    <w:rsid w:val="00F378A5"/>
    <w:rsid w:val="00F429E8"/>
    <w:rsid w:val="00F42B30"/>
    <w:rsid w:val="00F42FDA"/>
    <w:rsid w:val="00F43A45"/>
    <w:rsid w:val="00F43C3F"/>
    <w:rsid w:val="00F449EB"/>
    <w:rsid w:val="00F44AD9"/>
    <w:rsid w:val="00F4570B"/>
    <w:rsid w:val="00F5018B"/>
    <w:rsid w:val="00F51587"/>
    <w:rsid w:val="00F5202F"/>
    <w:rsid w:val="00F53454"/>
    <w:rsid w:val="00F53E32"/>
    <w:rsid w:val="00F54FF7"/>
    <w:rsid w:val="00F60DA7"/>
    <w:rsid w:val="00F6133A"/>
    <w:rsid w:val="00F614C0"/>
    <w:rsid w:val="00F62CC6"/>
    <w:rsid w:val="00F6558B"/>
    <w:rsid w:val="00F6564F"/>
    <w:rsid w:val="00F679E8"/>
    <w:rsid w:val="00F71753"/>
    <w:rsid w:val="00F73745"/>
    <w:rsid w:val="00F7509A"/>
    <w:rsid w:val="00F76814"/>
    <w:rsid w:val="00F77289"/>
    <w:rsid w:val="00F82CCD"/>
    <w:rsid w:val="00F842B1"/>
    <w:rsid w:val="00F874CD"/>
    <w:rsid w:val="00F8763B"/>
    <w:rsid w:val="00F87B30"/>
    <w:rsid w:val="00F91999"/>
    <w:rsid w:val="00F91B60"/>
    <w:rsid w:val="00F91CEC"/>
    <w:rsid w:val="00F938C6"/>
    <w:rsid w:val="00F93CBE"/>
    <w:rsid w:val="00F93E42"/>
    <w:rsid w:val="00F94CC6"/>
    <w:rsid w:val="00F963C1"/>
    <w:rsid w:val="00FA09BC"/>
    <w:rsid w:val="00FA0F96"/>
    <w:rsid w:val="00FA1CB0"/>
    <w:rsid w:val="00FA2167"/>
    <w:rsid w:val="00FA25C2"/>
    <w:rsid w:val="00FA2BE0"/>
    <w:rsid w:val="00FA3D8C"/>
    <w:rsid w:val="00FA3EC8"/>
    <w:rsid w:val="00FA4E8E"/>
    <w:rsid w:val="00FA54B4"/>
    <w:rsid w:val="00FA56E3"/>
    <w:rsid w:val="00FA5F6A"/>
    <w:rsid w:val="00FB1F5F"/>
    <w:rsid w:val="00FB3546"/>
    <w:rsid w:val="00FB388A"/>
    <w:rsid w:val="00FB3DF8"/>
    <w:rsid w:val="00FB54FB"/>
    <w:rsid w:val="00FB5A09"/>
    <w:rsid w:val="00FB5A44"/>
    <w:rsid w:val="00FB647D"/>
    <w:rsid w:val="00FC0500"/>
    <w:rsid w:val="00FC093F"/>
    <w:rsid w:val="00FC1060"/>
    <w:rsid w:val="00FC26E3"/>
    <w:rsid w:val="00FC2BC8"/>
    <w:rsid w:val="00FC3118"/>
    <w:rsid w:val="00FC3EDC"/>
    <w:rsid w:val="00FC75A3"/>
    <w:rsid w:val="00FC7ED3"/>
    <w:rsid w:val="00FD1755"/>
    <w:rsid w:val="00FD1C23"/>
    <w:rsid w:val="00FD1DA0"/>
    <w:rsid w:val="00FD2D1E"/>
    <w:rsid w:val="00FD418D"/>
    <w:rsid w:val="00FD56E0"/>
    <w:rsid w:val="00FD5CD8"/>
    <w:rsid w:val="00FD781F"/>
    <w:rsid w:val="00FD7862"/>
    <w:rsid w:val="00FE01CF"/>
    <w:rsid w:val="00FE0A88"/>
    <w:rsid w:val="00FE1C01"/>
    <w:rsid w:val="00FE3E22"/>
    <w:rsid w:val="00FE48FF"/>
    <w:rsid w:val="00FE4B2E"/>
    <w:rsid w:val="00FE5948"/>
    <w:rsid w:val="00FE5CA5"/>
    <w:rsid w:val="00FE5DCF"/>
    <w:rsid w:val="00FE7556"/>
    <w:rsid w:val="00FF01C1"/>
    <w:rsid w:val="00FF0B06"/>
    <w:rsid w:val="00FF145C"/>
    <w:rsid w:val="00FF2E8E"/>
    <w:rsid w:val="00FF4321"/>
    <w:rsid w:val="00FF5805"/>
    <w:rsid w:val="00FF5EFF"/>
    <w:rsid w:val="00FF6171"/>
    <w:rsid w:val="00FF61D0"/>
    <w:rsid w:val="00FF6313"/>
    <w:rsid w:val="00FF727F"/>
    <w:rsid w:val="00FF73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Table of contents numbered,footer text"/>
    <w:basedOn w:val="Normal"/>
    <w:link w:val="ListParagraphChar"/>
    <w:uiPriority w:val="34"/>
    <w:qFormat/>
    <w:rsid w:val="00E42E4F"/>
    <w:pPr>
      <w:ind w:left="720"/>
      <w:contextualSpacing/>
    </w:pPr>
  </w:style>
  <w:style w:type="paragraph" w:styleId="Header">
    <w:name w:val="header"/>
    <w:basedOn w:val="Normal"/>
    <w:link w:val="HeaderChar"/>
    <w:uiPriority w:val="99"/>
    <w:unhideWhenUsed/>
    <w:rsid w:val="008B7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DA8"/>
  </w:style>
  <w:style w:type="paragraph" w:styleId="Footer">
    <w:name w:val="footer"/>
    <w:basedOn w:val="Normal"/>
    <w:link w:val="FooterChar"/>
    <w:uiPriority w:val="99"/>
    <w:unhideWhenUsed/>
    <w:rsid w:val="008B7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DA8"/>
  </w:style>
  <w:style w:type="table" w:styleId="TableGrid">
    <w:name w:val="Table Grid"/>
    <w:basedOn w:val="TableNormal"/>
    <w:uiPriority w:val="39"/>
    <w:rsid w:val="00DA6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85066"/>
    <w:pPr>
      <w:spacing w:after="0" w:line="240" w:lineRule="auto"/>
    </w:pPr>
    <w:rPr>
      <w:sz w:val="20"/>
      <w:szCs w:val="20"/>
    </w:rPr>
  </w:style>
  <w:style w:type="character" w:customStyle="1" w:styleId="FootnoteTextChar">
    <w:name w:val="Footnote Text Char"/>
    <w:basedOn w:val="DefaultParagraphFont"/>
    <w:link w:val="FootnoteText"/>
    <w:uiPriority w:val="99"/>
    <w:rsid w:val="00685066"/>
    <w:rPr>
      <w:sz w:val="20"/>
      <w:szCs w:val="20"/>
    </w:rPr>
  </w:style>
  <w:style w:type="character" w:styleId="FootnoteReference">
    <w:name w:val="footnote reference"/>
    <w:basedOn w:val="DefaultParagraphFont"/>
    <w:uiPriority w:val="99"/>
    <w:unhideWhenUsed/>
    <w:rsid w:val="00685066"/>
    <w:rPr>
      <w:vertAlign w:val="superscript"/>
    </w:rPr>
  </w:style>
  <w:style w:type="paragraph" w:customStyle="1" w:styleId="char">
    <w:name w:val="char"/>
    <w:basedOn w:val="Normal"/>
    <w:rsid w:val="00B014ED"/>
    <w:pPr>
      <w:widowControl w:val="0"/>
      <w:suppressAutoHyphens/>
      <w:autoSpaceDE w:val="0"/>
      <w:autoSpaceDN w:val="0"/>
      <w:spacing w:after="0" w:line="240" w:lineRule="auto"/>
      <w:jc w:val="left"/>
      <w:textAlignment w:val="baseline"/>
    </w:pPr>
    <w:rPr>
      <w:rFonts w:ascii="Arial" w:eastAsia="Times New Roman" w:hAnsi="Arial" w:cs="Arial"/>
      <w:sz w:val="24"/>
      <w:szCs w:val="24"/>
      <w:lang w:val="en-GB" w:eastAsia="en-GB"/>
    </w:rPr>
  </w:style>
  <w:style w:type="paragraph" w:styleId="BalloonText">
    <w:name w:val="Balloon Text"/>
    <w:basedOn w:val="Normal"/>
    <w:link w:val="BalloonTextChar"/>
    <w:uiPriority w:val="99"/>
    <w:semiHidden/>
    <w:unhideWhenUsed/>
    <w:rsid w:val="00495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527"/>
    <w:rPr>
      <w:rFonts w:ascii="Segoe UI" w:hAnsi="Segoe UI" w:cs="Segoe UI"/>
      <w:sz w:val="18"/>
      <w:szCs w:val="18"/>
    </w:rPr>
  </w:style>
  <w:style w:type="character" w:customStyle="1" w:styleId="ListParagraphChar">
    <w:name w:val="List Paragraph Char"/>
    <w:aliases w:val="List Paragraph 1 Char,Bullets Char,Table of contents numbered Char,footer text Char"/>
    <w:link w:val="ListParagraph"/>
    <w:uiPriority w:val="34"/>
    <w:locked/>
    <w:rsid w:val="00603E7D"/>
  </w:style>
  <w:style w:type="paragraph" w:customStyle="1" w:styleId="AGHeading1">
    <w:name w:val="AG Heading 1"/>
    <w:basedOn w:val="Normal"/>
    <w:next w:val="Normal"/>
    <w:rsid w:val="0044675E"/>
    <w:pPr>
      <w:spacing w:before="600" w:after="400" w:line="240" w:lineRule="auto"/>
      <w:jc w:val="left"/>
    </w:pPr>
    <w:rPr>
      <w:rFonts w:ascii="Arial Black" w:eastAsia="Times New Roman" w:hAnsi="Arial Black" w:cs="Times New Roman"/>
      <w:color w:val="000000"/>
      <w:sz w:val="32"/>
      <w:szCs w:val="24"/>
      <w:lang w:eastAsia="en-GB"/>
    </w:rPr>
  </w:style>
  <w:style w:type="paragraph" w:customStyle="1" w:styleId="bulletlist">
    <w:name w:val="bullet list"/>
    <w:basedOn w:val="Normal"/>
    <w:next w:val="Normal"/>
    <w:link w:val="bulletlistChar"/>
    <w:qFormat/>
    <w:rsid w:val="0044675E"/>
    <w:pPr>
      <w:numPr>
        <w:numId w:val="1"/>
      </w:numPr>
      <w:spacing w:before="120" w:after="120" w:line="240" w:lineRule="auto"/>
      <w:jc w:val="left"/>
    </w:pPr>
    <w:rPr>
      <w:rFonts w:ascii="Arial" w:hAnsi="Arial"/>
      <w:color w:val="7F7F7F" w:themeColor="text1" w:themeTint="80"/>
      <w:sz w:val="20"/>
      <w:lang w:val="en-US"/>
    </w:rPr>
  </w:style>
  <w:style w:type="character" w:customStyle="1" w:styleId="bulletlistChar">
    <w:name w:val="bullet list Char"/>
    <w:basedOn w:val="DefaultParagraphFont"/>
    <w:link w:val="bulletlist"/>
    <w:rsid w:val="0044675E"/>
    <w:rPr>
      <w:rFonts w:ascii="Arial" w:hAnsi="Arial"/>
      <w:color w:val="7F7F7F" w:themeColor="text1" w:themeTint="80"/>
      <w:sz w:val="20"/>
      <w:lang w:val="en-US"/>
    </w:rPr>
  </w:style>
  <w:style w:type="paragraph" w:customStyle="1" w:styleId="BodySingle">
    <w:name w:val="Body Single"/>
    <w:rsid w:val="0044675E"/>
    <w:pPr>
      <w:spacing w:after="0" w:line="240" w:lineRule="auto"/>
      <w:ind w:left="720"/>
    </w:pPr>
    <w:rPr>
      <w:rFonts w:ascii="Arial" w:eastAsia="Times New Roman" w:hAnsi="Arial" w:cs="Times New Roman"/>
      <w:i/>
      <w:noProof/>
      <w:sz w:val="20"/>
      <w:szCs w:val="20"/>
      <w:lang w:val="en-US"/>
    </w:rPr>
  </w:style>
  <w:style w:type="paragraph" w:customStyle="1" w:styleId="Default">
    <w:name w:val="Default"/>
    <w:rsid w:val="00781783"/>
    <w:pPr>
      <w:autoSpaceDE w:val="0"/>
      <w:autoSpaceDN w:val="0"/>
      <w:adjustRightInd w:val="0"/>
      <w:spacing w:after="0" w:line="240" w:lineRule="auto"/>
      <w:jc w:val="left"/>
    </w:pPr>
    <w:rPr>
      <w:rFonts w:ascii="Open Sans Light" w:hAnsi="Open Sans Light" w:cs="Open Sans Light"/>
      <w:color w:val="000000"/>
      <w:sz w:val="24"/>
      <w:szCs w:val="24"/>
    </w:rPr>
  </w:style>
  <w:style w:type="paragraph" w:customStyle="1" w:styleId="Pa11">
    <w:name w:val="Pa11"/>
    <w:basedOn w:val="Normal"/>
    <w:next w:val="Normal"/>
    <w:uiPriority w:val="99"/>
    <w:rsid w:val="00E0007E"/>
    <w:pPr>
      <w:autoSpaceDE w:val="0"/>
      <w:autoSpaceDN w:val="0"/>
      <w:adjustRightInd w:val="0"/>
      <w:spacing w:after="0" w:line="181" w:lineRule="atLeast"/>
      <w:jc w:val="left"/>
    </w:pPr>
    <w:rPr>
      <w:rFonts w:ascii="Open Sans Light" w:hAnsi="Open Sans Light"/>
      <w:sz w:val="24"/>
      <w:szCs w:val="24"/>
    </w:rPr>
  </w:style>
  <w:style w:type="paragraph" w:styleId="NormalWeb">
    <w:name w:val="Normal (Web)"/>
    <w:basedOn w:val="Normal"/>
    <w:uiPriority w:val="99"/>
    <w:unhideWhenUsed/>
    <w:rsid w:val="00E0007E"/>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Pa42">
    <w:name w:val="Pa42"/>
    <w:basedOn w:val="Normal"/>
    <w:next w:val="Normal"/>
    <w:uiPriority w:val="99"/>
    <w:rsid w:val="0088110C"/>
    <w:pPr>
      <w:autoSpaceDE w:val="0"/>
      <w:autoSpaceDN w:val="0"/>
      <w:adjustRightInd w:val="0"/>
      <w:spacing w:after="0" w:line="181" w:lineRule="atLeast"/>
      <w:jc w:val="left"/>
    </w:pPr>
    <w:rPr>
      <w:rFonts w:ascii="Open Sans Light" w:hAnsi="Open Sans Light"/>
      <w:sz w:val="24"/>
      <w:szCs w:val="24"/>
    </w:rPr>
  </w:style>
  <w:style w:type="paragraph" w:customStyle="1" w:styleId="Pa35">
    <w:name w:val="Pa35"/>
    <w:basedOn w:val="Default"/>
    <w:next w:val="Default"/>
    <w:uiPriority w:val="99"/>
    <w:rsid w:val="009B568A"/>
    <w:pPr>
      <w:spacing w:line="181" w:lineRule="atLeast"/>
    </w:pPr>
    <w:rPr>
      <w:rFonts w:cstheme="minorBidi"/>
      <w:color w:val="auto"/>
    </w:rPr>
  </w:style>
  <w:style w:type="character" w:styleId="CommentReference">
    <w:name w:val="annotation reference"/>
    <w:basedOn w:val="DefaultParagraphFont"/>
    <w:uiPriority w:val="99"/>
    <w:semiHidden/>
    <w:unhideWhenUsed/>
    <w:rsid w:val="00767875"/>
    <w:rPr>
      <w:sz w:val="16"/>
      <w:szCs w:val="16"/>
    </w:rPr>
  </w:style>
  <w:style w:type="paragraph" w:styleId="CommentText">
    <w:name w:val="annotation text"/>
    <w:basedOn w:val="Normal"/>
    <w:link w:val="CommentTextChar"/>
    <w:uiPriority w:val="99"/>
    <w:semiHidden/>
    <w:unhideWhenUsed/>
    <w:rsid w:val="00767875"/>
    <w:pPr>
      <w:spacing w:line="240" w:lineRule="auto"/>
    </w:pPr>
    <w:rPr>
      <w:sz w:val="20"/>
      <w:szCs w:val="20"/>
    </w:rPr>
  </w:style>
  <w:style w:type="character" w:customStyle="1" w:styleId="CommentTextChar">
    <w:name w:val="Comment Text Char"/>
    <w:basedOn w:val="DefaultParagraphFont"/>
    <w:link w:val="CommentText"/>
    <w:uiPriority w:val="99"/>
    <w:semiHidden/>
    <w:rsid w:val="00767875"/>
    <w:rPr>
      <w:sz w:val="20"/>
      <w:szCs w:val="20"/>
    </w:rPr>
  </w:style>
  <w:style w:type="paragraph" w:styleId="CommentSubject">
    <w:name w:val="annotation subject"/>
    <w:basedOn w:val="CommentText"/>
    <w:next w:val="CommentText"/>
    <w:link w:val="CommentSubjectChar"/>
    <w:uiPriority w:val="99"/>
    <w:semiHidden/>
    <w:unhideWhenUsed/>
    <w:rsid w:val="00767875"/>
    <w:rPr>
      <w:b/>
      <w:bCs/>
    </w:rPr>
  </w:style>
  <w:style w:type="character" w:customStyle="1" w:styleId="CommentSubjectChar">
    <w:name w:val="Comment Subject Char"/>
    <w:basedOn w:val="CommentTextChar"/>
    <w:link w:val="CommentSubject"/>
    <w:uiPriority w:val="99"/>
    <w:semiHidden/>
    <w:rsid w:val="00767875"/>
    <w:rPr>
      <w:b/>
      <w:bCs/>
      <w:sz w:val="20"/>
      <w:szCs w:val="20"/>
    </w:rPr>
  </w:style>
  <w:style w:type="character" w:styleId="Emphasis">
    <w:name w:val="Emphasis"/>
    <w:uiPriority w:val="20"/>
    <w:qFormat/>
    <w:rsid w:val="004C11BD"/>
    <w:rPr>
      <w:i/>
      <w:iCs/>
    </w:rPr>
  </w:style>
  <w:style w:type="paragraph" w:styleId="BodyText">
    <w:name w:val="Body Text"/>
    <w:basedOn w:val="Normal"/>
    <w:link w:val="BodyTextChar"/>
    <w:rsid w:val="00735605"/>
    <w:pPr>
      <w:spacing w:after="120" w:line="240" w:lineRule="auto"/>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3560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Table of contents numbered,footer text"/>
    <w:basedOn w:val="Normal"/>
    <w:link w:val="ListParagraphChar"/>
    <w:uiPriority w:val="34"/>
    <w:qFormat/>
    <w:rsid w:val="00E42E4F"/>
    <w:pPr>
      <w:ind w:left="720"/>
      <w:contextualSpacing/>
    </w:pPr>
  </w:style>
  <w:style w:type="paragraph" w:styleId="Header">
    <w:name w:val="header"/>
    <w:basedOn w:val="Normal"/>
    <w:link w:val="HeaderChar"/>
    <w:uiPriority w:val="99"/>
    <w:unhideWhenUsed/>
    <w:rsid w:val="008B7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DA8"/>
  </w:style>
  <w:style w:type="paragraph" w:styleId="Footer">
    <w:name w:val="footer"/>
    <w:basedOn w:val="Normal"/>
    <w:link w:val="FooterChar"/>
    <w:uiPriority w:val="99"/>
    <w:unhideWhenUsed/>
    <w:rsid w:val="008B7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DA8"/>
  </w:style>
  <w:style w:type="table" w:styleId="TableGrid">
    <w:name w:val="Table Grid"/>
    <w:basedOn w:val="TableNormal"/>
    <w:uiPriority w:val="39"/>
    <w:rsid w:val="00DA6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85066"/>
    <w:pPr>
      <w:spacing w:after="0" w:line="240" w:lineRule="auto"/>
    </w:pPr>
    <w:rPr>
      <w:sz w:val="20"/>
      <w:szCs w:val="20"/>
    </w:rPr>
  </w:style>
  <w:style w:type="character" w:customStyle="1" w:styleId="FootnoteTextChar">
    <w:name w:val="Footnote Text Char"/>
    <w:basedOn w:val="DefaultParagraphFont"/>
    <w:link w:val="FootnoteText"/>
    <w:uiPriority w:val="99"/>
    <w:rsid w:val="00685066"/>
    <w:rPr>
      <w:sz w:val="20"/>
      <w:szCs w:val="20"/>
    </w:rPr>
  </w:style>
  <w:style w:type="character" w:styleId="FootnoteReference">
    <w:name w:val="footnote reference"/>
    <w:basedOn w:val="DefaultParagraphFont"/>
    <w:uiPriority w:val="99"/>
    <w:unhideWhenUsed/>
    <w:rsid w:val="00685066"/>
    <w:rPr>
      <w:vertAlign w:val="superscript"/>
    </w:rPr>
  </w:style>
  <w:style w:type="paragraph" w:customStyle="1" w:styleId="char">
    <w:name w:val="char"/>
    <w:basedOn w:val="Normal"/>
    <w:rsid w:val="00B014ED"/>
    <w:pPr>
      <w:widowControl w:val="0"/>
      <w:suppressAutoHyphens/>
      <w:autoSpaceDE w:val="0"/>
      <w:autoSpaceDN w:val="0"/>
      <w:spacing w:after="0" w:line="240" w:lineRule="auto"/>
      <w:jc w:val="left"/>
      <w:textAlignment w:val="baseline"/>
    </w:pPr>
    <w:rPr>
      <w:rFonts w:ascii="Arial" w:eastAsia="Times New Roman" w:hAnsi="Arial" w:cs="Arial"/>
      <w:sz w:val="24"/>
      <w:szCs w:val="24"/>
      <w:lang w:val="en-GB" w:eastAsia="en-GB"/>
    </w:rPr>
  </w:style>
  <w:style w:type="paragraph" w:styleId="BalloonText">
    <w:name w:val="Balloon Text"/>
    <w:basedOn w:val="Normal"/>
    <w:link w:val="BalloonTextChar"/>
    <w:uiPriority w:val="99"/>
    <w:semiHidden/>
    <w:unhideWhenUsed/>
    <w:rsid w:val="00495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527"/>
    <w:rPr>
      <w:rFonts w:ascii="Segoe UI" w:hAnsi="Segoe UI" w:cs="Segoe UI"/>
      <w:sz w:val="18"/>
      <w:szCs w:val="18"/>
    </w:rPr>
  </w:style>
  <w:style w:type="character" w:customStyle="1" w:styleId="ListParagraphChar">
    <w:name w:val="List Paragraph Char"/>
    <w:aliases w:val="List Paragraph 1 Char,Bullets Char,Table of contents numbered Char,footer text Char"/>
    <w:link w:val="ListParagraph"/>
    <w:uiPriority w:val="34"/>
    <w:locked/>
    <w:rsid w:val="00603E7D"/>
  </w:style>
  <w:style w:type="paragraph" w:customStyle="1" w:styleId="AGHeading1">
    <w:name w:val="AG Heading 1"/>
    <w:basedOn w:val="Normal"/>
    <w:next w:val="Normal"/>
    <w:rsid w:val="0044675E"/>
    <w:pPr>
      <w:spacing w:before="600" w:after="400" w:line="240" w:lineRule="auto"/>
      <w:jc w:val="left"/>
    </w:pPr>
    <w:rPr>
      <w:rFonts w:ascii="Arial Black" w:eastAsia="Times New Roman" w:hAnsi="Arial Black" w:cs="Times New Roman"/>
      <w:color w:val="000000"/>
      <w:sz w:val="32"/>
      <w:szCs w:val="24"/>
      <w:lang w:eastAsia="en-GB"/>
    </w:rPr>
  </w:style>
  <w:style w:type="paragraph" w:customStyle="1" w:styleId="bulletlist">
    <w:name w:val="bullet list"/>
    <w:basedOn w:val="Normal"/>
    <w:next w:val="Normal"/>
    <w:link w:val="bulletlistChar"/>
    <w:qFormat/>
    <w:rsid w:val="0044675E"/>
    <w:pPr>
      <w:numPr>
        <w:numId w:val="1"/>
      </w:numPr>
      <w:spacing w:before="120" w:after="120" w:line="240" w:lineRule="auto"/>
      <w:jc w:val="left"/>
    </w:pPr>
    <w:rPr>
      <w:rFonts w:ascii="Arial" w:hAnsi="Arial"/>
      <w:color w:val="7F7F7F" w:themeColor="text1" w:themeTint="80"/>
      <w:sz w:val="20"/>
      <w:lang w:val="en-US"/>
    </w:rPr>
  </w:style>
  <w:style w:type="character" w:customStyle="1" w:styleId="bulletlistChar">
    <w:name w:val="bullet list Char"/>
    <w:basedOn w:val="DefaultParagraphFont"/>
    <w:link w:val="bulletlist"/>
    <w:rsid w:val="0044675E"/>
    <w:rPr>
      <w:rFonts w:ascii="Arial" w:hAnsi="Arial"/>
      <w:color w:val="7F7F7F" w:themeColor="text1" w:themeTint="80"/>
      <w:sz w:val="20"/>
      <w:lang w:val="en-US"/>
    </w:rPr>
  </w:style>
  <w:style w:type="paragraph" w:customStyle="1" w:styleId="BodySingle">
    <w:name w:val="Body Single"/>
    <w:rsid w:val="0044675E"/>
    <w:pPr>
      <w:spacing w:after="0" w:line="240" w:lineRule="auto"/>
      <w:ind w:left="720"/>
    </w:pPr>
    <w:rPr>
      <w:rFonts w:ascii="Arial" w:eastAsia="Times New Roman" w:hAnsi="Arial" w:cs="Times New Roman"/>
      <w:i/>
      <w:noProof/>
      <w:sz w:val="20"/>
      <w:szCs w:val="20"/>
      <w:lang w:val="en-US"/>
    </w:rPr>
  </w:style>
  <w:style w:type="paragraph" w:customStyle="1" w:styleId="Default">
    <w:name w:val="Default"/>
    <w:rsid w:val="00781783"/>
    <w:pPr>
      <w:autoSpaceDE w:val="0"/>
      <w:autoSpaceDN w:val="0"/>
      <w:adjustRightInd w:val="0"/>
      <w:spacing w:after="0" w:line="240" w:lineRule="auto"/>
      <w:jc w:val="left"/>
    </w:pPr>
    <w:rPr>
      <w:rFonts w:ascii="Open Sans Light" w:hAnsi="Open Sans Light" w:cs="Open Sans Light"/>
      <w:color w:val="000000"/>
      <w:sz w:val="24"/>
      <w:szCs w:val="24"/>
    </w:rPr>
  </w:style>
  <w:style w:type="paragraph" w:customStyle="1" w:styleId="Pa11">
    <w:name w:val="Pa11"/>
    <w:basedOn w:val="Normal"/>
    <w:next w:val="Normal"/>
    <w:uiPriority w:val="99"/>
    <w:rsid w:val="00E0007E"/>
    <w:pPr>
      <w:autoSpaceDE w:val="0"/>
      <w:autoSpaceDN w:val="0"/>
      <w:adjustRightInd w:val="0"/>
      <w:spacing w:after="0" w:line="181" w:lineRule="atLeast"/>
      <w:jc w:val="left"/>
    </w:pPr>
    <w:rPr>
      <w:rFonts w:ascii="Open Sans Light" w:hAnsi="Open Sans Light"/>
      <w:sz w:val="24"/>
      <w:szCs w:val="24"/>
    </w:rPr>
  </w:style>
  <w:style w:type="paragraph" w:styleId="NormalWeb">
    <w:name w:val="Normal (Web)"/>
    <w:basedOn w:val="Normal"/>
    <w:uiPriority w:val="99"/>
    <w:unhideWhenUsed/>
    <w:rsid w:val="00E0007E"/>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Pa42">
    <w:name w:val="Pa42"/>
    <w:basedOn w:val="Normal"/>
    <w:next w:val="Normal"/>
    <w:uiPriority w:val="99"/>
    <w:rsid w:val="0088110C"/>
    <w:pPr>
      <w:autoSpaceDE w:val="0"/>
      <w:autoSpaceDN w:val="0"/>
      <w:adjustRightInd w:val="0"/>
      <w:spacing w:after="0" w:line="181" w:lineRule="atLeast"/>
      <w:jc w:val="left"/>
    </w:pPr>
    <w:rPr>
      <w:rFonts w:ascii="Open Sans Light" w:hAnsi="Open Sans Light"/>
      <w:sz w:val="24"/>
      <w:szCs w:val="24"/>
    </w:rPr>
  </w:style>
  <w:style w:type="paragraph" w:customStyle="1" w:styleId="Pa35">
    <w:name w:val="Pa35"/>
    <w:basedOn w:val="Default"/>
    <w:next w:val="Default"/>
    <w:uiPriority w:val="99"/>
    <w:rsid w:val="009B568A"/>
    <w:pPr>
      <w:spacing w:line="181" w:lineRule="atLeast"/>
    </w:pPr>
    <w:rPr>
      <w:rFonts w:cstheme="minorBidi"/>
      <w:color w:val="auto"/>
    </w:rPr>
  </w:style>
  <w:style w:type="character" w:styleId="CommentReference">
    <w:name w:val="annotation reference"/>
    <w:basedOn w:val="DefaultParagraphFont"/>
    <w:uiPriority w:val="99"/>
    <w:semiHidden/>
    <w:unhideWhenUsed/>
    <w:rsid w:val="00767875"/>
    <w:rPr>
      <w:sz w:val="16"/>
      <w:szCs w:val="16"/>
    </w:rPr>
  </w:style>
  <w:style w:type="paragraph" w:styleId="CommentText">
    <w:name w:val="annotation text"/>
    <w:basedOn w:val="Normal"/>
    <w:link w:val="CommentTextChar"/>
    <w:uiPriority w:val="99"/>
    <w:semiHidden/>
    <w:unhideWhenUsed/>
    <w:rsid w:val="00767875"/>
    <w:pPr>
      <w:spacing w:line="240" w:lineRule="auto"/>
    </w:pPr>
    <w:rPr>
      <w:sz w:val="20"/>
      <w:szCs w:val="20"/>
    </w:rPr>
  </w:style>
  <w:style w:type="character" w:customStyle="1" w:styleId="CommentTextChar">
    <w:name w:val="Comment Text Char"/>
    <w:basedOn w:val="DefaultParagraphFont"/>
    <w:link w:val="CommentText"/>
    <w:uiPriority w:val="99"/>
    <w:semiHidden/>
    <w:rsid w:val="00767875"/>
    <w:rPr>
      <w:sz w:val="20"/>
      <w:szCs w:val="20"/>
    </w:rPr>
  </w:style>
  <w:style w:type="paragraph" w:styleId="CommentSubject">
    <w:name w:val="annotation subject"/>
    <w:basedOn w:val="CommentText"/>
    <w:next w:val="CommentText"/>
    <w:link w:val="CommentSubjectChar"/>
    <w:uiPriority w:val="99"/>
    <w:semiHidden/>
    <w:unhideWhenUsed/>
    <w:rsid w:val="00767875"/>
    <w:rPr>
      <w:b/>
      <w:bCs/>
    </w:rPr>
  </w:style>
  <w:style w:type="character" w:customStyle="1" w:styleId="CommentSubjectChar">
    <w:name w:val="Comment Subject Char"/>
    <w:basedOn w:val="CommentTextChar"/>
    <w:link w:val="CommentSubject"/>
    <w:uiPriority w:val="99"/>
    <w:semiHidden/>
    <w:rsid w:val="00767875"/>
    <w:rPr>
      <w:b/>
      <w:bCs/>
      <w:sz w:val="20"/>
      <w:szCs w:val="20"/>
    </w:rPr>
  </w:style>
  <w:style w:type="character" w:styleId="Emphasis">
    <w:name w:val="Emphasis"/>
    <w:uiPriority w:val="20"/>
    <w:qFormat/>
    <w:rsid w:val="004C11BD"/>
    <w:rPr>
      <w:i/>
      <w:iCs/>
    </w:rPr>
  </w:style>
  <w:style w:type="paragraph" w:styleId="BodyText">
    <w:name w:val="Body Text"/>
    <w:basedOn w:val="Normal"/>
    <w:link w:val="BodyTextChar"/>
    <w:rsid w:val="00735605"/>
    <w:pPr>
      <w:spacing w:after="120" w:line="240" w:lineRule="auto"/>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3560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1226">
      <w:bodyDiv w:val="1"/>
      <w:marLeft w:val="0"/>
      <w:marRight w:val="0"/>
      <w:marTop w:val="0"/>
      <w:marBottom w:val="0"/>
      <w:divBdr>
        <w:top w:val="none" w:sz="0" w:space="0" w:color="auto"/>
        <w:left w:val="none" w:sz="0" w:space="0" w:color="auto"/>
        <w:bottom w:val="none" w:sz="0" w:space="0" w:color="auto"/>
        <w:right w:val="none" w:sz="0" w:space="0" w:color="auto"/>
      </w:divBdr>
    </w:div>
    <w:div w:id="318583320">
      <w:bodyDiv w:val="1"/>
      <w:marLeft w:val="0"/>
      <w:marRight w:val="0"/>
      <w:marTop w:val="0"/>
      <w:marBottom w:val="0"/>
      <w:divBdr>
        <w:top w:val="none" w:sz="0" w:space="0" w:color="auto"/>
        <w:left w:val="none" w:sz="0" w:space="0" w:color="auto"/>
        <w:bottom w:val="none" w:sz="0" w:space="0" w:color="auto"/>
        <w:right w:val="none" w:sz="0" w:space="0" w:color="auto"/>
      </w:divBdr>
    </w:div>
    <w:div w:id="742144263">
      <w:bodyDiv w:val="1"/>
      <w:marLeft w:val="0"/>
      <w:marRight w:val="0"/>
      <w:marTop w:val="0"/>
      <w:marBottom w:val="0"/>
      <w:divBdr>
        <w:top w:val="none" w:sz="0" w:space="0" w:color="auto"/>
        <w:left w:val="none" w:sz="0" w:space="0" w:color="auto"/>
        <w:bottom w:val="none" w:sz="0" w:space="0" w:color="auto"/>
        <w:right w:val="none" w:sz="0" w:space="0" w:color="auto"/>
      </w:divBdr>
      <w:divsChild>
        <w:div w:id="1999724121">
          <w:marLeft w:val="720"/>
          <w:marRight w:val="0"/>
          <w:marTop w:val="0"/>
          <w:marBottom w:val="0"/>
          <w:divBdr>
            <w:top w:val="none" w:sz="0" w:space="0" w:color="auto"/>
            <w:left w:val="none" w:sz="0" w:space="0" w:color="auto"/>
            <w:bottom w:val="none" w:sz="0" w:space="0" w:color="auto"/>
            <w:right w:val="none" w:sz="0" w:space="0" w:color="auto"/>
          </w:divBdr>
        </w:div>
      </w:divsChild>
    </w:div>
    <w:div w:id="1398016084">
      <w:bodyDiv w:val="1"/>
      <w:marLeft w:val="0"/>
      <w:marRight w:val="0"/>
      <w:marTop w:val="0"/>
      <w:marBottom w:val="0"/>
      <w:divBdr>
        <w:top w:val="none" w:sz="0" w:space="0" w:color="auto"/>
        <w:left w:val="none" w:sz="0" w:space="0" w:color="auto"/>
        <w:bottom w:val="none" w:sz="0" w:space="0" w:color="auto"/>
        <w:right w:val="none" w:sz="0" w:space="0" w:color="auto"/>
      </w:divBdr>
    </w:div>
    <w:div w:id="1453018527">
      <w:bodyDiv w:val="1"/>
      <w:marLeft w:val="0"/>
      <w:marRight w:val="0"/>
      <w:marTop w:val="0"/>
      <w:marBottom w:val="0"/>
      <w:divBdr>
        <w:top w:val="none" w:sz="0" w:space="0" w:color="auto"/>
        <w:left w:val="none" w:sz="0" w:space="0" w:color="auto"/>
        <w:bottom w:val="none" w:sz="0" w:space="0" w:color="auto"/>
        <w:right w:val="none" w:sz="0" w:space="0" w:color="auto"/>
      </w:divBdr>
    </w:div>
    <w:div w:id="1548713935">
      <w:bodyDiv w:val="1"/>
      <w:marLeft w:val="0"/>
      <w:marRight w:val="0"/>
      <w:marTop w:val="0"/>
      <w:marBottom w:val="0"/>
      <w:divBdr>
        <w:top w:val="none" w:sz="0" w:space="0" w:color="auto"/>
        <w:left w:val="none" w:sz="0" w:space="0" w:color="auto"/>
        <w:bottom w:val="none" w:sz="0" w:space="0" w:color="auto"/>
        <w:right w:val="none" w:sz="0" w:space="0" w:color="auto"/>
      </w:divBdr>
      <w:divsChild>
        <w:div w:id="1607272246">
          <w:marLeft w:val="0"/>
          <w:marRight w:val="0"/>
          <w:marTop w:val="0"/>
          <w:marBottom w:val="0"/>
          <w:divBdr>
            <w:top w:val="none" w:sz="0" w:space="0" w:color="auto"/>
            <w:left w:val="none" w:sz="0" w:space="0" w:color="auto"/>
            <w:bottom w:val="none" w:sz="0" w:space="0" w:color="auto"/>
            <w:right w:val="none" w:sz="0" w:space="0" w:color="auto"/>
          </w:divBdr>
        </w:div>
        <w:div w:id="1069227876">
          <w:marLeft w:val="0"/>
          <w:marRight w:val="0"/>
          <w:marTop w:val="0"/>
          <w:marBottom w:val="0"/>
          <w:divBdr>
            <w:top w:val="none" w:sz="0" w:space="0" w:color="auto"/>
            <w:left w:val="none" w:sz="0" w:space="0" w:color="auto"/>
            <w:bottom w:val="none" w:sz="0" w:space="0" w:color="auto"/>
            <w:right w:val="none" w:sz="0" w:space="0" w:color="auto"/>
          </w:divBdr>
        </w:div>
        <w:div w:id="1309900056">
          <w:marLeft w:val="0"/>
          <w:marRight w:val="0"/>
          <w:marTop w:val="0"/>
          <w:marBottom w:val="0"/>
          <w:divBdr>
            <w:top w:val="none" w:sz="0" w:space="0" w:color="auto"/>
            <w:left w:val="none" w:sz="0" w:space="0" w:color="auto"/>
            <w:bottom w:val="none" w:sz="0" w:space="0" w:color="auto"/>
            <w:right w:val="none" w:sz="0" w:space="0" w:color="auto"/>
          </w:divBdr>
        </w:div>
        <w:div w:id="850880264">
          <w:marLeft w:val="0"/>
          <w:marRight w:val="0"/>
          <w:marTop w:val="0"/>
          <w:marBottom w:val="0"/>
          <w:divBdr>
            <w:top w:val="none" w:sz="0" w:space="0" w:color="auto"/>
            <w:left w:val="none" w:sz="0" w:space="0" w:color="auto"/>
            <w:bottom w:val="none" w:sz="0" w:space="0" w:color="auto"/>
            <w:right w:val="none" w:sz="0" w:space="0" w:color="auto"/>
          </w:divBdr>
        </w:div>
        <w:div w:id="1399401440">
          <w:marLeft w:val="0"/>
          <w:marRight w:val="0"/>
          <w:marTop w:val="0"/>
          <w:marBottom w:val="0"/>
          <w:divBdr>
            <w:top w:val="none" w:sz="0" w:space="0" w:color="auto"/>
            <w:left w:val="none" w:sz="0" w:space="0" w:color="auto"/>
            <w:bottom w:val="none" w:sz="0" w:space="0" w:color="auto"/>
            <w:right w:val="none" w:sz="0" w:space="0" w:color="auto"/>
          </w:divBdr>
        </w:div>
        <w:div w:id="1099641755">
          <w:marLeft w:val="0"/>
          <w:marRight w:val="0"/>
          <w:marTop w:val="0"/>
          <w:marBottom w:val="0"/>
          <w:divBdr>
            <w:top w:val="none" w:sz="0" w:space="0" w:color="auto"/>
            <w:left w:val="none" w:sz="0" w:space="0" w:color="auto"/>
            <w:bottom w:val="none" w:sz="0" w:space="0" w:color="auto"/>
            <w:right w:val="none" w:sz="0" w:space="0" w:color="auto"/>
          </w:divBdr>
        </w:div>
      </w:divsChild>
    </w:div>
    <w:div w:id="179158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E4656-7E7F-4949-BF74-4F81C5DC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13476</Words>
  <Characters>76818</Characters>
  <Application>Microsoft Office Word</Application>
  <DocSecurity>4</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Mamphago Modiba</dc:creator>
  <cp:lastModifiedBy>Asanda</cp:lastModifiedBy>
  <cp:revision>2</cp:revision>
  <cp:lastPrinted>2018-05-04T04:59:00Z</cp:lastPrinted>
  <dcterms:created xsi:type="dcterms:W3CDTF">2018-05-14T10:46:00Z</dcterms:created>
  <dcterms:modified xsi:type="dcterms:W3CDTF">2018-05-14T10:46:00Z</dcterms:modified>
</cp:coreProperties>
</file>