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20041" w14:textId="56CB7103" w:rsidR="00BB1EE2" w:rsidRPr="001170E4" w:rsidRDefault="00CB23A2" w:rsidP="00F72F11">
      <w:pPr>
        <w:spacing w:line="360" w:lineRule="auto"/>
        <w:jc w:val="both"/>
        <w:rPr>
          <w:rFonts w:ascii="Times New Roman" w:hAnsi="Times New Roman" w:cs="Times New Roman"/>
          <w:b/>
        </w:rPr>
      </w:pPr>
      <w:bookmarkStart w:id="0" w:name="_GoBack"/>
      <w:bookmarkEnd w:id="0"/>
      <w:r>
        <w:rPr>
          <w:rFonts w:ascii="Times New Roman" w:hAnsi="Times New Roman" w:cs="Times New Roman"/>
          <w:b/>
        </w:rPr>
        <w:t>2</w:t>
      </w:r>
      <w:r w:rsidR="00785A0B">
        <w:rPr>
          <w:rFonts w:ascii="Times New Roman" w:hAnsi="Times New Roman" w:cs="Times New Roman"/>
          <w:b/>
        </w:rPr>
        <w:t xml:space="preserve">. </w:t>
      </w:r>
      <w:r w:rsidR="00BB1EE2" w:rsidRPr="001170E4">
        <w:rPr>
          <w:rFonts w:ascii="Times New Roman" w:hAnsi="Times New Roman" w:cs="Times New Roman"/>
          <w:b/>
        </w:rPr>
        <w:t>Report of the Portfolio Committee on Public Works on Budget Vote 11: Public Works and Annual Performance Plans 2018-2019 of the Department of Public Works, the Property Management Trading Entity, and entities reporting to the Minister of Public Works</w:t>
      </w:r>
      <w:r w:rsidR="006C0753" w:rsidRPr="001170E4">
        <w:rPr>
          <w:rFonts w:ascii="Times New Roman" w:hAnsi="Times New Roman" w:cs="Times New Roman"/>
          <w:b/>
        </w:rPr>
        <w:t xml:space="preserve">, dated </w:t>
      </w:r>
      <w:r w:rsidR="007B24A1">
        <w:rPr>
          <w:rFonts w:ascii="Times New Roman" w:hAnsi="Times New Roman" w:cs="Times New Roman"/>
          <w:b/>
        </w:rPr>
        <w:t>8</w:t>
      </w:r>
      <w:r w:rsidR="00ED2E99" w:rsidRPr="001170E4">
        <w:rPr>
          <w:rFonts w:ascii="Times New Roman" w:hAnsi="Times New Roman" w:cs="Times New Roman"/>
          <w:b/>
        </w:rPr>
        <w:t xml:space="preserve"> </w:t>
      </w:r>
      <w:r w:rsidR="006C0753" w:rsidRPr="001170E4">
        <w:rPr>
          <w:rFonts w:ascii="Times New Roman" w:hAnsi="Times New Roman" w:cs="Times New Roman"/>
          <w:b/>
        </w:rPr>
        <w:t>May 2018</w:t>
      </w:r>
      <w:r w:rsidR="00BB1EE2" w:rsidRPr="001170E4">
        <w:rPr>
          <w:rFonts w:ascii="Times New Roman" w:hAnsi="Times New Roman" w:cs="Times New Roman"/>
          <w:b/>
        </w:rPr>
        <w:t xml:space="preserve">. </w:t>
      </w:r>
    </w:p>
    <w:p w14:paraId="68008B3D" w14:textId="77777777" w:rsidR="00BB1EE2" w:rsidRPr="001170E4" w:rsidRDefault="00BB1EE2" w:rsidP="00F72F11">
      <w:pPr>
        <w:pStyle w:val="Normalbold"/>
        <w:spacing w:line="360" w:lineRule="auto"/>
        <w:rPr>
          <w:rFonts w:ascii="Times New Roman" w:hAnsi="Times New Roman"/>
          <w:b w:val="0"/>
          <w:color w:val="auto"/>
          <w:szCs w:val="22"/>
        </w:rPr>
      </w:pPr>
    </w:p>
    <w:p w14:paraId="77EA83E4"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The Portfolio Committee on Public Works, having considered the Annual Performance Plans and Budget of the Department of Public Works, the Property Management Trading Entity, and the entities reporting to the Minister of Public Works, wishes to report as follows:</w:t>
      </w:r>
    </w:p>
    <w:p w14:paraId="7AD2AEC5" w14:textId="77777777" w:rsidR="00BB1EE2" w:rsidRPr="001170E4" w:rsidRDefault="00BB1EE2" w:rsidP="00F72F11">
      <w:pPr>
        <w:pStyle w:val="Normalbold"/>
        <w:spacing w:line="360" w:lineRule="auto"/>
        <w:rPr>
          <w:rFonts w:ascii="Times New Roman" w:hAnsi="Times New Roman"/>
          <w:color w:val="auto"/>
          <w:szCs w:val="22"/>
        </w:rPr>
      </w:pPr>
    </w:p>
    <w:p w14:paraId="7F87BFF6" w14:textId="77777777" w:rsidR="00BB1EE2" w:rsidRPr="001170E4" w:rsidRDefault="00BB1EE2" w:rsidP="00F72F11">
      <w:pPr>
        <w:pStyle w:val="Normalbold"/>
        <w:spacing w:line="360" w:lineRule="auto"/>
        <w:rPr>
          <w:rFonts w:ascii="Times New Roman" w:hAnsi="Times New Roman"/>
          <w:color w:val="auto"/>
          <w:szCs w:val="22"/>
        </w:rPr>
      </w:pPr>
      <w:r w:rsidRPr="001170E4">
        <w:rPr>
          <w:rFonts w:ascii="Times New Roman" w:hAnsi="Times New Roman"/>
          <w:color w:val="auto"/>
          <w:szCs w:val="22"/>
        </w:rPr>
        <w:t>Introduction</w:t>
      </w:r>
    </w:p>
    <w:p w14:paraId="15DC3F13"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The Portfolio Committee on Public Works has oversight responsibility over the Minist</w:t>
      </w:r>
      <w:r w:rsidR="00D14433">
        <w:rPr>
          <w:rFonts w:ascii="Times New Roman" w:hAnsi="Times New Roman" w:cs="Times New Roman"/>
        </w:rPr>
        <w:t>ry</w:t>
      </w:r>
      <w:r w:rsidRPr="001170E4">
        <w:rPr>
          <w:rFonts w:ascii="Times New Roman" w:hAnsi="Times New Roman" w:cs="Times New Roman"/>
        </w:rPr>
        <w:t xml:space="preserve"> of the Department of Public Works as policy leader, and the entities that report to the Minister, namely the Independent Development Trust (IDT), the Construction Industry Development Board (CIDB), Agrément South Africa (ASA), and the Council for the Built Environment (CBE).</w:t>
      </w:r>
    </w:p>
    <w:p w14:paraId="3D6C755F" w14:textId="77777777" w:rsidR="00BB1EE2" w:rsidRPr="001170E4" w:rsidRDefault="00D14433" w:rsidP="00F72F11">
      <w:pPr>
        <w:spacing w:line="360" w:lineRule="auto"/>
        <w:jc w:val="both"/>
        <w:rPr>
          <w:rFonts w:ascii="Times New Roman" w:hAnsi="Times New Roman" w:cs="Times New Roman"/>
        </w:rPr>
      </w:pPr>
      <w:r>
        <w:rPr>
          <w:rFonts w:ascii="Times New Roman" w:hAnsi="Times New Roman" w:cs="Times New Roman"/>
        </w:rPr>
        <w:t>At</w:t>
      </w:r>
      <w:r w:rsidR="00C86005" w:rsidRPr="001170E4">
        <w:rPr>
          <w:rFonts w:ascii="Times New Roman" w:hAnsi="Times New Roman" w:cs="Times New Roman"/>
        </w:rPr>
        <w:t xml:space="preserve"> meetings held on 17 and 24 April 2018, t</w:t>
      </w:r>
      <w:r w:rsidR="00BB1EE2" w:rsidRPr="001170E4">
        <w:rPr>
          <w:rFonts w:ascii="Times New Roman" w:hAnsi="Times New Roman" w:cs="Times New Roman"/>
        </w:rPr>
        <w:t xml:space="preserve">he Portfolio Committee </w:t>
      </w:r>
      <w:r w:rsidR="00ED2E99" w:rsidRPr="001170E4">
        <w:rPr>
          <w:rFonts w:ascii="Times New Roman" w:hAnsi="Times New Roman" w:cs="Times New Roman"/>
        </w:rPr>
        <w:t>met with</w:t>
      </w:r>
      <w:r w:rsidR="00C86005" w:rsidRPr="001170E4">
        <w:rPr>
          <w:rFonts w:ascii="Times New Roman" w:hAnsi="Times New Roman" w:cs="Times New Roman"/>
        </w:rPr>
        <w:t xml:space="preserve"> </w:t>
      </w:r>
      <w:r w:rsidR="00ED2E99" w:rsidRPr="001170E4">
        <w:rPr>
          <w:rFonts w:ascii="Times New Roman" w:hAnsi="Times New Roman" w:cs="Times New Roman"/>
        </w:rPr>
        <w:t xml:space="preserve">the Minister, Deputy Minister and the senior management teams and boards </w:t>
      </w:r>
      <w:r w:rsidR="001420A3">
        <w:rPr>
          <w:rFonts w:ascii="Times New Roman" w:hAnsi="Times New Roman" w:cs="Times New Roman"/>
        </w:rPr>
        <w:t xml:space="preserve">of entities </w:t>
      </w:r>
      <w:r w:rsidR="00ED2E99" w:rsidRPr="001170E4">
        <w:rPr>
          <w:rFonts w:ascii="Times New Roman" w:hAnsi="Times New Roman" w:cs="Times New Roman"/>
        </w:rPr>
        <w:t>on the Annual Performance Plans (APP</w:t>
      </w:r>
      <w:r w:rsidR="00A844EA">
        <w:rPr>
          <w:rFonts w:ascii="Times New Roman" w:hAnsi="Times New Roman" w:cs="Times New Roman"/>
        </w:rPr>
        <w:t>s</w:t>
      </w:r>
      <w:r w:rsidR="00ED2E99" w:rsidRPr="001170E4">
        <w:rPr>
          <w:rFonts w:ascii="Times New Roman" w:hAnsi="Times New Roman" w:cs="Times New Roman"/>
        </w:rPr>
        <w:t>) and budgets for the 2018/19 financial year</w:t>
      </w:r>
      <w:r w:rsidR="001420A3">
        <w:rPr>
          <w:rFonts w:ascii="Times New Roman" w:hAnsi="Times New Roman" w:cs="Times New Roman"/>
        </w:rPr>
        <w:t>.</w:t>
      </w:r>
      <w:r w:rsidR="00ED2E99" w:rsidRPr="001170E4">
        <w:rPr>
          <w:rFonts w:ascii="Times New Roman" w:hAnsi="Times New Roman" w:cs="Times New Roman"/>
        </w:rPr>
        <w:t xml:space="preserve"> </w:t>
      </w:r>
      <w:r w:rsidR="00C86005" w:rsidRPr="001170E4">
        <w:rPr>
          <w:rFonts w:ascii="Times New Roman" w:hAnsi="Times New Roman" w:cs="Times New Roman"/>
        </w:rPr>
        <w:t>More specifically, the Committee interrogated</w:t>
      </w:r>
      <w:r w:rsidR="00B3219D" w:rsidRPr="001170E4">
        <w:rPr>
          <w:rFonts w:ascii="Times New Roman" w:hAnsi="Times New Roman" w:cs="Times New Roman"/>
        </w:rPr>
        <w:t xml:space="preserve"> </w:t>
      </w:r>
      <w:r w:rsidR="00C86005" w:rsidRPr="001170E4">
        <w:rPr>
          <w:rFonts w:ascii="Times New Roman" w:hAnsi="Times New Roman" w:cs="Times New Roman"/>
        </w:rPr>
        <w:t xml:space="preserve">the </w:t>
      </w:r>
      <w:r w:rsidR="00883424" w:rsidRPr="001170E4">
        <w:rPr>
          <w:rFonts w:ascii="Times New Roman" w:hAnsi="Times New Roman" w:cs="Times New Roman"/>
        </w:rPr>
        <w:t xml:space="preserve">financial and other resource allocations to programmes </w:t>
      </w:r>
      <w:r w:rsidR="00C86005" w:rsidRPr="001170E4">
        <w:rPr>
          <w:rFonts w:ascii="Times New Roman" w:hAnsi="Times New Roman" w:cs="Times New Roman"/>
        </w:rPr>
        <w:t xml:space="preserve">that had to be used </w:t>
      </w:r>
      <w:r w:rsidR="00B3219D" w:rsidRPr="001170E4">
        <w:rPr>
          <w:rFonts w:ascii="Times New Roman" w:hAnsi="Times New Roman" w:cs="Times New Roman"/>
        </w:rPr>
        <w:t xml:space="preserve">to implement </w:t>
      </w:r>
      <w:r w:rsidR="00BB1EE2" w:rsidRPr="001170E4">
        <w:rPr>
          <w:rFonts w:ascii="Times New Roman" w:hAnsi="Times New Roman" w:cs="Times New Roman"/>
        </w:rPr>
        <w:t xml:space="preserve">policy priorities that are </w:t>
      </w:r>
      <w:r w:rsidR="00B3219D" w:rsidRPr="001170E4">
        <w:rPr>
          <w:rFonts w:ascii="Times New Roman" w:hAnsi="Times New Roman" w:cs="Times New Roman"/>
        </w:rPr>
        <w:t>stat</w:t>
      </w:r>
      <w:r w:rsidR="00BB1EE2" w:rsidRPr="001170E4">
        <w:rPr>
          <w:rFonts w:ascii="Times New Roman" w:hAnsi="Times New Roman" w:cs="Times New Roman"/>
        </w:rPr>
        <w:t>ed</w:t>
      </w:r>
      <w:r w:rsidR="0071454D" w:rsidRPr="001170E4">
        <w:rPr>
          <w:rFonts w:ascii="Times New Roman" w:hAnsi="Times New Roman" w:cs="Times New Roman"/>
        </w:rPr>
        <w:t xml:space="preserve"> </w:t>
      </w:r>
      <w:r w:rsidR="00BB1EE2" w:rsidRPr="001170E4">
        <w:rPr>
          <w:rFonts w:ascii="Times New Roman" w:hAnsi="Times New Roman" w:cs="Times New Roman"/>
        </w:rPr>
        <w:t xml:space="preserve">in the National Development Plan (NDP), the Medium Term Strategic Framework (MTSF), </w:t>
      </w:r>
      <w:r w:rsidR="0071454D" w:rsidRPr="001170E4">
        <w:rPr>
          <w:rFonts w:ascii="Times New Roman" w:hAnsi="Times New Roman" w:cs="Times New Roman"/>
        </w:rPr>
        <w:t xml:space="preserve">and </w:t>
      </w:r>
      <w:r w:rsidR="00BB1EE2" w:rsidRPr="001170E4">
        <w:rPr>
          <w:rFonts w:ascii="Times New Roman" w:hAnsi="Times New Roman" w:cs="Times New Roman"/>
        </w:rPr>
        <w:t>the 201</w:t>
      </w:r>
      <w:r w:rsidR="00140031" w:rsidRPr="001170E4">
        <w:rPr>
          <w:rFonts w:ascii="Times New Roman" w:hAnsi="Times New Roman" w:cs="Times New Roman"/>
        </w:rPr>
        <w:t>8</w:t>
      </w:r>
      <w:r w:rsidR="00BB1EE2" w:rsidRPr="001170E4">
        <w:rPr>
          <w:rFonts w:ascii="Times New Roman" w:hAnsi="Times New Roman" w:cs="Times New Roman"/>
        </w:rPr>
        <w:t xml:space="preserve"> State of the Nation Address (SONA</w:t>
      </w:r>
      <w:r w:rsidR="0071454D" w:rsidRPr="001170E4">
        <w:rPr>
          <w:rFonts w:ascii="Times New Roman" w:hAnsi="Times New Roman" w:cs="Times New Roman"/>
        </w:rPr>
        <w:t>)</w:t>
      </w:r>
      <w:r w:rsidR="00BB1EE2" w:rsidRPr="001170E4">
        <w:rPr>
          <w:rFonts w:ascii="Times New Roman" w:hAnsi="Times New Roman" w:cs="Times New Roman"/>
        </w:rPr>
        <w:t>.</w:t>
      </w:r>
    </w:p>
    <w:p w14:paraId="04DFA391" w14:textId="77777777" w:rsidR="00D51780" w:rsidRPr="001170E4" w:rsidRDefault="00BB1EE2" w:rsidP="00F72F11">
      <w:pPr>
        <w:pStyle w:val="Normalbold"/>
        <w:spacing w:line="360" w:lineRule="auto"/>
        <w:rPr>
          <w:rFonts w:ascii="Times New Roman" w:hAnsi="Times New Roman"/>
          <w:b w:val="0"/>
          <w:szCs w:val="22"/>
        </w:rPr>
      </w:pPr>
      <w:r w:rsidRPr="001170E4">
        <w:rPr>
          <w:rFonts w:ascii="Times New Roman" w:hAnsi="Times New Roman"/>
          <w:b w:val="0"/>
          <w:color w:val="auto"/>
          <w:szCs w:val="22"/>
        </w:rPr>
        <w:t xml:space="preserve">The mandate of the Department of Public Works is derived from the Constitution of the Republic of South Africa, 1996, </w:t>
      </w:r>
      <w:r w:rsidR="00921F20" w:rsidRPr="001170E4">
        <w:rPr>
          <w:rFonts w:ascii="Times New Roman" w:hAnsi="Times New Roman"/>
          <w:b w:val="0"/>
          <w:color w:val="auto"/>
          <w:szCs w:val="22"/>
        </w:rPr>
        <w:t>and</w:t>
      </w:r>
      <w:r w:rsidRPr="001170E4">
        <w:rPr>
          <w:rFonts w:ascii="Times New Roman" w:hAnsi="Times New Roman"/>
          <w:b w:val="0"/>
          <w:color w:val="auto"/>
          <w:szCs w:val="22"/>
        </w:rPr>
        <w:t xml:space="preserve"> the Government Immovable Asset </w:t>
      </w:r>
      <w:r w:rsidR="00921F20" w:rsidRPr="001170E4">
        <w:rPr>
          <w:rFonts w:ascii="Times New Roman" w:hAnsi="Times New Roman"/>
          <w:b w:val="0"/>
          <w:color w:val="auto"/>
          <w:szCs w:val="22"/>
        </w:rPr>
        <w:t>Management Act (No. 19 of 2007) that describes the Department as</w:t>
      </w:r>
      <w:r w:rsidRPr="001170E4">
        <w:rPr>
          <w:rFonts w:ascii="Times New Roman" w:hAnsi="Times New Roman"/>
          <w:b w:val="0"/>
          <w:color w:val="auto"/>
          <w:szCs w:val="22"/>
        </w:rPr>
        <w:t xml:space="preserve"> </w:t>
      </w:r>
      <w:r w:rsidR="00921F20" w:rsidRPr="001170E4">
        <w:rPr>
          <w:rFonts w:ascii="Times New Roman" w:hAnsi="Times New Roman"/>
          <w:b w:val="0"/>
          <w:szCs w:val="22"/>
        </w:rPr>
        <w:t>the custodian and portfolio manager of government’s immovable assets.</w:t>
      </w:r>
    </w:p>
    <w:p w14:paraId="1292B44A" w14:textId="77777777" w:rsidR="00F14D1C" w:rsidRDefault="00F14D1C" w:rsidP="00F72F11">
      <w:pPr>
        <w:autoSpaceDE w:val="0"/>
        <w:autoSpaceDN w:val="0"/>
        <w:adjustRightInd w:val="0"/>
        <w:spacing w:after="0" w:line="360" w:lineRule="auto"/>
        <w:jc w:val="both"/>
        <w:rPr>
          <w:rFonts w:ascii="Times New Roman" w:eastAsia="Times New Roman" w:hAnsi="Times New Roman" w:cs="Times New Roman"/>
          <w:color w:val="000000"/>
          <w:spacing w:val="6"/>
          <w:lang w:val="en-GB" w:eastAsia="en-GB"/>
        </w:rPr>
      </w:pPr>
    </w:p>
    <w:p w14:paraId="211B40B8" w14:textId="698273C2" w:rsidR="00810E0F" w:rsidRPr="001170E4" w:rsidRDefault="00921F20" w:rsidP="00F72F11">
      <w:pPr>
        <w:autoSpaceDE w:val="0"/>
        <w:autoSpaceDN w:val="0"/>
        <w:adjustRightInd w:val="0"/>
        <w:spacing w:after="0" w:line="360" w:lineRule="auto"/>
        <w:jc w:val="both"/>
        <w:rPr>
          <w:rFonts w:ascii="Times New Roman" w:hAnsi="Times New Roman" w:cs="Times New Roman"/>
        </w:rPr>
      </w:pPr>
      <w:r w:rsidRPr="001170E4">
        <w:rPr>
          <w:rFonts w:ascii="Times New Roman" w:hAnsi="Times New Roman" w:cs="Times New Roman"/>
        </w:rPr>
        <w:t>The Property Management Trading Entity became operational in the 2015/16 financial year</w:t>
      </w:r>
      <w:r w:rsidR="00EB0E84">
        <w:rPr>
          <w:rStyle w:val="FootnoteReference"/>
          <w:rFonts w:ascii="Times New Roman" w:hAnsi="Times New Roman" w:cs="Times New Roman"/>
        </w:rPr>
        <w:footnoteReference w:id="1"/>
      </w:r>
      <w:r w:rsidRPr="001170E4">
        <w:rPr>
          <w:rFonts w:ascii="Times New Roman" w:hAnsi="Times New Roman" w:cs="Times New Roman"/>
        </w:rPr>
        <w:t xml:space="preserve">. This brought about a shift in the focus of the Department’s </w:t>
      </w:r>
      <w:r w:rsidR="00C025B2" w:rsidRPr="001170E4">
        <w:rPr>
          <w:rFonts w:ascii="Times New Roman" w:hAnsi="Times New Roman" w:cs="Times New Roman"/>
        </w:rPr>
        <w:t>role</w:t>
      </w:r>
      <w:r w:rsidRPr="001170E4">
        <w:rPr>
          <w:rFonts w:ascii="Times New Roman" w:hAnsi="Times New Roman" w:cs="Times New Roman"/>
        </w:rPr>
        <w:t xml:space="preserve">. </w:t>
      </w:r>
      <w:r w:rsidR="00517919" w:rsidRPr="001170E4">
        <w:rPr>
          <w:rFonts w:ascii="Times New Roman" w:hAnsi="Times New Roman" w:cs="Times New Roman"/>
        </w:rPr>
        <w:t>The Department of P</w:t>
      </w:r>
      <w:r w:rsidR="00C025B2" w:rsidRPr="001170E4">
        <w:rPr>
          <w:rFonts w:ascii="Times New Roman" w:hAnsi="Times New Roman" w:cs="Times New Roman"/>
        </w:rPr>
        <w:t>ublic Works now focuses on policy formulation, coordination, regulation and oversight relating to the provision of accommodation and expert built environment services to client departments at national level</w:t>
      </w:r>
      <w:r w:rsidR="00517919" w:rsidRPr="001170E4">
        <w:rPr>
          <w:rFonts w:ascii="Times New Roman" w:hAnsi="Times New Roman" w:cs="Times New Roman"/>
        </w:rPr>
        <w:t xml:space="preserve">. </w:t>
      </w:r>
      <w:r w:rsidR="004F7F1D">
        <w:rPr>
          <w:rFonts w:ascii="Times New Roman" w:hAnsi="Times New Roman" w:cs="Times New Roman"/>
        </w:rPr>
        <w:t xml:space="preserve">The </w:t>
      </w:r>
      <w:r w:rsidR="00DC4411">
        <w:rPr>
          <w:rFonts w:ascii="Times New Roman" w:hAnsi="Times New Roman" w:cs="Times New Roman"/>
        </w:rPr>
        <w:t xml:space="preserve">PMTE remains </w:t>
      </w:r>
      <w:r w:rsidR="004F7F1D">
        <w:rPr>
          <w:rFonts w:ascii="Times New Roman" w:hAnsi="Times New Roman" w:cs="Times New Roman"/>
        </w:rPr>
        <w:t>a government component of the DPW and shares services such as</w:t>
      </w:r>
      <w:r w:rsidR="00DC4411">
        <w:rPr>
          <w:rFonts w:ascii="Times New Roman" w:hAnsi="Times New Roman" w:cs="Times New Roman"/>
        </w:rPr>
        <w:t xml:space="preserve"> finance and supply chain management, </w:t>
      </w:r>
      <w:r w:rsidR="004F7F1D">
        <w:rPr>
          <w:rFonts w:ascii="Times New Roman" w:hAnsi="Times New Roman" w:cs="Times New Roman"/>
        </w:rPr>
        <w:t>and governance risk and compliance functions</w:t>
      </w:r>
      <w:r w:rsidR="00DC4411">
        <w:rPr>
          <w:rFonts w:ascii="Times New Roman" w:hAnsi="Times New Roman" w:cs="Times New Roman"/>
        </w:rPr>
        <w:t xml:space="preserve">. </w:t>
      </w:r>
      <w:r w:rsidR="005774C7" w:rsidRPr="001170E4">
        <w:rPr>
          <w:rFonts w:ascii="Times New Roman" w:hAnsi="Times New Roman" w:cs="Times New Roman"/>
        </w:rPr>
        <w:t xml:space="preserve">The Department is </w:t>
      </w:r>
      <w:r w:rsidR="00DC4411">
        <w:rPr>
          <w:rFonts w:ascii="Times New Roman" w:hAnsi="Times New Roman" w:cs="Times New Roman"/>
        </w:rPr>
        <w:t xml:space="preserve">further </w:t>
      </w:r>
      <w:r w:rsidR="005774C7" w:rsidRPr="001170E4">
        <w:rPr>
          <w:rFonts w:ascii="Times New Roman" w:hAnsi="Times New Roman" w:cs="Times New Roman"/>
        </w:rPr>
        <w:t xml:space="preserve">mandated to coordinate and provide strategic leadership in job creation initiatives through the </w:t>
      </w:r>
      <w:r w:rsidR="005774C7" w:rsidRPr="001170E4">
        <w:rPr>
          <w:rFonts w:ascii="Times New Roman" w:hAnsi="Times New Roman" w:cs="Times New Roman"/>
        </w:rPr>
        <w:lastRenderedPageBreak/>
        <w:t xml:space="preserve">implementation of </w:t>
      </w:r>
      <w:r w:rsidR="00DB42A3" w:rsidRPr="001170E4">
        <w:rPr>
          <w:rFonts w:ascii="Times New Roman" w:hAnsi="Times New Roman" w:cs="Times New Roman"/>
        </w:rPr>
        <w:t>government’s</w:t>
      </w:r>
      <w:r w:rsidR="00AF4893">
        <w:rPr>
          <w:rFonts w:ascii="Times New Roman" w:hAnsi="Times New Roman" w:cs="Times New Roman"/>
        </w:rPr>
        <w:t xml:space="preserve"> Expanded Public Works P</w:t>
      </w:r>
      <w:r w:rsidR="005774C7" w:rsidRPr="001170E4">
        <w:rPr>
          <w:rFonts w:ascii="Times New Roman" w:hAnsi="Times New Roman" w:cs="Times New Roman"/>
        </w:rPr>
        <w:t>rogramme</w:t>
      </w:r>
      <w:r w:rsidR="00DB42A3" w:rsidRPr="001170E4">
        <w:rPr>
          <w:rFonts w:ascii="Times New Roman" w:hAnsi="Times New Roman" w:cs="Times New Roman"/>
        </w:rPr>
        <w:t xml:space="preserve"> </w:t>
      </w:r>
      <w:r w:rsidR="005511DD">
        <w:rPr>
          <w:rFonts w:ascii="Times New Roman" w:hAnsi="Times New Roman" w:cs="Times New Roman"/>
        </w:rPr>
        <w:t xml:space="preserve">(EPWP) </w:t>
      </w:r>
      <w:r w:rsidR="00DB42A3" w:rsidRPr="001170E4">
        <w:rPr>
          <w:rFonts w:ascii="Times New Roman" w:hAnsi="Times New Roman" w:cs="Times New Roman"/>
        </w:rPr>
        <w:t>that is initialised and managed at different departments across the three spheres of government</w:t>
      </w:r>
      <w:r w:rsidR="005774C7" w:rsidRPr="001170E4">
        <w:rPr>
          <w:rFonts w:ascii="Times New Roman" w:hAnsi="Times New Roman" w:cs="Times New Roman"/>
        </w:rPr>
        <w:t xml:space="preserve">. </w:t>
      </w:r>
    </w:p>
    <w:p w14:paraId="2D8E9169" w14:textId="77777777" w:rsidR="00810E0F" w:rsidRPr="001170E4" w:rsidRDefault="00810E0F" w:rsidP="00F72F11">
      <w:pPr>
        <w:autoSpaceDE w:val="0"/>
        <w:autoSpaceDN w:val="0"/>
        <w:adjustRightInd w:val="0"/>
        <w:spacing w:after="0" w:line="360" w:lineRule="auto"/>
        <w:jc w:val="both"/>
        <w:rPr>
          <w:rFonts w:ascii="Times New Roman" w:hAnsi="Times New Roman" w:cs="Times New Roman"/>
        </w:rPr>
      </w:pPr>
    </w:p>
    <w:p w14:paraId="516D3652" w14:textId="5A91535A" w:rsidR="00921F20" w:rsidRPr="001170E4" w:rsidRDefault="00810E0F" w:rsidP="00F72F11">
      <w:pPr>
        <w:autoSpaceDE w:val="0"/>
        <w:autoSpaceDN w:val="0"/>
        <w:adjustRightInd w:val="0"/>
        <w:spacing w:after="0" w:line="360" w:lineRule="auto"/>
        <w:jc w:val="both"/>
        <w:rPr>
          <w:rFonts w:ascii="Times New Roman" w:hAnsi="Times New Roman" w:cs="Times New Roman"/>
        </w:rPr>
      </w:pPr>
      <w:r w:rsidRPr="001170E4">
        <w:rPr>
          <w:rFonts w:ascii="Times New Roman" w:hAnsi="Times New Roman" w:cs="Times New Roman"/>
        </w:rPr>
        <w:t>Since the 2015/16 financial year, t</w:t>
      </w:r>
      <w:r w:rsidR="005774C7" w:rsidRPr="001170E4">
        <w:rPr>
          <w:rFonts w:ascii="Times New Roman" w:hAnsi="Times New Roman" w:cs="Times New Roman"/>
        </w:rPr>
        <w:t xml:space="preserve">he </w:t>
      </w:r>
      <w:r w:rsidR="005511DD">
        <w:rPr>
          <w:rFonts w:ascii="Times New Roman" w:hAnsi="Times New Roman" w:cs="Times New Roman"/>
        </w:rPr>
        <w:t>PMTE</w:t>
      </w:r>
      <w:r w:rsidR="005774C7" w:rsidRPr="001170E4">
        <w:rPr>
          <w:rFonts w:ascii="Times New Roman" w:hAnsi="Times New Roman" w:cs="Times New Roman"/>
        </w:rPr>
        <w:t xml:space="preserve"> </w:t>
      </w:r>
      <w:r w:rsidRPr="001170E4">
        <w:rPr>
          <w:rFonts w:ascii="Times New Roman" w:hAnsi="Times New Roman" w:cs="Times New Roman"/>
        </w:rPr>
        <w:t xml:space="preserve">is </w:t>
      </w:r>
      <w:r w:rsidR="00DB42A3" w:rsidRPr="001170E4">
        <w:rPr>
          <w:rFonts w:ascii="Times New Roman" w:hAnsi="Times New Roman" w:cs="Times New Roman"/>
        </w:rPr>
        <w:t>responsible for the planning, acquiring, managing and disposing of immovable assets in the department’s custody</w:t>
      </w:r>
      <w:r w:rsidR="0005122E" w:rsidRPr="001170E4">
        <w:rPr>
          <w:rFonts w:ascii="Times New Roman" w:hAnsi="Times New Roman" w:cs="Times New Roman"/>
        </w:rPr>
        <w:t>. It also has the function of ensuring the full implementation of the Government Immovable Asset Management Act by recording and maintaining the Immovable Asset Register. This is an important precursor to utilising the value locked within government’s immovable assets so that the PMTE generates funding through its operationalisation.</w:t>
      </w:r>
      <w:r w:rsidR="00ED2E99" w:rsidRPr="001170E4">
        <w:rPr>
          <w:rFonts w:ascii="Times New Roman" w:hAnsi="Times New Roman" w:cs="Times New Roman"/>
        </w:rPr>
        <w:t xml:space="preserve"> The PMTE faces challenges in this regard which will be </w:t>
      </w:r>
      <w:r w:rsidR="00720CE7" w:rsidRPr="001170E4">
        <w:rPr>
          <w:rFonts w:ascii="Times New Roman" w:hAnsi="Times New Roman" w:cs="Times New Roman"/>
        </w:rPr>
        <w:t xml:space="preserve">further dealt with </w:t>
      </w:r>
      <w:r w:rsidR="00ED2E99" w:rsidRPr="001170E4">
        <w:rPr>
          <w:rFonts w:ascii="Times New Roman" w:hAnsi="Times New Roman" w:cs="Times New Roman"/>
        </w:rPr>
        <w:t>in the relevant section</w:t>
      </w:r>
      <w:r w:rsidR="00722195" w:rsidRPr="001170E4">
        <w:rPr>
          <w:rFonts w:ascii="Times New Roman" w:hAnsi="Times New Roman" w:cs="Times New Roman"/>
        </w:rPr>
        <w:t>s</w:t>
      </w:r>
      <w:r w:rsidR="00ED2E99" w:rsidRPr="001170E4">
        <w:rPr>
          <w:rFonts w:ascii="Times New Roman" w:hAnsi="Times New Roman" w:cs="Times New Roman"/>
        </w:rPr>
        <w:t xml:space="preserve"> of this report.</w:t>
      </w:r>
    </w:p>
    <w:p w14:paraId="65C9C513" w14:textId="77777777" w:rsidR="00D51780" w:rsidRPr="001170E4" w:rsidRDefault="00D51780" w:rsidP="00F72F11">
      <w:pPr>
        <w:pStyle w:val="Normalbold"/>
        <w:spacing w:line="360" w:lineRule="auto"/>
        <w:rPr>
          <w:rFonts w:ascii="Times New Roman" w:hAnsi="Times New Roman"/>
          <w:b w:val="0"/>
          <w:color w:val="auto"/>
          <w:szCs w:val="22"/>
        </w:rPr>
      </w:pPr>
    </w:p>
    <w:p w14:paraId="089A4937" w14:textId="77777777" w:rsidR="00BB1EE2" w:rsidRPr="001170E4" w:rsidRDefault="00BB1EE2" w:rsidP="00F72F11">
      <w:pPr>
        <w:spacing w:line="360" w:lineRule="auto"/>
        <w:jc w:val="both"/>
        <w:rPr>
          <w:rFonts w:ascii="Times New Roman" w:hAnsi="Times New Roman" w:cs="Times New Roman"/>
          <w:b/>
          <w:bCs/>
        </w:rPr>
      </w:pPr>
      <w:r w:rsidRPr="001170E4">
        <w:rPr>
          <w:rFonts w:ascii="Times New Roman" w:hAnsi="Times New Roman" w:cs="Times New Roman"/>
          <w:b/>
          <w:bCs/>
        </w:rPr>
        <w:t>Policy Priorities for the Department of Public Works, PMTE and Entities</w:t>
      </w:r>
    </w:p>
    <w:p w14:paraId="21F77842" w14:textId="77777777" w:rsidR="00BB1EE2" w:rsidRPr="001170E4" w:rsidRDefault="00714013" w:rsidP="00F72F11">
      <w:pPr>
        <w:spacing w:line="360" w:lineRule="auto"/>
        <w:jc w:val="both"/>
        <w:rPr>
          <w:rFonts w:ascii="Times New Roman" w:hAnsi="Times New Roman" w:cs="Times New Roman"/>
        </w:rPr>
      </w:pPr>
      <w:r w:rsidRPr="001170E4">
        <w:rPr>
          <w:rFonts w:ascii="Times New Roman" w:hAnsi="Times New Roman" w:cs="Times New Roman"/>
        </w:rPr>
        <w:t>As stated earlier, t</w:t>
      </w:r>
      <w:r w:rsidR="00BB1EE2" w:rsidRPr="001170E4">
        <w:rPr>
          <w:rFonts w:ascii="Times New Roman" w:hAnsi="Times New Roman" w:cs="Times New Roman"/>
        </w:rPr>
        <w:t xml:space="preserve">he Department continues to </w:t>
      </w:r>
      <w:r w:rsidRPr="001170E4">
        <w:rPr>
          <w:rFonts w:ascii="Times New Roman" w:hAnsi="Times New Roman" w:cs="Times New Roman"/>
        </w:rPr>
        <w:t>focus</w:t>
      </w:r>
      <w:r w:rsidR="00BB1EE2" w:rsidRPr="001170E4">
        <w:rPr>
          <w:rFonts w:ascii="Times New Roman" w:hAnsi="Times New Roman" w:cs="Times New Roman"/>
        </w:rPr>
        <w:t xml:space="preserve"> on the policy priority to create employment opportunities for vulnerable sectors of the South African society </w:t>
      </w:r>
      <w:r w:rsidRPr="001170E4">
        <w:rPr>
          <w:rFonts w:ascii="Times New Roman" w:hAnsi="Times New Roman" w:cs="Times New Roman"/>
        </w:rPr>
        <w:t>that struggle to enter</w:t>
      </w:r>
      <w:r w:rsidR="00BB1EE2" w:rsidRPr="001170E4">
        <w:rPr>
          <w:rFonts w:ascii="Times New Roman" w:hAnsi="Times New Roman" w:cs="Times New Roman"/>
        </w:rPr>
        <w:t xml:space="preserve"> the formal employment market. The Department plays a coordinating and capacity development role through its Expanded Public Work Programme (EPWP), where labour intensive infrastructure development and maintenance projects takes place at the national, provincial and municipal spheres of government. </w:t>
      </w:r>
    </w:p>
    <w:p w14:paraId="2DCD3513" w14:textId="0EE21010"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 xml:space="preserve">Apart from the above, </w:t>
      </w:r>
      <w:r w:rsidR="004E15CF">
        <w:rPr>
          <w:rFonts w:ascii="Times New Roman" w:hAnsi="Times New Roman" w:cs="Times New Roman"/>
        </w:rPr>
        <w:t xml:space="preserve">over the medium term expenditure framework period, </w:t>
      </w:r>
      <w:r w:rsidRPr="001170E4">
        <w:rPr>
          <w:rFonts w:ascii="Times New Roman" w:hAnsi="Times New Roman" w:cs="Times New Roman"/>
        </w:rPr>
        <w:t>the policy focus for government departments</w:t>
      </w:r>
      <w:r w:rsidR="00914183">
        <w:rPr>
          <w:rFonts w:ascii="Times New Roman" w:hAnsi="Times New Roman" w:cs="Times New Roman"/>
        </w:rPr>
        <w:t xml:space="preserve"> and municipalities with whom</w:t>
      </w:r>
      <w:r w:rsidRPr="001170E4">
        <w:rPr>
          <w:rFonts w:ascii="Times New Roman" w:hAnsi="Times New Roman" w:cs="Times New Roman"/>
        </w:rPr>
        <w:t xml:space="preserve"> the Department of Public Works play a coordinating, implementing role with its entities, remains on:</w:t>
      </w:r>
    </w:p>
    <w:p w14:paraId="3479DD1D" w14:textId="77777777" w:rsidR="00BB1EE2" w:rsidRPr="001170E4" w:rsidRDefault="00BB1EE2" w:rsidP="00F72F11">
      <w:pPr>
        <w:numPr>
          <w:ilvl w:val="0"/>
          <w:numId w:val="1"/>
        </w:numPr>
        <w:spacing w:after="0" w:line="360" w:lineRule="auto"/>
        <w:jc w:val="both"/>
        <w:rPr>
          <w:rFonts w:ascii="Times New Roman" w:hAnsi="Times New Roman" w:cs="Times New Roman"/>
        </w:rPr>
      </w:pPr>
      <w:r w:rsidRPr="001170E4">
        <w:rPr>
          <w:rFonts w:ascii="Times New Roman" w:hAnsi="Times New Roman" w:cs="Times New Roman"/>
        </w:rPr>
        <w:t>Creating 6 million work opportunities by 2019 through the EPWP.</w:t>
      </w:r>
    </w:p>
    <w:p w14:paraId="422478C0" w14:textId="77777777" w:rsidR="00BB1EE2" w:rsidRPr="001170E4" w:rsidRDefault="00BB1EE2" w:rsidP="00F72F11">
      <w:pPr>
        <w:numPr>
          <w:ilvl w:val="0"/>
          <w:numId w:val="1"/>
        </w:numPr>
        <w:spacing w:after="0" w:line="360" w:lineRule="auto"/>
        <w:jc w:val="both"/>
        <w:rPr>
          <w:rFonts w:ascii="Times New Roman" w:hAnsi="Times New Roman" w:cs="Times New Roman"/>
        </w:rPr>
      </w:pPr>
      <w:r w:rsidRPr="001170E4">
        <w:rPr>
          <w:rFonts w:ascii="Times New Roman" w:hAnsi="Times New Roman" w:cs="Times New Roman"/>
        </w:rPr>
        <w:t>Creating work opportunities for vulnerable groups (such as women and people with disabilities) with particular emphasis placed on addressing youth unemployment.</w:t>
      </w:r>
    </w:p>
    <w:p w14:paraId="0C394814" w14:textId="77777777" w:rsidR="00BB1EE2" w:rsidRPr="001170E4" w:rsidRDefault="00BB1EE2" w:rsidP="00F72F11">
      <w:pPr>
        <w:numPr>
          <w:ilvl w:val="0"/>
          <w:numId w:val="1"/>
        </w:numPr>
        <w:spacing w:after="0" w:line="360" w:lineRule="auto"/>
        <w:jc w:val="both"/>
        <w:rPr>
          <w:rFonts w:ascii="Times New Roman" w:hAnsi="Times New Roman" w:cs="Times New Roman"/>
        </w:rPr>
      </w:pPr>
      <w:r w:rsidRPr="001170E4">
        <w:rPr>
          <w:rFonts w:ascii="Times New Roman" w:hAnsi="Times New Roman" w:cs="Times New Roman"/>
        </w:rPr>
        <w:t>Erecting new schools through the Accelerated School Infrastructure Delivery Initiative (ASIDI) to improve educational infrastructure.</w:t>
      </w:r>
    </w:p>
    <w:p w14:paraId="0C8ED114" w14:textId="77777777" w:rsidR="00BB1EE2" w:rsidRPr="001170E4" w:rsidRDefault="00BB1EE2" w:rsidP="00F72F11">
      <w:pPr>
        <w:numPr>
          <w:ilvl w:val="0"/>
          <w:numId w:val="1"/>
        </w:numPr>
        <w:spacing w:after="0" w:line="360" w:lineRule="auto"/>
        <w:jc w:val="both"/>
        <w:rPr>
          <w:rFonts w:ascii="Times New Roman" w:hAnsi="Times New Roman" w:cs="Times New Roman"/>
        </w:rPr>
      </w:pPr>
      <w:r w:rsidRPr="001170E4">
        <w:rPr>
          <w:rFonts w:ascii="Times New Roman" w:hAnsi="Times New Roman" w:cs="Times New Roman"/>
        </w:rPr>
        <w:t xml:space="preserve">Addressing collusion by </w:t>
      </w:r>
      <w:r w:rsidR="003601E1" w:rsidRPr="001170E4">
        <w:rPr>
          <w:rFonts w:ascii="Times New Roman" w:hAnsi="Times New Roman" w:cs="Times New Roman"/>
        </w:rPr>
        <w:t>cartels that</w:t>
      </w:r>
      <w:r w:rsidRPr="001170E4">
        <w:rPr>
          <w:rFonts w:ascii="Times New Roman" w:hAnsi="Times New Roman" w:cs="Times New Roman"/>
        </w:rPr>
        <w:t xml:space="preserve"> hamper the growth of small businesses (Operation Phakisa). </w:t>
      </w:r>
    </w:p>
    <w:p w14:paraId="5DF7AD60" w14:textId="77777777" w:rsidR="00BB1EE2" w:rsidRPr="001170E4" w:rsidRDefault="00BB1EE2" w:rsidP="00F72F11">
      <w:pPr>
        <w:numPr>
          <w:ilvl w:val="0"/>
          <w:numId w:val="1"/>
        </w:numPr>
        <w:spacing w:after="0" w:line="360" w:lineRule="auto"/>
        <w:jc w:val="both"/>
        <w:rPr>
          <w:rFonts w:ascii="Times New Roman" w:hAnsi="Times New Roman" w:cs="Times New Roman"/>
        </w:rPr>
      </w:pPr>
      <w:r w:rsidRPr="001170E4">
        <w:rPr>
          <w:rFonts w:ascii="Times New Roman" w:hAnsi="Times New Roman" w:cs="Times New Roman"/>
        </w:rPr>
        <w:t>Investing R100 million on capital and maintenance programmes of small harbours.</w:t>
      </w:r>
    </w:p>
    <w:p w14:paraId="01C33629" w14:textId="77777777" w:rsidR="00BB1EE2" w:rsidRPr="001170E4" w:rsidRDefault="00BB1EE2" w:rsidP="00F72F11">
      <w:pPr>
        <w:numPr>
          <w:ilvl w:val="0"/>
          <w:numId w:val="1"/>
        </w:numPr>
        <w:spacing w:after="0" w:line="360" w:lineRule="auto"/>
        <w:jc w:val="both"/>
        <w:rPr>
          <w:rFonts w:ascii="Times New Roman" w:hAnsi="Times New Roman" w:cs="Times New Roman"/>
        </w:rPr>
      </w:pPr>
      <w:r w:rsidRPr="001170E4">
        <w:rPr>
          <w:rFonts w:ascii="Times New Roman" w:hAnsi="Times New Roman" w:cs="Times New Roman"/>
        </w:rPr>
        <w:t>Utilising the R900 billion budget towards economic transformation.</w:t>
      </w:r>
    </w:p>
    <w:p w14:paraId="39018728" w14:textId="77777777" w:rsidR="00BB1EE2" w:rsidRPr="001170E4" w:rsidRDefault="00BB1EE2" w:rsidP="00F72F11">
      <w:pPr>
        <w:numPr>
          <w:ilvl w:val="0"/>
          <w:numId w:val="1"/>
        </w:numPr>
        <w:spacing w:after="0" w:line="360" w:lineRule="auto"/>
        <w:jc w:val="both"/>
        <w:rPr>
          <w:rFonts w:ascii="Times New Roman" w:hAnsi="Times New Roman" w:cs="Times New Roman"/>
        </w:rPr>
      </w:pPr>
      <w:r w:rsidRPr="001170E4">
        <w:rPr>
          <w:rFonts w:ascii="Times New Roman" w:hAnsi="Times New Roman" w:cs="Times New Roman"/>
        </w:rPr>
        <w:t xml:space="preserve">Implementing </w:t>
      </w:r>
      <w:r w:rsidR="003601E1" w:rsidRPr="001170E4">
        <w:rPr>
          <w:rFonts w:ascii="Times New Roman" w:hAnsi="Times New Roman" w:cs="Times New Roman"/>
        </w:rPr>
        <w:t>regulations that</w:t>
      </w:r>
      <w:r w:rsidRPr="001170E4">
        <w:rPr>
          <w:rFonts w:ascii="Times New Roman" w:hAnsi="Times New Roman" w:cs="Times New Roman"/>
        </w:rPr>
        <w:t xml:space="preserve"> make it compulsory for large contractors to sub-contract 30% of business to black-owned enterprises. </w:t>
      </w:r>
    </w:p>
    <w:p w14:paraId="0AAACF38" w14:textId="77777777" w:rsidR="00BB1EE2" w:rsidRPr="001170E4" w:rsidRDefault="00BB1EE2" w:rsidP="00F72F11">
      <w:pPr>
        <w:numPr>
          <w:ilvl w:val="0"/>
          <w:numId w:val="1"/>
        </w:numPr>
        <w:spacing w:after="0" w:line="360" w:lineRule="auto"/>
        <w:jc w:val="both"/>
        <w:rPr>
          <w:rFonts w:ascii="Times New Roman" w:hAnsi="Times New Roman" w:cs="Times New Roman"/>
        </w:rPr>
      </w:pPr>
      <w:r w:rsidRPr="001170E4">
        <w:rPr>
          <w:rFonts w:ascii="Times New Roman" w:hAnsi="Times New Roman" w:cs="Times New Roman"/>
        </w:rPr>
        <w:t>Addressing corruption and other related offences by public servants.</w:t>
      </w:r>
    </w:p>
    <w:p w14:paraId="55DC5EF9" w14:textId="77777777" w:rsidR="00BB1EE2" w:rsidRPr="001170E4" w:rsidRDefault="00BB1EE2" w:rsidP="00F72F11">
      <w:pPr>
        <w:numPr>
          <w:ilvl w:val="0"/>
          <w:numId w:val="1"/>
        </w:numPr>
        <w:spacing w:after="0" w:line="360" w:lineRule="auto"/>
        <w:jc w:val="both"/>
        <w:rPr>
          <w:rFonts w:ascii="Times New Roman" w:hAnsi="Times New Roman" w:cs="Times New Roman"/>
        </w:rPr>
      </w:pPr>
      <w:r w:rsidRPr="001170E4">
        <w:rPr>
          <w:rFonts w:ascii="Times New Roman" w:hAnsi="Times New Roman" w:cs="Times New Roman"/>
        </w:rPr>
        <w:t>Ensuring that the Expropriation Bill is constitutionality sound.</w:t>
      </w:r>
    </w:p>
    <w:p w14:paraId="0234692D" w14:textId="77777777" w:rsidR="00F14D1C" w:rsidRDefault="00F14D1C" w:rsidP="00F72F11">
      <w:pPr>
        <w:spacing w:line="360" w:lineRule="auto"/>
        <w:jc w:val="both"/>
        <w:rPr>
          <w:rFonts w:ascii="Times New Roman" w:hAnsi="Times New Roman" w:cs="Times New Roman"/>
          <w:b/>
          <w:bCs/>
        </w:rPr>
      </w:pPr>
    </w:p>
    <w:p w14:paraId="2FB39A59"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 xml:space="preserve">The National Development Plan (NDP) followed from the Diagnostic Report released by the National Planning Commission in June 2011. The Diagnostic Report highlighted both </w:t>
      </w:r>
      <w:r w:rsidR="002E2332" w:rsidRPr="001170E4">
        <w:rPr>
          <w:rFonts w:ascii="Times New Roman" w:hAnsi="Times New Roman" w:cs="Times New Roman"/>
        </w:rPr>
        <w:t xml:space="preserve">the </w:t>
      </w:r>
      <w:r w:rsidRPr="001170E4">
        <w:rPr>
          <w:rFonts w:ascii="Times New Roman" w:hAnsi="Times New Roman" w:cs="Times New Roman"/>
        </w:rPr>
        <w:t>achievements</w:t>
      </w:r>
      <w:r w:rsidR="00D67CE5">
        <w:rPr>
          <w:rFonts w:ascii="Times New Roman" w:hAnsi="Times New Roman" w:cs="Times New Roman"/>
        </w:rPr>
        <w:t xml:space="preserve"> and the </w:t>
      </w:r>
      <w:r w:rsidR="00D67CE5">
        <w:rPr>
          <w:rFonts w:ascii="Times New Roman" w:hAnsi="Times New Roman" w:cs="Times New Roman"/>
        </w:rPr>
        <w:lastRenderedPageBreak/>
        <w:t>challenges</w:t>
      </w:r>
      <w:r w:rsidRPr="001170E4">
        <w:rPr>
          <w:rFonts w:ascii="Times New Roman" w:hAnsi="Times New Roman" w:cs="Times New Roman"/>
        </w:rPr>
        <w:t xml:space="preserve"> </w:t>
      </w:r>
      <w:r w:rsidR="002E2332" w:rsidRPr="001170E4">
        <w:rPr>
          <w:rFonts w:ascii="Times New Roman" w:hAnsi="Times New Roman" w:cs="Times New Roman"/>
        </w:rPr>
        <w:t>of government since 1994</w:t>
      </w:r>
      <w:r w:rsidR="00D67CE5">
        <w:rPr>
          <w:rFonts w:ascii="Times New Roman" w:hAnsi="Times New Roman" w:cs="Times New Roman"/>
        </w:rPr>
        <w:t>.</w:t>
      </w:r>
      <w:r w:rsidRPr="001170E4">
        <w:rPr>
          <w:rFonts w:ascii="Times New Roman" w:hAnsi="Times New Roman" w:cs="Times New Roman"/>
        </w:rPr>
        <w:t xml:space="preserve"> It identified slow progress in nine areas, due in part, to the failure to implement the policies of which the following </w:t>
      </w:r>
      <w:r w:rsidR="002E2332" w:rsidRPr="001170E4">
        <w:rPr>
          <w:rFonts w:ascii="Times New Roman" w:hAnsi="Times New Roman" w:cs="Times New Roman"/>
        </w:rPr>
        <w:t xml:space="preserve">apply specifically </w:t>
      </w:r>
      <w:r w:rsidRPr="001170E4">
        <w:rPr>
          <w:rFonts w:ascii="Times New Roman" w:hAnsi="Times New Roman" w:cs="Times New Roman"/>
        </w:rPr>
        <w:t>to Public Works</w:t>
      </w:r>
      <w:r w:rsidRPr="001170E4">
        <w:rPr>
          <w:rStyle w:val="FootnoteReference"/>
          <w:rFonts w:ascii="Times New Roman" w:hAnsi="Times New Roman" w:cs="Times New Roman"/>
        </w:rPr>
        <w:footnoteReference w:id="2"/>
      </w:r>
      <w:r w:rsidRPr="001170E4">
        <w:rPr>
          <w:rFonts w:ascii="Times New Roman" w:hAnsi="Times New Roman" w:cs="Times New Roman"/>
        </w:rPr>
        <w:t>:</w:t>
      </w:r>
    </w:p>
    <w:p w14:paraId="18350840" w14:textId="77777777" w:rsidR="00BB1EE2" w:rsidRPr="001170E4" w:rsidRDefault="00BB1EE2" w:rsidP="00F72F11">
      <w:pPr>
        <w:numPr>
          <w:ilvl w:val="0"/>
          <w:numId w:val="6"/>
        </w:numPr>
        <w:spacing w:after="0" w:line="360" w:lineRule="auto"/>
        <w:jc w:val="both"/>
        <w:rPr>
          <w:rFonts w:ascii="Times New Roman" w:hAnsi="Times New Roman" w:cs="Times New Roman"/>
        </w:rPr>
      </w:pPr>
      <w:r w:rsidRPr="001170E4">
        <w:rPr>
          <w:rFonts w:ascii="Times New Roman" w:hAnsi="Times New Roman" w:cs="Times New Roman"/>
        </w:rPr>
        <w:t xml:space="preserve">The numbers of employed people </w:t>
      </w:r>
      <w:r w:rsidR="00875CC2" w:rsidRPr="001170E4">
        <w:rPr>
          <w:rFonts w:ascii="Times New Roman" w:hAnsi="Times New Roman" w:cs="Times New Roman"/>
        </w:rPr>
        <w:t>remain</w:t>
      </w:r>
      <w:r w:rsidRPr="001170E4">
        <w:rPr>
          <w:rFonts w:ascii="Times New Roman" w:hAnsi="Times New Roman" w:cs="Times New Roman"/>
        </w:rPr>
        <w:t xml:space="preserve"> low.</w:t>
      </w:r>
    </w:p>
    <w:p w14:paraId="458A4768" w14:textId="77777777" w:rsidR="00BB1EE2" w:rsidRPr="001170E4" w:rsidRDefault="00BB1EE2" w:rsidP="00F72F11">
      <w:pPr>
        <w:numPr>
          <w:ilvl w:val="0"/>
          <w:numId w:val="6"/>
        </w:numPr>
        <w:spacing w:after="0" w:line="360" w:lineRule="auto"/>
        <w:jc w:val="both"/>
        <w:rPr>
          <w:rFonts w:ascii="Times New Roman" w:hAnsi="Times New Roman" w:cs="Times New Roman"/>
        </w:rPr>
      </w:pPr>
      <w:r w:rsidRPr="001170E4">
        <w:rPr>
          <w:rFonts w:ascii="Times New Roman" w:hAnsi="Times New Roman" w:cs="Times New Roman"/>
        </w:rPr>
        <w:t>The country is still challenged by poorly located, inadequate and under-maintained infrastructure.</w:t>
      </w:r>
    </w:p>
    <w:p w14:paraId="64E2378C" w14:textId="77777777" w:rsidR="00BB1EE2" w:rsidRPr="001170E4" w:rsidRDefault="00BB1EE2" w:rsidP="00F72F11">
      <w:pPr>
        <w:numPr>
          <w:ilvl w:val="0"/>
          <w:numId w:val="6"/>
        </w:numPr>
        <w:spacing w:after="0" w:line="360" w:lineRule="auto"/>
        <w:jc w:val="both"/>
        <w:rPr>
          <w:rFonts w:ascii="Times New Roman" w:hAnsi="Times New Roman" w:cs="Times New Roman"/>
        </w:rPr>
      </w:pPr>
      <w:r w:rsidRPr="001170E4">
        <w:rPr>
          <w:rFonts w:ascii="Times New Roman" w:hAnsi="Times New Roman" w:cs="Times New Roman"/>
        </w:rPr>
        <w:t>Inclusive development is impeded by the spatial divisions within the country.</w:t>
      </w:r>
    </w:p>
    <w:p w14:paraId="5579DCBC" w14:textId="77777777" w:rsidR="00BB1EE2" w:rsidRPr="001170E4" w:rsidRDefault="00BB1EE2" w:rsidP="00F72F11">
      <w:pPr>
        <w:numPr>
          <w:ilvl w:val="0"/>
          <w:numId w:val="6"/>
        </w:numPr>
        <w:spacing w:after="0" w:line="360" w:lineRule="auto"/>
        <w:jc w:val="both"/>
        <w:rPr>
          <w:rFonts w:ascii="Times New Roman" w:hAnsi="Times New Roman" w:cs="Times New Roman"/>
        </w:rPr>
      </w:pPr>
      <w:r w:rsidRPr="001170E4">
        <w:rPr>
          <w:rFonts w:ascii="Times New Roman" w:hAnsi="Times New Roman" w:cs="Times New Roman"/>
        </w:rPr>
        <w:t>People receive uneven and often poor quality public services.</w:t>
      </w:r>
    </w:p>
    <w:p w14:paraId="3F160132" w14:textId="77777777" w:rsidR="00BB1EE2" w:rsidRPr="001170E4" w:rsidRDefault="00BB1EE2" w:rsidP="00F72F11">
      <w:pPr>
        <w:numPr>
          <w:ilvl w:val="0"/>
          <w:numId w:val="6"/>
        </w:numPr>
        <w:spacing w:after="0" w:line="360" w:lineRule="auto"/>
        <w:jc w:val="both"/>
        <w:rPr>
          <w:rFonts w:ascii="Times New Roman" w:hAnsi="Times New Roman" w:cs="Times New Roman"/>
        </w:rPr>
      </w:pPr>
      <w:r w:rsidRPr="001170E4">
        <w:rPr>
          <w:rFonts w:ascii="Times New Roman" w:hAnsi="Times New Roman" w:cs="Times New Roman"/>
        </w:rPr>
        <w:t>Levels of corruption remain high.</w:t>
      </w:r>
    </w:p>
    <w:p w14:paraId="4A38C064" w14:textId="77777777" w:rsidR="00BB1EE2" w:rsidRPr="001170E4" w:rsidRDefault="00BB1EE2" w:rsidP="00F72F11">
      <w:pPr>
        <w:spacing w:line="360" w:lineRule="auto"/>
        <w:jc w:val="both"/>
        <w:rPr>
          <w:rFonts w:ascii="Times New Roman" w:hAnsi="Times New Roman" w:cs="Times New Roman"/>
        </w:rPr>
      </w:pPr>
    </w:p>
    <w:p w14:paraId="7E39A560" w14:textId="77777777" w:rsidR="00BB1EE2" w:rsidRPr="001170E4" w:rsidRDefault="00BB1EE2" w:rsidP="00F72F11">
      <w:pPr>
        <w:spacing w:line="360" w:lineRule="auto"/>
        <w:jc w:val="both"/>
        <w:rPr>
          <w:rFonts w:ascii="Times New Roman" w:hAnsi="Times New Roman" w:cs="Times New Roman"/>
          <w:lang w:eastAsia="en-ZA"/>
        </w:rPr>
      </w:pPr>
      <w:r w:rsidRPr="001170E4">
        <w:rPr>
          <w:rFonts w:ascii="Times New Roman" w:hAnsi="Times New Roman" w:cs="Times New Roman"/>
          <w:lang w:eastAsia="en-ZA"/>
        </w:rPr>
        <w:t>The NDP emphasised the “provisions of income support to the unemployed through various active labour market initiatives such as public works programmes, training and skills development, and other labour market related incentives.”</w:t>
      </w:r>
      <w:r w:rsidRPr="001170E4">
        <w:rPr>
          <w:rStyle w:val="FootnoteReference"/>
          <w:rFonts w:ascii="Times New Roman" w:hAnsi="Times New Roman" w:cs="Times New Roman"/>
          <w:lang w:eastAsia="en-ZA"/>
        </w:rPr>
        <w:footnoteReference w:id="3"/>
      </w:r>
      <w:r w:rsidR="00875CC2" w:rsidRPr="001170E4">
        <w:rPr>
          <w:rFonts w:ascii="Times New Roman" w:hAnsi="Times New Roman" w:cs="Times New Roman"/>
          <w:lang w:eastAsia="en-ZA"/>
        </w:rPr>
        <w:t xml:space="preserve"> The focus referred to earlier through the DPW’s function of coordinating work opportunities created through EPWP projects, attempts to deal with this challenge.</w:t>
      </w:r>
    </w:p>
    <w:p w14:paraId="048A470B" w14:textId="77777777" w:rsidR="00BB1EE2" w:rsidRPr="001170E4" w:rsidRDefault="00875CC2" w:rsidP="00F72F11">
      <w:pPr>
        <w:spacing w:line="360" w:lineRule="auto"/>
        <w:jc w:val="both"/>
        <w:rPr>
          <w:rFonts w:ascii="Times New Roman" w:hAnsi="Times New Roman" w:cs="Times New Roman"/>
          <w:bCs/>
        </w:rPr>
      </w:pPr>
      <w:r w:rsidRPr="001170E4">
        <w:rPr>
          <w:rFonts w:ascii="Times New Roman" w:hAnsi="Times New Roman" w:cs="Times New Roman"/>
          <w:bCs/>
        </w:rPr>
        <w:t>In</w:t>
      </w:r>
      <w:r w:rsidR="00BB1EE2" w:rsidRPr="001170E4">
        <w:rPr>
          <w:rFonts w:ascii="Times New Roman" w:hAnsi="Times New Roman" w:cs="Times New Roman"/>
          <w:bCs/>
        </w:rPr>
        <w:t xml:space="preserve"> the 2015 State of the Nation address</w:t>
      </w:r>
      <w:r w:rsidRPr="001170E4">
        <w:rPr>
          <w:rFonts w:ascii="Times New Roman" w:hAnsi="Times New Roman" w:cs="Times New Roman"/>
          <w:bCs/>
        </w:rPr>
        <w:t xml:space="preserve"> the President announced a Nine Point Plan</w:t>
      </w:r>
      <w:r w:rsidR="00BB1EE2" w:rsidRPr="001170E4">
        <w:rPr>
          <w:rFonts w:ascii="Times New Roman" w:hAnsi="Times New Roman" w:cs="Times New Roman"/>
          <w:bCs/>
        </w:rPr>
        <w:t>, which is expected to address the need to grow the economy and stimulate job creation. The President, in the 2017 SONA again listed the policy priorities that respond to some of the challenges affecting the country. These include:</w:t>
      </w:r>
    </w:p>
    <w:p w14:paraId="47D42B84" w14:textId="77777777" w:rsidR="00BB1EE2" w:rsidRPr="001170E4" w:rsidRDefault="00BB1EE2" w:rsidP="00F72F11">
      <w:pPr>
        <w:numPr>
          <w:ilvl w:val="0"/>
          <w:numId w:val="2"/>
        </w:numPr>
        <w:autoSpaceDE w:val="0"/>
        <w:autoSpaceDN w:val="0"/>
        <w:adjustRightInd w:val="0"/>
        <w:spacing w:after="0" w:line="360" w:lineRule="auto"/>
        <w:jc w:val="both"/>
        <w:rPr>
          <w:rFonts w:ascii="Times New Roman" w:eastAsia="ArialMT" w:hAnsi="Times New Roman" w:cs="Times New Roman"/>
          <w:lang w:eastAsia="en-ZA"/>
        </w:rPr>
      </w:pPr>
      <w:r w:rsidRPr="001170E4">
        <w:rPr>
          <w:rFonts w:ascii="Times New Roman" w:eastAsia="ArialMT" w:hAnsi="Times New Roman" w:cs="Times New Roman"/>
          <w:lang w:eastAsia="en-ZA"/>
        </w:rPr>
        <w:t>“Electricity challenges.</w:t>
      </w:r>
    </w:p>
    <w:p w14:paraId="31963B79" w14:textId="77777777" w:rsidR="00BB1EE2" w:rsidRPr="001170E4" w:rsidRDefault="00BB1EE2" w:rsidP="00F72F11">
      <w:pPr>
        <w:numPr>
          <w:ilvl w:val="0"/>
          <w:numId w:val="2"/>
        </w:numPr>
        <w:autoSpaceDE w:val="0"/>
        <w:autoSpaceDN w:val="0"/>
        <w:adjustRightInd w:val="0"/>
        <w:spacing w:after="0" w:line="360" w:lineRule="auto"/>
        <w:jc w:val="both"/>
        <w:rPr>
          <w:rFonts w:ascii="Times New Roman" w:eastAsia="ArialMT" w:hAnsi="Times New Roman" w:cs="Times New Roman"/>
          <w:lang w:eastAsia="en-ZA"/>
        </w:rPr>
      </w:pPr>
      <w:r w:rsidRPr="001170E4">
        <w:rPr>
          <w:rFonts w:ascii="Times New Roman" w:eastAsia="ArialMT" w:hAnsi="Times New Roman" w:cs="Times New Roman"/>
          <w:lang w:eastAsia="en-ZA"/>
        </w:rPr>
        <w:t>Inadequate economic infrastructure in general.</w:t>
      </w:r>
    </w:p>
    <w:p w14:paraId="6B746699" w14:textId="77777777" w:rsidR="00BB1EE2" w:rsidRPr="001170E4" w:rsidRDefault="00BB1EE2" w:rsidP="00F72F11">
      <w:pPr>
        <w:numPr>
          <w:ilvl w:val="0"/>
          <w:numId w:val="2"/>
        </w:numPr>
        <w:autoSpaceDE w:val="0"/>
        <w:autoSpaceDN w:val="0"/>
        <w:adjustRightInd w:val="0"/>
        <w:spacing w:after="0" w:line="360" w:lineRule="auto"/>
        <w:jc w:val="both"/>
        <w:rPr>
          <w:rFonts w:ascii="Times New Roman" w:eastAsia="ArialMT" w:hAnsi="Times New Roman" w:cs="Times New Roman"/>
          <w:lang w:eastAsia="en-ZA"/>
        </w:rPr>
      </w:pPr>
      <w:r w:rsidRPr="001170E4">
        <w:rPr>
          <w:rFonts w:ascii="Times New Roman" w:eastAsia="ArialMT" w:hAnsi="Times New Roman" w:cs="Times New Roman"/>
          <w:lang w:eastAsia="en-ZA"/>
        </w:rPr>
        <w:t xml:space="preserve">Unwieldy regulatory processes </w:t>
      </w:r>
      <w:r w:rsidR="003601E1">
        <w:rPr>
          <w:rFonts w:ascii="Times New Roman" w:eastAsia="ArialMT" w:hAnsi="Times New Roman" w:cs="Times New Roman"/>
          <w:lang w:eastAsia="en-ZA"/>
        </w:rPr>
        <w:t xml:space="preserve">that </w:t>
      </w:r>
      <w:r w:rsidRPr="001170E4">
        <w:rPr>
          <w:rFonts w:ascii="Times New Roman" w:eastAsia="ArialMT" w:hAnsi="Times New Roman" w:cs="Times New Roman"/>
          <w:lang w:eastAsia="en-ZA"/>
        </w:rPr>
        <w:t>delay investment.</w:t>
      </w:r>
    </w:p>
    <w:p w14:paraId="6B90ED05" w14:textId="77777777" w:rsidR="00BB1EE2" w:rsidRPr="001170E4" w:rsidRDefault="00BB1EE2" w:rsidP="00F72F11">
      <w:pPr>
        <w:numPr>
          <w:ilvl w:val="0"/>
          <w:numId w:val="2"/>
        </w:numPr>
        <w:autoSpaceDE w:val="0"/>
        <w:autoSpaceDN w:val="0"/>
        <w:adjustRightInd w:val="0"/>
        <w:spacing w:after="0" w:line="360" w:lineRule="auto"/>
        <w:jc w:val="both"/>
        <w:rPr>
          <w:rFonts w:ascii="Times New Roman" w:eastAsia="ArialMT" w:hAnsi="Times New Roman" w:cs="Times New Roman"/>
          <w:lang w:eastAsia="en-ZA"/>
        </w:rPr>
      </w:pPr>
      <w:r w:rsidRPr="001170E4">
        <w:rPr>
          <w:rFonts w:ascii="Times New Roman" w:eastAsia="ArialMT" w:hAnsi="Times New Roman" w:cs="Times New Roman"/>
          <w:lang w:eastAsia="en-ZA"/>
        </w:rPr>
        <w:t>Insufficient Government coordination, which contributes to investor uncertainty.”</w:t>
      </w:r>
    </w:p>
    <w:p w14:paraId="31E1D952" w14:textId="77777777" w:rsidR="00BB1EE2" w:rsidRDefault="00BB1EE2" w:rsidP="00F72F11">
      <w:pPr>
        <w:autoSpaceDE w:val="0"/>
        <w:autoSpaceDN w:val="0"/>
        <w:adjustRightInd w:val="0"/>
        <w:spacing w:line="360" w:lineRule="auto"/>
        <w:jc w:val="both"/>
        <w:rPr>
          <w:rFonts w:ascii="Times New Roman" w:eastAsia="ArialMT" w:hAnsi="Times New Roman" w:cs="Times New Roman"/>
          <w:lang w:eastAsia="en-ZA"/>
        </w:rPr>
      </w:pPr>
    </w:p>
    <w:p w14:paraId="405AE60C" w14:textId="77777777" w:rsidR="00F300D2" w:rsidRDefault="00655307" w:rsidP="00F72F11">
      <w:pPr>
        <w:autoSpaceDE w:val="0"/>
        <w:autoSpaceDN w:val="0"/>
        <w:adjustRightInd w:val="0"/>
        <w:spacing w:line="360" w:lineRule="auto"/>
        <w:jc w:val="both"/>
        <w:rPr>
          <w:rFonts w:ascii="Times New Roman" w:hAnsi="Times New Roman" w:cs="Times New Roman"/>
        </w:rPr>
      </w:pPr>
      <w:r>
        <w:rPr>
          <w:rFonts w:ascii="Times New Roman" w:eastAsia="ArialMT" w:hAnsi="Times New Roman" w:cs="Times New Roman"/>
          <w:lang w:eastAsia="en-ZA"/>
        </w:rPr>
        <w:t xml:space="preserve">In the 2018 State of the Nation Address the President </w:t>
      </w:r>
      <w:r w:rsidR="00665697">
        <w:rPr>
          <w:rFonts w:ascii="Times New Roman" w:eastAsia="ArialMT" w:hAnsi="Times New Roman" w:cs="Times New Roman"/>
          <w:lang w:eastAsia="en-ZA"/>
        </w:rPr>
        <w:t>emphasised the contribution DPW through the Expanded Public Works Programme, referring to the creation of “</w:t>
      </w:r>
      <w:r w:rsidR="00665697" w:rsidRPr="00E2095A">
        <w:rPr>
          <w:rFonts w:ascii="Times New Roman" w:hAnsi="Times New Roman" w:cs="Times New Roman"/>
        </w:rPr>
        <w:t>more than 3.2-million work opportunities. In the context of widespread unemployment, they continue to provide much-needed income, work experience and training.</w:t>
      </w:r>
      <w:r w:rsidR="00665697">
        <w:rPr>
          <w:rFonts w:ascii="Times New Roman" w:hAnsi="Times New Roman" w:cs="Times New Roman"/>
        </w:rPr>
        <w:t>”</w:t>
      </w:r>
      <w:r w:rsidR="00F300D2">
        <w:rPr>
          <w:rStyle w:val="FootnoteReference"/>
          <w:rFonts w:ascii="Times New Roman" w:hAnsi="Times New Roman" w:cs="Times New Roman"/>
        </w:rPr>
        <w:footnoteReference w:id="4"/>
      </w:r>
      <w:r w:rsidR="00665697">
        <w:rPr>
          <w:rFonts w:ascii="Times New Roman" w:hAnsi="Times New Roman" w:cs="Times New Roman"/>
        </w:rPr>
        <w:t xml:space="preserve"> </w:t>
      </w:r>
    </w:p>
    <w:p w14:paraId="7A382A3B" w14:textId="77777777" w:rsidR="00655307" w:rsidRPr="001170E4" w:rsidRDefault="00665697" w:rsidP="00F72F11">
      <w:pPr>
        <w:autoSpaceDE w:val="0"/>
        <w:autoSpaceDN w:val="0"/>
        <w:adjustRightInd w:val="0"/>
        <w:spacing w:line="360" w:lineRule="auto"/>
        <w:jc w:val="both"/>
        <w:rPr>
          <w:rFonts w:ascii="Times New Roman" w:eastAsia="ArialMT" w:hAnsi="Times New Roman" w:cs="Times New Roman"/>
          <w:lang w:eastAsia="en-ZA"/>
        </w:rPr>
      </w:pPr>
      <w:r>
        <w:rPr>
          <w:rFonts w:ascii="Times New Roman" w:hAnsi="Times New Roman" w:cs="Times New Roman"/>
        </w:rPr>
        <w:t>The President further</w:t>
      </w:r>
      <w:r w:rsidRPr="00E2095A">
        <w:rPr>
          <w:rStyle w:val="antenna"/>
          <w:rFonts w:ascii="Times New Roman" w:hAnsi="Times New Roman" w:cs="Times New Roman"/>
        </w:rPr>
        <w:t xml:space="preserve"> </w:t>
      </w:r>
      <w:r w:rsidR="00655307">
        <w:rPr>
          <w:rFonts w:ascii="Times New Roman" w:eastAsia="ArialMT" w:hAnsi="Times New Roman" w:cs="Times New Roman"/>
          <w:lang w:eastAsia="en-ZA"/>
        </w:rPr>
        <w:t>stated: “</w:t>
      </w:r>
      <w:r w:rsidR="00655307" w:rsidRPr="00E2095A">
        <w:rPr>
          <w:rFonts w:ascii="Times New Roman" w:hAnsi="Times New Roman" w:cs="Times New Roman"/>
        </w:rPr>
        <w:t>At the centre of our national agenda in 2018 is the creation of jobs, especially for the youth</w:t>
      </w:r>
      <w:r w:rsidR="00655307">
        <w:rPr>
          <w:rFonts w:ascii="Times New Roman" w:hAnsi="Times New Roman" w:cs="Times New Roman"/>
        </w:rPr>
        <w:t>.”</w:t>
      </w:r>
      <w:r w:rsidR="00592625">
        <w:rPr>
          <w:rStyle w:val="FootnoteReference"/>
          <w:rFonts w:ascii="Times New Roman" w:hAnsi="Times New Roman" w:cs="Times New Roman"/>
        </w:rPr>
        <w:footnoteReference w:id="5"/>
      </w:r>
      <w:r w:rsidR="00655307">
        <w:rPr>
          <w:rFonts w:ascii="Times New Roman" w:hAnsi="Times New Roman" w:cs="Times New Roman"/>
        </w:rPr>
        <w:t xml:space="preserve"> A number of measures would be taken to address the challenges identified over the last few years. </w:t>
      </w:r>
      <w:r w:rsidR="009226DA">
        <w:rPr>
          <w:rFonts w:ascii="Times New Roman" w:hAnsi="Times New Roman" w:cs="Times New Roman"/>
        </w:rPr>
        <w:t xml:space="preserve">Amongst these are </w:t>
      </w:r>
      <w:r w:rsidR="009226DA" w:rsidRPr="00E2095A">
        <w:rPr>
          <w:rFonts w:ascii="Times New Roman" w:hAnsi="Times New Roman" w:cs="Times New Roman"/>
        </w:rPr>
        <w:t xml:space="preserve">a jobs summit </w:t>
      </w:r>
      <w:r w:rsidR="009226DA">
        <w:rPr>
          <w:rFonts w:ascii="Times New Roman" w:hAnsi="Times New Roman" w:cs="Times New Roman"/>
        </w:rPr>
        <w:t>that would be arranged “</w:t>
      </w:r>
      <w:r w:rsidR="009226DA" w:rsidRPr="00E2095A">
        <w:rPr>
          <w:rFonts w:ascii="Times New Roman" w:hAnsi="Times New Roman" w:cs="Times New Roman"/>
        </w:rPr>
        <w:t>to align the efforts of every sector and every stakeholder behind the imperative of job creation.</w:t>
      </w:r>
      <w:r w:rsidR="009226DA">
        <w:rPr>
          <w:rFonts w:ascii="Times New Roman" w:hAnsi="Times New Roman" w:cs="Times New Roman"/>
        </w:rPr>
        <w:t>”</w:t>
      </w:r>
      <w:r w:rsidR="00F300D2">
        <w:rPr>
          <w:rStyle w:val="FootnoteReference"/>
          <w:rFonts w:ascii="Times New Roman" w:hAnsi="Times New Roman" w:cs="Times New Roman"/>
        </w:rPr>
        <w:footnoteReference w:id="6"/>
      </w:r>
      <w:r w:rsidR="009226DA">
        <w:rPr>
          <w:rFonts w:ascii="Times New Roman" w:hAnsi="Times New Roman" w:cs="Times New Roman"/>
        </w:rPr>
        <w:t xml:space="preserve"> </w:t>
      </w:r>
    </w:p>
    <w:p w14:paraId="57B90B66" w14:textId="0112AFE3" w:rsidR="0072730A" w:rsidRPr="00380ED0" w:rsidRDefault="0072730A" w:rsidP="00F72F11">
      <w:pPr>
        <w:spacing w:line="360" w:lineRule="auto"/>
        <w:jc w:val="both"/>
        <w:rPr>
          <w:rFonts w:ascii="Times New Roman" w:hAnsi="Times New Roman" w:cs="Times New Roman"/>
          <w:bCs/>
        </w:rPr>
      </w:pPr>
      <w:r w:rsidRPr="00380ED0">
        <w:rPr>
          <w:rFonts w:ascii="Times New Roman" w:hAnsi="Times New Roman" w:cs="Times New Roman"/>
          <w:bCs/>
        </w:rPr>
        <w:lastRenderedPageBreak/>
        <w:t xml:space="preserve">In the 2018/19 APP the Department continues to be responsive to </w:t>
      </w:r>
      <w:r w:rsidRPr="001170E4">
        <w:rPr>
          <w:rFonts w:ascii="Times New Roman" w:hAnsi="Times New Roman" w:cs="Times New Roman"/>
          <w:bCs/>
        </w:rPr>
        <w:t xml:space="preserve">the following </w:t>
      </w:r>
      <w:r w:rsidRPr="00380ED0">
        <w:rPr>
          <w:rFonts w:ascii="Times New Roman" w:hAnsi="Times New Roman" w:cs="Times New Roman"/>
          <w:bCs/>
        </w:rPr>
        <w:t>United Nations Susta</w:t>
      </w:r>
      <w:r w:rsidRPr="001170E4">
        <w:rPr>
          <w:rFonts w:ascii="Times New Roman" w:hAnsi="Times New Roman" w:cs="Times New Roman"/>
          <w:bCs/>
        </w:rPr>
        <w:t>inable Development Goals (SDGs)</w:t>
      </w:r>
      <w:r w:rsidR="00473B2C">
        <w:rPr>
          <w:rFonts w:ascii="Times New Roman" w:hAnsi="Times New Roman" w:cs="Times New Roman"/>
          <w:bCs/>
        </w:rPr>
        <w:t>:</w:t>
      </w:r>
      <w:r w:rsidRPr="001170E4">
        <w:rPr>
          <w:rFonts w:ascii="Times New Roman" w:hAnsi="Times New Roman" w:cs="Times New Roman"/>
          <w:bCs/>
          <w:vertAlign w:val="superscript"/>
        </w:rPr>
        <w:footnoteReference w:id="7"/>
      </w:r>
    </w:p>
    <w:p w14:paraId="70F72C88" w14:textId="77777777" w:rsidR="00BB1EE2" w:rsidRPr="001170E4" w:rsidRDefault="00BB1EE2" w:rsidP="00F72F11">
      <w:pPr>
        <w:spacing w:line="360" w:lineRule="auto"/>
        <w:ind w:left="720"/>
        <w:jc w:val="both"/>
        <w:rPr>
          <w:rFonts w:ascii="Times New Roman" w:hAnsi="Times New Roman" w:cs="Times New Roman"/>
          <w:bCs/>
        </w:rPr>
      </w:pPr>
      <w:r w:rsidRPr="001170E4">
        <w:rPr>
          <w:rFonts w:ascii="Times New Roman" w:hAnsi="Times New Roman" w:cs="Times New Roman"/>
          <w:bCs/>
        </w:rPr>
        <w:t xml:space="preserve">Goal 1: End poverty in all its forms everywhere. </w:t>
      </w:r>
    </w:p>
    <w:p w14:paraId="55744D7F" w14:textId="77777777" w:rsidR="00BB1EE2" w:rsidRPr="001170E4" w:rsidRDefault="00BB1EE2" w:rsidP="00F72F11">
      <w:pPr>
        <w:spacing w:line="360" w:lineRule="auto"/>
        <w:ind w:left="720"/>
        <w:jc w:val="both"/>
        <w:rPr>
          <w:rFonts w:ascii="Times New Roman" w:hAnsi="Times New Roman" w:cs="Times New Roman"/>
          <w:bCs/>
        </w:rPr>
      </w:pPr>
      <w:r w:rsidRPr="001170E4">
        <w:rPr>
          <w:rFonts w:ascii="Times New Roman" w:hAnsi="Times New Roman" w:cs="Times New Roman"/>
          <w:bCs/>
        </w:rPr>
        <w:t>Goal 8: Promote sustained, inclusive and sustainable economic growth, full and productive employment and decent work for all.</w:t>
      </w:r>
    </w:p>
    <w:p w14:paraId="69CDF726" w14:textId="77777777" w:rsidR="00BB1EE2" w:rsidRPr="001170E4" w:rsidRDefault="00BB1EE2" w:rsidP="00F72F11">
      <w:pPr>
        <w:spacing w:line="360" w:lineRule="auto"/>
        <w:ind w:left="720"/>
        <w:jc w:val="both"/>
        <w:rPr>
          <w:rFonts w:ascii="Times New Roman" w:hAnsi="Times New Roman" w:cs="Times New Roman"/>
          <w:bCs/>
        </w:rPr>
      </w:pPr>
      <w:r w:rsidRPr="001170E4">
        <w:rPr>
          <w:rFonts w:ascii="Times New Roman" w:hAnsi="Times New Roman" w:cs="Times New Roman"/>
          <w:bCs/>
        </w:rPr>
        <w:t xml:space="preserve">Goal 9: Build resilient infrastructure, promote inclusive and sustainable industrialisation and foster innovation. </w:t>
      </w:r>
    </w:p>
    <w:p w14:paraId="1D8F49DE" w14:textId="77777777" w:rsidR="00BB1EE2" w:rsidRPr="001170E4" w:rsidRDefault="00BB1EE2" w:rsidP="00F72F11">
      <w:pPr>
        <w:spacing w:line="360" w:lineRule="auto"/>
        <w:ind w:left="720"/>
        <w:jc w:val="both"/>
        <w:rPr>
          <w:rFonts w:ascii="Times New Roman" w:hAnsi="Times New Roman" w:cs="Times New Roman"/>
          <w:bCs/>
        </w:rPr>
      </w:pPr>
      <w:r w:rsidRPr="001170E4">
        <w:rPr>
          <w:rFonts w:ascii="Times New Roman" w:hAnsi="Times New Roman" w:cs="Times New Roman"/>
          <w:bCs/>
        </w:rPr>
        <w:t>Goal 13: Take urgent action to combat climate change and its impacts.</w:t>
      </w:r>
    </w:p>
    <w:p w14:paraId="1D11940E" w14:textId="77777777" w:rsidR="00C0061E" w:rsidRPr="001170E4" w:rsidRDefault="00C0061E" w:rsidP="00F72F11">
      <w:pPr>
        <w:spacing w:line="360" w:lineRule="auto"/>
        <w:jc w:val="both"/>
        <w:rPr>
          <w:rFonts w:ascii="Times New Roman" w:hAnsi="Times New Roman" w:cs="Times New Roman"/>
          <w:bCs/>
        </w:rPr>
      </w:pPr>
    </w:p>
    <w:p w14:paraId="46699EB9"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 xml:space="preserve">Analysis of the Strategic Plans, Annual Performance Plans and Budget allocations </w:t>
      </w:r>
    </w:p>
    <w:p w14:paraId="5CFAFD8A"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 xml:space="preserve">This section of the report deals with the analysis of respectively, the Department of Public Works (DPW), and the Property Management Trading Entity (PMTE). This is followed by an analysis of each of the entities reporting to the Minister of Public Works, namely, Agrément South Africa (ASA), the Independent Development Trust (IDT), the Construction Industry Development Board (CIDB), and the Council for the Built Environment (CBE). </w:t>
      </w:r>
    </w:p>
    <w:p w14:paraId="23DD8B46" w14:textId="77777777" w:rsidR="0037320C" w:rsidRPr="001170E4" w:rsidRDefault="0037320C" w:rsidP="00F72F11">
      <w:pPr>
        <w:spacing w:line="360" w:lineRule="auto"/>
        <w:jc w:val="both"/>
        <w:rPr>
          <w:rFonts w:ascii="Times New Roman" w:hAnsi="Times New Roman" w:cs="Times New Roman"/>
          <w:b/>
        </w:rPr>
      </w:pPr>
    </w:p>
    <w:p w14:paraId="0534C4BD"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1. The Department of Public Works (DPW)</w:t>
      </w:r>
    </w:p>
    <w:p w14:paraId="546C4500" w14:textId="44F24027" w:rsidR="00BB1EE2" w:rsidRPr="001170E4" w:rsidRDefault="00BB1EE2" w:rsidP="00F72F11">
      <w:pPr>
        <w:pStyle w:val="Normalbold"/>
        <w:spacing w:line="360" w:lineRule="auto"/>
        <w:rPr>
          <w:rFonts w:ascii="Times New Roman" w:hAnsi="Times New Roman"/>
          <w:b w:val="0"/>
          <w:color w:val="auto"/>
          <w:szCs w:val="22"/>
        </w:rPr>
      </w:pPr>
      <w:r w:rsidRPr="001170E4">
        <w:rPr>
          <w:rFonts w:ascii="Times New Roman" w:hAnsi="Times New Roman"/>
          <w:b w:val="0"/>
          <w:color w:val="auto"/>
          <w:szCs w:val="22"/>
        </w:rPr>
        <w:t>The Department’s mandate includes the following functional responsibilities in terms of the Government Immovable Asset Management Act (No. 19 of 2007) following the operationalisation of Property Management Trading Entity (PMTE) as an internally operating entity that performs the following operations that used to be done by the DPW</w:t>
      </w:r>
      <w:r w:rsidR="00A35E65">
        <w:rPr>
          <w:rFonts w:ascii="Times New Roman" w:hAnsi="Times New Roman"/>
          <w:b w:val="0"/>
          <w:color w:val="auto"/>
          <w:szCs w:val="22"/>
        </w:rPr>
        <w:t>:</w:t>
      </w:r>
      <w:r w:rsidRPr="001170E4">
        <w:rPr>
          <w:rStyle w:val="FootnoteReference"/>
          <w:rFonts w:ascii="Times New Roman" w:hAnsi="Times New Roman"/>
          <w:b w:val="0"/>
          <w:color w:val="auto"/>
          <w:szCs w:val="22"/>
        </w:rPr>
        <w:footnoteReference w:id="8"/>
      </w:r>
    </w:p>
    <w:p w14:paraId="589FEFA2" w14:textId="1C93E3D9" w:rsidR="00BB1EE2" w:rsidRPr="001170E4" w:rsidRDefault="00BB1EE2" w:rsidP="007D3D2E">
      <w:pPr>
        <w:numPr>
          <w:ilvl w:val="0"/>
          <w:numId w:val="4"/>
        </w:numPr>
        <w:tabs>
          <w:tab w:val="clear" w:pos="360"/>
          <w:tab w:val="num" w:pos="851"/>
        </w:tabs>
        <w:spacing w:after="0" w:line="360" w:lineRule="auto"/>
        <w:ind w:left="851" w:hanging="284"/>
        <w:jc w:val="both"/>
        <w:rPr>
          <w:rFonts w:ascii="Times New Roman" w:hAnsi="Times New Roman" w:cs="Times New Roman"/>
        </w:rPr>
      </w:pPr>
      <w:r w:rsidRPr="001170E4">
        <w:rPr>
          <w:rFonts w:ascii="Times New Roman" w:hAnsi="Times New Roman" w:cs="Times New Roman"/>
        </w:rPr>
        <w:t>Undertake the custodial and portfolio management of national Government’s immovable assets</w:t>
      </w:r>
      <w:r w:rsidR="00A35E65">
        <w:rPr>
          <w:rFonts w:ascii="Times New Roman" w:hAnsi="Times New Roman" w:cs="Times New Roman"/>
        </w:rPr>
        <w:t>.</w:t>
      </w:r>
      <w:r w:rsidRPr="001170E4">
        <w:rPr>
          <w:rStyle w:val="FootnoteReference"/>
          <w:rFonts w:ascii="Times New Roman" w:hAnsi="Times New Roman" w:cs="Times New Roman"/>
        </w:rPr>
        <w:footnoteReference w:id="9"/>
      </w:r>
      <w:r w:rsidRPr="001170E4">
        <w:rPr>
          <w:rFonts w:ascii="Times New Roman" w:hAnsi="Times New Roman" w:cs="Times New Roman"/>
          <w:b/>
        </w:rPr>
        <w:t xml:space="preserve"> </w:t>
      </w:r>
    </w:p>
    <w:p w14:paraId="0AB90381" w14:textId="77777777" w:rsidR="00BB1EE2" w:rsidRPr="001170E4" w:rsidRDefault="00BB1EE2" w:rsidP="007D3D2E">
      <w:pPr>
        <w:numPr>
          <w:ilvl w:val="0"/>
          <w:numId w:val="4"/>
        </w:numPr>
        <w:tabs>
          <w:tab w:val="clear" w:pos="360"/>
          <w:tab w:val="num" w:pos="851"/>
        </w:tabs>
        <w:spacing w:after="0" w:line="360" w:lineRule="auto"/>
        <w:ind w:left="851" w:hanging="284"/>
        <w:jc w:val="both"/>
        <w:rPr>
          <w:rFonts w:ascii="Times New Roman" w:hAnsi="Times New Roman" w:cs="Times New Roman"/>
        </w:rPr>
      </w:pPr>
      <w:r w:rsidRPr="001170E4">
        <w:rPr>
          <w:rFonts w:ascii="Times New Roman" w:hAnsi="Times New Roman" w:cs="Times New Roman"/>
        </w:rPr>
        <w:t>Formulate policy, coordinate, regulate and undertake oversight in the provision of accommodation and expert built environment services to Client Departments at national government level.</w:t>
      </w:r>
      <w:r w:rsidRPr="001170E4" w:rsidDel="00E06647">
        <w:rPr>
          <w:rFonts w:ascii="Times New Roman" w:hAnsi="Times New Roman" w:cs="Times New Roman"/>
        </w:rPr>
        <w:t xml:space="preserve"> </w:t>
      </w:r>
    </w:p>
    <w:p w14:paraId="76C823AF" w14:textId="77777777" w:rsidR="00BB1EE2" w:rsidRPr="001170E4" w:rsidRDefault="00BB1EE2" w:rsidP="007D3D2E">
      <w:pPr>
        <w:numPr>
          <w:ilvl w:val="0"/>
          <w:numId w:val="4"/>
        </w:numPr>
        <w:tabs>
          <w:tab w:val="clear" w:pos="360"/>
          <w:tab w:val="num" w:pos="851"/>
        </w:tabs>
        <w:spacing w:after="0" w:line="360" w:lineRule="auto"/>
        <w:ind w:left="851" w:hanging="284"/>
        <w:jc w:val="both"/>
        <w:rPr>
          <w:rFonts w:ascii="Times New Roman" w:hAnsi="Times New Roman" w:cs="Times New Roman"/>
        </w:rPr>
      </w:pPr>
      <w:r w:rsidRPr="001170E4">
        <w:rPr>
          <w:rFonts w:ascii="Times New Roman" w:hAnsi="Times New Roman" w:cs="Times New Roman"/>
        </w:rPr>
        <w:t>Plan, acquire, manage and dispose of immovable assets under its custodianship.</w:t>
      </w:r>
      <w:r w:rsidRPr="001170E4" w:rsidDel="00E06647">
        <w:rPr>
          <w:rFonts w:ascii="Times New Roman" w:hAnsi="Times New Roman" w:cs="Times New Roman"/>
        </w:rPr>
        <w:t xml:space="preserve"> </w:t>
      </w:r>
    </w:p>
    <w:p w14:paraId="770DD6C6" w14:textId="77777777" w:rsidR="00BB1EE2" w:rsidRPr="001170E4" w:rsidRDefault="00BB1EE2" w:rsidP="00F72F11">
      <w:pPr>
        <w:spacing w:line="360" w:lineRule="auto"/>
        <w:jc w:val="both"/>
        <w:rPr>
          <w:rFonts w:ascii="Times New Roman" w:hAnsi="Times New Roman" w:cs="Times New Roman"/>
        </w:rPr>
      </w:pPr>
    </w:p>
    <w:p w14:paraId="68F560D7" w14:textId="77777777" w:rsidR="00BB1EE2" w:rsidRPr="001170E4" w:rsidRDefault="00BB1EE2" w:rsidP="00F72F11">
      <w:pPr>
        <w:pStyle w:val="Normalbold"/>
        <w:spacing w:line="360" w:lineRule="auto"/>
        <w:rPr>
          <w:rFonts w:ascii="Times New Roman" w:hAnsi="Times New Roman"/>
          <w:b w:val="0"/>
          <w:color w:val="auto"/>
          <w:szCs w:val="22"/>
        </w:rPr>
      </w:pPr>
      <w:r w:rsidRPr="001170E4">
        <w:rPr>
          <w:rFonts w:ascii="Times New Roman" w:hAnsi="Times New Roman"/>
          <w:b w:val="0"/>
          <w:color w:val="auto"/>
          <w:szCs w:val="22"/>
        </w:rPr>
        <w:t xml:space="preserve">As mentioned above, the Department of Public Works is also responsible for four entities. These are: </w:t>
      </w:r>
    </w:p>
    <w:p w14:paraId="2890FC23" w14:textId="77777777" w:rsidR="00BB1EE2" w:rsidRPr="001170E4" w:rsidRDefault="00BB1EE2" w:rsidP="007D3D2E">
      <w:pPr>
        <w:pStyle w:val="Normalbold"/>
        <w:numPr>
          <w:ilvl w:val="0"/>
          <w:numId w:val="5"/>
        </w:numPr>
        <w:tabs>
          <w:tab w:val="clear" w:pos="360"/>
          <w:tab w:val="num" w:pos="851"/>
        </w:tabs>
        <w:spacing w:line="360" w:lineRule="auto"/>
        <w:ind w:left="851" w:hanging="284"/>
        <w:rPr>
          <w:rFonts w:ascii="Times New Roman" w:hAnsi="Times New Roman"/>
          <w:b w:val="0"/>
          <w:color w:val="auto"/>
          <w:szCs w:val="22"/>
        </w:rPr>
      </w:pPr>
      <w:r w:rsidRPr="001170E4">
        <w:rPr>
          <w:rFonts w:ascii="Times New Roman" w:hAnsi="Times New Roman"/>
          <w:b w:val="0"/>
          <w:color w:val="auto"/>
          <w:szCs w:val="22"/>
        </w:rPr>
        <w:lastRenderedPageBreak/>
        <w:t xml:space="preserve">Agrément South Africa (ASA). </w:t>
      </w:r>
    </w:p>
    <w:p w14:paraId="5D2590FF" w14:textId="7098CC4D" w:rsidR="00BB1EE2" w:rsidRPr="001170E4" w:rsidRDefault="00BB1EE2" w:rsidP="007D3D2E">
      <w:pPr>
        <w:pStyle w:val="Normalbold"/>
        <w:numPr>
          <w:ilvl w:val="0"/>
          <w:numId w:val="5"/>
        </w:numPr>
        <w:tabs>
          <w:tab w:val="clear" w:pos="360"/>
          <w:tab w:val="num" w:pos="851"/>
        </w:tabs>
        <w:spacing w:line="360" w:lineRule="auto"/>
        <w:ind w:left="851" w:hanging="284"/>
        <w:rPr>
          <w:rFonts w:ascii="Times New Roman" w:hAnsi="Times New Roman"/>
          <w:b w:val="0"/>
          <w:color w:val="auto"/>
          <w:szCs w:val="22"/>
        </w:rPr>
      </w:pPr>
      <w:r w:rsidRPr="001170E4">
        <w:rPr>
          <w:rFonts w:ascii="Times New Roman" w:hAnsi="Times New Roman"/>
          <w:b w:val="0"/>
          <w:color w:val="auto"/>
          <w:szCs w:val="22"/>
        </w:rPr>
        <w:t>Construction Industry Development Board (</w:t>
      </w:r>
      <w:r w:rsidR="00A44FDD">
        <w:rPr>
          <w:rFonts w:ascii="Times New Roman" w:hAnsi="Times New Roman"/>
          <w:b w:val="0"/>
          <w:color w:val="auto"/>
          <w:szCs w:val="22"/>
        </w:rPr>
        <w:t>CIDB</w:t>
      </w:r>
      <w:r w:rsidRPr="001170E4">
        <w:rPr>
          <w:rFonts w:ascii="Times New Roman" w:hAnsi="Times New Roman"/>
          <w:b w:val="0"/>
          <w:color w:val="auto"/>
          <w:szCs w:val="22"/>
        </w:rPr>
        <w:t>)</w:t>
      </w:r>
      <w:r w:rsidR="00125AB3">
        <w:rPr>
          <w:rFonts w:ascii="Times New Roman" w:hAnsi="Times New Roman"/>
          <w:b w:val="0"/>
          <w:color w:val="auto"/>
          <w:szCs w:val="22"/>
        </w:rPr>
        <w:t>.</w:t>
      </w:r>
      <w:r w:rsidRPr="001170E4">
        <w:rPr>
          <w:rStyle w:val="FootnoteReference"/>
          <w:rFonts w:ascii="Times New Roman" w:hAnsi="Times New Roman"/>
          <w:b w:val="0"/>
          <w:color w:val="auto"/>
          <w:szCs w:val="22"/>
        </w:rPr>
        <w:t xml:space="preserve"> </w:t>
      </w:r>
      <w:r w:rsidRPr="001170E4">
        <w:rPr>
          <w:rStyle w:val="FootnoteReference"/>
          <w:rFonts w:ascii="Times New Roman" w:hAnsi="Times New Roman"/>
          <w:b w:val="0"/>
          <w:color w:val="auto"/>
          <w:szCs w:val="22"/>
        </w:rPr>
        <w:footnoteReference w:id="10"/>
      </w:r>
    </w:p>
    <w:p w14:paraId="05386F04" w14:textId="77777777" w:rsidR="00BB1EE2" w:rsidRPr="001170E4" w:rsidRDefault="00BB1EE2" w:rsidP="007D3D2E">
      <w:pPr>
        <w:pStyle w:val="Normalbold"/>
        <w:numPr>
          <w:ilvl w:val="0"/>
          <w:numId w:val="5"/>
        </w:numPr>
        <w:tabs>
          <w:tab w:val="clear" w:pos="360"/>
          <w:tab w:val="num" w:pos="851"/>
        </w:tabs>
        <w:spacing w:line="360" w:lineRule="auto"/>
        <w:ind w:left="851" w:hanging="284"/>
        <w:rPr>
          <w:rFonts w:ascii="Times New Roman" w:hAnsi="Times New Roman"/>
          <w:b w:val="0"/>
          <w:color w:val="auto"/>
          <w:szCs w:val="22"/>
        </w:rPr>
      </w:pPr>
      <w:r w:rsidRPr="001170E4">
        <w:rPr>
          <w:rFonts w:ascii="Times New Roman" w:hAnsi="Times New Roman"/>
          <w:b w:val="0"/>
          <w:color w:val="auto"/>
          <w:szCs w:val="22"/>
        </w:rPr>
        <w:t>Council for the Built Environment (CBE).</w:t>
      </w:r>
    </w:p>
    <w:p w14:paraId="6107A0E7" w14:textId="77777777" w:rsidR="00BB1EE2" w:rsidRPr="001170E4" w:rsidRDefault="00BB1EE2" w:rsidP="007D3D2E">
      <w:pPr>
        <w:pStyle w:val="Normalbold"/>
        <w:numPr>
          <w:ilvl w:val="0"/>
          <w:numId w:val="5"/>
        </w:numPr>
        <w:tabs>
          <w:tab w:val="clear" w:pos="360"/>
          <w:tab w:val="num" w:pos="851"/>
        </w:tabs>
        <w:spacing w:line="360" w:lineRule="auto"/>
        <w:ind w:left="851" w:hanging="284"/>
        <w:rPr>
          <w:rFonts w:ascii="Times New Roman" w:hAnsi="Times New Roman"/>
          <w:b w:val="0"/>
          <w:color w:val="auto"/>
          <w:szCs w:val="22"/>
        </w:rPr>
      </w:pPr>
      <w:r w:rsidRPr="001170E4">
        <w:rPr>
          <w:rFonts w:ascii="Times New Roman" w:hAnsi="Times New Roman"/>
          <w:b w:val="0"/>
          <w:color w:val="auto"/>
          <w:szCs w:val="22"/>
        </w:rPr>
        <w:t xml:space="preserve">Independent Development Trust (IDT).   </w:t>
      </w:r>
    </w:p>
    <w:p w14:paraId="7CB49D73" w14:textId="77777777" w:rsidR="0037320C" w:rsidRPr="001170E4" w:rsidRDefault="0037320C" w:rsidP="00F72F11">
      <w:pPr>
        <w:pStyle w:val="Heading2"/>
        <w:spacing w:line="360" w:lineRule="auto"/>
        <w:jc w:val="both"/>
        <w:rPr>
          <w:rFonts w:ascii="Times New Roman" w:hAnsi="Times New Roman"/>
          <w:color w:val="auto"/>
          <w:szCs w:val="22"/>
        </w:rPr>
      </w:pPr>
      <w:bookmarkStart w:id="1" w:name="_Toc447629098"/>
      <w:bookmarkStart w:id="2" w:name="_Toc477174237"/>
    </w:p>
    <w:p w14:paraId="38093552" w14:textId="77777777" w:rsidR="00BB1EE2" w:rsidRPr="001170E4" w:rsidRDefault="00BB1EE2" w:rsidP="00F72F11">
      <w:pPr>
        <w:pStyle w:val="Heading2"/>
        <w:spacing w:line="360" w:lineRule="auto"/>
        <w:jc w:val="both"/>
        <w:rPr>
          <w:rFonts w:ascii="Times New Roman" w:hAnsi="Times New Roman"/>
          <w:color w:val="auto"/>
          <w:szCs w:val="22"/>
        </w:rPr>
      </w:pPr>
      <w:r w:rsidRPr="001170E4">
        <w:rPr>
          <w:rFonts w:ascii="Times New Roman" w:hAnsi="Times New Roman"/>
          <w:color w:val="auto"/>
          <w:szCs w:val="22"/>
        </w:rPr>
        <w:t xml:space="preserve">1.1. </w:t>
      </w:r>
      <w:bookmarkEnd w:id="1"/>
      <w:bookmarkEnd w:id="2"/>
      <w:r w:rsidR="0037320C" w:rsidRPr="001170E4">
        <w:rPr>
          <w:rFonts w:ascii="Times New Roman" w:hAnsi="Times New Roman"/>
          <w:color w:val="auto"/>
          <w:szCs w:val="22"/>
        </w:rPr>
        <w:t>Programme changes in the APP</w:t>
      </w:r>
    </w:p>
    <w:p w14:paraId="544F5E09" w14:textId="77777777" w:rsidR="00BB1EE2" w:rsidRPr="001170E4" w:rsidRDefault="00BB1EE2" w:rsidP="00F72F11">
      <w:pPr>
        <w:pStyle w:val="ListParagraph"/>
        <w:spacing w:line="360" w:lineRule="auto"/>
        <w:ind w:left="0"/>
        <w:rPr>
          <w:rFonts w:ascii="Times New Roman" w:hAnsi="Times New Roman"/>
          <w:b/>
        </w:rPr>
      </w:pPr>
    </w:p>
    <w:p w14:paraId="03D7518B" w14:textId="77777777" w:rsidR="00BB1EE2" w:rsidRPr="001170E4" w:rsidRDefault="0037320C" w:rsidP="00F72F11">
      <w:pPr>
        <w:pStyle w:val="ListParagraph"/>
        <w:spacing w:line="360" w:lineRule="auto"/>
        <w:ind w:left="0"/>
        <w:rPr>
          <w:rFonts w:ascii="Times New Roman" w:hAnsi="Times New Roman"/>
        </w:rPr>
      </w:pPr>
      <w:r w:rsidRPr="001170E4">
        <w:rPr>
          <w:rFonts w:ascii="Times New Roman" w:hAnsi="Times New Roman"/>
        </w:rPr>
        <w:t>C</w:t>
      </w:r>
      <w:r w:rsidR="00BB1EE2" w:rsidRPr="001170E4">
        <w:rPr>
          <w:rFonts w:ascii="Times New Roman" w:hAnsi="Times New Roman"/>
        </w:rPr>
        <w:t>hange</w:t>
      </w:r>
      <w:r w:rsidRPr="001170E4">
        <w:rPr>
          <w:rFonts w:ascii="Times New Roman" w:hAnsi="Times New Roman"/>
        </w:rPr>
        <w:t>s to</w:t>
      </w:r>
      <w:r w:rsidR="00BB1EE2" w:rsidRPr="001170E4">
        <w:rPr>
          <w:rFonts w:ascii="Times New Roman" w:hAnsi="Times New Roman"/>
        </w:rPr>
        <w:t xml:space="preserve"> the </w:t>
      </w:r>
      <w:r w:rsidRPr="001170E4">
        <w:rPr>
          <w:rFonts w:ascii="Times New Roman" w:hAnsi="Times New Roman"/>
        </w:rPr>
        <w:t xml:space="preserve">programme </w:t>
      </w:r>
      <w:r w:rsidR="00BB1EE2" w:rsidRPr="001170E4">
        <w:rPr>
          <w:rFonts w:ascii="Times New Roman" w:hAnsi="Times New Roman"/>
        </w:rPr>
        <w:t>structure of the Department’s programmes was noted in the previous financial year. These changes emphasise</w:t>
      </w:r>
      <w:r w:rsidRPr="001170E4">
        <w:rPr>
          <w:rFonts w:ascii="Times New Roman" w:hAnsi="Times New Roman"/>
        </w:rPr>
        <w:t>d</w:t>
      </w:r>
      <w:r w:rsidR="00BB1EE2" w:rsidRPr="001170E4">
        <w:rPr>
          <w:rFonts w:ascii="Times New Roman" w:hAnsi="Times New Roman"/>
        </w:rPr>
        <w:t xml:space="preserve"> the two main priority programmes - Immovable Asset Investment and the EPWP. At the same time, the introduction of Programme 4</w:t>
      </w:r>
      <w:r w:rsidR="00414B47" w:rsidRPr="001170E4">
        <w:rPr>
          <w:rFonts w:ascii="Times New Roman" w:hAnsi="Times New Roman"/>
        </w:rPr>
        <w:t xml:space="preserve">, </w:t>
      </w:r>
      <w:r w:rsidR="00414B47" w:rsidRPr="001170E4">
        <w:rPr>
          <w:rFonts w:ascii="Times New Roman" w:eastAsia="Times New Roman" w:hAnsi="Times New Roman"/>
          <w:lang w:eastAsia="en-ZA"/>
        </w:rPr>
        <w:t>Property and Construction Industry Policy and Research,</w:t>
      </w:r>
      <w:r w:rsidR="00BB1EE2" w:rsidRPr="001170E4">
        <w:rPr>
          <w:rFonts w:ascii="Times New Roman" w:hAnsi="Times New Roman"/>
        </w:rPr>
        <w:t xml:space="preserve"> </w:t>
      </w:r>
      <w:r w:rsidR="009553F1" w:rsidRPr="001170E4">
        <w:rPr>
          <w:rFonts w:ascii="Times New Roman" w:hAnsi="Times New Roman"/>
        </w:rPr>
        <w:t>stress</w:t>
      </w:r>
      <w:r w:rsidR="00414B47" w:rsidRPr="001170E4">
        <w:rPr>
          <w:rFonts w:ascii="Times New Roman" w:hAnsi="Times New Roman"/>
        </w:rPr>
        <w:t>ed</w:t>
      </w:r>
      <w:r w:rsidR="00BB1EE2" w:rsidRPr="001170E4">
        <w:rPr>
          <w:rFonts w:ascii="Times New Roman" w:hAnsi="Times New Roman"/>
        </w:rPr>
        <w:t xml:space="preserve"> the </w:t>
      </w:r>
      <w:r w:rsidR="005568A6">
        <w:rPr>
          <w:rFonts w:ascii="Times New Roman" w:hAnsi="Times New Roman"/>
        </w:rPr>
        <w:t>need to review the Public Works White P</w:t>
      </w:r>
      <w:r w:rsidR="009553F1" w:rsidRPr="001170E4">
        <w:rPr>
          <w:rFonts w:ascii="Times New Roman" w:hAnsi="Times New Roman"/>
        </w:rPr>
        <w:t xml:space="preserve">apers to develop </w:t>
      </w:r>
      <w:r w:rsidR="00BB1EE2" w:rsidRPr="001170E4">
        <w:rPr>
          <w:rFonts w:ascii="Times New Roman" w:hAnsi="Times New Roman"/>
        </w:rPr>
        <w:t>legislation t</w:t>
      </w:r>
      <w:r w:rsidR="009553F1" w:rsidRPr="001170E4">
        <w:rPr>
          <w:rFonts w:ascii="Times New Roman" w:hAnsi="Times New Roman"/>
        </w:rPr>
        <w:t xml:space="preserve">hat would strengthen </w:t>
      </w:r>
      <w:r w:rsidR="00BB1EE2" w:rsidRPr="001170E4">
        <w:rPr>
          <w:rFonts w:ascii="Times New Roman" w:hAnsi="Times New Roman"/>
        </w:rPr>
        <w:t xml:space="preserve">the </w:t>
      </w:r>
      <w:r w:rsidR="009553F1" w:rsidRPr="001170E4">
        <w:rPr>
          <w:rFonts w:ascii="Times New Roman" w:hAnsi="Times New Roman"/>
        </w:rPr>
        <w:t xml:space="preserve">mandate of </w:t>
      </w:r>
      <w:r w:rsidR="005568A6">
        <w:rPr>
          <w:rFonts w:ascii="Times New Roman" w:hAnsi="Times New Roman"/>
        </w:rPr>
        <w:t xml:space="preserve">the </w:t>
      </w:r>
      <w:r w:rsidR="00BB1EE2" w:rsidRPr="001170E4">
        <w:rPr>
          <w:rFonts w:ascii="Times New Roman" w:hAnsi="Times New Roman"/>
        </w:rPr>
        <w:t xml:space="preserve">Department and its entities </w:t>
      </w:r>
      <w:r w:rsidR="009553F1" w:rsidRPr="001170E4">
        <w:rPr>
          <w:rFonts w:ascii="Times New Roman" w:hAnsi="Times New Roman"/>
        </w:rPr>
        <w:t>as property manager and landlord of the state</w:t>
      </w:r>
      <w:r w:rsidR="00BB1EE2" w:rsidRPr="001170E4">
        <w:rPr>
          <w:rFonts w:ascii="Times New Roman" w:hAnsi="Times New Roman"/>
        </w:rPr>
        <w:t xml:space="preserve">. </w:t>
      </w:r>
    </w:p>
    <w:p w14:paraId="766005E7" w14:textId="77777777" w:rsidR="00BB1EE2" w:rsidRPr="001170E4" w:rsidRDefault="00BB1EE2" w:rsidP="00F72F11">
      <w:pPr>
        <w:pStyle w:val="ListParagraph"/>
        <w:spacing w:line="360" w:lineRule="auto"/>
        <w:ind w:left="0"/>
        <w:rPr>
          <w:rFonts w:ascii="Times New Roman" w:hAnsi="Times New Roman"/>
        </w:rPr>
      </w:pPr>
    </w:p>
    <w:p w14:paraId="5CCF68E6"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During the 2014/15 financial year the Department reviewed, and restructured its programmes so that a large portion of the allocation of Programme 2</w:t>
      </w:r>
      <w:r w:rsidR="00567482" w:rsidRPr="001170E4">
        <w:rPr>
          <w:rFonts w:ascii="Times New Roman" w:hAnsi="Times New Roman" w:cs="Times New Roman"/>
        </w:rPr>
        <w:t>,</w:t>
      </w:r>
      <w:r w:rsidRPr="001170E4">
        <w:rPr>
          <w:rFonts w:ascii="Times New Roman" w:hAnsi="Times New Roman" w:cs="Times New Roman"/>
        </w:rPr>
        <w:t xml:space="preserve"> Immovable Asset Management</w:t>
      </w:r>
      <w:r w:rsidR="00567482" w:rsidRPr="001170E4">
        <w:rPr>
          <w:rFonts w:ascii="Times New Roman" w:hAnsi="Times New Roman" w:cs="Times New Roman"/>
        </w:rPr>
        <w:t>,</w:t>
      </w:r>
      <w:r w:rsidRPr="001170E4">
        <w:rPr>
          <w:rFonts w:ascii="Times New Roman" w:hAnsi="Times New Roman" w:cs="Times New Roman"/>
        </w:rPr>
        <w:t xml:space="preserve"> was moved to the Property Management Trading Entity (PMTE) sub-programme residing under Programme 4. At the same time, the PMTE was operationalised in March 2015 and the bulk of the property and infrastructu</w:t>
      </w:r>
      <w:r w:rsidR="00567482" w:rsidRPr="001170E4">
        <w:rPr>
          <w:rFonts w:ascii="Times New Roman" w:hAnsi="Times New Roman" w:cs="Times New Roman"/>
        </w:rPr>
        <w:t>re functions (under Programme 2,</w:t>
      </w:r>
      <w:r w:rsidRPr="001170E4">
        <w:rPr>
          <w:rFonts w:ascii="Times New Roman" w:hAnsi="Times New Roman" w:cs="Times New Roman"/>
        </w:rPr>
        <w:t xml:space="preserve"> Immovable Asset Management), as well as the staff was shifted to the newly created entity. </w:t>
      </w:r>
    </w:p>
    <w:p w14:paraId="1BF834AC" w14:textId="77777777" w:rsidR="0033116C" w:rsidRDefault="00513DD1" w:rsidP="00F72F11">
      <w:pPr>
        <w:shd w:val="clear" w:color="auto" w:fill="FFFFFF" w:themeFill="background1"/>
        <w:spacing w:line="360" w:lineRule="auto"/>
        <w:jc w:val="both"/>
        <w:rPr>
          <w:rFonts w:ascii="Times New Roman" w:hAnsi="Times New Roman" w:cs="Times New Roman"/>
        </w:rPr>
      </w:pPr>
      <w:r>
        <w:rPr>
          <w:rFonts w:ascii="Times New Roman" w:hAnsi="Times New Roman" w:cs="Times New Roman"/>
        </w:rPr>
        <w:t xml:space="preserve">In the five-year strategic plan 2014 </w:t>
      </w:r>
      <w:r w:rsidR="00A928F2">
        <w:rPr>
          <w:rFonts w:ascii="Times New Roman" w:hAnsi="Times New Roman" w:cs="Times New Roman"/>
        </w:rPr>
        <w:t>-</w:t>
      </w:r>
      <w:r>
        <w:rPr>
          <w:rFonts w:ascii="Times New Roman" w:hAnsi="Times New Roman" w:cs="Times New Roman"/>
        </w:rPr>
        <w:t xml:space="preserve"> </w:t>
      </w:r>
      <w:r w:rsidR="000525A9">
        <w:rPr>
          <w:rFonts w:ascii="Times New Roman" w:hAnsi="Times New Roman" w:cs="Times New Roman"/>
        </w:rPr>
        <w:t>2019,</w:t>
      </w:r>
      <w:r>
        <w:rPr>
          <w:rFonts w:ascii="Times New Roman" w:hAnsi="Times New Roman" w:cs="Times New Roman"/>
        </w:rPr>
        <w:t xml:space="preserve"> the Minister referred to</w:t>
      </w:r>
      <w:r w:rsidR="00567482" w:rsidRPr="001170E4">
        <w:rPr>
          <w:rFonts w:ascii="Times New Roman" w:hAnsi="Times New Roman" w:cs="Times New Roman"/>
        </w:rPr>
        <w:t xml:space="preserve"> t</w:t>
      </w:r>
      <w:r w:rsidR="00BB1EE2" w:rsidRPr="001170E4">
        <w:rPr>
          <w:rFonts w:ascii="Times New Roman" w:hAnsi="Times New Roman" w:cs="Times New Roman"/>
        </w:rPr>
        <w:t xml:space="preserve">he </w:t>
      </w:r>
      <w:r w:rsidR="000525A9" w:rsidRPr="001170E4">
        <w:rPr>
          <w:rFonts w:ascii="Times New Roman" w:hAnsi="Times New Roman" w:cs="Times New Roman"/>
        </w:rPr>
        <w:t>long-standing</w:t>
      </w:r>
      <w:r w:rsidR="00567482" w:rsidRPr="001170E4">
        <w:rPr>
          <w:rFonts w:ascii="Times New Roman" w:hAnsi="Times New Roman" w:cs="Times New Roman"/>
        </w:rPr>
        <w:t xml:space="preserve"> </w:t>
      </w:r>
      <w:r w:rsidR="00C2311B">
        <w:rPr>
          <w:rFonts w:ascii="Times New Roman" w:hAnsi="Times New Roman" w:cs="Times New Roman"/>
        </w:rPr>
        <w:t>challenges in the Department. In Annual Performance Plans over this period, the Minister continued to identify these as being</w:t>
      </w:r>
      <w:r w:rsidR="00BB1EE2" w:rsidRPr="001170E4">
        <w:rPr>
          <w:rFonts w:ascii="Times New Roman" w:hAnsi="Times New Roman" w:cs="Times New Roman"/>
        </w:rPr>
        <w:t xml:space="preserve"> of a structural and systemic nature. The Department consistently reported on obstacles</w:t>
      </w:r>
      <w:r w:rsidR="00567482" w:rsidRPr="001170E4">
        <w:rPr>
          <w:rFonts w:ascii="Times New Roman" w:hAnsi="Times New Roman" w:cs="Times New Roman"/>
        </w:rPr>
        <w:t xml:space="preserve"> that hampered </w:t>
      </w:r>
      <w:r w:rsidR="0008458C">
        <w:rPr>
          <w:rFonts w:ascii="Times New Roman" w:hAnsi="Times New Roman" w:cs="Times New Roman"/>
        </w:rPr>
        <w:t>its own operations</w:t>
      </w:r>
      <w:r w:rsidR="00567482" w:rsidRPr="001170E4">
        <w:rPr>
          <w:rFonts w:ascii="Times New Roman" w:hAnsi="Times New Roman" w:cs="Times New Roman"/>
        </w:rPr>
        <w:t xml:space="preserve"> and </w:t>
      </w:r>
      <w:r w:rsidR="0008458C">
        <w:rPr>
          <w:rFonts w:ascii="Times New Roman" w:hAnsi="Times New Roman" w:cs="Times New Roman"/>
        </w:rPr>
        <w:t xml:space="preserve">that of </w:t>
      </w:r>
      <w:r w:rsidR="00567482" w:rsidRPr="001170E4">
        <w:rPr>
          <w:rFonts w:ascii="Times New Roman" w:hAnsi="Times New Roman" w:cs="Times New Roman"/>
        </w:rPr>
        <w:t xml:space="preserve">its entities </w:t>
      </w:r>
      <w:r w:rsidR="00BB1EE2" w:rsidRPr="001170E4">
        <w:rPr>
          <w:rFonts w:ascii="Times New Roman" w:hAnsi="Times New Roman" w:cs="Times New Roman"/>
        </w:rPr>
        <w:t xml:space="preserve">in </w:t>
      </w:r>
      <w:r w:rsidR="00567482" w:rsidRPr="001170E4">
        <w:rPr>
          <w:rFonts w:ascii="Times New Roman" w:hAnsi="Times New Roman" w:cs="Times New Roman"/>
        </w:rPr>
        <w:t>achiev</w:t>
      </w:r>
      <w:r w:rsidR="00BB1EE2" w:rsidRPr="001170E4">
        <w:rPr>
          <w:rFonts w:ascii="Times New Roman" w:hAnsi="Times New Roman" w:cs="Times New Roman"/>
        </w:rPr>
        <w:t xml:space="preserve">ing its core mandate. </w:t>
      </w:r>
    </w:p>
    <w:p w14:paraId="1C095A4B" w14:textId="77777777" w:rsidR="00BB1EE2" w:rsidRPr="001170E4" w:rsidRDefault="00722195" w:rsidP="00F72F11">
      <w:pPr>
        <w:shd w:val="clear" w:color="auto" w:fill="FFFFFF" w:themeFill="background1"/>
        <w:spacing w:line="360" w:lineRule="auto"/>
        <w:jc w:val="both"/>
        <w:rPr>
          <w:rFonts w:ascii="Times New Roman" w:hAnsi="Times New Roman" w:cs="Times New Roman"/>
        </w:rPr>
      </w:pPr>
      <w:r w:rsidRPr="001170E4">
        <w:rPr>
          <w:rFonts w:ascii="Times New Roman" w:hAnsi="Times New Roman" w:cs="Times New Roman"/>
        </w:rPr>
        <w:t xml:space="preserve">The </w:t>
      </w:r>
      <w:r w:rsidR="00F43489" w:rsidRPr="001170E4">
        <w:rPr>
          <w:rFonts w:ascii="Times New Roman" w:hAnsi="Times New Roman" w:cs="Times New Roman"/>
        </w:rPr>
        <w:t>problematic</w:t>
      </w:r>
      <w:r w:rsidRPr="001170E4">
        <w:rPr>
          <w:rFonts w:ascii="Times New Roman" w:hAnsi="Times New Roman" w:cs="Times New Roman"/>
        </w:rPr>
        <w:t xml:space="preserve"> areas</w:t>
      </w:r>
      <w:r w:rsidR="00BB1EE2" w:rsidRPr="001170E4">
        <w:rPr>
          <w:rFonts w:ascii="Times New Roman" w:hAnsi="Times New Roman" w:cs="Times New Roman"/>
        </w:rPr>
        <w:t xml:space="preserve"> include leasing</w:t>
      </w:r>
      <w:r w:rsidR="0033116C">
        <w:rPr>
          <w:rFonts w:ascii="Times New Roman" w:hAnsi="Times New Roman" w:cs="Times New Roman"/>
        </w:rPr>
        <w:t xml:space="preserve">, key asset management, </w:t>
      </w:r>
      <w:r w:rsidR="00BB1EE2" w:rsidRPr="001170E4">
        <w:rPr>
          <w:rFonts w:ascii="Times New Roman" w:hAnsi="Times New Roman" w:cs="Times New Roman"/>
        </w:rPr>
        <w:t>providing accommodation to client departmen</w:t>
      </w:r>
      <w:r w:rsidRPr="001170E4">
        <w:rPr>
          <w:rFonts w:ascii="Times New Roman" w:hAnsi="Times New Roman" w:cs="Times New Roman"/>
        </w:rPr>
        <w:t xml:space="preserve">ts, </w:t>
      </w:r>
      <w:r w:rsidR="00BB1EE2" w:rsidRPr="001170E4">
        <w:rPr>
          <w:rFonts w:ascii="Times New Roman" w:hAnsi="Times New Roman" w:cs="Times New Roman"/>
        </w:rPr>
        <w:t>maintenance and upgrading of assets</w:t>
      </w:r>
      <w:r w:rsidR="0033116C">
        <w:rPr>
          <w:rFonts w:ascii="Times New Roman" w:hAnsi="Times New Roman" w:cs="Times New Roman"/>
        </w:rPr>
        <w:t>. These areas are crucial to ensure that all client departments and specifically those in the sectors of health, basic education, justice, and security provision can provide vital services to the nation at provincial and municipal spheres of government. A weakly operational Department of Public Works and Property Management Trading Entity have the unfortunate effect of weakening service e delivery in all sectors across the three spheres of government. An operationally improved, financially fit and vibrant Department of Public Works and Property Management Trading Entity will have the desired knock-on effect of improved service delivery that form the backbone of a socially and economically strong country.</w:t>
      </w:r>
    </w:p>
    <w:p w14:paraId="2DD99E61" w14:textId="77777777" w:rsidR="00F43489" w:rsidRPr="00C90832" w:rsidRDefault="002E0B27" w:rsidP="00F72F11">
      <w:pPr>
        <w:spacing w:line="360" w:lineRule="auto"/>
        <w:jc w:val="both"/>
        <w:rPr>
          <w:rFonts w:ascii="Times New Roman" w:hAnsi="Times New Roman" w:cs="Times New Roman"/>
        </w:rPr>
      </w:pPr>
      <w:r>
        <w:rPr>
          <w:rFonts w:ascii="Times New Roman" w:hAnsi="Times New Roman" w:cs="Times New Roman"/>
        </w:rPr>
        <w:lastRenderedPageBreak/>
        <w:t>The following section</w:t>
      </w:r>
      <w:r w:rsidR="00C90832" w:rsidRPr="00C90832">
        <w:rPr>
          <w:rFonts w:ascii="Times New Roman" w:hAnsi="Times New Roman" w:cs="Times New Roman"/>
        </w:rPr>
        <w:t xml:space="preserve"> </w:t>
      </w:r>
      <w:r>
        <w:rPr>
          <w:rFonts w:ascii="Times New Roman" w:hAnsi="Times New Roman" w:cs="Times New Roman"/>
        </w:rPr>
        <w:t>provides a comparative analysis</w:t>
      </w:r>
      <w:r w:rsidRPr="00C90832">
        <w:rPr>
          <w:rFonts w:ascii="Times New Roman" w:hAnsi="Times New Roman" w:cs="Times New Roman"/>
        </w:rPr>
        <w:t xml:space="preserve"> </w:t>
      </w:r>
      <w:r>
        <w:rPr>
          <w:rFonts w:ascii="Times New Roman" w:hAnsi="Times New Roman" w:cs="Times New Roman"/>
        </w:rPr>
        <w:t>of</w:t>
      </w:r>
      <w:r w:rsidR="00C90832" w:rsidRPr="00C90832">
        <w:rPr>
          <w:rFonts w:ascii="Times New Roman" w:hAnsi="Times New Roman" w:cs="Times New Roman"/>
        </w:rPr>
        <w:t xml:space="preserve"> the budget</w:t>
      </w:r>
      <w:r>
        <w:rPr>
          <w:rFonts w:ascii="Times New Roman" w:hAnsi="Times New Roman" w:cs="Times New Roman"/>
        </w:rPr>
        <w:t xml:space="preserve"> </w:t>
      </w:r>
      <w:r w:rsidR="00C90832" w:rsidRPr="00C90832">
        <w:rPr>
          <w:rFonts w:ascii="Times New Roman" w:hAnsi="Times New Roman" w:cs="Times New Roman"/>
        </w:rPr>
        <w:t>allocations to programmes</w:t>
      </w:r>
      <w:r w:rsidR="002234FD">
        <w:rPr>
          <w:rFonts w:ascii="Times New Roman" w:hAnsi="Times New Roman" w:cs="Times New Roman"/>
        </w:rPr>
        <w:t xml:space="preserve"> with which the DPW </w:t>
      </w:r>
      <w:r w:rsidR="00E22357">
        <w:rPr>
          <w:rFonts w:ascii="Times New Roman" w:hAnsi="Times New Roman" w:cs="Times New Roman"/>
        </w:rPr>
        <w:t xml:space="preserve">can operate as a well-managed state </w:t>
      </w:r>
      <w:r w:rsidR="00C673F4">
        <w:rPr>
          <w:rFonts w:ascii="Times New Roman" w:hAnsi="Times New Roman" w:cs="Times New Roman"/>
        </w:rPr>
        <w:t>property owner</w:t>
      </w:r>
      <w:r w:rsidR="00E22357">
        <w:rPr>
          <w:rFonts w:ascii="Times New Roman" w:hAnsi="Times New Roman" w:cs="Times New Roman"/>
        </w:rPr>
        <w:t xml:space="preserve"> and </w:t>
      </w:r>
      <w:r w:rsidR="00C673F4">
        <w:rPr>
          <w:rFonts w:ascii="Times New Roman" w:hAnsi="Times New Roman" w:cs="Times New Roman"/>
        </w:rPr>
        <w:t>accommodations</w:t>
      </w:r>
      <w:r w:rsidR="00E22357">
        <w:rPr>
          <w:rFonts w:ascii="Times New Roman" w:hAnsi="Times New Roman" w:cs="Times New Roman"/>
        </w:rPr>
        <w:t xml:space="preserve"> manager</w:t>
      </w:r>
      <w:r w:rsidR="00D3543B">
        <w:rPr>
          <w:rFonts w:ascii="Times New Roman" w:hAnsi="Times New Roman" w:cs="Times New Roman"/>
        </w:rPr>
        <w:t xml:space="preserve"> that facilitates a </w:t>
      </w:r>
      <w:r w:rsidR="00C673F4">
        <w:rPr>
          <w:rFonts w:ascii="Times New Roman" w:hAnsi="Times New Roman" w:cs="Times New Roman"/>
        </w:rPr>
        <w:t>well-functioning</w:t>
      </w:r>
      <w:r w:rsidR="00D3543B">
        <w:rPr>
          <w:rFonts w:ascii="Times New Roman" w:hAnsi="Times New Roman" w:cs="Times New Roman"/>
        </w:rPr>
        <w:t xml:space="preserve"> government</w:t>
      </w:r>
      <w:r w:rsidR="00C90832">
        <w:rPr>
          <w:rFonts w:ascii="Times New Roman" w:hAnsi="Times New Roman" w:cs="Times New Roman"/>
        </w:rPr>
        <w:t>.</w:t>
      </w:r>
    </w:p>
    <w:p w14:paraId="109DAC62" w14:textId="77777777" w:rsidR="00C90832" w:rsidRPr="001170E4" w:rsidRDefault="00C90832" w:rsidP="00F72F11">
      <w:pPr>
        <w:spacing w:line="360" w:lineRule="auto"/>
        <w:jc w:val="both"/>
        <w:rPr>
          <w:rFonts w:ascii="Times New Roman" w:hAnsi="Times New Roman" w:cs="Times New Roman"/>
          <w:b/>
        </w:rPr>
      </w:pPr>
    </w:p>
    <w:p w14:paraId="0BEAE779"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1.2. Budget A</w:t>
      </w:r>
      <w:r w:rsidR="00722195" w:rsidRPr="001170E4">
        <w:rPr>
          <w:rFonts w:ascii="Times New Roman" w:hAnsi="Times New Roman" w:cs="Times New Roman"/>
          <w:b/>
        </w:rPr>
        <w:t>llocations to programmes</w:t>
      </w:r>
      <w:r w:rsidR="00722195" w:rsidRPr="001170E4">
        <w:rPr>
          <w:rFonts w:ascii="Times New Roman" w:hAnsi="Times New Roman" w:cs="Times New Roman"/>
          <w:i/>
        </w:rPr>
        <w:t xml:space="preserve"> </w:t>
      </w:r>
      <w:r w:rsidR="00722195" w:rsidRPr="001170E4">
        <w:rPr>
          <w:rFonts w:ascii="Times New Roman" w:hAnsi="Times New Roman" w:cs="Times New Roman"/>
          <w:b/>
        </w:rPr>
        <w:t>for the Department of Public Works</w:t>
      </w:r>
    </w:p>
    <w:p w14:paraId="4DBEC574" w14:textId="77777777" w:rsidR="00BB1EE2" w:rsidRPr="001170E4" w:rsidRDefault="00BB1EE2" w:rsidP="00F72F11">
      <w:pPr>
        <w:pStyle w:val="Heading3"/>
        <w:spacing w:line="360" w:lineRule="auto"/>
        <w:rPr>
          <w:rFonts w:ascii="Times New Roman" w:hAnsi="Times New Roman"/>
          <w:i w:val="0"/>
          <w:color w:val="auto"/>
          <w:szCs w:val="22"/>
        </w:rPr>
      </w:pPr>
    </w:p>
    <w:tbl>
      <w:tblPr>
        <w:tblW w:w="99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938"/>
        <w:gridCol w:w="992"/>
        <w:gridCol w:w="992"/>
        <w:gridCol w:w="992"/>
        <w:gridCol w:w="1134"/>
        <w:gridCol w:w="993"/>
        <w:gridCol w:w="1023"/>
        <w:gridCol w:w="895"/>
      </w:tblGrid>
      <w:tr w:rsidR="004820A5" w:rsidRPr="001170E4" w14:paraId="3B92795C" w14:textId="77777777" w:rsidTr="003C6D26">
        <w:trPr>
          <w:trHeight w:val="1153"/>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9CB55"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Programme</w:t>
            </w: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EA4DB3"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Budget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3B35B"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Nominal Rand change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4700B"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Real Rand change</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B227F"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Nominal % change</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74D6F"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Real % change</w:t>
            </w:r>
          </w:p>
        </w:tc>
      </w:tr>
      <w:tr w:rsidR="004820A5" w:rsidRPr="001170E4" w14:paraId="66546B6C" w14:textId="77777777" w:rsidTr="003C6D26">
        <w:trPr>
          <w:trHeight w:val="390"/>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696AF" w14:textId="77777777" w:rsidR="004820A5" w:rsidRPr="001170E4" w:rsidRDefault="004820A5" w:rsidP="00F72F11">
            <w:pPr>
              <w:spacing w:line="360" w:lineRule="auto"/>
              <w:jc w:val="both"/>
              <w:rPr>
                <w:rFonts w:ascii="Times New Roman" w:eastAsia="Times New Roman" w:hAnsi="Times New Roman" w:cs="Times New Roman"/>
                <w:b/>
                <w:lang w:eastAsia="en-ZA"/>
              </w:rPr>
            </w:pPr>
            <w:r w:rsidRPr="001170E4">
              <w:rPr>
                <w:rFonts w:ascii="Times New Roman" w:eastAsia="Times New Roman" w:hAnsi="Times New Roman" w:cs="Times New Roman"/>
                <w:b/>
                <w:lang w:eastAsia="en-ZA"/>
              </w:rPr>
              <w:t>R million</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FB6BB"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2017/18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1E0DA"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2018/19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D885"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2019/20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E518A"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2020/21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AF233"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 xml:space="preserve"> 2017/18-2018/19</w:t>
            </w:r>
          </w:p>
        </w:tc>
        <w:tc>
          <w:tcPr>
            <w:tcW w:w="19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A6AEA"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 xml:space="preserve"> 2017/18-2018/19</w:t>
            </w:r>
          </w:p>
        </w:tc>
      </w:tr>
      <w:tr w:rsidR="004820A5" w:rsidRPr="001170E4" w14:paraId="4F9E4FB9" w14:textId="77777777" w:rsidTr="003C6D26">
        <w:trPr>
          <w:trHeight w:val="390"/>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9F4F6" w14:textId="77777777" w:rsidR="004820A5" w:rsidRPr="001170E4" w:rsidRDefault="004820A5" w:rsidP="00F72F11">
            <w:pPr>
              <w:spacing w:line="360" w:lineRule="auto"/>
              <w:jc w:val="both"/>
              <w:rPr>
                <w:rFonts w:ascii="Times New Roman" w:eastAsia="Times New Roman" w:hAnsi="Times New Roman" w:cs="Times New Roman"/>
                <w:b/>
                <w:lang w:eastAsia="en-ZA"/>
              </w:rPr>
            </w:pPr>
            <w:r w:rsidRPr="001170E4">
              <w:rPr>
                <w:rFonts w:ascii="Times New Roman" w:eastAsia="Times New Roman" w:hAnsi="Times New Roman" w:cs="Times New Roman"/>
                <w:b/>
                <w:lang w:eastAsia="en-ZA"/>
              </w:rPr>
              <w:t>Administration</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75C55"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443,3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DEFFC"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480,3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C7EDA"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511,6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B1EAD"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557,7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B681"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37,0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A3CAA"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12,0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642BD"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8,35%</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259A"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2,70%</w:t>
            </w:r>
          </w:p>
        </w:tc>
      </w:tr>
      <w:tr w:rsidR="004820A5" w:rsidRPr="001170E4" w14:paraId="0798140C" w14:textId="77777777" w:rsidTr="003C6D26">
        <w:trPr>
          <w:trHeight w:val="390"/>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6550B1" w14:textId="77777777" w:rsidR="004820A5" w:rsidRPr="001170E4" w:rsidRDefault="004820A5" w:rsidP="00F72F11">
            <w:pPr>
              <w:spacing w:line="360" w:lineRule="auto"/>
              <w:jc w:val="both"/>
              <w:rPr>
                <w:rFonts w:ascii="Times New Roman" w:eastAsia="Times New Roman" w:hAnsi="Times New Roman" w:cs="Times New Roman"/>
                <w:b/>
                <w:lang w:eastAsia="en-ZA"/>
              </w:rPr>
            </w:pPr>
            <w:r w:rsidRPr="001170E4">
              <w:rPr>
                <w:rFonts w:ascii="Times New Roman" w:eastAsia="Times New Roman" w:hAnsi="Times New Roman" w:cs="Times New Roman"/>
                <w:b/>
                <w:lang w:eastAsia="en-ZA"/>
              </w:rPr>
              <w:t>Intergovernmental Coordination</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539AA"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48,2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224C6"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58,1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976A1"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8C8E3"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64,8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FBAD4"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9,9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F3559"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6,9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E8B78"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20,54%</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96943"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14,26%</w:t>
            </w:r>
          </w:p>
        </w:tc>
      </w:tr>
      <w:tr w:rsidR="004820A5" w:rsidRPr="001170E4" w14:paraId="6A3A7C70" w14:textId="77777777" w:rsidTr="003C6D26">
        <w:trPr>
          <w:trHeight w:val="621"/>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5C8A1" w14:textId="77777777" w:rsidR="004820A5" w:rsidRPr="001170E4" w:rsidRDefault="004820A5" w:rsidP="00F72F11">
            <w:pPr>
              <w:spacing w:line="360" w:lineRule="auto"/>
              <w:jc w:val="both"/>
              <w:rPr>
                <w:rFonts w:ascii="Times New Roman" w:eastAsia="Times New Roman" w:hAnsi="Times New Roman" w:cs="Times New Roman"/>
                <w:b/>
                <w:lang w:eastAsia="en-ZA"/>
              </w:rPr>
            </w:pPr>
            <w:r w:rsidRPr="001170E4">
              <w:rPr>
                <w:rFonts w:ascii="Times New Roman" w:eastAsia="Times New Roman" w:hAnsi="Times New Roman" w:cs="Times New Roman"/>
                <w:b/>
                <w:lang w:eastAsia="en-ZA"/>
              </w:rPr>
              <w:t>Expanded Public Works Programme</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EB223"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2 407,6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4C70C"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2 566,6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50B7F"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2 746,3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6F5CE"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2 903,9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C48B"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159,0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C0C4"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25,2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08DB"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6,60%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07161"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1,05%</w:t>
            </w:r>
          </w:p>
        </w:tc>
      </w:tr>
      <w:tr w:rsidR="004820A5" w:rsidRPr="001170E4" w14:paraId="2E9FB54C" w14:textId="77777777" w:rsidTr="003C6D26">
        <w:trPr>
          <w:trHeight w:val="621"/>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C4CB99" w14:textId="77777777" w:rsidR="004820A5" w:rsidRPr="001170E4" w:rsidRDefault="004820A5" w:rsidP="00F72F11">
            <w:pPr>
              <w:spacing w:line="360" w:lineRule="auto"/>
              <w:jc w:val="both"/>
              <w:rPr>
                <w:rFonts w:ascii="Times New Roman" w:eastAsia="Times New Roman" w:hAnsi="Times New Roman" w:cs="Times New Roman"/>
                <w:b/>
                <w:lang w:eastAsia="en-ZA"/>
              </w:rPr>
            </w:pPr>
            <w:r w:rsidRPr="001170E4">
              <w:rPr>
                <w:rFonts w:ascii="Times New Roman" w:eastAsia="Times New Roman" w:hAnsi="Times New Roman" w:cs="Times New Roman"/>
                <w:b/>
                <w:lang w:eastAsia="en-ZA"/>
              </w:rPr>
              <w:t>Property and Construction Industry Policy and Research</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39089"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4 001,4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CBD74"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4 250,4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CAAFD"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4 462,8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866F5"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4 703,0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8913"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249,0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18BB6"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27,4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99344"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6,22%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382DA"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0,69%</w:t>
            </w:r>
          </w:p>
        </w:tc>
      </w:tr>
      <w:tr w:rsidR="004820A5" w:rsidRPr="001170E4" w14:paraId="6F4FD182" w14:textId="77777777" w:rsidTr="003C6D26">
        <w:trPr>
          <w:trHeight w:val="390"/>
        </w:trPr>
        <w:tc>
          <w:tcPr>
            <w:tcW w:w="1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ADEC1" w14:textId="77777777" w:rsidR="004820A5" w:rsidRPr="001170E4" w:rsidRDefault="004820A5" w:rsidP="00F72F11">
            <w:pPr>
              <w:spacing w:line="360" w:lineRule="auto"/>
              <w:jc w:val="both"/>
              <w:rPr>
                <w:rFonts w:ascii="Times New Roman" w:eastAsia="Times New Roman" w:hAnsi="Times New Roman" w:cs="Times New Roman"/>
                <w:b/>
                <w:lang w:eastAsia="en-ZA"/>
              </w:rPr>
            </w:pPr>
            <w:r w:rsidRPr="001170E4">
              <w:rPr>
                <w:rFonts w:ascii="Times New Roman" w:eastAsia="Times New Roman" w:hAnsi="Times New Roman" w:cs="Times New Roman"/>
                <w:b/>
                <w:lang w:eastAsia="en-ZA"/>
              </w:rPr>
              <w:t>Prestige Policy</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06A28"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84,6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5446B"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97,9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E8613"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116,3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A7280"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117,0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76C0B"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13,3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8D024"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5CF85"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15,72%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6DE03"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9,69%</w:t>
            </w:r>
          </w:p>
        </w:tc>
      </w:tr>
      <w:tr w:rsidR="004820A5" w:rsidRPr="001170E4" w14:paraId="58707B5E" w14:textId="77777777" w:rsidTr="003C6D26">
        <w:trPr>
          <w:trHeight w:val="70"/>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55FCF" w14:textId="77777777" w:rsidR="004820A5" w:rsidRPr="001170E4" w:rsidRDefault="004820A5" w:rsidP="00F72F11">
            <w:pPr>
              <w:spacing w:line="360" w:lineRule="auto"/>
              <w:jc w:val="both"/>
              <w:rPr>
                <w:rFonts w:ascii="Times New Roman" w:eastAsia="Times New Roman" w:hAnsi="Times New Roman" w:cs="Times New Roman"/>
                <w:lang w:eastAsia="en-ZA"/>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98482" w14:textId="77777777" w:rsidR="004820A5" w:rsidRPr="001170E4" w:rsidRDefault="004820A5" w:rsidP="00F72F11">
            <w:pPr>
              <w:spacing w:line="360" w:lineRule="auto"/>
              <w:jc w:val="both"/>
              <w:rPr>
                <w:rFonts w:ascii="Times New Roman" w:hAnsi="Times New Roman" w:cs="Times New Roman"/>
                <w:lang w:eastAsia="en-Z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D2FD1" w14:textId="77777777" w:rsidR="004820A5" w:rsidRPr="001170E4" w:rsidRDefault="004820A5" w:rsidP="00F72F11">
            <w:pPr>
              <w:spacing w:line="360" w:lineRule="auto"/>
              <w:jc w:val="both"/>
              <w:rPr>
                <w:rFonts w:ascii="Times New Roman" w:hAnsi="Times New Roman" w:cs="Times New Roman"/>
                <w:lang w:eastAsia="en-Z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02E6E" w14:textId="77777777" w:rsidR="004820A5" w:rsidRPr="001170E4" w:rsidRDefault="004820A5" w:rsidP="00F72F11">
            <w:pPr>
              <w:spacing w:line="360" w:lineRule="auto"/>
              <w:jc w:val="both"/>
              <w:rPr>
                <w:rFonts w:ascii="Times New Roman" w:hAnsi="Times New Roman" w:cs="Times New Roman"/>
                <w:lang w:eastAsia="en-ZA"/>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21312" w14:textId="77777777" w:rsidR="004820A5" w:rsidRPr="001170E4" w:rsidRDefault="004820A5" w:rsidP="00F72F11">
            <w:pPr>
              <w:spacing w:line="360" w:lineRule="auto"/>
              <w:jc w:val="both"/>
              <w:rPr>
                <w:rFonts w:ascii="Times New Roman" w:hAnsi="Times New Roman" w:cs="Times New Roman"/>
                <w:lang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25C99" w14:textId="77777777" w:rsidR="004820A5" w:rsidRPr="001170E4" w:rsidRDefault="004820A5" w:rsidP="00F72F11">
            <w:pPr>
              <w:spacing w:line="360" w:lineRule="auto"/>
              <w:jc w:val="both"/>
              <w:rPr>
                <w:rFonts w:ascii="Times New Roman" w:hAnsi="Times New Roman" w:cs="Times New Roman"/>
                <w:lang w:eastAsia="en-ZA"/>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74939" w14:textId="77777777" w:rsidR="004820A5" w:rsidRPr="001170E4" w:rsidRDefault="004820A5" w:rsidP="00F72F11">
            <w:pPr>
              <w:spacing w:line="360" w:lineRule="auto"/>
              <w:jc w:val="both"/>
              <w:rPr>
                <w:rFonts w:ascii="Times New Roman" w:hAnsi="Times New Roman" w:cs="Times New Roman"/>
                <w:lang w:eastAsia="en-ZA"/>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1026C" w14:textId="77777777" w:rsidR="004820A5" w:rsidRPr="001170E4" w:rsidRDefault="004820A5" w:rsidP="00F72F11">
            <w:pPr>
              <w:spacing w:line="360" w:lineRule="auto"/>
              <w:jc w:val="both"/>
              <w:rPr>
                <w:rFonts w:ascii="Times New Roman" w:hAnsi="Times New Roman" w:cs="Times New Roman"/>
                <w:lang w:eastAsia="en-ZA"/>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6C6AC" w14:textId="77777777" w:rsidR="004820A5" w:rsidRPr="001170E4" w:rsidRDefault="004820A5" w:rsidP="00F72F11">
            <w:pPr>
              <w:spacing w:line="360" w:lineRule="auto"/>
              <w:jc w:val="both"/>
              <w:rPr>
                <w:rFonts w:ascii="Times New Roman" w:hAnsi="Times New Roman" w:cs="Times New Roman"/>
                <w:lang w:eastAsia="en-ZA"/>
              </w:rPr>
            </w:pPr>
          </w:p>
        </w:tc>
      </w:tr>
      <w:tr w:rsidR="004820A5" w:rsidRPr="001170E4" w14:paraId="233C0337" w14:textId="77777777" w:rsidTr="003C6D26">
        <w:trPr>
          <w:trHeight w:val="569"/>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9988B" w14:textId="77777777" w:rsidR="004820A5" w:rsidRPr="001170E4" w:rsidRDefault="004820A5" w:rsidP="00F72F11">
            <w:pPr>
              <w:spacing w:line="360" w:lineRule="auto"/>
              <w:jc w:val="both"/>
              <w:rPr>
                <w:rFonts w:ascii="Times New Roman" w:eastAsia="Times New Roman" w:hAnsi="Times New Roman" w:cs="Times New Roman"/>
                <w:b/>
                <w:bCs/>
                <w:lang w:val="en-GB" w:eastAsia="en-ZA"/>
              </w:rPr>
            </w:pPr>
            <w:r w:rsidRPr="001170E4">
              <w:rPr>
                <w:rFonts w:ascii="Times New Roman" w:eastAsia="Times New Roman" w:hAnsi="Times New Roman" w:cs="Times New Roman"/>
                <w:b/>
                <w:bCs/>
                <w:lang w:eastAsia="en-ZA"/>
              </w:rPr>
              <w:t>TOTAL</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DECB5"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 xml:space="preserve"> 6 985,1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E97EB"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 xml:space="preserve"> 7 453,3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70D1A"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7 899,0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E8CAB" w14:textId="77777777" w:rsidR="004820A5" w:rsidRPr="001170E4" w:rsidRDefault="004820A5" w:rsidP="00F72F11">
            <w:pPr>
              <w:spacing w:line="360" w:lineRule="auto"/>
              <w:jc w:val="both"/>
              <w:rPr>
                <w:rFonts w:ascii="Times New Roman" w:eastAsia="Times New Roman" w:hAnsi="Times New Roman" w:cs="Times New Roman"/>
                <w:lang w:eastAsia="en-ZA"/>
              </w:rPr>
            </w:pPr>
            <w:r w:rsidRPr="001170E4">
              <w:rPr>
                <w:rFonts w:ascii="Times New Roman" w:eastAsia="Times New Roman" w:hAnsi="Times New Roman" w:cs="Times New Roman"/>
                <w:lang w:eastAsia="en-ZA"/>
              </w:rPr>
              <w:t xml:space="preserve"> 8 346,4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73704"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 xml:space="preserve">  468,2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66573"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 xml:space="preserve">  79,6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ED42D"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6,70%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EB5AA" w14:textId="77777777" w:rsidR="004820A5" w:rsidRPr="001170E4" w:rsidRDefault="004820A5" w:rsidP="00F72F11">
            <w:pPr>
              <w:spacing w:line="360" w:lineRule="auto"/>
              <w:jc w:val="both"/>
              <w:rPr>
                <w:rFonts w:ascii="Times New Roman" w:eastAsia="Times New Roman" w:hAnsi="Times New Roman" w:cs="Times New Roman"/>
                <w:b/>
                <w:bCs/>
                <w:lang w:eastAsia="en-ZA"/>
              </w:rPr>
            </w:pPr>
            <w:r w:rsidRPr="001170E4">
              <w:rPr>
                <w:rFonts w:ascii="Times New Roman" w:eastAsia="Times New Roman" w:hAnsi="Times New Roman" w:cs="Times New Roman"/>
                <w:b/>
                <w:bCs/>
                <w:lang w:eastAsia="en-ZA"/>
              </w:rPr>
              <w:t>1,14%</w:t>
            </w:r>
          </w:p>
        </w:tc>
      </w:tr>
    </w:tbl>
    <w:p w14:paraId="50542142" w14:textId="77777777" w:rsidR="004820A5" w:rsidRPr="001170E4" w:rsidRDefault="004820A5" w:rsidP="00F72F11">
      <w:pPr>
        <w:spacing w:line="360" w:lineRule="auto"/>
        <w:jc w:val="both"/>
        <w:rPr>
          <w:rFonts w:ascii="Times New Roman" w:hAnsi="Times New Roman" w:cs="Times New Roman"/>
          <w:lang w:val="en-GB"/>
        </w:rPr>
      </w:pPr>
    </w:p>
    <w:p w14:paraId="468CB75E" w14:textId="77777777" w:rsidR="00BB1EE2" w:rsidRPr="001170E4" w:rsidRDefault="00BB1EE2" w:rsidP="00F72F11">
      <w:pPr>
        <w:spacing w:line="360" w:lineRule="auto"/>
        <w:jc w:val="both"/>
        <w:rPr>
          <w:rFonts w:ascii="Times New Roman" w:hAnsi="Times New Roman" w:cs="Times New Roman"/>
          <w:i/>
        </w:rPr>
      </w:pPr>
      <w:r w:rsidRPr="001170E4">
        <w:rPr>
          <w:rFonts w:ascii="Times New Roman" w:hAnsi="Times New Roman" w:cs="Times New Roman"/>
          <w:i/>
        </w:rPr>
        <w:t>Source: National Treasury (201</w:t>
      </w:r>
      <w:r w:rsidR="00DE0CD0" w:rsidRPr="001170E4">
        <w:rPr>
          <w:rFonts w:ascii="Times New Roman" w:hAnsi="Times New Roman" w:cs="Times New Roman"/>
          <w:i/>
        </w:rPr>
        <w:t>8</w:t>
      </w:r>
      <w:r w:rsidRPr="001170E4">
        <w:rPr>
          <w:rFonts w:ascii="Times New Roman" w:hAnsi="Times New Roman" w:cs="Times New Roman"/>
          <w:i/>
        </w:rPr>
        <w:t xml:space="preserve">) </w:t>
      </w:r>
    </w:p>
    <w:p w14:paraId="1F637B8D" w14:textId="77777777" w:rsidR="00DE0CD0" w:rsidRPr="001170E4" w:rsidRDefault="00DE0CD0" w:rsidP="00F72F11">
      <w:pPr>
        <w:spacing w:line="360" w:lineRule="auto"/>
        <w:jc w:val="both"/>
        <w:rPr>
          <w:rFonts w:ascii="Times New Roman" w:hAnsi="Times New Roman" w:cs="Times New Roman"/>
        </w:rPr>
      </w:pPr>
    </w:p>
    <w:p w14:paraId="46878100" w14:textId="77777777" w:rsidR="00832C3B" w:rsidRPr="00832C3B" w:rsidRDefault="00BB1EE2" w:rsidP="00F72F11">
      <w:pPr>
        <w:spacing w:line="360" w:lineRule="auto"/>
        <w:jc w:val="both"/>
        <w:rPr>
          <w:rFonts w:ascii="Times New Roman" w:hAnsi="Times New Roman" w:cs="Times New Roman"/>
        </w:rPr>
      </w:pPr>
      <w:r w:rsidRPr="00832C3B">
        <w:rPr>
          <w:rFonts w:ascii="Times New Roman" w:hAnsi="Times New Roman" w:cs="Times New Roman"/>
        </w:rPr>
        <w:t>The Department of Public Works rec</w:t>
      </w:r>
      <w:r w:rsidR="009E2F1A">
        <w:rPr>
          <w:rFonts w:ascii="Times New Roman" w:hAnsi="Times New Roman" w:cs="Times New Roman"/>
        </w:rPr>
        <w:t>eived a budget allocation of R7,</w:t>
      </w:r>
      <w:r w:rsidRPr="00832C3B">
        <w:rPr>
          <w:rFonts w:ascii="Times New Roman" w:hAnsi="Times New Roman" w:cs="Times New Roman"/>
        </w:rPr>
        <w:t>4</w:t>
      </w:r>
      <w:r w:rsidR="00832C3B" w:rsidRPr="00832C3B">
        <w:rPr>
          <w:rFonts w:ascii="Times New Roman" w:hAnsi="Times New Roman" w:cs="Times New Roman"/>
        </w:rPr>
        <w:t>5</w:t>
      </w:r>
      <w:r w:rsidRPr="00832C3B">
        <w:rPr>
          <w:rFonts w:ascii="Times New Roman" w:hAnsi="Times New Roman" w:cs="Times New Roman"/>
        </w:rPr>
        <w:t xml:space="preserve"> billion for 201</w:t>
      </w:r>
      <w:r w:rsidR="002C4777" w:rsidRPr="00832C3B">
        <w:rPr>
          <w:rFonts w:ascii="Times New Roman" w:hAnsi="Times New Roman" w:cs="Times New Roman"/>
        </w:rPr>
        <w:t>8</w:t>
      </w:r>
      <w:r w:rsidRPr="00832C3B">
        <w:rPr>
          <w:rFonts w:ascii="Times New Roman" w:hAnsi="Times New Roman" w:cs="Times New Roman"/>
        </w:rPr>
        <w:t>/1</w:t>
      </w:r>
      <w:r w:rsidR="002C4777" w:rsidRPr="00832C3B">
        <w:rPr>
          <w:rFonts w:ascii="Times New Roman" w:hAnsi="Times New Roman" w:cs="Times New Roman"/>
        </w:rPr>
        <w:t>9</w:t>
      </w:r>
      <w:r w:rsidRPr="00832C3B">
        <w:rPr>
          <w:rFonts w:ascii="Times New Roman" w:hAnsi="Times New Roman" w:cs="Times New Roman"/>
        </w:rPr>
        <w:t xml:space="preserve"> with which to accomplish the priorities listed above. </w:t>
      </w:r>
      <w:r w:rsidR="00832C3B" w:rsidRPr="00832C3B">
        <w:rPr>
          <w:rFonts w:ascii="Times New Roman" w:hAnsi="Times New Roman" w:cs="Times New Roman"/>
        </w:rPr>
        <w:t>T</w:t>
      </w:r>
      <w:r w:rsidR="005E548F" w:rsidRPr="00832C3B">
        <w:rPr>
          <w:rFonts w:ascii="Times New Roman" w:hAnsi="Times New Roman" w:cs="Times New Roman"/>
        </w:rPr>
        <w:t>his</w:t>
      </w:r>
      <w:r w:rsidRPr="00832C3B">
        <w:rPr>
          <w:rFonts w:ascii="Times New Roman" w:hAnsi="Times New Roman" w:cs="Times New Roman"/>
        </w:rPr>
        <w:t xml:space="preserve"> represents </w:t>
      </w:r>
      <w:r w:rsidR="00832C3B" w:rsidRPr="00832C3B">
        <w:rPr>
          <w:rFonts w:ascii="Times New Roman" w:hAnsi="Times New Roman" w:cs="Times New Roman"/>
        </w:rPr>
        <w:t>an increase of 6</w:t>
      </w:r>
      <w:r w:rsidR="009E2F1A">
        <w:rPr>
          <w:rFonts w:ascii="Times New Roman" w:hAnsi="Times New Roman" w:cs="Times New Roman"/>
        </w:rPr>
        <w:t>,</w:t>
      </w:r>
      <w:r w:rsidR="00832C3B" w:rsidRPr="00832C3B">
        <w:rPr>
          <w:rFonts w:ascii="Times New Roman" w:hAnsi="Times New Roman" w:cs="Times New Roman"/>
        </w:rPr>
        <w:t>7% in nominal terms, and 1.1% in real terms (calculating the impact of inflation) from the 2017/</w:t>
      </w:r>
      <w:r w:rsidR="000525A9">
        <w:rPr>
          <w:rFonts w:ascii="Times New Roman" w:hAnsi="Times New Roman" w:cs="Times New Roman"/>
        </w:rPr>
        <w:t>18 adjusted appropriation of R6,</w:t>
      </w:r>
      <w:r w:rsidR="00832C3B" w:rsidRPr="00832C3B">
        <w:rPr>
          <w:rFonts w:ascii="Times New Roman" w:hAnsi="Times New Roman" w:cs="Times New Roman"/>
        </w:rPr>
        <w:t>99 billion. The Department’s budget represents approximately 0</w:t>
      </w:r>
      <w:r w:rsidR="009E2F1A">
        <w:rPr>
          <w:rFonts w:ascii="Times New Roman" w:hAnsi="Times New Roman" w:cs="Times New Roman"/>
        </w:rPr>
        <w:t>,</w:t>
      </w:r>
      <w:r w:rsidR="00832C3B" w:rsidRPr="00832C3B">
        <w:rPr>
          <w:rFonts w:ascii="Times New Roman" w:hAnsi="Times New Roman" w:cs="Times New Roman"/>
        </w:rPr>
        <w:t xml:space="preserve">1% of the national appropriation by vote, excluding direct charges. </w:t>
      </w:r>
    </w:p>
    <w:p w14:paraId="576CC05B" w14:textId="77777777" w:rsidR="00832C3B" w:rsidRPr="00832C3B" w:rsidRDefault="00832C3B" w:rsidP="00F72F11">
      <w:pPr>
        <w:spacing w:line="360" w:lineRule="auto"/>
        <w:jc w:val="both"/>
        <w:rPr>
          <w:rFonts w:ascii="Times New Roman" w:hAnsi="Times New Roman" w:cs="Times New Roman"/>
        </w:rPr>
      </w:pPr>
      <w:r w:rsidRPr="00832C3B">
        <w:rPr>
          <w:rFonts w:ascii="Times New Roman" w:hAnsi="Times New Roman" w:cs="Times New Roman"/>
        </w:rPr>
        <w:lastRenderedPageBreak/>
        <w:t>In terms of economic classification, the departmental budget includes transfers totalling 86</w:t>
      </w:r>
      <w:r w:rsidR="009E2F1A">
        <w:rPr>
          <w:rFonts w:ascii="Times New Roman" w:hAnsi="Times New Roman" w:cs="Times New Roman"/>
        </w:rPr>
        <w:t>,</w:t>
      </w:r>
      <w:r w:rsidRPr="00832C3B">
        <w:rPr>
          <w:rFonts w:ascii="Times New Roman" w:hAnsi="Times New Roman" w:cs="Times New Roman"/>
        </w:rPr>
        <w:t>9% of the budget, wi</w:t>
      </w:r>
      <w:r w:rsidR="000525A9">
        <w:rPr>
          <w:rFonts w:ascii="Times New Roman" w:hAnsi="Times New Roman" w:cs="Times New Roman"/>
        </w:rPr>
        <w:t>th a total monetary value of R6,48 billion, from the R6,</w:t>
      </w:r>
      <w:r w:rsidRPr="00832C3B">
        <w:rPr>
          <w:rFonts w:ascii="Times New Roman" w:hAnsi="Times New Roman" w:cs="Times New Roman"/>
        </w:rPr>
        <w:t>09 billion allocation in 2017/18. This constitutes an increa</w:t>
      </w:r>
      <w:r w:rsidR="000525A9">
        <w:rPr>
          <w:rFonts w:ascii="Times New Roman" w:hAnsi="Times New Roman" w:cs="Times New Roman"/>
        </w:rPr>
        <w:t>se of R389,</w:t>
      </w:r>
      <w:r w:rsidRPr="00832C3B">
        <w:rPr>
          <w:rFonts w:ascii="Times New Roman" w:hAnsi="Times New Roman" w:cs="Times New Roman"/>
        </w:rPr>
        <w:t>8 million (or 6</w:t>
      </w:r>
      <w:r w:rsidR="009E2F1A">
        <w:rPr>
          <w:rFonts w:ascii="Times New Roman" w:hAnsi="Times New Roman" w:cs="Times New Roman"/>
        </w:rPr>
        <w:t>,</w:t>
      </w:r>
      <w:r w:rsidRPr="00832C3B">
        <w:rPr>
          <w:rFonts w:ascii="Times New Roman" w:hAnsi="Times New Roman" w:cs="Times New Roman"/>
        </w:rPr>
        <w:t>4% in nominal terms and 0</w:t>
      </w:r>
      <w:r w:rsidR="009E2F1A">
        <w:rPr>
          <w:rFonts w:ascii="Times New Roman" w:hAnsi="Times New Roman" w:cs="Times New Roman"/>
        </w:rPr>
        <w:t>,</w:t>
      </w:r>
      <w:r w:rsidRPr="00832C3B">
        <w:rPr>
          <w:rFonts w:ascii="Times New Roman" w:hAnsi="Times New Roman" w:cs="Times New Roman"/>
        </w:rPr>
        <w:t xml:space="preserve">9% in real terms). </w:t>
      </w:r>
    </w:p>
    <w:p w14:paraId="021C375B" w14:textId="77777777" w:rsidR="00832C3B" w:rsidRPr="00832C3B" w:rsidRDefault="000525A9" w:rsidP="00F72F11">
      <w:pPr>
        <w:spacing w:line="360" w:lineRule="auto"/>
        <w:jc w:val="both"/>
        <w:rPr>
          <w:rFonts w:ascii="Times New Roman" w:hAnsi="Times New Roman" w:cs="Times New Roman"/>
        </w:rPr>
      </w:pPr>
      <w:r>
        <w:rPr>
          <w:rFonts w:ascii="Times New Roman" w:hAnsi="Times New Roman" w:cs="Times New Roman"/>
        </w:rPr>
        <w:t>Of these, R1,</w:t>
      </w:r>
      <w:r w:rsidR="00832C3B" w:rsidRPr="00832C3B">
        <w:rPr>
          <w:rFonts w:ascii="Times New Roman" w:hAnsi="Times New Roman" w:cs="Times New Roman"/>
        </w:rPr>
        <w:t xml:space="preserve">52 billion </w:t>
      </w:r>
      <w:r w:rsidR="00832C3B">
        <w:rPr>
          <w:rFonts w:ascii="Times New Roman" w:hAnsi="Times New Roman" w:cs="Times New Roman"/>
        </w:rPr>
        <w:t>is transferred</w:t>
      </w:r>
      <w:r w:rsidR="00832C3B" w:rsidRPr="00832C3B">
        <w:rPr>
          <w:rFonts w:ascii="Times New Roman" w:hAnsi="Times New Roman" w:cs="Times New Roman"/>
        </w:rPr>
        <w:t xml:space="preserve"> to Provinces and Municipalities</w:t>
      </w:r>
      <w:r w:rsidR="00832C3B">
        <w:rPr>
          <w:rFonts w:ascii="Times New Roman" w:hAnsi="Times New Roman" w:cs="Times New Roman"/>
        </w:rPr>
        <w:t xml:space="preserve"> as </w:t>
      </w:r>
      <w:r w:rsidR="00832C3B" w:rsidRPr="00832C3B">
        <w:rPr>
          <w:rFonts w:ascii="Times New Roman" w:hAnsi="Times New Roman" w:cs="Times New Roman"/>
        </w:rPr>
        <w:t>Conditional Grants</w:t>
      </w:r>
      <w:r w:rsidR="00832C3B">
        <w:rPr>
          <w:rFonts w:ascii="Times New Roman" w:hAnsi="Times New Roman" w:cs="Times New Roman"/>
        </w:rPr>
        <w:t>. A</w:t>
      </w:r>
      <w:r>
        <w:rPr>
          <w:rFonts w:ascii="Times New Roman" w:hAnsi="Times New Roman" w:cs="Times New Roman"/>
        </w:rPr>
        <w:t xml:space="preserve"> total of R4,</w:t>
      </w:r>
      <w:r w:rsidR="00832C3B" w:rsidRPr="00832C3B">
        <w:rPr>
          <w:rFonts w:ascii="Times New Roman" w:hAnsi="Times New Roman" w:cs="Times New Roman"/>
        </w:rPr>
        <w:t>17 billion is allocated to Departmental Agencies and Accounts. During 2018/19, Current Payments amou</w:t>
      </w:r>
      <w:r>
        <w:rPr>
          <w:rFonts w:ascii="Times New Roman" w:hAnsi="Times New Roman" w:cs="Times New Roman"/>
        </w:rPr>
        <w:t>nt to 12</w:t>
      </w:r>
      <w:r w:rsidR="009E2F1A">
        <w:rPr>
          <w:rFonts w:ascii="Times New Roman" w:hAnsi="Times New Roman" w:cs="Times New Roman"/>
        </w:rPr>
        <w:t>,</w:t>
      </w:r>
      <w:r>
        <w:rPr>
          <w:rFonts w:ascii="Times New Roman" w:hAnsi="Times New Roman" w:cs="Times New Roman"/>
        </w:rPr>
        <w:t>8% of the budget (R951,</w:t>
      </w:r>
      <w:r w:rsidR="00832C3B" w:rsidRPr="00832C3B">
        <w:rPr>
          <w:rFonts w:ascii="Times New Roman" w:hAnsi="Times New Roman" w:cs="Times New Roman"/>
        </w:rPr>
        <w:t>5 million) and Capital Payments am</w:t>
      </w:r>
      <w:r>
        <w:rPr>
          <w:rFonts w:ascii="Times New Roman" w:hAnsi="Times New Roman" w:cs="Times New Roman"/>
        </w:rPr>
        <w:t>ount to 0</w:t>
      </w:r>
      <w:r w:rsidR="009E2F1A">
        <w:rPr>
          <w:rFonts w:ascii="Times New Roman" w:hAnsi="Times New Roman" w:cs="Times New Roman"/>
        </w:rPr>
        <w:t>,</w:t>
      </w:r>
      <w:r>
        <w:rPr>
          <w:rFonts w:ascii="Times New Roman" w:hAnsi="Times New Roman" w:cs="Times New Roman"/>
        </w:rPr>
        <w:t>3% of the budget (R23,</w:t>
      </w:r>
      <w:r w:rsidR="00832C3B" w:rsidRPr="00832C3B">
        <w:rPr>
          <w:rFonts w:ascii="Times New Roman" w:hAnsi="Times New Roman" w:cs="Times New Roman"/>
        </w:rPr>
        <w:t>5 million).</w:t>
      </w:r>
    </w:p>
    <w:p w14:paraId="0F845ECD" w14:textId="77777777" w:rsidR="00832C3B" w:rsidRPr="00832C3B" w:rsidRDefault="00832C3B" w:rsidP="00F72F11">
      <w:pPr>
        <w:spacing w:line="360" w:lineRule="auto"/>
        <w:jc w:val="both"/>
        <w:rPr>
          <w:rFonts w:ascii="Times New Roman" w:hAnsi="Times New Roman" w:cs="Times New Roman"/>
          <w:bCs/>
        </w:rPr>
      </w:pPr>
      <w:r w:rsidRPr="00832C3B">
        <w:rPr>
          <w:rFonts w:ascii="Times New Roman" w:hAnsi="Times New Roman" w:cs="Times New Roman"/>
          <w:bCs/>
        </w:rPr>
        <w:t>Compensatio</w:t>
      </w:r>
      <w:r w:rsidR="000525A9">
        <w:rPr>
          <w:rFonts w:ascii="Times New Roman" w:hAnsi="Times New Roman" w:cs="Times New Roman"/>
          <w:bCs/>
        </w:rPr>
        <w:t>n of employees increased by R59,9 million (from R458,</w:t>
      </w:r>
      <w:r w:rsidRPr="00832C3B">
        <w:rPr>
          <w:rFonts w:ascii="Times New Roman" w:hAnsi="Times New Roman" w:cs="Times New Roman"/>
          <w:bCs/>
        </w:rPr>
        <w:t>4 million in the 2</w:t>
      </w:r>
      <w:r w:rsidR="000525A9">
        <w:rPr>
          <w:rFonts w:ascii="Times New Roman" w:hAnsi="Times New Roman" w:cs="Times New Roman"/>
          <w:bCs/>
        </w:rPr>
        <w:t>017/18 adjusted period) to R518,</w:t>
      </w:r>
      <w:r w:rsidRPr="00832C3B">
        <w:rPr>
          <w:rFonts w:ascii="Times New Roman" w:hAnsi="Times New Roman" w:cs="Times New Roman"/>
          <w:bCs/>
        </w:rPr>
        <w:t xml:space="preserve">3 million in 2018/19. </w:t>
      </w:r>
    </w:p>
    <w:p w14:paraId="64358F8D" w14:textId="77777777" w:rsidR="00832C3B" w:rsidRPr="001170E4" w:rsidRDefault="00832C3B" w:rsidP="00F72F11">
      <w:pPr>
        <w:spacing w:line="360" w:lineRule="auto"/>
        <w:jc w:val="both"/>
        <w:rPr>
          <w:rFonts w:ascii="Times New Roman" w:hAnsi="Times New Roman" w:cs="Times New Roman"/>
          <w:bCs/>
        </w:rPr>
      </w:pPr>
    </w:p>
    <w:p w14:paraId="75D10416" w14:textId="77777777" w:rsidR="00BB1EE2" w:rsidRPr="001170E4" w:rsidRDefault="00BB1EE2" w:rsidP="00F72F11">
      <w:pPr>
        <w:pStyle w:val="Heading3"/>
        <w:spacing w:line="360" w:lineRule="auto"/>
        <w:rPr>
          <w:rFonts w:ascii="Times New Roman" w:hAnsi="Times New Roman"/>
          <w:i w:val="0"/>
          <w:color w:val="auto"/>
          <w:szCs w:val="22"/>
        </w:rPr>
      </w:pPr>
      <w:bookmarkStart w:id="3" w:name="_Toc477174241"/>
      <w:r w:rsidRPr="001170E4">
        <w:rPr>
          <w:rFonts w:ascii="Times New Roman" w:hAnsi="Times New Roman"/>
          <w:i w:val="0"/>
          <w:color w:val="auto"/>
          <w:szCs w:val="22"/>
        </w:rPr>
        <w:t>Vote Goods and Services</w:t>
      </w:r>
      <w:bookmarkEnd w:id="3"/>
    </w:p>
    <w:p w14:paraId="6E96C776"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 xml:space="preserve">Noteworthy increases from the previous financial year under the vote Goods and Services are the following: </w:t>
      </w:r>
    </w:p>
    <w:p w14:paraId="296EE34B"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Administrative Fees increased by R26 000.</w:t>
      </w:r>
    </w:p>
    <w:p w14:paraId="1E127D9A" w14:textId="77777777" w:rsidR="005E548F" w:rsidRPr="001170E4" w:rsidRDefault="000525A9" w:rsidP="00F72F11">
      <w:pPr>
        <w:numPr>
          <w:ilvl w:val="0"/>
          <w:numId w:val="7"/>
        </w:numPr>
        <w:spacing w:after="0" w:line="360" w:lineRule="auto"/>
        <w:jc w:val="both"/>
        <w:rPr>
          <w:rFonts w:ascii="Times New Roman" w:hAnsi="Times New Roman" w:cs="Times New Roman"/>
        </w:rPr>
      </w:pPr>
      <w:r>
        <w:rPr>
          <w:rFonts w:ascii="Times New Roman" w:hAnsi="Times New Roman" w:cs="Times New Roman"/>
        </w:rPr>
        <w:t>Advertising increased by R3,</w:t>
      </w:r>
      <w:r w:rsidR="005E548F" w:rsidRPr="001170E4">
        <w:rPr>
          <w:rFonts w:ascii="Times New Roman" w:hAnsi="Times New Roman" w:cs="Times New Roman"/>
        </w:rPr>
        <w:t>6 million.</w:t>
      </w:r>
    </w:p>
    <w:p w14:paraId="4669501E"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Minor Assets increased by R864 000.</w:t>
      </w:r>
    </w:p>
    <w:p w14:paraId="51335A33"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Audit</w:t>
      </w:r>
      <w:r w:rsidR="000525A9">
        <w:rPr>
          <w:rFonts w:ascii="Times New Roman" w:hAnsi="Times New Roman" w:cs="Times New Roman"/>
        </w:rPr>
        <w:t xml:space="preserve"> Cost: External increased by R1,</w:t>
      </w:r>
      <w:r w:rsidRPr="001170E4">
        <w:rPr>
          <w:rFonts w:ascii="Times New Roman" w:hAnsi="Times New Roman" w:cs="Times New Roman"/>
        </w:rPr>
        <w:t xml:space="preserve">0 million. </w:t>
      </w:r>
    </w:p>
    <w:p w14:paraId="3A18456C"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Communication increased by R1</w:t>
      </w:r>
      <w:r w:rsidR="000525A9">
        <w:rPr>
          <w:rFonts w:ascii="Times New Roman" w:hAnsi="Times New Roman" w:cs="Times New Roman"/>
        </w:rPr>
        <w:t>,</w:t>
      </w:r>
      <w:r w:rsidRPr="001170E4">
        <w:rPr>
          <w:rFonts w:ascii="Times New Roman" w:hAnsi="Times New Roman" w:cs="Times New Roman"/>
        </w:rPr>
        <w:t xml:space="preserve">8 million. </w:t>
      </w:r>
    </w:p>
    <w:p w14:paraId="502C137B"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Co</w:t>
      </w:r>
      <w:r w:rsidR="000525A9">
        <w:rPr>
          <w:rFonts w:ascii="Times New Roman" w:hAnsi="Times New Roman" w:cs="Times New Roman"/>
        </w:rPr>
        <w:t>mputer Services increased by R2,</w:t>
      </w:r>
      <w:r w:rsidRPr="001170E4">
        <w:rPr>
          <w:rFonts w:ascii="Times New Roman" w:hAnsi="Times New Roman" w:cs="Times New Roman"/>
        </w:rPr>
        <w:t>6 million.</w:t>
      </w:r>
    </w:p>
    <w:p w14:paraId="45F427F4"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Infrastructure and Pla</w:t>
      </w:r>
      <w:r w:rsidR="000525A9">
        <w:rPr>
          <w:rFonts w:ascii="Times New Roman" w:hAnsi="Times New Roman" w:cs="Times New Roman"/>
        </w:rPr>
        <w:t>nning Services increased by R14,</w:t>
      </w:r>
      <w:r w:rsidRPr="001170E4">
        <w:rPr>
          <w:rFonts w:ascii="Times New Roman" w:hAnsi="Times New Roman" w:cs="Times New Roman"/>
        </w:rPr>
        <w:t>0 million.</w:t>
      </w:r>
    </w:p>
    <w:p w14:paraId="42ADA66A" w14:textId="77777777" w:rsidR="005E548F" w:rsidRPr="001170E4" w:rsidRDefault="000525A9" w:rsidP="00F72F11">
      <w:pPr>
        <w:numPr>
          <w:ilvl w:val="0"/>
          <w:numId w:val="7"/>
        </w:numPr>
        <w:spacing w:after="0" w:line="360" w:lineRule="auto"/>
        <w:jc w:val="both"/>
        <w:rPr>
          <w:rFonts w:ascii="Times New Roman" w:hAnsi="Times New Roman" w:cs="Times New Roman"/>
        </w:rPr>
      </w:pPr>
      <w:r>
        <w:rPr>
          <w:rFonts w:ascii="Times New Roman" w:hAnsi="Times New Roman" w:cs="Times New Roman"/>
        </w:rPr>
        <w:t>Contractors increased by R5,</w:t>
      </w:r>
      <w:r w:rsidR="005E548F" w:rsidRPr="001170E4">
        <w:rPr>
          <w:rFonts w:ascii="Times New Roman" w:hAnsi="Times New Roman" w:cs="Times New Roman"/>
        </w:rPr>
        <w:t>3 million.</w:t>
      </w:r>
    </w:p>
    <w:p w14:paraId="1AD60421"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 xml:space="preserve">Travel </w:t>
      </w:r>
      <w:r w:rsidR="0004015E">
        <w:rPr>
          <w:rFonts w:ascii="Times New Roman" w:hAnsi="Times New Roman" w:cs="Times New Roman"/>
        </w:rPr>
        <w:t>and Subsistence increased by R2,</w:t>
      </w:r>
      <w:r w:rsidRPr="001170E4">
        <w:rPr>
          <w:rFonts w:ascii="Times New Roman" w:hAnsi="Times New Roman" w:cs="Times New Roman"/>
        </w:rPr>
        <w:t>4 million.</w:t>
      </w:r>
    </w:p>
    <w:p w14:paraId="1F6934BD" w14:textId="77777777" w:rsidR="005E548F" w:rsidRPr="001170E4" w:rsidRDefault="005E548F" w:rsidP="00F72F11">
      <w:pPr>
        <w:spacing w:line="360" w:lineRule="auto"/>
        <w:jc w:val="both"/>
        <w:rPr>
          <w:rFonts w:ascii="Times New Roman" w:hAnsi="Times New Roman" w:cs="Times New Roman"/>
        </w:rPr>
      </w:pPr>
    </w:p>
    <w:p w14:paraId="22190CD4" w14:textId="77777777" w:rsidR="005E548F" w:rsidRPr="001170E4" w:rsidRDefault="005E548F" w:rsidP="00F72F11">
      <w:pPr>
        <w:spacing w:line="360" w:lineRule="auto"/>
        <w:jc w:val="both"/>
        <w:rPr>
          <w:rFonts w:ascii="Times New Roman" w:hAnsi="Times New Roman" w:cs="Times New Roman"/>
        </w:rPr>
      </w:pPr>
      <w:r w:rsidRPr="001170E4">
        <w:rPr>
          <w:rFonts w:ascii="Times New Roman" w:hAnsi="Times New Roman" w:cs="Times New Roman"/>
        </w:rPr>
        <w:t>Reductions included the following:</w:t>
      </w:r>
    </w:p>
    <w:p w14:paraId="360DF682"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Consultants: Business and Ad</w:t>
      </w:r>
      <w:r w:rsidR="0004015E">
        <w:rPr>
          <w:rFonts w:ascii="Times New Roman" w:hAnsi="Times New Roman" w:cs="Times New Roman"/>
        </w:rPr>
        <w:t>visory Services decreased by R6,</w:t>
      </w:r>
      <w:r w:rsidRPr="001170E4">
        <w:rPr>
          <w:rFonts w:ascii="Times New Roman" w:hAnsi="Times New Roman" w:cs="Times New Roman"/>
        </w:rPr>
        <w:t>7 million.</w:t>
      </w:r>
    </w:p>
    <w:p w14:paraId="50B6BCBB"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Legal Services decreased by R2</w:t>
      </w:r>
      <w:r w:rsidR="0004015E">
        <w:rPr>
          <w:rFonts w:ascii="Times New Roman" w:hAnsi="Times New Roman" w:cs="Times New Roman"/>
        </w:rPr>
        <w:t>,</w:t>
      </w:r>
      <w:r w:rsidRPr="001170E4">
        <w:rPr>
          <w:rFonts w:ascii="Times New Roman" w:hAnsi="Times New Roman" w:cs="Times New Roman"/>
        </w:rPr>
        <w:t>7 million.</w:t>
      </w:r>
    </w:p>
    <w:p w14:paraId="0D73342B"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Catering: Departm</w:t>
      </w:r>
      <w:r w:rsidR="0004015E">
        <w:rPr>
          <w:rFonts w:ascii="Times New Roman" w:hAnsi="Times New Roman" w:cs="Times New Roman"/>
        </w:rPr>
        <w:t>ental Activities decreased by 1,</w:t>
      </w:r>
      <w:r w:rsidRPr="001170E4">
        <w:rPr>
          <w:rFonts w:ascii="Times New Roman" w:hAnsi="Times New Roman" w:cs="Times New Roman"/>
        </w:rPr>
        <w:t>2 million.</w:t>
      </w:r>
    </w:p>
    <w:p w14:paraId="17A50E1F"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Agency Support Services decreased by R988 000.</w:t>
      </w:r>
    </w:p>
    <w:p w14:paraId="321B6D17"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 xml:space="preserve">Consumable: Stationery, Printing and Office Supplies decreased by R122 000. </w:t>
      </w:r>
    </w:p>
    <w:p w14:paraId="6134DD2D" w14:textId="77777777" w:rsidR="005E548F" w:rsidRPr="001170E4" w:rsidRDefault="005E548F" w:rsidP="00F72F11">
      <w:pPr>
        <w:numPr>
          <w:ilvl w:val="0"/>
          <w:numId w:val="7"/>
        </w:numPr>
        <w:spacing w:after="0" w:line="360" w:lineRule="auto"/>
        <w:jc w:val="both"/>
        <w:rPr>
          <w:rFonts w:ascii="Times New Roman" w:hAnsi="Times New Roman" w:cs="Times New Roman"/>
        </w:rPr>
      </w:pPr>
      <w:r w:rsidRPr="001170E4">
        <w:rPr>
          <w:rFonts w:ascii="Times New Roman" w:hAnsi="Times New Roman" w:cs="Times New Roman"/>
        </w:rPr>
        <w:t>Operating leases decreased by R117 000.</w:t>
      </w:r>
    </w:p>
    <w:p w14:paraId="4415EEAD" w14:textId="77777777" w:rsidR="005E548F" w:rsidRPr="001170E4" w:rsidRDefault="005E548F" w:rsidP="00F72F11">
      <w:pPr>
        <w:spacing w:line="360" w:lineRule="auto"/>
        <w:jc w:val="both"/>
        <w:rPr>
          <w:rFonts w:ascii="Times New Roman" w:hAnsi="Times New Roman" w:cs="Times New Roman"/>
        </w:rPr>
      </w:pPr>
    </w:p>
    <w:p w14:paraId="187228D5" w14:textId="77777777" w:rsidR="00BB1EE2" w:rsidRPr="001170E4" w:rsidRDefault="00BB1EE2" w:rsidP="00F72F11">
      <w:pPr>
        <w:pStyle w:val="Heading2"/>
        <w:spacing w:line="360" w:lineRule="auto"/>
        <w:ind w:left="426" w:hanging="426"/>
        <w:jc w:val="both"/>
        <w:rPr>
          <w:rFonts w:ascii="Times New Roman" w:hAnsi="Times New Roman"/>
          <w:color w:val="auto"/>
          <w:szCs w:val="22"/>
        </w:rPr>
      </w:pPr>
      <w:bookmarkStart w:id="4" w:name="_Toc447629102"/>
      <w:bookmarkStart w:id="5" w:name="_Toc477174242"/>
      <w:r w:rsidRPr="001170E4">
        <w:rPr>
          <w:rFonts w:ascii="Times New Roman" w:hAnsi="Times New Roman"/>
          <w:color w:val="auto"/>
          <w:szCs w:val="22"/>
        </w:rPr>
        <w:lastRenderedPageBreak/>
        <w:t>Departmental Receipts</w:t>
      </w:r>
      <w:bookmarkEnd w:id="4"/>
      <w:bookmarkEnd w:id="5"/>
      <w:r w:rsidRPr="001170E4">
        <w:rPr>
          <w:rFonts w:ascii="Times New Roman" w:hAnsi="Times New Roman"/>
          <w:color w:val="auto"/>
          <w:szCs w:val="22"/>
        </w:rPr>
        <w:t xml:space="preserve"> </w:t>
      </w:r>
    </w:p>
    <w:p w14:paraId="6E953FE1" w14:textId="77777777" w:rsidR="00BB1EE2" w:rsidRPr="001170E4" w:rsidRDefault="00BB1EE2" w:rsidP="00F72F11">
      <w:pPr>
        <w:spacing w:line="360" w:lineRule="auto"/>
        <w:jc w:val="both"/>
        <w:rPr>
          <w:rFonts w:ascii="Times New Roman" w:hAnsi="Times New Roman" w:cs="Times New Roman"/>
          <w:bCs/>
        </w:rPr>
      </w:pPr>
      <w:r w:rsidRPr="001170E4">
        <w:rPr>
          <w:rFonts w:ascii="Times New Roman" w:hAnsi="Times New Roman" w:cs="Times New Roman"/>
          <w:bCs/>
        </w:rPr>
        <w:t xml:space="preserve">The Department generates revenue through its Property Management Trading Entity (PMTE), by letting properties and official quarters, and through the sale of land and buildings. </w:t>
      </w:r>
      <w:r w:rsidRPr="001170E4">
        <w:rPr>
          <w:rFonts w:ascii="Times New Roman" w:hAnsi="Times New Roman" w:cs="Times New Roman"/>
          <w:bCs/>
          <w:shd w:val="clear" w:color="auto" w:fill="FFFFFF" w:themeFill="background1"/>
        </w:rPr>
        <w:t xml:space="preserve">It is projected that the Department will collect revenue to the total value </w:t>
      </w:r>
      <w:r w:rsidR="00B5112E" w:rsidRPr="001170E4">
        <w:rPr>
          <w:rFonts w:ascii="Times New Roman" w:hAnsi="Times New Roman" w:cs="Times New Roman"/>
          <w:bCs/>
        </w:rPr>
        <w:t>R1</w:t>
      </w:r>
      <w:r w:rsidR="0004015E">
        <w:rPr>
          <w:rFonts w:ascii="Times New Roman" w:hAnsi="Times New Roman" w:cs="Times New Roman"/>
          <w:bCs/>
        </w:rPr>
        <w:t>,</w:t>
      </w:r>
      <w:r w:rsidR="00B5112E" w:rsidRPr="001170E4">
        <w:rPr>
          <w:rFonts w:ascii="Times New Roman" w:hAnsi="Times New Roman" w:cs="Times New Roman"/>
          <w:bCs/>
        </w:rPr>
        <w:t>9 million for 2018/19. This is a decline of R140 000 from the R1</w:t>
      </w:r>
      <w:r w:rsidR="0004015E">
        <w:rPr>
          <w:rFonts w:ascii="Times New Roman" w:hAnsi="Times New Roman" w:cs="Times New Roman"/>
          <w:bCs/>
        </w:rPr>
        <w:t>,</w:t>
      </w:r>
      <w:r w:rsidR="00B5112E" w:rsidRPr="001170E4">
        <w:rPr>
          <w:rFonts w:ascii="Times New Roman" w:hAnsi="Times New Roman" w:cs="Times New Roman"/>
          <w:bCs/>
        </w:rPr>
        <w:t>8 million in 2017/18.</w:t>
      </w:r>
      <w:r w:rsidRPr="001170E4">
        <w:rPr>
          <w:rFonts w:ascii="Times New Roman" w:hAnsi="Times New Roman" w:cs="Times New Roman"/>
          <w:bCs/>
          <w:shd w:val="clear" w:color="auto" w:fill="FFFFFF" w:themeFill="background1"/>
        </w:rPr>
        <w:t xml:space="preserve"> </w:t>
      </w:r>
      <w:r w:rsidRPr="001170E4">
        <w:rPr>
          <w:rFonts w:ascii="Times New Roman" w:hAnsi="Times New Roman" w:cs="Times New Roman"/>
          <w:bCs/>
        </w:rPr>
        <w:t>The Department sub-categorises the sale of goods and services produced, for example, figures are presented for monies generated from the Sale by market establishment:</w:t>
      </w:r>
    </w:p>
    <w:p w14:paraId="6EC08608" w14:textId="77777777" w:rsidR="00B5112E" w:rsidRPr="001170E4" w:rsidRDefault="00B5112E" w:rsidP="00F72F11">
      <w:pPr>
        <w:numPr>
          <w:ilvl w:val="0"/>
          <w:numId w:val="3"/>
        </w:numPr>
        <w:spacing w:after="0" w:line="360" w:lineRule="auto"/>
        <w:jc w:val="both"/>
        <w:rPr>
          <w:rFonts w:ascii="Times New Roman" w:hAnsi="Times New Roman" w:cs="Times New Roman"/>
          <w:bCs/>
        </w:rPr>
      </w:pPr>
      <w:r w:rsidRPr="001170E4">
        <w:rPr>
          <w:rFonts w:ascii="Times New Roman" w:hAnsi="Times New Roman" w:cs="Times New Roman"/>
          <w:bCs/>
        </w:rPr>
        <w:t xml:space="preserve">R120 000 Market establishment (covered and open rental parking). </w:t>
      </w:r>
    </w:p>
    <w:p w14:paraId="6AE2E54D" w14:textId="77777777" w:rsidR="00B5112E" w:rsidRPr="001170E4" w:rsidRDefault="00B5112E" w:rsidP="00F72F11">
      <w:pPr>
        <w:numPr>
          <w:ilvl w:val="0"/>
          <w:numId w:val="3"/>
        </w:numPr>
        <w:spacing w:after="0" w:line="360" w:lineRule="auto"/>
        <w:jc w:val="both"/>
        <w:rPr>
          <w:rFonts w:ascii="Times New Roman" w:hAnsi="Times New Roman" w:cs="Times New Roman"/>
          <w:bCs/>
        </w:rPr>
      </w:pPr>
      <w:r w:rsidRPr="001170E4">
        <w:rPr>
          <w:rFonts w:ascii="Times New Roman" w:hAnsi="Times New Roman" w:cs="Times New Roman"/>
          <w:bCs/>
        </w:rPr>
        <w:t xml:space="preserve">R160 000 Other Sales: Tender documents. </w:t>
      </w:r>
    </w:p>
    <w:p w14:paraId="1D83B9AE" w14:textId="77777777" w:rsidR="00B5112E" w:rsidRPr="001170E4" w:rsidRDefault="00B5112E" w:rsidP="00F72F11">
      <w:pPr>
        <w:numPr>
          <w:ilvl w:val="0"/>
          <w:numId w:val="3"/>
        </w:numPr>
        <w:spacing w:after="0" w:line="360" w:lineRule="auto"/>
        <w:jc w:val="both"/>
        <w:rPr>
          <w:rFonts w:ascii="Times New Roman" w:hAnsi="Times New Roman" w:cs="Times New Roman"/>
        </w:rPr>
      </w:pPr>
      <w:r w:rsidRPr="001170E4">
        <w:rPr>
          <w:rFonts w:ascii="Times New Roman" w:hAnsi="Times New Roman" w:cs="Times New Roman"/>
        </w:rPr>
        <w:t>R40 000 Sales: Waste.</w:t>
      </w:r>
    </w:p>
    <w:p w14:paraId="617701AE" w14:textId="77777777" w:rsidR="00B5112E" w:rsidRPr="001170E4" w:rsidRDefault="00B5112E" w:rsidP="00F72F11">
      <w:pPr>
        <w:numPr>
          <w:ilvl w:val="0"/>
          <w:numId w:val="3"/>
        </w:numPr>
        <w:spacing w:after="0" w:line="360" w:lineRule="auto"/>
        <w:jc w:val="both"/>
        <w:rPr>
          <w:rFonts w:ascii="Times New Roman" w:hAnsi="Times New Roman" w:cs="Times New Roman"/>
        </w:rPr>
      </w:pPr>
      <w:r w:rsidRPr="001170E4">
        <w:rPr>
          <w:rFonts w:ascii="Times New Roman" w:hAnsi="Times New Roman" w:cs="Times New Roman"/>
          <w:bCs/>
        </w:rPr>
        <w:t>R600 000 Interest, dividends and rent on land.</w:t>
      </w:r>
    </w:p>
    <w:p w14:paraId="2D885644" w14:textId="77777777" w:rsidR="00B5112E" w:rsidRPr="001170E4" w:rsidRDefault="00B5112E" w:rsidP="00F72F11">
      <w:pPr>
        <w:numPr>
          <w:ilvl w:val="0"/>
          <w:numId w:val="3"/>
        </w:numPr>
        <w:spacing w:after="0" w:line="360" w:lineRule="auto"/>
        <w:jc w:val="both"/>
        <w:rPr>
          <w:rFonts w:ascii="Times New Roman" w:hAnsi="Times New Roman" w:cs="Times New Roman"/>
        </w:rPr>
      </w:pPr>
      <w:r w:rsidRPr="001170E4">
        <w:rPr>
          <w:rFonts w:ascii="Times New Roman" w:hAnsi="Times New Roman" w:cs="Times New Roman"/>
          <w:bCs/>
        </w:rPr>
        <w:t>R1.0 million Transactions in financial assets and liabilities.</w:t>
      </w:r>
      <w:r w:rsidRPr="001170E4">
        <w:rPr>
          <w:rStyle w:val="FootnoteReference"/>
          <w:rFonts w:ascii="Times New Roman" w:hAnsi="Times New Roman" w:cs="Times New Roman"/>
        </w:rPr>
        <w:footnoteReference w:id="11"/>
      </w:r>
      <w:r w:rsidRPr="001170E4">
        <w:rPr>
          <w:rFonts w:ascii="Times New Roman" w:hAnsi="Times New Roman" w:cs="Times New Roman"/>
        </w:rPr>
        <w:t xml:space="preserve">  </w:t>
      </w:r>
    </w:p>
    <w:p w14:paraId="62623150" w14:textId="77777777" w:rsidR="00BB1EE2" w:rsidRPr="001170E4" w:rsidRDefault="00BB1EE2" w:rsidP="00F72F11">
      <w:pPr>
        <w:spacing w:line="360" w:lineRule="auto"/>
        <w:jc w:val="both"/>
        <w:rPr>
          <w:rFonts w:ascii="Times New Roman" w:hAnsi="Times New Roman" w:cs="Times New Roman"/>
        </w:rPr>
      </w:pPr>
    </w:p>
    <w:p w14:paraId="5AED1F88" w14:textId="77777777" w:rsidR="00BB1EE2" w:rsidRPr="001170E4" w:rsidRDefault="00BB1EE2" w:rsidP="00F72F11">
      <w:pPr>
        <w:pStyle w:val="Heading3"/>
        <w:spacing w:line="360" w:lineRule="auto"/>
        <w:rPr>
          <w:rFonts w:ascii="Times New Roman" w:hAnsi="Times New Roman"/>
          <w:i w:val="0"/>
          <w:color w:val="auto"/>
          <w:szCs w:val="22"/>
        </w:rPr>
      </w:pPr>
      <w:bookmarkStart w:id="6" w:name="_Toc477174244"/>
      <w:r w:rsidRPr="001170E4">
        <w:rPr>
          <w:rFonts w:ascii="Times New Roman" w:hAnsi="Times New Roman"/>
          <w:i w:val="0"/>
          <w:color w:val="auto"/>
          <w:szCs w:val="22"/>
        </w:rPr>
        <w:t>1.2.1 Programme 1: Administration</w:t>
      </w:r>
      <w:bookmarkEnd w:id="6"/>
      <w:r w:rsidRPr="001170E4">
        <w:rPr>
          <w:rFonts w:ascii="Times New Roman" w:hAnsi="Times New Roman"/>
          <w:i w:val="0"/>
          <w:color w:val="auto"/>
          <w:szCs w:val="22"/>
        </w:rPr>
        <w:t xml:space="preserve"> </w:t>
      </w:r>
    </w:p>
    <w:p w14:paraId="55DF88BC" w14:textId="77777777" w:rsidR="00BB1EE2" w:rsidRPr="001170E4" w:rsidRDefault="00BB1EE2" w:rsidP="00F72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170E4">
        <w:rPr>
          <w:rFonts w:ascii="Times New Roman" w:hAnsi="Times New Roman" w:cs="Times New Roman"/>
          <w:b/>
        </w:rPr>
        <w:t>Programme 1 provides strategic leadership, management and support services to the Department.</w:t>
      </w:r>
    </w:p>
    <w:p w14:paraId="7B8D7673" w14:textId="77777777" w:rsidR="00694384" w:rsidRPr="00694384" w:rsidRDefault="00694384" w:rsidP="00F72F11">
      <w:pPr>
        <w:spacing w:line="360" w:lineRule="auto"/>
        <w:jc w:val="both"/>
        <w:rPr>
          <w:rFonts w:ascii="Times New Roman" w:hAnsi="Times New Roman" w:cs="Times New Roman"/>
          <w:bCs/>
        </w:rPr>
      </w:pPr>
      <w:r w:rsidRPr="00694384">
        <w:rPr>
          <w:rFonts w:ascii="Times New Roman" w:hAnsi="Times New Roman" w:cs="Times New Roman"/>
          <w:bCs/>
        </w:rPr>
        <w:t>For 2018/19, the Administration programme</w:t>
      </w:r>
      <w:r w:rsidR="00BE3DDD">
        <w:rPr>
          <w:rFonts w:ascii="Times New Roman" w:hAnsi="Times New Roman" w:cs="Times New Roman"/>
          <w:bCs/>
        </w:rPr>
        <w:t xml:space="preserve"> receives an allocation of R480,</w:t>
      </w:r>
      <w:r w:rsidRPr="00694384">
        <w:rPr>
          <w:rFonts w:ascii="Times New Roman" w:hAnsi="Times New Roman" w:cs="Times New Roman"/>
          <w:bCs/>
        </w:rPr>
        <w:t>3 million</w:t>
      </w:r>
      <w:r>
        <w:rPr>
          <w:rFonts w:ascii="Times New Roman" w:hAnsi="Times New Roman" w:cs="Times New Roman"/>
          <w:bCs/>
        </w:rPr>
        <w:t>. This</w:t>
      </w:r>
      <w:r w:rsidRPr="00694384">
        <w:rPr>
          <w:rFonts w:ascii="Times New Roman" w:hAnsi="Times New Roman" w:cs="Times New Roman"/>
          <w:bCs/>
        </w:rPr>
        <w:t xml:space="preserve"> represents 6</w:t>
      </w:r>
      <w:r w:rsidR="009E2F1A">
        <w:rPr>
          <w:rFonts w:ascii="Times New Roman" w:hAnsi="Times New Roman" w:cs="Times New Roman"/>
          <w:bCs/>
        </w:rPr>
        <w:t>,</w:t>
      </w:r>
      <w:r w:rsidRPr="00694384">
        <w:rPr>
          <w:rFonts w:ascii="Times New Roman" w:hAnsi="Times New Roman" w:cs="Times New Roman"/>
          <w:bCs/>
        </w:rPr>
        <w:t>4% of the overall departmental budget. Th</w:t>
      </w:r>
      <w:r>
        <w:rPr>
          <w:rFonts w:ascii="Times New Roman" w:hAnsi="Times New Roman" w:cs="Times New Roman"/>
          <w:bCs/>
        </w:rPr>
        <w:t>is</w:t>
      </w:r>
      <w:r w:rsidRPr="00694384">
        <w:rPr>
          <w:rFonts w:ascii="Times New Roman" w:hAnsi="Times New Roman" w:cs="Times New Roman"/>
          <w:bCs/>
        </w:rPr>
        <w:t xml:space="preserve"> allocation increases at a nominal rate of 8</w:t>
      </w:r>
      <w:r w:rsidR="009E2F1A">
        <w:rPr>
          <w:rFonts w:ascii="Times New Roman" w:hAnsi="Times New Roman" w:cs="Times New Roman"/>
          <w:bCs/>
        </w:rPr>
        <w:t>,</w:t>
      </w:r>
      <w:r w:rsidRPr="00694384">
        <w:rPr>
          <w:rFonts w:ascii="Times New Roman" w:hAnsi="Times New Roman" w:cs="Times New Roman"/>
          <w:bCs/>
        </w:rPr>
        <w:t>3%, and 2</w:t>
      </w:r>
      <w:r w:rsidR="009E2F1A">
        <w:rPr>
          <w:rFonts w:ascii="Times New Roman" w:hAnsi="Times New Roman" w:cs="Times New Roman"/>
          <w:bCs/>
        </w:rPr>
        <w:t>,</w:t>
      </w:r>
      <w:r w:rsidRPr="00694384">
        <w:rPr>
          <w:rFonts w:ascii="Times New Roman" w:hAnsi="Times New Roman" w:cs="Times New Roman"/>
          <w:bCs/>
        </w:rPr>
        <w:t xml:space="preserve">7% in real terms from the previous allocation. </w:t>
      </w:r>
    </w:p>
    <w:p w14:paraId="7D061807" w14:textId="77777777" w:rsidR="00694384" w:rsidRPr="00694384" w:rsidRDefault="00694384" w:rsidP="00F72F11">
      <w:pPr>
        <w:spacing w:line="360" w:lineRule="auto"/>
        <w:jc w:val="both"/>
        <w:rPr>
          <w:rFonts w:ascii="Times New Roman" w:hAnsi="Times New Roman" w:cs="Times New Roman"/>
          <w:bCs/>
        </w:rPr>
      </w:pPr>
      <w:r w:rsidRPr="00694384">
        <w:rPr>
          <w:rFonts w:ascii="Times New Roman" w:hAnsi="Times New Roman" w:cs="Times New Roman"/>
          <w:bCs/>
        </w:rPr>
        <w:t>In terms of economic classification, the Administration programme budget includes current payments to the value of R462</w:t>
      </w:r>
      <w:r w:rsidR="00BE3DDD">
        <w:rPr>
          <w:rFonts w:ascii="Times New Roman" w:hAnsi="Times New Roman" w:cs="Times New Roman"/>
          <w:bCs/>
        </w:rPr>
        <w:t>,</w:t>
      </w:r>
      <w:r w:rsidRPr="00694384">
        <w:rPr>
          <w:rFonts w:ascii="Times New Roman" w:hAnsi="Times New Roman" w:cs="Times New Roman"/>
          <w:bCs/>
        </w:rPr>
        <w:t>9 million</w:t>
      </w:r>
      <w:r w:rsidR="00D31193">
        <w:rPr>
          <w:rFonts w:ascii="Times New Roman" w:hAnsi="Times New Roman" w:cs="Times New Roman"/>
          <w:bCs/>
        </w:rPr>
        <w:t>. Of this, an amount of</w:t>
      </w:r>
      <w:r w:rsidR="00BE3DDD">
        <w:rPr>
          <w:rFonts w:ascii="Times New Roman" w:hAnsi="Times New Roman" w:cs="Times New Roman"/>
          <w:bCs/>
        </w:rPr>
        <w:t xml:space="preserve"> R263,</w:t>
      </w:r>
      <w:r w:rsidRPr="00694384">
        <w:rPr>
          <w:rFonts w:ascii="Times New Roman" w:hAnsi="Times New Roman" w:cs="Times New Roman"/>
          <w:bCs/>
        </w:rPr>
        <w:t>5 million</w:t>
      </w:r>
      <w:r w:rsidR="00D31193">
        <w:rPr>
          <w:rFonts w:ascii="Times New Roman" w:hAnsi="Times New Roman" w:cs="Times New Roman"/>
          <w:bCs/>
        </w:rPr>
        <w:t xml:space="preserve"> must</w:t>
      </w:r>
      <w:r w:rsidRPr="00694384">
        <w:rPr>
          <w:rFonts w:ascii="Times New Roman" w:hAnsi="Times New Roman" w:cs="Times New Roman"/>
          <w:bCs/>
        </w:rPr>
        <w:t xml:space="preserve"> be spent on compensation of employees. The budget for the compensatio</w:t>
      </w:r>
      <w:r w:rsidR="00BE3DDD">
        <w:rPr>
          <w:rFonts w:ascii="Times New Roman" w:hAnsi="Times New Roman" w:cs="Times New Roman"/>
          <w:bCs/>
        </w:rPr>
        <w:t>n of employees increases by R31,</w:t>
      </w:r>
      <w:r w:rsidRPr="00694384">
        <w:rPr>
          <w:rFonts w:ascii="Times New Roman" w:hAnsi="Times New Roman" w:cs="Times New Roman"/>
          <w:bCs/>
        </w:rPr>
        <w:t>5 million or 13</w:t>
      </w:r>
      <w:r w:rsidR="009E2F1A">
        <w:rPr>
          <w:rFonts w:ascii="Times New Roman" w:hAnsi="Times New Roman" w:cs="Times New Roman"/>
          <w:bCs/>
        </w:rPr>
        <w:t>,</w:t>
      </w:r>
      <w:r w:rsidRPr="00694384">
        <w:rPr>
          <w:rFonts w:ascii="Times New Roman" w:hAnsi="Times New Roman" w:cs="Times New Roman"/>
          <w:bCs/>
        </w:rPr>
        <w:t>6% in nominal terms and 7</w:t>
      </w:r>
      <w:r w:rsidR="009E2F1A">
        <w:rPr>
          <w:rFonts w:ascii="Times New Roman" w:hAnsi="Times New Roman" w:cs="Times New Roman"/>
          <w:bCs/>
        </w:rPr>
        <w:t>,</w:t>
      </w:r>
      <w:r w:rsidRPr="00694384">
        <w:rPr>
          <w:rFonts w:ascii="Times New Roman" w:hAnsi="Times New Roman" w:cs="Times New Roman"/>
          <w:bCs/>
        </w:rPr>
        <w:t xml:space="preserve">7% in real terms in 2018/19. </w:t>
      </w:r>
    </w:p>
    <w:p w14:paraId="16EE60BD" w14:textId="184E191D" w:rsidR="00694384" w:rsidRPr="00694384" w:rsidRDefault="00890AD4" w:rsidP="00F72F11">
      <w:pPr>
        <w:spacing w:line="360" w:lineRule="auto"/>
        <w:jc w:val="both"/>
        <w:rPr>
          <w:rFonts w:ascii="Times New Roman" w:hAnsi="Times New Roman" w:cs="Times New Roman"/>
          <w:bCs/>
        </w:rPr>
      </w:pPr>
      <w:r>
        <w:rPr>
          <w:rFonts w:ascii="Times New Roman" w:hAnsi="Times New Roman" w:cs="Times New Roman"/>
          <w:bCs/>
        </w:rPr>
        <w:t>The</w:t>
      </w:r>
      <w:r w:rsidR="00694384" w:rsidRPr="00694384">
        <w:rPr>
          <w:rFonts w:ascii="Times New Roman" w:hAnsi="Times New Roman" w:cs="Times New Roman"/>
          <w:bCs/>
        </w:rPr>
        <w:t xml:space="preserve"> Departmen</w:t>
      </w:r>
      <w:r w:rsidR="00960E5B">
        <w:rPr>
          <w:rFonts w:ascii="Times New Roman" w:hAnsi="Times New Roman" w:cs="Times New Roman"/>
          <w:bCs/>
        </w:rPr>
        <w:t>t allocates R199,</w:t>
      </w:r>
      <w:r w:rsidR="00694384" w:rsidRPr="00694384">
        <w:rPr>
          <w:rFonts w:ascii="Times New Roman" w:hAnsi="Times New Roman" w:cs="Times New Roman"/>
          <w:bCs/>
        </w:rPr>
        <w:t>4 million to goods and services. Thi</w:t>
      </w:r>
      <w:r w:rsidR="00960E5B">
        <w:rPr>
          <w:rFonts w:ascii="Times New Roman" w:hAnsi="Times New Roman" w:cs="Times New Roman"/>
          <w:bCs/>
        </w:rPr>
        <w:t>s constitutes an increase of R5,</w:t>
      </w:r>
      <w:r w:rsidR="00694384" w:rsidRPr="00694384">
        <w:rPr>
          <w:rFonts w:ascii="Times New Roman" w:hAnsi="Times New Roman" w:cs="Times New Roman"/>
          <w:bCs/>
        </w:rPr>
        <w:t>8 million (or 3</w:t>
      </w:r>
      <w:r w:rsidR="009E2F1A">
        <w:rPr>
          <w:rFonts w:ascii="Times New Roman" w:hAnsi="Times New Roman" w:cs="Times New Roman"/>
          <w:bCs/>
        </w:rPr>
        <w:t>,</w:t>
      </w:r>
      <w:r w:rsidR="00694384" w:rsidRPr="00694384">
        <w:rPr>
          <w:rFonts w:ascii="Times New Roman" w:hAnsi="Times New Roman" w:cs="Times New Roman"/>
          <w:bCs/>
        </w:rPr>
        <w:t>0% in nominal terms and a decline of 2</w:t>
      </w:r>
      <w:r w:rsidR="009E2F1A">
        <w:rPr>
          <w:rFonts w:ascii="Times New Roman" w:hAnsi="Times New Roman" w:cs="Times New Roman"/>
          <w:bCs/>
        </w:rPr>
        <w:t>,</w:t>
      </w:r>
      <w:r w:rsidR="00694384" w:rsidRPr="00694384">
        <w:rPr>
          <w:rFonts w:ascii="Times New Roman" w:hAnsi="Times New Roman" w:cs="Times New Roman"/>
          <w:bCs/>
        </w:rPr>
        <w:t xml:space="preserve">4% in real terms). </w:t>
      </w:r>
    </w:p>
    <w:p w14:paraId="5201FA11" w14:textId="77777777" w:rsidR="00694384" w:rsidRPr="00694384" w:rsidRDefault="00694384" w:rsidP="00F72F11">
      <w:pPr>
        <w:spacing w:line="360" w:lineRule="auto"/>
        <w:jc w:val="both"/>
        <w:rPr>
          <w:rFonts w:ascii="Times New Roman" w:hAnsi="Times New Roman" w:cs="Times New Roman"/>
        </w:rPr>
      </w:pPr>
      <w:r w:rsidRPr="00694384">
        <w:rPr>
          <w:rFonts w:ascii="Times New Roman" w:hAnsi="Times New Roman" w:cs="Times New Roman"/>
        </w:rPr>
        <w:t>Most of the economic classifications under Goods and Services increased for 2018/19. Increases are recorded under the following:</w:t>
      </w:r>
      <w:r w:rsidRPr="00694384">
        <w:rPr>
          <w:rStyle w:val="FootnoteReference"/>
          <w:rFonts w:ascii="Times New Roman" w:hAnsi="Times New Roman" w:cs="Times New Roman"/>
        </w:rPr>
        <w:footnoteReference w:id="12"/>
      </w:r>
      <w:r w:rsidRPr="00694384">
        <w:rPr>
          <w:rFonts w:ascii="Times New Roman" w:hAnsi="Times New Roman" w:cs="Times New Roman"/>
        </w:rPr>
        <w:t xml:space="preserve"> </w:t>
      </w:r>
    </w:p>
    <w:p w14:paraId="30E33BFD" w14:textId="77777777" w:rsidR="00694384" w:rsidRPr="00694384" w:rsidRDefault="00694384" w:rsidP="00F72F11">
      <w:pPr>
        <w:numPr>
          <w:ilvl w:val="0"/>
          <w:numId w:val="7"/>
        </w:numPr>
        <w:spacing w:after="0" w:line="360" w:lineRule="auto"/>
        <w:jc w:val="both"/>
        <w:rPr>
          <w:rFonts w:ascii="Times New Roman" w:hAnsi="Times New Roman" w:cs="Times New Roman"/>
        </w:rPr>
      </w:pPr>
      <w:r w:rsidRPr="00694384">
        <w:rPr>
          <w:rFonts w:ascii="Times New Roman" w:hAnsi="Times New Roman" w:cs="Times New Roman"/>
        </w:rPr>
        <w:t>Co</w:t>
      </w:r>
      <w:r w:rsidR="00960E5B">
        <w:rPr>
          <w:rFonts w:ascii="Times New Roman" w:hAnsi="Times New Roman" w:cs="Times New Roman"/>
        </w:rPr>
        <w:t>mputer Services increased by R2,</w:t>
      </w:r>
      <w:r w:rsidRPr="00694384">
        <w:rPr>
          <w:rFonts w:ascii="Times New Roman" w:hAnsi="Times New Roman" w:cs="Times New Roman"/>
        </w:rPr>
        <w:t>6 million (or 2</w:t>
      </w:r>
      <w:r w:rsidR="009E2F1A">
        <w:rPr>
          <w:rFonts w:ascii="Times New Roman" w:hAnsi="Times New Roman" w:cs="Times New Roman"/>
        </w:rPr>
        <w:t>,</w:t>
      </w:r>
      <w:r w:rsidRPr="00694384">
        <w:rPr>
          <w:rFonts w:ascii="Times New Roman" w:hAnsi="Times New Roman" w:cs="Times New Roman"/>
        </w:rPr>
        <w:t xml:space="preserve">2% in real terms). </w:t>
      </w:r>
    </w:p>
    <w:p w14:paraId="18811C46" w14:textId="77777777" w:rsidR="00694384" w:rsidRPr="00694384" w:rsidRDefault="00694384" w:rsidP="00F72F11">
      <w:pPr>
        <w:numPr>
          <w:ilvl w:val="0"/>
          <w:numId w:val="7"/>
        </w:numPr>
        <w:spacing w:after="0" w:line="360" w:lineRule="auto"/>
        <w:jc w:val="both"/>
        <w:rPr>
          <w:rFonts w:ascii="Times New Roman" w:hAnsi="Times New Roman" w:cs="Times New Roman"/>
        </w:rPr>
      </w:pPr>
      <w:r w:rsidRPr="00694384">
        <w:rPr>
          <w:rFonts w:ascii="Times New Roman" w:hAnsi="Times New Roman" w:cs="Times New Roman"/>
        </w:rPr>
        <w:t>Consultants: Business and Ad</w:t>
      </w:r>
      <w:r w:rsidR="00960E5B">
        <w:rPr>
          <w:rFonts w:ascii="Times New Roman" w:hAnsi="Times New Roman" w:cs="Times New Roman"/>
        </w:rPr>
        <w:t>visory Services increased by R2,</w:t>
      </w:r>
      <w:r w:rsidRPr="00694384">
        <w:rPr>
          <w:rFonts w:ascii="Times New Roman" w:hAnsi="Times New Roman" w:cs="Times New Roman"/>
        </w:rPr>
        <w:t>7 million (or 15</w:t>
      </w:r>
      <w:r w:rsidR="009E2F1A">
        <w:rPr>
          <w:rFonts w:ascii="Times New Roman" w:hAnsi="Times New Roman" w:cs="Times New Roman"/>
        </w:rPr>
        <w:t>,</w:t>
      </w:r>
      <w:r w:rsidRPr="00694384">
        <w:rPr>
          <w:rFonts w:ascii="Times New Roman" w:hAnsi="Times New Roman" w:cs="Times New Roman"/>
        </w:rPr>
        <w:t>6% in real terms).</w:t>
      </w:r>
    </w:p>
    <w:p w14:paraId="2C266839" w14:textId="77777777" w:rsidR="00694384" w:rsidRPr="00694384" w:rsidRDefault="00694384" w:rsidP="00F72F11">
      <w:pPr>
        <w:numPr>
          <w:ilvl w:val="0"/>
          <w:numId w:val="7"/>
        </w:numPr>
        <w:spacing w:after="0" w:line="360" w:lineRule="auto"/>
        <w:jc w:val="both"/>
        <w:rPr>
          <w:rFonts w:ascii="Times New Roman" w:hAnsi="Times New Roman" w:cs="Times New Roman"/>
        </w:rPr>
      </w:pPr>
      <w:r w:rsidRPr="00694384">
        <w:rPr>
          <w:rFonts w:ascii="Times New Roman" w:hAnsi="Times New Roman" w:cs="Times New Roman"/>
        </w:rPr>
        <w:t>O</w:t>
      </w:r>
      <w:r w:rsidR="00960E5B">
        <w:rPr>
          <w:rFonts w:ascii="Times New Roman" w:hAnsi="Times New Roman" w:cs="Times New Roman"/>
        </w:rPr>
        <w:t>perating Leases increased by R1,</w:t>
      </w:r>
      <w:r w:rsidRPr="00694384">
        <w:rPr>
          <w:rFonts w:ascii="Times New Roman" w:hAnsi="Times New Roman" w:cs="Times New Roman"/>
        </w:rPr>
        <w:t>6 million (or 1</w:t>
      </w:r>
      <w:r w:rsidR="009E2F1A">
        <w:rPr>
          <w:rFonts w:ascii="Times New Roman" w:hAnsi="Times New Roman" w:cs="Times New Roman"/>
        </w:rPr>
        <w:t>,</w:t>
      </w:r>
      <w:r w:rsidRPr="00694384">
        <w:rPr>
          <w:rFonts w:ascii="Times New Roman" w:hAnsi="Times New Roman" w:cs="Times New Roman"/>
        </w:rPr>
        <w:t>3% in real terms).</w:t>
      </w:r>
    </w:p>
    <w:p w14:paraId="58790E6C" w14:textId="77777777" w:rsidR="00694384" w:rsidRPr="00694384" w:rsidRDefault="00694384" w:rsidP="00F72F11">
      <w:pPr>
        <w:numPr>
          <w:ilvl w:val="0"/>
          <w:numId w:val="7"/>
        </w:numPr>
        <w:spacing w:after="0" w:line="360" w:lineRule="auto"/>
        <w:jc w:val="both"/>
        <w:rPr>
          <w:rFonts w:ascii="Times New Roman" w:hAnsi="Times New Roman" w:cs="Times New Roman"/>
        </w:rPr>
      </w:pPr>
      <w:r w:rsidRPr="00694384">
        <w:rPr>
          <w:rFonts w:ascii="Times New Roman" w:hAnsi="Times New Roman" w:cs="Times New Roman"/>
        </w:rPr>
        <w:t xml:space="preserve">Travel </w:t>
      </w:r>
      <w:r w:rsidR="00960E5B">
        <w:rPr>
          <w:rFonts w:ascii="Times New Roman" w:hAnsi="Times New Roman" w:cs="Times New Roman"/>
        </w:rPr>
        <w:t>and Subsistence increased by R4,</w:t>
      </w:r>
      <w:r w:rsidRPr="00694384">
        <w:rPr>
          <w:rFonts w:ascii="Times New Roman" w:hAnsi="Times New Roman" w:cs="Times New Roman"/>
        </w:rPr>
        <w:t>7 million (or 19</w:t>
      </w:r>
      <w:r w:rsidR="009E2F1A">
        <w:rPr>
          <w:rFonts w:ascii="Times New Roman" w:hAnsi="Times New Roman" w:cs="Times New Roman"/>
        </w:rPr>
        <w:t>,</w:t>
      </w:r>
      <w:r w:rsidRPr="00694384">
        <w:rPr>
          <w:rFonts w:ascii="Times New Roman" w:hAnsi="Times New Roman" w:cs="Times New Roman"/>
        </w:rPr>
        <w:t>7% in real terms).</w:t>
      </w:r>
    </w:p>
    <w:p w14:paraId="10BD9AC1" w14:textId="2843ED9D" w:rsidR="00694384" w:rsidRPr="00694384" w:rsidRDefault="00694384" w:rsidP="00F72F11">
      <w:pPr>
        <w:spacing w:line="360" w:lineRule="auto"/>
        <w:jc w:val="both"/>
        <w:rPr>
          <w:rFonts w:ascii="Times New Roman" w:hAnsi="Times New Roman" w:cs="Times New Roman"/>
        </w:rPr>
      </w:pPr>
      <w:r w:rsidRPr="00694384">
        <w:rPr>
          <w:rFonts w:ascii="Times New Roman" w:hAnsi="Times New Roman" w:cs="Times New Roman"/>
        </w:rPr>
        <w:t>Decreases are recorded as follows:</w:t>
      </w:r>
    </w:p>
    <w:p w14:paraId="54E688D2" w14:textId="77777777" w:rsidR="00694384" w:rsidRPr="00694384" w:rsidRDefault="00694384" w:rsidP="00F72F11">
      <w:pPr>
        <w:numPr>
          <w:ilvl w:val="0"/>
          <w:numId w:val="7"/>
        </w:numPr>
        <w:spacing w:after="0" w:line="360" w:lineRule="auto"/>
        <w:jc w:val="both"/>
        <w:rPr>
          <w:rFonts w:ascii="Times New Roman" w:hAnsi="Times New Roman" w:cs="Times New Roman"/>
          <w:b/>
        </w:rPr>
      </w:pPr>
      <w:r w:rsidRPr="00694384">
        <w:rPr>
          <w:rFonts w:ascii="Times New Roman" w:hAnsi="Times New Roman" w:cs="Times New Roman"/>
        </w:rPr>
        <w:lastRenderedPageBreak/>
        <w:t>Legal Services decreased by R2</w:t>
      </w:r>
      <w:r w:rsidR="009E2F1A">
        <w:rPr>
          <w:rFonts w:ascii="Times New Roman" w:hAnsi="Times New Roman" w:cs="Times New Roman"/>
        </w:rPr>
        <w:t>,</w:t>
      </w:r>
      <w:r w:rsidRPr="00694384">
        <w:rPr>
          <w:rFonts w:ascii="Times New Roman" w:hAnsi="Times New Roman" w:cs="Times New Roman"/>
        </w:rPr>
        <w:t>7 million (or 16</w:t>
      </w:r>
      <w:r w:rsidR="009E2F1A">
        <w:rPr>
          <w:rFonts w:ascii="Times New Roman" w:hAnsi="Times New Roman" w:cs="Times New Roman"/>
        </w:rPr>
        <w:t>,</w:t>
      </w:r>
      <w:r w:rsidRPr="00694384">
        <w:rPr>
          <w:rFonts w:ascii="Times New Roman" w:hAnsi="Times New Roman" w:cs="Times New Roman"/>
        </w:rPr>
        <w:t>1% in real terms).</w:t>
      </w:r>
    </w:p>
    <w:p w14:paraId="2B1BCEA9" w14:textId="77777777" w:rsidR="00694384" w:rsidRPr="00694384" w:rsidRDefault="00694384" w:rsidP="00F72F11">
      <w:pPr>
        <w:numPr>
          <w:ilvl w:val="0"/>
          <w:numId w:val="7"/>
        </w:numPr>
        <w:spacing w:after="0" w:line="360" w:lineRule="auto"/>
        <w:jc w:val="both"/>
        <w:rPr>
          <w:rFonts w:ascii="Times New Roman" w:hAnsi="Times New Roman" w:cs="Times New Roman"/>
          <w:b/>
        </w:rPr>
      </w:pPr>
      <w:r w:rsidRPr="00694384">
        <w:rPr>
          <w:rFonts w:ascii="Times New Roman" w:hAnsi="Times New Roman" w:cs="Times New Roman"/>
        </w:rPr>
        <w:t>Property Payments – decreased by R100 000 (or 5</w:t>
      </w:r>
      <w:r w:rsidR="009E2F1A">
        <w:rPr>
          <w:rFonts w:ascii="Times New Roman" w:hAnsi="Times New Roman" w:cs="Times New Roman"/>
        </w:rPr>
        <w:t>,</w:t>
      </w:r>
      <w:r w:rsidRPr="00694384">
        <w:rPr>
          <w:rFonts w:ascii="Times New Roman" w:hAnsi="Times New Roman" w:cs="Times New Roman"/>
        </w:rPr>
        <w:t>6% in real terms).</w:t>
      </w:r>
    </w:p>
    <w:p w14:paraId="64D3F239" w14:textId="77777777" w:rsidR="00694384" w:rsidRPr="00694384" w:rsidRDefault="00694384" w:rsidP="00F72F11">
      <w:pPr>
        <w:numPr>
          <w:ilvl w:val="0"/>
          <w:numId w:val="7"/>
        </w:numPr>
        <w:spacing w:after="0" w:line="360" w:lineRule="auto"/>
        <w:jc w:val="both"/>
        <w:rPr>
          <w:rFonts w:ascii="Times New Roman" w:hAnsi="Times New Roman" w:cs="Times New Roman"/>
          <w:b/>
        </w:rPr>
      </w:pPr>
      <w:r w:rsidRPr="00694384">
        <w:rPr>
          <w:rFonts w:ascii="Times New Roman" w:hAnsi="Times New Roman" w:cs="Times New Roman"/>
        </w:rPr>
        <w:t>Interest and Rent on Land decreased by R1</w:t>
      </w:r>
      <w:r w:rsidR="009E2F1A">
        <w:rPr>
          <w:rFonts w:ascii="Times New Roman" w:hAnsi="Times New Roman" w:cs="Times New Roman"/>
        </w:rPr>
        <w:t>,</w:t>
      </w:r>
      <w:r w:rsidRPr="00694384">
        <w:rPr>
          <w:rFonts w:ascii="Times New Roman" w:hAnsi="Times New Roman" w:cs="Times New Roman"/>
        </w:rPr>
        <w:t>8 million (or 100% in real terms), as no allocation was recorded for 2018/19.</w:t>
      </w:r>
    </w:p>
    <w:p w14:paraId="54027DCD" w14:textId="493D51EA" w:rsidR="00694384" w:rsidRPr="00694384" w:rsidRDefault="00694384" w:rsidP="00F72F11">
      <w:pPr>
        <w:spacing w:line="360" w:lineRule="auto"/>
        <w:jc w:val="both"/>
        <w:rPr>
          <w:rFonts w:ascii="Times New Roman" w:hAnsi="Times New Roman" w:cs="Times New Roman"/>
        </w:rPr>
      </w:pPr>
      <w:r w:rsidRPr="00694384">
        <w:rPr>
          <w:rFonts w:ascii="Times New Roman" w:hAnsi="Times New Roman" w:cs="Times New Roman"/>
        </w:rPr>
        <w:t>A total of R11</w:t>
      </w:r>
      <w:r w:rsidR="00960E5B">
        <w:rPr>
          <w:rFonts w:ascii="Times New Roman" w:hAnsi="Times New Roman" w:cs="Times New Roman"/>
        </w:rPr>
        <w:t>,</w:t>
      </w:r>
      <w:r w:rsidRPr="00694384">
        <w:rPr>
          <w:rFonts w:ascii="Times New Roman" w:hAnsi="Times New Roman" w:cs="Times New Roman"/>
        </w:rPr>
        <w:t>6 million is allocated towards Capital Expenditure. This constitutes an increase of R2</w:t>
      </w:r>
      <w:r w:rsidR="00960E5B">
        <w:rPr>
          <w:rFonts w:ascii="Times New Roman" w:hAnsi="Times New Roman" w:cs="Times New Roman"/>
        </w:rPr>
        <w:t>,</w:t>
      </w:r>
      <w:r w:rsidRPr="00694384">
        <w:rPr>
          <w:rFonts w:ascii="Times New Roman" w:hAnsi="Times New Roman" w:cs="Times New Roman"/>
        </w:rPr>
        <w:t>2 million (or 23</w:t>
      </w:r>
      <w:r w:rsidR="009E2F1A">
        <w:rPr>
          <w:rFonts w:ascii="Times New Roman" w:hAnsi="Times New Roman" w:cs="Times New Roman"/>
        </w:rPr>
        <w:t>,</w:t>
      </w:r>
      <w:r w:rsidRPr="00694384">
        <w:rPr>
          <w:rFonts w:ascii="Times New Roman" w:hAnsi="Times New Roman" w:cs="Times New Roman"/>
        </w:rPr>
        <w:t xml:space="preserve">4% in nominal terms and </w:t>
      </w:r>
      <w:r w:rsidR="00960E5B">
        <w:rPr>
          <w:rFonts w:ascii="Times New Roman" w:hAnsi="Times New Roman" w:cs="Times New Roman"/>
        </w:rPr>
        <w:t>17% in real terms), from the R9,</w:t>
      </w:r>
      <w:r w:rsidRPr="00694384">
        <w:rPr>
          <w:rFonts w:ascii="Times New Roman" w:hAnsi="Times New Roman" w:cs="Times New Roman"/>
        </w:rPr>
        <w:t xml:space="preserve">4 million of the previous year. The above-allocation is for Machinery and Equipment. Software and Other Intangible Assets decreased by 100% as it did not receive an allocation for 2018/19 or 2017/18. </w:t>
      </w:r>
    </w:p>
    <w:p w14:paraId="03991DED" w14:textId="2266D723" w:rsidR="00B353C2" w:rsidRPr="001170E4" w:rsidRDefault="00B353C2" w:rsidP="00F72F11">
      <w:pPr>
        <w:spacing w:line="360" w:lineRule="auto"/>
        <w:jc w:val="both"/>
        <w:rPr>
          <w:rFonts w:ascii="Times New Roman" w:hAnsi="Times New Roman" w:cs="Times New Roman"/>
        </w:rPr>
      </w:pPr>
      <w:r w:rsidRPr="001170E4">
        <w:rPr>
          <w:rFonts w:ascii="Times New Roman" w:hAnsi="Times New Roman" w:cs="Times New Roman"/>
        </w:rPr>
        <w:t>The Annual Performance Plan for 2018/19 states that Programme 1’s aim is to:</w:t>
      </w:r>
      <w:r w:rsidRPr="001170E4">
        <w:rPr>
          <w:rStyle w:val="FootnoteReference"/>
          <w:rFonts w:ascii="Times New Roman" w:hAnsi="Times New Roman" w:cs="Times New Roman"/>
        </w:rPr>
        <w:footnoteReference w:id="13"/>
      </w:r>
    </w:p>
    <w:p w14:paraId="241DAFCB"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Improve governance processes within the Department and the PMTE through 100% compliance of management practices as per the Management Performance Assessment Tool (MPAT).</w:t>
      </w:r>
    </w:p>
    <w:p w14:paraId="21EDB60C"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Combat fraud and corruption in the Department and the PMTE by reducing fraud and corruption risk levels by 80%.</w:t>
      </w:r>
    </w:p>
    <w:p w14:paraId="376D9FC9"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Receive an unqualified audit outcome for 2017/18.</w:t>
      </w:r>
    </w:p>
    <w:p w14:paraId="0397A90E"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 xml:space="preserve">Submit an HR Implementation Plan to the Department of Public Service and Administration (DPSA) by March 2019.  </w:t>
      </w:r>
    </w:p>
    <w:p w14:paraId="6C3D390D"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Integrate the Construction Project Management; Condition Assessment; Scheduled Maintenance; Lease-in and Lease-out Modules into the Enterprise Resource Planning (ERP) system.</w:t>
      </w:r>
    </w:p>
    <w:p w14:paraId="03C2A60E"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Manage 100% of all litigation cases within the period stipulated by court procedures.</w:t>
      </w:r>
    </w:p>
    <w:p w14:paraId="5D692427"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Undertake 36 initiatives to accelerate the transformation agenda of the Department.</w:t>
      </w:r>
    </w:p>
    <w:p w14:paraId="259CC76F"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Achieve a 4</w:t>
      </w:r>
      <w:r w:rsidR="009E2F1A">
        <w:rPr>
          <w:rFonts w:ascii="Times New Roman" w:hAnsi="Times New Roman"/>
          <w:b w:val="0"/>
          <w:szCs w:val="22"/>
        </w:rPr>
        <w:t>,0</w:t>
      </w:r>
      <w:r w:rsidRPr="001170E4">
        <w:rPr>
          <w:rFonts w:ascii="Times New Roman" w:hAnsi="Times New Roman"/>
          <w:b w:val="0"/>
          <w:szCs w:val="22"/>
        </w:rPr>
        <w:t xml:space="preserve"> management practice index score.</w:t>
      </w:r>
    </w:p>
    <w:p w14:paraId="0A9BA9F2"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Initiate 100% investigations of validated allegations within 30 days.</w:t>
      </w:r>
    </w:p>
    <w:p w14:paraId="10D35A5F"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Recommend two interventions to mitigate fraud risks within the Department of Public Works and the PMTE.</w:t>
      </w:r>
    </w:p>
    <w:p w14:paraId="173E9D7F"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Reduce irregular expenditure baseline by 100%.</w:t>
      </w:r>
    </w:p>
    <w:p w14:paraId="582CC057"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Settle all invoices within 30 days.</w:t>
      </w:r>
    </w:p>
    <w:p w14:paraId="47DBB414"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Award 70% of Bids within 56 working days of closure of the tender advertisement.</w:t>
      </w:r>
    </w:p>
    <w:p w14:paraId="52984160"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Award 88% of quotations within 30 working days from requisition date.</w:t>
      </w:r>
    </w:p>
    <w:p w14:paraId="3610DF1C"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Award 75% of procurement spend of bids to designated groups in line with the Preferential Procurement Regulations 2017.</w:t>
      </w:r>
    </w:p>
    <w:p w14:paraId="404C09D7"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Fill 100% funded prioritised vacancies within 6 months from the date of advertisement.</w:t>
      </w:r>
    </w:p>
    <w:p w14:paraId="402260AF"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lastRenderedPageBreak/>
        <w:t xml:space="preserve">Implement </w:t>
      </w:r>
      <w:r w:rsidR="00960E5B" w:rsidRPr="001170E4">
        <w:rPr>
          <w:rFonts w:ascii="Times New Roman" w:hAnsi="Times New Roman"/>
          <w:b w:val="0"/>
          <w:szCs w:val="22"/>
        </w:rPr>
        <w:t>five</w:t>
      </w:r>
      <w:r w:rsidRPr="001170E4">
        <w:rPr>
          <w:rFonts w:ascii="Times New Roman" w:hAnsi="Times New Roman"/>
          <w:b w:val="0"/>
          <w:szCs w:val="22"/>
        </w:rPr>
        <w:t xml:space="preserve"> Property Management Modules (Condition Assessment; Scheduled Maintenance; Lease-in, Lease-out and Construction Project Management).  </w:t>
      </w:r>
    </w:p>
    <w:p w14:paraId="01E402C7"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 xml:space="preserve">Enhance </w:t>
      </w:r>
      <w:r w:rsidR="00960E5B" w:rsidRPr="001170E4">
        <w:rPr>
          <w:rFonts w:ascii="Times New Roman" w:hAnsi="Times New Roman"/>
          <w:b w:val="0"/>
          <w:szCs w:val="22"/>
        </w:rPr>
        <w:t>four</w:t>
      </w:r>
      <w:r w:rsidRPr="001170E4">
        <w:rPr>
          <w:rFonts w:ascii="Times New Roman" w:hAnsi="Times New Roman"/>
          <w:b w:val="0"/>
          <w:szCs w:val="22"/>
        </w:rPr>
        <w:t xml:space="preserve"> Modules, the Immovable Asset Register, Facilities Management Call Centre, Movable Assets, Lease-in (Phase II) as per the Enterprise Resource Planning (ERP) implementation plan.</w:t>
      </w:r>
    </w:p>
    <w:p w14:paraId="234B40AC"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Develop a feasibility study on the ERP system for the Public Works Sector.</w:t>
      </w:r>
    </w:p>
    <w:p w14:paraId="18FCB8B1"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Subject 100% of cases reported on fraud and corruption or misconduct to disciplinary processes.</w:t>
      </w:r>
    </w:p>
    <w:p w14:paraId="32461D3E" w14:textId="77777777" w:rsidR="00B353C2" w:rsidRPr="001170E4" w:rsidRDefault="00B353C2" w:rsidP="00B41D07">
      <w:pPr>
        <w:pStyle w:val="Normalbold"/>
        <w:numPr>
          <w:ilvl w:val="0"/>
          <w:numId w:val="49"/>
        </w:numPr>
        <w:spacing w:line="360" w:lineRule="auto"/>
        <w:rPr>
          <w:rFonts w:ascii="Times New Roman" w:hAnsi="Times New Roman"/>
          <w:b w:val="0"/>
          <w:szCs w:val="22"/>
        </w:rPr>
      </w:pPr>
      <w:r w:rsidRPr="001170E4">
        <w:rPr>
          <w:rFonts w:ascii="Times New Roman" w:hAnsi="Times New Roman"/>
          <w:b w:val="0"/>
          <w:szCs w:val="22"/>
        </w:rPr>
        <w:t xml:space="preserve">Prevent 100% default judgements against the Department. </w:t>
      </w:r>
    </w:p>
    <w:p w14:paraId="66166679" w14:textId="77777777" w:rsidR="00F67ADE" w:rsidRDefault="00F67ADE" w:rsidP="00F72F11">
      <w:pPr>
        <w:spacing w:line="360" w:lineRule="auto"/>
        <w:jc w:val="both"/>
        <w:rPr>
          <w:rFonts w:ascii="Times New Roman" w:hAnsi="Times New Roman" w:cs="Times New Roman"/>
        </w:rPr>
      </w:pPr>
    </w:p>
    <w:p w14:paraId="1886B665" w14:textId="1F038BC9"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 xml:space="preserve">A total of R114 million has been set aside over the medium term to </w:t>
      </w:r>
      <w:r w:rsidRPr="001170E4">
        <w:rPr>
          <w:rFonts w:ascii="Times New Roman" w:hAnsi="Times New Roman" w:cs="Times New Roman"/>
          <w:shd w:val="clear" w:color="auto" w:fill="FFFFFF" w:themeFill="background1"/>
        </w:rPr>
        <w:t>implement the Anti-fraud and Corruption Strategy.</w:t>
      </w:r>
      <w:r w:rsidRPr="001170E4">
        <w:rPr>
          <w:rFonts w:ascii="Times New Roman" w:hAnsi="Times New Roman" w:cs="Times New Roman"/>
        </w:rPr>
        <w:t xml:space="preserve"> The emphasis will be on preventative measures with clear lines of accountability, to enhance efficiency and thereby reducing opportunities for corruption as well as fruitless and wasteful expenditure</w:t>
      </w:r>
      <w:r w:rsidR="00125AB3">
        <w:rPr>
          <w:rFonts w:ascii="Times New Roman" w:hAnsi="Times New Roman" w:cs="Times New Roman"/>
        </w:rPr>
        <w:t>.</w:t>
      </w:r>
      <w:r w:rsidRPr="001170E4">
        <w:rPr>
          <w:rStyle w:val="FootnoteReference"/>
          <w:rFonts w:ascii="Times New Roman" w:hAnsi="Times New Roman" w:cs="Times New Roman"/>
        </w:rPr>
        <w:footnoteReference w:id="14"/>
      </w:r>
      <w:r w:rsidRPr="001170E4">
        <w:rPr>
          <w:rFonts w:ascii="Times New Roman" w:hAnsi="Times New Roman" w:cs="Times New Roman"/>
        </w:rPr>
        <w:t xml:space="preserve"> </w:t>
      </w:r>
    </w:p>
    <w:p w14:paraId="030FFB84" w14:textId="028698AB"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shd w:val="clear" w:color="auto" w:fill="FFFFFF" w:themeFill="background1"/>
        </w:rPr>
        <w:t>The Department plans to consolidate, develop and manage the built environment skills development pipeline with State and non-State stakeholders. A Professional Service Branch will be established within the Department to increase its institutional capacity. The Department’s target is to have 3 235</w:t>
      </w:r>
      <w:r w:rsidRPr="001170E4">
        <w:rPr>
          <w:rFonts w:ascii="Times New Roman" w:hAnsi="Times New Roman" w:cs="Times New Roman"/>
        </w:rPr>
        <w:t xml:space="preserve"> beneficiaries participate in the skills development programme over the medium term</w:t>
      </w:r>
      <w:r w:rsidR="00125AB3">
        <w:rPr>
          <w:rFonts w:ascii="Times New Roman" w:hAnsi="Times New Roman" w:cs="Times New Roman"/>
        </w:rPr>
        <w:t>.</w:t>
      </w:r>
      <w:r w:rsidRPr="001170E4">
        <w:rPr>
          <w:rStyle w:val="FootnoteReference"/>
          <w:rFonts w:ascii="Times New Roman" w:hAnsi="Times New Roman" w:cs="Times New Roman"/>
        </w:rPr>
        <w:footnoteReference w:id="15"/>
      </w:r>
      <w:r w:rsidRPr="001170E4">
        <w:rPr>
          <w:rFonts w:ascii="Times New Roman" w:hAnsi="Times New Roman" w:cs="Times New Roman"/>
        </w:rPr>
        <w:t xml:space="preserve">  </w:t>
      </w:r>
    </w:p>
    <w:p w14:paraId="17309A9F" w14:textId="77777777" w:rsidR="00BB1EE2" w:rsidRPr="001170E4" w:rsidRDefault="00BB1EE2" w:rsidP="00F72F11">
      <w:pPr>
        <w:spacing w:line="360" w:lineRule="auto"/>
        <w:jc w:val="both"/>
        <w:rPr>
          <w:rFonts w:ascii="Times New Roman" w:hAnsi="Times New Roman" w:cs="Times New Roman"/>
        </w:rPr>
      </w:pPr>
    </w:p>
    <w:p w14:paraId="3EA88AEC" w14:textId="77777777" w:rsidR="00BB1EE2" w:rsidRPr="001170E4" w:rsidRDefault="00BB1EE2" w:rsidP="00F72F11">
      <w:pPr>
        <w:pStyle w:val="Heading3"/>
        <w:spacing w:line="360" w:lineRule="auto"/>
        <w:rPr>
          <w:rFonts w:ascii="Times New Roman" w:hAnsi="Times New Roman"/>
          <w:i w:val="0"/>
          <w:color w:val="auto"/>
          <w:szCs w:val="22"/>
        </w:rPr>
      </w:pPr>
      <w:bookmarkStart w:id="7" w:name="_Toc447629106"/>
      <w:bookmarkStart w:id="8" w:name="_Toc477174246"/>
      <w:r w:rsidRPr="001170E4">
        <w:rPr>
          <w:rFonts w:ascii="Times New Roman" w:hAnsi="Times New Roman"/>
          <w:i w:val="0"/>
          <w:color w:val="auto"/>
          <w:szCs w:val="22"/>
        </w:rPr>
        <w:t>1.2.2 Programme 2: Intergovernmental Coordination</w:t>
      </w:r>
      <w:bookmarkEnd w:id="7"/>
      <w:bookmarkEnd w:id="8"/>
      <w:r w:rsidRPr="001170E4">
        <w:rPr>
          <w:rFonts w:ascii="Times New Roman" w:hAnsi="Times New Roman"/>
          <w:i w:val="0"/>
          <w:color w:val="auto"/>
          <w:szCs w:val="22"/>
        </w:rPr>
        <w:t xml:space="preserve"> </w:t>
      </w:r>
    </w:p>
    <w:p w14:paraId="62E66350" w14:textId="77777777" w:rsidR="00BB1EE2" w:rsidRPr="001170E4" w:rsidRDefault="00BB1EE2" w:rsidP="00F72F11">
      <w:pPr>
        <w:pStyle w:val="Heading3"/>
        <w:spacing w:line="360" w:lineRule="auto"/>
        <w:rPr>
          <w:rFonts w:ascii="Times New Roman" w:hAnsi="Times New Roman"/>
          <w:color w:val="auto"/>
          <w:szCs w:val="22"/>
        </w:rPr>
      </w:pPr>
    </w:p>
    <w:p w14:paraId="3B7CDD43" w14:textId="77777777" w:rsidR="00BB1EE2" w:rsidRPr="001170E4" w:rsidRDefault="00BB1EE2" w:rsidP="00F72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170E4">
        <w:rPr>
          <w:rFonts w:ascii="Times New Roman" w:hAnsi="Times New Roman" w:cs="Times New Roman"/>
          <w:b/>
        </w:rPr>
        <w:t>Programme 2 seeks to promote sound intergovernmental relations and strategic partnerships. Coordinate with provinces on: Immovable Asset Registers; construction and property management; the implementation of the Government Immovable Asset Management Act (No. 19 of 2007); and the reporting on performance information within the Public Works Sector.</w:t>
      </w:r>
    </w:p>
    <w:p w14:paraId="40412E14" w14:textId="77777777" w:rsidR="00BB1EE2" w:rsidRPr="001170E4" w:rsidRDefault="00BB1EE2" w:rsidP="00F72F11">
      <w:pPr>
        <w:spacing w:line="360" w:lineRule="auto"/>
        <w:jc w:val="both"/>
        <w:rPr>
          <w:rFonts w:ascii="Times New Roman" w:hAnsi="Times New Roman" w:cs="Times New Roman"/>
        </w:rPr>
      </w:pPr>
    </w:p>
    <w:p w14:paraId="1F918DD5"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bCs/>
          <w:lang w:val="en-GB"/>
        </w:rPr>
        <w:t>Programme 2 was one of the main programmes of the Department prior to some of its sub-programmes and functions being shifted to Programme 4 (see below). It proportionally represents 0.8% of the overall departmental budget allocation for 2018/19</w:t>
      </w:r>
      <w:r w:rsidR="00960E5B">
        <w:rPr>
          <w:rFonts w:ascii="Times New Roman" w:eastAsia="Calibri" w:hAnsi="Times New Roman" w:cs="Times New Roman"/>
          <w:bCs/>
          <w:lang w:val="en-GB"/>
        </w:rPr>
        <w:t>. Its 2018/19 allocation of R58,</w:t>
      </w:r>
      <w:r w:rsidRPr="001170E4">
        <w:rPr>
          <w:rFonts w:ascii="Times New Roman" w:eastAsia="Calibri" w:hAnsi="Times New Roman" w:cs="Times New Roman"/>
          <w:bCs/>
          <w:lang w:val="en-GB"/>
        </w:rPr>
        <w:t>1 millio</w:t>
      </w:r>
      <w:r w:rsidR="00960E5B">
        <w:rPr>
          <w:rFonts w:ascii="Times New Roman" w:eastAsia="Calibri" w:hAnsi="Times New Roman" w:cs="Times New Roman"/>
          <w:bCs/>
          <w:lang w:val="en-GB"/>
        </w:rPr>
        <w:t>n constitutes an increase of R9,</w:t>
      </w:r>
      <w:r w:rsidRPr="001170E4">
        <w:rPr>
          <w:rFonts w:ascii="Times New Roman" w:eastAsia="Calibri" w:hAnsi="Times New Roman" w:cs="Times New Roman"/>
          <w:bCs/>
          <w:lang w:val="en-GB"/>
        </w:rPr>
        <w:t>9 million. This represents a nominal increase of 20</w:t>
      </w:r>
      <w:r w:rsidR="009E2F1A">
        <w:rPr>
          <w:rFonts w:ascii="Times New Roman" w:eastAsia="Calibri" w:hAnsi="Times New Roman" w:cs="Times New Roman"/>
          <w:bCs/>
          <w:lang w:val="en-GB"/>
        </w:rPr>
        <w:t>,</w:t>
      </w:r>
      <w:r w:rsidRPr="001170E4">
        <w:rPr>
          <w:rFonts w:ascii="Times New Roman" w:eastAsia="Calibri" w:hAnsi="Times New Roman" w:cs="Times New Roman"/>
          <w:bCs/>
          <w:lang w:val="en-GB"/>
        </w:rPr>
        <w:t>5% (and 14</w:t>
      </w:r>
      <w:r w:rsidR="009E2F1A">
        <w:rPr>
          <w:rFonts w:ascii="Times New Roman" w:eastAsia="Calibri" w:hAnsi="Times New Roman" w:cs="Times New Roman"/>
          <w:bCs/>
          <w:lang w:val="en-GB"/>
        </w:rPr>
        <w:t>,</w:t>
      </w:r>
      <w:r w:rsidR="00960E5B">
        <w:rPr>
          <w:rFonts w:ascii="Times New Roman" w:eastAsia="Calibri" w:hAnsi="Times New Roman" w:cs="Times New Roman"/>
          <w:bCs/>
          <w:lang w:val="en-GB"/>
        </w:rPr>
        <w:t>3% in real terms) from the R48,</w:t>
      </w:r>
      <w:r w:rsidRPr="001170E4">
        <w:rPr>
          <w:rFonts w:ascii="Times New Roman" w:eastAsia="Calibri" w:hAnsi="Times New Roman" w:cs="Times New Roman"/>
          <w:bCs/>
          <w:lang w:val="en-GB"/>
        </w:rPr>
        <w:t xml:space="preserve">2 million allocated in the 2017/18 financial year. </w:t>
      </w:r>
    </w:p>
    <w:p w14:paraId="2DFAF2AE" w14:textId="77777777" w:rsidR="001170E4" w:rsidRPr="001170E4" w:rsidRDefault="001170E4" w:rsidP="00F72F11">
      <w:pPr>
        <w:spacing w:after="0" w:line="360" w:lineRule="auto"/>
        <w:jc w:val="both"/>
        <w:rPr>
          <w:rFonts w:ascii="Times New Roman" w:eastAsia="Calibri" w:hAnsi="Times New Roman" w:cs="Times New Roman"/>
          <w:lang w:val="en-GB"/>
        </w:rPr>
      </w:pPr>
    </w:p>
    <w:p w14:paraId="0F3CCFEF"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lastRenderedPageBreak/>
        <w:t>Expenditure for Programme 2 for the 2018/19 financial year currently consists of the following three sub-programmes:</w:t>
      </w:r>
    </w:p>
    <w:p w14:paraId="2B01CBAF" w14:textId="77777777" w:rsidR="001170E4" w:rsidRPr="001170E4" w:rsidRDefault="001170E4" w:rsidP="00F72F11">
      <w:pPr>
        <w:numPr>
          <w:ilvl w:val="0"/>
          <w:numId w:val="8"/>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i/>
          <w:lang w:val="en-GB"/>
        </w:rPr>
        <w:t xml:space="preserve">Monitoring, Evaluation and Reporting </w:t>
      </w:r>
      <w:r w:rsidR="00960E5B">
        <w:rPr>
          <w:rFonts w:ascii="Times New Roman" w:eastAsia="Calibri" w:hAnsi="Times New Roman" w:cs="Times New Roman"/>
          <w:lang w:val="en-GB"/>
        </w:rPr>
        <w:t>receives an allocation of R6,</w:t>
      </w:r>
      <w:r w:rsidRPr="001170E4">
        <w:rPr>
          <w:rFonts w:ascii="Times New Roman" w:eastAsia="Calibri" w:hAnsi="Times New Roman" w:cs="Times New Roman"/>
          <w:lang w:val="en-GB"/>
        </w:rPr>
        <w:t>3 million.</w:t>
      </w:r>
      <w:r w:rsidRPr="001170E4">
        <w:rPr>
          <w:rFonts w:ascii="Times New Roman" w:eastAsia="Calibri" w:hAnsi="Times New Roman" w:cs="Times New Roman"/>
          <w:vertAlign w:val="superscript"/>
          <w:lang w:val="en-GB"/>
        </w:rPr>
        <w:footnoteReference w:id="16"/>
      </w:r>
      <w:r w:rsidRPr="001170E4">
        <w:rPr>
          <w:rFonts w:ascii="Times New Roman" w:eastAsia="Calibri" w:hAnsi="Times New Roman" w:cs="Times New Roman"/>
          <w:lang w:val="en-GB"/>
        </w:rPr>
        <w:t xml:space="preserve"> This is a decreas</w:t>
      </w:r>
      <w:r w:rsidR="00960E5B">
        <w:rPr>
          <w:rFonts w:ascii="Times New Roman" w:eastAsia="Calibri" w:hAnsi="Times New Roman" w:cs="Times New Roman"/>
          <w:lang w:val="en-GB"/>
        </w:rPr>
        <w:t>e of R7,7 million from the R14</w:t>
      </w:r>
      <w:r w:rsidRPr="001170E4">
        <w:rPr>
          <w:rFonts w:ascii="Times New Roman" w:eastAsia="Calibri" w:hAnsi="Times New Roman" w:cs="Times New Roman"/>
          <w:lang w:val="en-GB"/>
        </w:rPr>
        <w:t xml:space="preserve"> million received in 2017/18, which constitutes a nominal decrease of 55</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0% (and 57</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1% in real terms) from the previous year.</w:t>
      </w:r>
    </w:p>
    <w:p w14:paraId="7EEFB377" w14:textId="77777777" w:rsidR="001170E4" w:rsidRPr="001170E4" w:rsidRDefault="001170E4" w:rsidP="00F72F11">
      <w:pPr>
        <w:numPr>
          <w:ilvl w:val="0"/>
          <w:numId w:val="8"/>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i/>
          <w:lang w:val="en-GB"/>
        </w:rPr>
        <w:t xml:space="preserve">Intergovernmental Relations and Coordination </w:t>
      </w:r>
      <w:r w:rsidR="00F00114">
        <w:rPr>
          <w:rFonts w:ascii="Times New Roman" w:eastAsia="Calibri" w:hAnsi="Times New Roman" w:cs="Times New Roman"/>
          <w:lang w:val="en-GB"/>
        </w:rPr>
        <w:t>receives an allocation of R26,</w:t>
      </w:r>
      <w:r w:rsidRPr="001170E4">
        <w:rPr>
          <w:rFonts w:ascii="Times New Roman" w:eastAsia="Calibri" w:hAnsi="Times New Roman" w:cs="Times New Roman"/>
          <w:lang w:val="en-GB"/>
        </w:rPr>
        <w:t>1 million. This is an i</w:t>
      </w:r>
      <w:r w:rsidR="00960E5B">
        <w:rPr>
          <w:rFonts w:ascii="Times New Roman" w:eastAsia="Calibri" w:hAnsi="Times New Roman" w:cs="Times New Roman"/>
          <w:lang w:val="en-GB"/>
        </w:rPr>
        <w:t>ncrease of the R16,</w:t>
      </w:r>
      <w:r w:rsidR="00F00114">
        <w:rPr>
          <w:rFonts w:ascii="Times New Roman" w:eastAsia="Calibri" w:hAnsi="Times New Roman" w:cs="Times New Roman"/>
          <w:lang w:val="en-GB"/>
        </w:rPr>
        <w:t>1 million from the R10</w:t>
      </w:r>
      <w:r w:rsidRPr="001170E4">
        <w:rPr>
          <w:rFonts w:ascii="Times New Roman" w:eastAsia="Calibri" w:hAnsi="Times New Roman" w:cs="Times New Roman"/>
          <w:lang w:val="en-GB"/>
        </w:rPr>
        <w:t xml:space="preserve"> million received in 2017/18, which constitutes a nominal increase of 161</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0% (or 147</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4% in real terms) from the previous year.</w:t>
      </w:r>
    </w:p>
    <w:p w14:paraId="4CC4D397" w14:textId="77777777" w:rsidR="001170E4" w:rsidRPr="001170E4" w:rsidRDefault="001170E4" w:rsidP="00F72F11">
      <w:pPr>
        <w:numPr>
          <w:ilvl w:val="0"/>
          <w:numId w:val="8"/>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i/>
          <w:lang w:val="en-GB"/>
        </w:rPr>
        <w:t>Professional Services</w:t>
      </w:r>
      <w:r w:rsidRPr="001170E4">
        <w:rPr>
          <w:rFonts w:ascii="Times New Roman" w:eastAsia="Calibri" w:hAnsi="Times New Roman" w:cs="Times New Roman"/>
          <w:vertAlign w:val="superscript"/>
          <w:lang w:val="en-GB"/>
        </w:rPr>
        <w:footnoteReference w:id="17"/>
      </w:r>
      <w:r w:rsidRPr="001170E4">
        <w:rPr>
          <w:rFonts w:ascii="Times New Roman" w:eastAsia="Calibri" w:hAnsi="Times New Roman" w:cs="Times New Roman"/>
          <w:i/>
          <w:lang w:val="en-GB"/>
        </w:rPr>
        <w:t xml:space="preserve"> </w:t>
      </w:r>
      <w:r w:rsidR="00F00114">
        <w:rPr>
          <w:rFonts w:ascii="Times New Roman" w:eastAsia="Calibri" w:hAnsi="Times New Roman" w:cs="Times New Roman"/>
          <w:lang w:val="en-GB"/>
        </w:rPr>
        <w:t>receives an allocation of R25,</w:t>
      </w:r>
      <w:r w:rsidRPr="001170E4">
        <w:rPr>
          <w:rFonts w:ascii="Times New Roman" w:eastAsia="Calibri" w:hAnsi="Times New Roman" w:cs="Times New Roman"/>
          <w:lang w:val="en-GB"/>
        </w:rPr>
        <w:t>7 million. This is an increase of</w:t>
      </w:r>
      <w:r w:rsidR="00F00114">
        <w:rPr>
          <w:rFonts w:ascii="Times New Roman" w:eastAsia="Calibri" w:hAnsi="Times New Roman" w:cs="Times New Roman"/>
          <w:lang w:val="en-GB"/>
        </w:rPr>
        <w:t xml:space="preserve"> the R1,5 million from the R24,</w:t>
      </w:r>
      <w:r w:rsidRPr="001170E4">
        <w:rPr>
          <w:rFonts w:ascii="Times New Roman" w:eastAsia="Calibri" w:hAnsi="Times New Roman" w:cs="Times New Roman"/>
          <w:lang w:val="en-GB"/>
        </w:rPr>
        <w:t>2 million received in 2017/18, which constitutes a nominal increase of 6</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2% (and 0</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7% in real terms) from the previous year.</w:t>
      </w:r>
    </w:p>
    <w:p w14:paraId="35F62F55" w14:textId="77777777" w:rsidR="001170E4" w:rsidRPr="001170E4" w:rsidRDefault="001170E4" w:rsidP="00F72F11">
      <w:pPr>
        <w:spacing w:after="0" w:line="360" w:lineRule="auto"/>
        <w:ind w:left="360"/>
        <w:jc w:val="both"/>
        <w:rPr>
          <w:rFonts w:ascii="Times New Roman" w:eastAsia="Calibri" w:hAnsi="Times New Roman" w:cs="Times New Roman"/>
          <w:lang w:val="en-GB"/>
        </w:rPr>
      </w:pPr>
    </w:p>
    <w:p w14:paraId="4082A3CD"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In terms </w:t>
      </w:r>
      <w:r w:rsidR="00F00114">
        <w:rPr>
          <w:rFonts w:ascii="Times New Roman" w:eastAsia="Calibri" w:hAnsi="Times New Roman" w:cs="Times New Roman"/>
          <w:lang w:val="en-GB"/>
        </w:rPr>
        <w:t>of economic classification, R52,</w:t>
      </w:r>
      <w:r w:rsidRPr="001170E4">
        <w:rPr>
          <w:rFonts w:ascii="Times New Roman" w:eastAsia="Calibri" w:hAnsi="Times New Roman" w:cs="Times New Roman"/>
          <w:lang w:val="en-GB"/>
        </w:rPr>
        <w:t>2 million is allocated to current payments. This constitut</w:t>
      </w:r>
      <w:r w:rsidR="00F00114">
        <w:rPr>
          <w:rFonts w:ascii="Times New Roman" w:eastAsia="Calibri" w:hAnsi="Times New Roman" w:cs="Times New Roman"/>
          <w:lang w:val="en-GB"/>
        </w:rPr>
        <w:t>es an increase of R9,</w:t>
      </w:r>
      <w:r w:rsidRPr="001170E4">
        <w:rPr>
          <w:rFonts w:ascii="Times New Roman" w:eastAsia="Calibri" w:hAnsi="Times New Roman" w:cs="Times New Roman"/>
          <w:lang w:val="en-GB"/>
        </w:rPr>
        <w:t>8 million or 23</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1% in nominal terms (16</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7% in real terms) from the previous year.</w:t>
      </w:r>
      <w:r w:rsidRPr="001170E4">
        <w:rPr>
          <w:rFonts w:ascii="Times New Roman" w:eastAsia="Calibri" w:hAnsi="Times New Roman" w:cs="Times New Roman"/>
          <w:vertAlign w:val="superscript"/>
          <w:lang w:val="en-GB"/>
        </w:rPr>
        <w:footnoteReference w:id="18"/>
      </w:r>
      <w:r w:rsidRPr="001170E4">
        <w:rPr>
          <w:rFonts w:ascii="Times New Roman" w:eastAsia="Calibri" w:hAnsi="Times New Roman" w:cs="Times New Roman"/>
          <w:lang w:val="en-GB"/>
        </w:rPr>
        <w:t xml:space="preserve"> Of this amount:</w:t>
      </w:r>
    </w:p>
    <w:p w14:paraId="6ED2B3BB" w14:textId="77777777" w:rsidR="001170E4" w:rsidRPr="001170E4" w:rsidRDefault="001170E4" w:rsidP="00F72F11">
      <w:pPr>
        <w:numPr>
          <w:ilvl w:val="0"/>
          <w:numId w:val="9"/>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Compensati</w:t>
      </w:r>
      <w:r w:rsidR="00F00114">
        <w:rPr>
          <w:rFonts w:ascii="Times New Roman" w:eastAsia="Calibri" w:hAnsi="Times New Roman" w:cs="Times New Roman"/>
          <w:lang w:val="en-GB"/>
        </w:rPr>
        <w:t>on of employees consists of R36,1 million (an increase of R6,</w:t>
      </w:r>
      <w:r w:rsidRPr="001170E4">
        <w:rPr>
          <w:rFonts w:ascii="Times New Roman" w:eastAsia="Calibri" w:hAnsi="Times New Roman" w:cs="Times New Roman"/>
          <w:lang w:val="en-GB"/>
        </w:rPr>
        <w:t>8 million).</w:t>
      </w:r>
    </w:p>
    <w:p w14:paraId="2445F8FB" w14:textId="77777777" w:rsidR="001170E4" w:rsidRPr="001170E4" w:rsidRDefault="001170E4" w:rsidP="00F72F11">
      <w:pPr>
        <w:numPr>
          <w:ilvl w:val="0"/>
          <w:numId w:val="9"/>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Goods and Services R16</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2 million (an increase from R3</w:t>
      </w:r>
      <w:r w:rsidR="00F00114">
        <w:rPr>
          <w:rFonts w:ascii="Times New Roman" w:eastAsia="Calibri" w:hAnsi="Times New Roman" w:cs="Times New Roman"/>
          <w:lang w:val="en-GB"/>
        </w:rPr>
        <w:t>,</w:t>
      </w:r>
      <w:r w:rsidRPr="001170E4">
        <w:rPr>
          <w:rFonts w:ascii="Times New Roman" w:eastAsia="Calibri" w:hAnsi="Times New Roman" w:cs="Times New Roman"/>
          <w:lang w:val="en-GB"/>
        </w:rPr>
        <w:t>1 million in 2017/18) of which the following increase by R100 000:</w:t>
      </w:r>
    </w:p>
    <w:p w14:paraId="2B6D8C54" w14:textId="77777777" w:rsidR="001170E4" w:rsidRPr="001170E4" w:rsidRDefault="001170E4" w:rsidP="00F72F11">
      <w:pPr>
        <w:numPr>
          <w:ilvl w:val="1"/>
          <w:numId w:val="9"/>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R700 000 towards Communication.</w:t>
      </w:r>
    </w:p>
    <w:p w14:paraId="24AD2F82" w14:textId="77777777" w:rsidR="001170E4" w:rsidRPr="001170E4" w:rsidRDefault="001170E4" w:rsidP="00F72F11">
      <w:pPr>
        <w:numPr>
          <w:ilvl w:val="1"/>
          <w:numId w:val="9"/>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R500 000 towards Operating leases.</w:t>
      </w:r>
    </w:p>
    <w:p w14:paraId="23046286" w14:textId="77777777" w:rsidR="001170E4" w:rsidRPr="001170E4" w:rsidRDefault="001170E4" w:rsidP="00F72F11">
      <w:pPr>
        <w:spacing w:after="0" w:line="360" w:lineRule="auto"/>
        <w:jc w:val="both"/>
        <w:rPr>
          <w:rFonts w:ascii="Times New Roman" w:eastAsia="Calibri" w:hAnsi="Times New Roman" w:cs="Times New Roman"/>
          <w:lang w:val="en-GB"/>
        </w:rPr>
      </w:pPr>
    </w:p>
    <w:p w14:paraId="7A446F6A"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The other increases include:</w:t>
      </w:r>
    </w:p>
    <w:p w14:paraId="2E733350" w14:textId="77777777" w:rsidR="001170E4" w:rsidRPr="001170E4" w:rsidRDefault="001170E4" w:rsidP="00F72F11">
      <w:pPr>
        <w:numPr>
          <w:ilvl w:val="1"/>
          <w:numId w:val="9"/>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R6</w:t>
      </w:r>
      <w:r w:rsidR="00F00114">
        <w:rPr>
          <w:rFonts w:ascii="Times New Roman" w:eastAsia="Calibri" w:hAnsi="Times New Roman" w:cs="Times New Roman"/>
          <w:lang w:val="en-GB"/>
        </w:rPr>
        <w:t>,</w:t>
      </w:r>
      <w:r w:rsidRPr="001170E4">
        <w:rPr>
          <w:rFonts w:ascii="Times New Roman" w:eastAsia="Calibri" w:hAnsi="Times New Roman" w:cs="Times New Roman"/>
          <w:lang w:val="en-GB"/>
        </w:rPr>
        <w:t>7 million (an increase of R3</w:t>
      </w:r>
      <w:r w:rsidR="00F00114">
        <w:rPr>
          <w:rFonts w:ascii="Times New Roman" w:eastAsia="Calibri" w:hAnsi="Times New Roman" w:cs="Times New Roman"/>
          <w:lang w:val="en-GB"/>
        </w:rPr>
        <w:t>,</w:t>
      </w:r>
      <w:r w:rsidRPr="001170E4">
        <w:rPr>
          <w:rFonts w:ascii="Times New Roman" w:eastAsia="Calibri" w:hAnsi="Times New Roman" w:cs="Times New Roman"/>
          <w:lang w:val="en-GB"/>
        </w:rPr>
        <w:t>2 million) towards Departmental agency and support/ outsourced services, (which also funds the Turnaround Strategy of the Department).</w:t>
      </w:r>
    </w:p>
    <w:p w14:paraId="14845D01" w14:textId="77777777" w:rsidR="001170E4" w:rsidRPr="001170E4" w:rsidRDefault="001170E4" w:rsidP="00F72F11">
      <w:pPr>
        <w:numPr>
          <w:ilvl w:val="1"/>
          <w:numId w:val="9"/>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R3</w:t>
      </w:r>
      <w:r w:rsidR="00F00114">
        <w:rPr>
          <w:rFonts w:ascii="Times New Roman" w:eastAsia="Calibri" w:hAnsi="Times New Roman" w:cs="Times New Roman"/>
          <w:lang w:val="en-GB"/>
        </w:rPr>
        <w:t>,</w:t>
      </w:r>
      <w:r w:rsidRPr="001170E4">
        <w:rPr>
          <w:rFonts w:ascii="Times New Roman" w:eastAsia="Calibri" w:hAnsi="Times New Roman" w:cs="Times New Roman"/>
          <w:lang w:val="en-GB"/>
        </w:rPr>
        <w:t>4 million (an increase of R200 000) for Travel and subsistence.</w:t>
      </w:r>
    </w:p>
    <w:p w14:paraId="34F0BA25" w14:textId="77777777" w:rsidR="001170E4" w:rsidRPr="001170E4" w:rsidRDefault="001170E4" w:rsidP="00F72F11">
      <w:pPr>
        <w:numPr>
          <w:ilvl w:val="1"/>
          <w:numId w:val="9"/>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R1</w:t>
      </w:r>
      <w:r w:rsidR="00F00114">
        <w:rPr>
          <w:rFonts w:ascii="Times New Roman" w:eastAsia="Calibri" w:hAnsi="Times New Roman" w:cs="Times New Roman"/>
          <w:lang w:val="en-GB"/>
        </w:rPr>
        <w:t>,</w:t>
      </w:r>
      <w:r w:rsidRPr="001170E4">
        <w:rPr>
          <w:rFonts w:ascii="Times New Roman" w:eastAsia="Calibri" w:hAnsi="Times New Roman" w:cs="Times New Roman"/>
          <w:lang w:val="en-GB"/>
        </w:rPr>
        <w:t xml:space="preserve">1 million (an increase of R200 000) towards Operating payments. </w:t>
      </w:r>
    </w:p>
    <w:p w14:paraId="1221DB8F" w14:textId="77777777" w:rsidR="001170E4" w:rsidRPr="001170E4" w:rsidRDefault="001170E4" w:rsidP="00F72F11">
      <w:pPr>
        <w:spacing w:after="0" w:line="360" w:lineRule="auto"/>
        <w:jc w:val="both"/>
        <w:rPr>
          <w:rFonts w:ascii="Times New Roman" w:eastAsia="Calibri" w:hAnsi="Times New Roman" w:cs="Times New Roman"/>
          <w:lang w:val="en-GB"/>
        </w:rPr>
      </w:pPr>
    </w:p>
    <w:p w14:paraId="37F0C6AE"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However, the Training and Development allocation remains unchanged for 2018/19, at R1 million, similar to the adjusted allocation in 2017/18. </w:t>
      </w:r>
    </w:p>
    <w:p w14:paraId="2B02D0DC" w14:textId="77777777" w:rsidR="001170E4" w:rsidRPr="001170E4" w:rsidRDefault="001170E4" w:rsidP="00F72F11">
      <w:pPr>
        <w:spacing w:after="0" w:line="360" w:lineRule="auto"/>
        <w:jc w:val="both"/>
        <w:rPr>
          <w:rFonts w:ascii="Times New Roman" w:eastAsia="Calibri" w:hAnsi="Times New Roman" w:cs="Times New Roman"/>
          <w:lang w:val="en-GB"/>
        </w:rPr>
      </w:pPr>
    </w:p>
    <w:p w14:paraId="7569FC8F" w14:textId="77777777" w:rsidR="00F67ADE" w:rsidRDefault="00F67ADE" w:rsidP="00F72F11">
      <w:pPr>
        <w:spacing w:after="0" w:line="360" w:lineRule="auto"/>
        <w:jc w:val="both"/>
        <w:rPr>
          <w:rFonts w:ascii="Times New Roman" w:eastAsia="Calibri" w:hAnsi="Times New Roman" w:cs="Times New Roman"/>
          <w:lang w:val="en-GB"/>
        </w:rPr>
      </w:pPr>
    </w:p>
    <w:p w14:paraId="261364FC" w14:textId="2F449738"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Programme 2’s aim for 2018/19 is to:</w:t>
      </w:r>
      <w:r w:rsidRPr="001170E4">
        <w:rPr>
          <w:rFonts w:ascii="Times New Roman" w:eastAsia="Calibri" w:hAnsi="Times New Roman" w:cs="Times New Roman"/>
          <w:vertAlign w:val="superscript"/>
          <w:lang w:val="en-GB"/>
        </w:rPr>
        <w:footnoteReference w:id="19"/>
      </w:r>
    </w:p>
    <w:p w14:paraId="5115E1F3" w14:textId="77777777" w:rsidR="001170E4" w:rsidRPr="001170E4" w:rsidRDefault="00F00114" w:rsidP="00F72F11">
      <w:pPr>
        <w:numPr>
          <w:ilvl w:val="0"/>
          <w:numId w:val="10"/>
        </w:num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lastRenderedPageBreak/>
        <w:t>Develop four</w:t>
      </w:r>
      <w:r w:rsidR="001170E4" w:rsidRPr="001170E4">
        <w:rPr>
          <w:rFonts w:ascii="Times New Roman" w:eastAsia="Calibri" w:hAnsi="Times New Roman" w:cs="Times New Roman"/>
          <w:lang w:val="en-GB"/>
        </w:rPr>
        <w:t xml:space="preserve"> Policy Frameworks for the Public Works Sector.  </w:t>
      </w:r>
    </w:p>
    <w:p w14:paraId="4F8A0F47" w14:textId="77777777" w:rsidR="001170E4" w:rsidRPr="001170E4" w:rsidRDefault="001170E4" w:rsidP="00F72F11">
      <w:pPr>
        <w:numPr>
          <w:ilvl w:val="0"/>
          <w:numId w:val="10"/>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Sign 55 joint service delivery agreements with public bodies across all spheres of Government.</w:t>
      </w:r>
    </w:p>
    <w:p w14:paraId="7E78F520" w14:textId="77777777" w:rsidR="001170E4" w:rsidRPr="001170E4" w:rsidRDefault="001170E4" w:rsidP="00F72F11">
      <w:pPr>
        <w:numPr>
          <w:ilvl w:val="0"/>
          <w:numId w:val="10"/>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Review </w:t>
      </w:r>
      <w:r w:rsidR="00F00114" w:rsidRPr="001170E4">
        <w:rPr>
          <w:rFonts w:ascii="Times New Roman" w:eastAsia="Calibri" w:hAnsi="Times New Roman" w:cs="Times New Roman"/>
          <w:lang w:val="en-GB"/>
        </w:rPr>
        <w:t>five</w:t>
      </w:r>
      <w:r w:rsidRPr="001170E4">
        <w:rPr>
          <w:rFonts w:ascii="Times New Roman" w:eastAsia="Calibri" w:hAnsi="Times New Roman" w:cs="Times New Roman"/>
          <w:lang w:val="en-GB"/>
        </w:rPr>
        <w:t xml:space="preserve"> intergovernmental governance structures.</w:t>
      </w:r>
    </w:p>
    <w:p w14:paraId="0160C0C5" w14:textId="77777777" w:rsidR="001170E4" w:rsidRPr="001170E4" w:rsidRDefault="001170E4" w:rsidP="00F72F11">
      <w:pPr>
        <w:numPr>
          <w:ilvl w:val="0"/>
          <w:numId w:val="10"/>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Identify 27 State-owned properties for student accommodation.</w:t>
      </w:r>
    </w:p>
    <w:p w14:paraId="77CFE7A8" w14:textId="77777777" w:rsidR="001170E4" w:rsidRPr="001170E4" w:rsidRDefault="001170E4" w:rsidP="00F72F11">
      <w:pPr>
        <w:numPr>
          <w:ilvl w:val="0"/>
          <w:numId w:val="10"/>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Ensure the participation of 1 220 beneficiaries in the Department and the PMTE Skills Development Programme over the medium term; aimed at restoring the skills pipeline in the built environment.</w:t>
      </w:r>
    </w:p>
    <w:p w14:paraId="7DF70AAB" w14:textId="77777777" w:rsidR="001170E4" w:rsidRPr="001170E4" w:rsidRDefault="001170E4" w:rsidP="00F72F11">
      <w:pPr>
        <w:numPr>
          <w:ilvl w:val="0"/>
          <w:numId w:val="10"/>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Approve five asset management service tools within the different phases of the Government Immovable Asset Management Act (No. 19 of 2007); aimed at establishing institutional capacity to manage public infrastructure programmes.</w:t>
      </w:r>
    </w:p>
    <w:p w14:paraId="09614A6B" w14:textId="77777777" w:rsidR="00BB1EE2" w:rsidRPr="001170E4" w:rsidRDefault="00BB1EE2" w:rsidP="00F72F11">
      <w:pPr>
        <w:spacing w:line="360" w:lineRule="auto"/>
        <w:jc w:val="both"/>
        <w:rPr>
          <w:rFonts w:ascii="Times New Roman" w:hAnsi="Times New Roman" w:cs="Times New Roman"/>
        </w:rPr>
      </w:pPr>
    </w:p>
    <w:p w14:paraId="7470ADEE" w14:textId="77777777" w:rsidR="00BB1EE2" w:rsidRPr="001170E4" w:rsidRDefault="00BB1EE2" w:rsidP="00F72F11">
      <w:pPr>
        <w:pStyle w:val="Heading3"/>
        <w:spacing w:line="360" w:lineRule="auto"/>
        <w:rPr>
          <w:rFonts w:ascii="Times New Roman" w:hAnsi="Times New Roman"/>
          <w:i w:val="0"/>
          <w:color w:val="auto"/>
          <w:szCs w:val="22"/>
        </w:rPr>
      </w:pPr>
      <w:bookmarkStart w:id="9" w:name="_Toc477174247"/>
      <w:r w:rsidRPr="001170E4">
        <w:rPr>
          <w:rFonts w:ascii="Times New Roman" w:hAnsi="Times New Roman"/>
          <w:i w:val="0"/>
          <w:color w:val="auto"/>
          <w:szCs w:val="22"/>
        </w:rPr>
        <w:t>1.2.3 Programme 3: Expanded Public Works Programme</w:t>
      </w:r>
      <w:bookmarkEnd w:id="9"/>
      <w:r w:rsidRPr="001170E4">
        <w:rPr>
          <w:rFonts w:ascii="Times New Roman" w:hAnsi="Times New Roman"/>
          <w:i w:val="0"/>
          <w:color w:val="auto"/>
          <w:szCs w:val="22"/>
        </w:rPr>
        <w:t xml:space="preserve"> </w:t>
      </w:r>
    </w:p>
    <w:p w14:paraId="21CD731B" w14:textId="77777777" w:rsidR="00BB1EE2" w:rsidRPr="001170E4" w:rsidRDefault="00BB1EE2" w:rsidP="00F72F11">
      <w:pPr>
        <w:spacing w:line="360" w:lineRule="auto"/>
        <w:jc w:val="both"/>
        <w:rPr>
          <w:rFonts w:ascii="Times New Roman" w:hAnsi="Times New Roman" w:cs="Times New Roman"/>
          <w:b/>
          <w:bCs/>
        </w:rPr>
      </w:pPr>
    </w:p>
    <w:p w14:paraId="61C59F29" w14:textId="77777777" w:rsidR="00BB1EE2" w:rsidRPr="001170E4" w:rsidRDefault="00BB1EE2" w:rsidP="00F72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bCs/>
        </w:rPr>
      </w:pPr>
      <w:r w:rsidRPr="001170E4">
        <w:rPr>
          <w:rFonts w:ascii="Times New Roman" w:hAnsi="Times New Roman" w:cs="Times New Roman"/>
          <w:b/>
          <w:bCs/>
        </w:rPr>
        <w:t>Programme 3 seeks to ensure the coordination of the implementation of the Expanded Public Works Programme (EPWP) to create work opportunities; and the provision of training for unskilled, marginalised and unemployed people in South Africa.</w:t>
      </w:r>
    </w:p>
    <w:p w14:paraId="7577C541" w14:textId="77777777" w:rsidR="00BB1EE2" w:rsidRPr="001170E4" w:rsidRDefault="00BB1EE2" w:rsidP="00F72F11">
      <w:pPr>
        <w:spacing w:line="360" w:lineRule="auto"/>
        <w:jc w:val="both"/>
        <w:rPr>
          <w:rFonts w:ascii="Times New Roman" w:hAnsi="Times New Roman" w:cs="Times New Roman"/>
        </w:rPr>
      </w:pPr>
    </w:p>
    <w:p w14:paraId="0ED734E5" w14:textId="77777777" w:rsidR="001170E4" w:rsidRPr="001170E4" w:rsidRDefault="001170E4" w:rsidP="00F72F11">
      <w:pPr>
        <w:spacing w:after="0" w:line="360" w:lineRule="auto"/>
        <w:jc w:val="both"/>
        <w:rPr>
          <w:rFonts w:ascii="Times New Roman" w:eastAsia="Calibri" w:hAnsi="Times New Roman" w:cs="Times New Roman"/>
          <w:lang w:val="en-GB"/>
        </w:rPr>
      </w:pPr>
      <w:bookmarkStart w:id="10" w:name="_Toc447629108"/>
      <w:bookmarkStart w:id="11" w:name="_Toc477174249"/>
      <w:r w:rsidRPr="001170E4">
        <w:rPr>
          <w:rFonts w:ascii="Times New Roman" w:eastAsia="Calibri" w:hAnsi="Times New Roman" w:cs="Times New Roman"/>
          <w:lang w:val="en-GB"/>
        </w:rPr>
        <w:t>For 2018/19,</w:t>
      </w:r>
      <w:r w:rsidR="00F00114">
        <w:rPr>
          <w:rFonts w:ascii="Times New Roman" w:eastAsia="Calibri" w:hAnsi="Times New Roman" w:cs="Times New Roman"/>
          <w:lang w:val="en-GB"/>
        </w:rPr>
        <w:t xml:space="preserve"> Programme 3 is appropriated R2,</w:t>
      </w:r>
      <w:r w:rsidRPr="001170E4">
        <w:rPr>
          <w:rFonts w:ascii="Times New Roman" w:eastAsia="Calibri" w:hAnsi="Times New Roman" w:cs="Times New Roman"/>
          <w:lang w:val="en-GB"/>
        </w:rPr>
        <w:t>57 billion</w:t>
      </w:r>
      <w:r w:rsidRPr="001170E4">
        <w:rPr>
          <w:rFonts w:ascii="Times New Roman" w:eastAsia="Calibri" w:hAnsi="Times New Roman" w:cs="Times New Roman"/>
          <w:vertAlign w:val="superscript"/>
          <w:lang w:val="en-GB"/>
        </w:rPr>
        <w:footnoteReference w:id="20"/>
      </w:r>
      <w:r w:rsidRPr="001170E4">
        <w:rPr>
          <w:rFonts w:ascii="Times New Roman" w:eastAsia="Calibri" w:hAnsi="Times New Roman" w:cs="Times New Roman"/>
          <w:lang w:val="en-GB"/>
        </w:rPr>
        <w:t xml:space="preserve"> </w:t>
      </w:r>
      <w:r w:rsidRPr="001170E4">
        <w:rPr>
          <w:rFonts w:ascii="Times New Roman" w:eastAsia="Calibri" w:hAnsi="Times New Roman" w:cs="Times New Roman"/>
          <w:bCs/>
          <w:lang w:val="en-GB"/>
        </w:rPr>
        <w:t xml:space="preserve">which proportionally represents </w:t>
      </w:r>
      <w:r w:rsidRPr="001170E4">
        <w:rPr>
          <w:rFonts w:ascii="Times New Roman" w:eastAsia="Calibri" w:hAnsi="Times New Roman" w:cs="Times New Roman"/>
          <w:lang w:val="en-GB"/>
        </w:rPr>
        <w:t>34</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 xml:space="preserve">4% </w:t>
      </w:r>
      <w:r w:rsidRPr="001170E4">
        <w:rPr>
          <w:rFonts w:ascii="Times New Roman" w:eastAsia="Calibri" w:hAnsi="Times New Roman" w:cs="Times New Roman"/>
          <w:bCs/>
          <w:lang w:val="en-GB"/>
        </w:rPr>
        <w:t>of the overall departmental budget.</w:t>
      </w:r>
      <w:r w:rsidRPr="001170E4">
        <w:rPr>
          <w:rFonts w:ascii="Times New Roman" w:eastAsia="Calibri" w:hAnsi="Times New Roman" w:cs="Times New Roman"/>
          <w:lang w:val="en-GB"/>
        </w:rPr>
        <w:t xml:space="preserve"> Expenditure under Programme 3 increases at a nominal rate of 6</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6% (which translates into a real increase of 1</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 xml:space="preserve">1%). The allocations for the </w:t>
      </w:r>
      <w:r w:rsidRPr="001170E4">
        <w:rPr>
          <w:rFonts w:ascii="Times New Roman" w:eastAsia="Calibri" w:hAnsi="Times New Roman" w:cs="Times New Roman"/>
          <w:i/>
          <w:lang w:val="en-GB"/>
        </w:rPr>
        <w:t>Expanded Public Works Programme</w:t>
      </w:r>
      <w:r w:rsidRPr="001170E4">
        <w:rPr>
          <w:rFonts w:ascii="Times New Roman" w:eastAsia="Calibri" w:hAnsi="Times New Roman" w:cs="Times New Roman"/>
          <w:lang w:val="en-GB"/>
        </w:rPr>
        <w:t xml:space="preserve"> (EPWP) are mainly for the </w:t>
      </w:r>
      <w:r w:rsidRPr="001170E4">
        <w:rPr>
          <w:rFonts w:ascii="Times New Roman" w:eastAsia="Calibri" w:hAnsi="Times New Roman" w:cs="Times New Roman"/>
          <w:i/>
          <w:lang w:val="en-GB"/>
        </w:rPr>
        <w:t>Integrated Grant for Provinces and Municipalities</w:t>
      </w:r>
      <w:r w:rsidRPr="001170E4">
        <w:rPr>
          <w:rFonts w:ascii="Times New Roman" w:eastAsia="Calibri" w:hAnsi="Times New Roman" w:cs="Times New Roman"/>
          <w:lang w:val="en-GB"/>
        </w:rPr>
        <w:t xml:space="preserve">; and the </w:t>
      </w:r>
      <w:r w:rsidRPr="001170E4">
        <w:rPr>
          <w:rFonts w:ascii="Times New Roman" w:eastAsia="Calibri" w:hAnsi="Times New Roman" w:cs="Times New Roman"/>
          <w:i/>
          <w:lang w:val="en-GB"/>
        </w:rPr>
        <w:t>Performance Based Incentive Allocations</w:t>
      </w:r>
      <w:r w:rsidRPr="001170E4">
        <w:rPr>
          <w:rFonts w:ascii="Times New Roman" w:eastAsia="Calibri" w:hAnsi="Times New Roman" w:cs="Times New Roman"/>
          <w:lang w:val="en-GB"/>
        </w:rPr>
        <w:t xml:space="preserve">. The allocations are now reported under the following five EPWP sub-programmes: </w:t>
      </w:r>
    </w:p>
    <w:p w14:paraId="7114E66B" w14:textId="77777777" w:rsidR="001170E4" w:rsidRPr="001170E4" w:rsidRDefault="001170E4" w:rsidP="00B41D07">
      <w:pPr>
        <w:numPr>
          <w:ilvl w:val="0"/>
          <w:numId w:val="16"/>
        </w:numPr>
        <w:spacing w:after="0" w:line="360" w:lineRule="auto"/>
        <w:ind w:left="426" w:hanging="426"/>
        <w:jc w:val="both"/>
        <w:rPr>
          <w:rFonts w:ascii="Times New Roman" w:eastAsia="Calibri" w:hAnsi="Times New Roman" w:cs="Times New Roman"/>
          <w:lang w:val="en-GB"/>
        </w:rPr>
      </w:pPr>
      <w:r w:rsidRPr="001170E4">
        <w:rPr>
          <w:rFonts w:ascii="Times New Roman" w:eastAsia="Calibri" w:hAnsi="Times New Roman" w:cs="Times New Roman"/>
          <w:lang w:val="en-GB"/>
        </w:rPr>
        <w:t>EPWP: Monitor</w:t>
      </w:r>
      <w:r w:rsidR="00F00114">
        <w:rPr>
          <w:rFonts w:ascii="Times New Roman" w:eastAsia="Calibri" w:hAnsi="Times New Roman" w:cs="Times New Roman"/>
          <w:lang w:val="en-GB"/>
        </w:rPr>
        <w:t>ing and Evaluation receives R57,</w:t>
      </w:r>
      <w:r w:rsidRPr="001170E4">
        <w:rPr>
          <w:rFonts w:ascii="Times New Roman" w:eastAsia="Calibri" w:hAnsi="Times New Roman" w:cs="Times New Roman"/>
          <w:lang w:val="en-GB"/>
        </w:rPr>
        <w:t>8 million. In real terms this sub-programme allocation declines by 12</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3% from the previous year.</w:t>
      </w:r>
    </w:p>
    <w:p w14:paraId="49D87DAC" w14:textId="77777777" w:rsidR="001170E4" w:rsidRPr="001170E4" w:rsidRDefault="001170E4" w:rsidP="00B41D07">
      <w:pPr>
        <w:numPr>
          <w:ilvl w:val="0"/>
          <w:numId w:val="16"/>
        </w:numPr>
        <w:spacing w:after="0" w:line="360" w:lineRule="auto"/>
        <w:ind w:left="426" w:hanging="426"/>
        <w:jc w:val="both"/>
        <w:rPr>
          <w:rFonts w:ascii="Times New Roman" w:eastAsia="Calibri" w:hAnsi="Times New Roman" w:cs="Times New Roman"/>
          <w:lang w:val="en-GB"/>
        </w:rPr>
      </w:pPr>
      <w:r w:rsidRPr="001170E4">
        <w:rPr>
          <w:rFonts w:ascii="Times New Roman" w:eastAsia="Calibri" w:hAnsi="Times New Roman" w:cs="Times New Roman"/>
          <w:lang w:val="en-GB"/>
        </w:rPr>
        <w:t>EPWP: Infrastructur</w:t>
      </w:r>
      <w:r w:rsidR="00F00114">
        <w:rPr>
          <w:rFonts w:ascii="Times New Roman" w:eastAsia="Calibri" w:hAnsi="Times New Roman" w:cs="Times New Roman"/>
          <w:lang w:val="en-GB"/>
        </w:rPr>
        <w:t>e receives R1,</w:t>
      </w:r>
      <w:r w:rsidRPr="001170E4">
        <w:rPr>
          <w:rFonts w:ascii="Times New Roman" w:eastAsia="Calibri" w:hAnsi="Times New Roman" w:cs="Times New Roman"/>
          <w:lang w:val="en-GB"/>
        </w:rPr>
        <w:t>21 billion. In real terms, this sub-programme allocation decreases by 3</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6% from the previous year.</w:t>
      </w:r>
    </w:p>
    <w:p w14:paraId="115A116B" w14:textId="77777777" w:rsidR="001170E4" w:rsidRPr="001170E4" w:rsidRDefault="00F00114" w:rsidP="00B41D07">
      <w:pPr>
        <w:numPr>
          <w:ilvl w:val="0"/>
          <w:numId w:val="16"/>
        </w:numPr>
        <w:spacing w:after="0" w:line="360" w:lineRule="auto"/>
        <w:ind w:left="426" w:hanging="426"/>
        <w:jc w:val="both"/>
        <w:rPr>
          <w:rFonts w:ascii="Times New Roman" w:eastAsia="Calibri" w:hAnsi="Times New Roman" w:cs="Times New Roman"/>
          <w:lang w:val="en-GB"/>
        </w:rPr>
      </w:pPr>
      <w:r>
        <w:rPr>
          <w:rFonts w:ascii="Times New Roman" w:eastAsia="Calibri" w:hAnsi="Times New Roman" w:cs="Times New Roman"/>
          <w:lang w:val="en-GB"/>
        </w:rPr>
        <w:t>EPWP: Operations receives R1,</w:t>
      </w:r>
      <w:r w:rsidR="001170E4" w:rsidRPr="001170E4">
        <w:rPr>
          <w:rFonts w:ascii="Times New Roman" w:eastAsia="Calibri" w:hAnsi="Times New Roman" w:cs="Times New Roman"/>
          <w:lang w:val="en-GB"/>
        </w:rPr>
        <w:t>21 billion. In real terms, this sub-programme allocation increases by 6</w:t>
      </w:r>
      <w:r w:rsidR="009E2F1A">
        <w:rPr>
          <w:rFonts w:ascii="Times New Roman" w:eastAsia="Calibri" w:hAnsi="Times New Roman" w:cs="Times New Roman"/>
          <w:lang w:val="en-GB"/>
        </w:rPr>
        <w:t>,</w:t>
      </w:r>
      <w:r w:rsidR="001170E4" w:rsidRPr="001170E4">
        <w:rPr>
          <w:rFonts w:ascii="Times New Roman" w:eastAsia="Calibri" w:hAnsi="Times New Roman" w:cs="Times New Roman"/>
          <w:lang w:val="en-GB"/>
        </w:rPr>
        <w:t>5% from the previous year.</w:t>
      </w:r>
    </w:p>
    <w:p w14:paraId="475AF8DB" w14:textId="77777777" w:rsidR="001170E4" w:rsidRPr="001170E4" w:rsidRDefault="001170E4" w:rsidP="00B41D07">
      <w:pPr>
        <w:numPr>
          <w:ilvl w:val="0"/>
          <w:numId w:val="16"/>
        </w:numPr>
        <w:spacing w:after="0" w:line="360" w:lineRule="auto"/>
        <w:ind w:left="426" w:hanging="426"/>
        <w:jc w:val="both"/>
        <w:rPr>
          <w:rFonts w:ascii="Times New Roman" w:eastAsia="Calibri" w:hAnsi="Times New Roman" w:cs="Times New Roman"/>
          <w:lang w:val="en-GB"/>
        </w:rPr>
      </w:pPr>
      <w:r w:rsidRPr="001170E4">
        <w:rPr>
          <w:rFonts w:ascii="Times New Roman" w:eastAsia="Calibri" w:hAnsi="Times New Roman" w:cs="Times New Roman"/>
          <w:lang w:val="en-GB"/>
        </w:rPr>
        <w:t>EPWP: Partnership Support receives R79 million. This sub-programme increased by 14</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5% in nominal terms and 8</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5% in real terms in the allocation from the previous financial year.</w:t>
      </w:r>
    </w:p>
    <w:p w14:paraId="0809D23D" w14:textId="77777777" w:rsidR="001170E4" w:rsidRPr="001170E4" w:rsidRDefault="001170E4" w:rsidP="00B41D07">
      <w:pPr>
        <w:numPr>
          <w:ilvl w:val="0"/>
          <w:numId w:val="16"/>
        </w:numPr>
        <w:spacing w:after="0" w:line="360" w:lineRule="auto"/>
        <w:ind w:left="426" w:hanging="426"/>
        <w:jc w:val="both"/>
        <w:rPr>
          <w:rFonts w:ascii="Times New Roman" w:eastAsia="Calibri" w:hAnsi="Times New Roman" w:cs="Times New Roman"/>
          <w:lang w:val="en-GB"/>
        </w:rPr>
      </w:pPr>
      <w:r w:rsidRPr="001170E4">
        <w:rPr>
          <w:rFonts w:ascii="Times New Roman" w:eastAsia="Calibri" w:hAnsi="Times New Roman" w:cs="Times New Roman"/>
          <w:lang w:val="en-GB"/>
        </w:rPr>
        <w:t>EPWP: Public Employment Coordinating Committee receives R8</w:t>
      </w:r>
      <w:r w:rsidR="00F00114">
        <w:rPr>
          <w:rFonts w:ascii="Times New Roman" w:eastAsia="Calibri" w:hAnsi="Times New Roman" w:cs="Times New Roman"/>
          <w:lang w:val="en-GB"/>
        </w:rPr>
        <w:t>,</w:t>
      </w:r>
      <w:r w:rsidRPr="001170E4">
        <w:rPr>
          <w:rFonts w:ascii="Times New Roman" w:eastAsia="Calibri" w:hAnsi="Times New Roman" w:cs="Times New Roman"/>
          <w:lang w:val="en-GB"/>
        </w:rPr>
        <w:t>1 million.  In real terms, this sub-programme allocation increases by 1</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0% from the previous year.</w:t>
      </w:r>
    </w:p>
    <w:p w14:paraId="7BD3181E" w14:textId="77777777" w:rsidR="001170E4" w:rsidRPr="001170E4" w:rsidRDefault="00F00114" w:rsidP="00F72F11">
      <w:p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lastRenderedPageBreak/>
        <w:t xml:space="preserve">The budget allocation for </w:t>
      </w:r>
      <w:r w:rsidR="001170E4" w:rsidRPr="001170E4">
        <w:rPr>
          <w:rFonts w:ascii="Times New Roman" w:eastAsia="Calibri" w:hAnsi="Times New Roman" w:cs="Times New Roman"/>
          <w:lang w:val="en-GB"/>
        </w:rPr>
        <w:t xml:space="preserve">Programme 3 includes current payments </w:t>
      </w:r>
      <w:r>
        <w:rPr>
          <w:rFonts w:ascii="Times New Roman" w:eastAsia="Calibri" w:hAnsi="Times New Roman" w:cs="Times New Roman"/>
          <w:bCs/>
          <w:lang w:val="en-GB"/>
        </w:rPr>
        <w:t>to the value of R326,7 million, of which R178,</w:t>
      </w:r>
      <w:r w:rsidR="001170E4" w:rsidRPr="001170E4">
        <w:rPr>
          <w:rFonts w:ascii="Times New Roman" w:eastAsia="Calibri" w:hAnsi="Times New Roman" w:cs="Times New Roman"/>
          <w:bCs/>
          <w:lang w:val="en-GB"/>
        </w:rPr>
        <w:t xml:space="preserve">1 million is allocated to </w:t>
      </w:r>
      <w:r w:rsidR="001170E4" w:rsidRPr="001170E4">
        <w:rPr>
          <w:rFonts w:ascii="Times New Roman" w:eastAsia="Calibri" w:hAnsi="Times New Roman" w:cs="Times New Roman"/>
          <w:lang w:val="en-GB"/>
        </w:rPr>
        <w:t>compensation of employees. Compensation of employees increases with 21</w:t>
      </w:r>
      <w:r w:rsidR="009E2F1A">
        <w:rPr>
          <w:rFonts w:ascii="Times New Roman" w:eastAsia="Calibri" w:hAnsi="Times New Roman" w:cs="Times New Roman"/>
          <w:lang w:val="en-GB"/>
        </w:rPr>
        <w:t>,</w:t>
      </w:r>
      <w:r w:rsidR="001170E4" w:rsidRPr="001170E4">
        <w:rPr>
          <w:rFonts w:ascii="Times New Roman" w:eastAsia="Calibri" w:hAnsi="Times New Roman" w:cs="Times New Roman"/>
          <w:lang w:val="en-GB"/>
        </w:rPr>
        <w:t>7 million from the R156</w:t>
      </w:r>
      <w:r w:rsidR="009E2F1A">
        <w:rPr>
          <w:rFonts w:ascii="Times New Roman" w:eastAsia="Calibri" w:hAnsi="Times New Roman" w:cs="Times New Roman"/>
          <w:lang w:val="en-GB"/>
        </w:rPr>
        <w:t>,</w:t>
      </w:r>
      <w:r w:rsidR="001170E4" w:rsidRPr="001170E4">
        <w:rPr>
          <w:rFonts w:ascii="Times New Roman" w:eastAsia="Calibri" w:hAnsi="Times New Roman" w:cs="Times New Roman"/>
          <w:lang w:val="en-GB"/>
        </w:rPr>
        <w:t>4 million of the previous year. This is to enhance the implementation of Phase III of the EPWP and to provide technical support to departments, municipalities, and the non-State sector to ensure that labour intensive methods and skills training are being utilised in their programmes.</w:t>
      </w:r>
    </w:p>
    <w:p w14:paraId="6C512C4F" w14:textId="77777777" w:rsidR="001170E4" w:rsidRPr="001170E4" w:rsidRDefault="001170E4" w:rsidP="00F72F11">
      <w:pPr>
        <w:spacing w:after="0" w:line="360" w:lineRule="auto"/>
        <w:jc w:val="both"/>
        <w:rPr>
          <w:rFonts w:ascii="Times New Roman" w:eastAsia="Calibri" w:hAnsi="Times New Roman" w:cs="Times New Roman"/>
          <w:lang w:val="en-GB"/>
        </w:rPr>
      </w:pPr>
    </w:p>
    <w:p w14:paraId="011DC4D2"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Expenditure on </w:t>
      </w:r>
      <w:r w:rsidRPr="001170E4">
        <w:rPr>
          <w:rFonts w:ascii="Times New Roman" w:eastAsia="Calibri" w:hAnsi="Times New Roman" w:cs="Times New Roman"/>
          <w:i/>
          <w:lang w:val="en-GB"/>
        </w:rPr>
        <w:t>Goods and Services</w:t>
      </w:r>
      <w:r w:rsidR="00C548D2">
        <w:rPr>
          <w:rFonts w:ascii="Times New Roman" w:eastAsia="Calibri" w:hAnsi="Times New Roman" w:cs="Times New Roman"/>
          <w:lang w:val="en-GB"/>
        </w:rPr>
        <w:t xml:space="preserve"> amounts toR148,</w:t>
      </w:r>
      <w:r w:rsidRPr="001170E4">
        <w:rPr>
          <w:rFonts w:ascii="Times New Roman" w:eastAsia="Calibri" w:hAnsi="Times New Roman" w:cs="Times New Roman"/>
          <w:lang w:val="en-GB"/>
        </w:rPr>
        <w:t>6 million, (which translates into a real decrease of 7</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3 % from the previous year). Of this total, expenditure on the following items apply:</w:t>
      </w:r>
      <w:r w:rsidRPr="001170E4">
        <w:rPr>
          <w:rFonts w:ascii="Times New Roman" w:eastAsia="Calibri" w:hAnsi="Times New Roman" w:cs="Times New Roman"/>
          <w:vertAlign w:val="superscript"/>
          <w:lang w:val="en-GB"/>
        </w:rPr>
        <w:footnoteReference w:id="21"/>
      </w:r>
      <w:r w:rsidRPr="001170E4">
        <w:rPr>
          <w:rFonts w:ascii="Times New Roman" w:eastAsia="Calibri" w:hAnsi="Times New Roman" w:cs="Times New Roman"/>
          <w:lang w:val="en-GB"/>
        </w:rPr>
        <w:t xml:space="preserve"> </w:t>
      </w:r>
    </w:p>
    <w:p w14:paraId="6E1451FA" w14:textId="77777777" w:rsidR="001170E4" w:rsidRPr="001170E4" w:rsidRDefault="001170E4" w:rsidP="00B41D07">
      <w:pPr>
        <w:numPr>
          <w:ilvl w:val="0"/>
          <w:numId w:val="11"/>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Advertising receives R5</w:t>
      </w:r>
      <w:r w:rsidR="00C548D2">
        <w:rPr>
          <w:rFonts w:ascii="Times New Roman" w:eastAsia="Calibri" w:hAnsi="Times New Roman" w:cs="Times New Roman"/>
          <w:lang w:val="en-GB"/>
        </w:rPr>
        <w:t>,</w:t>
      </w:r>
      <w:r w:rsidRPr="001170E4">
        <w:rPr>
          <w:rFonts w:ascii="Times New Roman" w:eastAsia="Calibri" w:hAnsi="Times New Roman" w:cs="Times New Roman"/>
          <w:lang w:val="en-GB"/>
        </w:rPr>
        <w:t>3 million (an increase of R3</w:t>
      </w:r>
      <w:r w:rsidR="00C548D2">
        <w:rPr>
          <w:rFonts w:ascii="Times New Roman" w:eastAsia="Calibri" w:hAnsi="Times New Roman" w:cs="Times New Roman"/>
          <w:lang w:val="en-GB"/>
        </w:rPr>
        <w:t>,</w:t>
      </w:r>
      <w:r w:rsidRPr="001170E4">
        <w:rPr>
          <w:rFonts w:ascii="Times New Roman" w:eastAsia="Calibri" w:hAnsi="Times New Roman" w:cs="Times New Roman"/>
          <w:lang w:val="en-GB"/>
        </w:rPr>
        <w:t>5 million).</w:t>
      </w:r>
    </w:p>
    <w:p w14:paraId="1C99CBAD" w14:textId="77777777" w:rsidR="001170E4" w:rsidRPr="001170E4" w:rsidRDefault="001170E4" w:rsidP="00B41D07">
      <w:pPr>
        <w:numPr>
          <w:ilvl w:val="0"/>
          <w:numId w:val="11"/>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Infrastructure and</w:t>
      </w:r>
      <w:r w:rsidR="00C548D2">
        <w:rPr>
          <w:rFonts w:ascii="Times New Roman" w:eastAsia="Calibri" w:hAnsi="Times New Roman" w:cs="Times New Roman"/>
          <w:lang w:val="en-GB"/>
        </w:rPr>
        <w:t xml:space="preserve"> Planning Services receives R23,</w:t>
      </w:r>
      <w:r w:rsidRPr="001170E4">
        <w:rPr>
          <w:rFonts w:ascii="Times New Roman" w:eastAsia="Calibri" w:hAnsi="Times New Roman" w:cs="Times New Roman"/>
          <w:lang w:val="en-GB"/>
        </w:rPr>
        <w:t>9 million (an increase of R14 million).</w:t>
      </w:r>
    </w:p>
    <w:p w14:paraId="5327616C" w14:textId="77777777" w:rsidR="001170E4" w:rsidRPr="001170E4" w:rsidRDefault="001170E4" w:rsidP="00B41D07">
      <w:pPr>
        <w:numPr>
          <w:ilvl w:val="0"/>
          <w:numId w:val="11"/>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Agency and Support/ O</w:t>
      </w:r>
      <w:r w:rsidR="00C548D2">
        <w:rPr>
          <w:rFonts w:ascii="Times New Roman" w:eastAsia="Calibri" w:hAnsi="Times New Roman" w:cs="Times New Roman"/>
          <w:lang w:val="en-GB"/>
        </w:rPr>
        <w:t>utsourced Services receives R92,7 million (a decrease of R4,</w:t>
      </w:r>
      <w:r w:rsidRPr="001170E4">
        <w:rPr>
          <w:rFonts w:ascii="Times New Roman" w:eastAsia="Calibri" w:hAnsi="Times New Roman" w:cs="Times New Roman"/>
          <w:lang w:val="en-GB"/>
        </w:rPr>
        <w:t>6 million).</w:t>
      </w:r>
    </w:p>
    <w:p w14:paraId="28D14134" w14:textId="77777777" w:rsidR="001170E4" w:rsidRPr="001170E4" w:rsidRDefault="001170E4" w:rsidP="00B41D07">
      <w:pPr>
        <w:numPr>
          <w:ilvl w:val="0"/>
          <w:numId w:val="11"/>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Travel and Subsistence receives </w:t>
      </w:r>
      <w:r w:rsidR="00C548D2">
        <w:rPr>
          <w:rFonts w:ascii="Times New Roman" w:eastAsia="Calibri" w:hAnsi="Times New Roman" w:cs="Times New Roman"/>
          <w:lang w:val="en-GB"/>
        </w:rPr>
        <w:t>R16,4 million (a decrease of R2,</w:t>
      </w:r>
      <w:r w:rsidRPr="001170E4">
        <w:rPr>
          <w:rFonts w:ascii="Times New Roman" w:eastAsia="Calibri" w:hAnsi="Times New Roman" w:cs="Times New Roman"/>
          <w:lang w:val="en-GB"/>
        </w:rPr>
        <w:t>1 million).</w:t>
      </w:r>
    </w:p>
    <w:p w14:paraId="7EBF40FA" w14:textId="77777777" w:rsidR="001170E4" w:rsidRPr="001170E4" w:rsidRDefault="001170E4" w:rsidP="00B41D07">
      <w:pPr>
        <w:numPr>
          <w:ilvl w:val="0"/>
          <w:numId w:val="11"/>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Ve</w:t>
      </w:r>
      <w:r w:rsidR="00C548D2">
        <w:rPr>
          <w:rFonts w:ascii="Times New Roman" w:eastAsia="Calibri" w:hAnsi="Times New Roman" w:cs="Times New Roman"/>
          <w:lang w:val="en-GB"/>
        </w:rPr>
        <w:t>nues and facilities receives R1,</w:t>
      </w:r>
      <w:r w:rsidRPr="001170E4">
        <w:rPr>
          <w:rFonts w:ascii="Times New Roman" w:eastAsia="Calibri" w:hAnsi="Times New Roman" w:cs="Times New Roman"/>
          <w:lang w:val="en-GB"/>
        </w:rPr>
        <w:t>9 million (an increase of R500 000).</w:t>
      </w:r>
    </w:p>
    <w:p w14:paraId="0A2CB5E7" w14:textId="77777777" w:rsidR="001170E4" w:rsidRPr="001170E4" w:rsidRDefault="001170E4" w:rsidP="00F72F11">
      <w:pPr>
        <w:spacing w:after="0" w:line="360" w:lineRule="auto"/>
        <w:jc w:val="both"/>
        <w:rPr>
          <w:rFonts w:ascii="Times New Roman" w:eastAsia="Calibri" w:hAnsi="Times New Roman" w:cs="Times New Roman"/>
          <w:lang w:val="en-GB"/>
        </w:rPr>
      </w:pPr>
    </w:p>
    <w:p w14:paraId="704B14CA"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The bulk of the expenditure under Programme 3 constitute transfers and subsidies amounting</w:t>
      </w:r>
      <w:r w:rsidR="00C548D2">
        <w:rPr>
          <w:rFonts w:ascii="Times New Roman" w:eastAsia="Calibri" w:hAnsi="Times New Roman" w:cs="Times New Roman"/>
          <w:lang w:val="en-GB"/>
        </w:rPr>
        <w:t xml:space="preserve"> to R2,24 billion, (from the R2,</w:t>
      </w:r>
      <w:r w:rsidRPr="001170E4">
        <w:rPr>
          <w:rFonts w:ascii="Times New Roman" w:eastAsia="Calibri" w:hAnsi="Times New Roman" w:cs="Times New Roman"/>
          <w:lang w:val="en-GB"/>
        </w:rPr>
        <w:t>10 billion in 2017/18) representing a nominal increase of 6</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7% and (1</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 xml:space="preserve">4% in </w:t>
      </w:r>
      <w:r w:rsidR="00C548D2">
        <w:rPr>
          <w:rFonts w:ascii="Times New Roman" w:eastAsia="Calibri" w:hAnsi="Times New Roman" w:cs="Times New Roman"/>
          <w:lang w:val="en-GB"/>
        </w:rPr>
        <w:t>real terms). Of this amount, R1,</w:t>
      </w:r>
      <w:r w:rsidRPr="001170E4">
        <w:rPr>
          <w:rFonts w:ascii="Times New Roman" w:eastAsia="Calibri" w:hAnsi="Times New Roman" w:cs="Times New Roman"/>
          <w:lang w:val="en-GB"/>
        </w:rPr>
        <w:t>52 billion is assigned to provinces and municipalities and is allocated as follows:</w:t>
      </w:r>
      <w:r w:rsidRPr="001170E4">
        <w:rPr>
          <w:rFonts w:ascii="Times New Roman" w:eastAsia="Calibri" w:hAnsi="Times New Roman" w:cs="Times New Roman"/>
          <w:vertAlign w:val="superscript"/>
          <w:lang w:val="en-GB"/>
        </w:rPr>
        <w:footnoteReference w:id="22"/>
      </w:r>
    </w:p>
    <w:p w14:paraId="0B697A3A" w14:textId="77777777" w:rsidR="001170E4" w:rsidRPr="001170E4" w:rsidRDefault="00C548D2" w:rsidP="00B41D07">
      <w:pPr>
        <w:numPr>
          <w:ilvl w:val="0"/>
          <w:numId w:val="12"/>
        </w:num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t>R720,</w:t>
      </w:r>
      <w:r w:rsidR="001170E4" w:rsidRPr="001170E4">
        <w:rPr>
          <w:rFonts w:ascii="Times New Roman" w:eastAsia="Calibri" w:hAnsi="Times New Roman" w:cs="Times New Roman"/>
          <w:lang w:val="en-GB"/>
        </w:rPr>
        <w:t xml:space="preserve">2 million is allocated to Non-profit institutions.  </w:t>
      </w:r>
    </w:p>
    <w:p w14:paraId="6882CBD3" w14:textId="77777777" w:rsidR="001170E4" w:rsidRPr="001170E4" w:rsidRDefault="00C548D2" w:rsidP="00B41D07">
      <w:pPr>
        <w:numPr>
          <w:ilvl w:val="0"/>
          <w:numId w:val="12"/>
        </w:num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t>R692,</w:t>
      </w:r>
      <w:r w:rsidR="001170E4" w:rsidRPr="001170E4">
        <w:rPr>
          <w:rFonts w:ascii="Times New Roman" w:eastAsia="Calibri" w:hAnsi="Times New Roman" w:cs="Times New Roman"/>
          <w:lang w:val="en-GB"/>
        </w:rPr>
        <w:t xml:space="preserve">9 million towards the </w:t>
      </w:r>
      <w:r w:rsidR="001170E4" w:rsidRPr="001170E4">
        <w:rPr>
          <w:rFonts w:ascii="Times New Roman" w:eastAsia="Calibri" w:hAnsi="Times New Roman" w:cs="Times New Roman"/>
          <w:i/>
          <w:lang w:val="en-GB"/>
        </w:rPr>
        <w:t>Integrated Grant for Municipalities</w:t>
      </w:r>
      <w:r w:rsidR="001170E4" w:rsidRPr="001170E4">
        <w:rPr>
          <w:rFonts w:ascii="Times New Roman" w:eastAsia="Calibri" w:hAnsi="Times New Roman" w:cs="Times New Roman"/>
          <w:lang w:val="en-GB"/>
        </w:rPr>
        <w:t xml:space="preserve">. </w:t>
      </w:r>
    </w:p>
    <w:p w14:paraId="7CD245CD" w14:textId="77777777" w:rsidR="001170E4" w:rsidRPr="001170E4" w:rsidRDefault="001170E4" w:rsidP="00B41D07">
      <w:pPr>
        <w:numPr>
          <w:ilvl w:val="0"/>
          <w:numId w:val="12"/>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R416</w:t>
      </w:r>
      <w:r w:rsidR="00C548D2">
        <w:rPr>
          <w:rFonts w:ascii="Times New Roman" w:eastAsia="Calibri" w:hAnsi="Times New Roman" w:cs="Times New Roman"/>
          <w:lang w:val="en-GB"/>
        </w:rPr>
        <w:t>,</w:t>
      </w:r>
      <w:r w:rsidRPr="001170E4">
        <w:rPr>
          <w:rFonts w:ascii="Times New Roman" w:eastAsia="Calibri" w:hAnsi="Times New Roman" w:cs="Times New Roman"/>
          <w:lang w:val="en-GB"/>
        </w:rPr>
        <w:t xml:space="preserve">0 million towards the </w:t>
      </w:r>
      <w:r w:rsidRPr="001170E4">
        <w:rPr>
          <w:rFonts w:ascii="Times New Roman" w:eastAsia="Calibri" w:hAnsi="Times New Roman" w:cs="Times New Roman"/>
          <w:i/>
          <w:lang w:val="en-GB"/>
        </w:rPr>
        <w:t>Integrated Grant for Provinces</w:t>
      </w:r>
      <w:r w:rsidRPr="001170E4">
        <w:rPr>
          <w:rFonts w:ascii="Times New Roman" w:eastAsia="Calibri" w:hAnsi="Times New Roman" w:cs="Times New Roman"/>
          <w:lang w:val="en-GB"/>
        </w:rPr>
        <w:t>.</w:t>
      </w:r>
    </w:p>
    <w:p w14:paraId="29CCB5BF" w14:textId="77777777" w:rsidR="001170E4" w:rsidRPr="001170E4" w:rsidRDefault="001170E4" w:rsidP="00B41D07">
      <w:pPr>
        <w:numPr>
          <w:ilvl w:val="0"/>
          <w:numId w:val="12"/>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R407</w:t>
      </w:r>
      <w:r w:rsidR="00C548D2">
        <w:rPr>
          <w:rFonts w:ascii="Times New Roman" w:eastAsia="Calibri" w:hAnsi="Times New Roman" w:cs="Times New Roman"/>
          <w:lang w:val="en-GB"/>
        </w:rPr>
        <w:t>,</w:t>
      </w:r>
      <w:r w:rsidRPr="001170E4">
        <w:rPr>
          <w:rFonts w:ascii="Times New Roman" w:eastAsia="Calibri" w:hAnsi="Times New Roman" w:cs="Times New Roman"/>
          <w:lang w:val="en-GB"/>
        </w:rPr>
        <w:t xml:space="preserve">9 million towards the </w:t>
      </w:r>
      <w:r w:rsidRPr="001170E4">
        <w:rPr>
          <w:rFonts w:ascii="Times New Roman" w:eastAsia="Calibri" w:hAnsi="Times New Roman" w:cs="Times New Roman"/>
          <w:i/>
          <w:lang w:val="en-GB"/>
        </w:rPr>
        <w:t>Social Sector Incentive Grant to Provinces</w:t>
      </w:r>
      <w:r w:rsidRPr="001170E4">
        <w:rPr>
          <w:rFonts w:ascii="Times New Roman" w:eastAsia="Calibri" w:hAnsi="Times New Roman" w:cs="Times New Roman"/>
          <w:lang w:val="en-GB"/>
        </w:rPr>
        <w:t>.</w:t>
      </w:r>
    </w:p>
    <w:p w14:paraId="2D6525FF" w14:textId="77777777" w:rsidR="001170E4" w:rsidRPr="001170E4" w:rsidRDefault="001170E4" w:rsidP="00F72F11">
      <w:pPr>
        <w:spacing w:after="0" w:line="360" w:lineRule="auto"/>
        <w:ind w:left="360"/>
        <w:jc w:val="both"/>
        <w:rPr>
          <w:rFonts w:ascii="Times New Roman" w:eastAsia="Calibri" w:hAnsi="Times New Roman" w:cs="Times New Roman"/>
          <w:lang w:val="en-GB"/>
        </w:rPr>
      </w:pPr>
    </w:p>
    <w:p w14:paraId="1C6F77AA"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Programme 3’s medium term goals are to:</w:t>
      </w:r>
      <w:r w:rsidRPr="001170E4">
        <w:rPr>
          <w:rFonts w:ascii="Times New Roman" w:eastAsia="Calibri" w:hAnsi="Times New Roman" w:cs="Times New Roman"/>
          <w:vertAlign w:val="superscript"/>
          <w:lang w:val="en-GB"/>
        </w:rPr>
        <w:footnoteReference w:id="23"/>
      </w:r>
    </w:p>
    <w:p w14:paraId="7B4E67EE" w14:textId="77777777" w:rsidR="001170E4" w:rsidRPr="001170E4" w:rsidRDefault="00C548D2" w:rsidP="00B41D07">
      <w:pPr>
        <w:numPr>
          <w:ilvl w:val="0"/>
          <w:numId w:val="20"/>
        </w:num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t>Monitor and report on 4,</w:t>
      </w:r>
      <w:r w:rsidR="001170E4" w:rsidRPr="001170E4">
        <w:rPr>
          <w:rFonts w:ascii="Times New Roman" w:eastAsia="Calibri" w:hAnsi="Times New Roman" w:cs="Times New Roman"/>
          <w:lang w:val="en-GB"/>
        </w:rPr>
        <w:t>4 million work opportunities to be created by Public Bodies implementing the EPWP.</w:t>
      </w:r>
    </w:p>
    <w:p w14:paraId="09F617FD" w14:textId="77777777" w:rsidR="001170E4" w:rsidRPr="001170E4" w:rsidRDefault="001170E4" w:rsidP="00B41D07">
      <w:pPr>
        <w:numPr>
          <w:ilvl w:val="0"/>
          <w:numId w:val="20"/>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Ensure Public Bodies report on the designated groups (with targets of 55 percent for women and youth respectively, and 2 percent for people with disabilities) in the programme.</w:t>
      </w:r>
    </w:p>
    <w:p w14:paraId="41030892" w14:textId="77777777" w:rsidR="001170E4" w:rsidRPr="001170E4" w:rsidRDefault="001170E4" w:rsidP="00B41D07">
      <w:pPr>
        <w:numPr>
          <w:ilvl w:val="0"/>
          <w:numId w:val="20"/>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Contract 400 non-profit organisations to implement non-State sector EPWP projects over the medium term. </w:t>
      </w:r>
    </w:p>
    <w:p w14:paraId="5ED101FC" w14:textId="0E3C8290" w:rsidR="001170E4" w:rsidRPr="001170E4" w:rsidRDefault="000B2BFD" w:rsidP="00F72F11">
      <w:p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A number of objectives are </w:t>
      </w:r>
      <w:r w:rsidR="001170E4" w:rsidRPr="001170E4">
        <w:rPr>
          <w:rFonts w:ascii="Times New Roman" w:eastAsia="Calibri" w:hAnsi="Times New Roman" w:cs="Times New Roman"/>
          <w:lang w:val="en-GB"/>
        </w:rPr>
        <w:t>outlined, including increasing the Department of Public Works’ participation in the implementation of Public Employment Programmes within the EPWP by March 2019:</w:t>
      </w:r>
      <w:r w:rsidR="001170E4" w:rsidRPr="001170E4">
        <w:rPr>
          <w:rFonts w:ascii="Times New Roman" w:eastAsia="Calibri" w:hAnsi="Times New Roman" w:cs="Times New Roman"/>
          <w:vertAlign w:val="superscript"/>
          <w:lang w:val="en-GB"/>
        </w:rPr>
        <w:footnoteReference w:id="24"/>
      </w:r>
    </w:p>
    <w:p w14:paraId="13461956" w14:textId="77777777" w:rsidR="001170E4" w:rsidRPr="001170E4" w:rsidRDefault="001170E4" w:rsidP="00B41D07">
      <w:pPr>
        <w:numPr>
          <w:ilvl w:val="0"/>
          <w:numId w:val="13"/>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lastRenderedPageBreak/>
        <w:t xml:space="preserve">Public Bodies report 1 455 840 work opportunities in the EPWP Reporting System. </w:t>
      </w:r>
    </w:p>
    <w:p w14:paraId="0346A43B" w14:textId="77777777" w:rsidR="001170E4" w:rsidRPr="001170E4" w:rsidRDefault="0002603D" w:rsidP="00B41D07">
      <w:pPr>
        <w:numPr>
          <w:ilvl w:val="0"/>
          <w:numId w:val="13"/>
        </w:num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t>Produce six</w:t>
      </w:r>
      <w:r w:rsidR="001170E4" w:rsidRPr="001170E4">
        <w:rPr>
          <w:rFonts w:ascii="Times New Roman" w:eastAsia="Calibri" w:hAnsi="Times New Roman" w:cs="Times New Roman"/>
          <w:lang w:val="en-GB"/>
        </w:rPr>
        <w:t xml:space="preserve"> Data Quality Assessment Reports.</w:t>
      </w:r>
    </w:p>
    <w:p w14:paraId="48171073" w14:textId="77777777" w:rsidR="001170E4" w:rsidRPr="001170E4" w:rsidRDefault="001170E4" w:rsidP="00B41D07">
      <w:pPr>
        <w:numPr>
          <w:ilvl w:val="0"/>
          <w:numId w:val="13"/>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Provide technical support to 290 public bodies participating in the EPWP. </w:t>
      </w:r>
    </w:p>
    <w:p w14:paraId="37DEDB48" w14:textId="77777777" w:rsidR="001170E4" w:rsidRPr="001170E4" w:rsidRDefault="001170E4" w:rsidP="00F72F11">
      <w:pPr>
        <w:spacing w:line="360" w:lineRule="auto"/>
        <w:jc w:val="both"/>
        <w:rPr>
          <w:rFonts w:ascii="Times New Roman" w:hAnsi="Times New Roman" w:cs="Times New Roman"/>
          <w:lang w:val="en-GB"/>
        </w:rPr>
      </w:pPr>
    </w:p>
    <w:p w14:paraId="7B8F18EB" w14:textId="77777777" w:rsidR="00BB1EE2" w:rsidRPr="001170E4" w:rsidRDefault="00BB1EE2" w:rsidP="00F72F11">
      <w:pPr>
        <w:pStyle w:val="Heading3"/>
        <w:spacing w:line="360" w:lineRule="auto"/>
        <w:rPr>
          <w:rFonts w:ascii="Times New Roman" w:hAnsi="Times New Roman"/>
          <w:i w:val="0"/>
          <w:color w:val="auto"/>
          <w:szCs w:val="22"/>
        </w:rPr>
      </w:pPr>
      <w:r w:rsidRPr="001170E4">
        <w:rPr>
          <w:rFonts w:ascii="Times New Roman" w:hAnsi="Times New Roman"/>
          <w:i w:val="0"/>
          <w:color w:val="auto"/>
          <w:szCs w:val="22"/>
        </w:rPr>
        <w:t>1.2.4 Programme 4: Property and Construction Industry Policy and Research</w:t>
      </w:r>
      <w:bookmarkEnd w:id="10"/>
      <w:bookmarkEnd w:id="11"/>
      <w:r w:rsidRPr="001170E4">
        <w:rPr>
          <w:rStyle w:val="FootnoteReference"/>
          <w:rFonts w:ascii="Times New Roman" w:hAnsi="Times New Roman"/>
          <w:b w:val="0"/>
          <w:bCs/>
          <w:i w:val="0"/>
          <w:color w:val="000000" w:themeColor="text1"/>
          <w:szCs w:val="22"/>
        </w:rPr>
        <w:footnoteReference w:id="25"/>
      </w:r>
    </w:p>
    <w:p w14:paraId="3BBBDF51" w14:textId="77777777" w:rsidR="00BB1EE2" w:rsidRPr="001170E4" w:rsidRDefault="00BB1EE2" w:rsidP="00F72F11">
      <w:pPr>
        <w:spacing w:line="360" w:lineRule="auto"/>
        <w:jc w:val="both"/>
        <w:rPr>
          <w:rFonts w:ascii="Times New Roman" w:hAnsi="Times New Roman" w:cs="Times New Roman"/>
          <w:b/>
          <w:bCs/>
        </w:rPr>
      </w:pPr>
    </w:p>
    <w:p w14:paraId="3172E84A" w14:textId="77777777" w:rsidR="00BB1EE2" w:rsidRPr="001170E4" w:rsidRDefault="00BB1EE2" w:rsidP="00F72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bCs/>
        </w:rPr>
      </w:pPr>
      <w:r w:rsidRPr="001170E4">
        <w:rPr>
          <w:rFonts w:ascii="Times New Roman" w:hAnsi="Times New Roman" w:cs="Times New Roman"/>
          <w:b/>
          <w:bCs/>
        </w:rPr>
        <w:t>Programme 4 promotes the growth and transformation of the construction and property industries, as well as a standardised approach and best practice in construction and immovable asset management in the public sector.</w:t>
      </w:r>
    </w:p>
    <w:p w14:paraId="20462BC3" w14:textId="77777777" w:rsidR="00BB1EE2" w:rsidRPr="001170E4" w:rsidRDefault="00BB1EE2" w:rsidP="00F72F11">
      <w:pPr>
        <w:spacing w:line="360" w:lineRule="auto"/>
        <w:jc w:val="both"/>
        <w:rPr>
          <w:rFonts w:ascii="Times New Roman" w:hAnsi="Times New Roman" w:cs="Times New Roman"/>
        </w:rPr>
      </w:pPr>
    </w:p>
    <w:p w14:paraId="3F099941"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Programme 4’s budget nominally inc</w:t>
      </w:r>
      <w:r w:rsidR="00C548D2">
        <w:rPr>
          <w:rFonts w:ascii="Times New Roman" w:eastAsia="Calibri" w:hAnsi="Times New Roman" w:cs="Times New Roman"/>
          <w:lang w:val="en-GB"/>
        </w:rPr>
        <w:t>reases from an allocation of R4</w:t>
      </w:r>
      <w:r w:rsidR="001E1124">
        <w:rPr>
          <w:rFonts w:ascii="Times New Roman" w:eastAsia="Calibri" w:hAnsi="Times New Roman" w:cs="Times New Roman"/>
          <w:lang w:val="en-GB"/>
        </w:rPr>
        <w:t xml:space="preserve"> billion in 2017/18 to R4,</w:t>
      </w:r>
      <w:r w:rsidRPr="001170E4">
        <w:rPr>
          <w:rFonts w:ascii="Times New Roman" w:eastAsia="Calibri" w:hAnsi="Times New Roman" w:cs="Times New Roman"/>
          <w:lang w:val="en-GB"/>
        </w:rPr>
        <w:t>25 billion in 2018/19,</w:t>
      </w:r>
      <w:r w:rsidRPr="001170E4">
        <w:rPr>
          <w:rFonts w:ascii="Times New Roman" w:eastAsia="Calibri" w:hAnsi="Times New Roman" w:cs="Times New Roman"/>
          <w:vertAlign w:val="superscript"/>
          <w:lang w:val="en-GB"/>
        </w:rPr>
        <w:footnoteReference w:id="26"/>
      </w:r>
      <w:r w:rsidRPr="001170E4">
        <w:rPr>
          <w:rFonts w:ascii="Times New Roman" w:eastAsia="Calibri" w:hAnsi="Times New Roman" w:cs="Times New Roman"/>
          <w:lang w:val="en-GB"/>
        </w:rPr>
        <w:t xml:space="preserve"> </w:t>
      </w:r>
      <w:r w:rsidRPr="001170E4">
        <w:rPr>
          <w:rFonts w:ascii="Times New Roman" w:eastAsia="Calibri" w:hAnsi="Times New Roman" w:cs="Times New Roman"/>
          <w:bCs/>
          <w:lang w:val="en-GB"/>
        </w:rPr>
        <w:t>which proportionally represents 57</w:t>
      </w:r>
      <w:r w:rsidR="009E2F1A">
        <w:rPr>
          <w:rFonts w:ascii="Times New Roman" w:eastAsia="Calibri" w:hAnsi="Times New Roman" w:cs="Times New Roman"/>
          <w:bCs/>
          <w:lang w:val="en-GB"/>
        </w:rPr>
        <w:t>,</w:t>
      </w:r>
      <w:r w:rsidRPr="001170E4">
        <w:rPr>
          <w:rFonts w:ascii="Times New Roman" w:eastAsia="Calibri" w:hAnsi="Times New Roman" w:cs="Times New Roman"/>
          <w:bCs/>
          <w:lang w:val="en-GB"/>
        </w:rPr>
        <w:t>0</w:t>
      </w:r>
      <w:r w:rsidRPr="001170E4">
        <w:rPr>
          <w:rFonts w:ascii="Times New Roman" w:eastAsia="Calibri" w:hAnsi="Times New Roman" w:cs="Times New Roman"/>
          <w:lang w:val="en-GB"/>
        </w:rPr>
        <w:t xml:space="preserve">% </w:t>
      </w:r>
      <w:r w:rsidRPr="001170E4">
        <w:rPr>
          <w:rFonts w:ascii="Times New Roman" w:eastAsia="Calibri" w:hAnsi="Times New Roman" w:cs="Times New Roman"/>
          <w:bCs/>
          <w:lang w:val="en-GB"/>
        </w:rPr>
        <w:t xml:space="preserve">of the overall departmental budget. This allocation </w:t>
      </w:r>
      <w:r w:rsidRPr="001170E4">
        <w:rPr>
          <w:rFonts w:ascii="Times New Roman" w:eastAsia="Calibri" w:hAnsi="Times New Roman" w:cs="Times New Roman"/>
          <w:lang w:val="en-GB"/>
        </w:rPr>
        <w:t>constitutes an increase of 6</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2% in nominal terms and 0</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7% in real terms.</w:t>
      </w:r>
    </w:p>
    <w:p w14:paraId="6E491C0A" w14:textId="77777777" w:rsidR="001170E4" w:rsidRPr="001170E4" w:rsidRDefault="001170E4" w:rsidP="00F72F11">
      <w:pPr>
        <w:spacing w:after="0" w:line="360" w:lineRule="auto"/>
        <w:jc w:val="both"/>
        <w:rPr>
          <w:rFonts w:ascii="Times New Roman" w:eastAsia="Calibri" w:hAnsi="Times New Roman" w:cs="Times New Roman"/>
          <w:lang w:val="en-GB"/>
        </w:rPr>
      </w:pPr>
    </w:p>
    <w:p w14:paraId="05C5AC24"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Programme 4 consists of </w:t>
      </w:r>
      <w:r w:rsidR="001E1124">
        <w:rPr>
          <w:rFonts w:ascii="Times New Roman" w:eastAsia="Calibri" w:hAnsi="Times New Roman" w:cs="Times New Roman"/>
          <w:lang w:val="en-GB"/>
        </w:rPr>
        <w:t>eight</w:t>
      </w:r>
      <w:r w:rsidRPr="001170E4">
        <w:rPr>
          <w:rFonts w:ascii="Times New Roman" w:eastAsia="Calibri" w:hAnsi="Times New Roman" w:cs="Times New Roman"/>
          <w:lang w:val="en-GB"/>
        </w:rPr>
        <w:t xml:space="preserve"> sub-programmes,</w:t>
      </w:r>
      <w:r w:rsidRPr="001170E4">
        <w:rPr>
          <w:rFonts w:ascii="Times New Roman" w:eastAsia="Calibri" w:hAnsi="Times New Roman" w:cs="Times New Roman"/>
          <w:vertAlign w:val="superscript"/>
          <w:lang w:val="en-GB"/>
        </w:rPr>
        <w:footnoteReference w:id="27"/>
      </w:r>
      <w:r w:rsidRPr="001170E4">
        <w:rPr>
          <w:rFonts w:ascii="Times New Roman" w:eastAsia="Calibri" w:hAnsi="Times New Roman" w:cs="Times New Roman"/>
          <w:lang w:val="en-GB"/>
        </w:rPr>
        <w:t xml:space="preserve"> including the </w:t>
      </w:r>
      <w:r w:rsidRPr="001170E4">
        <w:rPr>
          <w:rFonts w:ascii="Times New Roman" w:eastAsia="Calibri" w:hAnsi="Times New Roman" w:cs="Times New Roman"/>
          <w:i/>
          <w:lang w:val="en-GB"/>
        </w:rPr>
        <w:t>Property Management Trading Entity</w:t>
      </w:r>
      <w:r w:rsidRPr="001170E4">
        <w:rPr>
          <w:rFonts w:ascii="Times New Roman" w:eastAsia="Calibri" w:hAnsi="Times New Roman" w:cs="Times New Roman"/>
          <w:lang w:val="en-GB"/>
        </w:rPr>
        <w:t xml:space="preserve"> (PMTE), which receives the </w:t>
      </w:r>
      <w:r w:rsidR="00CE1CB4">
        <w:rPr>
          <w:rFonts w:ascii="Times New Roman" w:eastAsia="Calibri" w:hAnsi="Times New Roman" w:cs="Times New Roman"/>
          <w:lang w:val="en-GB"/>
        </w:rPr>
        <w:t>bulk of the allocation, with R4,</w:t>
      </w:r>
      <w:r w:rsidRPr="001170E4">
        <w:rPr>
          <w:rFonts w:ascii="Times New Roman" w:eastAsia="Calibri" w:hAnsi="Times New Roman" w:cs="Times New Roman"/>
          <w:lang w:val="en-GB"/>
        </w:rPr>
        <w:t xml:space="preserve">01 </w:t>
      </w:r>
      <w:r w:rsidR="00CE1CB4">
        <w:rPr>
          <w:rFonts w:ascii="Times New Roman" w:eastAsia="Calibri" w:hAnsi="Times New Roman" w:cs="Times New Roman"/>
          <w:lang w:val="en-GB"/>
        </w:rPr>
        <w:t>billion for 2018/19 from the R3,</w:t>
      </w:r>
      <w:r w:rsidRPr="001170E4">
        <w:rPr>
          <w:rFonts w:ascii="Times New Roman" w:eastAsia="Calibri" w:hAnsi="Times New Roman" w:cs="Times New Roman"/>
          <w:lang w:val="en-GB"/>
        </w:rPr>
        <w:t xml:space="preserve">68 billion of the previous year. This </w:t>
      </w:r>
      <w:r w:rsidR="00CE1CB4">
        <w:rPr>
          <w:rFonts w:ascii="Times New Roman" w:eastAsia="Calibri" w:hAnsi="Times New Roman" w:cs="Times New Roman"/>
          <w:lang w:val="en-GB"/>
        </w:rPr>
        <w:t>constitutes an increase of R327,</w:t>
      </w:r>
      <w:r w:rsidRPr="001170E4">
        <w:rPr>
          <w:rFonts w:ascii="Times New Roman" w:eastAsia="Calibri" w:hAnsi="Times New Roman" w:cs="Times New Roman"/>
          <w:lang w:val="en-GB"/>
        </w:rPr>
        <w:t>2 mi</w:t>
      </w:r>
      <w:r w:rsidR="00CE1CB4">
        <w:rPr>
          <w:rFonts w:ascii="Times New Roman" w:eastAsia="Calibri" w:hAnsi="Times New Roman" w:cs="Times New Roman"/>
          <w:lang w:val="en-GB"/>
        </w:rPr>
        <w:t>llion in nominal terms and R118,</w:t>
      </w:r>
      <w:r w:rsidRPr="001170E4">
        <w:rPr>
          <w:rFonts w:ascii="Times New Roman" w:eastAsia="Calibri" w:hAnsi="Times New Roman" w:cs="Times New Roman"/>
          <w:lang w:val="en-GB"/>
        </w:rPr>
        <w:t>2 million in real terms.</w:t>
      </w:r>
    </w:p>
    <w:p w14:paraId="0B6981FA"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 </w:t>
      </w:r>
    </w:p>
    <w:p w14:paraId="69ABFD54"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The PMTE was established in April 2006, as part of a longer-term reform programme to provide improved property management services to Client Departments. With the establishment of the PMTE, all accommodation-related costs were devolved to Client Departments. In this regard, it has been issuing invoices and collecting user charges from Clients on a quarterly basis, based on amounts devolved to them. In March 2015, the Department operationalised the PMTE, which resulted in it being shifted (along with its functions), to Programme 4.   </w:t>
      </w:r>
    </w:p>
    <w:p w14:paraId="0622717C" w14:textId="77777777" w:rsidR="001170E4" w:rsidRPr="001170E4" w:rsidRDefault="001170E4" w:rsidP="00F72F11">
      <w:pPr>
        <w:spacing w:after="0" w:line="360" w:lineRule="auto"/>
        <w:jc w:val="both"/>
        <w:rPr>
          <w:rFonts w:ascii="Times New Roman" w:eastAsia="Calibri" w:hAnsi="Times New Roman" w:cs="Times New Roman"/>
          <w:lang w:val="en-GB"/>
        </w:rPr>
      </w:pPr>
    </w:p>
    <w:p w14:paraId="72686016"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A large portion of the budget for 2018/19 is allocated to transfers an</w:t>
      </w:r>
      <w:r w:rsidR="00CE1CB4">
        <w:rPr>
          <w:rFonts w:ascii="Times New Roman" w:eastAsia="Calibri" w:hAnsi="Times New Roman" w:cs="Times New Roman"/>
          <w:lang w:val="en-GB"/>
        </w:rPr>
        <w:t>d subsidies, which amount to R4,</w:t>
      </w:r>
      <w:r w:rsidRPr="001170E4">
        <w:rPr>
          <w:rFonts w:ascii="Times New Roman" w:eastAsia="Calibri" w:hAnsi="Times New Roman" w:cs="Times New Roman"/>
          <w:lang w:val="en-GB"/>
        </w:rPr>
        <w:t>22 billion and accounts for 99</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3% of the programme budget. This constitutes an increase of R249</w:t>
      </w:r>
      <w:r w:rsidR="00CE1CB4">
        <w:rPr>
          <w:rFonts w:ascii="Times New Roman" w:eastAsia="Calibri" w:hAnsi="Times New Roman" w:cs="Times New Roman"/>
          <w:lang w:val="en-GB"/>
        </w:rPr>
        <w:t>,</w:t>
      </w:r>
      <w:r w:rsidRPr="001170E4">
        <w:rPr>
          <w:rFonts w:ascii="Times New Roman" w:eastAsia="Calibri" w:hAnsi="Times New Roman" w:cs="Times New Roman"/>
          <w:lang w:val="en-GB"/>
        </w:rPr>
        <w:t>6 million (0</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 xml:space="preserve">8% in real terms) </w:t>
      </w:r>
      <w:r w:rsidR="00CE1CB4">
        <w:rPr>
          <w:rFonts w:ascii="Times New Roman" w:eastAsia="Calibri" w:hAnsi="Times New Roman" w:cs="Times New Roman"/>
          <w:lang w:val="en-GB"/>
        </w:rPr>
        <w:t>from the total allocation of R3,</w:t>
      </w:r>
      <w:r w:rsidRPr="001170E4">
        <w:rPr>
          <w:rFonts w:ascii="Times New Roman" w:eastAsia="Calibri" w:hAnsi="Times New Roman" w:cs="Times New Roman"/>
          <w:lang w:val="en-GB"/>
        </w:rPr>
        <w:t xml:space="preserve">97 billion in 2017/18. </w:t>
      </w:r>
    </w:p>
    <w:p w14:paraId="293B151E" w14:textId="77777777" w:rsidR="001170E4" w:rsidRPr="001170E4" w:rsidRDefault="001170E4" w:rsidP="00F72F11">
      <w:pPr>
        <w:spacing w:after="0" w:line="360" w:lineRule="auto"/>
        <w:jc w:val="both"/>
        <w:rPr>
          <w:rFonts w:ascii="Times New Roman" w:eastAsia="Calibri" w:hAnsi="Times New Roman" w:cs="Times New Roman"/>
          <w:lang w:val="en-GB"/>
        </w:rPr>
      </w:pPr>
    </w:p>
    <w:p w14:paraId="5AA5F3BE"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The sub-programmes below received the following allocations for 2018/19:</w:t>
      </w:r>
    </w:p>
    <w:p w14:paraId="2B84A3AE" w14:textId="77777777" w:rsidR="001170E4" w:rsidRPr="001170E4" w:rsidRDefault="001170E4" w:rsidP="00B41D07">
      <w:pPr>
        <w:numPr>
          <w:ilvl w:val="0"/>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Departmental Agencies and Accounts (non</w:t>
      </w:r>
      <w:r w:rsidR="00CE1CB4">
        <w:rPr>
          <w:rFonts w:ascii="Times New Roman" w:eastAsia="Calibri" w:hAnsi="Times New Roman" w:cs="Times New Roman"/>
          <w:lang w:val="en-GB"/>
        </w:rPr>
        <w:t>-business entities) receives R4,</w:t>
      </w:r>
      <w:r w:rsidRPr="001170E4">
        <w:rPr>
          <w:rFonts w:ascii="Times New Roman" w:eastAsia="Calibri" w:hAnsi="Times New Roman" w:cs="Times New Roman"/>
          <w:lang w:val="en-GB"/>
        </w:rPr>
        <w:t>2 billion w</w:t>
      </w:r>
      <w:r w:rsidR="00CE1CB4">
        <w:rPr>
          <w:rFonts w:ascii="Times New Roman" w:eastAsia="Calibri" w:hAnsi="Times New Roman" w:cs="Times New Roman"/>
          <w:lang w:val="en-GB"/>
        </w:rPr>
        <w:t>hich is an increase from the R3,</w:t>
      </w:r>
      <w:r w:rsidRPr="001170E4">
        <w:rPr>
          <w:rFonts w:ascii="Times New Roman" w:eastAsia="Calibri" w:hAnsi="Times New Roman" w:cs="Times New Roman"/>
          <w:lang w:val="en-GB"/>
        </w:rPr>
        <w:t>8 billion received in 2017/18, of which:</w:t>
      </w:r>
    </w:p>
    <w:p w14:paraId="1A881405" w14:textId="77777777" w:rsidR="001170E4" w:rsidRPr="001170E4" w:rsidRDefault="001170E4" w:rsidP="00F72F11">
      <w:pPr>
        <w:spacing w:after="0" w:line="360" w:lineRule="auto"/>
        <w:jc w:val="both"/>
        <w:rPr>
          <w:rFonts w:ascii="Times New Roman" w:eastAsia="Calibri" w:hAnsi="Times New Roman" w:cs="Times New Roman"/>
          <w:lang w:val="en-GB"/>
        </w:rPr>
      </w:pPr>
    </w:p>
    <w:p w14:paraId="7174B411" w14:textId="77777777" w:rsidR="001170E4" w:rsidRPr="001170E4" w:rsidRDefault="001170E4" w:rsidP="00B41D07">
      <w:pPr>
        <w:numPr>
          <w:ilvl w:val="1"/>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Agrémen</w:t>
      </w:r>
      <w:r w:rsidR="00CE1CB4">
        <w:rPr>
          <w:rFonts w:ascii="Times New Roman" w:eastAsia="Calibri" w:hAnsi="Times New Roman" w:cs="Times New Roman"/>
          <w:lang w:val="en-GB"/>
        </w:rPr>
        <w:t>t South Africa is allocated R30</w:t>
      </w:r>
      <w:r w:rsidRPr="001170E4">
        <w:rPr>
          <w:rFonts w:ascii="Times New Roman" w:eastAsia="Calibri" w:hAnsi="Times New Roman" w:cs="Times New Roman"/>
          <w:lang w:val="en-GB"/>
        </w:rPr>
        <w:t xml:space="preserve"> million, </w:t>
      </w:r>
      <w:bookmarkStart w:id="12" w:name="_Hlk510561646"/>
      <w:r w:rsidR="00CE1CB4">
        <w:rPr>
          <w:rFonts w:ascii="Times New Roman" w:eastAsia="Calibri" w:hAnsi="Times New Roman" w:cs="Times New Roman"/>
          <w:lang w:val="en-GB"/>
        </w:rPr>
        <w:t>(an increase of R1</w:t>
      </w:r>
      <w:r w:rsidRPr="001170E4">
        <w:rPr>
          <w:rFonts w:ascii="Times New Roman" w:eastAsia="Calibri" w:hAnsi="Times New Roman" w:cs="Times New Roman"/>
          <w:lang w:val="en-GB"/>
        </w:rPr>
        <w:t xml:space="preserve"> million) </w:t>
      </w:r>
      <w:bookmarkEnd w:id="12"/>
      <w:r w:rsidRPr="001170E4">
        <w:rPr>
          <w:rFonts w:ascii="Times New Roman" w:eastAsia="Calibri" w:hAnsi="Times New Roman" w:cs="Times New Roman"/>
          <w:lang w:val="en-GB"/>
        </w:rPr>
        <w:t>from the R29 million allocation of 2017/18.</w:t>
      </w:r>
    </w:p>
    <w:p w14:paraId="252CEF7B" w14:textId="77777777" w:rsidR="001170E4" w:rsidRPr="001170E4" w:rsidRDefault="001170E4" w:rsidP="00B41D07">
      <w:pPr>
        <w:numPr>
          <w:ilvl w:val="1"/>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i/>
          <w:lang w:val="en-GB"/>
        </w:rPr>
        <w:t>Construction Industry Development Board</w:t>
      </w:r>
      <w:r w:rsidRPr="001170E4">
        <w:rPr>
          <w:rFonts w:ascii="Times New Roman" w:eastAsia="Calibri" w:hAnsi="Times New Roman" w:cs="Times New Roman"/>
          <w:lang w:val="en-GB"/>
        </w:rPr>
        <w:t xml:space="preserve"> (cidb) is allocated R</w:t>
      </w:r>
      <w:r w:rsidR="00CE1CB4">
        <w:rPr>
          <w:rFonts w:ascii="Times New Roman" w:eastAsia="Calibri" w:hAnsi="Times New Roman" w:cs="Times New Roman"/>
          <w:lang w:val="en-GB"/>
        </w:rPr>
        <w:t>73,3 million, (a decrease of R1,</w:t>
      </w:r>
      <w:r w:rsidRPr="001170E4">
        <w:rPr>
          <w:rFonts w:ascii="Times New Roman" w:eastAsia="Calibri" w:hAnsi="Times New Roman" w:cs="Times New Roman"/>
          <w:lang w:val="en-GB"/>
        </w:rPr>
        <w:t>7 million from R75 million) and 7</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1% in real terms from the previous year.</w:t>
      </w:r>
    </w:p>
    <w:p w14:paraId="47EC0C89" w14:textId="77777777" w:rsidR="001170E4" w:rsidRPr="001170E4" w:rsidRDefault="001170E4" w:rsidP="00B41D07">
      <w:pPr>
        <w:numPr>
          <w:ilvl w:val="1"/>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i/>
          <w:lang w:val="en-GB"/>
        </w:rPr>
        <w:t>Council for the Built Environment</w:t>
      </w:r>
      <w:r w:rsidRPr="001170E4">
        <w:rPr>
          <w:rFonts w:ascii="Times New Roman" w:eastAsia="Calibri" w:hAnsi="Times New Roman" w:cs="Times New Roman"/>
          <w:lang w:val="en-GB"/>
        </w:rPr>
        <w:t xml:space="preserve"> (CBE) receives an allocation of R5</w:t>
      </w:r>
      <w:r w:rsidR="00CE1CB4">
        <w:rPr>
          <w:rFonts w:ascii="Times New Roman" w:eastAsia="Calibri" w:hAnsi="Times New Roman" w:cs="Times New Roman"/>
          <w:lang w:val="en-GB"/>
        </w:rPr>
        <w:t>0,1 million, (an increase of R1,</w:t>
      </w:r>
      <w:r w:rsidRPr="001170E4">
        <w:rPr>
          <w:rFonts w:ascii="Times New Roman" w:eastAsia="Calibri" w:hAnsi="Times New Roman" w:cs="Times New Roman"/>
          <w:lang w:val="en-GB"/>
        </w:rPr>
        <w:t>5 million from R48</w:t>
      </w:r>
      <w:r w:rsidR="00CE1CB4">
        <w:rPr>
          <w:rFonts w:ascii="Times New Roman" w:eastAsia="Calibri" w:hAnsi="Times New Roman" w:cs="Times New Roman"/>
          <w:lang w:val="en-GB"/>
        </w:rPr>
        <w:t>,</w:t>
      </w:r>
      <w:r w:rsidRPr="001170E4">
        <w:rPr>
          <w:rFonts w:ascii="Times New Roman" w:eastAsia="Calibri" w:hAnsi="Times New Roman" w:cs="Times New Roman"/>
          <w:lang w:val="en-GB"/>
        </w:rPr>
        <w:t>6 million) and 2</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3% in real terms.</w:t>
      </w:r>
    </w:p>
    <w:p w14:paraId="45A9CF37" w14:textId="77777777" w:rsidR="001170E4" w:rsidRPr="001170E4" w:rsidRDefault="001170E4" w:rsidP="00B41D07">
      <w:pPr>
        <w:numPr>
          <w:ilvl w:val="1"/>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i/>
          <w:lang w:val="en-GB"/>
        </w:rPr>
        <w:t>Construction, Education and Training Authority</w:t>
      </w:r>
      <w:r w:rsidRPr="001170E4">
        <w:rPr>
          <w:rFonts w:ascii="Times New Roman" w:eastAsia="Calibri" w:hAnsi="Times New Roman" w:cs="Times New Roman"/>
          <w:lang w:val="en-GB"/>
        </w:rPr>
        <w:t xml:space="preserve"> (CETA) receives an allocation of R500 000, which remains unchanged from the amount received in 2016/17. While nominally unchanged, it constitutes decrease of 5</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 xml:space="preserve">2% in real terms.  </w:t>
      </w:r>
    </w:p>
    <w:p w14:paraId="1E7F5CF4" w14:textId="77777777" w:rsidR="001170E4" w:rsidRPr="001170E4" w:rsidRDefault="001170E4" w:rsidP="00B41D07">
      <w:pPr>
        <w:numPr>
          <w:ilvl w:val="1"/>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Property Management Trading Entity (PMTE) (as noted abov</w:t>
      </w:r>
      <w:r w:rsidR="00CE1CB4">
        <w:rPr>
          <w:rFonts w:ascii="Times New Roman" w:eastAsia="Calibri" w:hAnsi="Times New Roman" w:cs="Times New Roman"/>
          <w:lang w:val="en-GB"/>
        </w:rPr>
        <w:t>e) receives an allocation of R4,</w:t>
      </w:r>
      <w:r w:rsidRPr="001170E4">
        <w:rPr>
          <w:rFonts w:ascii="Times New Roman" w:eastAsia="Calibri" w:hAnsi="Times New Roman" w:cs="Times New Roman"/>
          <w:lang w:val="en-GB"/>
        </w:rPr>
        <w:t>01 billion, an increase of 3</w:t>
      </w:r>
      <w:r w:rsidR="009E2F1A">
        <w:rPr>
          <w:rFonts w:ascii="Times New Roman" w:eastAsia="Calibri" w:hAnsi="Times New Roman" w:cs="Times New Roman"/>
          <w:lang w:val="en-GB"/>
        </w:rPr>
        <w:t>,</w:t>
      </w:r>
      <w:r w:rsidRPr="001170E4">
        <w:rPr>
          <w:rFonts w:ascii="Times New Roman" w:eastAsia="Calibri" w:hAnsi="Times New Roman" w:cs="Times New Roman"/>
          <w:lang w:val="en-GB"/>
        </w:rPr>
        <w:t xml:space="preserve">2% in real terms.  </w:t>
      </w:r>
    </w:p>
    <w:p w14:paraId="171DCCAB" w14:textId="77777777" w:rsidR="001170E4" w:rsidRPr="001170E4" w:rsidRDefault="001170E4" w:rsidP="00F72F11">
      <w:pPr>
        <w:spacing w:after="0" w:line="360" w:lineRule="auto"/>
        <w:ind w:left="720"/>
        <w:jc w:val="both"/>
        <w:rPr>
          <w:rFonts w:ascii="Times New Roman" w:eastAsia="Calibri" w:hAnsi="Times New Roman" w:cs="Times New Roman"/>
          <w:lang w:val="en-GB"/>
        </w:rPr>
      </w:pPr>
    </w:p>
    <w:p w14:paraId="6D416F4B"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The Department also made a transfer</w:t>
      </w:r>
      <w:r w:rsidR="00CD7836" w:rsidRPr="001170E4">
        <w:rPr>
          <w:rFonts w:ascii="Times New Roman" w:eastAsia="Calibri" w:hAnsi="Times New Roman" w:cs="Times New Roman"/>
          <w:vertAlign w:val="superscript"/>
          <w:lang w:val="en-GB"/>
        </w:rPr>
        <w:footnoteReference w:id="28"/>
      </w:r>
      <w:r w:rsidRPr="001170E4">
        <w:rPr>
          <w:rFonts w:ascii="Times New Roman" w:eastAsia="Calibri" w:hAnsi="Times New Roman" w:cs="Times New Roman"/>
          <w:lang w:val="en-GB"/>
        </w:rPr>
        <w:t xml:space="preserve"> to the:</w:t>
      </w:r>
    </w:p>
    <w:p w14:paraId="025792C6" w14:textId="77777777" w:rsidR="001170E4" w:rsidRPr="001170E4" w:rsidRDefault="001170E4" w:rsidP="00B41D07">
      <w:pPr>
        <w:numPr>
          <w:ilvl w:val="0"/>
          <w:numId w:val="21"/>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Independent Development Trus</w:t>
      </w:r>
      <w:r w:rsidR="00CE1CB4">
        <w:rPr>
          <w:rFonts w:ascii="Times New Roman" w:eastAsia="Calibri" w:hAnsi="Times New Roman" w:cs="Times New Roman"/>
          <w:lang w:val="en-GB"/>
        </w:rPr>
        <w:t>t receives an allocation of R28,4 million, (a decline of R82,</w:t>
      </w:r>
      <w:r w:rsidRPr="001170E4">
        <w:rPr>
          <w:rFonts w:ascii="Times New Roman" w:eastAsia="Calibri" w:hAnsi="Times New Roman" w:cs="Times New Roman"/>
          <w:lang w:val="en-GB"/>
        </w:rPr>
        <w:t>7 million) from the R111 million allocation of 2017/18.</w:t>
      </w:r>
    </w:p>
    <w:p w14:paraId="74A67996" w14:textId="77777777" w:rsidR="001170E4" w:rsidRPr="001170E4" w:rsidRDefault="001170E4" w:rsidP="00F72F11">
      <w:pPr>
        <w:spacing w:after="0" w:line="360" w:lineRule="auto"/>
        <w:jc w:val="both"/>
        <w:rPr>
          <w:rFonts w:ascii="Times New Roman" w:eastAsia="Calibri" w:hAnsi="Times New Roman" w:cs="Times New Roman"/>
          <w:lang w:val="en-GB"/>
        </w:rPr>
      </w:pPr>
    </w:p>
    <w:p w14:paraId="31937086"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The </w:t>
      </w:r>
      <w:r w:rsidRPr="001170E4">
        <w:rPr>
          <w:rFonts w:ascii="Times New Roman" w:eastAsia="Calibri" w:hAnsi="Times New Roman" w:cs="Times New Roman"/>
          <w:i/>
          <w:lang w:val="en-GB"/>
        </w:rPr>
        <w:t xml:space="preserve">Construction Policy Development </w:t>
      </w:r>
      <w:r w:rsidRPr="001170E4">
        <w:rPr>
          <w:rFonts w:ascii="Times New Roman" w:eastAsia="Calibri" w:hAnsi="Times New Roman" w:cs="Times New Roman"/>
          <w:lang w:val="en-GB"/>
        </w:rPr>
        <w:t>sub-programm</w:t>
      </w:r>
      <w:r w:rsidR="00073247">
        <w:rPr>
          <w:rFonts w:ascii="Times New Roman" w:eastAsia="Calibri" w:hAnsi="Times New Roman" w:cs="Times New Roman"/>
          <w:lang w:val="en-GB"/>
        </w:rPr>
        <w:t>e receives an allocation of R46,</w:t>
      </w:r>
      <w:r w:rsidRPr="001170E4">
        <w:rPr>
          <w:rFonts w:ascii="Times New Roman" w:eastAsia="Calibri" w:hAnsi="Times New Roman" w:cs="Times New Roman"/>
          <w:lang w:val="en-GB"/>
        </w:rPr>
        <w:t>4 million in 2018/19, which is an increase of R400 000 or 0</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9% in nominal terms, but (a decrease of 4</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 xml:space="preserve">4% in real terms). The </w:t>
      </w:r>
      <w:r w:rsidRPr="001170E4">
        <w:rPr>
          <w:rFonts w:ascii="Times New Roman" w:eastAsia="Calibri" w:hAnsi="Times New Roman" w:cs="Times New Roman"/>
          <w:i/>
          <w:lang w:val="en-GB"/>
        </w:rPr>
        <w:t>Property Policy Development Programme,</w:t>
      </w:r>
      <w:r w:rsidR="00CE1CB4">
        <w:rPr>
          <w:rFonts w:ascii="Times New Roman" w:eastAsia="Calibri" w:hAnsi="Times New Roman" w:cs="Times New Roman"/>
          <w:lang w:val="en-GB"/>
        </w:rPr>
        <w:t xml:space="preserve"> receives an allocation of R14,</w:t>
      </w:r>
      <w:r w:rsidRPr="001170E4">
        <w:rPr>
          <w:rFonts w:ascii="Times New Roman" w:eastAsia="Calibri" w:hAnsi="Times New Roman" w:cs="Times New Roman"/>
          <w:lang w:val="en-GB"/>
        </w:rPr>
        <w:t>6 mil</w:t>
      </w:r>
      <w:r w:rsidR="00CE1CB4">
        <w:rPr>
          <w:rFonts w:ascii="Times New Roman" w:eastAsia="Calibri" w:hAnsi="Times New Roman" w:cs="Times New Roman"/>
          <w:lang w:val="en-GB"/>
        </w:rPr>
        <w:t>lion, which is a decrease of R1,1 million, and 11,</w:t>
      </w:r>
      <w:r w:rsidRPr="001170E4">
        <w:rPr>
          <w:rFonts w:ascii="Times New Roman" w:eastAsia="Calibri" w:hAnsi="Times New Roman" w:cs="Times New Roman"/>
          <w:lang w:val="en-GB"/>
        </w:rPr>
        <w:t xml:space="preserve">9% in real terms. </w:t>
      </w:r>
    </w:p>
    <w:p w14:paraId="005086FF"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 </w:t>
      </w:r>
    </w:p>
    <w:p w14:paraId="2C578E99"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Foreign Governments and International Organisations</w:t>
      </w:r>
      <w:r w:rsidRPr="001170E4">
        <w:rPr>
          <w:rFonts w:ascii="Times New Roman" w:eastAsia="Calibri" w:hAnsi="Times New Roman" w:cs="Times New Roman"/>
          <w:vertAlign w:val="superscript"/>
          <w:lang w:val="en-GB"/>
        </w:rPr>
        <w:footnoteReference w:id="29"/>
      </w:r>
      <w:r w:rsidR="00CE1CB4">
        <w:rPr>
          <w:rFonts w:ascii="Times New Roman" w:eastAsia="Calibri" w:hAnsi="Times New Roman" w:cs="Times New Roman"/>
          <w:lang w:val="en-GB"/>
        </w:rPr>
        <w:t xml:space="preserve"> receives R27,5 million, an increase of R5,</w:t>
      </w:r>
      <w:r w:rsidRPr="001170E4">
        <w:rPr>
          <w:rFonts w:ascii="Times New Roman" w:eastAsia="Calibri" w:hAnsi="Times New Roman" w:cs="Times New Roman"/>
          <w:lang w:val="en-GB"/>
        </w:rPr>
        <w:t>2 million, (16</w:t>
      </w:r>
      <w:r w:rsidR="00073247">
        <w:rPr>
          <w:rFonts w:ascii="Times New Roman" w:eastAsia="Calibri" w:hAnsi="Times New Roman" w:cs="Times New Roman"/>
          <w:lang w:val="en-GB"/>
        </w:rPr>
        <w:t>,</w:t>
      </w:r>
      <w:r w:rsidR="00CE1CB4">
        <w:rPr>
          <w:rFonts w:ascii="Times New Roman" w:eastAsia="Calibri" w:hAnsi="Times New Roman" w:cs="Times New Roman"/>
          <w:lang w:val="en-GB"/>
        </w:rPr>
        <w:t>9% in real terms) from the R22,</w:t>
      </w:r>
      <w:r w:rsidRPr="001170E4">
        <w:rPr>
          <w:rFonts w:ascii="Times New Roman" w:eastAsia="Calibri" w:hAnsi="Times New Roman" w:cs="Times New Roman"/>
          <w:lang w:val="en-GB"/>
        </w:rPr>
        <w:t xml:space="preserve">3 million allocated in 2017/18. This is mainly to address the fluctuations in the exchange rate when transferring the funds. The current weakening of the Rand against the major foreign currencies may result in the Department requiring an increase in its allocation from National Treasury.  </w:t>
      </w:r>
    </w:p>
    <w:p w14:paraId="360652A2"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  </w:t>
      </w:r>
    </w:p>
    <w:p w14:paraId="2B9CEAEB"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lastRenderedPageBreak/>
        <w:t>Current Payments totals R30</w:t>
      </w:r>
      <w:r w:rsidR="00CE1CB4">
        <w:rPr>
          <w:rFonts w:ascii="Times New Roman" w:eastAsia="Calibri" w:hAnsi="Times New Roman" w:cs="Times New Roman"/>
          <w:lang w:val="en-GB"/>
        </w:rPr>
        <w:t>,</w:t>
      </w:r>
      <w:r w:rsidRPr="001170E4">
        <w:rPr>
          <w:rFonts w:ascii="Times New Roman" w:eastAsia="Calibri" w:hAnsi="Times New Roman" w:cs="Times New Roman"/>
          <w:lang w:val="en-GB"/>
        </w:rPr>
        <w:t>5 million, which is a decrease of R700 000 (7</w:t>
      </w:r>
      <w:r w:rsidR="00073247">
        <w:rPr>
          <w:rFonts w:ascii="Times New Roman" w:eastAsia="Calibri" w:hAnsi="Times New Roman" w:cs="Times New Roman"/>
          <w:lang w:val="en-GB"/>
        </w:rPr>
        <w:t>,</w:t>
      </w:r>
      <w:r w:rsidR="00CE1CB4">
        <w:rPr>
          <w:rFonts w:ascii="Times New Roman" w:eastAsia="Calibri" w:hAnsi="Times New Roman" w:cs="Times New Roman"/>
          <w:lang w:val="en-GB"/>
        </w:rPr>
        <w:t>3% in real terms) from the R31,</w:t>
      </w:r>
      <w:r w:rsidRPr="001170E4">
        <w:rPr>
          <w:rFonts w:ascii="Times New Roman" w:eastAsia="Calibri" w:hAnsi="Times New Roman" w:cs="Times New Roman"/>
          <w:lang w:val="en-GB"/>
        </w:rPr>
        <w:t>2 million adjusted allocation in 2017/18. Of this amount:</w:t>
      </w:r>
      <w:r w:rsidRPr="001170E4">
        <w:rPr>
          <w:rFonts w:ascii="Times New Roman" w:eastAsia="Calibri" w:hAnsi="Times New Roman" w:cs="Times New Roman"/>
          <w:vertAlign w:val="superscript"/>
          <w:lang w:val="en-GB"/>
        </w:rPr>
        <w:footnoteReference w:id="30"/>
      </w:r>
    </w:p>
    <w:p w14:paraId="3DECF996" w14:textId="77777777" w:rsidR="001170E4" w:rsidRPr="001170E4" w:rsidRDefault="001170E4" w:rsidP="00F72F11">
      <w:pPr>
        <w:spacing w:after="0" w:line="360" w:lineRule="auto"/>
        <w:jc w:val="both"/>
        <w:rPr>
          <w:rFonts w:ascii="Times New Roman" w:eastAsia="Calibri" w:hAnsi="Times New Roman" w:cs="Times New Roman"/>
          <w:lang w:val="en-GB"/>
        </w:rPr>
      </w:pPr>
    </w:p>
    <w:p w14:paraId="472FBC85" w14:textId="77777777" w:rsidR="001170E4" w:rsidRPr="001170E4" w:rsidRDefault="001170E4" w:rsidP="00B41D07">
      <w:pPr>
        <w:numPr>
          <w:ilvl w:val="0"/>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Compensation of Employees</w:t>
      </w:r>
      <w:r w:rsidR="00CE1CB4">
        <w:rPr>
          <w:rFonts w:ascii="Times New Roman" w:eastAsia="Calibri" w:hAnsi="Times New Roman" w:cs="Times New Roman"/>
          <w:lang w:val="en-GB"/>
        </w:rPr>
        <w:t>, receives an allocation of R13,</w:t>
      </w:r>
      <w:r w:rsidRPr="001170E4">
        <w:rPr>
          <w:rFonts w:ascii="Times New Roman" w:eastAsia="Calibri" w:hAnsi="Times New Roman" w:cs="Times New Roman"/>
          <w:lang w:val="en-GB"/>
        </w:rPr>
        <w:t>1 mil</w:t>
      </w:r>
      <w:r w:rsidR="00CE1CB4">
        <w:rPr>
          <w:rFonts w:ascii="Times New Roman" w:eastAsia="Calibri" w:hAnsi="Times New Roman" w:cs="Times New Roman"/>
          <w:lang w:val="en-GB"/>
        </w:rPr>
        <w:t>lion, which is a decrease of R2,</w:t>
      </w:r>
      <w:r w:rsidRPr="001170E4">
        <w:rPr>
          <w:rFonts w:ascii="Times New Roman" w:eastAsia="Calibri" w:hAnsi="Times New Roman" w:cs="Times New Roman"/>
          <w:lang w:val="en-GB"/>
        </w:rPr>
        <w:t>4 million (19</w:t>
      </w:r>
      <w:r w:rsidR="00073247">
        <w:rPr>
          <w:rFonts w:ascii="Times New Roman" w:eastAsia="Calibri" w:hAnsi="Times New Roman" w:cs="Times New Roman"/>
          <w:lang w:val="en-GB"/>
        </w:rPr>
        <w:t>,</w:t>
      </w:r>
      <w:r w:rsidR="00CE1CB4">
        <w:rPr>
          <w:rFonts w:ascii="Times New Roman" w:eastAsia="Calibri" w:hAnsi="Times New Roman" w:cs="Times New Roman"/>
          <w:lang w:val="en-GB"/>
        </w:rPr>
        <w:t>9% in real terms) from the R15,</w:t>
      </w:r>
      <w:r w:rsidRPr="001170E4">
        <w:rPr>
          <w:rFonts w:ascii="Times New Roman" w:eastAsia="Calibri" w:hAnsi="Times New Roman" w:cs="Times New Roman"/>
          <w:lang w:val="en-GB"/>
        </w:rPr>
        <w:t xml:space="preserve">5 million adjusted allocation in 2017/18. </w:t>
      </w:r>
    </w:p>
    <w:p w14:paraId="0D6009AB" w14:textId="77777777" w:rsidR="001170E4" w:rsidRPr="001170E4" w:rsidRDefault="001170E4" w:rsidP="00F72F11">
      <w:pPr>
        <w:spacing w:after="0" w:line="360" w:lineRule="auto"/>
        <w:jc w:val="both"/>
        <w:rPr>
          <w:rFonts w:ascii="Times New Roman" w:eastAsia="Calibri" w:hAnsi="Times New Roman" w:cs="Times New Roman"/>
          <w:lang w:val="en-GB"/>
        </w:rPr>
      </w:pPr>
    </w:p>
    <w:p w14:paraId="385FA64F"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Goods and Servic</w:t>
      </w:r>
      <w:r w:rsidR="00CE1CB4">
        <w:rPr>
          <w:rFonts w:ascii="Times New Roman" w:eastAsia="Calibri" w:hAnsi="Times New Roman" w:cs="Times New Roman"/>
          <w:lang w:val="en-GB"/>
        </w:rPr>
        <w:t>es totals R17,</w:t>
      </w:r>
      <w:r w:rsidRPr="001170E4">
        <w:rPr>
          <w:rFonts w:ascii="Times New Roman" w:eastAsia="Calibri" w:hAnsi="Times New Roman" w:cs="Times New Roman"/>
          <w:lang w:val="en-GB"/>
        </w:rPr>
        <w:t>4 million for 2018/19. Thi</w:t>
      </w:r>
      <w:r w:rsidR="00073247">
        <w:rPr>
          <w:rFonts w:ascii="Times New Roman" w:eastAsia="Calibri" w:hAnsi="Times New Roman" w:cs="Times New Roman"/>
          <w:lang w:val="en-GB"/>
        </w:rPr>
        <w:t>s constitutes an increase of R1,</w:t>
      </w:r>
      <w:r w:rsidRPr="001170E4">
        <w:rPr>
          <w:rFonts w:ascii="Times New Roman" w:eastAsia="Calibri" w:hAnsi="Times New Roman" w:cs="Times New Roman"/>
          <w:lang w:val="en-GB"/>
        </w:rPr>
        <w:t>8 million (5</w:t>
      </w:r>
      <w:r w:rsidR="00073247">
        <w:rPr>
          <w:rFonts w:ascii="Times New Roman" w:eastAsia="Calibri" w:hAnsi="Times New Roman" w:cs="Times New Roman"/>
          <w:lang w:val="en-GB"/>
        </w:rPr>
        <w:t>,</w:t>
      </w:r>
      <w:r w:rsidR="00CE1CB4">
        <w:rPr>
          <w:rFonts w:ascii="Times New Roman" w:eastAsia="Calibri" w:hAnsi="Times New Roman" w:cs="Times New Roman"/>
          <w:lang w:val="en-GB"/>
        </w:rPr>
        <w:t>7% in real terms) from the R15,</w:t>
      </w:r>
      <w:r w:rsidRPr="001170E4">
        <w:rPr>
          <w:rFonts w:ascii="Times New Roman" w:eastAsia="Calibri" w:hAnsi="Times New Roman" w:cs="Times New Roman"/>
          <w:lang w:val="en-GB"/>
        </w:rPr>
        <w:t>6 million allocation of the previous year. Expenditure is intended for the following:</w:t>
      </w:r>
      <w:r w:rsidRPr="001170E4">
        <w:rPr>
          <w:rFonts w:ascii="Times New Roman" w:eastAsia="Calibri" w:hAnsi="Times New Roman" w:cs="Times New Roman"/>
          <w:vertAlign w:val="superscript"/>
          <w:lang w:val="en-GB"/>
        </w:rPr>
        <w:footnoteReference w:id="31"/>
      </w:r>
    </w:p>
    <w:p w14:paraId="487BFF96" w14:textId="77777777" w:rsidR="001170E4" w:rsidRPr="001170E4" w:rsidRDefault="001170E4" w:rsidP="00B41D07">
      <w:pPr>
        <w:numPr>
          <w:ilvl w:val="0"/>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Advertising receives R900 000 (an increase of R200 000) from the allocation of R700 000 in 2017/18.</w:t>
      </w:r>
    </w:p>
    <w:p w14:paraId="580903FE" w14:textId="77777777" w:rsidR="001170E4" w:rsidRPr="001170E4" w:rsidRDefault="001170E4" w:rsidP="00B41D07">
      <w:pPr>
        <w:numPr>
          <w:ilvl w:val="0"/>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Consultants: Business and Advisory Services receives R13</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6 million (an increase of R3</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5 million) from the allocation of R10</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 xml:space="preserve">1 million in 2017/18.  </w:t>
      </w:r>
    </w:p>
    <w:p w14:paraId="6CEB13B1" w14:textId="77777777" w:rsidR="001170E4" w:rsidRPr="001170E4" w:rsidRDefault="001170E4" w:rsidP="00F72F11">
      <w:pPr>
        <w:spacing w:after="0" w:line="360" w:lineRule="auto"/>
        <w:jc w:val="both"/>
        <w:rPr>
          <w:rFonts w:ascii="Times New Roman" w:eastAsia="Calibri" w:hAnsi="Times New Roman" w:cs="Times New Roman"/>
          <w:lang w:val="en-GB"/>
        </w:rPr>
      </w:pPr>
    </w:p>
    <w:p w14:paraId="115F6723"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The following allocations increase by R100 000:</w:t>
      </w:r>
    </w:p>
    <w:p w14:paraId="14046AAE" w14:textId="77777777" w:rsidR="001170E4" w:rsidRPr="001170E4" w:rsidRDefault="001170E4" w:rsidP="00B41D07">
      <w:pPr>
        <w:numPr>
          <w:ilvl w:val="0"/>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Agency and Support/Outsourced Services receives R800 000 from the allocation of R700 000 in 2017/18.</w:t>
      </w:r>
    </w:p>
    <w:p w14:paraId="087D5B33" w14:textId="77777777" w:rsidR="001170E4" w:rsidRPr="001170E4" w:rsidRDefault="001170E4" w:rsidP="00B41D07">
      <w:pPr>
        <w:numPr>
          <w:ilvl w:val="0"/>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Consumables: Stationery, printing and office supplies receives R500 000 from the allocation of R400 000 in 2017/18.</w:t>
      </w:r>
    </w:p>
    <w:p w14:paraId="4C2059AA" w14:textId="77777777" w:rsidR="001170E4" w:rsidRPr="001170E4" w:rsidRDefault="001170E4" w:rsidP="00B41D07">
      <w:pPr>
        <w:numPr>
          <w:ilvl w:val="0"/>
          <w:numId w:val="14"/>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Communication receives R400 000 from the allocation of R300 000 in 2017/18.</w:t>
      </w:r>
    </w:p>
    <w:p w14:paraId="101CBA0F" w14:textId="77777777" w:rsidR="001170E4" w:rsidRPr="001170E4" w:rsidRDefault="001170E4" w:rsidP="00F72F11">
      <w:pPr>
        <w:spacing w:after="0" w:line="360" w:lineRule="auto"/>
        <w:jc w:val="both"/>
        <w:rPr>
          <w:rFonts w:ascii="Times New Roman" w:eastAsia="Calibri" w:hAnsi="Times New Roman" w:cs="Times New Roman"/>
          <w:lang w:val="en-GB"/>
        </w:rPr>
      </w:pPr>
    </w:p>
    <w:p w14:paraId="391A891F"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Over the medium term, Programme 4 aims to research and develop:</w:t>
      </w:r>
      <w:r w:rsidRPr="001170E4">
        <w:rPr>
          <w:rFonts w:ascii="Times New Roman" w:eastAsia="Calibri" w:hAnsi="Times New Roman" w:cs="Times New Roman"/>
          <w:vertAlign w:val="superscript"/>
          <w:lang w:val="en-GB"/>
        </w:rPr>
        <w:footnoteReference w:id="32"/>
      </w:r>
    </w:p>
    <w:p w14:paraId="4A0B4287" w14:textId="77777777" w:rsidR="001170E4" w:rsidRPr="001170E4" w:rsidRDefault="001170E4" w:rsidP="00B41D07">
      <w:pPr>
        <w:numPr>
          <w:ilvl w:val="0"/>
          <w:numId w:val="18"/>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 xml:space="preserve">Policies and legislative prescripts for the construction and property sectors. </w:t>
      </w:r>
    </w:p>
    <w:p w14:paraId="2D040DD6" w14:textId="77777777" w:rsidR="001170E4" w:rsidRPr="001170E4" w:rsidRDefault="001170E4" w:rsidP="00B41D07">
      <w:pPr>
        <w:numPr>
          <w:ilvl w:val="0"/>
          <w:numId w:val="18"/>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Three legislative prescripts for the Public Works Bill, the Construction Industry Development Board Act (No. 38 of 2000) and the Council for the Built Environment Act (No. 43 of 2000) and the Council for the Built Environment Act (2000).</w:t>
      </w:r>
    </w:p>
    <w:p w14:paraId="0F938796" w14:textId="77777777" w:rsidR="00F72F11" w:rsidRDefault="00F72F11" w:rsidP="00F72F11">
      <w:pPr>
        <w:spacing w:after="0" w:line="360" w:lineRule="auto"/>
        <w:jc w:val="both"/>
        <w:rPr>
          <w:rFonts w:ascii="Times New Roman" w:eastAsia="Calibri" w:hAnsi="Times New Roman" w:cs="Times New Roman"/>
          <w:lang w:val="en-GB"/>
        </w:rPr>
      </w:pPr>
    </w:p>
    <w:p w14:paraId="29C54BDA"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The 2018/19 Targets include:</w:t>
      </w:r>
      <w:r w:rsidRPr="001170E4">
        <w:rPr>
          <w:rFonts w:ascii="Times New Roman" w:eastAsia="Calibri" w:hAnsi="Times New Roman" w:cs="Times New Roman"/>
          <w:vertAlign w:val="superscript"/>
          <w:lang w:val="en-GB"/>
        </w:rPr>
        <w:footnoteReference w:id="33"/>
      </w:r>
    </w:p>
    <w:p w14:paraId="10FBB32E" w14:textId="77777777" w:rsidR="001170E4" w:rsidRPr="001170E4" w:rsidRDefault="001170E4" w:rsidP="00B41D07">
      <w:pPr>
        <w:numPr>
          <w:ilvl w:val="0"/>
          <w:numId w:val="19"/>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Submit Draft Public Works Bill to the Minister for gazetting for public comment.</w:t>
      </w:r>
    </w:p>
    <w:p w14:paraId="23159C0B" w14:textId="77777777" w:rsidR="001170E4" w:rsidRPr="001170E4" w:rsidRDefault="001170E4" w:rsidP="00B41D07">
      <w:pPr>
        <w:numPr>
          <w:ilvl w:val="0"/>
          <w:numId w:val="19"/>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Submit cidb Amendment and CBE Amendment Bills to the Minister for gazetting for public comment.</w:t>
      </w:r>
    </w:p>
    <w:p w14:paraId="0F100B8B" w14:textId="77777777" w:rsidR="001170E4" w:rsidRPr="001170E4" w:rsidRDefault="001170E4" w:rsidP="00B41D07">
      <w:pPr>
        <w:numPr>
          <w:ilvl w:val="0"/>
          <w:numId w:val="19"/>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Submit the Built Environment Professional Councils Amendment Bills to the Minister for gazetting for public comment.</w:t>
      </w:r>
    </w:p>
    <w:p w14:paraId="75979A27" w14:textId="77777777" w:rsidR="00BB1EE2" w:rsidRPr="001170E4" w:rsidRDefault="00BB1EE2" w:rsidP="00F72F11">
      <w:pPr>
        <w:spacing w:line="360" w:lineRule="auto"/>
        <w:jc w:val="both"/>
        <w:rPr>
          <w:rFonts w:ascii="Times New Roman" w:hAnsi="Times New Roman" w:cs="Times New Roman"/>
        </w:rPr>
      </w:pPr>
    </w:p>
    <w:p w14:paraId="5401AF05" w14:textId="009B7E7D" w:rsidR="00BB1EE2" w:rsidRPr="001170E4" w:rsidRDefault="00BB1EE2" w:rsidP="00F72F11">
      <w:pPr>
        <w:pStyle w:val="Heading3"/>
        <w:spacing w:line="360" w:lineRule="auto"/>
        <w:rPr>
          <w:rFonts w:ascii="Times New Roman" w:hAnsi="Times New Roman"/>
          <w:i w:val="0"/>
          <w:color w:val="auto"/>
          <w:szCs w:val="22"/>
        </w:rPr>
      </w:pPr>
      <w:bookmarkStart w:id="13" w:name="_Toc447629109"/>
      <w:bookmarkStart w:id="14" w:name="_Toc477174250"/>
      <w:r w:rsidRPr="001170E4">
        <w:rPr>
          <w:rFonts w:ascii="Times New Roman" w:hAnsi="Times New Roman"/>
          <w:i w:val="0"/>
          <w:color w:val="auto"/>
          <w:szCs w:val="22"/>
        </w:rPr>
        <w:t>1.2.5 Programme 5</w:t>
      </w:r>
      <w:r w:rsidR="00125AB3">
        <w:rPr>
          <w:rFonts w:ascii="Times New Roman" w:hAnsi="Times New Roman"/>
          <w:i w:val="0"/>
          <w:color w:val="auto"/>
          <w:szCs w:val="22"/>
        </w:rPr>
        <w:t>:</w:t>
      </w:r>
      <w:r w:rsidRPr="001170E4">
        <w:rPr>
          <w:rStyle w:val="FootnoteReference"/>
          <w:rFonts w:ascii="Times New Roman" w:hAnsi="Times New Roman"/>
          <w:b w:val="0"/>
          <w:bCs/>
          <w:i w:val="0"/>
          <w:color w:val="auto"/>
          <w:szCs w:val="22"/>
        </w:rPr>
        <w:footnoteReference w:id="34"/>
      </w:r>
      <w:r w:rsidRPr="001170E4">
        <w:rPr>
          <w:rFonts w:ascii="Times New Roman" w:hAnsi="Times New Roman"/>
          <w:i w:val="0"/>
          <w:color w:val="auto"/>
          <w:szCs w:val="22"/>
        </w:rPr>
        <w:t xml:space="preserve"> Prestige Policy</w:t>
      </w:r>
      <w:bookmarkEnd w:id="13"/>
      <w:bookmarkEnd w:id="14"/>
      <w:r w:rsidRPr="001170E4">
        <w:rPr>
          <w:rFonts w:ascii="Times New Roman" w:hAnsi="Times New Roman"/>
          <w:i w:val="0"/>
          <w:color w:val="auto"/>
          <w:szCs w:val="22"/>
        </w:rPr>
        <w:t xml:space="preserve"> </w:t>
      </w:r>
    </w:p>
    <w:p w14:paraId="5FA43F89" w14:textId="77777777" w:rsidR="00BB1EE2" w:rsidRPr="001170E4" w:rsidRDefault="00BB1EE2" w:rsidP="00F72F11">
      <w:pPr>
        <w:spacing w:line="360" w:lineRule="auto"/>
        <w:jc w:val="both"/>
        <w:rPr>
          <w:rFonts w:ascii="Times New Roman" w:hAnsi="Times New Roman" w:cs="Times New Roman"/>
          <w:b/>
          <w:bCs/>
        </w:rPr>
      </w:pPr>
    </w:p>
    <w:p w14:paraId="3B265A1D" w14:textId="77777777" w:rsidR="00BB1EE2" w:rsidRPr="001170E4" w:rsidRDefault="00BB1EE2" w:rsidP="00F72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bCs/>
        </w:rPr>
      </w:pPr>
      <w:r w:rsidRPr="001170E4">
        <w:rPr>
          <w:rFonts w:ascii="Times New Roman" w:hAnsi="Times New Roman" w:cs="Times New Roman"/>
          <w:b/>
          <w:bCs/>
        </w:rPr>
        <w:t>Programme 5 seeks to provide norms and standards for the Prestige Accommodation Portfolio and meeting the protocol responsibilities for State functions.</w:t>
      </w:r>
    </w:p>
    <w:p w14:paraId="64DC4DFA" w14:textId="4DA734F6"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The budget for Programme 5 increases to R97</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9 million in 2018/19 and</w:t>
      </w:r>
      <w:r w:rsidRPr="001170E4">
        <w:rPr>
          <w:rFonts w:ascii="Times New Roman" w:eastAsia="Calibri" w:hAnsi="Times New Roman" w:cs="Times New Roman"/>
          <w:bCs/>
          <w:lang w:val="en-GB"/>
        </w:rPr>
        <w:t xml:space="preserve"> proportionally represents 1</w:t>
      </w:r>
      <w:r w:rsidR="00073247">
        <w:rPr>
          <w:rFonts w:ascii="Times New Roman" w:eastAsia="Calibri" w:hAnsi="Times New Roman" w:cs="Times New Roman"/>
          <w:bCs/>
          <w:lang w:val="en-GB"/>
        </w:rPr>
        <w:t>,</w:t>
      </w:r>
      <w:r w:rsidRPr="001170E4">
        <w:rPr>
          <w:rFonts w:ascii="Times New Roman" w:eastAsia="Calibri" w:hAnsi="Times New Roman" w:cs="Times New Roman"/>
          <w:bCs/>
          <w:lang w:val="en-GB"/>
        </w:rPr>
        <w:t>3</w:t>
      </w:r>
      <w:r w:rsidRPr="001170E4">
        <w:rPr>
          <w:rFonts w:ascii="Times New Roman" w:eastAsia="Calibri" w:hAnsi="Times New Roman" w:cs="Times New Roman"/>
          <w:lang w:val="en-GB"/>
        </w:rPr>
        <w:t xml:space="preserve">%, </w:t>
      </w:r>
      <w:r w:rsidRPr="001170E4">
        <w:rPr>
          <w:rFonts w:ascii="Times New Roman" w:eastAsia="Calibri" w:hAnsi="Times New Roman" w:cs="Times New Roman"/>
          <w:bCs/>
          <w:lang w:val="en-GB"/>
        </w:rPr>
        <w:t>of the overall departmental budget. The increase from the R84</w:t>
      </w:r>
      <w:r w:rsidR="00073247">
        <w:rPr>
          <w:rFonts w:ascii="Times New Roman" w:eastAsia="Calibri" w:hAnsi="Times New Roman" w:cs="Times New Roman"/>
          <w:bCs/>
          <w:lang w:val="en-GB"/>
        </w:rPr>
        <w:t>,</w:t>
      </w:r>
      <w:r w:rsidRPr="001170E4">
        <w:rPr>
          <w:rFonts w:ascii="Times New Roman" w:eastAsia="Calibri" w:hAnsi="Times New Roman" w:cs="Times New Roman"/>
          <w:bCs/>
          <w:lang w:val="en-GB"/>
        </w:rPr>
        <w:t>6 million</w:t>
      </w:r>
      <w:r w:rsidRPr="001170E4">
        <w:rPr>
          <w:rFonts w:ascii="Times New Roman" w:eastAsia="Calibri" w:hAnsi="Times New Roman" w:cs="Times New Roman"/>
          <w:lang w:val="en-GB"/>
        </w:rPr>
        <w:t xml:space="preserve"> in the previous year represents a nominal of increase of 15</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7% and 9</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 xml:space="preserve">7% in real terms.  </w:t>
      </w:r>
    </w:p>
    <w:p w14:paraId="72A85CD7" w14:textId="77777777" w:rsidR="001170E4" w:rsidRPr="001170E4" w:rsidRDefault="001170E4" w:rsidP="00F72F11">
      <w:pPr>
        <w:spacing w:after="0" w:line="360" w:lineRule="auto"/>
        <w:jc w:val="both"/>
        <w:rPr>
          <w:rFonts w:ascii="Times New Roman" w:eastAsia="Calibri" w:hAnsi="Times New Roman" w:cs="Times New Roman"/>
          <w:lang w:val="en-GB"/>
        </w:rPr>
      </w:pPr>
    </w:p>
    <w:p w14:paraId="3FFE88F6"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A large portion of the budget is allocated to current payments, which amount to R79</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2million. A total of R27</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 xml:space="preserve">6 million is allocated towards compensation of employees. </w:t>
      </w:r>
    </w:p>
    <w:p w14:paraId="22D90BBA" w14:textId="77777777" w:rsidR="001170E4" w:rsidRPr="001170E4" w:rsidRDefault="001170E4" w:rsidP="00F72F11">
      <w:pPr>
        <w:spacing w:after="0" w:line="360" w:lineRule="auto"/>
        <w:jc w:val="both"/>
        <w:rPr>
          <w:rFonts w:ascii="Times New Roman" w:eastAsia="Calibri" w:hAnsi="Times New Roman" w:cs="Times New Roman"/>
          <w:lang w:val="en-GB"/>
        </w:rPr>
      </w:pPr>
    </w:p>
    <w:p w14:paraId="7BA3A78C"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The remaining R51</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6 million is allocated to goods and services as follows:</w:t>
      </w:r>
      <w:r w:rsidRPr="001170E4">
        <w:rPr>
          <w:rFonts w:ascii="Times New Roman" w:eastAsia="Calibri" w:hAnsi="Times New Roman" w:cs="Times New Roman"/>
          <w:vertAlign w:val="superscript"/>
          <w:lang w:val="en-GB"/>
        </w:rPr>
        <w:footnoteReference w:id="35"/>
      </w:r>
    </w:p>
    <w:p w14:paraId="505FA2EA" w14:textId="77777777" w:rsidR="001170E4" w:rsidRPr="001170E4" w:rsidRDefault="001170E4" w:rsidP="00B41D07">
      <w:pPr>
        <w:numPr>
          <w:ilvl w:val="0"/>
          <w:numId w:val="15"/>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Minor Assets receives R5</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8 million.</w:t>
      </w:r>
    </w:p>
    <w:p w14:paraId="7FF9CAFD" w14:textId="77777777" w:rsidR="001170E4" w:rsidRPr="001170E4" w:rsidRDefault="001170E4" w:rsidP="00B41D07">
      <w:pPr>
        <w:numPr>
          <w:ilvl w:val="0"/>
          <w:numId w:val="15"/>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Contractors receives R37</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3 million.</w:t>
      </w:r>
    </w:p>
    <w:p w14:paraId="2CED3FE7" w14:textId="77777777" w:rsidR="001170E4" w:rsidRPr="001170E4" w:rsidRDefault="001170E4" w:rsidP="00B41D07">
      <w:pPr>
        <w:numPr>
          <w:ilvl w:val="0"/>
          <w:numId w:val="15"/>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Travel and subsistence receives R3</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 xml:space="preserve">9 million.  </w:t>
      </w:r>
    </w:p>
    <w:p w14:paraId="24B93B4A" w14:textId="77777777" w:rsidR="001170E4" w:rsidRPr="001170E4" w:rsidRDefault="001170E4" w:rsidP="00F72F11">
      <w:pPr>
        <w:spacing w:after="0" w:line="360" w:lineRule="auto"/>
        <w:jc w:val="both"/>
        <w:rPr>
          <w:rFonts w:ascii="Times New Roman" w:eastAsia="Calibri" w:hAnsi="Times New Roman" w:cs="Times New Roman"/>
          <w:lang w:val="en-GB"/>
        </w:rPr>
      </w:pPr>
    </w:p>
    <w:p w14:paraId="71244C76"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The other R10</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6 million of the budget is allocated to Transfers and Subsidies (S&amp;T). The transfer budget includes an allocation of R10</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4 million to Departmental Agencies and Accounts (Parliamentary Villages Management Board), and R8</w:t>
      </w:r>
      <w:r w:rsidR="00073247">
        <w:rPr>
          <w:rFonts w:ascii="Times New Roman" w:eastAsia="Calibri" w:hAnsi="Times New Roman" w:cs="Times New Roman"/>
          <w:lang w:val="en-GB"/>
        </w:rPr>
        <w:t>,</w:t>
      </w:r>
      <w:r w:rsidRPr="001170E4">
        <w:rPr>
          <w:rFonts w:ascii="Times New Roman" w:eastAsia="Calibri" w:hAnsi="Times New Roman" w:cs="Times New Roman"/>
          <w:lang w:val="en-GB"/>
        </w:rPr>
        <w:t xml:space="preserve">1 million to Payment for Capital Assets (Machinery and Equipment). </w:t>
      </w:r>
    </w:p>
    <w:p w14:paraId="18964F1E" w14:textId="77777777" w:rsidR="001170E4" w:rsidRPr="001170E4" w:rsidRDefault="001170E4" w:rsidP="00F72F11">
      <w:pPr>
        <w:spacing w:after="0" w:line="360" w:lineRule="auto"/>
        <w:jc w:val="both"/>
        <w:rPr>
          <w:rFonts w:ascii="Times New Roman" w:eastAsia="Calibri" w:hAnsi="Times New Roman" w:cs="Times New Roman"/>
          <w:lang w:val="en-GB"/>
        </w:rPr>
      </w:pPr>
    </w:p>
    <w:p w14:paraId="5965FC4D" w14:textId="77777777" w:rsidR="001170E4" w:rsidRPr="001170E4" w:rsidRDefault="001170E4" w:rsidP="00F72F11">
      <w:p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The 2018/19 Targets include the improvement of service delivery services to prestige clients over the medium terms:</w:t>
      </w:r>
      <w:r w:rsidRPr="001170E4">
        <w:rPr>
          <w:rFonts w:ascii="Times New Roman" w:eastAsia="Calibri" w:hAnsi="Times New Roman" w:cs="Times New Roman"/>
          <w:vertAlign w:val="superscript"/>
          <w:lang w:val="en-GB"/>
        </w:rPr>
        <w:footnoteReference w:id="36"/>
      </w:r>
    </w:p>
    <w:p w14:paraId="388CFDF9" w14:textId="77777777" w:rsidR="001170E4" w:rsidRPr="001170E4" w:rsidRDefault="00073247" w:rsidP="00B41D07">
      <w:pPr>
        <w:numPr>
          <w:ilvl w:val="0"/>
          <w:numId w:val="17"/>
        </w:num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t>Develop and monitor six</w:t>
      </w:r>
      <w:r w:rsidR="001170E4" w:rsidRPr="001170E4">
        <w:rPr>
          <w:rFonts w:ascii="Times New Roman" w:eastAsia="Calibri" w:hAnsi="Times New Roman" w:cs="Times New Roman"/>
          <w:lang w:val="en-GB"/>
        </w:rPr>
        <w:t xml:space="preserve"> Prestige Policies.</w:t>
      </w:r>
    </w:p>
    <w:p w14:paraId="13F817CB" w14:textId="77777777" w:rsidR="001170E4" w:rsidRPr="001170E4" w:rsidRDefault="001170E4" w:rsidP="00B41D07">
      <w:pPr>
        <w:numPr>
          <w:ilvl w:val="0"/>
          <w:numId w:val="17"/>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Support 35 planned State events with movable structures.</w:t>
      </w:r>
    </w:p>
    <w:p w14:paraId="2FB59486" w14:textId="77777777" w:rsidR="001170E4" w:rsidRPr="001170E4" w:rsidRDefault="001170E4" w:rsidP="00B41D07">
      <w:pPr>
        <w:numPr>
          <w:ilvl w:val="0"/>
          <w:numId w:val="17"/>
        </w:numPr>
        <w:spacing w:after="0" w:line="360" w:lineRule="auto"/>
        <w:jc w:val="both"/>
        <w:rPr>
          <w:rFonts w:ascii="Times New Roman" w:eastAsia="Calibri" w:hAnsi="Times New Roman" w:cs="Times New Roman"/>
          <w:lang w:val="en-GB"/>
        </w:rPr>
      </w:pPr>
      <w:r w:rsidRPr="001170E4">
        <w:rPr>
          <w:rFonts w:ascii="Times New Roman" w:eastAsia="Calibri" w:hAnsi="Times New Roman" w:cs="Times New Roman"/>
          <w:lang w:val="en-GB"/>
        </w:rPr>
        <w:t>Provide movable assets to Prestige clients within 60 working days.</w:t>
      </w:r>
    </w:p>
    <w:p w14:paraId="640FA0FC" w14:textId="77777777" w:rsidR="00BB1EE2" w:rsidRPr="001170E4" w:rsidRDefault="00BB1EE2" w:rsidP="00F72F11">
      <w:pPr>
        <w:spacing w:line="360" w:lineRule="auto"/>
        <w:jc w:val="both"/>
        <w:rPr>
          <w:rFonts w:ascii="Times New Roman" w:hAnsi="Times New Roman" w:cs="Times New Roman"/>
        </w:rPr>
      </w:pPr>
    </w:p>
    <w:p w14:paraId="469FC840" w14:textId="77777777" w:rsidR="00BB1EE2" w:rsidRPr="001170E4" w:rsidRDefault="00BB1EE2" w:rsidP="00F72F11">
      <w:pPr>
        <w:spacing w:line="360" w:lineRule="auto"/>
        <w:jc w:val="both"/>
        <w:rPr>
          <w:rFonts w:ascii="Times New Roman" w:hAnsi="Times New Roman" w:cs="Times New Roman"/>
          <w:b/>
          <w:lang w:val="en-GB"/>
        </w:rPr>
      </w:pPr>
      <w:r w:rsidRPr="001170E4">
        <w:rPr>
          <w:rFonts w:ascii="Times New Roman" w:hAnsi="Times New Roman" w:cs="Times New Roman"/>
          <w:b/>
          <w:lang w:val="en-GB"/>
        </w:rPr>
        <w:t>Human Resources</w:t>
      </w:r>
    </w:p>
    <w:p w14:paraId="7AD21DE2" w14:textId="77777777" w:rsidR="00BB1EE2" w:rsidRPr="00A45758" w:rsidRDefault="00BB1EE2" w:rsidP="00F72F11">
      <w:pPr>
        <w:spacing w:line="360" w:lineRule="auto"/>
        <w:jc w:val="both"/>
        <w:rPr>
          <w:rFonts w:ascii="Times New Roman" w:hAnsi="Times New Roman" w:cs="Times New Roman"/>
        </w:rPr>
      </w:pPr>
      <w:r w:rsidRPr="00A45758">
        <w:rPr>
          <w:rFonts w:ascii="Times New Roman" w:hAnsi="Times New Roman" w:cs="Times New Roman"/>
        </w:rPr>
        <w:lastRenderedPageBreak/>
        <w:t xml:space="preserve">The Department of Public Works has a total of </w:t>
      </w:r>
      <w:r w:rsidR="001170E4" w:rsidRPr="00A45758">
        <w:rPr>
          <w:rFonts w:ascii="Times New Roman" w:hAnsi="Times New Roman" w:cs="Times New Roman"/>
        </w:rPr>
        <w:t xml:space="preserve">1 009 positions to the establishment. This is 281 more compared to the 728 positions in the 2017/18 financial year. </w:t>
      </w:r>
      <w:r w:rsidRPr="00A45758">
        <w:rPr>
          <w:rFonts w:ascii="Times New Roman" w:hAnsi="Times New Roman" w:cs="Times New Roman"/>
        </w:rPr>
        <w:t xml:space="preserve">Of these </w:t>
      </w:r>
      <w:r w:rsidR="001170E4" w:rsidRPr="00A45758">
        <w:rPr>
          <w:rFonts w:ascii="Times New Roman" w:hAnsi="Times New Roman" w:cs="Times New Roman"/>
        </w:rPr>
        <w:t xml:space="preserve">677 are permanent which is 100 more than the </w:t>
      </w:r>
      <w:r w:rsidRPr="00A45758">
        <w:rPr>
          <w:rFonts w:ascii="Times New Roman" w:hAnsi="Times New Roman" w:cs="Times New Roman"/>
        </w:rPr>
        <w:t>577</w:t>
      </w:r>
      <w:r w:rsidR="00A45758">
        <w:rPr>
          <w:rFonts w:ascii="Times New Roman" w:hAnsi="Times New Roman" w:cs="Times New Roman"/>
        </w:rPr>
        <w:t xml:space="preserve"> </w:t>
      </w:r>
      <w:r w:rsidR="00CD7836">
        <w:rPr>
          <w:rFonts w:ascii="Times New Roman" w:hAnsi="Times New Roman" w:cs="Times New Roman"/>
        </w:rPr>
        <w:t>positions</w:t>
      </w:r>
      <w:r w:rsidRPr="00A45758">
        <w:rPr>
          <w:rFonts w:ascii="Times New Roman" w:hAnsi="Times New Roman" w:cs="Times New Roman"/>
        </w:rPr>
        <w:t xml:space="preserve"> </w:t>
      </w:r>
      <w:r w:rsidR="001170E4" w:rsidRPr="00A45758">
        <w:rPr>
          <w:rFonts w:ascii="Times New Roman" w:hAnsi="Times New Roman" w:cs="Times New Roman"/>
        </w:rPr>
        <w:t xml:space="preserve">that were </w:t>
      </w:r>
      <w:r w:rsidRPr="00A45758">
        <w:rPr>
          <w:rFonts w:ascii="Times New Roman" w:hAnsi="Times New Roman" w:cs="Times New Roman"/>
        </w:rPr>
        <w:t xml:space="preserve">permanent </w:t>
      </w:r>
      <w:r w:rsidR="001170E4" w:rsidRPr="00A45758">
        <w:rPr>
          <w:rFonts w:ascii="Times New Roman" w:hAnsi="Times New Roman" w:cs="Times New Roman"/>
        </w:rPr>
        <w:t xml:space="preserve">in 2017/18. In 2018/19, 196 are additional to the establishment compared to the </w:t>
      </w:r>
      <w:r w:rsidRPr="00A45758">
        <w:rPr>
          <w:rFonts w:ascii="Times New Roman" w:hAnsi="Times New Roman" w:cs="Times New Roman"/>
        </w:rPr>
        <w:t xml:space="preserve">758 </w:t>
      </w:r>
      <w:r w:rsidR="001170E4" w:rsidRPr="00A45758">
        <w:rPr>
          <w:rFonts w:ascii="Times New Roman" w:hAnsi="Times New Roman" w:cs="Times New Roman"/>
        </w:rPr>
        <w:t>that we</w:t>
      </w:r>
      <w:r w:rsidRPr="00A45758">
        <w:rPr>
          <w:rFonts w:ascii="Times New Roman" w:hAnsi="Times New Roman" w:cs="Times New Roman"/>
        </w:rPr>
        <w:t xml:space="preserve">re additional </w:t>
      </w:r>
      <w:r w:rsidR="001170E4" w:rsidRPr="00A45758">
        <w:rPr>
          <w:rFonts w:ascii="Times New Roman" w:hAnsi="Times New Roman" w:cs="Times New Roman"/>
        </w:rPr>
        <w:t>in 2017/18.</w:t>
      </w:r>
      <w:r w:rsidRPr="00A45758">
        <w:rPr>
          <w:rFonts w:ascii="Times New Roman" w:hAnsi="Times New Roman" w:cs="Times New Roman"/>
        </w:rPr>
        <w:t xml:space="preserve"> The Department also has </w:t>
      </w:r>
      <w:r w:rsidR="00A45758" w:rsidRPr="00A45758">
        <w:rPr>
          <w:rFonts w:ascii="Times New Roman" w:hAnsi="Times New Roman" w:cs="Times New Roman"/>
        </w:rPr>
        <w:t>332</w:t>
      </w:r>
      <w:r w:rsidRPr="00A45758">
        <w:rPr>
          <w:rFonts w:ascii="Times New Roman" w:hAnsi="Times New Roman" w:cs="Times New Roman"/>
        </w:rPr>
        <w:t xml:space="preserve"> vacant positions</w:t>
      </w:r>
      <w:r w:rsidR="00A45758" w:rsidRPr="00A45758">
        <w:rPr>
          <w:rStyle w:val="FootnoteReference"/>
          <w:rFonts w:ascii="Times New Roman" w:hAnsi="Times New Roman" w:cs="Times New Roman"/>
        </w:rPr>
        <w:footnoteReference w:id="37"/>
      </w:r>
      <w:r w:rsidRPr="00A45758">
        <w:rPr>
          <w:rFonts w:ascii="Times New Roman" w:hAnsi="Times New Roman" w:cs="Times New Roman"/>
        </w:rPr>
        <w:t xml:space="preserve">. </w:t>
      </w:r>
    </w:p>
    <w:p w14:paraId="69D150C0" w14:textId="77777777" w:rsidR="00BB1EE2" w:rsidRPr="00A45758" w:rsidRDefault="00BB1EE2" w:rsidP="00F72F11">
      <w:pPr>
        <w:spacing w:line="360" w:lineRule="auto"/>
        <w:jc w:val="both"/>
        <w:rPr>
          <w:rFonts w:ascii="Times New Roman" w:hAnsi="Times New Roman" w:cs="Times New Roman"/>
        </w:rPr>
      </w:pPr>
      <w:r w:rsidRPr="00A45758">
        <w:rPr>
          <w:rFonts w:ascii="Times New Roman" w:hAnsi="Times New Roman" w:cs="Times New Roman"/>
        </w:rPr>
        <w:t>The Department is implementing a Talent Pipeline Strategy to address the vacancy rate and the shortage of critical skills. The Talent Pipeline Programme aims to produce professionals in the Built Environment and Property professions.</w:t>
      </w:r>
    </w:p>
    <w:p w14:paraId="1E13B416" w14:textId="77777777" w:rsidR="001170E4" w:rsidRPr="00A45758" w:rsidRDefault="001170E4" w:rsidP="00F72F11">
      <w:pPr>
        <w:spacing w:line="360" w:lineRule="auto"/>
        <w:jc w:val="both"/>
        <w:rPr>
          <w:rFonts w:ascii="Times New Roman" w:hAnsi="Times New Roman" w:cs="Times New Roman"/>
        </w:rPr>
      </w:pPr>
      <w:r w:rsidRPr="00A45758">
        <w:rPr>
          <w:rFonts w:ascii="Times New Roman" w:hAnsi="Times New Roman" w:cs="Times New Roman"/>
        </w:rPr>
        <w:t>The Department developed and implemented an Integrated Human Resource Plan that focused on an intensive recruitment drive to ensure that the Department has the required skills and competencies to deliver on its mandate and objectives. The Plan further proactively addresses the Department’s long-term requirements.</w:t>
      </w:r>
      <w:r w:rsidRPr="00A45758">
        <w:rPr>
          <w:rStyle w:val="FootnoteReference"/>
          <w:rFonts w:ascii="Times New Roman" w:hAnsi="Times New Roman" w:cs="Times New Roman"/>
        </w:rPr>
        <w:footnoteReference w:id="38"/>
      </w:r>
      <w:r w:rsidRPr="00A45758">
        <w:rPr>
          <w:rFonts w:ascii="Times New Roman" w:hAnsi="Times New Roman" w:cs="Times New Roman"/>
        </w:rPr>
        <w:t xml:space="preserve"> </w:t>
      </w:r>
    </w:p>
    <w:p w14:paraId="74F07DC4" w14:textId="77777777" w:rsidR="00BB1EE2" w:rsidRPr="00A45758" w:rsidRDefault="00BB1EE2" w:rsidP="00F72F11">
      <w:pPr>
        <w:spacing w:line="360" w:lineRule="auto"/>
        <w:jc w:val="both"/>
        <w:rPr>
          <w:rFonts w:ascii="Times New Roman" w:hAnsi="Times New Roman" w:cs="Times New Roman"/>
        </w:rPr>
      </w:pPr>
    </w:p>
    <w:p w14:paraId="4915B6DF" w14:textId="77777777" w:rsidR="00BB1EE2" w:rsidRPr="001170E4" w:rsidRDefault="00BB1EE2" w:rsidP="00F72F11">
      <w:pPr>
        <w:spacing w:line="360" w:lineRule="auto"/>
        <w:ind w:left="360" w:hanging="360"/>
        <w:jc w:val="both"/>
        <w:rPr>
          <w:rFonts w:ascii="Times New Roman" w:hAnsi="Times New Roman" w:cs="Times New Roman"/>
          <w:b/>
        </w:rPr>
      </w:pPr>
    </w:p>
    <w:p w14:paraId="61156DCA" w14:textId="77777777" w:rsidR="00CD7836" w:rsidRDefault="00CD7836" w:rsidP="00F72F11">
      <w:pPr>
        <w:spacing w:line="360" w:lineRule="auto"/>
        <w:jc w:val="both"/>
        <w:rPr>
          <w:rFonts w:ascii="Times New Roman" w:hAnsi="Times New Roman" w:cs="Times New Roman"/>
          <w:b/>
        </w:rPr>
      </w:pPr>
      <w:r>
        <w:rPr>
          <w:rFonts w:ascii="Times New Roman" w:hAnsi="Times New Roman" w:cs="Times New Roman"/>
          <w:b/>
        </w:rPr>
        <w:br w:type="page"/>
      </w:r>
    </w:p>
    <w:p w14:paraId="0E21C3FD" w14:textId="77777777" w:rsidR="00BB1EE2" w:rsidRPr="001170E4" w:rsidRDefault="00BB1EE2" w:rsidP="00F72F11">
      <w:pPr>
        <w:spacing w:line="360" w:lineRule="auto"/>
        <w:ind w:left="360" w:hanging="360"/>
        <w:jc w:val="both"/>
        <w:rPr>
          <w:rFonts w:ascii="Times New Roman" w:hAnsi="Times New Roman" w:cs="Times New Roman"/>
          <w:b/>
        </w:rPr>
      </w:pPr>
      <w:r w:rsidRPr="001170E4">
        <w:rPr>
          <w:rFonts w:ascii="Times New Roman" w:hAnsi="Times New Roman" w:cs="Times New Roman"/>
          <w:b/>
        </w:rPr>
        <w:lastRenderedPageBreak/>
        <w:t>2. The Property Management Trading Entity (PMTE)</w:t>
      </w:r>
    </w:p>
    <w:p w14:paraId="40688013" w14:textId="77777777" w:rsidR="00770A0D" w:rsidRDefault="00770A0D" w:rsidP="00F72F11">
      <w:pPr>
        <w:spacing w:line="360" w:lineRule="auto"/>
        <w:jc w:val="both"/>
        <w:rPr>
          <w:rFonts w:ascii="Times New Roman" w:hAnsi="Times New Roman" w:cs="Times New Roman"/>
        </w:rPr>
      </w:pPr>
      <w:r>
        <w:rPr>
          <w:rFonts w:ascii="Times New Roman" w:hAnsi="Times New Roman" w:cs="Times New Roman"/>
        </w:rPr>
        <w:t xml:space="preserve">The DPW describes the purpose and functions of the PMTE as a government component that has been created </w:t>
      </w:r>
      <w:r w:rsidRPr="001170E4">
        <w:rPr>
          <w:rFonts w:ascii="Times New Roman" w:hAnsi="Times New Roman" w:cs="Times New Roman"/>
        </w:rPr>
        <w:t>“</w:t>
      </w:r>
      <w:r>
        <w:rPr>
          <w:rFonts w:ascii="Times New Roman" w:hAnsi="Times New Roman" w:cs="Times New Roman"/>
        </w:rPr>
        <w:t>…</w:t>
      </w:r>
      <w:r w:rsidRPr="001170E4">
        <w:rPr>
          <w:rFonts w:ascii="Times New Roman" w:hAnsi="Times New Roman" w:cs="Times New Roman"/>
        </w:rPr>
        <w:t xml:space="preserve"> to manage properties under the custodianship of the Department. In the prior years, the PMTE incurred all the expenses and collected the revenue for the properties (which was recognised by the Department) and not by the PMTE prior to the transfer of functions. The PMTE was operationalised in the 2015/16 financial year, and the Department transferred certain property management functions, (including the related assets, liabilities and staff), to the PMTE to align the expenses and revenue to the underlying assets.”</w:t>
      </w:r>
      <w:r w:rsidRPr="001170E4">
        <w:rPr>
          <w:rStyle w:val="FootnoteReference"/>
          <w:rFonts w:ascii="Times New Roman" w:hAnsi="Times New Roman" w:cs="Times New Roman"/>
        </w:rPr>
        <w:footnoteReference w:id="39"/>
      </w:r>
    </w:p>
    <w:p w14:paraId="04063777" w14:textId="77777777" w:rsidR="00770A0D" w:rsidRDefault="00770A0D" w:rsidP="00F72F11">
      <w:pPr>
        <w:spacing w:line="360" w:lineRule="auto"/>
        <w:jc w:val="both"/>
        <w:rPr>
          <w:rFonts w:ascii="Times New Roman" w:hAnsi="Times New Roman" w:cs="Times New Roman"/>
        </w:rPr>
      </w:pPr>
      <w:r w:rsidRPr="001170E4">
        <w:rPr>
          <w:rFonts w:ascii="Times New Roman" w:hAnsi="Times New Roman" w:cs="Times New Roman"/>
        </w:rPr>
        <w:t>The focus of the PMTE is to execute all property management related functions for National Government</w:t>
      </w:r>
      <w:r>
        <w:rPr>
          <w:rFonts w:ascii="Times New Roman" w:hAnsi="Times New Roman" w:cs="Times New Roman"/>
        </w:rPr>
        <w:t>. The PMTE thus implements all public works related functions</w:t>
      </w:r>
      <w:r w:rsidRPr="001170E4">
        <w:rPr>
          <w:rFonts w:ascii="Times New Roman" w:hAnsi="Times New Roman" w:cs="Times New Roman"/>
        </w:rPr>
        <w:t xml:space="preserve"> such as</w:t>
      </w:r>
      <w:r>
        <w:rPr>
          <w:rFonts w:ascii="Times New Roman" w:hAnsi="Times New Roman" w:cs="Times New Roman"/>
        </w:rPr>
        <w:t xml:space="preserve"> the</w:t>
      </w:r>
      <w:r w:rsidRPr="001170E4">
        <w:rPr>
          <w:rFonts w:ascii="Times New Roman" w:hAnsi="Times New Roman" w:cs="Times New Roman"/>
        </w:rPr>
        <w:t xml:space="preserve"> maintenance of properties</w:t>
      </w:r>
      <w:r>
        <w:rPr>
          <w:rFonts w:ascii="Times New Roman" w:hAnsi="Times New Roman" w:cs="Times New Roman"/>
        </w:rPr>
        <w:t>,</w:t>
      </w:r>
      <w:r w:rsidRPr="001170E4">
        <w:rPr>
          <w:rFonts w:ascii="Times New Roman" w:hAnsi="Times New Roman" w:cs="Times New Roman"/>
        </w:rPr>
        <w:t xml:space="preserve"> and </w:t>
      </w:r>
      <w:r>
        <w:rPr>
          <w:rFonts w:ascii="Times New Roman" w:hAnsi="Times New Roman" w:cs="Times New Roman"/>
        </w:rPr>
        <w:t xml:space="preserve">the </w:t>
      </w:r>
      <w:r w:rsidRPr="001170E4">
        <w:rPr>
          <w:rFonts w:ascii="Times New Roman" w:hAnsi="Times New Roman" w:cs="Times New Roman"/>
        </w:rPr>
        <w:t xml:space="preserve">payments </w:t>
      </w:r>
      <w:r>
        <w:rPr>
          <w:rFonts w:ascii="Times New Roman" w:hAnsi="Times New Roman" w:cs="Times New Roman"/>
        </w:rPr>
        <w:t xml:space="preserve">of </w:t>
      </w:r>
      <w:r w:rsidRPr="001170E4">
        <w:rPr>
          <w:rFonts w:ascii="Times New Roman" w:hAnsi="Times New Roman" w:cs="Times New Roman"/>
        </w:rPr>
        <w:t>property rate</w:t>
      </w:r>
      <w:r>
        <w:rPr>
          <w:rFonts w:ascii="Times New Roman" w:hAnsi="Times New Roman" w:cs="Times New Roman"/>
        </w:rPr>
        <w:t>s</w:t>
      </w:r>
      <w:r w:rsidRPr="001170E4">
        <w:rPr>
          <w:rFonts w:ascii="Times New Roman" w:hAnsi="Times New Roman" w:cs="Times New Roman"/>
        </w:rPr>
        <w:t xml:space="preserve"> on behalf of the Department of Public Works. </w:t>
      </w:r>
      <w:r>
        <w:rPr>
          <w:rFonts w:ascii="Times New Roman" w:hAnsi="Times New Roman" w:cs="Times New Roman"/>
        </w:rPr>
        <w:t>A</w:t>
      </w:r>
      <w:r w:rsidRPr="001170E4">
        <w:rPr>
          <w:rFonts w:ascii="Times New Roman" w:hAnsi="Times New Roman" w:cs="Times New Roman"/>
        </w:rPr>
        <w:t>ll accommodation-related costs were</w:t>
      </w:r>
      <w:r w:rsidR="009A2F7B">
        <w:rPr>
          <w:rFonts w:ascii="Times New Roman" w:hAnsi="Times New Roman" w:cs="Times New Roman"/>
        </w:rPr>
        <w:t xml:space="preserve"> </w:t>
      </w:r>
      <w:r w:rsidRPr="001170E4">
        <w:rPr>
          <w:rFonts w:ascii="Times New Roman" w:hAnsi="Times New Roman" w:cs="Times New Roman"/>
        </w:rPr>
        <w:t>devolved to Client Departments</w:t>
      </w:r>
      <w:r>
        <w:rPr>
          <w:rFonts w:ascii="Times New Roman" w:hAnsi="Times New Roman" w:cs="Times New Roman"/>
        </w:rPr>
        <w:t xml:space="preserve"> when the PMTE was operationalised. This </w:t>
      </w:r>
      <w:r w:rsidRPr="001170E4">
        <w:rPr>
          <w:rFonts w:ascii="Times New Roman" w:hAnsi="Times New Roman" w:cs="Times New Roman"/>
        </w:rPr>
        <w:t>mean</w:t>
      </w:r>
      <w:r>
        <w:rPr>
          <w:rFonts w:ascii="Times New Roman" w:hAnsi="Times New Roman" w:cs="Times New Roman"/>
        </w:rPr>
        <w:t>s</w:t>
      </w:r>
      <w:r w:rsidRPr="001170E4">
        <w:rPr>
          <w:rFonts w:ascii="Times New Roman" w:hAnsi="Times New Roman" w:cs="Times New Roman"/>
        </w:rPr>
        <w:t xml:space="preserve"> that the Department issue</w:t>
      </w:r>
      <w:r>
        <w:rPr>
          <w:rFonts w:ascii="Times New Roman" w:hAnsi="Times New Roman" w:cs="Times New Roman"/>
        </w:rPr>
        <w:t>s invoices and collect</w:t>
      </w:r>
      <w:r w:rsidRPr="001170E4">
        <w:rPr>
          <w:rFonts w:ascii="Times New Roman" w:hAnsi="Times New Roman" w:cs="Times New Roman"/>
        </w:rPr>
        <w:t xml:space="preserve"> user charges from Clients on a quarterly basis. </w:t>
      </w:r>
    </w:p>
    <w:p w14:paraId="7D8A8C8B" w14:textId="77777777" w:rsidR="00CD7836" w:rsidRPr="001170E4" w:rsidRDefault="00770A0D" w:rsidP="00F72F11">
      <w:pPr>
        <w:spacing w:line="360" w:lineRule="auto"/>
        <w:jc w:val="both"/>
        <w:rPr>
          <w:rFonts w:ascii="Times New Roman" w:hAnsi="Times New Roman" w:cs="Times New Roman"/>
        </w:rPr>
      </w:pPr>
      <w:r>
        <w:rPr>
          <w:rFonts w:ascii="Times New Roman" w:hAnsi="Times New Roman" w:cs="Times New Roman"/>
        </w:rPr>
        <w:t>In addition to collecting user charges, t</w:t>
      </w:r>
      <w:r w:rsidR="00CD7836">
        <w:rPr>
          <w:rFonts w:ascii="Times New Roman" w:hAnsi="Times New Roman" w:cs="Times New Roman"/>
        </w:rPr>
        <w:t xml:space="preserve">he PMTE is correctly placed </w:t>
      </w:r>
      <w:r w:rsidR="009F026C">
        <w:rPr>
          <w:rFonts w:ascii="Times New Roman" w:hAnsi="Times New Roman" w:cs="Times New Roman"/>
        </w:rPr>
        <w:t>to unlock the value of</w:t>
      </w:r>
      <w:r w:rsidR="00CD7836">
        <w:rPr>
          <w:rFonts w:ascii="Times New Roman" w:hAnsi="Times New Roman" w:cs="Times New Roman"/>
        </w:rPr>
        <w:t xml:space="preserve"> the large property portfolio of government that is contained in the immovable asset register (IAR). Together with the collection of user charges the PMTE should theoretically generate funds with which government could undertake maintenance as well as other crucial </w:t>
      </w:r>
      <w:r w:rsidR="009F026C">
        <w:rPr>
          <w:rFonts w:ascii="Times New Roman" w:hAnsi="Times New Roman" w:cs="Times New Roman"/>
        </w:rPr>
        <w:t>tasks</w:t>
      </w:r>
      <w:r w:rsidR="00CD7836">
        <w:rPr>
          <w:rFonts w:ascii="Times New Roman" w:hAnsi="Times New Roman" w:cs="Times New Roman"/>
        </w:rPr>
        <w:t xml:space="preserve"> in the public works sector. This remains a theoretical challenge that the DPW and PMTE is working to put into action in the medium to long term.</w:t>
      </w:r>
    </w:p>
    <w:p w14:paraId="4C526616" w14:textId="77777777" w:rsidR="00D92EC4" w:rsidRDefault="009F026C" w:rsidP="00F72F11">
      <w:pPr>
        <w:spacing w:line="360" w:lineRule="auto"/>
        <w:jc w:val="both"/>
        <w:rPr>
          <w:rFonts w:ascii="Times New Roman" w:hAnsi="Times New Roman" w:cs="Times New Roman"/>
        </w:rPr>
      </w:pPr>
      <w:r>
        <w:rPr>
          <w:rFonts w:ascii="Times New Roman" w:hAnsi="Times New Roman" w:cs="Times New Roman"/>
        </w:rPr>
        <w:t xml:space="preserve">In its meetings with the PMTE, the Committee found that </w:t>
      </w:r>
      <w:r w:rsidRPr="009F026C">
        <w:rPr>
          <w:rFonts w:ascii="Times New Roman" w:hAnsi="Times New Roman" w:cs="Times New Roman"/>
        </w:rPr>
        <w:t xml:space="preserve">it did not work efficiently as it lacked the </w:t>
      </w:r>
      <w:r>
        <w:rPr>
          <w:rFonts w:ascii="Times New Roman" w:hAnsi="Times New Roman" w:cs="Times New Roman"/>
        </w:rPr>
        <w:t>relevantly qualified and experienced property specialists</w:t>
      </w:r>
      <w:r w:rsidRPr="009F026C">
        <w:rPr>
          <w:rFonts w:ascii="Times New Roman" w:hAnsi="Times New Roman" w:cs="Times New Roman"/>
        </w:rPr>
        <w:t>. The Department indicated to the Portfolio Committee that some of the vacancies required by</w:t>
      </w:r>
      <w:r>
        <w:rPr>
          <w:rFonts w:ascii="Times New Roman" w:hAnsi="Times New Roman" w:cs="Times New Roman"/>
        </w:rPr>
        <w:t xml:space="preserve"> the</w:t>
      </w:r>
      <w:r w:rsidRPr="009F026C">
        <w:rPr>
          <w:rFonts w:ascii="Times New Roman" w:hAnsi="Times New Roman" w:cs="Times New Roman"/>
        </w:rPr>
        <w:t xml:space="preserve"> PMTE </w:t>
      </w:r>
      <w:r>
        <w:rPr>
          <w:rFonts w:ascii="Times New Roman" w:hAnsi="Times New Roman" w:cs="Times New Roman"/>
        </w:rPr>
        <w:t>included property e</w:t>
      </w:r>
      <w:r w:rsidRPr="009F026C">
        <w:rPr>
          <w:rFonts w:ascii="Times New Roman" w:hAnsi="Times New Roman" w:cs="Times New Roman"/>
        </w:rPr>
        <w:t>conomists</w:t>
      </w:r>
      <w:r>
        <w:rPr>
          <w:rFonts w:ascii="Times New Roman" w:hAnsi="Times New Roman" w:cs="Times New Roman"/>
        </w:rPr>
        <w:t>,</w:t>
      </w:r>
      <w:r w:rsidRPr="009F026C">
        <w:rPr>
          <w:rFonts w:ascii="Times New Roman" w:hAnsi="Times New Roman" w:cs="Times New Roman"/>
        </w:rPr>
        <w:t xml:space="preserve"> </w:t>
      </w:r>
      <w:r>
        <w:rPr>
          <w:rFonts w:ascii="Times New Roman" w:hAnsi="Times New Roman" w:cs="Times New Roman"/>
        </w:rPr>
        <w:t>p</w:t>
      </w:r>
      <w:r w:rsidRPr="009F026C">
        <w:rPr>
          <w:rFonts w:ascii="Times New Roman" w:hAnsi="Times New Roman" w:cs="Times New Roman"/>
        </w:rPr>
        <w:t xml:space="preserve">roperty </w:t>
      </w:r>
      <w:r>
        <w:rPr>
          <w:rFonts w:ascii="Times New Roman" w:hAnsi="Times New Roman" w:cs="Times New Roman"/>
        </w:rPr>
        <w:t>m</w:t>
      </w:r>
      <w:r w:rsidRPr="009F026C">
        <w:rPr>
          <w:rFonts w:ascii="Times New Roman" w:hAnsi="Times New Roman" w:cs="Times New Roman"/>
        </w:rPr>
        <w:t>anagers</w:t>
      </w:r>
      <w:r>
        <w:rPr>
          <w:rFonts w:ascii="Times New Roman" w:hAnsi="Times New Roman" w:cs="Times New Roman"/>
        </w:rPr>
        <w:t>,</w:t>
      </w:r>
      <w:r w:rsidRPr="009F026C">
        <w:rPr>
          <w:rFonts w:ascii="Times New Roman" w:hAnsi="Times New Roman" w:cs="Times New Roman"/>
        </w:rPr>
        <w:t xml:space="preserve"> </w:t>
      </w:r>
      <w:r>
        <w:rPr>
          <w:rFonts w:ascii="Times New Roman" w:hAnsi="Times New Roman" w:cs="Times New Roman"/>
        </w:rPr>
        <w:t>specialist c</w:t>
      </w:r>
      <w:r w:rsidRPr="009F026C">
        <w:rPr>
          <w:rFonts w:ascii="Times New Roman" w:hAnsi="Times New Roman" w:cs="Times New Roman"/>
        </w:rPr>
        <w:t xml:space="preserve">hartered </w:t>
      </w:r>
      <w:r>
        <w:rPr>
          <w:rFonts w:ascii="Times New Roman" w:hAnsi="Times New Roman" w:cs="Times New Roman"/>
        </w:rPr>
        <w:t>a</w:t>
      </w:r>
      <w:r w:rsidRPr="009F026C">
        <w:rPr>
          <w:rFonts w:ascii="Times New Roman" w:hAnsi="Times New Roman" w:cs="Times New Roman"/>
        </w:rPr>
        <w:t>ccountants</w:t>
      </w:r>
      <w:r>
        <w:rPr>
          <w:rFonts w:ascii="Times New Roman" w:hAnsi="Times New Roman" w:cs="Times New Roman"/>
        </w:rPr>
        <w:t>, property l</w:t>
      </w:r>
      <w:r w:rsidRPr="009F026C">
        <w:rPr>
          <w:rFonts w:ascii="Times New Roman" w:hAnsi="Times New Roman" w:cs="Times New Roman"/>
        </w:rPr>
        <w:t>awyers</w:t>
      </w:r>
      <w:r>
        <w:rPr>
          <w:rFonts w:ascii="Times New Roman" w:hAnsi="Times New Roman" w:cs="Times New Roman"/>
        </w:rPr>
        <w:t>,</w:t>
      </w:r>
      <w:r w:rsidRPr="009F026C">
        <w:rPr>
          <w:rFonts w:ascii="Times New Roman" w:hAnsi="Times New Roman" w:cs="Times New Roman"/>
        </w:rPr>
        <w:t xml:space="preserve"> and </w:t>
      </w:r>
      <w:r>
        <w:rPr>
          <w:rFonts w:ascii="Times New Roman" w:hAnsi="Times New Roman" w:cs="Times New Roman"/>
        </w:rPr>
        <w:t xml:space="preserve">property </w:t>
      </w:r>
      <w:r w:rsidRPr="009F026C">
        <w:rPr>
          <w:rFonts w:ascii="Times New Roman" w:hAnsi="Times New Roman" w:cs="Times New Roman"/>
        </w:rPr>
        <w:t>valuators</w:t>
      </w:r>
      <w:r>
        <w:rPr>
          <w:rFonts w:ascii="Times New Roman" w:hAnsi="Times New Roman" w:cs="Times New Roman"/>
        </w:rPr>
        <w:t>. The DPW reported that these positions were</w:t>
      </w:r>
      <w:r w:rsidRPr="009F026C">
        <w:rPr>
          <w:rFonts w:ascii="Times New Roman" w:hAnsi="Times New Roman" w:cs="Times New Roman"/>
        </w:rPr>
        <w:t xml:space="preserve"> being filled.</w:t>
      </w:r>
      <w:r w:rsidRPr="009F026C">
        <w:rPr>
          <w:rStyle w:val="FootnoteReference"/>
          <w:rFonts w:ascii="Times New Roman" w:hAnsi="Times New Roman" w:cs="Times New Roman"/>
        </w:rPr>
        <w:footnoteReference w:id="40"/>
      </w:r>
      <w:r w:rsidRPr="009F026C">
        <w:rPr>
          <w:rFonts w:ascii="Times New Roman" w:hAnsi="Times New Roman" w:cs="Times New Roman"/>
        </w:rPr>
        <w:t xml:space="preserve"> </w:t>
      </w:r>
      <w:r>
        <w:rPr>
          <w:rFonts w:ascii="Times New Roman" w:hAnsi="Times New Roman" w:cs="Times New Roman"/>
        </w:rPr>
        <w:t>Unfortunately, these specialist skills make it a very competitive terrain meaning that properly qualified and experienced personnel easily move from the PMTE to private property companies. The challenge is to fill and keep such personnel in positions in the PMTE. Failure to do this, means that the DPW and PMTE continue to operate</w:t>
      </w:r>
      <w:r w:rsidRPr="009F026C">
        <w:rPr>
          <w:rFonts w:ascii="Times New Roman" w:hAnsi="Times New Roman" w:cs="Times New Roman"/>
        </w:rPr>
        <w:t xml:space="preserve"> at a disadvantage, particularly when signing lease agreements with landlords from the private sector. </w:t>
      </w:r>
    </w:p>
    <w:p w14:paraId="10232E11" w14:textId="053454E0" w:rsidR="009F026C" w:rsidRPr="009F026C" w:rsidRDefault="00D92EC4" w:rsidP="00F72F11">
      <w:pPr>
        <w:spacing w:line="360" w:lineRule="auto"/>
        <w:jc w:val="both"/>
        <w:rPr>
          <w:rFonts w:ascii="Times New Roman" w:hAnsi="Times New Roman" w:cs="Times New Roman"/>
        </w:rPr>
      </w:pPr>
      <w:r>
        <w:rPr>
          <w:rFonts w:ascii="Times New Roman" w:hAnsi="Times New Roman" w:cs="Times New Roman"/>
        </w:rPr>
        <w:t xml:space="preserve">The PMTE struggles to have an authoritative grasp of the value that is contained in the IAR and struggles to invest the property portfolio in manners that benefit the state and its beneficiaries. Measurement of the state property portfolio remains incomplete and in progress. </w:t>
      </w:r>
      <w:r w:rsidRPr="009F026C">
        <w:rPr>
          <w:rFonts w:ascii="Times New Roman" w:hAnsi="Times New Roman" w:cs="Times New Roman"/>
        </w:rPr>
        <w:t xml:space="preserve">The property values </w:t>
      </w:r>
      <w:r w:rsidR="00A46F16">
        <w:rPr>
          <w:rFonts w:ascii="Times New Roman" w:hAnsi="Times New Roman" w:cs="Times New Roman"/>
        </w:rPr>
        <w:t xml:space="preserve">stated </w:t>
      </w:r>
      <w:r w:rsidRPr="009F026C">
        <w:rPr>
          <w:rFonts w:ascii="Times New Roman" w:hAnsi="Times New Roman" w:cs="Times New Roman"/>
        </w:rPr>
        <w:t xml:space="preserve">in the 2015/16 Annual Report represent provisional amounts as measurement initiatives are still </w:t>
      </w:r>
      <w:r w:rsidRPr="009F026C">
        <w:rPr>
          <w:rFonts w:ascii="Times New Roman" w:hAnsi="Times New Roman" w:cs="Times New Roman"/>
        </w:rPr>
        <w:lastRenderedPageBreak/>
        <w:t xml:space="preserve">in progress. These values will be updated to comply with the </w:t>
      </w:r>
      <w:r w:rsidR="00A46F16">
        <w:rPr>
          <w:rFonts w:ascii="Times New Roman" w:hAnsi="Times New Roman" w:cs="Times New Roman"/>
        </w:rPr>
        <w:t>Generally Recognised A</w:t>
      </w:r>
      <w:r w:rsidR="000E31DE">
        <w:rPr>
          <w:rFonts w:ascii="Times New Roman" w:hAnsi="Times New Roman" w:cs="Times New Roman"/>
        </w:rPr>
        <w:t>ccounting Practic</w:t>
      </w:r>
      <w:r w:rsidR="00A46F16">
        <w:rPr>
          <w:rFonts w:ascii="Times New Roman" w:hAnsi="Times New Roman" w:cs="Times New Roman"/>
        </w:rPr>
        <w:t>e (</w:t>
      </w:r>
      <w:r w:rsidRPr="009F026C">
        <w:rPr>
          <w:rFonts w:ascii="Times New Roman" w:hAnsi="Times New Roman" w:cs="Times New Roman"/>
        </w:rPr>
        <w:t>GRAP</w:t>
      </w:r>
      <w:r w:rsidR="00A46F16">
        <w:rPr>
          <w:rFonts w:ascii="Times New Roman" w:hAnsi="Times New Roman" w:cs="Times New Roman"/>
        </w:rPr>
        <w:t>)</w:t>
      </w:r>
      <w:r w:rsidRPr="009F026C">
        <w:rPr>
          <w:rFonts w:ascii="Times New Roman" w:hAnsi="Times New Roman" w:cs="Times New Roman"/>
        </w:rPr>
        <w:t xml:space="preserve"> Requirements</w:t>
      </w:r>
      <w:r w:rsidR="00A35E65">
        <w:rPr>
          <w:rFonts w:ascii="Times New Roman" w:hAnsi="Times New Roman" w:cs="Times New Roman"/>
        </w:rPr>
        <w:t>.</w:t>
      </w:r>
      <w:r w:rsidR="003A7C1A">
        <w:rPr>
          <w:rStyle w:val="FootnoteReference"/>
          <w:rFonts w:ascii="Times New Roman" w:hAnsi="Times New Roman" w:cs="Times New Roman"/>
        </w:rPr>
        <w:footnoteReference w:id="41"/>
      </w:r>
      <w:r>
        <w:rPr>
          <w:rFonts w:ascii="Times New Roman" w:hAnsi="Times New Roman" w:cs="Times New Roman"/>
        </w:rPr>
        <w:t xml:space="preserve"> </w:t>
      </w:r>
    </w:p>
    <w:p w14:paraId="30AAEE03" w14:textId="77777777" w:rsidR="00BB1EE2" w:rsidRPr="001170E4" w:rsidRDefault="00BB1EE2" w:rsidP="00F72F11">
      <w:pPr>
        <w:spacing w:line="360" w:lineRule="auto"/>
        <w:jc w:val="both"/>
        <w:rPr>
          <w:rFonts w:ascii="Times New Roman" w:hAnsi="Times New Roman" w:cs="Times New Roman"/>
          <w:b/>
        </w:rPr>
      </w:pPr>
    </w:p>
    <w:p w14:paraId="2879A688"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2.1. The PMTE Budget</w:t>
      </w:r>
    </w:p>
    <w:p w14:paraId="5DF68725" w14:textId="77777777" w:rsidR="00BB1EE2" w:rsidRPr="001170E4" w:rsidRDefault="00BB1EE2" w:rsidP="00F72F11">
      <w:pPr>
        <w:pStyle w:val="Heading3"/>
        <w:spacing w:line="360" w:lineRule="auto"/>
        <w:rPr>
          <w:rFonts w:ascii="Times New Roman" w:hAnsi="Times New Roman"/>
          <w:i w:val="0"/>
          <w:color w:val="auto"/>
          <w:szCs w:val="22"/>
        </w:rPr>
      </w:pPr>
      <w:bookmarkStart w:id="15" w:name="_Toc477174254"/>
      <w:r w:rsidRPr="001170E4">
        <w:rPr>
          <w:rFonts w:ascii="Times New Roman" w:hAnsi="Times New Roman"/>
          <w:i w:val="0"/>
          <w:color w:val="auto"/>
          <w:szCs w:val="22"/>
        </w:rPr>
        <w:t>Allocations</w:t>
      </w:r>
      <w:bookmarkEnd w:id="15"/>
      <w:r w:rsidRPr="001170E4">
        <w:rPr>
          <w:rFonts w:ascii="Times New Roman" w:hAnsi="Times New Roman"/>
          <w:i w:val="0"/>
          <w:color w:val="auto"/>
          <w:szCs w:val="22"/>
        </w:rPr>
        <w:t xml:space="preserve"> to Programmes</w:t>
      </w:r>
    </w:p>
    <w:tbl>
      <w:tblPr>
        <w:tblW w:w="9025" w:type="dxa"/>
        <w:tblInd w:w="-5" w:type="dxa"/>
        <w:tblLook w:val="04A0" w:firstRow="1" w:lastRow="0" w:firstColumn="1" w:lastColumn="0" w:noHBand="0" w:noVBand="1"/>
      </w:tblPr>
      <w:tblGrid>
        <w:gridCol w:w="5615"/>
        <w:gridCol w:w="1805"/>
        <w:gridCol w:w="1605"/>
      </w:tblGrid>
      <w:tr w:rsidR="00BB1EE2" w:rsidRPr="001170E4" w14:paraId="7DCB5C26" w14:textId="77777777" w:rsidTr="00D61782">
        <w:trPr>
          <w:trHeight w:val="745"/>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B8B2E" w14:textId="77777777" w:rsidR="00BB1EE2" w:rsidRPr="001170E4" w:rsidRDefault="00BB1EE2" w:rsidP="00F72F11">
            <w:pPr>
              <w:spacing w:line="360" w:lineRule="auto"/>
              <w:jc w:val="both"/>
              <w:rPr>
                <w:rFonts w:ascii="Times New Roman" w:eastAsia="Times New Roman" w:hAnsi="Times New Roman" w:cs="Times New Roman"/>
                <w:b/>
                <w:bCs/>
                <w:lang w:eastAsia="en-GB"/>
              </w:rPr>
            </w:pPr>
            <w:r w:rsidRPr="001170E4">
              <w:rPr>
                <w:rFonts w:ascii="Times New Roman" w:eastAsia="Times New Roman" w:hAnsi="Times New Roman" w:cs="Times New Roman"/>
                <w:b/>
                <w:bCs/>
                <w:lang w:eastAsia="en-GB"/>
              </w:rPr>
              <w:t>Programme</w:t>
            </w: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73D67" w14:textId="77777777" w:rsidR="00BB1EE2" w:rsidRPr="001170E4" w:rsidRDefault="00BB1EE2" w:rsidP="00F72F11">
            <w:pPr>
              <w:spacing w:line="360" w:lineRule="auto"/>
              <w:jc w:val="both"/>
              <w:rPr>
                <w:rFonts w:ascii="Times New Roman" w:eastAsia="Times New Roman" w:hAnsi="Times New Roman" w:cs="Times New Roman"/>
                <w:b/>
                <w:bCs/>
                <w:lang w:eastAsia="en-GB"/>
              </w:rPr>
            </w:pPr>
            <w:r w:rsidRPr="001170E4">
              <w:rPr>
                <w:rFonts w:ascii="Times New Roman" w:eastAsia="Times New Roman" w:hAnsi="Times New Roman" w:cs="Times New Roman"/>
                <w:b/>
                <w:bCs/>
                <w:lang w:eastAsia="en-GB"/>
              </w:rPr>
              <w:t>Budget</w:t>
            </w:r>
          </w:p>
        </w:tc>
      </w:tr>
      <w:tr w:rsidR="003A7C1A" w:rsidRPr="001170E4" w14:paraId="1296407E" w14:textId="77777777" w:rsidTr="003A7C1A">
        <w:trPr>
          <w:trHeight w:val="248"/>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B25CC" w14:textId="77777777" w:rsidR="003A7C1A" w:rsidRPr="001170E4" w:rsidRDefault="003A7C1A" w:rsidP="00F72F11">
            <w:pPr>
              <w:spacing w:line="360" w:lineRule="auto"/>
              <w:jc w:val="both"/>
              <w:rPr>
                <w:rFonts w:ascii="Times New Roman" w:eastAsia="Times New Roman" w:hAnsi="Times New Roman" w:cs="Times New Roman"/>
                <w:b/>
                <w:bCs/>
                <w:lang w:eastAsia="en-GB"/>
              </w:rPr>
            </w:pPr>
            <w:r w:rsidRPr="001170E4">
              <w:rPr>
                <w:rFonts w:ascii="Times New Roman" w:eastAsia="Times New Roman" w:hAnsi="Times New Roman" w:cs="Times New Roman"/>
                <w:b/>
                <w:bCs/>
                <w:lang w:eastAsia="en-GB"/>
              </w:rPr>
              <w:t>R million</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5F706" w14:textId="77777777" w:rsidR="003A7C1A" w:rsidRPr="001170E4" w:rsidRDefault="003A7C1A" w:rsidP="00F72F11">
            <w:pPr>
              <w:spacing w:line="360" w:lineRule="auto"/>
              <w:jc w:val="both"/>
              <w:rPr>
                <w:rFonts w:ascii="Times New Roman" w:eastAsia="Times New Roman" w:hAnsi="Times New Roman" w:cs="Times New Roman"/>
                <w:b/>
                <w:bCs/>
                <w:lang w:eastAsia="en-GB"/>
              </w:rPr>
            </w:pPr>
            <w:r w:rsidRPr="001170E4">
              <w:rPr>
                <w:rFonts w:ascii="Times New Roman" w:eastAsia="Times New Roman" w:hAnsi="Times New Roman" w:cs="Times New Roman"/>
                <w:b/>
                <w:bCs/>
                <w:lang w:eastAsia="en-GB"/>
              </w:rPr>
              <w:t>2017/18</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27B05" w14:textId="77777777" w:rsidR="003A7C1A" w:rsidRPr="001170E4" w:rsidRDefault="008B4498" w:rsidP="00F72F11">
            <w:pPr>
              <w:spacing w:line="360" w:lineRule="auto"/>
              <w:jc w:val="both"/>
              <w:rPr>
                <w:rFonts w:ascii="Times New Roman" w:eastAsia="Times New Roman" w:hAnsi="Times New Roman" w:cs="Times New Roman"/>
                <w:b/>
                <w:bCs/>
                <w:lang w:eastAsia="en-GB"/>
              </w:rPr>
            </w:pPr>
            <w:r>
              <w:rPr>
                <w:rFonts w:ascii="Times New Roman" w:eastAsia="Times New Roman" w:hAnsi="Times New Roman" w:cs="Times New Roman"/>
                <w:b/>
                <w:bCs/>
                <w:lang w:eastAsia="en-GB"/>
              </w:rPr>
              <w:t>2018/19</w:t>
            </w:r>
          </w:p>
        </w:tc>
      </w:tr>
      <w:tr w:rsidR="008B4498" w:rsidRPr="001170E4" w14:paraId="1AC584B6" w14:textId="77777777" w:rsidTr="0070305B">
        <w:trPr>
          <w:trHeight w:val="248"/>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4D4CD" w14:textId="77777777" w:rsidR="008B4498" w:rsidRPr="001170E4" w:rsidRDefault="008B4498" w:rsidP="00F72F11">
            <w:pPr>
              <w:spacing w:line="360" w:lineRule="auto"/>
              <w:jc w:val="both"/>
              <w:rPr>
                <w:rFonts w:ascii="Times New Roman" w:eastAsia="Times New Roman" w:hAnsi="Times New Roman" w:cs="Times New Roman"/>
                <w:b/>
                <w:lang w:eastAsia="en-GB"/>
              </w:rPr>
            </w:pPr>
            <w:r w:rsidRPr="001170E4">
              <w:rPr>
                <w:rFonts w:ascii="Times New Roman" w:eastAsia="Times New Roman" w:hAnsi="Times New Roman" w:cs="Times New Roman"/>
                <w:b/>
                <w:lang w:eastAsia="en-GB"/>
              </w:rPr>
              <w:t>1. Administration</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48AB2" w14:textId="77777777" w:rsidR="008B4498" w:rsidRPr="001170E4" w:rsidRDefault="008B4498" w:rsidP="00F72F11">
            <w:pPr>
              <w:spacing w:line="360" w:lineRule="auto"/>
              <w:jc w:val="both"/>
              <w:rPr>
                <w:rFonts w:ascii="Times New Roman" w:eastAsia="Times New Roman" w:hAnsi="Times New Roman" w:cs="Times New Roman"/>
                <w:lang w:eastAsia="en-GB"/>
              </w:rPr>
            </w:pPr>
            <w:r w:rsidRPr="001170E4">
              <w:rPr>
                <w:rFonts w:ascii="Times New Roman" w:eastAsia="Times New Roman" w:hAnsi="Times New Roman" w:cs="Times New Roman"/>
                <w:lang w:eastAsia="en-GB"/>
              </w:rPr>
              <w:t xml:space="preserve">  712</w:t>
            </w:r>
            <w:r w:rsidR="009A2F7B">
              <w:rPr>
                <w:rFonts w:ascii="Times New Roman" w:eastAsia="Times New Roman" w:hAnsi="Times New Roman" w:cs="Times New Roman"/>
                <w:lang w:eastAsia="en-GB"/>
              </w:rPr>
              <w:t>,</w:t>
            </w:r>
            <w:r w:rsidRPr="001170E4">
              <w:rPr>
                <w:rFonts w:ascii="Times New Roman" w:eastAsia="Times New Roman" w:hAnsi="Times New Roman" w:cs="Times New Roman"/>
                <w:lang w:eastAsia="en-GB"/>
              </w:rPr>
              <w:t>0</w:t>
            </w:r>
          </w:p>
        </w:tc>
        <w:tc>
          <w:tcPr>
            <w:tcW w:w="1605" w:type="dxa"/>
            <w:tcBorders>
              <w:top w:val="single" w:sz="4" w:space="0" w:color="auto"/>
              <w:left w:val="single" w:sz="4" w:space="0" w:color="auto"/>
              <w:bottom w:val="single" w:sz="4" w:space="0" w:color="auto"/>
              <w:right w:val="single" w:sz="4" w:space="0" w:color="auto"/>
            </w:tcBorders>
            <w:shd w:val="clear" w:color="auto" w:fill="auto"/>
            <w:noWrap/>
          </w:tcPr>
          <w:p w14:paraId="76D9C0C7" w14:textId="77777777" w:rsidR="008B4498" w:rsidRPr="008B4498" w:rsidRDefault="008B4498" w:rsidP="00F72F11">
            <w:pPr>
              <w:jc w:val="both"/>
              <w:rPr>
                <w:rFonts w:ascii="Times New Roman" w:hAnsi="Times New Roman" w:cs="Times New Roman"/>
              </w:rPr>
            </w:pPr>
            <w:r w:rsidRPr="008B4498">
              <w:rPr>
                <w:rFonts w:ascii="Times New Roman" w:hAnsi="Times New Roman" w:cs="Times New Roman"/>
              </w:rPr>
              <w:t xml:space="preserve"> 1 132,9</w:t>
            </w:r>
          </w:p>
        </w:tc>
      </w:tr>
      <w:tr w:rsidR="008B4498" w:rsidRPr="001170E4" w14:paraId="30A385B1" w14:textId="77777777" w:rsidTr="0070305B">
        <w:trPr>
          <w:trHeight w:val="248"/>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0FBAE" w14:textId="77777777" w:rsidR="008B4498" w:rsidRPr="001170E4" w:rsidRDefault="008B4498" w:rsidP="00F72F11">
            <w:pPr>
              <w:spacing w:line="360" w:lineRule="auto"/>
              <w:jc w:val="both"/>
              <w:rPr>
                <w:rFonts w:ascii="Times New Roman" w:eastAsia="Times New Roman" w:hAnsi="Times New Roman" w:cs="Times New Roman"/>
                <w:b/>
                <w:lang w:eastAsia="en-GB"/>
              </w:rPr>
            </w:pPr>
            <w:r w:rsidRPr="001170E4">
              <w:rPr>
                <w:rFonts w:ascii="Times New Roman" w:eastAsia="Times New Roman" w:hAnsi="Times New Roman" w:cs="Times New Roman"/>
                <w:b/>
                <w:lang w:eastAsia="en-GB"/>
              </w:rPr>
              <w:t xml:space="preserve">2. Real Estate Investment Services </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41994" w14:textId="77777777" w:rsidR="008B4498" w:rsidRPr="001170E4" w:rsidRDefault="008B4498" w:rsidP="00F72F11">
            <w:pPr>
              <w:spacing w:line="360" w:lineRule="auto"/>
              <w:jc w:val="both"/>
              <w:rPr>
                <w:rFonts w:ascii="Times New Roman" w:eastAsia="Times New Roman" w:hAnsi="Times New Roman" w:cs="Times New Roman"/>
                <w:lang w:eastAsia="en-GB"/>
              </w:rPr>
            </w:pPr>
            <w:r w:rsidRPr="001170E4">
              <w:rPr>
                <w:rFonts w:ascii="Times New Roman" w:eastAsia="Times New Roman" w:hAnsi="Times New Roman" w:cs="Times New Roman"/>
                <w:lang w:eastAsia="en-GB"/>
              </w:rPr>
              <w:t xml:space="preserve">  117</w:t>
            </w:r>
            <w:r w:rsidR="009A2F7B">
              <w:rPr>
                <w:rFonts w:ascii="Times New Roman" w:eastAsia="Times New Roman" w:hAnsi="Times New Roman" w:cs="Times New Roman"/>
                <w:lang w:eastAsia="en-GB"/>
              </w:rPr>
              <w:t>,</w:t>
            </w:r>
            <w:r w:rsidRPr="001170E4">
              <w:rPr>
                <w:rFonts w:ascii="Times New Roman" w:eastAsia="Times New Roman" w:hAnsi="Times New Roman" w:cs="Times New Roman"/>
                <w:lang w:eastAsia="en-GB"/>
              </w:rPr>
              <w:t>8</w:t>
            </w:r>
          </w:p>
        </w:tc>
        <w:tc>
          <w:tcPr>
            <w:tcW w:w="1605" w:type="dxa"/>
            <w:tcBorders>
              <w:top w:val="single" w:sz="4" w:space="0" w:color="auto"/>
              <w:left w:val="single" w:sz="4" w:space="0" w:color="auto"/>
              <w:bottom w:val="single" w:sz="4" w:space="0" w:color="auto"/>
              <w:right w:val="single" w:sz="4" w:space="0" w:color="auto"/>
            </w:tcBorders>
            <w:shd w:val="clear" w:color="auto" w:fill="auto"/>
            <w:noWrap/>
          </w:tcPr>
          <w:p w14:paraId="789614A9" w14:textId="77777777" w:rsidR="008B4498" w:rsidRPr="008B4498" w:rsidRDefault="008B4498" w:rsidP="00F72F11">
            <w:pPr>
              <w:jc w:val="both"/>
              <w:rPr>
                <w:rFonts w:ascii="Times New Roman" w:hAnsi="Times New Roman" w:cs="Times New Roman"/>
              </w:rPr>
            </w:pPr>
            <w:r w:rsidRPr="008B4498">
              <w:rPr>
                <w:rFonts w:ascii="Times New Roman" w:hAnsi="Times New Roman" w:cs="Times New Roman"/>
              </w:rPr>
              <w:t xml:space="preserve">  131,4</w:t>
            </w:r>
          </w:p>
        </w:tc>
      </w:tr>
      <w:tr w:rsidR="008B4498" w:rsidRPr="001170E4" w14:paraId="0F58907F" w14:textId="77777777" w:rsidTr="0070305B">
        <w:trPr>
          <w:trHeight w:val="248"/>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C992B" w14:textId="77777777" w:rsidR="008B4498" w:rsidRPr="001170E4" w:rsidRDefault="008B4498" w:rsidP="00F72F11">
            <w:pPr>
              <w:spacing w:line="360" w:lineRule="auto"/>
              <w:jc w:val="both"/>
              <w:rPr>
                <w:rFonts w:ascii="Times New Roman" w:eastAsia="Times New Roman" w:hAnsi="Times New Roman" w:cs="Times New Roman"/>
                <w:b/>
                <w:lang w:eastAsia="en-GB"/>
              </w:rPr>
            </w:pPr>
            <w:r w:rsidRPr="001170E4">
              <w:rPr>
                <w:rFonts w:ascii="Times New Roman" w:eastAsia="Times New Roman" w:hAnsi="Times New Roman" w:cs="Times New Roman"/>
                <w:b/>
                <w:lang w:eastAsia="en-GB"/>
              </w:rPr>
              <w:t>3. Construction Project Management</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CAD22" w14:textId="77777777" w:rsidR="008B4498" w:rsidRPr="001170E4" w:rsidRDefault="008B4498" w:rsidP="00F72F11">
            <w:pPr>
              <w:spacing w:line="360" w:lineRule="auto"/>
              <w:jc w:val="both"/>
              <w:rPr>
                <w:rFonts w:ascii="Times New Roman" w:eastAsia="Times New Roman" w:hAnsi="Times New Roman" w:cs="Times New Roman"/>
                <w:lang w:eastAsia="en-GB"/>
              </w:rPr>
            </w:pPr>
            <w:r w:rsidRPr="001170E4">
              <w:rPr>
                <w:rFonts w:ascii="Times New Roman" w:eastAsia="Times New Roman" w:hAnsi="Times New Roman" w:cs="Times New Roman"/>
                <w:lang w:eastAsia="en-GB"/>
              </w:rPr>
              <w:t xml:space="preserve">  274</w:t>
            </w:r>
            <w:r w:rsidR="009A2F7B">
              <w:rPr>
                <w:rFonts w:ascii="Times New Roman" w:eastAsia="Times New Roman" w:hAnsi="Times New Roman" w:cs="Times New Roman"/>
                <w:lang w:eastAsia="en-GB"/>
              </w:rPr>
              <w:t>,</w:t>
            </w:r>
            <w:r w:rsidRPr="001170E4">
              <w:rPr>
                <w:rFonts w:ascii="Times New Roman" w:eastAsia="Times New Roman" w:hAnsi="Times New Roman" w:cs="Times New Roman"/>
                <w:lang w:eastAsia="en-GB"/>
              </w:rPr>
              <w:t>9</w:t>
            </w:r>
          </w:p>
        </w:tc>
        <w:tc>
          <w:tcPr>
            <w:tcW w:w="1605" w:type="dxa"/>
            <w:tcBorders>
              <w:top w:val="single" w:sz="4" w:space="0" w:color="auto"/>
              <w:left w:val="single" w:sz="4" w:space="0" w:color="auto"/>
              <w:bottom w:val="single" w:sz="4" w:space="0" w:color="auto"/>
              <w:right w:val="single" w:sz="4" w:space="0" w:color="auto"/>
            </w:tcBorders>
            <w:shd w:val="clear" w:color="auto" w:fill="auto"/>
            <w:noWrap/>
          </w:tcPr>
          <w:p w14:paraId="22AAD921" w14:textId="77777777" w:rsidR="008B4498" w:rsidRPr="008B4498" w:rsidRDefault="008B4498" w:rsidP="00F72F11">
            <w:pPr>
              <w:jc w:val="both"/>
              <w:rPr>
                <w:rFonts w:ascii="Times New Roman" w:hAnsi="Times New Roman" w:cs="Times New Roman"/>
              </w:rPr>
            </w:pPr>
            <w:r w:rsidRPr="008B4498">
              <w:rPr>
                <w:rFonts w:ascii="Times New Roman" w:hAnsi="Times New Roman" w:cs="Times New Roman"/>
              </w:rPr>
              <w:t xml:space="preserve">  318,2</w:t>
            </w:r>
          </w:p>
        </w:tc>
      </w:tr>
      <w:tr w:rsidR="008B4498" w:rsidRPr="001170E4" w14:paraId="0FED8157" w14:textId="77777777" w:rsidTr="0070305B">
        <w:trPr>
          <w:trHeight w:val="248"/>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C12E1" w14:textId="77777777" w:rsidR="008B4498" w:rsidRPr="001170E4" w:rsidRDefault="008B4498" w:rsidP="00F72F11">
            <w:pPr>
              <w:spacing w:line="360" w:lineRule="auto"/>
              <w:jc w:val="both"/>
              <w:rPr>
                <w:rFonts w:ascii="Times New Roman" w:eastAsia="Times New Roman" w:hAnsi="Times New Roman" w:cs="Times New Roman"/>
                <w:b/>
                <w:lang w:eastAsia="en-GB"/>
              </w:rPr>
            </w:pPr>
            <w:r w:rsidRPr="001170E4">
              <w:rPr>
                <w:rFonts w:ascii="Times New Roman" w:eastAsia="Times New Roman" w:hAnsi="Times New Roman" w:cs="Times New Roman"/>
                <w:b/>
                <w:lang w:eastAsia="en-GB"/>
              </w:rPr>
              <w:t xml:space="preserve">4. Real Estate Management  </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D2B2A" w14:textId="77777777" w:rsidR="008B4498" w:rsidRPr="001170E4" w:rsidRDefault="008B4498" w:rsidP="00F72F11">
            <w:pPr>
              <w:spacing w:line="360" w:lineRule="auto"/>
              <w:jc w:val="both"/>
              <w:rPr>
                <w:rFonts w:ascii="Times New Roman" w:eastAsia="Times New Roman" w:hAnsi="Times New Roman" w:cs="Times New Roman"/>
                <w:lang w:eastAsia="en-GB"/>
              </w:rPr>
            </w:pPr>
            <w:r w:rsidRPr="001170E4">
              <w:rPr>
                <w:rFonts w:ascii="Times New Roman" w:eastAsia="Times New Roman" w:hAnsi="Times New Roman" w:cs="Times New Roman"/>
                <w:lang w:eastAsia="en-GB"/>
              </w:rPr>
              <w:t xml:space="preserve"> 10 874</w:t>
            </w:r>
            <w:r w:rsidR="009A2F7B">
              <w:rPr>
                <w:rFonts w:ascii="Times New Roman" w:eastAsia="Times New Roman" w:hAnsi="Times New Roman" w:cs="Times New Roman"/>
                <w:lang w:eastAsia="en-GB"/>
              </w:rPr>
              <w:t>,</w:t>
            </w:r>
            <w:r w:rsidRPr="001170E4">
              <w:rPr>
                <w:rFonts w:ascii="Times New Roman" w:eastAsia="Times New Roman" w:hAnsi="Times New Roman" w:cs="Times New Roman"/>
                <w:lang w:eastAsia="en-GB"/>
              </w:rPr>
              <w:t>7</w:t>
            </w:r>
          </w:p>
        </w:tc>
        <w:tc>
          <w:tcPr>
            <w:tcW w:w="1605" w:type="dxa"/>
            <w:tcBorders>
              <w:top w:val="single" w:sz="4" w:space="0" w:color="auto"/>
              <w:left w:val="single" w:sz="4" w:space="0" w:color="auto"/>
              <w:bottom w:val="single" w:sz="4" w:space="0" w:color="auto"/>
              <w:right w:val="single" w:sz="4" w:space="0" w:color="auto"/>
            </w:tcBorders>
            <w:shd w:val="clear" w:color="auto" w:fill="auto"/>
            <w:noWrap/>
          </w:tcPr>
          <w:p w14:paraId="104DB38A" w14:textId="77777777" w:rsidR="008B4498" w:rsidRPr="008B4498" w:rsidRDefault="008B4498" w:rsidP="00F72F11">
            <w:pPr>
              <w:jc w:val="both"/>
              <w:rPr>
                <w:rFonts w:ascii="Times New Roman" w:hAnsi="Times New Roman" w:cs="Times New Roman"/>
              </w:rPr>
            </w:pPr>
            <w:r w:rsidRPr="008B4498">
              <w:rPr>
                <w:rFonts w:ascii="Times New Roman" w:hAnsi="Times New Roman" w:cs="Times New Roman"/>
              </w:rPr>
              <w:t xml:space="preserve"> 10 475,3</w:t>
            </w:r>
          </w:p>
        </w:tc>
      </w:tr>
      <w:tr w:rsidR="008B4498" w:rsidRPr="001170E4" w14:paraId="331319D4" w14:textId="77777777" w:rsidTr="0070305B">
        <w:trPr>
          <w:trHeight w:val="248"/>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78FAB" w14:textId="77777777" w:rsidR="008B4498" w:rsidRPr="001170E4" w:rsidRDefault="008B4498" w:rsidP="00F72F11">
            <w:pPr>
              <w:spacing w:line="360" w:lineRule="auto"/>
              <w:jc w:val="both"/>
              <w:rPr>
                <w:rFonts w:ascii="Times New Roman" w:eastAsia="Times New Roman" w:hAnsi="Times New Roman" w:cs="Times New Roman"/>
                <w:b/>
                <w:lang w:eastAsia="en-GB"/>
              </w:rPr>
            </w:pPr>
            <w:r w:rsidRPr="001170E4">
              <w:rPr>
                <w:rFonts w:ascii="Times New Roman" w:eastAsia="Times New Roman" w:hAnsi="Times New Roman" w:cs="Times New Roman"/>
                <w:b/>
                <w:lang w:eastAsia="en-GB"/>
              </w:rPr>
              <w:t>5. Real Estate Information and Registry Services</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F5B47" w14:textId="77777777" w:rsidR="008B4498" w:rsidRPr="001170E4" w:rsidRDefault="008B4498" w:rsidP="00F72F11">
            <w:pPr>
              <w:spacing w:line="360" w:lineRule="auto"/>
              <w:jc w:val="both"/>
              <w:rPr>
                <w:rFonts w:ascii="Times New Roman" w:eastAsia="Times New Roman" w:hAnsi="Times New Roman" w:cs="Times New Roman"/>
                <w:lang w:eastAsia="en-GB"/>
              </w:rPr>
            </w:pPr>
            <w:r w:rsidRPr="001170E4">
              <w:rPr>
                <w:rFonts w:ascii="Times New Roman" w:eastAsia="Times New Roman" w:hAnsi="Times New Roman" w:cs="Times New Roman"/>
                <w:lang w:eastAsia="en-GB"/>
              </w:rPr>
              <w:t xml:space="preserve">  72</w:t>
            </w:r>
            <w:r w:rsidR="009A2F7B">
              <w:rPr>
                <w:rFonts w:ascii="Times New Roman" w:eastAsia="Times New Roman" w:hAnsi="Times New Roman" w:cs="Times New Roman"/>
                <w:lang w:eastAsia="en-GB"/>
              </w:rPr>
              <w:t>,</w:t>
            </w:r>
            <w:r w:rsidRPr="001170E4">
              <w:rPr>
                <w:rFonts w:ascii="Times New Roman" w:eastAsia="Times New Roman" w:hAnsi="Times New Roman" w:cs="Times New Roman"/>
                <w:lang w:eastAsia="en-GB"/>
              </w:rPr>
              <w:t>2</w:t>
            </w:r>
          </w:p>
        </w:tc>
        <w:tc>
          <w:tcPr>
            <w:tcW w:w="1605" w:type="dxa"/>
            <w:tcBorders>
              <w:top w:val="single" w:sz="4" w:space="0" w:color="auto"/>
              <w:left w:val="single" w:sz="4" w:space="0" w:color="auto"/>
              <w:bottom w:val="single" w:sz="4" w:space="0" w:color="auto"/>
              <w:right w:val="single" w:sz="4" w:space="0" w:color="auto"/>
            </w:tcBorders>
            <w:shd w:val="clear" w:color="auto" w:fill="auto"/>
            <w:noWrap/>
          </w:tcPr>
          <w:p w14:paraId="687D898F" w14:textId="77777777" w:rsidR="008B4498" w:rsidRPr="008B4498" w:rsidRDefault="008B4498" w:rsidP="00F72F11">
            <w:pPr>
              <w:jc w:val="both"/>
              <w:rPr>
                <w:rFonts w:ascii="Times New Roman" w:hAnsi="Times New Roman" w:cs="Times New Roman"/>
              </w:rPr>
            </w:pPr>
            <w:r w:rsidRPr="008B4498">
              <w:rPr>
                <w:rFonts w:ascii="Times New Roman" w:hAnsi="Times New Roman" w:cs="Times New Roman"/>
              </w:rPr>
              <w:t xml:space="preserve">  108,9</w:t>
            </w:r>
          </w:p>
        </w:tc>
      </w:tr>
      <w:tr w:rsidR="008B4498" w:rsidRPr="001170E4" w14:paraId="6C9C47C3" w14:textId="77777777" w:rsidTr="0070305B">
        <w:trPr>
          <w:trHeight w:val="248"/>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9C8C" w14:textId="77777777" w:rsidR="008B4498" w:rsidRPr="001170E4" w:rsidRDefault="008B4498" w:rsidP="00F72F11">
            <w:pPr>
              <w:spacing w:line="360" w:lineRule="auto"/>
              <w:jc w:val="both"/>
              <w:rPr>
                <w:rFonts w:ascii="Times New Roman" w:eastAsia="Times New Roman" w:hAnsi="Times New Roman" w:cs="Times New Roman"/>
                <w:b/>
                <w:lang w:eastAsia="en-GB"/>
              </w:rPr>
            </w:pPr>
            <w:r w:rsidRPr="001170E4">
              <w:rPr>
                <w:rFonts w:ascii="Times New Roman" w:eastAsia="Times New Roman" w:hAnsi="Times New Roman" w:cs="Times New Roman"/>
                <w:b/>
                <w:lang w:eastAsia="en-GB"/>
              </w:rPr>
              <w:t>6. Facilities Management Services</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CB273" w14:textId="77777777" w:rsidR="008B4498" w:rsidRPr="001170E4" w:rsidRDefault="008B4498" w:rsidP="00F72F11">
            <w:pPr>
              <w:spacing w:line="360" w:lineRule="auto"/>
              <w:jc w:val="both"/>
              <w:rPr>
                <w:rFonts w:ascii="Times New Roman" w:eastAsia="Times New Roman" w:hAnsi="Times New Roman" w:cs="Times New Roman"/>
                <w:lang w:eastAsia="en-GB"/>
              </w:rPr>
            </w:pPr>
            <w:r w:rsidRPr="001170E4">
              <w:rPr>
                <w:rFonts w:ascii="Times New Roman" w:eastAsia="Times New Roman" w:hAnsi="Times New Roman" w:cs="Times New Roman"/>
                <w:lang w:eastAsia="en-GB"/>
              </w:rPr>
              <w:t xml:space="preserve"> 3 202</w:t>
            </w:r>
            <w:r w:rsidR="009A2F7B">
              <w:rPr>
                <w:rFonts w:ascii="Times New Roman" w:eastAsia="Times New Roman" w:hAnsi="Times New Roman" w:cs="Times New Roman"/>
                <w:lang w:eastAsia="en-GB"/>
              </w:rPr>
              <w:t>,</w:t>
            </w:r>
            <w:r w:rsidRPr="001170E4">
              <w:rPr>
                <w:rFonts w:ascii="Times New Roman" w:eastAsia="Times New Roman" w:hAnsi="Times New Roman" w:cs="Times New Roman"/>
                <w:lang w:eastAsia="en-GB"/>
              </w:rPr>
              <w:t>5</w:t>
            </w:r>
          </w:p>
        </w:tc>
        <w:tc>
          <w:tcPr>
            <w:tcW w:w="1605" w:type="dxa"/>
            <w:tcBorders>
              <w:top w:val="single" w:sz="4" w:space="0" w:color="auto"/>
              <w:left w:val="single" w:sz="4" w:space="0" w:color="auto"/>
              <w:bottom w:val="single" w:sz="4" w:space="0" w:color="auto"/>
              <w:right w:val="single" w:sz="4" w:space="0" w:color="auto"/>
            </w:tcBorders>
            <w:shd w:val="clear" w:color="auto" w:fill="auto"/>
            <w:noWrap/>
          </w:tcPr>
          <w:p w14:paraId="77E6CEE6" w14:textId="77777777" w:rsidR="008B4498" w:rsidRPr="008B4498" w:rsidRDefault="008B4498" w:rsidP="00F72F11">
            <w:pPr>
              <w:jc w:val="both"/>
              <w:rPr>
                <w:rFonts w:ascii="Times New Roman" w:hAnsi="Times New Roman" w:cs="Times New Roman"/>
              </w:rPr>
            </w:pPr>
            <w:r w:rsidRPr="008B4498">
              <w:rPr>
                <w:rFonts w:ascii="Times New Roman" w:hAnsi="Times New Roman" w:cs="Times New Roman"/>
              </w:rPr>
              <w:t xml:space="preserve"> 3 269,6</w:t>
            </w:r>
          </w:p>
        </w:tc>
      </w:tr>
      <w:tr w:rsidR="003A7C1A" w:rsidRPr="001170E4" w14:paraId="57C844A7" w14:textId="77777777" w:rsidTr="003A7C1A">
        <w:trPr>
          <w:trHeight w:val="248"/>
        </w:trPr>
        <w:tc>
          <w:tcPr>
            <w:tcW w:w="5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9E792" w14:textId="77777777" w:rsidR="003A7C1A" w:rsidRPr="001170E4" w:rsidRDefault="003A7C1A" w:rsidP="00F72F11">
            <w:pPr>
              <w:spacing w:line="360" w:lineRule="auto"/>
              <w:jc w:val="both"/>
              <w:rPr>
                <w:rFonts w:ascii="Times New Roman" w:eastAsia="Times New Roman" w:hAnsi="Times New Roman" w:cs="Times New Roman"/>
                <w:b/>
                <w:lang w:eastAsia="en-GB"/>
              </w:rPr>
            </w:pPr>
            <w:r w:rsidRPr="001170E4">
              <w:rPr>
                <w:rFonts w:ascii="Times New Roman" w:eastAsia="Times New Roman" w:hAnsi="Times New Roman" w:cs="Times New Roman"/>
                <w:b/>
                <w:lang w:eastAsia="en-GB"/>
              </w:rPr>
              <w:t>TOTAL</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59CE3" w14:textId="77777777" w:rsidR="003A7C1A" w:rsidRPr="001170E4" w:rsidRDefault="003A7C1A" w:rsidP="00F72F11">
            <w:pPr>
              <w:spacing w:line="360" w:lineRule="auto"/>
              <w:jc w:val="both"/>
              <w:rPr>
                <w:rFonts w:ascii="Times New Roman" w:eastAsia="Times New Roman" w:hAnsi="Times New Roman" w:cs="Times New Roman"/>
                <w:b/>
                <w:lang w:eastAsia="en-GB"/>
              </w:rPr>
            </w:pPr>
            <w:r w:rsidRPr="001170E4">
              <w:rPr>
                <w:rFonts w:ascii="Times New Roman" w:eastAsia="Times New Roman" w:hAnsi="Times New Roman" w:cs="Times New Roman"/>
                <w:b/>
                <w:lang w:eastAsia="en-GB"/>
              </w:rPr>
              <w:t xml:space="preserve"> 15 254.1</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089EE" w14:textId="77777777" w:rsidR="003A7C1A" w:rsidRPr="008B4498" w:rsidRDefault="008B4498" w:rsidP="00F72F11">
            <w:pPr>
              <w:spacing w:line="360" w:lineRule="auto"/>
              <w:jc w:val="both"/>
              <w:rPr>
                <w:rFonts w:ascii="Times New Roman" w:eastAsia="Times New Roman" w:hAnsi="Times New Roman" w:cs="Times New Roman"/>
                <w:b/>
                <w:lang w:eastAsia="en-GB"/>
              </w:rPr>
            </w:pPr>
            <w:r w:rsidRPr="008B4498">
              <w:rPr>
                <w:rFonts w:ascii="Times New Roman" w:eastAsia="Times New Roman" w:hAnsi="Times New Roman" w:cs="Times New Roman"/>
                <w:b/>
                <w:bCs/>
                <w:lang w:eastAsia="en-ZA"/>
              </w:rPr>
              <w:t>15 436,3</w:t>
            </w:r>
          </w:p>
        </w:tc>
      </w:tr>
    </w:tbl>
    <w:p w14:paraId="38FEA8AA"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Source: National Treasury (2017</w:t>
      </w:r>
      <w:r w:rsidR="0053081D">
        <w:rPr>
          <w:rFonts w:ascii="Times New Roman" w:hAnsi="Times New Roman" w:cs="Times New Roman"/>
        </w:rPr>
        <w:t>/18 and 2018/19</w:t>
      </w:r>
      <w:r w:rsidRPr="001170E4">
        <w:rPr>
          <w:rFonts w:ascii="Times New Roman" w:hAnsi="Times New Roman" w:cs="Times New Roman"/>
        </w:rPr>
        <w:t>)</w:t>
      </w:r>
    </w:p>
    <w:p w14:paraId="1C994E1D" w14:textId="77777777" w:rsidR="007375E4" w:rsidRPr="007375E4" w:rsidRDefault="007375E4" w:rsidP="00F72F11">
      <w:pPr>
        <w:spacing w:after="0" w:line="360" w:lineRule="auto"/>
        <w:jc w:val="both"/>
        <w:rPr>
          <w:rFonts w:ascii="Times New Roman" w:eastAsia="Calibri" w:hAnsi="Times New Roman" w:cs="Times New Roman"/>
          <w:lang w:val="en-GB"/>
        </w:rPr>
      </w:pPr>
      <w:r w:rsidRPr="007375E4">
        <w:rPr>
          <w:rFonts w:ascii="Times New Roman" w:eastAsia="Calibri" w:hAnsi="Times New Roman" w:cs="Times New Roman"/>
          <w:lang w:val="en-GB"/>
        </w:rPr>
        <w:t>The PMTE receives an allocation of R15</w:t>
      </w:r>
      <w:r w:rsidR="009A2F7B">
        <w:rPr>
          <w:rFonts w:ascii="Times New Roman" w:eastAsia="Calibri" w:hAnsi="Times New Roman" w:cs="Times New Roman"/>
          <w:lang w:val="en-GB"/>
        </w:rPr>
        <w:t>,</w:t>
      </w:r>
      <w:r w:rsidRPr="007375E4">
        <w:rPr>
          <w:rFonts w:ascii="Times New Roman" w:eastAsia="Calibri" w:hAnsi="Times New Roman" w:cs="Times New Roman"/>
          <w:lang w:val="en-GB"/>
        </w:rPr>
        <w:t>44 billion for the 2018/19 financial year, which is an increase of R182</w:t>
      </w:r>
      <w:r w:rsidR="009A2F7B">
        <w:rPr>
          <w:rFonts w:ascii="Times New Roman" w:eastAsia="Calibri" w:hAnsi="Times New Roman" w:cs="Times New Roman"/>
          <w:lang w:val="en-GB"/>
        </w:rPr>
        <w:t>,</w:t>
      </w:r>
      <w:r w:rsidRPr="007375E4">
        <w:rPr>
          <w:rFonts w:ascii="Times New Roman" w:eastAsia="Calibri" w:hAnsi="Times New Roman" w:cs="Times New Roman"/>
          <w:lang w:val="en-GB"/>
        </w:rPr>
        <w:t>2 million. This constitutes a nominal increase of 1</w:t>
      </w:r>
      <w:r w:rsidR="009A2F7B">
        <w:rPr>
          <w:rFonts w:ascii="Times New Roman" w:eastAsia="Calibri" w:hAnsi="Times New Roman" w:cs="Times New Roman"/>
          <w:lang w:val="en-GB"/>
        </w:rPr>
        <w:t>,</w:t>
      </w:r>
      <w:r w:rsidRPr="007375E4">
        <w:rPr>
          <w:rFonts w:ascii="Times New Roman" w:eastAsia="Calibri" w:hAnsi="Times New Roman" w:cs="Times New Roman"/>
          <w:lang w:val="en-GB"/>
        </w:rPr>
        <w:t>2% (or 4</w:t>
      </w:r>
      <w:r w:rsidR="009A2F7B">
        <w:rPr>
          <w:rFonts w:ascii="Times New Roman" w:eastAsia="Calibri" w:hAnsi="Times New Roman" w:cs="Times New Roman"/>
          <w:lang w:val="en-GB"/>
        </w:rPr>
        <w:t>,</w:t>
      </w:r>
      <w:r w:rsidRPr="007375E4">
        <w:rPr>
          <w:rFonts w:ascii="Times New Roman" w:eastAsia="Calibri" w:hAnsi="Times New Roman" w:cs="Times New Roman"/>
          <w:lang w:val="en-GB"/>
        </w:rPr>
        <w:t>1% decrease in real terms) from the revised appropriation of R15</w:t>
      </w:r>
      <w:r w:rsidR="009A2F7B">
        <w:rPr>
          <w:rFonts w:ascii="Times New Roman" w:eastAsia="Calibri" w:hAnsi="Times New Roman" w:cs="Times New Roman"/>
          <w:lang w:val="en-GB"/>
        </w:rPr>
        <w:t>,</w:t>
      </w:r>
      <w:r w:rsidRPr="007375E4">
        <w:rPr>
          <w:rFonts w:ascii="Times New Roman" w:eastAsia="Calibri" w:hAnsi="Times New Roman" w:cs="Times New Roman"/>
          <w:lang w:val="en-GB"/>
        </w:rPr>
        <w:t>25 billion in 2017/18.</w:t>
      </w:r>
    </w:p>
    <w:p w14:paraId="40566588" w14:textId="77777777" w:rsidR="00F72F11" w:rsidRDefault="00F72F11">
      <w:pPr>
        <w:rPr>
          <w:rFonts w:ascii="Times New Roman" w:hAnsi="Times New Roman" w:cs="Times New Roman"/>
        </w:rPr>
      </w:pPr>
      <w:r>
        <w:rPr>
          <w:rFonts w:ascii="Times New Roman" w:hAnsi="Times New Roman" w:cs="Times New Roman"/>
        </w:rPr>
        <w:br w:type="page"/>
      </w:r>
    </w:p>
    <w:p w14:paraId="4D81F8AF" w14:textId="77777777" w:rsidR="00BB1EE2" w:rsidRPr="001170E4" w:rsidRDefault="00BB1EE2" w:rsidP="00F72F11">
      <w:pPr>
        <w:pStyle w:val="Heading3"/>
        <w:spacing w:line="360" w:lineRule="auto"/>
        <w:rPr>
          <w:rFonts w:ascii="Times New Roman" w:hAnsi="Times New Roman"/>
          <w:i w:val="0"/>
          <w:color w:val="auto"/>
          <w:szCs w:val="22"/>
        </w:rPr>
      </w:pPr>
      <w:bookmarkStart w:id="16" w:name="_Toc476913440"/>
      <w:bookmarkStart w:id="17" w:name="_Toc477174256"/>
      <w:r w:rsidRPr="001170E4">
        <w:rPr>
          <w:rFonts w:ascii="Times New Roman" w:hAnsi="Times New Roman"/>
          <w:i w:val="0"/>
          <w:color w:val="auto"/>
          <w:szCs w:val="22"/>
        </w:rPr>
        <w:lastRenderedPageBreak/>
        <w:t>2.2 Programme 1: Administration provides strategic management, governance and administrative support to the PMTE.</w:t>
      </w:r>
      <w:bookmarkEnd w:id="16"/>
      <w:bookmarkEnd w:id="17"/>
    </w:p>
    <w:p w14:paraId="0E2E2918" w14:textId="77777777" w:rsidR="004F3C80" w:rsidRPr="004F3C80" w:rsidRDefault="004F3C80" w:rsidP="00F72F11">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lang w:val="en-GB"/>
        </w:rPr>
      </w:pPr>
      <w:r w:rsidRPr="004F3C80">
        <w:rPr>
          <w:rFonts w:ascii="Times New Roman" w:eastAsia="Calibri" w:hAnsi="Times New Roman" w:cs="Times New Roman"/>
          <w:lang w:val="en-GB"/>
        </w:rPr>
        <w:t>The total allocation for Programme 1 equals R1</w:t>
      </w:r>
      <w:r w:rsidR="009A2F7B">
        <w:rPr>
          <w:rFonts w:ascii="Times New Roman" w:eastAsia="Calibri" w:hAnsi="Times New Roman" w:cs="Times New Roman"/>
          <w:lang w:val="en-GB"/>
        </w:rPr>
        <w:t>,</w:t>
      </w:r>
      <w:r w:rsidRPr="004F3C80">
        <w:rPr>
          <w:rFonts w:ascii="Times New Roman" w:eastAsia="Calibri" w:hAnsi="Times New Roman" w:cs="Times New Roman"/>
          <w:lang w:val="en-GB"/>
        </w:rPr>
        <w:t>13 billion for the 2018/19 financial year, which is an increase of R420</w:t>
      </w:r>
      <w:r w:rsidR="009A2F7B">
        <w:rPr>
          <w:rFonts w:ascii="Times New Roman" w:eastAsia="Calibri" w:hAnsi="Times New Roman" w:cs="Times New Roman"/>
          <w:lang w:val="en-GB"/>
        </w:rPr>
        <w:t>,</w:t>
      </w:r>
      <w:r w:rsidRPr="004F3C80">
        <w:rPr>
          <w:rFonts w:ascii="Times New Roman" w:eastAsia="Calibri" w:hAnsi="Times New Roman" w:cs="Times New Roman"/>
          <w:lang w:val="en-GB"/>
        </w:rPr>
        <w:t>9 million. This constitutes a nominal increase of 59</w:t>
      </w:r>
      <w:r w:rsidR="009A2F7B">
        <w:rPr>
          <w:rFonts w:ascii="Times New Roman" w:eastAsia="Calibri" w:hAnsi="Times New Roman" w:cs="Times New Roman"/>
          <w:lang w:val="en-GB"/>
        </w:rPr>
        <w:t>,</w:t>
      </w:r>
      <w:r w:rsidRPr="004F3C80">
        <w:rPr>
          <w:rFonts w:ascii="Times New Roman" w:eastAsia="Calibri" w:hAnsi="Times New Roman" w:cs="Times New Roman"/>
          <w:lang w:val="en-GB"/>
        </w:rPr>
        <w:t>1% (or 50</w:t>
      </w:r>
      <w:r w:rsidR="009A2F7B">
        <w:rPr>
          <w:rFonts w:ascii="Times New Roman" w:eastAsia="Calibri" w:hAnsi="Times New Roman" w:cs="Times New Roman"/>
          <w:lang w:val="en-GB"/>
        </w:rPr>
        <w:t>,</w:t>
      </w:r>
      <w:r w:rsidRPr="004F3C80">
        <w:rPr>
          <w:rFonts w:ascii="Times New Roman" w:eastAsia="Calibri" w:hAnsi="Times New Roman" w:cs="Times New Roman"/>
          <w:lang w:val="en-GB"/>
        </w:rPr>
        <w:t>8% in real terms) from the revised appropriation of R712</w:t>
      </w:r>
      <w:r w:rsidR="009A2F7B">
        <w:rPr>
          <w:rFonts w:ascii="Times New Roman" w:eastAsia="Calibri" w:hAnsi="Times New Roman" w:cs="Times New Roman"/>
          <w:lang w:val="en-GB"/>
        </w:rPr>
        <w:t>,</w:t>
      </w:r>
      <w:r w:rsidRPr="004F3C80">
        <w:rPr>
          <w:rFonts w:ascii="Times New Roman" w:eastAsia="Calibri" w:hAnsi="Times New Roman" w:cs="Times New Roman"/>
          <w:lang w:val="en-GB"/>
        </w:rPr>
        <w:t>0 million in 2017/18.</w:t>
      </w:r>
      <w:r w:rsidRPr="004F3C80">
        <w:rPr>
          <w:rFonts w:ascii="Times New Roman" w:eastAsia="Calibri" w:hAnsi="Times New Roman" w:cs="Times New Roman"/>
          <w:vertAlign w:val="superscript"/>
          <w:lang w:val="en-GB"/>
        </w:rPr>
        <w:footnoteReference w:id="42"/>
      </w:r>
    </w:p>
    <w:p w14:paraId="1BEB3731" w14:textId="77777777" w:rsidR="00BB1EE2" w:rsidRPr="001170E4" w:rsidRDefault="00BB1EE2" w:rsidP="00F72F11">
      <w:pPr>
        <w:spacing w:line="360" w:lineRule="auto"/>
        <w:jc w:val="both"/>
        <w:rPr>
          <w:rFonts w:ascii="Times New Roman" w:hAnsi="Times New Roman" w:cs="Times New Roman"/>
        </w:rPr>
      </w:pPr>
    </w:p>
    <w:p w14:paraId="29B1127E"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The following targets are reported for the 2017/18 financial year</w:t>
      </w:r>
      <w:r w:rsidRPr="001170E4">
        <w:rPr>
          <w:rStyle w:val="FootnoteReference"/>
          <w:rFonts w:ascii="Times New Roman" w:hAnsi="Times New Roman" w:cs="Times New Roman"/>
        </w:rPr>
        <w:footnoteReference w:id="43"/>
      </w:r>
      <w:r w:rsidRPr="001170E4">
        <w:rPr>
          <w:rFonts w:ascii="Times New Roman" w:hAnsi="Times New Roman" w:cs="Times New Roman"/>
        </w:rPr>
        <w:t>:</w:t>
      </w:r>
    </w:p>
    <w:p w14:paraId="091F2E63" w14:textId="77777777" w:rsidR="003C6D26" w:rsidRPr="003C6D26" w:rsidRDefault="003C6D26" w:rsidP="00B41D07">
      <w:pPr>
        <w:numPr>
          <w:ilvl w:val="0"/>
          <w:numId w:val="22"/>
        </w:numPr>
        <w:spacing w:after="0" w:line="360" w:lineRule="auto"/>
        <w:jc w:val="both"/>
        <w:rPr>
          <w:rFonts w:ascii="Times New Roman" w:eastAsia="Calibri" w:hAnsi="Times New Roman" w:cs="Times New Roman"/>
          <w:lang w:val="en-GB"/>
        </w:rPr>
      </w:pPr>
      <w:r w:rsidRPr="003C6D26">
        <w:rPr>
          <w:rFonts w:ascii="Times New Roman" w:eastAsia="Calibri" w:hAnsi="Times New Roman" w:cs="Times New Roman"/>
          <w:lang w:val="en-GB"/>
        </w:rPr>
        <w:t>Settle 100% of all compliant invoices within 30 days.</w:t>
      </w:r>
    </w:p>
    <w:p w14:paraId="0C4351CD" w14:textId="77777777" w:rsidR="003C6D26" w:rsidRPr="003C6D26" w:rsidRDefault="003C6D26" w:rsidP="00B41D07">
      <w:pPr>
        <w:numPr>
          <w:ilvl w:val="0"/>
          <w:numId w:val="22"/>
        </w:num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t>Identify and incubate two</w:t>
      </w:r>
      <w:r w:rsidRPr="003C6D26">
        <w:rPr>
          <w:rFonts w:ascii="Times New Roman" w:eastAsia="Calibri" w:hAnsi="Times New Roman" w:cs="Times New Roman"/>
          <w:lang w:val="en-GB"/>
        </w:rPr>
        <w:t xml:space="preserve"> new revenue generating sources.</w:t>
      </w:r>
    </w:p>
    <w:p w14:paraId="0DA5E40B" w14:textId="77777777" w:rsidR="003C6D26" w:rsidRPr="003C6D26" w:rsidRDefault="003C6D26" w:rsidP="00B41D07">
      <w:pPr>
        <w:numPr>
          <w:ilvl w:val="0"/>
          <w:numId w:val="22"/>
        </w:numPr>
        <w:spacing w:after="0" w:line="360" w:lineRule="auto"/>
        <w:jc w:val="both"/>
        <w:rPr>
          <w:rFonts w:ascii="Times New Roman" w:eastAsia="Calibri" w:hAnsi="Times New Roman" w:cs="Times New Roman"/>
          <w:lang w:val="en-GB"/>
        </w:rPr>
      </w:pPr>
      <w:r w:rsidRPr="003C6D26">
        <w:rPr>
          <w:rFonts w:ascii="Times New Roman" w:eastAsia="Calibri" w:hAnsi="Times New Roman" w:cs="Times New Roman"/>
          <w:lang w:val="en-GB"/>
        </w:rPr>
        <w:t>Issue 15 identified User Departments with itemised billing.</w:t>
      </w:r>
    </w:p>
    <w:p w14:paraId="302A20CF" w14:textId="77777777" w:rsidR="003C6D26" w:rsidRPr="003C6D26" w:rsidRDefault="003C6D26" w:rsidP="00B41D07">
      <w:pPr>
        <w:numPr>
          <w:ilvl w:val="0"/>
          <w:numId w:val="22"/>
        </w:numPr>
        <w:spacing w:after="0" w:line="360" w:lineRule="auto"/>
        <w:jc w:val="both"/>
        <w:rPr>
          <w:rFonts w:ascii="Times New Roman" w:eastAsia="Calibri" w:hAnsi="Times New Roman" w:cs="Times New Roman"/>
          <w:lang w:val="en-GB"/>
        </w:rPr>
      </w:pPr>
      <w:r w:rsidRPr="003C6D26">
        <w:rPr>
          <w:rFonts w:ascii="Times New Roman" w:eastAsia="Calibri" w:hAnsi="Times New Roman" w:cs="Times New Roman"/>
          <w:lang w:val="en-GB"/>
        </w:rPr>
        <w:t>Approve Financial Model.</w:t>
      </w:r>
    </w:p>
    <w:p w14:paraId="5B39827C" w14:textId="77777777" w:rsidR="003C6D26" w:rsidRPr="003C6D26" w:rsidRDefault="003C6D26" w:rsidP="00B41D07">
      <w:pPr>
        <w:numPr>
          <w:ilvl w:val="0"/>
          <w:numId w:val="22"/>
        </w:numPr>
        <w:spacing w:after="0" w:line="360" w:lineRule="auto"/>
        <w:jc w:val="both"/>
        <w:rPr>
          <w:rFonts w:ascii="Times New Roman" w:eastAsia="Calibri" w:hAnsi="Times New Roman" w:cs="Times New Roman"/>
          <w:lang w:val="en-GB"/>
        </w:rPr>
      </w:pPr>
      <w:r w:rsidRPr="003C6D26">
        <w:rPr>
          <w:rFonts w:ascii="Times New Roman" w:eastAsia="Calibri" w:hAnsi="Times New Roman" w:cs="Times New Roman"/>
          <w:lang w:val="en-GB"/>
        </w:rPr>
        <w:t>Award 60% of bids within the 56 working days of closure of tender advertisement.</w:t>
      </w:r>
    </w:p>
    <w:p w14:paraId="484FAE5B" w14:textId="77777777" w:rsidR="003C6D26" w:rsidRPr="003C6D26" w:rsidRDefault="003C6D26" w:rsidP="00B41D07">
      <w:pPr>
        <w:numPr>
          <w:ilvl w:val="0"/>
          <w:numId w:val="22"/>
        </w:numPr>
        <w:spacing w:after="0" w:line="360" w:lineRule="auto"/>
        <w:jc w:val="both"/>
        <w:rPr>
          <w:rFonts w:ascii="Times New Roman" w:eastAsia="Calibri" w:hAnsi="Times New Roman" w:cs="Times New Roman"/>
          <w:lang w:val="en-GB"/>
        </w:rPr>
      </w:pPr>
      <w:r w:rsidRPr="003C6D26">
        <w:rPr>
          <w:rFonts w:ascii="Times New Roman" w:eastAsia="Calibri" w:hAnsi="Times New Roman" w:cs="Times New Roman"/>
          <w:lang w:val="en-GB"/>
        </w:rPr>
        <w:t xml:space="preserve">Award 77% of quotations within 30 days from the requisition date. </w:t>
      </w:r>
    </w:p>
    <w:p w14:paraId="33E0B4B2" w14:textId="77777777" w:rsidR="003C6D26" w:rsidRPr="003C6D26" w:rsidRDefault="003C6D26" w:rsidP="00B41D07">
      <w:pPr>
        <w:numPr>
          <w:ilvl w:val="0"/>
          <w:numId w:val="22"/>
        </w:numPr>
        <w:spacing w:after="0" w:line="360" w:lineRule="auto"/>
        <w:jc w:val="both"/>
        <w:rPr>
          <w:rFonts w:ascii="Times New Roman" w:eastAsia="Calibri" w:hAnsi="Times New Roman" w:cs="Times New Roman"/>
          <w:lang w:val="en-GB"/>
        </w:rPr>
      </w:pPr>
      <w:r w:rsidRPr="003C6D26">
        <w:rPr>
          <w:rFonts w:ascii="Times New Roman" w:eastAsia="Calibri" w:hAnsi="Times New Roman" w:cs="Times New Roman"/>
          <w:lang w:val="en-GB"/>
        </w:rPr>
        <w:t>Award 75% of procurement spend for bids to designated groups in line with Preferential Procurement Regulations 2017.</w:t>
      </w:r>
    </w:p>
    <w:p w14:paraId="4E80F01F" w14:textId="77777777" w:rsidR="003C6D26" w:rsidRPr="003C6D26" w:rsidRDefault="003C6D26" w:rsidP="00B41D07">
      <w:pPr>
        <w:numPr>
          <w:ilvl w:val="0"/>
          <w:numId w:val="22"/>
        </w:numPr>
        <w:spacing w:after="0" w:line="360" w:lineRule="auto"/>
        <w:jc w:val="both"/>
        <w:rPr>
          <w:rFonts w:ascii="Times New Roman" w:eastAsia="Calibri" w:hAnsi="Times New Roman" w:cs="Times New Roman"/>
          <w:lang w:val="en-GB"/>
        </w:rPr>
      </w:pPr>
      <w:r w:rsidRPr="003C6D26">
        <w:rPr>
          <w:rFonts w:ascii="Times New Roman" w:eastAsia="Calibri" w:hAnsi="Times New Roman" w:cs="Times New Roman"/>
          <w:lang w:val="en-GB"/>
        </w:rPr>
        <w:t>Award 75% of bids to designated groups in line with Preferential Procurement Regulations 2017.</w:t>
      </w:r>
    </w:p>
    <w:p w14:paraId="4388BED6" w14:textId="77777777" w:rsidR="00BB1EE2" w:rsidRPr="001170E4" w:rsidRDefault="00BB1EE2" w:rsidP="00F72F11">
      <w:pPr>
        <w:spacing w:line="360" w:lineRule="auto"/>
        <w:jc w:val="both"/>
        <w:rPr>
          <w:rFonts w:ascii="Times New Roman" w:hAnsi="Times New Roman" w:cs="Times New Roman"/>
        </w:rPr>
      </w:pPr>
    </w:p>
    <w:p w14:paraId="700DEEF5" w14:textId="43A8D2E4" w:rsidR="00BB1EE2" w:rsidRPr="001170E4" w:rsidRDefault="0064329D" w:rsidP="00F72F11">
      <w:pPr>
        <w:spacing w:line="360" w:lineRule="auto"/>
        <w:jc w:val="both"/>
        <w:rPr>
          <w:rFonts w:ascii="Times New Roman" w:hAnsi="Times New Roman" w:cs="Times New Roman"/>
        </w:rPr>
      </w:pPr>
      <w:r>
        <w:rPr>
          <w:rFonts w:ascii="Times New Roman" w:hAnsi="Times New Roman" w:cs="Times New Roman"/>
        </w:rPr>
        <w:t>T</w:t>
      </w:r>
      <w:r w:rsidR="003C6D26">
        <w:rPr>
          <w:rFonts w:ascii="Times New Roman" w:hAnsi="Times New Roman" w:cs="Times New Roman"/>
        </w:rPr>
        <w:t>he PMTE continues to drive s</w:t>
      </w:r>
      <w:r w:rsidR="00BB1EE2" w:rsidRPr="001170E4">
        <w:rPr>
          <w:rFonts w:ascii="Times New Roman" w:hAnsi="Times New Roman" w:cs="Times New Roman"/>
        </w:rPr>
        <w:t>pecific initiatives for implementation over the short to medium term to increase revenue. This includes the following</w:t>
      </w:r>
      <w:r w:rsidR="00A35E65">
        <w:rPr>
          <w:rFonts w:ascii="Times New Roman" w:hAnsi="Times New Roman" w:cs="Times New Roman"/>
        </w:rPr>
        <w:t>:</w:t>
      </w:r>
      <w:r w:rsidR="00BB1EE2" w:rsidRPr="001170E4">
        <w:rPr>
          <w:rStyle w:val="FootnoteReference"/>
          <w:rFonts w:ascii="Times New Roman" w:hAnsi="Times New Roman" w:cs="Times New Roman"/>
        </w:rPr>
        <w:footnoteReference w:id="44"/>
      </w:r>
    </w:p>
    <w:p w14:paraId="61951753" w14:textId="77777777" w:rsidR="00BB1EE2" w:rsidRPr="001170E4" w:rsidRDefault="00BB1EE2" w:rsidP="00B41D07">
      <w:pPr>
        <w:numPr>
          <w:ilvl w:val="0"/>
          <w:numId w:val="31"/>
        </w:numPr>
        <w:spacing w:after="0" w:line="360" w:lineRule="auto"/>
        <w:jc w:val="both"/>
        <w:rPr>
          <w:rFonts w:ascii="Times New Roman" w:hAnsi="Times New Roman" w:cs="Times New Roman"/>
        </w:rPr>
      </w:pPr>
      <w:r w:rsidRPr="001170E4">
        <w:rPr>
          <w:rFonts w:ascii="Times New Roman" w:hAnsi="Times New Roman" w:cs="Times New Roman"/>
        </w:rPr>
        <w:t xml:space="preserve">Eliminate non-essential expenditure and implement measures to contain costs and ensure that value for money is achieved.  </w:t>
      </w:r>
    </w:p>
    <w:p w14:paraId="2FACC1C4" w14:textId="77777777" w:rsidR="00BB1EE2" w:rsidRPr="001170E4" w:rsidRDefault="00BB1EE2" w:rsidP="00B41D07">
      <w:pPr>
        <w:numPr>
          <w:ilvl w:val="0"/>
          <w:numId w:val="31"/>
        </w:numPr>
        <w:spacing w:after="0" w:line="360" w:lineRule="auto"/>
        <w:jc w:val="both"/>
        <w:rPr>
          <w:rFonts w:ascii="Times New Roman" w:hAnsi="Times New Roman" w:cs="Times New Roman"/>
        </w:rPr>
      </w:pPr>
      <w:r w:rsidRPr="001170E4">
        <w:rPr>
          <w:rFonts w:ascii="Times New Roman" w:hAnsi="Times New Roman" w:cs="Times New Roman"/>
        </w:rPr>
        <w:t>Let out vacant surplus State-owned properties at market-related rental prices.</w:t>
      </w:r>
    </w:p>
    <w:p w14:paraId="1192444A" w14:textId="77777777" w:rsidR="00BB1EE2" w:rsidRPr="001170E4" w:rsidRDefault="00BB1EE2" w:rsidP="00B41D07">
      <w:pPr>
        <w:numPr>
          <w:ilvl w:val="0"/>
          <w:numId w:val="31"/>
        </w:numPr>
        <w:spacing w:after="0" w:line="360" w:lineRule="auto"/>
        <w:jc w:val="both"/>
        <w:rPr>
          <w:rFonts w:ascii="Times New Roman" w:hAnsi="Times New Roman" w:cs="Times New Roman"/>
        </w:rPr>
      </w:pPr>
      <w:r w:rsidRPr="001170E4">
        <w:rPr>
          <w:rFonts w:ascii="Times New Roman" w:hAnsi="Times New Roman" w:cs="Times New Roman"/>
        </w:rPr>
        <w:t>Market the State property portfolio to the public.</w:t>
      </w:r>
    </w:p>
    <w:p w14:paraId="33527452" w14:textId="77777777" w:rsidR="00BB1EE2" w:rsidRPr="001170E4" w:rsidRDefault="00BB1EE2" w:rsidP="00B41D07">
      <w:pPr>
        <w:numPr>
          <w:ilvl w:val="0"/>
          <w:numId w:val="31"/>
        </w:numPr>
        <w:spacing w:after="0" w:line="360" w:lineRule="auto"/>
        <w:jc w:val="both"/>
        <w:rPr>
          <w:rFonts w:ascii="Times New Roman" w:hAnsi="Times New Roman" w:cs="Times New Roman"/>
        </w:rPr>
      </w:pPr>
      <w:r w:rsidRPr="001170E4">
        <w:rPr>
          <w:rFonts w:ascii="Times New Roman" w:hAnsi="Times New Roman" w:cs="Times New Roman"/>
        </w:rPr>
        <w:t>Conduct regular assessments of the leased out properties.</w:t>
      </w:r>
    </w:p>
    <w:p w14:paraId="7D45326C" w14:textId="77777777" w:rsidR="00BB1EE2" w:rsidRPr="001170E4" w:rsidRDefault="00BB1EE2" w:rsidP="00B41D07">
      <w:pPr>
        <w:numPr>
          <w:ilvl w:val="0"/>
          <w:numId w:val="31"/>
        </w:numPr>
        <w:spacing w:after="0" w:line="360" w:lineRule="auto"/>
        <w:jc w:val="both"/>
        <w:rPr>
          <w:rFonts w:ascii="Times New Roman" w:hAnsi="Times New Roman" w:cs="Times New Roman"/>
        </w:rPr>
      </w:pPr>
      <w:r w:rsidRPr="001170E4">
        <w:rPr>
          <w:rFonts w:ascii="Times New Roman" w:hAnsi="Times New Roman" w:cs="Times New Roman"/>
        </w:rPr>
        <w:t xml:space="preserve">Ensure the implementation of debt collection as per the Revenue Management Policy. </w:t>
      </w:r>
    </w:p>
    <w:p w14:paraId="62AC41C2" w14:textId="77777777" w:rsidR="00BB1EE2" w:rsidRPr="001170E4" w:rsidRDefault="00BB1EE2" w:rsidP="00B41D07">
      <w:pPr>
        <w:numPr>
          <w:ilvl w:val="0"/>
          <w:numId w:val="31"/>
        </w:numPr>
        <w:spacing w:after="0" w:line="360" w:lineRule="auto"/>
        <w:jc w:val="both"/>
        <w:rPr>
          <w:rFonts w:ascii="Times New Roman" w:hAnsi="Times New Roman" w:cs="Times New Roman"/>
        </w:rPr>
      </w:pPr>
      <w:r w:rsidRPr="001170E4">
        <w:rPr>
          <w:rFonts w:ascii="Times New Roman" w:hAnsi="Times New Roman" w:cs="Times New Roman"/>
        </w:rPr>
        <w:t xml:space="preserve">Maintain State-owned properties.  </w:t>
      </w:r>
    </w:p>
    <w:p w14:paraId="0563984E" w14:textId="77777777" w:rsidR="00BB1EE2" w:rsidRPr="001170E4" w:rsidRDefault="00BB1EE2" w:rsidP="00F72F11">
      <w:pPr>
        <w:spacing w:line="360" w:lineRule="auto"/>
        <w:jc w:val="both"/>
        <w:rPr>
          <w:rFonts w:ascii="Times New Roman" w:hAnsi="Times New Roman" w:cs="Times New Roman"/>
        </w:rPr>
      </w:pPr>
    </w:p>
    <w:p w14:paraId="58D6A03B" w14:textId="77777777" w:rsidR="00BB1EE2" w:rsidRPr="001170E4" w:rsidRDefault="00BB1EE2" w:rsidP="00F72F11">
      <w:pPr>
        <w:pStyle w:val="Heading3"/>
        <w:spacing w:line="360" w:lineRule="auto"/>
        <w:rPr>
          <w:rFonts w:ascii="Times New Roman" w:hAnsi="Times New Roman"/>
          <w:i w:val="0"/>
          <w:color w:val="auto"/>
          <w:szCs w:val="22"/>
        </w:rPr>
      </w:pPr>
      <w:bookmarkStart w:id="18" w:name="_Toc476913441"/>
      <w:bookmarkStart w:id="19" w:name="_Toc477174257"/>
      <w:r w:rsidRPr="001170E4">
        <w:rPr>
          <w:rFonts w:ascii="Times New Roman" w:hAnsi="Times New Roman"/>
          <w:i w:val="0"/>
          <w:color w:val="auto"/>
          <w:szCs w:val="22"/>
        </w:rPr>
        <w:lastRenderedPageBreak/>
        <w:t>2.3. Programme 2: Real Estate Investment Services seeks to achieve an efficient and competitive Real Estate Portfolio for the State through effective planning, analysis and informed investments.</w:t>
      </w:r>
      <w:bookmarkEnd w:id="18"/>
      <w:bookmarkEnd w:id="19"/>
    </w:p>
    <w:p w14:paraId="3CCDE49B" w14:textId="77777777" w:rsidR="003C6D26" w:rsidRPr="003C6D26" w:rsidRDefault="003C6D26" w:rsidP="00F72F11">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lang w:val="en-GB"/>
        </w:rPr>
      </w:pPr>
      <w:r w:rsidRPr="003C6D26">
        <w:rPr>
          <w:rFonts w:ascii="Times New Roman" w:eastAsia="Calibri" w:hAnsi="Times New Roman" w:cs="Times New Roman"/>
          <w:lang w:val="en-GB"/>
        </w:rPr>
        <w:t>The total allocation for Programme 2 equals R131</w:t>
      </w:r>
      <w:r w:rsidR="009A2F7B">
        <w:rPr>
          <w:rFonts w:ascii="Times New Roman" w:eastAsia="Calibri" w:hAnsi="Times New Roman" w:cs="Times New Roman"/>
          <w:lang w:val="en-GB"/>
        </w:rPr>
        <w:t>,</w:t>
      </w:r>
      <w:r w:rsidRPr="003C6D26">
        <w:rPr>
          <w:rFonts w:ascii="Times New Roman" w:eastAsia="Calibri" w:hAnsi="Times New Roman" w:cs="Times New Roman"/>
          <w:lang w:val="en-GB"/>
        </w:rPr>
        <w:t>4 million for the 2018/19 financial year, which is an increase of R13</w:t>
      </w:r>
      <w:r w:rsidR="009A2F7B">
        <w:rPr>
          <w:rFonts w:ascii="Times New Roman" w:eastAsia="Calibri" w:hAnsi="Times New Roman" w:cs="Times New Roman"/>
          <w:lang w:val="en-GB"/>
        </w:rPr>
        <w:t>,</w:t>
      </w:r>
      <w:r w:rsidRPr="003C6D26">
        <w:rPr>
          <w:rFonts w:ascii="Times New Roman" w:eastAsia="Calibri" w:hAnsi="Times New Roman" w:cs="Times New Roman"/>
          <w:lang w:val="en-GB"/>
        </w:rPr>
        <w:t>6 million. This constitutes a nominal increase of 11</w:t>
      </w:r>
      <w:r w:rsidR="009A2F7B">
        <w:rPr>
          <w:rFonts w:ascii="Times New Roman" w:eastAsia="Calibri" w:hAnsi="Times New Roman" w:cs="Times New Roman"/>
          <w:lang w:val="en-GB"/>
        </w:rPr>
        <w:t>,</w:t>
      </w:r>
      <w:r w:rsidRPr="003C6D26">
        <w:rPr>
          <w:rFonts w:ascii="Times New Roman" w:eastAsia="Calibri" w:hAnsi="Times New Roman" w:cs="Times New Roman"/>
          <w:lang w:val="en-GB"/>
        </w:rPr>
        <w:t>5% (or a real increase of 5</w:t>
      </w:r>
      <w:r w:rsidR="009A2F7B">
        <w:rPr>
          <w:rFonts w:ascii="Times New Roman" w:eastAsia="Calibri" w:hAnsi="Times New Roman" w:cs="Times New Roman"/>
          <w:lang w:val="en-GB"/>
        </w:rPr>
        <w:t>,</w:t>
      </w:r>
      <w:r w:rsidRPr="003C6D26">
        <w:rPr>
          <w:rFonts w:ascii="Times New Roman" w:eastAsia="Calibri" w:hAnsi="Times New Roman" w:cs="Times New Roman"/>
          <w:lang w:val="en-GB"/>
        </w:rPr>
        <w:t>7%) from the revised appropriation of R117</w:t>
      </w:r>
      <w:r w:rsidR="009A2F7B">
        <w:rPr>
          <w:rFonts w:ascii="Times New Roman" w:eastAsia="Calibri" w:hAnsi="Times New Roman" w:cs="Times New Roman"/>
          <w:lang w:val="en-GB"/>
        </w:rPr>
        <w:t>,</w:t>
      </w:r>
      <w:r w:rsidRPr="003C6D26">
        <w:rPr>
          <w:rFonts w:ascii="Times New Roman" w:eastAsia="Calibri" w:hAnsi="Times New Roman" w:cs="Times New Roman"/>
          <w:lang w:val="en-GB"/>
        </w:rPr>
        <w:t>8 million in 2017/18.</w:t>
      </w:r>
      <w:r w:rsidRPr="003C6D26">
        <w:rPr>
          <w:rFonts w:ascii="Times New Roman" w:eastAsia="Calibri" w:hAnsi="Times New Roman" w:cs="Times New Roman"/>
          <w:vertAlign w:val="superscript"/>
          <w:lang w:val="en-GB"/>
        </w:rPr>
        <w:footnoteReference w:id="45"/>
      </w:r>
    </w:p>
    <w:p w14:paraId="41C7DABC" w14:textId="77777777" w:rsidR="004820B3" w:rsidRDefault="004820B3" w:rsidP="00F72F11">
      <w:pPr>
        <w:spacing w:line="360" w:lineRule="auto"/>
        <w:jc w:val="both"/>
        <w:rPr>
          <w:rFonts w:ascii="Times New Roman" w:hAnsi="Times New Roman" w:cs="Times New Roman"/>
        </w:rPr>
      </w:pPr>
    </w:p>
    <w:p w14:paraId="2B1F42A1" w14:textId="77777777" w:rsidR="003C6D26" w:rsidRPr="003C6D26" w:rsidRDefault="003C6D26" w:rsidP="00F72F11">
      <w:pPr>
        <w:spacing w:line="360" w:lineRule="auto"/>
        <w:jc w:val="both"/>
        <w:rPr>
          <w:rFonts w:ascii="Times New Roman" w:hAnsi="Times New Roman" w:cs="Times New Roman"/>
          <w:i/>
        </w:rPr>
      </w:pPr>
      <w:r w:rsidRPr="003C6D26">
        <w:rPr>
          <w:rFonts w:ascii="Times New Roman" w:hAnsi="Times New Roman" w:cs="Times New Roman"/>
        </w:rPr>
        <w:t>Under the</w:t>
      </w:r>
      <w:r w:rsidRPr="003C6D26">
        <w:rPr>
          <w:rFonts w:ascii="Times New Roman" w:hAnsi="Times New Roman" w:cs="Times New Roman"/>
          <w:i/>
        </w:rPr>
        <w:t xml:space="preserve"> User Demand Management </w:t>
      </w:r>
      <w:r w:rsidRPr="003C6D26">
        <w:rPr>
          <w:rFonts w:ascii="Times New Roman" w:hAnsi="Times New Roman" w:cs="Times New Roman"/>
        </w:rPr>
        <w:t>sub-programme the targets are reported as follows</w:t>
      </w:r>
      <w:r w:rsidRPr="003C6D26">
        <w:rPr>
          <w:rFonts w:ascii="Times New Roman" w:hAnsi="Times New Roman" w:cs="Times New Roman"/>
          <w:i/>
        </w:rPr>
        <w:t>:</w:t>
      </w:r>
      <w:r w:rsidRPr="003C6D26">
        <w:rPr>
          <w:rStyle w:val="FootnoteReference"/>
          <w:rFonts w:ascii="Times New Roman" w:hAnsi="Times New Roman" w:cs="Times New Roman"/>
          <w:i/>
        </w:rPr>
        <w:footnoteReference w:id="46"/>
      </w:r>
    </w:p>
    <w:p w14:paraId="694BD647" w14:textId="77777777" w:rsidR="003C6D26" w:rsidRPr="003C6D26" w:rsidRDefault="003C6D26" w:rsidP="00B41D07">
      <w:pPr>
        <w:numPr>
          <w:ilvl w:val="0"/>
          <w:numId w:val="25"/>
        </w:numPr>
        <w:spacing w:after="0" w:line="360" w:lineRule="auto"/>
        <w:ind w:left="360"/>
        <w:jc w:val="both"/>
        <w:rPr>
          <w:rFonts w:ascii="Times New Roman" w:hAnsi="Times New Roman" w:cs="Times New Roman"/>
        </w:rPr>
      </w:pPr>
      <w:r w:rsidRPr="003C6D26">
        <w:rPr>
          <w:rFonts w:ascii="Times New Roman" w:hAnsi="Times New Roman" w:cs="Times New Roman"/>
        </w:rPr>
        <w:t>Receive 42 User Asset Management Plans (U-AMPs) from User Departments.</w:t>
      </w:r>
    </w:p>
    <w:p w14:paraId="1D68600D" w14:textId="77777777" w:rsidR="003C6D26" w:rsidRPr="003C6D26" w:rsidRDefault="003C6D26" w:rsidP="00B41D07">
      <w:pPr>
        <w:numPr>
          <w:ilvl w:val="0"/>
          <w:numId w:val="25"/>
        </w:numPr>
        <w:spacing w:after="0" w:line="360" w:lineRule="auto"/>
        <w:ind w:left="360"/>
        <w:jc w:val="both"/>
        <w:rPr>
          <w:rFonts w:ascii="Times New Roman" w:hAnsi="Times New Roman" w:cs="Times New Roman"/>
        </w:rPr>
      </w:pPr>
      <w:r w:rsidRPr="003C6D26">
        <w:rPr>
          <w:rFonts w:ascii="Times New Roman" w:hAnsi="Times New Roman" w:cs="Times New Roman"/>
        </w:rPr>
        <w:t>Sign off on 10 infrastructure work lists.</w:t>
      </w:r>
    </w:p>
    <w:p w14:paraId="483988AC" w14:textId="77777777" w:rsidR="003C6D26" w:rsidRPr="003C6D26" w:rsidRDefault="003C6D26" w:rsidP="00B41D07">
      <w:pPr>
        <w:numPr>
          <w:ilvl w:val="0"/>
          <w:numId w:val="25"/>
        </w:numPr>
        <w:spacing w:after="0" w:line="360" w:lineRule="auto"/>
        <w:ind w:left="360"/>
        <w:jc w:val="both"/>
        <w:rPr>
          <w:rFonts w:ascii="Times New Roman" w:hAnsi="Times New Roman" w:cs="Times New Roman"/>
        </w:rPr>
      </w:pPr>
      <w:r w:rsidRPr="003C6D26">
        <w:rPr>
          <w:rFonts w:ascii="Times New Roman" w:hAnsi="Times New Roman" w:cs="Times New Roman"/>
        </w:rPr>
        <w:t>Approve the Customer Relationship Management Strategy.</w:t>
      </w:r>
    </w:p>
    <w:p w14:paraId="623CFFEE" w14:textId="77777777" w:rsidR="003C6D26" w:rsidRPr="003C6D26" w:rsidRDefault="003C6D26" w:rsidP="00F72F11">
      <w:pPr>
        <w:spacing w:line="360" w:lineRule="auto"/>
        <w:jc w:val="both"/>
        <w:rPr>
          <w:rFonts w:ascii="Times New Roman" w:hAnsi="Times New Roman" w:cs="Times New Roman"/>
        </w:rPr>
      </w:pPr>
    </w:p>
    <w:p w14:paraId="5933384F" w14:textId="77777777" w:rsidR="003C6D26" w:rsidRPr="003C6D26" w:rsidRDefault="003C6D26" w:rsidP="00F72F11">
      <w:pPr>
        <w:spacing w:line="360" w:lineRule="auto"/>
        <w:jc w:val="both"/>
        <w:rPr>
          <w:rFonts w:ascii="Times New Roman" w:hAnsi="Times New Roman" w:cs="Times New Roman"/>
        </w:rPr>
      </w:pPr>
      <w:r w:rsidRPr="003C6D26">
        <w:rPr>
          <w:rFonts w:ascii="Times New Roman" w:hAnsi="Times New Roman" w:cs="Times New Roman"/>
          <w:i/>
        </w:rPr>
        <w:t xml:space="preserve">Real Estate Investment Management Services </w:t>
      </w:r>
      <w:r w:rsidRPr="003C6D26">
        <w:rPr>
          <w:rFonts w:ascii="Times New Roman" w:hAnsi="Times New Roman" w:cs="Times New Roman"/>
        </w:rPr>
        <w:t>sub-programme plans to:</w:t>
      </w:r>
      <w:r w:rsidRPr="003C6D26">
        <w:rPr>
          <w:rStyle w:val="FootnoteReference"/>
          <w:rFonts w:ascii="Times New Roman" w:hAnsi="Times New Roman" w:cs="Times New Roman"/>
        </w:rPr>
        <w:footnoteReference w:id="47"/>
      </w:r>
    </w:p>
    <w:p w14:paraId="1D04094A" w14:textId="77777777" w:rsidR="003C6D26" w:rsidRPr="003C6D26" w:rsidRDefault="003C6D26" w:rsidP="00B41D07">
      <w:pPr>
        <w:numPr>
          <w:ilvl w:val="0"/>
          <w:numId w:val="26"/>
        </w:numPr>
        <w:spacing w:after="0" w:line="360" w:lineRule="auto"/>
        <w:ind w:left="360"/>
        <w:jc w:val="both"/>
        <w:rPr>
          <w:rFonts w:ascii="Times New Roman" w:hAnsi="Times New Roman" w:cs="Times New Roman"/>
        </w:rPr>
      </w:pPr>
      <w:r w:rsidRPr="003C6D26">
        <w:rPr>
          <w:rFonts w:ascii="Times New Roman" w:hAnsi="Times New Roman" w:cs="Times New Roman"/>
        </w:rPr>
        <w:t xml:space="preserve">Align </w:t>
      </w:r>
      <w:r>
        <w:rPr>
          <w:rFonts w:ascii="Times New Roman" w:hAnsi="Times New Roman" w:cs="Times New Roman"/>
        </w:rPr>
        <w:t>four</w:t>
      </w:r>
      <w:r w:rsidRPr="003C6D26">
        <w:rPr>
          <w:rFonts w:ascii="Times New Roman" w:hAnsi="Times New Roman" w:cs="Times New Roman"/>
        </w:rPr>
        <w:t xml:space="preserve"> Government Precinct Development Plans with the Integrated Development Plans (IDPs) of identified municipalities (urban and rural).</w:t>
      </w:r>
    </w:p>
    <w:p w14:paraId="3EE52683" w14:textId="77777777" w:rsidR="003C6D26" w:rsidRPr="003C6D26" w:rsidRDefault="003C6D26" w:rsidP="00B41D07">
      <w:pPr>
        <w:numPr>
          <w:ilvl w:val="0"/>
          <w:numId w:val="26"/>
        </w:numPr>
        <w:spacing w:after="0" w:line="360" w:lineRule="auto"/>
        <w:ind w:left="360"/>
        <w:jc w:val="both"/>
        <w:rPr>
          <w:rFonts w:ascii="Times New Roman" w:hAnsi="Times New Roman" w:cs="Times New Roman"/>
        </w:rPr>
      </w:pPr>
      <w:r w:rsidRPr="003C6D26">
        <w:rPr>
          <w:rFonts w:ascii="Times New Roman" w:hAnsi="Times New Roman" w:cs="Times New Roman"/>
        </w:rPr>
        <w:t xml:space="preserve">Establish </w:t>
      </w:r>
      <w:r>
        <w:rPr>
          <w:rFonts w:ascii="Times New Roman" w:hAnsi="Times New Roman" w:cs="Times New Roman"/>
        </w:rPr>
        <w:t>three</w:t>
      </w:r>
      <w:r w:rsidRPr="003C6D26">
        <w:rPr>
          <w:rFonts w:ascii="Times New Roman" w:hAnsi="Times New Roman" w:cs="Times New Roman"/>
        </w:rPr>
        <w:t xml:space="preserve"> sites for development</w:t>
      </w:r>
    </w:p>
    <w:p w14:paraId="78034621" w14:textId="77777777" w:rsidR="003C6D26" w:rsidRPr="003C6D26" w:rsidRDefault="003C6D26" w:rsidP="00B41D07">
      <w:pPr>
        <w:numPr>
          <w:ilvl w:val="0"/>
          <w:numId w:val="26"/>
        </w:numPr>
        <w:spacing w:after="0" w:line="360" w:lineRule="auto"/>
        <w:ind w:left="360"/>
        <w:jc w:val="both"/>
        <w:rPr>
          <w:rFonts w:ascii="Times New Roman" w:hAnsi="Times New Roman" w:cs="Times New Roman"/>
        </w:rPr>
      </w:pPr>
      <w:r w:rsidRPr="003C6D26">
        <w:rPr>
          <w:rFonts w:ascii="Times New Roman" w:hAnsi="Times New Roman" w:cs="Times New Roman"/>
        </w:rPr>
        <w:t xml:space="preserve">Complete </w:t>
      </w:r>
      <w:r>
        <w:rPr>
          <w:rFonts w:ascii="Times New Roman" w:hAnsi="Times New Roman" w:cs="Times New Roman"/>
        </w:rPr>
        <w:t>five</w:t>
      </w:r>
      <w:r w:rsidRPr="003C6D26">
        <w:rPr>
          <w:rFonts w:ascii="Times New Roman" w:hAnsi="Times New Roman" w:cs="Times New Roman"/>
        </w:rPr>
        <w:t xml:space="preserve"> concept designs for identified User Departments.</w:t>
      </w:r>
    </w:p>
    <w:p w14:paraId="30A65853" w14:textId="77777777" w:rsidR="003C6D26" w:rsidRPr="003C6D26" w:rsidRDefault="003C6D26" w:rsidP="00B41D07">
      <w:pPr>
        <w:numPr>
          <w:ilvl w:val="0"/>
          <w:numId w:val="24"/>
        </w:numPr>
        <w:spacing w:after="0" w:line="360" w:lineRule="auto"/>
        <w:jc w:val="both"/>
        <w:rPr>
          <w:rFonts w:ascii="Times New Roman" w:hAnsi="Times New Roman" w:cs="Times New Roman"/>
        </w:rPr>
      </w:pPr>
      <w:r w:rsidRPr="003C6D26">
        <w:rPr>
          <w:rFonts w:ascii="Times New Roman" w:hAnsi="Times New Roman" w:cs="Times New Roman"/>
        </w:rPr>
        <w:t xml:space="preserve">Complete 90% of feasibility studies within the scheduled timeframes. </w:t>
      </w:r>
    </w:p>
    <w:p w14:paraId="78973733" w14:textId="77777777" w:rsidR="003C6D26" w:rsidRPr="003C6D26" w:rsidRDefault="003C6D26" w:rsidP="00B41D07">
      <w:pPr>
        <w:numPr>
          <w:ilvl w:val="0"/>
          <w:numId w:val="24"/>
        </w:numPr>
        <w:spacing w:after="0" w:line="360" w:lineRule="auto"/>
        <w:jc w:val="both"/>
        <w:rPr>
          <w:rFonts w:ascii="Times New Roman" w:hAnsi="Times New Roman" w:cs="Times New Roman"/>
        </w:rPr>
      </w:pPr>
      <w:r w:rsidRPr="003C6D26">
        <w:rPr>
          <w:rFonts w:ascii="Times New Roman" w:hAnsi="Times New Roman" w:cs="Times New Roman"/>
        </w:rPr>
        <w:t>Complete 90% of valuations within the scheduled timeframes.</w:t>
      </w:r>
    </w:p>
    <w:p w14:paraId="5C2D9191" w14:textId="77777777" w:rsidR="003C6D26" w:rsidRPr="003C6D26" w:rsidRDefault="003C6D26" w:rsidP="00B41D07">
      <w:pPr>
        <w:numPr>
          <w:ilvl w:val="0"/>
          <w:numId w:val="23"/>
        </w:numPr>
        <w:spacing w:after="0" w:line="360" w:lineRule="auto"/>
        <w:jc w:val="both"/>
        <w:rPr>
          <w:rFonts w:ascii="Times New Roman" w:hAnsi="Times New Roman" w:cs="Times New Roman"/>
        </w:rPr>
      </w:pPr>
      <w:r w:rsidRPr="003C6D26">
        <w:rPr>
          <w:rFonts w:ascii="Times New Roman" w:hAnsi="Times New Roman" w:cs="Times New Roman"/>
        </w:rPr>
        <w:t>Process 90% of disposal requests by 31 March 2019.</w:t>
      </w:r>
    </w:p>
    <w:p w14:paraId="5B365332" w14:textId="77777777" w:rsidR="003C6D26" w:rsidRPr="003C6D26" w:rsidRDefault="003C6D26" w:rsidP="00B41D07">
      <w:pPr>
        <w:numPr>
          <w:ilvl w:val="0"/>
          <w:numId w:val="23"/>
        </w:numPr>
        <w:spacing w:after="0" w:line="360" w:lineRule="auto"/>
        <w:jc w:val="both"/>
        <w:rPr>
          <w:rFonts w:ascii="Times New Roman" w:hAnsi="Times New Roman" w:cs="Times New Roman"/>
        </w:rPr>
      </w:pPr>
      <w:r>
        <w:rPr>
          <w:rFonts w:ascii="Times New Roman" w:hAnsi="Times New Roman" w:cs="Times New Roman"/>
        </w:rPr>
        <w:t>Submit one</w:t>
      </w:r>
      <w:r w:rsidRPr="003C6D26">
        <w:rPr>
          <w:rFonts w:ascii="Times New Roman" w:hAnsi="Times New Roman" w:cs="Times New Roman"/>
        </w:rPr>
        <w:t xml:space="preserve"> Custodian Asset Management Plan (C-AMP) to National Treasury.</w:t>
      </w:r>
    </w:p>
    <w:p w14:paraId="4E22981B" w14:textId="77777777" w:rsidR="003C6D26" w:rsidRPr="003C6D26" w:rsidRDefault="003C6D26" w:rsidP="00B41D07">
      <w:pPr>
        <w:numPr>
          <w:ilvl w:val="0"/>
          <w:numId w:val="23"/>
        </w:numPr>
        <w:spacing w:after="0" w:line="360" w:lineRule="auto"/>
        <w:jc w:val="both"/>
        <w:rPr>
          <w:rFonts w:ascii="Times New Roman" w:hAnsi="Times New Roman" w:cs="Times New Roman"/>
          <w:b/>
        </w:rPr>
      </w:pPr>
      <w:r w:rsidRPr="003C6D26">
        <w:rPr>
          <w:rFonts w:ascii="Times New Roman" w:hAnsi="Times New Roman" w:cs="Times New Roman"/>
        </w:rPr>
        <w:t xml:space="preserve">Measure 800 facilities performance in identified performance areas. </w:t>
      </w:r>
    </w:p>
    <w:p w14:paraId="20320FB7" w14:textId="77777777" w:rsidR="00BB1EE2" w:rsidRPr="001170E4" w:rsidRDefault="00BB1EE2" w:rsidP="00F72F11">
      <w:pPr>
        <w:spacing w:line="360" w:lineRule="auto"/>
        <w:jc w:val="both"/>
        <w:rPr>
          <w:rFonts w:ascii="Times New Roman" w:hAnsi="Times New Roman" w:cs="Times New Roman"/>
        </w:rPr>
      </w:pPr>
    </w:p>
    <w:p w14:paraId="3B919308" w14:textId="77777777" w:rsidR="00BB1EE2" w:rsidRPr="001170E4" w:rsidRDefault="00BB1EE2" w:rsidP="00F72F11">
      <w:pPr>
        <w:pStyle w:val="Heading3"/>
        <w:spacing w:line="360" w:lineRule="auto"/>
        <w:rPr>
          <w:rFonts w:ascii="Times New Roman" w:hAnsi="Times New Roman"/>
          <w:i w:val="0"/>
          <w:color w:val="auto"/>
          <w:szCs w:val="22"/>
        </w:rPr>
      </w:pPr>
      <w:bookmarkStart w:id="20" w:name="_Toc476913442"/>
      <w:bookmarkStart w:id="21" w:name="_Toc477174258"/>
      <w:r w:rsidRPr="001170E4">
        <w:rPr>
          <w:rFonts w:ascii="Times New Roman" w:hAnsi="Times New Roman"/>
          <w:i w:val="0"/>
          <w:color w:val="auto"/>
          <w:szCs w:val="22"/>
        </w:rPr>
        <w:t>2.4. Programme 3: Construction Project Management seeks to provide effective and efficient delivery of accommodation needs for the Department of Public Works and User Departments through construction and other infrastructure improvement programmes.</w:t>
      </w:r>
      <w:bookmarkEnd w:id="20"/>
      <w:bookmarkEnd w:id="21"/>
    </w:p>
    <w:p w14:paraId="5AC2728C" w14:textId="77777777" w:rsidR="009016A9" w:rsidRPr="009016A9" w:rsidRDefault="009016A9" w:rsidP="00F72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sidRPr="009016A9">
        <w:rPr>
          <w:rFonts w:ascii="Times New Roman" w:hAnsi="Times New Roman" w:cs="Times New Roman"/>
        </w:rPr>
        <w:t>The total allocation for Programme 3 equals R318</w:t>
      </w:r>
      <w:r w:rsidR="009A2F7B">
        <w:rPr>
          <w:rFonts w:ascii="Times New Roman" w:hAnsi="Times New Roman" w:cs="Times New Roman"/>
        </w:rPr>
        <w:t>,</w:t>
      </w:r>
      <w:r w:rsidRPr="009016A9">
        <w:rPr>
          <w:rFonts w:ascii="Times New Roman" w:hAnsi="Times New Roman" w:cs="Times New Roman"/>
        </w:rPr>
        <w:t>2 million for the 2018/19 financial year, which is an increase of R43</w:t>
      </w:r>
      <w:r w:rsidR="009A2F7B">
        <w:rPr>
          <w:rFonts w:ascii="Times New Roman" w:hAnsi="Times New Roman" w:cs="Times New Roman"/>
        </w:rPr>
        <w:t>,</w:t>
      </w:r>
      <w:r w:rsidRPr="009016A9">
        <w:rPr>
          <w:rFonts w:ascii="Times New Roman" w:hAnsi="Times New Roman" w:cs="Times New Roman"/>
        </w:rPr>
        <w:t>3 million. This constitutes a nominal increase of 15</w:t>
      </w:r>
      <w:r w:rsidR="009A2F7B">
        <w:rPr>
          <w:rFonts w:ascii="Times New Roman" w:hAnsi="Times New Roman" w:cs="Times New Roman"/>
        </w:rPr>
        <w:t>,</w:t>
      </w:r>
      <w:r w:rsidRPr="009016A9">
        <w:rPr>
          <w:rFonts w:ascii="Times New Roman" w:hAnsi="Times New Roman" w:cs="Times New Roman"/>
        </w:rPr>
        <w:t>8% (or a real increase of 9</w:t>
      </w:r>
      <w:r w:rsidR="009A2F7B">
        <w:rPr>
          <w:rFonts w:ascii="Times New Roman" w:hAnsi="Times New Roman" w:cs="Times New Roman"/>
        </w:rPr>
        <w:t>,</w:t>
      </w:r>
      <w:r w:rsidRPr="009016A9">
        <w:rPr>
          <w:rFonts w:ascii="Times New Roman" w:hAnsi="Times New Roman" w:cs="Times New Roman"/>
        </w:rPr>
        <w:t>7%) from the revised appropriation of R274</w:t>
      </w:r>
      <w:r w:rsidR="009A2F7B">
        <w:rPr>
          <w:rFonts w:ascii="Times New Roman" w:hAnsi="Times New Roman" w:cs="Times New Roman"/>
        </w:rPr>
        <w:t>,</w:t>
      </w:r>
      <w:r w:rsidRPr="009016A9">
        <w:rPr>
          <w:rFonts w:ascii="Times New Roman" w:hAnsi="Times New Roman" w:cs="Times New Roman"/>
        </w:rPr>
        <w:t>9 million in 2017/18.</w:t>
      </w:r>
    </w:p>
    <w:p w14:paraId="70B13A20" w14:textId="77777777" w:rsidR="00BB1EE2" w:rsidRPr="001170E4" w:rsidRDefault="00BB1EE2" w:rsidP="00F72F11">
      <w:pPr>
        <w:spacing w:line="360" w:lineRule="auto"/>
        <w:jc w:val="both"/>
        <w:rPr>
          <w:rFonts w:ascii="Times New Roman" w:hAnsi="Times New Roman" w:cs="Times New Roman"/>
        </w:rPr>
      </w:pPr>
    </w:p>
    <w:p w14:paraId="5A0FD296" w14:textId="77777777" w:rsidR="00BD573D" w:rsidRPr="00BD573D" w:rsidRDefault="00BD573D" w:rsidP="00F72F11">
      <w:pPr>
        <w:spacing w:line="360" w:lineRule="auto"/>
        <w:jc w:val="both"/>
        <w:rPr>
          <w:rFonts w:ascii="Times New Roman" w:hAnsi="Times New Roman" w:cs="Times New Roman"/>
        </w:rPr>
      </w:pPr>
      <w:r w:rsidRPr="00BD573D">
        <w:rPr>
          <w:rFonts w:ascii="Times New Roman" w:hAnsi="Times New Roman" w:cs="Times New Roman"/>
        </w:rPr>
        <w:t>A select number of targets are reported as follows:</w:t>
      </w:r>
      <w:r w:rsidRPr="00BD573D">
        <w:rPr>
          <w:rStyle w:val="FootnoteReference"/>
          <w:rFonts w:ascii="Times New Roman" w:hAnsi="Times New Roman" w:cs="Times New Roman"/>
        </w:rPr>
        <w:footnoteReference w:id="48"/>
      </w:r>
    </w:p>
    <w:p w14:paraId="2C0EB32A" w14:textId="77777777" w:rsidR="00BD573D" w:rsidRPr="00BD573D" w:rsidRDefault="00BD573D" w:rsidP="00B41D07">
      <w:pPr>
        <w:numPr>
          <w:ilvl w:val="0"/>
          <w:numId w:val="27"/>
        </w:numPr>
        <w:spacing w:after="0" w:line="360" w:lineRule="auto"/>
        <w:jc w:val="both"/>
        <w:rPr>
          <w:rFonts w:ascii="Times New Roman" w:hAnsi="Times New Roman" w:cs="Times New Roman"/>
        </w:rPr>
      </w:pPr>
      <w:r w:rsidRPr="00BD573D">
        <w:rPr>
          <w:rFonts w:ascii="Times New Roman" w:hAnsi="Times New Roman" w:cs="Times New Roman"/>
        </w:rPr>
        <w:lastRenderedPageBreak/>
        <w:t>Approve 83 infrastructure project designs.</w:t>
      </w:r>
    </w:p>
    <w:p w14:paraId="4AFC1099" w14:textId="77777777" w:rsidR="00BD573D" w:rsidRPr="00BD573D" w:rsidRDefault="00BD573D" w:rsidP="00B41D07">
      <w:pPr>
        <w:numPr>
          <w:ilvl w:val="0"/>
          <w:numId w:val="27"/>
        </w:numPr>
        <w:spacing w:after="0" w:line="360" w:lineRule="auto"/>
        <w:jc w:val="both"/>
        <w:rPr>
          <w:rFonts w:ascii="Times New Roman" w:hAnsi="Times New Roman" w:cs="Times New Roman"/>
        </w:rPr>
      </w:pPr>
      <w:r w:rsidRPr="00BD573D">
        <w:rPr>
          <w:rFonts w:ascii="Times New Roman" w:hAnsi="Times New Roman" w:cs="Times New Roman"/>
        </w:rPr>
        <w:t>Approve 128 infrastructure projects ready for tender.</w:t>
      </w:r>
    </w:p>
    <w:p w14:paraId="43159C37" w14:textId="77777777" w:rsidR="00BD573D" w:rsidRPr="00BD573D" w:rsidRDefault="00BD573D" w:rsidP="00B41D07">
      <w:pPr>
        <w:numPr>
          <w:ilvl w:val="0"/>
          <w:numId w:val="27"/>
        </w:numPr>
        <w:spacing w:after="0" w:line="360" w:lineRule="auto"/>
        <w:jc w:val="both"/>
        <w:rPr>
          <w:rFonts w:ascii="Times New Roman" w:hAnsi="Times New Roman" w:cs="Times New Roman"/>
        </w:rPr>
      </w:pPr>
      <w:r w:rsidRPr="00BD573D">
        <w:rPr>
          <w:rFonts w:ascii="Times New Roman" w:hAnsi="Times New Roman" w:cs="Times New Roman"/>
        </w:rPr>
        <w:t>Hand over 105 infrastructure sites for construction.</w:t>
      </w:r>
    </w:p>
    <w:p w14:paraId="2F16D3A1" w14:textId="77777777" w:rsidR="00BD573D" w:rsidRPr="00BD573D" w:rsidRDefault="00BD573D" w:rsidP="00B41D07">
      <w:pPr>
        <w:numPr>
          <w:ilvl w:val="0"/>
          <w:numId w:val="27"/>
        </w:numPr>
        <w:spacing w:after="0" w:line="360" w:lineRule="auto"/>
        <w:jc w:val="both"/>
        <w:rPr>
          <w:rFonts w:ascii="Times New Roman" w:hAnsi="Times New Roman" w:cs="Times New Roman"/>
        </w:rPr>
      </w:pPr>
      <w:r w:rsidRPr="00BD573D">
        <w:rPr>
          <w:rFonts w:ascii="Times New Roman" w:hAnsi="Times New Roman" w:cs="Times New Roman"/>
        </w:rPr>
        <w:t>Complete 105 infrastructure projects.</w:t>
      </w:r>
    </w:p>
    <w:p w14:paraId="19C1A5AD" w14:textId="77777777" w:rsidR="00BD573D" w:rsidRPr="00BD573D" w:rsidRDefault="00BD573D" w:rsidP="00B41D07">
      <w:pPr>
        <w:numPr>
          <w:ilvl w:val="0"/>
          <w:numId w:val="27"/>
        </w:numPr>
        <w:spacing w:after="0" w:line="360" w:lineRule="auto"/>
        <w:jc w:val="both"/>
        <w:rPr>
          <w:rFonts w:ascii="Times New Roman" w:hAnsi="Times New Roman" w:cs="Times New Roman"/>
        </w:rPr>
      </w:pPr>
      <w:r w:rsidRPr="00BD573D">
        <w:rPr>
          <w:rFonts w:ascii="Times New Roman" w:hAnsi="Times New Roman" w:cs="Times New Roman"/>
        </w:rPr>
        <w:t>Complete 80% (84) of infrastructure projects within agreed construction period.</w:t>
      </w:r>
    </w:p>
    <w:p w14:paraId="34FD9DB0" w14:textId="77777777" w:rsidR="00BD573D" w:rsidRPr="00BD573D" w:rsidRDefault="00BD573D" w:rsidP="00B41D07">
      <w:pPr>
        <w:numPr>
          <w:ilvl w:val="0"/>
          <w:numId w:val="27"/>
        </w:numPr>
        <w:spacing w:after="0" w:line="360" w:lineRule="auto"/>
        <w:jc w:val="both"/>
        <w:rPr>
          <w:rFonts w:ascii="Times New Roman" w:hAnsi="Times New Roman" w:cs="Times New Roman"/>
        </w:rPr>
      </w:pPr>
      <w:r w:rsidRPr="00BD573D">
        <w:rPr>
          <w:rFonts w:ascii="Times New Roman" w:hAnsi="Times New Roman" w:cs="Times New Roman"/>
        </w:rPr>
        <w:t xml:space="preserve">Complete 80% (84) of infrastructure projects within approved budget. </w:t>
      </w:r>
    </w:p>
    <w:p w14:paraId="0097397D" w14:textId="77777777" w:rsidR="00BD573D" w:rsidRPr="00BD573D" w:rsidRDefault="00BD573D" w:rsidP="00B41D07">
      <w:pPr>
        <w:numPr>
          <w:ilvl w:val="0"/>
          <w:numId w:val="27"/>
        </w:numPr>
        <w:spacing w:after="0" w:line="360" w:lineRule="auto"/>
        <w:jc w:val="both"/>
        <w:rPr>
          <w:rFonts w:ascii="Times New Roman" w:hAnsi="Times New Roman" w:cs="Times New Roman"/>
        </w:rPr>
      </w:pPr>
      <w:r w:rsidRPr="00BD573D">
        <w:rPr>
          <w:rFonts w:ascii="Times New Roman" w:hAnsi="Times New Roman" w:cs="Times New Roman"/>
        </w:rPr>
        <w:t>Create 7 511 Expanded Public Works Programme (EPWP) work opportunities through construction projects.</w:t>
      </w:r>
    </w:p>
    <w:p w14:paraId="44852E00" w14:textId="77777777" w:rsidR="00BD573D" w:rsidRPr="00BD573D" w:rsidRDefault="00BD573D" w:rsidP="00B41D07">
      <w:pPr>
        <w:numPr>
          <w:ilvl w:val="0"/>
          <w:numId w:val="27"/>
        </w:numPr>
        <w:spacing w:after="0" w:line="360" w:lineRule="auto"/>
        <w:jc w:val="both"/>
        <w:rPr>
          <w:rFonts w:ascii="Times New Roman" w:hAnsi="Times New Roman" w:cs="Times New Roman"/>
        </w:rPr>
      </w:pPr>
      <w:r w:rsidRPr="00BD573D">
        <w:rPr>
          <w:rFonts w:ascii="Times New Roman" w:hAnsi="Times New Roman" w:cs="Times New Roman"/>
        </w:rPr>
        <w:t>Reduce 20% of infrastructure project backlogs in the construction phase.</w:t>
      </w:r>
    </w:p>
    <w:p w14:paraId="44429BAE" w14:textId="77777777" w:rsidR="00BD573D" w:rsidRPr="00BD573D" w:rsidRDefault="00BD573D" w:rsidP="00B41D07">
      <w:pPr>
        <w:numPr>
          <w:ilvl w:val="0"/>
          <w:numId w:val="27"/>
        </w:numPr>
        <w:spacing w:after="0" w:line="360" w:lineRule="auto"/>
        <w:jc w:val="both"/>
        <w:rPr>
          <w:rFonts w:ascii="Times New Roman" w:hAnsi="Times New Roman" w:cs="Times New Roman"/>
        </w:rPr>
      </w:pPr>
      <w:r w:rsidRPr="00BD573D">
        <w:rPr>
          <w:rFonts w:ascii="Times New Roman" w:hAnsi="Times New Roman" w:cs="Times New Roman"/>
        </w:rPr>
        <w:t>Incubate 297 contractors through the Contractor Incubator Programme (CIP).</w:t>
      </w:r>
    </w:p>
    <w:p w14:paraId="4A5B33CF" w14:textId="77777777" w:rsidR="00BB1EE2" w:rsidRPr="001170E4" w:rsidRDefault="00BB1EE2" w:rsidP="00F72F11">
      <w:pPr>
        <w:spacing w:line="360" w:lineRule="auto"/>
        <w:ind w:left="360"/>
        <w:jc w:val="both"/>
        <w:rPr>
          <w:rFonts w:ascii="Times New Roman" w:hAnsi="Times New Roman" w:cs="Times New Roman"/>
        </w:rPr>
      </w:pPr>
    </w:p>
    <w:p w14:paraId="27DF5E9F" w14:textId="77777777" w:rsidR="00BB1EE2" w:rsidRPr="001170E4" w:rsidRDefault="00BB1EE2" w:rsidP="00F72F11">
      <w:pPr>
        <w:pStyle w:val="Heading3"/>
        <w:spacing w:line="360" w:lineRule="auto"/>
        <w:rPr>
          <w:rFonts w:ascii="Times New Roman" w:hAnsi="Times New Roman"/>
          <w:i w:val="0"/>
          <w:color w:val="auto"/>
          <w:szCs w:val="22"/>
        </w:rPr>
      </w:pPr>
      <w:bookmarkStart w:id="22" w:name="_Toc476913443"/>
      <w:bookmarkStart w:id="23" w:name="_Toc477174259"/>
      <w:r w:rsidRPr="001170E4">
        <w:rPr>
          <w:rFonts w:ascii="Times New Roman" w:hAnsi="Times New Roman"/>
          <w:i w:val="0"/>
          <w:color w:val="auto"/>
          <w:szCs w:val="22"/>
        </w:rPr>
        <w:t>2.5. Programme 4: Real Estate Management Services seeks to provide and manage Real Estate Portfolio in support of Government social, economic, functional and political objectives.</w:t>
      </w:r>
      <w:bookmarkEnd w:id="22"/>
      <w:bookmarkEnd w:id="23"/>
      <w:r w:rsidRPr="001170E4">
        <w:rPr>
          <w:rFonts w:ascii="Times New Roman" w:hAnsi="Times New Roman"/>
          <w:i w:val="0"/>
          <w:color w:val="auto"/>
          <w:szCs w:val="22"/>
        </w:rPr>
        <w:t xml:space="preserve"> </w:t>
      </w:r>
    </w:p>
    <w:p w14:paraId="3F3DCC1C" w14:textId="77777777" w:rsidR="00020E4F" w:rsidRPr="00020E4F" w:rsidRDefault="00020E4F" w:rsidP="00F72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sidRPr="00020E4F">
        <w:rPr>
          <w:rFonts w:ascii="Times New Roman" w:hAnsi="Times New Roman" w:cs="Times New Roman"/>
        </w:rPr>
        <w:t>The total allocation for Programme 4 equals R10</w:t>
      </w:r>
      <w:r w:rsidR="009A2F7B">
        <w:rPr>
          <w:rFonts w:ascii="Times New Roman" w:hAnsi="Times New Roman" w:cs="Times New Roman"/>
        </w:rPr>
        <w:t>,</w:t>
      </w:r>
      <w:r w:rsidRPr="00020E4F">
        <w:rPr>
          <w:rFonts w:ascii="Times New Roman" w:hAnsi="Times New Roman" w:cs="Times New Roman"/>
        </w:rPr>
        <w:t>48 billion for the 2018/19 financial year, which is a decrease of R399</w:t>
      </w:r>
      <w:r w:rsidR="009A2F7B">
        <w:rPr>
          <w:rFonts w:ascii="Times New Roman" w:hAnsi="Times New Roman" w:cs="Times New Roman"/>
        </w:rPr>
        <w:t>,</w:t>
      </w:r>
      <w:r w:rsidRPr="00020E4F">
        <w:rPr>
          <w:rFonts w:ascii="Times New Roman" w:hAnsi="Times New Roman" w:cs="Times New Roman"/>
        </w:rPr>
        <w:t>4 million. This constitutes a nominal decrease of 3</w:t>
      </w:r>
      <w:r w:rsidR="009A2F7B">
        <w:rPr>
          <w:rFonts w:ascii="Times New Roman" w:hAnsi="Times New Roman" w:cs="Times New Roman"/>
        </w:rPr>
        <w:t>,</w:t>
      </w:r>
      <w:r w:rsidRPr="00020E4F">
        <w:rPr>
          <w:rFonts w:ascii="Times New Roman" w:hAnsi="Times New Roman" w:cs="Times New Roman"/>
        </w:rPr>
        <w:t>7% (or a real decrease of 8</w:t>
      </w:r>
      <w:r w:rsidR="009A2F7B">
        <w:rPr>
          <w:rFonts w:ascii="Times New Roman" w:hAnsi="Times New Roman" w:cs="Times New Roman"/>
        </w:rPr>
        <w:t>,</w:t>
      </w:r>
      <w:r w:rsidRPr="00020E4F">
        <w:rPr>
          <w:rFonts w:ascii="Times New Roman" w:hAnsi="Times New Roman" w:cs="Times New Roman"/>
        </w:rPr>
        <w:t>7%) from the revised appropriation of R10</w:t>
      </w:r>
      <w:r w:rsidR="009A2F7B">
        <w:rPr>
          <w:rFonts w:ascii="Times New Roman" w:hAnsi="Times New Roman" w:cs="Times New Roman"/>
        </w:rPr>
        <w:t>,</w:t>
      </w:r>
      <w:r w:rsidRPr="00020E4F">
        <w:rPr>
          <w:rFonts w:ascii="Times New Roman" w:hAnsi="Times New Roman" w:cs="Times New Roman"/>
        </w:rPr>
        <w:t xml:space="preserve">87 billion in 2017/18. </w:t>
      </w:r>
    </w:p>
    <w:p w14:paraId="70FD05B8" w14:textId="1F69107C" w:rsidR="00020E4F" w:rsidRPr="00020E4F" w:rsidRDefault="00020E4F" w:rsidP="00F72F11">
      <w:pPr>
        <w:spacing w:line="360" w:lineRule="auto"/>
        <w:jc w:val="both"/>
        <w:rPr>
          <w:rFonts w:ascii="Times New Roman" w:hAnsi="Times New Roman" w:cs="Times New Roman"/>
        </w:rPr>
      </w:pPr>
      <w:r w:rsidRPr="00020E4F">
        <w:rPr>
          <w:rFonts w:ascii="Times New Roman" w:hAnsi="Times New Roman" w:cs="Times New Roman"/>
        </w:rPr>
        <w:t>A select number of targets are reported as follows:</w:t>
      </w:r>
      <w:r w:rsidRPr="00020E4F">
        <w:rPr>
          <w:rStyle w:val="FootnoteReference"/>
          <w:rFonts w:ascii="Times New Roman" w:hAnsi="Times New Roman" w:cs="Times New Roman"/>
        </w:rPr>
        <w:footnoteReference w:id="49"/>
      </w:r>
    </w:p>
    <w:p w14:paraId="35D15955" w14:textId="77777777" w:rsidR="00020E4F" w:rsidRPr="00020E4F" w:rsidRDefault="00020E4F" w:rsidP="00B41D07">
      <w:pPr>
        <w:numPr>
          <w:ilvl w:val="0"/>
          <w:numId w:val="28"/>
        </w:numPr>
        <w:spacing w:after="0" w:line="360" w:lineRule="auto"/>
        <w:jc w:val="both"/>
        <w:rPr>
          <w:rFonts w:ascii="Times New Roman" w:hAnsi="Times New Roman" w:cs="Times New Roman"/>
        </w:rPr>
      </w:pPr>
      <w:r w:rsidRPr="00020E4F">
        <w:rPr>
          <w:rFonts w:ascii="Times New Roman" w:hAnsi="Times New Roman" w:cs="Times New Roman"/>
        </w:rPr>
        <w:t>Procure 60% of new leases according to User Departments’ minimum requirements.</w:t>
      </w:r>
    </w:p>
    <w:p w14:paraId="3B5CE487" w14:textId="77777777" w:rsidR="00020E4F" w:rsidRPr="00020E4F" w:rsidRDefault="00020E4F" w:rsidP="00B41D07">
      <w:pPr>
        <w:numPr>
          <w:ilvl w:val="0"/>
          <w:numId w:val="28"/>
        </w:numPr>
        <w:spacing w:after="0" w:line="360" w:lineRule="auto"/>
        <w:jc w:val="both"/>
        <w:rPr>
          <w:rFonts w:ascii="Times New Roman" w:hAnsi="Times New Roman" w:cs="Times New Roman"/>
        </w:rPr>
      </w:pPr>
      <w:r w:rsidRPr="00020E4F">
        <w:rPr>
          <w:rFonts w:ascii="Times New Roman" w:hAnsi="Times New Roman" w:cs="Times New Roman"/>
        </w:rPr>
        <w:t>Vacancy rate of 3% on unutilised buildings.</w:t>
      </w:r>
    </w:p>
    <w:p w14:paraId="75B7CFEE" w14:textId="77777777" w:rsidR="00020E4F" w:rsidRPr="00020E4F" w:rsidRDefault="00020E4F" w:rsidP="00B41D07">
      <w:pPr>
        <w:numPr>
          <w:ilvl w:val="0"/>
          <w:numId w:val="28"/>
        </w:numPr>
        <w:spacing w:after="0" w:line="360" w:lineRule="auto"/>
        <w:jc w:val="both"/>
        <w:rPr>
          <w:rFonts w:ascii="Times New Roman" w:hAnsi="Times New Roman" w:cs="Times New Roman"/>
        </w:rPr>
      </w:pPr>
      <w:r w:rsidRPr="00020E4F">
        <w:rPr>
          <w:rFonts w:ascii="Times New Roman" w:hAnsi="Times New Roman" w:cs="Times New Roman"/>
        </w:rPr>
        <w:t>Sign 600 lease agreements within scheduled timeframes.</w:t>
      </w:r>
    </w:p>
    <w:p w14:paraId="27B0C2D7" w14:textId="77777777" w:rsidR="00020E4F" w:rsidRPr="00020E4F" w:rsidRDefault="00020E4F" w:rsidP="00B41D07">
      <w:pPr>
        <w:numPr>
          <w:ilvl w:val="0"/>
          <w:numId w:val="28"/>
        </w:numPr>
        <w:spacing w:after="0" w:line="360" w:lineRule="auto"/>
        <w:jc w:val="both"/>
        <w:rPr>
          <w:rFonts w:ascii="Times New Roman" w:hAnsi="Times New Roman" w:cs="Times New Roman"/>
        </w:rPr>
      </w:pPr>
      <w:r w:rsidRPr="00020E4F">
        <w:rPr>
          <w:rFonts w:ascii="Times New Roman" w:hAnsi="Times New Roman" w:cs="Times New Roman"/>
        </w:rPr>
        <w:t>Save R200 million on identified private leases.</w:t>
      </w:r>
    </w:p>
    <w:p w14:paraId="432F82CE" w14:textId="77777777" w:rsidR="00020E4F" w:rsidRPr="00020E4F" w:rsidRDefault="00020E4F" w:rsidP="00B41D07">
      <w:pPr>
        <w:numPr>
          <w:ilvl w:val="0"/>
          <w:numId w:val="28"/>
        </w:numPr>
        <w:spacing w:after="0" w:line="360" w:lineRule="auto"/>
        <w:jc w:val="both"/>
        <w:rPr>
          <w:rFonts w:ascii="Times New Roman" w:hAnsi="Times New Roman" w:cs="Times New Roman"/>
        </w:rPr>
      </w:pPr>
      <w:r w:rsidRPr="00020E4F">
        <w:rPr>
          <w:rFonts w:ascii="Times New Roman" w:hAnsi="Times New Roman" w:cs="Times New Roman"/>
        </w:rPr>
        <w:t>Award 30% of new leases to Broad-Based Black Economic Empowerment companies.</w:t>
      </w:r>
    </w:p>
    <w:p w14:paraId="10B9E45E" w14:textId="77777777" w:rsidR="00020E4F" w:rsidRPr="00020E4F" w:rsidRDefault="00020E4F" w:rsidP="00B41D07">
      <w:pPr>
        <w:numPr>
          <w:ilvl w:val="0"/>
          <w:numId w:val="28"/>
        </w:numPr>
        <w:spacing w:after="0" w:line="360" w:lineRule="auto"/>
        <w:jc w:val="both"/>
        <w:rPr>
          <w:rFonts w:ascii="Times New Roman" w:hAnsi="Times New Roman" w:cs="Times New Roman"/>
        </w:rPr>
      </w:pPr>
      <w:r w:rsidRPr="00020E4F">
        <w:rPr>
          <w:rFonts w:ascii="Times New Roman" w:hAnsi="Times New Roman" w:cs="Times New Roman"/>
        </w:rPr>
        <w:t>Reduce 12 private leases within the Security Cluster.</w:t>
      </w:r>
    </w:p>
    <w:p w14:paraId="467AA138" w14:textId="77777777" w:rsidR="00020E4F" w:rsidRPr="00020E4F" w:rsidRDefault="00020E4F" w:rsidP="00B41D07">
      <w:pPr>
        <w:numPr>
          <w:ilvl w:val="0"/>
          <w:numId w:val="28"/>
        </w:numPr>
        <w:spacing w:after="0" w:line="360" w:lineRule="auto"/>
        <w:jc w:val="both"/>
        <w:rPr>
          <w:rFonts w:ascii="Times New Roman" w:hAnsi="Times New Roman" w:cs="Times New Roman"/>
        </w:rPr>
      </w:pPr>
      <w:r w:rsidRPr="00020E4F">
        <w:rPr>
          <w:rFonts w:ascii="Times New Roman" w:hAnsi="Times New Roman" w:cs="Times New Roman"/>
        </w:rPr>
        <w:t>Increase revenue generation by 10% through the letting of State-owned properties (excluding harbour properties).</w:t>
      </w:r>
    </w:p>
    <w:p w14:paraId="6987CE96" w14:textId="77777777" w:rsidR="00020E4F" w:rsidRPr="00020E4F" w:rsidRDefault="00020E4F" w:rsidP="00B41D07">
      <w:pPr>
        <w:numPr>
          <w:ilvl w:val="0"/>
          <w:numId w:val="28"/>
        </w:numPr>
        <w:spacing w:after="0" w:line="360" w:lineRule="auto"/>
        <w:jc w:val="both"/>
        <w:rPr>
          <w:rFonts w:ascii="Times New Roman" w:hAnsi="Times New Roman" w:cs="Times New Roman"/>
        </w:rPr>
      </w:pPr>
      <w:r w:rsidRPr="00020E4F">
        <w:rPr>
          <w:rFonts w:ascii="Times New Roman" w:hAnsi="Times New Roman" w:cs="Times New Roman"/>
        </w:rPr>
        <w:t>Let out 65% of identified vacant surplus State-owned properties.</w:t>
      </w:r>
    </w:p>
    <w:p w14:paraId="1A0D4A41" w14:textId="77777777" w:rsidR="00020E4F" w:rsidRPr="00020E4F" w:rsidRDefault="00020E4F" w:rsidP="00B41D07">
      <w:pPr>
        <w:numPr>
          <w:ilvl w:val="0"/>
          <w:numId w:val="28"/>
        </w:numPr>
        <w:spacing w:after="0" w:line="360" w:lineRule="auto"/>
        <w:jc w:val="both"/>
        <w:rPr>
          <w:rFonts w:ascii="Times New Roman" w:hAnsi="Times New Roman" w:cs="Times New Roman"/>
        </w:rPr>
      </w:pPr>
      <w:r w:rsidRPr="00020E4F">
        <w:rPr>
          <w:rFonts w:ascii="Times New Roman" w:hAnsi="Times New Roman" w:cs="Times New Roman"/>
        </w:rPr>
        <w:t>Verify to confirm occupation status of 400 State-owned properties. Rectify the occupation status of 20 State-owned properties.</w:t>
      </w:r>
    </w:p>
    <w:p w14:paraId="0AE65976" w14:textId="77777777" w:rsidR="00020E4F" w:rsidRPr="00020E4F" w:rsidRDefault="009A2F7B" w:rsidP="00B41D07">
      <w:pPr>
        <w:numPr>
          <w:ilvl w:val="0"/>
          <w:numId w:val="28"/>
        </w:numPr>
        <w:spacing w:after="0" w:line="360" w:lineRule="auto"/>
        <w:jc w:val="both"/>
        <w:rPr>
          <w:rFonts w:ascii="Times New Roman" w:hAnsi="Times New Roman" w:cs="Times New Roman"/>
        </w:rPr>
      </w:pPr>
      <w:r>
        <w:rPr>
          <w:rFonts w:ascii="Times New Roman" w:hAnsi="Times New Roman" w:cs="Times New Roman"/>
        </w:rPr>
        <w:t>Complete three</w:t>
      </w:r>
      <w:r w:rsidR="00020E4F" w:rsidRPr="00020E4F">
        <w:rPr>
          <w:rFonts w:ascii="Times New Roman" w:hAnsi="Times New Roman" w:cs="Times New Roman"/>
        </w:rPr>
        <w:t xml:space="preserve"> Spatial and Development Frameworks (SDFs) for identified rural coastal towns.</w:t>
      </w:r>
    </w:p>
    <w:p w14:paraId="4202C009" w14:textId="77777777" w:rsidR="00020E4F" w:rsidRPr="00020E4F" w:rsidRDefault="00020E4F" w:rsidP="00B41D07">
      <w:pPr>
        <w:numPr>
          <w:ilvl w:val="0"/>
          <w:numId w:val="28"/>
        </w:numPr>
        <w:spacing w:after="0" w:line="360" w:lineRule="auto"/>
        <w:jc w:val="both"/>
        <w:rPr>
          <w:rFonts w:ascii="Times New Roman" w:hAnsi="Times New Roman" w:cs="Times New Roman"/>
        </w:rPr>
      </w:pPr>
      <w:r w:rsidRPr="00020E4F">
        <w:rPr>
          <w:rFonts w:ascii="Times New Roman" w:hAnsi="Times New Roman" w:cs="Times New Roman"/>
        </w:rPr>
        <w:t>Revenue increased by 10% through rental of State-owned and small harbours and coastal properties.</w:t>
      </w:r>
    </w:p>
    <w:p w14:paraId="7E8DEDA3" w14:textId="77777777" w:rsidR="00020E4F" w:rsidRPr="00020E4F" w:rsidRDefault="00020E4F" w:rsidP="00B41D07">
      <w:pPr>
        <w:numPr>
          <w:ilvl w:val="0"/>
          <w:numId w:val="28"/>
        </w:numPr>
        <w:spacing w:after="0" w:line="360" w:lineRule="auto"/>
        <w:jc w:val="both"/>
        <w:rPr>
          <w:rFonts w:ascii="Times New Roman" w:hAnsi="Times New Roman" w:cs="Times New Roman"/>
        </w:rPr>
      </w:pPr>
      <w:r w:rsidRPr="00020E4F">
        <w:rPr>
          <w:rFonts w:ascii="Times New Roman" w:hAnsi="Times New Roman" w:cs="Times New Roman"/>
        </w:rPr>
        <w:t xml:space="preserve">Create 1 000 work opportunities through the letting of State coastal properties and small harbours.  </w:t>
      </w:r>
    </w:p>
    <w:p w14:paraId="25E27449" w14:textId="77777777" w:rsidR="00BB1EE2" w:rsidRPr="001170E4" w:rsidRDefault="00BB1EE2" w:rsidP="00F72F11">
      <w:pPr>
        <w:spacing w:line="360" w:lineRule="auto"/>
        <w:jc w:val="both"/>
        <w:rPr>
          <w:rFonts w:ascii="Times New Roman" w:hAnsi="Times New Roman" w:cs="Times New Roman"/>
        </w:rPr>
      </w:pPr>
    </w:p>
    <w:p w14:paraId="7B93E7E9" w14:textId="77777777" w:rsidR="00BB1EE2" w:rsidRPr="001170E4" w:rsidRDefault="00BB1EE2" w:rsidP="00F72F11">
      <w:pPr>
        <w:pStyle w:val="Heading3"/>
        <w:spacing w:line="360" w:lineRule="auto"/>
        <w:rPr>
          <w:rFonts w:ascii="Times New Roman" w:hAnsi="Times New Roman"/>
          <w:i w:val="0"/>
          <w:color w:val="auto"/>
          <w:szCs w:val="22"/>
        </w:rPr>
      </w:pPr>
      <w:bookmarkStart w:id="24" w:name="_Toc476913444"/>
      <w:bookmarkStart w:id="25" w:name="_Toc477174260"/>
      <w:r w:rsidRPr="001170E4">
        <w:rPr>
          <w:rFonts w:ascii="Times New Roman" w:hAnsi="Times New Roman"/>
          <w:i w:val="0"/>
          <w:color w:val="auto"/>
          <w:szCs w:val="22"/>
        </w:rPr>
        <w:lastRenderedPageBreak/>
        <w:t>2.6. Programme 5: Real Estate Information and Registry Services seeks to develop and manage a complete, accurate and compliant Immovable Asset Register to meet service delivery objectives for the State, Department and PMTE business requirements.</w:t>
      </w:r>
      <w:bookmarkEnd w:id="24"/>
      <w:bookmarkEnd w:id="25"/>
    </w:p>
    <w:p w14:paraId="7434DC36" w14:textId="77777777" w:rsidR="004820B3" w:rsidRPr="004820B3" w:rsidRDefault="004820B3" w:rsidP="00F72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sidRPr="004820B3">
        <w:rPr>
          <w:rFonts w:ascii="Times New Roman" w:hAnsi="Times New Roman" w:cs="Times New Roman"/>
        </w:rPr>
        <w:t>The total allocation for Programme 5 equals R108</w:t>
      </w:r>
      <w:r w:rsidR="00F13983">
        <w:rPr>
          <w:rFonts w:ascii="Times New Roman" w:hAnsi="Times New Roman" w:cs="Times New Roman"/>
        </w:rPr>
        <w:t>,</w:t>
      </w:r>
      <w:r w:rsidRPr="004820B3">
        <w:rPr>
          <w:rFonts w:ascii="Times New Roman" w:hAnsi="Times New Roman" w:cs="Times New Roman"/>
        </w:rPr>
        <w:t>9 million for the 2018/19 financial year, which is an increase of R36</w:t>
      </w:r>
      <w:r w:rsidR="00F13983">
        <w:rPr>
          <w:rFonts w:ascii="Times New Roman" w:hAnsi="Times New Roman" w:cs="Times New Roman"/>
        </w:rPr>
        <w:t>,</w:t>
      </w:r>
      <w:r w:rsidRPr="004820B3">
        <w:rPr>
          <w:rFonts w:ascii="Times New Roman" w:hAnsi="Times New Roman" w:cs="Times New Roman"/>
        </w:rPr>
        <w:t>7 million. This constitutes a nominal increase of 50</w:t>
      </w:r>
      <w:r w:rsidR="00F13983">
        <w:rPr>
          <w:rFonts w:ascii="Times New Roman" w:hAnsi="Times New Roman" w:cs="Times New Roman"/>
        </w:rPr>
        <w:t>,</w:t>
      </w:r>
      <w:r w:rsidRPr="004820B3">
        <w:rPr>
          <w:rFonts w:ascii="Times New Roman" w:hAnsi="Times New Roman" w:cs="Times New Roman"/>
        </w:rPr>
        <w:t>8% (or a real increase of 43%) from th</w:t>
      </w:r>
      <w:r w:rsidR="00F13983">
        <w:rPr>
          <w:rFonts w:ascii="Times New Roman" w:hAnsi="Times New Roman" w:cs="Times New Roman"/>
        </w:rPr>
        <w:t>e adjusted appropriation of R72,</w:t>
      </w:r>
      <w:r w:rsidRPr="004820B3">
        <w:rPr>
          <w:rFonts w:ascii="Times New Roman" w:hAnsi="Times New Roman" w:cs="Times New Roman"/>
        </w:rPr>
        <w:t xml:space="preserve">2 million in 2017/18. </w:t>
      </w:r>
    </w:p>
    <w:p w14:paraId="2AF10C83" w14:textId="77777777" w:rsidR="004820B3" w:rsidRDefault="004820B3" w:rsidP="00F72F11">
      <w:pPr>
        <w:spacing w:line="360" w:lineRule="auto"/>
        <w:jc w:val="both"/>
        <w:rPr>
          <w:rFonts w:ascii="Times New Roman" w:hAnsi="Times New Roman" w:cs="Times New Roman"/>
        </w:rPr>
      </w:pPr>
    </w:p>
    <w:p w14:paraId="7C79D208" w14:textId="77777777" w:rsidR="004820B3" w:rsidRPr="004820B3" w:rsidRDefault="004820B3" w:rsidP="00F72F11">
      <w:pPr>
        <w:spacing w:line="360" w:lineRule="auto"/>
        <w:jc w:val="both"/>
        <w:rPr>
          <w:rFonts w:ascii="Times New Roman" w:hAnsi="Times New Roman" w:cs="Times New Roman"/>
        </w:rPr>
      </w:pPr>
      <w:r w:rsidRPr="004820B3">
        <w:rPr>
          <w:rFonts w:ascii="Times New Roman" w:hAnsi="Times New Roman" w:cs="Times New Roman"/>
        </w:rPr>
        <w:t>A select number of targets are reported as follows:</w:t>
      </w:r>
      <w:r w:rsidRPr="004820B3">
        <w:rPr>
          <w:rStyle w:val="FootnoteReference"/>
          <w:rFonts w:ascii="Times New Roman" w:hAnsi="Times New Roman" w:cs="Times New Roman"/>
        </w:rPr>
        <w:footnoteReference w:id="50"/>
      </w:r>
    </w:p>
    <w:p w14:paraId="687B71F1" w14:textId="77777777" w:rsidR="004820B3" w:rsidRPr="004820B3" w:rsidRDefault="004820B3" w:rsidP="00B41D07">
      <w:pPr>
        <w:numPr>
          <w:ilvl w:val="0"/>
          <w:numId w:val="29"/>
        </w:numPr>
        <w:spacing w:after="0" w:line="360" w:lineRule="auto"/>
        <w:jc w:val="both"/>
        <w:rPr>
          <w:rFonts w:ascii="Times New Roman" w:hAnsi="Times New Roman" w:cs="Times New Roman"/>
        </w:rPr>
      </w:pPr>
      <w:r w:rsidRPr="004820B3">
        <w:rPr>
          <w:rFonts w:ascii="Times New Roman" w:hAnsi="Times New Roman" w:cs="Times New Roman"/>
        </w:rPr>
        <w:t>Process the transfer of 80% of disposals approved in 2017/18.</w:t>
      </w:r>
    </w:p>
    <w:p w14:paraId="62CF2043" w14:textId="77777777" w:rsidR="004820B3" w:rsidRPr="004820B3" w:rsidRDefault="004820B3" w:rsidP="00B41D07">
      <w:pPr>
        <w:numPr>
          <w:ilvl w:val="0"/>
          <w:numId w:val="29"/>
        </w:numPr>
        <w:spacing w:after="0" w:line="360" w:lineRule="auto"/>
        <w:jc w:val="both"/>
        <w:rPr>
          <w:rFonts w:ascii="Times New Roman" w:hAnsi="Times New Roman" w:cs="Times New Roman"/>
        </w:rPr>
      </w:pPr>
      <w:r w:rsidRPr="004820B3">
        <w:rPr>
          <w:rFonts w:ascii="Times New Roman" w:hAnsi="Times New Roman" w:cs="Times New Roman"/>
        </w:rPr>
        <w:t>Update 100% of immovable assets on the Immovable Asset Register (IAR) of completed infrastructure projects.</w:t>
      </w:r>
    </w:p>
    <w:p w14:paraId="3F1591E4" w14:textId="77777777" w:rsidR="004820B3" w:rsidRPr="004820B3" w:rsidRDefault="004820B3" w:rsidP="00B41D07">
      <w:pPr>
        <w:numPr>
          <w:ilvl w:val="0"/>
          <w:numId w:val="29"/>
        </w:numPr>
        <w:spacing w:after="0" w:line="360" w:lineRule="auto"/>
        <w:jc w:val="both"/>
        <w:rPr>
          <w:rFonts w:ascii="Times New Roman" w:hAnsi="Times New Roman" w:cs="Times New Roman"/>
        </w:rPr>
      </w:pPr>
      <w:r w:rsidRPr="004820B3">
        <w:rPr>
          <w:rFonts w:ascii="Times New Roman" w:hAnsi="Times New Roman" w:cs="Times New Roman"/>
        </w:rPr>
        <w:t>Vest (confirm ownership) of 800 land parcels.</w:t>
      </w:r>
    </w:p>
    <w:p w14:paraId="398AB2B8" w14:textId="77777777" w:rsidR="004820B3" w:rsidRPr="004820B3" w:rsidRDefault="004820B3" w:rsidP="00B41D07">
      <w:pPr>
        <w:numPr>
          <w:ilvl w:val="0"/>
          <w:numId w:val="29"/>
        </w:numPr>
        <w:spacing w:after="0" w:line="360" w:lineRule="auto"/>
        <w:jc w:val="both"/>
        <w:rPr>
          <w:rFonts w:ascii="Times New Roman" w:hAnsi="Times New Roman" w:cs="Times New Roman"/>
        </w:rPr>
      </w:pPr>
      <w:r w:rsidRPr="004820B3">
        <w:rPr>
          <w:rFonts w:ascii="Times New Roman" w:hAnsi="Times New Roman" w:cs="Times New Roman"/>
        </w:rPr>
        <w:t>Physically verify and validate the existence of 19 708 immovable assets.</w:t>
      </w:r>
    </w:p>
    <w:p w14:paraId="18F6FCFC" w14:textId="77777777" w:rsidR="004820B3" w:rsidRPr="004820B3" w:rsidRDefault="004820B3" w:rsidP="00B41D07">
      <w:pPr>
        <w:numPr>
          <w:ilvl w:val="0"/>
          <w:numId w:val="29"/>
        </w:numPr>
        <w:spacing w:after="0" w:line="360" w:lineRule="auto"/>
        <w:jc w:val="both"/>
        <w:rPr>
          <w:rFonts w:ascii="Times New Roman" w:hAnsi="Times New Roman" w:cs="Times New Roman"/>
        </w:rPr>
      </w:pPr>
      <w:r w:rsidRPr="004820B3">
        <w:rPr>
          <w:rFonts w:ascii="Times New Roman" w:hAnsi="Times New Roman" w:cs="Times New Roman"/>
        </w:rPr>
        <w:t xml:space="preserve">Undertake assessments to determine the condition of significant components of 15 031 buildings. </w:t>
      </w:r>
    </w:p>
    <w:p w14:paraId="5654159B" w14:textId="77777777" w:rsidR="004820B3" w:rsidRPr="004820B3" w:rsidRDefault="004820B3" w:rsidP="00B41D07">
      <w:pPr>
        <w:numPr>
          <w:ilvl w:val="0"/>
          <w:numId w:val="29"/>
        </w:numPr>
        <w:spacing w:after="0" w:line="360" w:lineRule="auto"/>
        <w:jc w:val="both"/>
        <w:rPr>
          <w:rFonts w:ascii="Times New Roman" w:hAnsi="Times New Roman" w:cs="Times New Roman"/>
        </w:rPr>
      </w:pPr>
      <w:r w:rsidRPr="004820B3">
        <w:rPr>
          <w:rFonts w:ascii="Times New Roman" w:hAnsi="Times New Roman" w:cs="Times New Roman"/>
        </w:rPr>
        <w:t>Asses 9 Provincial IARs for compliance.</w:t>
      </w:r>
    </w:p>
    <w:p w14:paraId="72CDAEC7" w14:textId="77777777" w:rsidR="004820B3" w:rsidRPr="004820B3" w:rsidRDefault="004820B3" w:rsidP="00B41D07">
      <w:pPr>
        <w:numPr>
          <w:ilvl w:val="0"/>
          <w:numId w:val="29"/>
        </w:numPr>
        <w:spacing w:after="0" w:line="360" w:lineRule="auto"/>
        <w:jc w:val="both"/>
        <w:rPr>
          <w:rFonts w:ascii="Times New Roman" w:hAnsi="Times New Roman" w:cs="Times New Roman"/>
        </w:rPr>
      </w:pPr>
      <w:r w:rsidRPr="004820B3">
        <w:rPr>
          <w:rFonts w:ascii="Times New Roman" w:hAnsi="Times New Roman" w:cs="Times New Roman"/>
        </w:rPr>
        <w:t>Incorporate 4 National and Provincial IARs into the National Database of State properties.</w:t>
      </w:r>
    </w:p>
    <w:p w14:paraId="57B6EF78"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 xml:space="preserve"> </w:t>
      </w:r>
    </w:p>
    <w:p w14:paraId="200DAD15" w14:textId="77777777" w:rsidR="00BB1EE2" w:rsidRPr="001170E4" w:rsidRDefault="00BB1EE2" w:rsidP="00F72F11">
      <w:pPr>
        <w:pStyle w:val="Heading3"/>
        <w:spacing w:line="360" w:lineRule="auto"/>
        <w:rPr>
          <w:rFonts w:ascii="Times New Roman" w:hAnsi="Times New Roman"/>
          <w:i w:val="0"/>
          <w:color w:val="auto"/>
          <w:szCs w:val="22"/>
        </w:rPr>
      </w:pPr>
      <w:bookmarkStart w:id="26" w:name="_Toc476913445"/>
      <w:bookmarkStart w:id="27" w:name="_Toc477174261"/>
      <w:r w:rsidRPr="001170E4">
        <w:rPr>
          <w:rFonts w:ascii="Times New Roman" w:hAnsi="Times New Roman"/>
          <w:i w:val="0"/>
          <w:color w:val="auto"/>
          <w:szCs w:val="22"/>
        </w:rPr>
        <w:t>2.7. Programme 6: Facilities Management seeks to ensure that immovable assets used by Government Departments and the public, are optimally utilised and maintained in a safe, secure healthy and ergonomic environment while contributing to job creation, skills development and poverty alleviation.</w:t>
      </w:r>
      <w:bookmarkEnd w:id="26"/>
      <w:bookmarkEnd w:id="27"/>
    </w:p>
    <w:p w14:paraId="47B5B3FA" w14:textId="77777777" w:rsidR="00EC7041" w:rsidRPr="00EC7041" w:rsidRDefault="00EC7041" w:rsidP="00F72F1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sidRPr="00EC7041">
        <w:rPr>
          <w:rFonts w:ascii="Times New Roman" w:hAnsi="Times New Roman" w:cs="Times New Roman"/>
        </w:rPr>
        <w:t>The total alloc</w:t>
      </w:r>
      <w:r w:rsidR="00F13983">
        <w:rPr>
          <w:rFonts w:ascii="Times New Roman" w:hAnsi="Times New Roman" w:cs="Times New Roman"/>
        </w:rPr>
        <w:t>ation for Programme 6 equals R3,</w:t>
      </w:r>
      <w:r w:rsidRPr="00EC7041">
        <w:rPr>
          <w:rFonts w:ascii="Times New Roman" w:hAnsi="Times New Roman" w:cs="Times New Roman"/>
        </w:rPr>
        <w:t>27 billion for the 2018/19 financial year, which is an increase of R67</w:t>
      </w:r>
      <w:r w:rsidR="00897BAB">
        <w:rPr>
          <w:rFonts w:ascii="Times New Roman" w:hAnsi="Times New Roman" w:cs="Times New Roman"/>
        </w:rPr>
        <w:t>,</w:t>
      </w:r>
      <w:r w:rsidRPr="00EC7041">
        <w:rPr>
          <w:rFonts w:ascii="Times New Roman" w:hAnsi="Times New Roman" w:cs="Times New Roman"/>
        </w:rPr>
        <w:t>1 million. This is an increase of 2</w:t>
      </w:r>
      <w:r w:rsidR="00897BAB">
        <w:rPr>
          <w:rFonts w:ascii="Times New Roman" w:hAnsi="Times New Roman" w:cs="Times New Roman"/>
        </w:rPr>
        <w:t>,</w:t>
      </w:r>
      <w:r w:rsidRPr="00EC7041">
        <w:rPr>
          <w:rFonts w:ascii="Times New Roman" w:hAnsi="Times New Roman" w:cs="Times New Roman"/>
        </w:rPr>
        <w:t>1% in nominal terms (or a decrease of 3</w:t>
      </w:r>
      <w:r w:rsidR="00897BAB">
        <w:rPr>
          <w:rFonts w:ascii="Times New Roman" w:hAnsi="Times New Roman" w:cs="Times New Roman"/>
        </w:rPr>
        <w:t>,</w:t>
      </w:r>
      <w:r w:rsidRPr="00EC7041">
        <w:rPr>
          <w:rFonts w:ascii="Times New Roman" w:hAnsi="Times New Roman" w:cs="Times New Roman"/>
        </w:rPr>
        <w:t>2% in real terms) from the revised appropriation of R3</w:t>
      </w:r>
      <w:r w:rsidR="00897BAB">
        <w:rPr>
          <w:rFonts w:ascii="Times New Roman" w:hAnsi="Times New Roman" w:cs="Times New Roman"/>
        </w:rPr>
        <w:t>,</w:t>
      </w:r>
      <w:r w:rsidRPr="00EC7041">
        <w:rPr>
          <w:rFonts w:ascii="Times New Roman" w:hAnsi="Times New Roman" w:cs="Times New Roman"/>
        </w:rPr>
        <w:t xml:space="preserve">20 billion in 2017/18. </w:t>
      </w:r>
    </w:p>
    <w:p w14:paraId="20C66440" w14:textId="77777777" w:rsidR="00EC7041" w:rsidRPr="00CC18DD" w:rsidRDefault="00EC7041" w:rsidP="00F72F11">
      <w:pPr>
        <w:pStyle w:val="Default"/>
        <w:spacing w:after="20" w:line="280" w:lineRule="exact"/>
        <w:jc w:val="both"/>
        <w:rPr>
          <w:rFonts w:ascii="Arial" w:hAnsi="Arial" w:cs="Arial"/>
          <w:sz w:val="22"/>
          <w:szCs w:val="22"/>
          <w:lang w:val="en-GB"/>
        </w:rPr>
      </w:pPr>
    </w:p>
    <w:p w14:paraId="7600AA56" w14:textId="77777777" w:rsidR="00EC7041" w:rsidRPr="00EC7041" w:rsidRDefault="00EC7041" w:rsidP="00F72F11">
      <w:pPr>
        <w:pStyle w:val="Default"/>
        <w:spacing w:after="20" w:line="280" w:lineRule="exact"/>
        <w:jc w:val="both"/>
        <w:rPr>
          <w:rFonts w:ascii="Times New Roman" w:hAnsi="Times New Roman" w:cs="Times New Roman"/>
          <w:b/>
          <w:sz w:val="22"/>
          <w:szCs w:val="22"/>
          <w:lang w:val="en-GB"/>
        </w:rPr>
      </w:pPr>
      <w:r w:rsidRPr="00EC7041">
        <w:rPr>
          <w:rFonts w:ascii="Times New Roman" w:hAnsi="Times New Roman" w:cs="Times New Roman"/>
          <w:sz w:val="22"/>
          <w:szCs w:val="22"/>
          <w:lang w:val="en-GB"/>
        </w:rPr>
        <w:t>A select number of targets are highlighted:</w:t>
      </w:r>
      <w:r w:rsidRPr="00EC7041">
        <w:rPr>
          <w:rStyle w:val="FootnoteReference"/>
          <w:rFonts w:ascii="Times New Roman" w:hAnsi="Times New Roman" w:cs="Times New Roman"/>
          <w:sz w:val="22"/>
          <w:szCs w:val="22"/>
          <w:lang w:val="en-GB"/>
        </w:rPr>
        <w:footnoteReference w:id="51"/>
      </w:r>
    </w:p>
    <w:p w14:paraId="1293A333" w14:textId="77777777" w:rsidR="00EC7041" w:rsidRPr="00EC7041" w:rsidRDefault="00EC7041" w:rsidP="00F72F11">
      <w:pPr>
        <w:pStyle w:val="Default"/>
        <w:spacing w:after="20" w:line="280" w:lineRule="exact"/>
        <w:jc w:val="both"/>
        <w:rPr>
          <w:rFonts w:ascii="Times New Roman" w:hAnsi="Times New Roman" w:cs="Times New Roman"/>
          <w:b/>
          <w:sz w:val="22"/>
          <w:szCs w:val="22"/>
          <w:lang w:val="en-GB"/>
        </w:rPr>
      </w:pPr>
    </w:p>
    <w:p w14:paraId="44E89C0A" w14:textId="77777777" w:rsidR="00EC7041" w:rsidRPr="00EC7041" w:rsidRDefault="00EC7041" w:rsidP="00B41D07">
      <w:pPr>
        <w:pStyle w:val="Default"/>
        <w:numPr>
          <w:ilvl w:val="0"/>
          <w:numId w:val="30"/>
        </w:numPr>
        <w:spacing w:after="20" w:line="360" w:lineRule="auto"/>
        <w:jc w:val="both"/>
        <w:rPr>
          <w:rFonts w:ascii="Times New Roman" w:hAnsi="Times New Roman" w:cs="Times New Roman"/>
          <w:sz w:val="22"/>
          <w:szCs w:val="22"/>
          <w:lang w:val="en-GB"/>
        </w:rPr>
      </w:pPr>
      <w:r w:rsidRPr="00EC7041">
        <w:rPr>
          <w:rFonts w:ascii="Times New Roman" w:hAnsi="Times New Roman" w:cs="Times New Roman"/>
          <w:sz w:val="22"/>
          <w:szCs w:val="22"/>
          <w:lang w:val="en-GB"/>
        </w:rPr>
        <w:t>Put in place scheduled maintenance contracts for 500 buildings.</w:t>
      </w:r>
    </w:p>
    <w:p w14:paraId="2AB71489" w14:textId="77777777" w:rsidR="00EC7041" w:rsidRPr="00EC7041" w:rsidRDefault="00EC7041" w:rsidP="00B41D07">
      <w:pPr>
        <w:numPr>
          <w:ilvl w:val="0"/>
          <w:numId w:val="30"/>
        </w:numPr>
        <w:spacing w:after="0" w:line="360" w:lineRule="auto"/>
        <w:jc w:val="both"/>
        <w:rPr>
          <w:rFonts w:ascii="Times New Roman" w:hAnsi="Times New Roman" w:cs="Times New Roman"/>
        </w:rPr>
      </w:pPr>
      <w:r w:rsidRPr="00EC7041">
        <w:rPr>
          <w:rFonts w:ascii="Times New Roman" w:hAnsi="Times New Roman" w:cs="Times New Roman"/>
        </w:rPr>
        <w:t>Resolve 15% of unscheduled reported maintenance incidents within agreed timeframes.</w:t>
      </w:r>
    </w:p>
    <w:p w14:paraId="4C9B8AA2" w14:textId="77777777" w:rsidR="00EC7041" w:rsidRPr="00EC7041" w:rsidRDefault="00EC7041" w:rsidP="00B41D07">
      <w:pPr>
        <w:numPr>
          <w:ilvl w:val="0"/>
          <w:numId w:val="30"/>
        </w:numPr>
        <w:spacing w:after="0" w:line="360" w:lineRule="auto"/>
        <w:jc w:val="both"/>
        <w:rPr>
          <w:rFonts w:ascii="Times New Roman" w:hAnsi="Times New Roman" w:cs="Times New Roman"/>
        </w:rPr>
      </w:pPr>
      <w:r w:rsidRPr="00EC7041">
        <w:rPr>
          <w:rFonts w:ascii="Times New Roman" w:hAnsi="Times New Roman" w:cs="Times New Roman"/>
        </w:rPr>
        <w:t>Award 35% of term contracts to the Broad-Based Black Economic Empowerment (BBBEE) companies.</w:t>
      </w:r>
    </w:p>
    <w:p w14:paraId="062251E8" w14:textId="77777777" w:rsidR="00EC7041" w:rsidRPr="00EC7041" w:rsidRDefault="00EC7041" w:rsidP="00B41D07">
      <w:pPr>
        <w:numPr>
          <w:ilvl w:val="0"/>
          <w:numId w:val="30"/>
        </w:numPr>
        <w:spacing w:after="0" w:line="360" w:lineRule="auto"/>
        <w:jc w:val="both"/>
        <w:rPr>
          <w:rFonts w:ascii="Times New Roman" w:hAnsi="Times New Roman" w:cs="Times New Roman"/>
        </w:rPr>
      </w:pPr>
      <w:r w:rsidRPr="00EC7041">
        <w:rPr>
          <w:rFonts w:ascii="Times New Roman" w:hAnsi="Times New Roman" w:cs="Times New Roman"/>
        </w:rPr>
        <w:t>Reduce energy consumption for identified buildings by 150 000 000 Wh.</w:t>
      </w:r>
    </w:p>
    <w:p w14:paraId="6DACD7B8" w14:textId="77777777" w:rsidR="00EC7041" w:rsidRPr="00EC7041" w:rsidRDefault="00EC7041" w:rsidP="00B41D07">
      <w:pPr>
        <w:numPr>
          <w:ilvl w:val="0"/>
          <w:numId w:val="30"/>
        </w:numPr>
        <w:spacing w:after="0" w:line="360" w:lineRule="auto"/>
        <w:jc w:val="both"/>
        <w:rPr>
          <w:rFonts w:ascii="Times New Roman" w:hAnsi="Times New Roman" w:cs="Times New Roman"/>
        </w:rPr>
      </w:pPr>
      <w:r w:rsidRPr="00EC7041">
        <w:rPr>
          <w:rFonts w:ascii="Times New Roman" w:hAnsi="Times New Roman" w:cs="Times New Roman"/>
        </w:rPr>
        <w:t>Generate 10 400 000 Wh renewable energy.</w:t>
      </w:r>
    </w:p>
    <w:p w14:paraId="1ADC8EA7" w14:textId="77777777" w:rsidR="00EC7041" w:rsidRPr="00EC7041" w:rsidRDefault="00EC7041" w:rsidP="00B41D07">
      <w:pPr>
        <w:numPr>
          <w:ilvl w:val="0"/>
          <w:numId w:val="30"/>
        </w:numPr>
        <w:spacing w:after="0" w:line="360" w:lineRule="auto"/>
        <w:jc w:val="both"/>
        <w:rPr>
          <w:rFonts w:ascii="Times New Roman" w:hAnsi="Times New Roman" w:cs="Times New Roman"/>
        </w:rPr>
      </w:pPr>
      <w:r w:rsidRPr="00EC7041">
        <w:rPr>
          <w:rFonts w:ascii="Times New Roman" w:hAnsi="Times New Roman" w:cs="Times New Roman"/>
        </w:rPr>
        <w:lastRenderedPageBreak/>
        <w:t xml:space="preserve">Reduce water consumption for identified buildings by 8 000 000 kl.  </w:t>
      </w:r>
    </w:p>
    <w:p w14:paraId="1A596A39" w14:textId="77777777" w:rsidR="00BB1EE2" w:rsidRDefault="00BB1EE2" w:rsidP="00F72F11">
      <w:pPr>
        <w:spacing w:line="360" w:lineRule="auto"/>
        <w:jc w:val="both"/>
        <w:rPr>
          <w:rFonts w:ascii="Times New Roman" w:hAnsi="Times New Roman" w:cs="Times New Roman"/>
        </w:rPr>
      </w:pPr>
    </w:p>
    <w:p w14:paraId="734CC01B" w14:textId="77777777" w:rsidR="00A83E93" w:rsidRPr="00A83E93" w:rsidRDefault="007A0802" w:rsidP="00F72F11">
      <w:pPr>
        <w:pStyle w:val="Title"/>
        <w:rPr>
          <w:rFonts w:ascii="Times New Roman" w:hAnsi="Times New Roman"/>
          <w:sz w:val="22"/>
          <w:szCs w:val="22"/>
        </w:rPr>
      </w:pPr>
      <w:r>
        <w:rPr>
          <w:rFonts w:ascii="Times New Roman" w:hAnsi="Times New Roman"/>
          <w:sz w:val="22"/>
          <w:szCs w:val="22"/>
        </w:rPr>
        <w:t xml:space="preserve">Capital Works and Leasing </w:t>
      </w:r>
      <w:r w:rsidR="00A83E93">
        <w:rPr>
          <w:rFonts w:ascii="Times New Roman" w:hAnsi="Times New Roman"/>
          <w:sz w:val="22"/>
          <w:szCs w:val="22"/>
        </w:rPr>
        <w:t xml:space="preserve">to provide </w:t>
      </w:r>
      <w:r>
        <w:rPr>
          <w:rFonts w:ascii="Times New Roman" w:hAnsi="Times New Roman"/>
          <w:sz w:val="22"/>
          <w:szCs w:val="22"/>
        </w:rPr>
        <w:t>accommodation</w:t>
      </w:r>
    </w:p>
    <w:p w14:paraId="6272BCE0" w14:textId="77777777" w:rsidR="00A83E93" w:rsidRPr="00A83E93" w:rsidRDefault="00A83E93" w:rsidP="00F72F11">
      <w:pPr>
        <w:spacing w:line="360" w:lineRule="auto"/>
        <w:jc w:val="both"/>
        <w:rPr>
          <w:rFonts w:ascii="Times New Roman" w:hAnsi="Times New Roman" w:cs="Times New Roman"/>
        </w:rPr>
      </w:pPr>
      <w:r w:rsidRPr="00A83E93">
        <w:rPr>
          <w:rFonts w:ascii="Times New Roman" w:hAnsi="Times New Roman" w:cs="Times New Roman"/>
        </w:rPr>
        <w:t xml:space="preserve">The PMTE provides office and residential accommodation to 52 </w:t>
      </w:r>
      <w:r w:rsidR="00B5152F">
        <w:rPr>
          <w:rFonts w:ascii="Times New Roman" w:hAnsi="Times New Roman" w:cs="Times New Roman"/>
        </w:rPr>
        <w:t>C</w:t>
      </w:r>
      <w:r>
        <w:rPr>
          <w:rFonts w:ascii="Times New Roman" w:hAnsi="Times New Roman" w:cs="Times New Roman"/>
        </w:rPr>
        <w:t>lient</w:t>
      </w:r>
      <w:r w:rsidRPr="00A83E93">
        <w:rPr>
          <w:rFonts w:ascii="Times New Roman" w:hAnsi="Times New Roman" w:cs="Times New Roman"/>
        </w:rPr>
        <w:t xml:space="preserve"> Departments. </w:t>
      </w:r>
      <w:r w:rsidR="007F5A60">
        <w:rPr>
          <w:rFonts w:ascii="Times New Roman" w:hAnsi="Times New Roman" w:cs="Times New Roman"/>
        </w:rPr>
        <w:t xml:space="preserve">The </w:t>
      </w:r>
      <w:r w:rsidR="00BD6DAF">
        <w:rPr>
          <w:rFonts w:ascii="Times New Roman" w:hAnsi="Times New Roman" w:cs="Times New Roman"/>
        </w:rPr>
        <w:t xml:space="preserve">accommodation </w:t>
      </w:r>
      <w:r w:rsidR="007F5A60">
        <w:rPr>
          <w:rFonts w:ascii="Times New Roman" w:hAnsi="Times New Roman" w:cs="Times New Roman"/>
        </w:rPr>
        <w:t>requirements</w:t>
      </w:r>
      <w:r w:rsidR="007A0802">
        <w:rPr>
          <w:rFonts w:ascii="Times New Roman" w:hAnsi="Times New Roman" w:cs="Times New Roman"/>
        </w:rPr>
        <w:t xml:space="preserve"> of Client Departments </w:t>
      </w:r>
      <w:r w:rsidR="00A86E0A">
        <w:rPr>
          <w:rFonts w:ascii="Times New Roman" w:hAnsi="Times New Roman" w:cs="Times New Roman"/>
        </w:rPr>
        <w:t xml:space="preserve">means that the PMTE plans the </w:t>
      </w:r>
      <w:r w:rsidR="007A0802">
        <w:rPr>
          <w:rFonts w:ascii="Times New Roman" w:hAnsi="Times New Roman" w:cs="Times New Roman"/>
        </w:rPr>
        <w:t>construct</w:t>
      </w:r>
      <w:r w:rsidR="00A86E0A">
        <w:rPr>
          <w:rFonts w:ascii="Times New Roman" w:hAnsi="Times New Roman" w:cs="Times New Roman"/>
        </w:rPr>
        <w:t>ion of</w:t>
      </w:r>
      <w:r w:rsidRPr="00A83E93">
        <w:rPr>
          <w:rFonts w:ascii="Times New Roman" w:hAnsi="Times New Roman" w:cs="Times New Roman"/>
        </w:rPr>
        <w:t xml:space="preserve"> head office buildings</w:t>
      </w:r>
      <w:r>
        <w:rPr>
          <w:rFonts w:ascii="Times New Roman" w:hAnsi="Times New Roman" w:cs="Times New Roman"/>
        </w:rPr>
        <w:t>,</w:t>
      </w:r>
      <w:r w:rsidRPr="00A83E93">
        <w:rPr>
          <w:rFonts w:ascii="Times New Roman" w:hAnsi="Times New Roman" w:cs="Times New Roman"/>
        </w:rPr>
        <w:t xml:space="preserve"> high courts, precinct developments, correctional centres, </w:t>
      </w:r>
      <w:r w:rsidR="0000258B">
        <w:rPr>
          <w:rFonts w:ascii="Times New Roman" w:hAnsi="Times New Roman" w:cs="Times New Roman"/>
        </w:rPr>
        <w:t xml:space="preserve">and </w:t>
      </w:r>
      <w:r w:rsidR="00BD6DAF">
        <w:rPr>
          <w:rFonts w:ascii="Times New Roman" w:hAnsi="Times New Roman" w:cs="Times New Roman"/>
        </w:rPr>
        <w:t>police stations</w:t>
      </w:r>
      <w:r w:rsidR="0000258B">
        <w:rPr>
          <w:rFonts w:ascii="Times New Roman" w:hAnsi="Times New Roman" w:cs="Times New Roman"/>
        </w:rPr>
        <w:t>. It also embarks on construction to upgraded existing buildings and premises</w:t>
      </w:r>
      <w:r w:rsidRPr="00A83E93">
        <w:rPr>
          <w:rFonts w:ascii="Times New Roman" w:hAnsi="Times New Roman" w:cs="Times New Roman"/>
        </w:rPr>
        <w:t>.</w:t>
      </w:r>
      <w:r w:rsidRPr="00A83E93">
        <w:rPr>
          <w:rStyle w:val="FootnoteReference"/>
          <w:rFonts w:ascii="Times New Roman" w:hAnsi="Times New Roman" w:cs="Times New Roman"/>
        </w:rPr>
        <w:footnoteReference w:id="52"/>
      </w:r>
      <w:r w:rsidRPr="00A83E93">
        <w:rPr>
          <w:rFonts w:ascii="Times New Roman" w:hAnsi="Times New Roman" w:cs="Times New Roman"/>
        </w:rPr>
        <w:t xml:space="preserve">  </w:t>
      </w:r>
    </w:p>
    <w:p w14:paraId="66C4BAF5" w14:textId="77777777" w:rsidR="00A83E93" w:rsidRPr="00A83E93" w:rsidRDefault="003403DC" w:rsidP="00F72F11">
      <w:pPr>
        <w:spacing w:line="360" w:lineRule="auto"/>
        <w:jc w:val="both"/>
        <w:rPr>
          <w:rFonts w:ascii="Times New Roman" w:hAnsi="Times New Roman" w:cs="Times New Roman"/>
        </w:rPr>
      </w:pPr>
      <w:r w:rsidRPr="00A83E93">
        <w:rPr>
          <w:rFonts w:ascii="Times New Roman" w:hAnsi="Times New Roman" w:cs="Times New Roman"/>
        </w:rPr>
        <w:t xml:space="preserve">In terms of capital requirements </w:t>
      </w:r>
      <w:r>
        <w:rPr>
          <w:rFonts w:ascii="Times New Roman" w:hAnsi="Times New Roman" w:cs="Times New Roman"/>
        </w:rPr>
        <w:t>this</w:t>
      </w:r>
      <w:r w:rsidR="00A83E93" w:rsidRPr="00A83E93">
        <w:rPr>
          <w:rFonts w:ascii="Times New Roman" w:hAnsi="Times New Roman" w:cs="Times New Roman"/>
        </w:rPr>
        <w:t xml:space="preserve"> demand for new space by </w:t>
      </w:r>
      <w:r w:rsidR="00B5152F">
        <w:rPr>
          <w:rFonts w:ascii="Times New Roman" w:hAnsi="Times New Roman" w:cs="Times New Roman"/>
        </w:rPr>
        <w:t>Client</w:t>
      </w:r>
      <w:r w:rsidR="00A83E93" w:rsidRPr="00A83E93">
        <w:rPr>
          <w:rFonts w:ascii="Times New Roman" w:hAnsi="Times New Roman" w:cs="Times New Roman"/>
        </w:rPr>
        <w:t xml:space="preserve"> Departments equals 966 435 m² and requires</w:t>
      </w:r>
      <w:r w:rsidR="00B5152F">
        <w:rPr>
          <w:rFonts w:ascii="Times New Roman" w:hAnsi="Times New Roman" w:cs="Times New Roman"/>
        </w:rPr>
        <w:t xml:space="preserve"> a</w:t>
      </w:r>
      <w:r w:rsidR="00A83E93" w:rsidRPr="00A83E93">
        <w:rPr>
          <w:rFonts w:ascii="Times New Roman" w:hAnsi="Times New Roman" w:cs="Times New Roman"/>
        </w:rPr>
        <w:t xml:space="preserve"> total capital </w:t>
      </w:r>
      <w:r w:rsidR="00B5152F">
        <w:rPr>
          <w:rFonts w:ascii="Times New Roman" w:hAnsi="Times New Roman" w:cs="Times New Roman"/>
        </w:rPr>
        <w:t>amount</w:t>
      </w:r>
      <w:r w:rsidR="00A83E93" w:rsidRPr="00A83E93">
        <w:rPr>
          <w:rFonts w:ascii="Times New Roman" w:hAnsi="Times New Roman" w:cs="Times New Roman"/>
        </w:rPr>
        <w:t xml:space="preserve"> of R4</w:t>
      </w:r>
      <w:r w:rsidR="00897BAB">
        <w:rPr>
          <w:rFonts w:ascii="Times New Roman" w:hAnsi="Times New Roman" w:cs="Times New Roman"/>
        </w:rPr>
        <w:t>,</w:t>
      </w:r>
      <w:r w:rsidR="00A83E93" w:rsidRPr="00A83E93">
        <w:rPr>
          <w:rFonts w:ascii="Times New Roman" w:hAnsi="Times New Roman" w:cs="Times New Roman"/>
        </w:rPr>
        <w:t xml:space="preserve">75 billion over the 2018/19 – 2020/21 MTEF period. The largest demand for space is the South African Police Service (SAPS), </w:t>
      </w:r>
      <w:r w:rsidR="00B5152F">
        <w:rPr>
          <w:rFonts w:ascii="Times New Roman" w:hAnsi="Times New Roman" w:cs="Times New Roman"/>
        </w:rPr>
        <w:t xml:space="preserve">that </w:t>
      </w:r>
      <w:r w:rsidR="00A83E93" w:rsidRPr="00A83E93">
        <w:rPr>
          <w:rFonts w:ascii="Times New Roman" w:hAnsi="Times New Roman" w:cs="Times New Roman"/>
        </w:rPr>
        <w:t>requir</w:t>
      </w:r>
      <w:r w:rsidR="00B5152F">
        <w:rPr>
          <w:rFonts w:ascii="Times New Roman" w:hAnsi="Times New Roman" w:cs="Times New Roman"/>
        </w:rPr>
        <w:t>es</w:t>
      </w:r>
      <w:r w:rsidR="00A83E93" w:rsidRPr="00A83E93">
        <w:rPr>
          <w:rFonts w:ascii="Times New Roman" w:hAnsi="Times New Roman" w:cs="Times New Roman"/>
        </w:rPr>
        <w:t xml:space="preserve"> 510 215 m², at a total cost of R1</w:t>
      </w:r>
      <w:r w:rsidR="00897BAB">
        <w:rPr>
          <w:rFonts w:ascii="Times New Roman" w:hAnsi="Times New Roman" w:cs="Times New Roman"/>
        </w:rPr>
        <w:t>,</w:t>
      </w:r>
      <w:r w:rsidR="00A83E93" w:rsidRPr="00A83E93">
        <w:rPr>
          <w:rFonts w:ascii="Times New Roman" w:hAnsi="Times New Roman" w:cs="Times New Roman"/>
        </w:rPr>
        <w:t>68 billion. Home Affairs require</w:t>
      </w:r>
      <w:r w:rsidR="00B5152F">
        <w:rPr>
          <w:rFonts w:ascii="Times New Roman" w:hAnsi="Times New Roman" w:cs="Times New Roman"/>
        </w:rPr>
        <w:t>s</w:t>
      </w:r>
      <w:r w:rsidR="00A83E93" w:rsidRPr="00A83E93">
        <w:rPr>
          <w:rFonts w:ascii="Times New Roman" w:hAnsi="Times New Roman" w:cs="Times New Roman"/>
        </w:rPr>
        <w:t xml:space="preserve"> the least accommodation </w:t>
      </w:r>
      <w:r w:rsidR="00B5152F">
        <w:rPr>
          <w:rFonts w:ascii="Times New Roman" w:hAnsi="Times New Roman" w:cs="Times New Roman"/>
        </w:rPr>
        <w:t xml:space="preserve">space of </w:t>
      </w:r>
      <w:r w:rsidR="00A83E93" w:rsidRPr="00A83E93">
        <w:rPr>
          <w:rFonts w:ascii="Times New Roman" w:hAnsi="Times New Roman" w:cs="Times New Roman"/>
        </w:rPr>
        <w:t>9 565 m², at a total cost of R186</w:t>
      </w:r>
      <w:r w:rsidR="00897BAB">
        <w:rPr>
          <w:rFonts w:ascii="Times New Roman" w:hAnsi="Times New Roman" w:cs="Times New Roman"/>
        </w:rPr>
        <w:t>,</w:t>
      </w:r>
      <w:r w:rsidR="00A83E93" w:rsidRPr="00A83E93">
        <w:rPr>
          <w:rFonts w:ascii="Times New Roman" w:hAnsi="Times New Roman" w:cs="Times New Roman"/>
        </w:rPr>
        <w:t>1 million over the MTEF period.</w:t>
      </w:r>
      <w:r w:rsidR="00A83E93" w:rsidRPr="00A83E93">
        <w:rPr>
          <w:rStyle w:val="FootnoteReference"/>
          <w:rFonts w:ascii="Times New Roman" w:hAnsi="Times New Roman" w:cs="Times New Roman"/>
        </w:rPr>
        <w:footnoteReference w:id="53"/>
      </w:r>
    </w:p>
    <w:p w14:paraId="24454430" w14:textId="77777777" w:rsidR="00A83E93" w:rsidRPr="00A83E93" w:rsidRDefault="00AC4763" w:rsidP="00F72F11">
      <w:pPr>
        <w:spacing w:line="360" w:lineRule="auto"/>
        <w:jc w:val="both"/>
        <w:rPr>
          <w:rFonts w:ascii="Times New Roman" w:hAnsi="Times New Roman" w:cs="Times New Roman"/>
        </w:rPr>
      </w:pPr>
      <w:r>
        <w:rPr>
          <w:rFonts w:ascii="Times New Roman" w:hAnsi="Times New Roman" w:cs="Times New Roman"/>
        </w:rPr>
        <w:t>In addition to infrastructure development</w:t>
      </w:r>
      <w:r w:rsidR="003403DC">
        <w:rPr>
          <w:rFonts w:ascii="Times New Roman" w:hAnsi="Times New Roman" w:cs="Times New Roman"/>
        </w:rPr>
        <w:t>, an</w:t>
      </w:r>
      <w:r w:rsidR="00763051">
        <w:rPr>
          <w:rFonts w:ascii="Times New Roman" w:hAnsi="Times New Roman" w:cs="Times New Roman"/>
        </w:rPr>
        <w:t xml:space="preserve"> amount of</w:t>
      </w:r>
      <w:r w:rsidR="00A83E93" w:rsidRPr="00A83E93">
        <w:rPr>
          <w:rFonts w:ascii="Times New Roman" w:hAnsi="Times New Roman" w:cs="Times New Roman"/>
        </w:rPr>
        <w:t xml:space="preserve"> R1</w:t>
      </w:r>
      <w:r w:rsidR="00897BAB">
        <w:rPr>
          <w:rFonts w:ascii="Times New Roman" w:hAnsi="Times New Roman" w:cs="Times New Roman"/>
        </w:rPr>
        <w:t>,</w:t>
      </w:r>
      <w:r w:rsidR="00A83E93" w:rsidRPr="00A83E93">
        <w:rPr>
          <w:rFonts w:ascii="Times New Roman" w:hAnsi="Times New Roman" w:cs="Times New Roman"/>
        </w:rPr>
        <w:t xml:space="preserve">81 billion is required </w:t>
      </w:r>
      <w:r w:rsidR="00763051">
        <w:rPr>
          <w:rFonts w:ascii="Times New Roman" w:hAnsi="Times New Roman" w:cs="Times New Roman"/>
        </w:rPr>
        <w:t>to</w:t>
      </w:r>
      <w:r w:rsidR="00A83E93" w:rsidRPr="00A83E93">
        <w:rPr>
          <w:rFonts w:ascii="Times New Roman" w:hAnsi="Times New Roman" w:cs="Times New Roman"/>
        </w:rPr>
        <w:t xml:space="preserve"> leas</w:t>
      </w:r>
      <w:r w:rsidR="00763051">
        <w:rPr>
          <w:rFonts w:ascii="Times New Roman" w:hAnsi="Times New Roman" w:cs="Times New Roman"/>
        </w:rPr>
        <w:t>e</w:t>
      </w:r>
      <w:r w:rsidR="00A83E93" w:rsidRPr="00A83E93">
        <w:rPr>
          <w:rFonts w:ascii="Times New Roman" w:hAnsi="Times New Roman" w:cs="Times New Roman"/>
        </w:rPr>
        <w:t xml:space="preserve"> new </w:t>
      </w:r>
      <w:r w:rsidR="00763051">
        <w:rPr>
          <w:rFonts w:ascii="Times New Roman" w:hAnsi="Times New Roman" w:cs="Times New Roman"/>
        </w:rPr>
        <w:t xml:space="preserve">accommodation </w:t>
      </w:r>
      <w:r w:rsidR="00A83E93" w:rsidRPr="00A83E93">
        <w:rPr>
          <w:rFonts w:ascii="Times New Roman" w:hAnsi="Times New Roman" w:cs="Times New Roman"/>
        </w:rPr>
        <w:t>space of 471 942 m² over the three-year MTEF period. The Justice and Constitutional Development User Department requires the largest portion of leasing at 220 000 m², at a total cost of R1</w:t>
      </w:r>
      <w:r w:rsidR="00897BAB">
        <w:rPr>
          <w:rFonts w:ascii="Times New Roman" w:hAnsi="Times New Roman" w:cs="Times New Roman"/>
        </w:rPr>
        <w:t>,</w:t>
      </w:r>
      <w:r w:rsidR="00A83E93" w:rsidRPr="00A83E93">
        <w:rPr>
          <w:rFonts w:ascii="Times New Roman" w:hAnsi="Times New Roman" w:cs="Times New Roman"/>
        </w:rPr>
        <w:t xml:space="preserve">23 billion over the MTEF period. </w:t>
      </w:r>
      <w:r w:rsidR="007A0802">
        <w:rPr>
          <w:rFonts w:ascii="Times New Roman" w:hAnsi="Times New Roman" w:cs="Times New Roman"/>
        </w:rPr>
        <w:t>T</w:t>
      </w:r>
      <w:r w:rsidR="00A83E93" w:rsidRPr="00A83E93">
        <w:rPr>
          <w:rFonts w:ascii="Times New Roman" w:hAnsi="Times New Roman" w:cs="Times New Roman"/>
        </w:rPr>
        <w:t>he Military Veterans requires the least space to be leased at 920 m², at a total cost of R74</w:t>
      </w:r>
      <w:r w:rsidR="00897BAB">
        <w:rPr>
          <w:rFonts w:ascii="Times New Roman" w:hAnsi="Times New Roman" w:cs="Times New Roman"/>
        </w:rPr>
        <w:t>,</w:t>
      </w:r>
      <w:r w:rsidR="00A83E93" w:rsidRPr="00A83E93">
        <w:rPr>
          <w:rFonts w:ascii="Times New Roman" w:hAnsi="Times New Roman" w:cs="Times New Roman"/>
        </w:rPr>
        <w:t>6 million over the MTEF period.</w:t>
      </w:r>
      <w:r w:rsidR="00A83E93" w:rsidRPr="00A83E93">
        <w:rPr>
          <w:rStyle w:val="FootnoteReference"/>
          <w:rFonts w:ascii="Times New Roman" w:hAnsi="Times New Roman" w:cs="Times New Roman"/>
        </w:rPr>
        <w:footnoteReference w:id="54"/>
      </w:r>
      <w:r w:rsidR="00A83E93" w:rsidRPr="00A83E93">
        <w:rPr>
          <w:rFonts w:ascii="Times New Roman" w:hAnsi="Times New Roman" w:cs="Times New Roman"/>
        </w:rPr>
        <w:t xml:space="preserve">    </w:t>
      </w:r>
    </w:p>
    <w:p w14:paraId="1055B098" w14:textId="77777777" w:rsidR="00A83E93" w:rsidRPr="00A83E93" w:rsidRDefault="00A83E93" w:rsidP="00F72F11">
      <w:pPr>
        <w:spacing w:line="360" w:lineRule="auto"/>
        <w:jc w:val="both"/>
        <w:rPr>
          <w:rFonts w:ascii="Times New Roman" w:hAnsi="Times New Roman" w:cs="Times New Roman"/>
        </w:rPr>
      </w:pPr>
      <w:r w:rsidRPr="00A83E93">
        <w:rPr>
          <w:rFonts w:ascii="Times New Roman" w:hAnsi="Times New Roman" w:cs="Times New Roman"/>
        </w:rPr>
        <w:t>Beyond leasing of new space and capital works, the PMTE also provides for, maintenance services, infrastructure replacement, upgrades and additions.</w:t>
      </w:r>
    </w:p>
    <w:p w14:paraId="426471D0" w14:textId="77777777" w:rsidR="003403DC" w:rsidRDefault="003403DC" w:rsidP="00F72F11">
      <w:pPr>
        <w:jc w:val="both"/>
        <w:rPr>
          <w:rFonts w:cs="Arial"/>
        </w:rPr>
      </w:pPr>
      <w:r>
        <w:rPr>
          <w:rFonts w:cs="Arial"/>
        </w:rPr>
        <w:br w:type="page"/>
      </w:r>
    </w:p>
    <w:p w14:paraId="226F140D" w14:textId="77777777" w:rsidR="00A83E93" w:rsidRPr="003403DC" w:rsidRDefault="003403DC" w:rsidP="00F72F11">
      <w:pPr>
        <w:pStyle w:val="Heading3"/>
        <w:rPr>
          <w:rFonts w:ascii="Times New Roman" w:hAnsi="Times New Roman"/>
          <w:i w:val="0"/>
          <w:color w:val="auto"/>
          <w:szCs w:val="22"/>
        </w:rPr>
      </w:pPr>
      <w:r w:rsidRPr="003403DC">
        <w:rPr>
          <w:rFonts w:ascii="Times New Roman" w:hAnsi="Times New Roman"/>
          <w:i w:val="0"/>
          <w:color w:val="auto"/>
          <w:szCs w:val="22"/>
        </w:rPr>
        <w:lastRenderedPageBreak/>
        <w:t xml:space="preserve">Infrastructure allocations to </w:t>
      </w:r>
      <w:r w:rsidR="00797E34">
        <w:rPr>
          <w:rFonts w:ascii="Times New Roman" w:hAnsi="Times New Roman"/>
          <w:i w:val="0"/>
          <w:color w:val="auto"/>
          <w:szCs w:val="22"/>
        </w:rPr>
        <w:t xml:space="preserve">PMTE </w:t>
      </w:r>
      <w:r w:rsidRPr="003403DC">
        <w:rPr>
          <w:rFonts w:ascii="Times New Roman" w:hAnsi="Times New Roman"/>
          <w:i w:val="0"/>
          <w:color w:val="auto"/>
          <w:szCs w:val="22"/>
        </w:rPr>
        <w:t>sub-programmes</w:t>
      </w:r>
      <w:r w:rsidR="00797E34" w:rsidRPr="00797E34">
        <w:rPr>
          <w:rStyle w:val="FootnoteReference"/>
          <w:rFonts w:ascii="Times New Roman" w:hAnsi="Times New Roman"/>
          <w:b w:val="0"/>
          <w:bCs/>
          <w:i w:val="0"/>
          <w:color w:val="000000"/>
          <w:szCs w:val="22"/>
          <w:lang w:eastAsia="en-GB"/>
        </w:rPr>
        <w:footnoteReference w:id="55"/>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224"/>
        <w:gridCol w:w="1276"/>
        <w:gridCol w:w="1417"/>
        <w:gridCol w:w="1134"/>
        <w:gridCol w:w="1418"/>
        <w:gridCol w:w="992"/>
      </w:tblGrid>
      <w:tr w:rsidR="00A83E93" w:rsidRPr="003403DC" w14:paraId="4436FEE7" w14:textId="77777777" w:rsidTr="003403DC">
        <w:trPr>
          <w:trHeight w:val="900"/>
        </w:trPr>
        <w:tc>
          <w:tcPr>
            <w:tcW w:w="2746" w:type="dxa"/>
            <w:shd w:val="clear" w:color="auto" w:fill="auto"/>
            <w:vAlign w:val="bottom"/>
            <w:hideMark/>
          </w:tcPr>
          <w:p w14:paraId="1A61083F"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Infrastructure Programme R’ million</w:t>
            </w:r>
          </w:p>
        </w:tc>
        <w:tc>
          <w:tcPr>
            <w:tcW w:w="1224" w:type="dxa"/>
            <w:shd w:val="clear" w:color="auto" w:fill="auto"/>
            <w:vAlign w:val="bottom"/>
            <w:hideMark/>
          </w:tcPr>
          <w:p w14:paraId="17862458"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Number of Projects</w:t>
            </w:r>
          </w:p>
        </w:tc>
        <w:tc>
          <w:tcPr>
            <w:tcW w:w="1276" w:type="dxa"/>
            <w:shd w:val="clear" w:color="auto" w:fill="auto"/>
            <w:vAlign w:val="bottom"/>
            <w:hideMark/>
          </w:tcPr>
          <w:p w14:paraId="102CF413"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Project Description</w:t>
            </w:r>
          </w:p>
        </w:tc>
        <w:tc>
          <w:tcPr>
            <w:tcW w:w="1417" w:type="dxa"/>
            <w:shd w:val="clear" w:color="auto" w:fill="auto"/>
            <w:vAlign w:val="bottom"/>
            <w:hideMark/>
          </w:tcPr>
          <w:p w14:paraId="279C47E8"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Municipality</w:t>
            </w:r>
          </w:p>
        </w:tc>
        <w:tc>
          <w:tcPr>
            <w:tcW w:w="1134" w:type="dxa"/>
            <w:shd w:val="clear" w:color="auto" w:fill="auto"/>
            <w:vAlign w:val="bottom"/>
            <w:hideMark/>
          </w:tcPr>
          <w:p w14:paraId="317F624E"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Output</w:t>
            </w:r>
          </w:p>
        </w:tc>
        <w:tc>
          <w:tcPr>
            <w:tcW w:w="1418" w:type="dxa"/>
            <w:shd w:val="clear" w:color="auto" w:fill="auto"/>
            <w:vAlign w:val="bottom"/>
            <w:hideMark/>
          </w:tcPr>
          <w:p w14:paraId="7EEB07B3"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Revised Estimate 2017/18</w:t>
            </w:r>
          </w:p>
        </w:tc>
        <w:tc>
          <w:tcPr>
            <w:tcW w:w="992" w:type="dxa"/>
            <w:shd w:val="clear" w:color="auto" w:fill="auto"/>
            <w:vAlign w:val="bottom"/>
            <w:hideMark/>
          </w:tcPr>
          <w:p w14:paraId="1993552A"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2018/19</w:t>
            </w:r>
          </w:p>
        </w:tc>
      </w:tr>
      <w:tr w:rsidR="00A83E93" w:rsidRPr="003403DC" w14:paraId="44A5858E" w14:textId="77777777" w:rsidTr="003403DC">
        <w:trPr>
          <w:trHeight w:val="300"/>
        </w:trPr>
        <w:tc>
          <w:tcPr>
            <w:tcW w:w="2746" w:type="dxa"/>
            <w:shd w:val="clear" w:color="auto" w:fill="auto"/>
            <w:noWrap/>
            <w:vAlign w:val="bottom"/>
            <w:hideMark/>
          </w:tcPr>
          <w:p w14:paraId="0CDDCB2C"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 xml:space="preserve">1. Departmental </w:t>
            </w:r>
          </w:p>
        </w:tc>
        <w:tc>
          <w:tcPr>
            <w:tcW w:w="1224" w:type="dxa"/>
            <w:shd w:val="clear" w:color="auto" w:fill="auto"/>
            <w:noWrap/>
            <w:vAlign w:val="bottom"/>
            <w:hideMark/>
          </w:tcPr>
          <w:p w14:paraId="33C81600"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33</w:t>
            </w:r>
          </w:p>
        </w:tc>
        <w:tc>
          <w:tcPr>
            <w:tcW w:w="1276" w:type="dxa"/>
            <w:shd w:val="clear" w:color="auto" w:fill="auto"/>
            <w:vAlign w:val="bottom"/>
            <w:hideMark/>
          </w:tcPr>
          <w:p w14:paraId="1E00CEA0"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7" w:type="dxa"/>
            <w:shd w:val="clear" w:color="auto" w:fill="auto"/>
            <w:noWrap/>
            <w:vAlign w:val="bottom"/>
            <w:hideMark/>
          </w:tcPr>
          <w:p w14:paraId="200394B0"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134" w:type="dxa"/>
            <w:shd w:val="clear" w:color="auto" w:fill="auto"/>
            <w:noWrap/>
            <w:vAlign w:val="bottom"/>
            <w:hideMark/>
          </w:tcPr>
          <w:p w14:paraId="446BDF22"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8" w:type="dxa"/>
            <w:shd w:val="clear" w:color="auto" w:fill="auto"/>
            <w:noWrap/>
            <w:vAlign w:val="bottom"/>
            <w:hideMark/>
          </w:tcPr>
          <w:p w14:paraId="795BE1DB"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170</w:t>
            </w:r>
            <w:r w:rsidR="00897BAB">
              <w:rPr>
                <w:rFonts w:ascii="Times New Roman" w:hAnsi="Times New Roman" w:cs="Times New Roman"/>
                <w:lang w:eastAsia="en-GB"/>
              </w:rPr>
              <w:t>,</w:t>
            </w:r>
            <w:r w:rsidRPr="003403DC">
              <w:rPr>
                <w:rFonts w:ascii="Times New Roman" w:hAnsi="Times New Roman" w:cs="Times New Roman"/>
                <w:lang w:eastAsia="en-GB"/>
              </w:rPr>
              <w:t>7</w:t>
            </w:r>
          </w:p>
        </w:tc>
        <w:tc>
          <w:tcPr>
            <w:tcW w:w="992" w:type="dxa"/>
            <w:shd w:val="clear" w:color="auto" w:fill="auto"/>
            <w:noWrap/>
            <w:vAlign w:val="bottom"/>
            <w:hideMark/>
          </w:tcPr>
          <w:p w14:paraId="54F48BD6"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180</w:t>
            </w:r>
            <w:r w:rsidR="00897BAB">
              <w:rPr>
                <w:rFonts w:ascii="Times New Roman" w:hAnsi="Times New Roman" w:cs="Times New Roman"/>
                <w:lang w:eastAsia="en-GB"/>
              </w:rPr>
              <w:t>,</w:t>
            </w:r>
            <w:r w:rsidRPr="003403DC">
              <w:rPr>
                <w:rFonts w:ascii="Times New Roman" w:hAnsi="Times New Roman" w:cs="Times New Roman"/>
                <w:lang w:eastAsia="en-GB"/>
              </w:rPr>
              <w:t>6</w:t>
            </w:r>
          </w:p>
        </w:tc>
      </w:tr>
      <w:tr w:rsidR="00A83E93" w:rsidRPr="003403DC" w14:paraId="07738B4D" w14:textId="77777777" w:rsidTr="003403DC">
        <w:trPr>
          <w:trHeight w:val="300"/>
        </w:trPr>
        <w:tc>
          <w:tcPr>
            <w:tcW w:w="2746" w:type="dxa"/>
            <w:shd w:val="clear" w:color="auto" w:fill="auto"/>
            <w:noWrap/>
            <w:vAlign w:val="bottom"/>
            <w:hideMark/>
          </w:tcPr>
          <w:p w14:paraId="1D01793F"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2. Accessibility</w:t>
            </w:r>
          </w:p>
        </w:tc>
        <w:tc>
          <w:tcPr>
            <w:tcW w:w="1224" w:type="dxa"/>
            <w:shd w:val="clear" w:color="auto" w:fill="auto"/>
            <w:noWrap/>
            <w:vAlign w:val="bottom"/>
            <w:hideMark/>
          </w:tcPr>
          <w:p w14:paraId="5C952580"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100</w:t>
            </w:r>
          </w:p>
        </w:tc>
        <w:tc>
          <w:tcPr>
            <w:tcW w:w="1276" w:type="dxa"/>
            <w:shd w:val="clear" w:color="auto" w:fill="auto"/>
            <w:noWrap/>
            <w:vAlign w:val="bottom"/>
            <w:hideMark/>
          </w:tcPr>
          <w:p w14:paraId="60CC8181"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7" w:type="dxa"/>
            <w:shd w:val="clear" w:color="auto" w:fill="auto"/>
            <w:noWrap/>
            <w:vAlign w:val="bottom"/>
            <w:hideMark/>
          </w:tcPr>
          <w:p w14:paraId="2091222F"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134" w:type="dxa"/>
            <w:shd w:val="clear" w:color="auto" w:fill="auto"/>
            <w:noWrap/>
            <w:vAlign w:val="bottom"/>
            <w:hideMark/>
          </w:tcPr>
          <w:p w14:paraId="7AD92343"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8" w:type="dxa"/>
            <w:shd w:val="clear" w:color="auto" w:fill="auto"/>
            <w:noWrap/>
            <w:vAlign w:val="bottom"/>
            <w:hideMark/>
          </w:tcPr>
          <w:p w14:paraId="772AB866"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24</w:t>
            </w:r>
            <w:r w:rsidR="00897BAB">
              <w:rPr>
                <w:rFonts w:ascii="Times New Roman" w:hAnsi="Times New Roman" w:cs="Times New Roman"/>
                <w:lang w:eastAsia="en-GB"/>
              </w:rPr>
              <w:t>,</w:t>
            </w:r>
            <w:r w:rsidRPr="003403DC">
              <w:rPr>
                <w:rFonts w:ascii="Times New Roman" w:hAnsi="Times New Roman" w:cs="Times New Roman"/>
                <w:lang w:eastAsia="en-GB"/>
              </w:rPr>
              <w:t>5</w:t>
            </w:r>
          </w:p>
        </w:tc>
        <w:tc>
          <w:tcPr>
            <w:tcW w:w="992" w:type="dxa"/>
            <w:shd w:val="clear" w:color="auto" w:fill="auto"/>
            <w:noWrap/>
            <w:vAlign w:val="bottom"/>
            <w:hideMark/>
          </w:tcPr>
          <w:p w14:paraId="3CF11305"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15</w:t>
            </w:r>
            <w:r w:rsidR="00897BAB">
              <w:rPr>
                <w:rFonts w:ascii="Times New Roman" w:hAnsi="Times New Roman" w:cs="Times New Roman"/>
                <w:lang w:eastAsia="en-GB"/>
              </w:rPr>
              <w:t>,</w:t>
            </w:r>
            <w:r w:rsidRPr="003403DC">
              <w:rPr>
                <w:rFonts w:ascii="Times New Roman" w:hAnsi="Times New Roman" w:cs="Times New Roman"/>
                <w:lang w:eastAsia="en-GB"/>
              </w:rPr>
              <w:t>3</w:t>
            </w:r>
          </w:p>
        </w:tc>
      </w:tr>
      <w:tr w:rsidR="00A83E93" w:rsidRPr="003403DC" w14:paraId="772AC8AE" w14:textId="77777777" w:rsidTr="003403DC">
        <w:trPr>
          <w:trHeight w:val="600"/>
        </w:trPr>
        <w:tc>
          <w:tcPr>
            <w:tcW w:w="2746" w:type="dxa"/>
            <w:shd w:val="clear" w:color="auto" w:fill="auto"/>
            <w:vAlign w:val="bottom"/>
            <w:hideMark/>
          </w:tcPr>
          <w:p w14:paraId="76B3AC56"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 xml:space="preserve">3. Dolomite Risk Management </w:t>
            </w:r>
          </w:p>
        </w:tc>
        <w:tc>
          <w:tcPr>
            <w:tcW w:w="1224" w:type="dxa"/>
            <w:shd w:val="clear" w:color="auto" w:fill="auto"/>
            <w:noWrap/>
            <w:vAlign w:val="bottom"/>
            <w:hideMark/>
          </w:tcPr>
          <w:p w14:paraId="65E75541"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33</w:t>
            </w:r>
          </w:p>
        </w:tc>
        <w:tc>
          <w:tcPr>
            <w:tcW w:w="1276" w:type="dxa"/>
            <w:shd w:val="clear" w:color="auto" w:fill="auto"/>
            <w:noWrap/>
            <w:vAlign w:val="bottom"/>
            <w:hideMark/>
          </w:tcPr>
          <w:p w14:paraId="76BE7BBF"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7" w:type="dxa"/>
            <w:shd w:val="clear" w:color="auto" w:fill="auto"/>
            <w:noWrap/>
            <w:vAlign w:val="bottom"/>
            <w:hideMark/>
          </w:tcPr>
          <w:p w14:paraId="049E4620"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134" w:type="dxa"/>
            <w:shd w:val="clear" w:color="auto" w:fill="auto"/>
            <w:noWrap/>
            <w:vAlign w:val="bottom"/>
            <w:hideMark/>
          </w:tcPr>
          <w:p w14:paraId="46F4F74A"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8" w:type="dxa"/>
            <w:shd w:val="clear" w:color="auto" w:fill="auto"/>
            <w:noWrap/>
            <w:vAlign w:val="bottom"/>
            <w:hideMark/>
          </w:tcPr>
          <w:p w14:paraId="3EBFBE87"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114</w:t>
            </w:r>
            <w:r w:rsidR="00897BAB">
              <w:rPr>
                <w:rFonts w:ascii="Times New Roman" w:hAnsi="Times New Roman" w:cs="Times New Roman"/>
                <w:lang w:eastAsia="en-GB"/>
              </w:rPr>
              <w:t>,</w:t>
            </w:r>
            <w:r w:rsidRPr="003403DC">
              <w:rPr>
                <w:rFonts w:ascii="Times New Roman" w:hAnsi="Times New Roman" w:cs="Times New Roman"/>
                <w:lang w:eastAsia="en-GB"/>
              </w:rPr>
              <w:t>4</w:t>
            </w:r>
          </w:p>
        </w:tc>
        <w:tc>
          <w:tcPr>
            <w:tcW w:w="992" w:type="dxa"/>
            <w:shd w:val="clear" w:color="auto" w:fill="auto"/>
            <w:noWrap/>
            <w:vAlign w:val="bottom"/>
            <w:hideMark/>
          </w:tcPr>
          <w:p w14:paraId="5CFD296B"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121</w:t>
            </w:r>
          </w:p>
        </w:tc>
      </w:tr>
      <w:tr w:rsidR="00A83E93" w:rsidRPr="003403DC" w14:paraId="2886596A" w14:textId="77777777" w:rsidTr="003403DC">
        <w:trPr>
          <w:trHeight w:val="300"/>
        </w:trPr>
        <w:tc>
          <w:tcPr>
            <w:tcW w:w="2746" w:type="dxa"/>
            <w:shd w:val="clear" w:color="auto" w:fill="auto"/>
            <w:noWrap/>
            <w:vAlign w:val="bottom"/>
            <w:hideMark/>
          </w:tcPr>
          <w:p w14:paraId="3F61C11C"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 xml:space="preserve">4. Land Ports of Entry </w:t>
            </w:r>
          </w:p>
        </w:tc>
        <w:tc>
          <w:tcPr>
            <w:tcW w:w="1224" w:type="dxa"/>
            <w:shd w:val="clear" w:color="auto" w:fill="auto"/>
            <w:noWrap/>
            <w:vAlign w:val="bottom"/>
            <w:hideMark/>
          </w:tcPr>
          <w:p w14:paraId="243A196E"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99</w:t>
            </w:r>
          </w:p>
        </w:tc>
        <w:tc>
          <w:tcPr>
            <w:tcW w:w="1276" w:type="dxa"/>
            <w:shd w:val="clear" w:color="auto" w:fill="auto"/>
            <w:noWrap/>
            <w:vAlign w:val="bottom"/>
            <w:hideMark/>
          </w:tcPr>
          <w:p w14:paraId="63EE44A9"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7" w:type="dxa"/>
            <w:shd w:val="clear" w:color="auto" w:fill="auto"/>
            <w:noWrap/>
            <w:vAlign w:val="bottom"/>
            <w:hideMark/>
          </w:tcPr>
          <w:p w14:paraId="46CCEDF9"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134" w:type="dxa"/>
            <w:shd w:val="clear" w:color="auto" w:fill="auto"/>
            <w:noWrap/>
            <w:vAlign w:val="bottom"/>
            <w:hideMark/>
          </w:tcPr>
          <w:p w14:paraId="3ED2367C"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8" w:type="dxa"/>
            <w:shd w:val="clear" w:color="auto" w:fill="auto"/>
            <w:noWrap/>
            <w:vAlign w:val="bottom"/>
            <w:hideMark/>
          </w:tcPr>
          <w:p w14:paraId="21810266"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200</w:t>
            </w:r>
            <w:r w:rsidR="00897BAB">
              <w:rPr>
                <w:rFonts w:ascii="Times New Roman" w:hAnsi="Times New Roman" w:cs="Times New Roman"/>
                <w:lang w:eastAsia="en-GB"/>
              </w:rPr>
              <w:t>,</w:t>
            </w:r>
            <w:r w:rsidRPr="003403DC">
              <w:rPr>
                <w:rFonts w:ascii="Times New Roman" w:hAnsi="Times New Roman" w:cs="Times New Roman"/>
                <w:lang w:eastAsia="en-GB"/>
              </w:rPr>
              <w:t>7</w:t>
            </w:r>
          </w:p>
        </w:tc>
        <w:tc>
          <w:tcPr>
            <w:tcW w:w="992" w:type="dxa"/>
            <w:shd w:val="clear" w:color="auto" w:fill="auto"/>
            <w:noWrap/>
            <w:vAlign w:val="bottom"/>
            <w:hideMark/>
          </w:tcPr>
          <w:p w14:paraId="6D45C43D"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216</w:t>
            </w:r>
            <w:r w:rsidR="00897BAB">
              <w:rPr>
                <w:rFonts w:ascii="Times New Roman" w:hAnsi="Times New Roman" w:cs="Times New Roman"/>
                <w:lang w:eastAsia="en-GB"/>
              </w:rPr>
              <w:t>,</w:t>
            </w:r>
            <w:r w:rsidRPr="003403DC">
              <w:rPr>
                <w:rFonts w:ascii="Times New Roman" w:hAnsi="Times New Roman" w:cs="Times New Roman"/>
                <w:lang w:eastAsia="en-GB"/>
              </w:rPr>
              <w:t>6</w:t>
            </w:r>
          </w:p>
        </w:tc>
      </w:tr>
      <w:tr w:rsidR="00A83E93" w:rsidRPr="003403DC" w14:paraId="60900D01" w14:textId="77777777" w:rsidTr="003403DC">
        <w:trPr>
          <w:trHeight w:val="300"/>
        </w:trPr>
        <w:tc>
          <w:tcPr>
            <w:tcW w:w="2746" w:type="dxa"/>
            <w:shd w:val="clear" w:color="auto" w:fill="auto"/>
            <w:noWrap/>
            <w:vAlign w:val="bottom"/>
            <w:hideMark/>
          </w:tcPr>
          <w:p w14:paraId="4520F7B9"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5. Inner City Regeneration</w:t>
            </w:r>
          </w:p>
        </w:tc>
        <w:tc>
          <w:tcPr>
            <w:tcW w:w="1224" w:type="dxa"/>
            <w:shd w:val="clear" w:color="auto" w:fill="auto"/>
            <w:noWrap/>
            <w:vAlign w:val="bottom"/>
            <w:hideMark/>
          </w:tcPr>
          <w:p w14:paraId="1CCC413C"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10</w:t>
            </w:r>
          </w:p>
        </w:tc>
        <w:tc>
          <w:tcPr>
            <w:tcW w:w="1276" w:type="dxa"/>
            <w:shd w:val="clear" w:color="auto" w:fill="auto"/>
            <w:noWrap/>
            <w:vAlign w:val="bottom"/>
            <w:hideMark/>
          </w:tcPr>
          <w:p w14:paraId="62EF6A25"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7" w:type="dxa"/>
            <w:shd w:val="clear" w:color="auto" w:fill="auto"/>
            <w:noWrap/>
            <w:vAlign w:val="bottom"/>
            <w:hideMark/>
          </w:tcPr>
          <w:p w14:paraId="15C7F4FF"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134" w:type="dxa"/>
            <w:shd w:val="clear" w:color="auto" w:fill="auto"/>
            <w:noWrap/>
            <w:vAlign w:val="bottom"/>
            <w:hideMark/>
          </w:tcPr>
          <w:p w14:paraId="330E8F2A"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8" w:type="dxa"/>
            <w:shd w:val="clear" w:color="auto" w:fill="auto"/>
            <w:noWrap/>
            <w:vAlign w:val="bottom"/>
            <w:hideMark/>
          </w:tcPr>
          <w:p w14:paraId="5096FE65"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61</w:t>
            </w:r>
            <w:r w:rsidR="00897BAB">
              <w:rPr>
                <w:rFonts w:ascii="Times New Roman" w:hAnsi="Times New Roman" w:cs="Times New Roman"/>
                <w:lang w:eastAsia="en-GB"/>
              </w:rPr>
              <w:t>,</w:t>
            </w:r>
            <w:r w:rsidRPr="003403DC">
              <w:rPr>
                <w:rFonts w:ascii="Times New Roman" w:hAnsi="Times New Roman" w:cs="Times New Roman"/>
                <w:lang w:eastAsia="en-GB"/>
              </w:rPr>
              <w:t>8</w:t>
            </w:r>
          </w:p>
        </w:tc>
        <w:tc>
          <w:tcPr>
            <w:tcW w:w="992" w:type="dxa"/>
            <w:shd w:val="clear" w:color="auto" w:fill="auto"/>
            <w:noWrap/>
            <w:vAlign w:val="bottom"/>
            <w:hideMark/>
          </w:tcPr>
          <w:p w14:paraId="4BAA551D" w14:textId="77777777" w:rsidR="00A83E93" w:rsidRPr="003403DC" w:rsidRDefault="00897BAB" w:rsidP="00F72F11">
            <w:pPr>
              <w:jc w:val="both"/>
              <w:rPr>
                <w:rFonts w:ascii="Times New Roman" w:hAnsi="Times New Roman" w:cs="Times New Roman"/>
                <w:lang w:eastAsia="en-GB"/>
              </w:rPr>
            </w:pPr>
            <w:r>
              <w:rPr>
                <w:rFonts w:ascii="Times New Roman" w:hAnsi="Times New Roman" w:cs="Times New Roman"/>
                <w:lang w:eastAsia="en-GB"/>
              </w:rPr>
              <w:t>84,</w:t>
            </w:r>
            <w:r w:rsidR="00A83E93" w:rsidRPr="003403DC">
              <w:rPr>
                <w:rFonts w:ascii="Times New Roman" w:hAnsi="Times New Roman" w:cs="Times New Roman"/>
                <w:lang w:eastAsia="en-GB"/>
              </w:rPr>
              <w:t>7</w:t>
            </w:r>
          </w:p>
        </w:tc>
      </w:tr>
      <w:tr w:rsidR="00A83E93" w:rsidRPr="003403DC" w14:paraId="7E87A6FB" w14:textId="77777777" w:rsidTr="003403DC">
        <w:trPr>
          <w:trHeight w:val="300"/>
        </w:trPr>
        <w:tc>
          <w:tcPr>
            <w:tcW w:w="2746" w:type="dxa"/>
            <w:shd w:val="clear" w:color="auto" w:fill="auto"/>
            <w:noWrap/>
            <w:vAlign w:val="bottom"/>
            <w:hideMark/>
          </w:tcPr>
          <w:p w14:paraId="114FC68B"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6. Prestige</w:t>
            </w:r>
          </w:p>
        </w:tc>
        <w:tc>
          <w:tcPr>
            <w:tcW w:w="1224" w:type="dxa"/>
            <w:shd w:val="clear" w:color="auto" w:fill="auto"/>
            <w:noWrap/>
            <w:vAlign w:val="bottom"/>
            <w:hideMark/>
          </w:tcPr>
          <w:p w14:paraId="3C807A8B"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54</w:t>
            </w:r>
          </w:p>
        </w:tc>
        <w:tc>
          <w:tcPr>
            <w:tcW w:w="1276" w:type="dxa"/>
            <w:shd w:val="clear" w:color="auto" w:fill="auto"/>
            <w:noWrap/>
            <w:vAlign w:val="bottom"/>
            <w:hideMark/>
          </w:tcPr>
          <w:p w14:paraId="27E9FB3E"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7" w:type="dxa"/>
            <w:shd w:val="clear" w:color="auto" w:fill="auto"/>
            <w:noWrap/>
            <w:vAlign w:val="bottom"/>
            <w:hideMark/>
          </w:tcPr>
          <w:p w14:paraId="56583DB5"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134" w:type="dxa"/>
            <w:shd w:val="clear" w:color="auto" w:fill="auto"/>
            <w:noWrap/>
            <w:vAlign w:val="bottom"/>
            <w:hideMark/>
          </w:tcPr>
          <w:p w14:paraId="12442DD6"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Various</w:t>
            </w:r>
          </w:p>
        </w:tc>
        <w:tc>
          <w:tcPr>
            <w:tcW w:w="1418" w:type="dxa"/>
            <w:shd w:val="clear" w:color="auto" w:fill="auto"/>
            <w:noWrap/>
            <w:vAlign w:val="bottom"/>
            <w:hideMark/>
          </w:tcPr>
          <w:p w14:paraId="5C9F1F7E"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176</w:t>
            </w:r>
            <w:r w:rsidR="00897BAB">
              <w:rPr>
                <w:rFonts w:ascii="Times New Roman" w:hAnsi="Times New Roman" w:cs="Times New Roman"/>
                <w:lang w:eastAsia="en-GB"/>
              </w:rPr>
              <w:t>,</w:t>
            </w:r>
            <w:r w:rsidRPr="003403DC">
              <w:rPr>
                <w:rFonts w:ascii="Times New Roman" w:hAnsi="Times New Roman" w:cs="Times New Roman"/>
                <w:lang w:eastAsia="en-GB"/>
              </w:rPr>
              <w:t>3</w:t>
            </w:r>
          </w:p>
        </w:tc>
        <w:tc>
          <w:tcPr>
            <w:tcW w:w="992" w:type="dxa"/>
            <w:shd w:val="clear" w:color="auto" w:fill="auto"/>
            <w:noWrap/>
            <w:vAlign w:val="bottom"/>
            <w:hideMark/>
          </w:tcPr>
          <w:p w14:paraId="5F87F9D1"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186</w:t>
            </w:r>
            <w:r w:rsidR="00897BAB">
              <w:rPr>
                <w:rFonts w:ascii="Times New Roman" w:hAnsi="Times New Roman" w:cs="Times New Roman"/>
                <w:lang w:eastAsia="en-GB"/>
              </w:rPr>
              <w:t>,</w:t>
            </w:r>
            <w:r w:rsidRPr="003403DC">
              <w:rPr>
                <w:rFonts w:ascii="Times New Roman" w:hAnsi="Times New Roman" w:cs="Times New Roman"/>
                <w:lang w:eastAsia="en-GB"/>
              </w:rPr>
              <w:t>5</w:t>
            </w:r>
          </w:p>
        </w:tc>
      </w:tr>
      <w:tr w:rsidR="00A83E93" w:rsidRPr="003403DC" w14:paraId="4EE054D8" w14:textId="77777777" w:rsidTr="003403DC">
        <w:trPr>
          <w:trHeight w:val="300"/>
        </w:trPr>
        <w:tc>
          <w:tcPr>
            <w:tcW w:w="2746" w:type="dxa"/>
            <w:shd w:val="clear" w:color="auto" w:fill="auto"/>
            <w:noWrap/>
            <w:vAlign w:val="bottom"/>
            <w:hideMark/>
          </w:tcPr>
          <w:p w14:paraId="351DE624"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 xml:space="preserve">Total </w:t>
            </w:r>
          </w:p>
        </w:tc>
        <w:tc>
          <w:tcPr>
            <w:tcW w:w="1224" w:type="dxa"/>
            <w:shd w:val="clear" w:color="auto" w:fill="auto"/>
            <w:noWrap/>
            <w:vAlign w:val="bottom"/>
            <w:hideMark/>
          </w:tcPr>
          <w:p w14:paraId="5712CFC3"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329</w:t>
            </w:r>
          </w:p>
        </w:tc>
        <w:tc>
          <w:tcPr>
            <w:tcW w:w="1276" w:type="dxa"/>
            <w:shd w:val="clear" w:color="auto" w:fill="auto"/>
            <w:noWrap/>
            <w:vAlign w:val="bottom"/>
            <w:hideMark/>
          </w:tcPr>
          <w:p w14:paraId="07B96022" w14:textId="77777777" w:rsidR="00A83E93" w:rsidRPr="003403DC" w:rsidRDefault="00A83E93" w:rsidP="00F72F11">
            <w:pPr>
              <w:jc w:val="both"/>
              <w:rPr>
                <w:rFonts w:ascii="Times New Roman" w:hAnsi="Times New Roman" w:cs="Times New Roman"/>
                <w:lang w:eastAsia="en-GB"/>
              </w:rPr>
            </w:pPr>
          </w:p>
        </w:tc>
        <w:tc>
          <w:tcPr>
            <w:tcW w:w="1417" w:type="dxa"/>
            <w:shd w:val="clear" w:color="auto" w:fill="auto"/>
            <w:noWrap/>
            <w:vAlign w:val="bottom"/>
            <w:hideMark/>
          </w:tcPr>
          <w:p w14:paraId="6DA9A83A" w14:textId="77777777" w:rsidR="00A83E93" w:rsidRPr="003403DC" w:rsidRDefault="00A83E93" w:rsidP="00F72F11">
            <w:pPr>
              <w:jc w:val="both"/>
              <w:rPr>
                <w:rFonts w:ascii="Times New Roman" w:hAnsi="Times New Roman" w:cs="Times New Roman"/>
                <w:lang w:eastAsia="en-GB"/>
              </w:rPr>
            </w:pPr>
          </w:p>
        </w:tc>
        <w:tc>
          <w:tcPr>
            <w:tcW w:w="1134" w:type="dxa"/>
            <w:shd w:val="clear" w:color="auto" w:fill="auto"/>
            <w:noWrap/>
            <w:vAlign w:val="bottom"/>
            <w:hideMark/>
          </w:tcPr>
          <w:p w14:paraId="20A7BBE6" w14:textId="77777777" w:rsidR="00A83E93" w:rsidRPr="003403DC" w:rsidRDefault="00A83E93" w:rsidP="00F72F11">
            <w:pPr>
              <w:jc w:val="both"/>
              <w:rPr>
                <w:rFonts w:ascii="Times New Roman" w:hAnsi="Times New Roman" w:cs="Times New Roman"/>
                <w:lang w:eastAsia="en-GB"/>
              </w:rPr>
            </w:pPr>
          </w:p>
        </w:tc>
        <w:tc>
          <w:tcPr>
            <w:tcW w:w="1418" w:type="dxa"/>
            <w:shd w:val="clear" w:color="auto" w:fill="auto"/>
            <w:noWrap/>
            <w:vAlign w:val="bottom"/>
            <w:hideMark/>
          </w:tcPr>
          <w:p w14:paraId="5DE01FB9"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748</w:t>
            </w:r>
            <w:r w:rsidR="00897BAB">
              <w:rPr>
                <w:rFonts w:ascii="Times New Roman" w:hAnsi="Times New Roman" w:cs="Times New Roman"/>
                <w:lang w:eastAsia="en-GB"/>
              </w:rPr>
              <w:t>,</w:t>
            </w:r>
            <w:r w:rsidRPr="003403DC">
              <w:rPr>
                <w:rFonts w:ascii="Times New Roman" w:hAnsi="Times New Roman" w:cs="Times New Roman"/>
                <w:lang w:eastAsia="en-GB"/>
              </w:rPr>
              <w:t>4</w:t>
            </w:r>
          </w:p>
        </w:tc>
        <w:tc>
          <w:tcPr>
            <w:tcW w:w="992" w:type="dxa"/>
            <w:shd w:val="clear" w:color="auto" w:fill="auto"/>
            <w:noWrap/>
            <w:vAlign w:val="bottom"/>
            <w:hideMark/>
          </w:tcPr>
          <w:p w14:paraId="7A2DECBF" w14:textId="77777777" w:rsidR="00A83E93" w:rsidRPr="003403DC" w:rsidRDefault="00A83E93" w:rsidP="00F72F11">
            <w:pPr>
              <w:jc w:val="both"/>
              <w:rPr>
                <w:rFonts w:ascii="Times New Roman" w:hAnsi="Times New Roman" w:cs="Times New Roman"/>
                <w:lang w:eastAsia="en-GB"/>
              </w:rPr>
            </w:pPr>
            <w:r w:rsidRPr="003403DC">
              <w:rPr>
                <w:rFonts w:ascii="Times New Roman" w:hAnsi="Times New Roman" w:cs="Times New Roman"/>
                <w:lang w:eastAsia="en-GB"/>
              </w:rPr>
              <w:t>804</w:t>
            </w:r>
            <w:r w:rsidR="00897BAB">
              <w:rPr>
                <w:rFonts w:ascii="Times New Roman" w:hAnsi="Times New Roman" w:cs="Times New Roman"/>
                <w:lang w:eastAsia="en-GB"/>
              </w:rPr>
              <w:t>,</w:t>
            </w:r>
            <w:r w:rsidRPr="003403DC">
              <w:rPr>
                <w:rFonts w:ascii="Times New Roman" w:hAnsi="Times New Roman" w:cs="Times New Roman"/>
                <w:lang w:eastAsia="en-GB"/>
              </w:rPr>
              <w:t>7</w:t>
            </w:r>
          </w:p>
        </w:tc>
      </w:tr>
    </w:tbl>
    <w:p w14:paraId="0F23CD3F" w14:textId="77777777" w:rsidR="00A83E93" w:rsidRPr="003403DC" w:rsidRDefault="00A83E93" w:rsidP="00F72F11">
      <w:pPr>
        <w:jc w:val="both"/>
        <w:rPr>
          <w:rFonts w:ascii="Times New Roman" w:hAnsi="Times New Roman" w:cs="Times New Roman"/>
        </w:rPr>
      </w:pPr>
    </w:p>
    <w:p w14:paraId="6B859724" w14:textId="77777777" w:rsidR="00A83E93" w:rsidRPr="003403DC" w:rsidRDefault="00A83E93" w:rsidP="00F72F11">
      <w:pPr>
        <w:spacing w:line="360" w:lineRule="auto"/>
        <w:jc w:val="both"/>
        <w:rPr>
          <w:rFonts w:ascii="Times New Roman" w:hAnsi="Times New Roman" w:cs="Times New Roman"/>
        </w:rPr>
      </w:pPr>
      <w:r w:rsidRPr="003403DC">
        <w:rPr>
          <w:rFonts w:ascii="Times New Roman" w:hAnsi="Times New Roman" w:cs="Times New Roman"/>
        </w:rPr>
        <w:t>The table above outlines the infrastructure programme of the PMTE, which consist of a total of 329 projects for 2018/19. A total of R804</w:t>
      </w:r>
      <w:r w:rsidR="00897BAB">
        <w:rPr>
          <w:rFonts w:ascii="Times New Roman" w:hAnsi="Times New Roman" w:cs="Times New Roman"/>
        </w:rPr>
        <w:t>,</w:t>
      </w:r>
      <w:r w:rsidRPr="003403DC">
        <w:rPr>
          <w:rFonts w:ascii="Times New Roman" w:hAnsi="Times New Roman" w:cs="Times New Roman"/>
        </w:rPr>
        <w:t xml:space="preserve"> 7 million was allocated for 2018/19, an increase of R56</w:t>
      </w:r>
      <w:r w:rsidR="00897BAB">
        <w:rPr>
          <w:rFonts w:ascii="Times New Roman" w:hAnsi="Times New Roman" w:cs="Times New Roman"/>
        </w:rPr>
        <w:t>,</w:t>
      </w:r>
      <w:r w:rsidRPr="003403DC">
        <w:rPr>
          <w:rFonts w:ascii="Times New Roman" w:hAnsi="Times New Roman" w:cs="Times New Roman"/>
        </w:rPr>
        <w:t>4 million from the R748</w:t>
      </w:r>
      <w:r w:rsidR="00897BAB">
        <w:rPr>
          <w:rFonts w:ascii="Times New Roman" w:hAnsi="Times New Roman" w:cs="Times New Roman"/>
        </w:rPr>
        <w:t>,</w:t>
      </w:r>
      <w:r w:rsidRPr="003403DC">
        <w:rPr>
          <w:rFonts w:ascii="Times New Roman" w:hAnsi="Times New Roman" w:cs="Times New Roman"/>
        </w:rPr>
        <w:t xml:space="preserve">4 million revised estimate of 2017/18.  The largest number of projects falls under Accessibility with 100 projects, followed by Land Ports of Entry with 99 projects. </w:t>
      </w:r>
    </w:p>
    <w:p w14:paraId="7F043530" w14:textId="77777777" w:rsidR="00A83E93" w:rsidRPr="003403DC" w:rsidRDefault="00A83E93" w:rsidP="00F72F11">
      <w:pPr>
        <w:spacing w:line="360" w:lineRule="auto"/>
        <w:jc w:val="both"/>
        <w:rPr>
          <w:rFonts w:ascii="Times New Roman" w:hAnsi="Times New Roman" w:cs="Times New Roman"/>
        </w:rPr>
      </w:pPr>
      <w:r w:rsidRPr="003403DC">
        <w:rPr>
          <w:rFonts w:ascii="Times New Roman" w:hAnsi="Times New Roman" w:cs="Times New Roman"/>
        </w:rPr>
        <w:t>The Accessibility programme’s allocation is the only one that decreased in 2018/19. The programme declined by R9</w:t>
      </w:r>
      <w:r w:rsidR="00897BAB">
        <w:rPr>
          <w:rFonts w:ascii="Times New Roman" w:hAnsi="Times New Roman" w:cs="Times New Roman"/>
        </w:rPr>
        <w:t>,</w:t>
      </w:r>
      <w:r w:rsidRPr="003403DC">
        <w:rPr>
          <w:rFonts w:ascii="Times New Roman" w:hAnsi="Times New Roman" w:cs="Times New Roman"/>
        </w:rPr>
        <w:t>2 million to R15</w:t>
      </w:r>
      <w:r w:rsidR="00897BAB">
        <w:rPr>
          <w:rFonts w:ascii="Times New Roman" w:hAnsi="Times New Roman" w:cs="Times New Roman"/>
        </w:rPr>
        <w:t>,</w:t>
      </w:r>
      <w:r w:rsidRPr="003403DC">
        <w:rPr>
          <w:rFonts w:ascii="Times New Roman" w:hAnsi="Times New Roman" w:cs="Times New Roman"/>
        </w:rPr>
        <w:t>3 million in 2018/19, from the R24</w:t>
      </w:r>
      <w:r w:rsidR="00897BAB">
        <w:rPr>
          <w:rFonts w:ascii="Times New Roman" w:hAnsi="Times New Roman" w:cs="Times New Roman"/>
        </w:rPr>
        <w:t>,</w:t>
      </w:r>
      <w:r w:rsidRPr="003403DC">
        <w:rPr>
          <w:rFonts w:ascii="Times New Roman" w:hAnsi="Times New Roman" w:cs="Times New Roman"/>
        </w:rPr>
        <w:t>5 million revised estimate of 2017 /18. The Accessibility programme received the least of the total allocation, namely 1</w:t>
      </w:r>
      <w:r w:rsidR="00897BAB">
        <w:rPr>
          <w:rFonts w:ascii="Times New Roman" w:hAnsi="Times New Roman" w:cs="Times New Roman"/>
        </w:rPr>
        <w:t>,</w:t>
      </w:r>
      <w:r w:rsidRPr="003403DC">
        <w:rPr>
          <w:rFonts w:ascii="Times New Roman" w:hAnsi="Times New Roman" w:cs="Times New Roman"/>
        </w:rPr>
        <w:t>9%.</w:t>
      </w:r>
    </w:p>
    <w:p w14:paraId="5F796F0B" w14:textId="77777777" w:rsidR="00A83E93" w:rsidRPr="003403DC" w:rsidRDefault="00A83E93" w:rsidP="00F72F11">
      <w:pPr>
        <w:spacing w:line="360" w:lineRule="auto"/>
        <w:jc w:val="both"/>
        <w:rPr>
          <w:rFonts w:ascii="Times New Roman" w:hAnsi="Times New Roman" w:cs="Times New Roman"/>
        </w:rPr>
      </w:pPr>
      <w:r w:rsidRPr="003403DC">
        <w:rPr>
          <w:rFonts w:ascii="Times New Roman" w:hAnsi="Times New Roman" w:cs="Times New Roman"/>
        </w:rPr>
        <w:t>The Land Ports of Entry Programme received the largest share, namely R216</w:t>
      </w:r>
      <w:r w:rsidR="00897BAB">
        <w:rPr>
          <w:rFonts w:ascii="Times New Roman" w:hAnsi="Times New Roman" w:cs="Times New Roman"/>
        </w:rPr>
        <w:t>,</w:t>
      </w:r>
      <w:r w:rsidRPr="003403DC">
        <w:rPr>
          <w:rFonts w:ascii="Times New Roman" w:hAnsi="Times New Roman" w:cs="Times New Roman"/>
        </w:rPr>
        <w:t>6 million, which constitutes 26</w:t>
      </w:r>
      <w:r w:rsidR="00897BAB">
        <w:rPr>
          <w:rFonts w:ascii="Times New Roman" w:hAnsi="Times New Roman" w:cs="Times New Roman"/>
        </w:rPr>
        <w:t>,</w:t>
      </w:r>
      <w:r w:rsidRPr="003403DC">
        <w:rPr>
          <w:rFonts w:ascii="Times New Roman" w:hAnsi="Times New Roman" w:cs="Times New Roman"/>
        </w:rPr>
        <w:t>9% of the total allocation of R804</w:t>
      </w:r>
      <w:r w:rsidR="00897BAB">
        <w:rPr>
          <w:rFonts w:ascii="Times New Roman" w:hAnsi="Times New Roman" w:cs="Times New Roman"/>
        </w:rPr>
        <w:t>,</w:t>
      </w:r>
      <w:r w:rsidRPr="003403DC">
        <w:rPr>
          <w:rFonts w:ascii="Times New Roman" w:hAnsi="Times New Roman" w:cs="Times New Roman"/>
        </w:rPr>
        <w:t>7 million for 2018/19. The allocation increased by R15</w:t>
      </w:r>
      <w:r w:rsidR="00897BAB">
        <w:rPr>
          <w:rFonts w:ascii="Times New Roman" w:hAnsi="Times New Roman" w:cs="Times New Roman"/>
        </w:rPr>
        <w:t>,</w:t>
      </w:r>
      <w:r w:rsidRPr="003403DC">
        <w:rPr>
          <w:rFonts w:ascii="Times New Roman" w:hAnsi="Times New Roman" w:cs="Times New Roman"/>
        </w:rPr>
        <w:t>9 million to R216</w:t>
      </w:r>
      <w:r w:rsidR="00897BAB">
        <w:rPr>
          <w:rFonts w:ascii="Times New Roman" w:hAnsi="Times New Roman" w:cs="Times New Roman"/>
        </w:rPr>
        <w:t>,</w:t>
      </w:r>
      <w:r w:rsidRPr="003403DC">
        <w:rPr>
          <w:rFonts w:ascii="Times New Roman" w:hAnsi="Times New Roman" w:cs="Times New Roman"/>
        </w:rPr>
        <w:t>6 million in 2018/19 from the R200</w:t>
      </w:r>
      <w:r w:rsidR="00897BAB">
        <w:rPr>
          <w:rFonts w:ascii="Times New Roman" w:hAnsi="Times New Roman" w:cs="Times New Roman"/>
        </w:rPr>
        <w:t>,</w:t>
      </w:r>
      <w:r w:rsidRPr="003403DC">
        <w:rPr>
          <w:rFonts w:ascii="Times New Roman" w:hAnsi="Times New Roman" w:cs="Times New Roman"/>
        </w:rPr>
        <w:t xml:space="preserve">6 million in 2017/18. </w:t>
      </w:r>
    </w:p>
    <w:p w14:paraId="50A5D588" w14:textId="77777777" w:rsidR="00A83E93" w:rsidRPr="003403DC" w:rsidRDefault="00A83E93" w:rsidP="00F72F11">
      <w:pPr>
        <w:spacing w:line="360" w:lineRule="auto"/>
        <w:jc w:val="both"/>
        <w:rPr>
          <w:rFonts w:ascii="Times New Roman" w:hAnsi="Times New Roman" w:cs="Times New Roman"/>
        </w:rPr>
      </w:pPr>
      <w:r w:rsidRPr="003403DC">
        <w:rPr>
          <w:rFonts w:ascii="Times New Roman" w:hAnsi="Times New Roman" w:cs="Times New Roman"/>
        </w:rPr>
        <w:t>The number of projects under the Infrastructure Programme, New Replacement, Upgrades and Additions in the Annual Performance Plan (APP) of the PMTE, differs from that reported in the 2018 Estimates of National Expenditure (ENE). The total number of projects under the 6 Infrastructure programmes in the APP equal 329, while those reported under the 2018 ENE equal 408 projects. This constitutes a difference of an additional 127 projects reported in the in ENE compared to the 329 reported in the APP.</w:t>
      </w:r>
    </w:p>
    <w:p w14:paraId="04FDA8C3" w14:textId="77777777" w:rsidR="004B45C3" w:rsidRDefault="004B45C3" w:rsidP="00F72F11">
      <w:pPr>
        <w:spacing w:line="360" w:lineRule="auto"/>
        <w:jc w:val="both"/>
        <w:rPr>
          <w:rFonts w:ascii="Times New Roman" w:hAnsi="Times New Roman" w:cs="Times New Roman"/>
          <w:b/>
        </w:rPr>
      </w:pPr>
    </w:p>
    <w:p w14:paraId="123FF8F7" w14:textId="77777777" w:rsidR="004B45C3" w:rsidRDefault="004B45C3" w:rsidP="00F72F11">
      <w:pPr>
        <w:spacing w:line="360" w:lineRule="auto"/>
        <w:jc w:val="both"/>
        <w:rPr>
          <w:rFonts w:ascii="Times New Roman" w:hAnsi="Times New Roman" w:cs="Times New Roman"/>
          <w:b/>
        </w:rPr>
      </w:pPr>
    </w:p>
    <w:p w14:paraId="3B3ED114" w14:textId="77777777" w:rsidR="004B45C3" w:rsidRDefault="004B45C3" w:rsidP="00F72F11">
      <w:pPr>
        <w:spacing w:line="360" w:lineRule="auto"/>
        <w:jc w:val="both"/>
        <w:rPr>
          <w:rFonts w:ascii="Times New Roman" w:hAnsi="Times New Roman" w:cs="Times New Roman"/>
          <w:b/>
        </w:rPr>
      </w:pPr>
    </w:p>
    <w:p w14:paraId="73E7D2B1" w14:textId="77777777" w:rsidR="00BB1EE2" w:rsidRPr="00C54B61" w:rsidRDefault="00BB1EE2" w:rsidP="00F72F11">
      <w:pPr>
        <w:spacing w:line="360" w:lineRule="auto"/>
        <w:jc w:val="both"/>
        <w:rPr>
          <w:rFonts w:ascii="Times New Roman" w:hAnsi="Times New Roman" w:cs="Times New Roman"/>
          <w:b/>
        </w:rPr>
      </w:pPr>
      <w:r w:rsidRPr="00C54B61">
        <w:rPr>
          <w:rFonts w:ascii="Times New Roman" w:hAnsi="Times New Roman" w:cs="Times New Roman"/>
          <w:b/>
        </w:rPr>
        <w:lastRenderedPageBreak/>
        <w:t>Human Resources</w:t>
      </w:r>
    </w:p>
    <w:p w14:paraId="1F8AB5C2" w14:textId="2695F9E4" w:rsidR="00845897" w:rsidRPr="00C54B61" w:rsidRDefault="00845897" w:rsidP="00F72F11">
      <w:pPr>
        <w:spacing w:line="360" w:lineRule="auto"/>
        <w:jc w:val="both"/>
        <w:rPr>
          <w:rFonts w:ascii="Times New Roman" w:hAnsi="Times New Roman" w:cs="Times New Roman"/>
        </w:rPr>
      </w:pPr>
      <w:r w:rsidRPr="00C54B61">
        <w:rPr>
          <w:rFonts w:ascii="Times New Roman" w:hAnsi="Times New Roman" w:cs="Times New Roman"/>
        </w:rPr>
        <w:t>The PMTE has a total of 6 861 posts on its establishment of which 3 923 are permanent filled positions</w:t>
      </w:r>
      <w:r w:rsidR="004F6B33">
        <w:rPr>
          <w:rFonts w:ascii="Times New Roman" w:hAnsi="Times New Roman" w:cs="Times New Roman"/>
        </w:rPr>
        <w:t>, and 2 938 are vacant</w:t>
      </w:r>
      <w:r w:rsidRPr="00C54B61">
        <w:rPr>
          <w:rFonts w:ascii="Times New Roman" w:hAnsi="Times New Roman" w:cs="Times New Roman"/>
        </w:rPr>
        <w:t>. A total of 760 positions are filled additional to the establishment</w:t>
      </w:r>
      <w:r w:rsidR="004F6B33">
        <w:rPr>
          <w:rFonts w:ascii="Times New Roman" w:hAnsi="Times New Roman" w:cs="Times New Roman"/>
        </w:rPr>
        <w:t>.  This may delay the filling of vacant positions. It brings into question the implementability of what  t</w:t>
      </w:r>
      <w:r w:rsidRPr="00C54B61">
        <w:rPr>
          <w:rFonts w:ascii="Times New Roman" w:hAnsi="Times New Roman" w:cs="Times New Roman"/>
        </w:rPr>
        <w:t xml:space="preserve">he </w:t>
      </w:r>
      <w:r w:rsidR="004F6B33">
        <w:rPr>
          <w:rFonts w:ascii="Times New Roman" w:hAnsi="Times New Roman" w:cs="Times New Roman"/>
        </w:rPr>
        <w:t xml:space="preserve">APP of the PMTE refers to as </w:t>
      </w:r>
      <w:r w:rsidRPr="00C54B61">
        <w:rPr>
          <w:rFonts w:ascii="Times New Roman" w:hAnsi="Times New Roman" w:cs="Times New Roman"/>
        </w:rPr>
        <w:t>an integrated Human Resources Plan</w:t>
      </w:r>
      <w:r w:rsidR="00436D6F">
        <w:rPr>
          <w:rFonts w:ascii="Times New Roman" w:hAnsi="Times New Roman" w:cs="Times New Roman"/>
        </w:rPr>
        <w:t>. Specifically, the appointment of the requisite</w:t>
      </w:r>
      <w:r w:rsidRPr="00C54B61">
        <w:rPr>
          <w:rFonts w:ascii="Times New Roman" w:hAnsi="Times New Roman" w:cs="Times New Roman"/>
        </w:rPr>
        <w:t xml:space="preserve"> personnel achieve its strategic goals</w:t>
      </w:r>
      <w:r w:rsidR="00436D6F">
        <w:rPr>
          <w:rFonts w:ascii="Times New Roman" w:hAnsi="Times New Roman" w:cs="Times New Roman"/>
        </w:rPr>
        <w:t xml:space="preserve"> is brought into question</w:t>
      </w:r>
      <w:r w:rsidRPr="00C54B61">
        <w:rPr>
          <w:rFonts w:ascii="Times New Roman" w:hAnsi="Times New Roman" w:cs="Times New Roman"/>
        </w:rPr>
        <w:t xml:space="preserve">. </w:t>
      </w:r>
    </w:p>
    <w:p w14:paraId="276B84DB" w14:textId="77777777" w:rsidR="00845897" w:rsidRPr="00C54B61" w:rsidRDefault="00845897" w:rsidP="00F72F11">
      <w:pPr>
        <w:pStyle w:val="Heading3"/>
        <w:rPr>
          <w:rFonts w:ascii="Times New Roman" w:hAnsi="Times New Roman"/>
          <w:i w:val="0"/>
          <w:color w:val="auto"/>
          <w:szCs w:val="22"/>
        </w:rPr>
      </w:pPr>
      <w:bookmarkStart w:id="28" w:name="_Toc476913447"/>
      <w:bookmarkStart w:id="29" w:name="_Toc506997455"/>
      <w:bookmarkStart w:id="30" w:name="_Toc511652611"/>
      <w:r w:rsidRPr="00C54B61">
        <w:rPr>
          <w:rFonts w:ascii="Times New Roman" w:hAnsi="Times New Roman"/>
          <w:i w:val="0"/>
          <w:color w:val="auto"/>
          <w:szCs w:val="22"/>
        </w:rPr>
        <w:t>Summary of Critical Occupation</w:t>
      </w:r>
      <w:bookmarkEnd w:id="28"/>
      <w:bookmarkEnd w:id="29"/>
      <w:r w:rsidRPr="00C54B61">
        <w:rPr>
          <w:rFonts w:ascii="Times New Roman" w:hAnsi="Times New Roman"/>
          <w:i w:val="0"/>
          <w:color w:val="auto"/>
          <w:szCs w:val="22"/>
        </w:rPr>
        <w:t>s</w:t>
      </w:r>
      <w:bookmarkEnd w:id="30"/>
      <w:r w:rsidRPr="00C54B61">
        <w:rPr>
          <w:rFonts w:ascii="Times New Roman" w:hAnsi="Times New Roman"/>
          <w:i w:val="0"/>
          <w:color w:val="auto"/>
          <w:szCs w:val="22"/>
        </w:rPr>
        <w:t xml:space="preserve"> - PMTE</w:t>
      </w:r>
    </w:p>
    <w:tbl>
      <w:tblPr>
        <w:tblW w:w="10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701"/>
        <w:gridCol w:w="1965"/>
        <w:gridCol w:w="1437"/>
        <w:gridCol w:w="1695"/>
      </w:tblGrid>
      <w:tr w:rsidR="00FF4F0F" w:rsidRPr="00C54B61" w14:paraId="797B519E" w14:textId="77777777" w:rsidTr="00845897">
        <w:trPr>
          <w:trHeight w:val="830"/>
        </w:trPr>
        <w:tc>
          <w:tcPr>
            <w:tcW w:w="3517" w:type="dxa"/>
            <w:shd w:val="clear" w:color="auto" w:fill="auto"/>
          </w:tcPr>
          <w:p w14:paraId="62D493EF" w14:textId="77777777" w:rsidR="00845897" w:rsidRPr="00C54B61" w:rsidRDefault="00845897" w:rsidP="00F72F11">
            <w:pPr>
              <w:jc w:val="both"/>
              <w:rPr>
                <w:rFonts w:ascii="Times New Roman" w:hAnsi="Times New Roman" w:cs="Times New Roman"/>
                <w:b/>
              </w:rPr>
            </w:pPr>
            <w:r w:rsidRPr="00C54B61">
              <w:rPr>
                <w:rFonts w:ascii="Times New Roman" w:hAnsi="Times New Roman" w:cs="Times New Roman"/>
                <w:b/>
              </w:rPr>
              <w:t>Critical Occupants</w:t>
            </w:r>
            <w:r w:rsidRPr="00C54B61">
              <w:rPr>
                <w:rStyle w:val="FootnoteReference"/>
                <w:rFonts w:ascii="Times New Roman" w:hAnsi="Times New Roman" w:cs="Times New Roman"/>
                <w:b/>
              </w:rPr>
              <w:footnoteReference w:id="56"/>
            </w:r>
          </w:p>
        </w:tc>
        <w:tc>
          <w:tcPr>
            <w:tcW w:w="1701" w:type="dxa"/>
            <w:shd w:val="clear" w:color="auto" w:fill="auto"/>
          </w:tcPr>
          <w:p w14:paraId="103C1184" w14:textId="77777777" w:rsidR="00845897" w:rsidRPr="00C54B61" w:rsidRDefault="00845897" w:rsidP="00F72F11">
            <w:pPr>
              <w:jc w:val="both"/>
              <w:rPr>
                <w:rFonts w:ascii="Times New Roman" w:hAnsi="Times New Roman" w:cs="Times New Roman"/>
                <w:b/>
              </w:rPr>
            </w:pPr>
            <w:r w:rsidRPr="00C54B61">
              <w:rPr>
                <w:rFonts w:ascii="Times New Roman" w:hAnsi="Times New Roman" w:cs="Times New Roman"/>
                <w:b/>
              </w:rPr>
              <w:t>Number of Filled Positions</w:t>
            </w:r>
          </w:p>
        </w:tc>
        <w:tc>
          <w:tcPr>
            <w:tcW w:w="1965" w:type="dxa"/>
            <w:shd w:val="clear" w:color="auto" w:fill="auto"/>
          </w:tcPr>
          <w:p w14:paraId="6B78B8B0" w14:textId="77777777" w:rsidR="00845897" w:rsidRPr="00C54B61" w:rsidRDefault="00845897" w:rsidP="00F72F11">
            <w:pPr>
              <w:jc w:val="both"/>
              <w:rPr>
                <w:rFonts w:ascii="Times New Roman" w:hAnsi="Times New Roman" w:cs="Times New Roman"/>
                <w:b/>
              </w:rPr>
            </w:pPr>
            <w:r w:rsidRPr="00C54B61">
              <w:rPr>
                <w:rFonts w:ascii="Times New Roman" w:hAnsi="Times New Roman" w:cs="Times New Roman"/>
                <w:b/>
              </w:rPr>
              <w:t xml:space="preserve">Number of Expected Retirements in a 5-year Period </w:t>
            </w:r>
          </w:p>
        </w:tc>
        <w:tc>
          <w:tcPr>
            <w:tcW w:w="1437" w:type="dxa"/>
            <w:shd w:val="clear" w:color="auto" w:fill="auto"/>
          </w:tcPr>
          <w:p w14:paraId="11521992" w14:textId="77777777" w:rsidR="00845897" w:rsidRPr="00C54B61" w:rsidRDefault="00845897" w:rsidP="00F72F11">
            <w:pPr>
              <w:jc w:val="both"/>
              <w:rPr>
                <w:rFonts w:ascii="Times New Roman" w:hAnsi="Times New Roman" w:cs="Times New Roman"/>
                <w:b/>
              </w:rPr>
            </w:pPr>
            <w:r w:rsidRPr="00C54B61">
              <w:rPr>
                <w:rFonts w:ascii="Times New Roman" w:hAnsi="Times New Roman" w:cs="Times New Roman"/>
                <w:b/>
              </w:rPr>
              <w:t xml:space="preserve">Number of  Current Vacancies </w:t>
            </w:r>
          </w:p>
        </w:tc>
        <w:tc>
          <w:tcPr>
            <w:tcW w:w="1695" w:type="dxa"/>
            <w:shd w:val="clear" w:color="auto" w:fill="auto"/>
          </w:tcPr>
          <w:p w14:paraId="15ABC398" w14:textId="77777777" w:rsidR="00845897" w:rsidRPr="00C54B61" w:rsidRDefault="00845897" w:rsidP="00F72F11">
            <w:pPr>
              <w:jc w:val="both"/>
              <w:rPr>
                <w:rFonts w:ascii="Times New Roman" w:hAnsi="Times New Roman" w:cs="Times New Roman"/>
                <w:b/>
              </w:rPr>
            </w:pPr>
            <w:r w:rsidRPr="00C54B61">
              <w:rPr>
                <w:rFonts w:ascii="Times New Roman" w:hAnsi="Times New Roman" w:cs="Times New Roman"/>
                <w:b/>
              </w:rPr>
              <w:t>Total Required</w:t>
            </w:r>
          </w:p>
        </w:tc>
      </w:tr>
      <w:tr w:rsidR="00C54B61" w:rsidRPr="00C54B61" w14:paraId="1044B9D9" w14:textId="77777777" w:rsidTr="00845897">
        <w:trPr>
          <w:trHeight w:val="277"/>
        </w:trPr>
        <w:tc>
          <w:tcPr>
            <w:tcW w:w="3517" w:type="dxa"/>
            <w:shd w:val="clear" w:color="auto" w:fill="auto"/>
          </w:tcPr>
          <w:p w14:paraId="0AF70B78"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1. Architects</w:t>
            </w:r>
          </w:p>
        </w:tc>
        <w:tc>
          <w:tcPr>
            <w:tcW w:w="1701" w:type="dxa"/>
            <w:shd w:val="clear" w:color="auto" w:fill="auto"/>
          </w:tcPr>
          <w:p w14:paraId="427FB1D1"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34</w:t>
            </w:r>
          </w:p>
        </w:tc>
        <w:tc>
          <w:tcPr>
            <w:tcW w:w="1965" w:type="dxa"/>
            <w:shd w:val="clear" w:color="auto" w:fill="auto"/>
          </w:tcPr>
          <w:p w14:paraId="37D573BF"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3</w:t>
            </w:r>
          </w:p>
        </w:tc>
        <w:tc>
          <w:tcPr>
            <w:tcW w:w="1437" w:type="dxa"/>
            <w:shd w:val="clear" w:color="auto" w:fill="auto"/>
          </w:tcPr>
          <w:p w14:paraId="12C6318B"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20</w:t>
            </w:r>
          </w:p>
        </w:tc>
        <w:tc>
          <w:tcPr>
            <w:tcW w:w="1695" w:type="dxa"/>
            <w:shd w:val="clear" w:color="auto" w:fill="auto"/>
          </w:tcPr>
          <w:p w14:paraId="58675C17"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23</w:t>
            </w:r>
          </w:p>
        </w:tc>
      </w:tr>
      <w:tr w:rsidR="00C54B61" w:rsidRPr="00C54B61" w14:paraId="35F42887" w14:textId="77777777" w:rsidTr="00845897">
        <w:trPr>
          <w:trHeight w:val="277"/>
        </w:trPr>
        <w:tc>
          <w:tcPr>
            <w:tcW w:w="3517" w:type="dxa"/>
            <w:shd w:val="clear" w:color="auto" w:fill="auto"/>
          </w:tcPr>
          <w:p w14:paraId="379A64FE"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 xml:space="preserve">2. Civil Engineering </w:t>
            </w:r>
          </w:p>
        </w:tc>
        <w:tc>
          <w:tcPr>
            <w:tcW w:w="1701" w:type="dxa"/>
            <w:shd w:val="clear" w:color="auto" w:fill="auto"/>
          </w:tcPr>
          <w:p w14:paraId="39212FBA"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11</w:t>
            </w:r>
          </w:p>
        </w:tc>
        <w:tc>
          <w:tcPr>
            <w:tcW w:w="1965" w:type="dxa"/>
            <w:shd w:val="clear" w:color="auto" w:fill="auto"/>
          </w:tcPr>
          <w:p w14:paraId="4930C90A"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w:t>
            </w:r>
          </w:p>
        </w:tc>
        <w:tc>
          <w:tcPr>
            <w:tcW w:w="1437" w:type="dxa"/>
            <w:shd w:val="clear" w:color="auto" w:fill="auto"/>
          </w:tcPr>
          <w:p w14:paraId="6F9D4FA2"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21</w:t>
            </w:r>
          </w:p>
        </w:tc>
        <w:tc>
          <w:tcPr>
            <w:tcW w:w="1695" w:type="dxa"/>
            <w:shd w:val="clear" w:color="auto" w:fill="auto"/>
          </w:tcPr>
          <w:p w14:paraId="0104F33D"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21</w:t>
            </w:r>
          </w:p>
        </w:tc>
      </w:tr>
      <w:tr w:rsidR="00C54B61" w:rsidRPr="00C54B61" w14:paraId="0BA9E26B" w14:textId="77777777" w:rsidTr="00845897">
        <w:trPr>
          <w:trHeight w:val="277"/>
        </w:trPr>
        <w:tc>
          <w:tcPr>
            <w:tcW w:w="3517" w:type="dxa"/>
            <w:shd w:val="clear" w:color="auto" w:fill="auto"/>
          </w:tcPr>
          <w:p w14:paraId="72C393D0"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3. Chemical Engineering</w:t>
            </w:r>
          </w:p>
        </w:tc>
        <w:tc>
          <w:tcPr>
            <w:tcW w:w="1701" w:type="dxa"/>
            <w:shd w:val="clear" w:color="auto" w:fill="auto"/>
          </w:tcPr>
          <w:p w14:paraId="540A96E3"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16</w:t>
            </w:r>
          </w:p>
        </w:tc>
        <w:tc>
          <w:tcPr>
            <w:tcW w:w="1965" w:type="dxa"/>
            <w:shd w:val="clear" w:color="auto" w:fill="auto"/>
          </w:tcPr>
          <w:p w14:paraId="354B53EA"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6</w:t>
            </w:r>
          </w:p>
        </w:tc>
        <w:tc>
          <w:tcPr>
            <w:tcW w:w="1437" w:type="dxa"/>
            <w:shd w:val="clear" w:color="auto" w:fill="auto"/>
          </w:tcPr>
          <w:p w14:paraId="25DEFC7F"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33</w:t>
            </w:r>
          </w:p>
        </w:tc>
        <w:tc>
          <w:tcPr>
            <w:tcW w:w="1695" w:type="dxa"/>
            <w:shd w:val="clear" w:color="auto" w:fill="auto"/>
          </w:tcPr>
          <w:p w14:paraId="7689485C"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39</w:t>
            </w:r>
          </w:p>
        </w:tc>
      </w:tr>
      <w:tr w:rsidR="00C54B61" w:rsidRPr="00C54B61" w14:paraId="52694184" w14:textId="77777777" w:rsidTr="00845897">
        <w:trPr>
          <w:trHeight w:val="277"/>
        </w:trPr>
        <w:tc>
          <w:tcPr>
            <w:tcW w:w="3517" w:type="dxa"/>
            <w:shd w:val="clear" w:color="auto" w:fill="auto"/>
          </w:tcPr>
          <w:p w14:paraId="0F5FD30E"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 xml:space="preserve">4. Electrical Engineering </w:t>
            </w:r>
          </w:p>
        </w:tc>
        <w:tc>
          <w:tcPr>
            <w:tcW w:w="1701" w:type="dxa"/>
            <w:shd w:val="clear" w:color="auto" w:fill="auto"/>
          </w:tcPr>
          <w:p w14:paraId="6A306BB1"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w:t>
            </w:r>
          </w:p>
        </w:tc>
        <w:tc>
          <w:tcPr>
            <w:tcW w:w="1965" w:type="dxa"/>
            <w:shd w:val="clear" w:color="auto" w:fill="auto"/>
          </w:tcPr>
          <w:p w14:paraId="5EA05A90"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w:t>
            </w:r>
          </w:p>
        </w:tc>
        <w:tc>
          <w:tcPr>
            <w:tcW w:w="1437" w:type="dxa"/>
            <w:shd w:val="clear" w:color="auto" w:fill="auto"/>
          </w:tcPr>
          <w:p w14:paraId="48BF2A6B"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27</w:t>
            </w:r>
          </w:p>
        </w:tc>
        <w:tc>
          <w:tcPr>
            <w:tcW w:w="1695" w:type="dxa"/>
            <w:shd w:val="clear" w:color="auto" w:fill="auto"/>
          </w:tcPr>
          <w:p w14:paraId="68CB181F"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27</w:t>
            </w:r>
          </w:p>
        </w:tc>
      </w:tr>
      <w:tr w:rsidR="00C54B61" w:rsidRPr="00C54B61" w14:paraId="61A4DF41" w14:textId="77777777" w:rsidTr="00845897">
        <w:trPr>
          <w:trHeight w:val="277"/>
        </w:trPr>
        <w:tc>
          <w:tcPr>
            <w:tcW w:w="3517" w:type="dxa"/>
            <w:shd w:val="clear" w:color="auto" w:fill="auto"/>
          </w:tcPr>
          <w:p w14:paraId="2B034024"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 xml:space="preserve">5. Mechanical Engineering </w:t>
            </w:r>
          </w:p>
        </w:tc>
        <w:tc>
          <w:tcPr>
            <w:tcW w:w="1701" w:type="dxa"/>
            <w:shd w:val="clear" w:color="auto" w:fill="auto"/>
          </w:tcPr>
          <w:p w14:paraId="36C08117"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 xml:space="preserve">3 </w:t>
            </w:r>
          </w:p>
        </w:tc>
        <w:tc>
          <w:tcPr>
            <w:tcW w:w="1965" w:type="dxa"/>
            <w:shd w:val="clear" w:color="auto" w:fill="auto"/>
          </w:tcPr>
          <w:p w14:paraId="12252B4C"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1</w:t>
            </w:r>
          </w:p>
        </w:tc>
        <w:tc>
          <w:tcPr>
            <w:tcW w:w="1437" w:type="dxa"/>
            <w:shd w:val="clear" w:color="auto" w:fill="auto"/>
          </w:tcPr>
          <w:p w14:paraId="36FAB137"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21</w:t>
            </w:r>
          </w:p>
        </w:tc>
        <w:tc>
          <w:tcPr>
            <w:tcW w:w="1695" w:type="dxa"/>
            <w:shd w:val="clear" w:color="auto" w:fill="auto"/>
          </w:tcPr>
          <w:p w14:paraId="4A6D6412"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22</w:t>
            </w:r>
          </w:p>
        </w:tc>
      </w:tr>
      <w:tr w:rsidR="00C54B61" w:rsidRPr="00C54B61" w14:paraId="53697F67" w14:textId="77777777" w:rsidTr="00845897">
        <w:trPr>
          <w:trHeight w:val="277"/>
        </w:trPr>
        <w:tc>
          <w:tcPr>
            <w:tcW w:w="3517" w:type="dxa"/>
            <w:shd w:val="clear" w:color="auto" w:fill="auto"/>
          </w:tcPr>
          <w:p w14:paraId="0D159CDA"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6. Construction Project Management</w:t>
            </w:r>
          </w:p>
        </w:tc>
        <w:tc>
          <w:tcPr>
            <w:tcW w:w="1701" w:type="dxa"/>
            <w:shd w:val="clear" w:color="auto" w:fill="auto"/>
          </w:tcPr>
          <w:p w14:paraId="112F21AD"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174</w:t>
            </w:r>
          </w:p>
        </w:tc>
        <w:tc>
          <w:tcPr>
            <w:tcW w:w="1965" w:type="dxa"/>
            <w:shd w:val="clear" w:color="auto" w:fill="auto"/>
          </w:tcPr>
          <w:p w14:paraId="582BB274"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47</w:t>
            </w:r>
          </w:p>
        </w:tc>
        <w:tc>
          <w:tcPr>
            <w:tcW w:w="1437" w:type="dxa"/>
            <w:shd w:val="clear" w:color="auto" w:fill="auto"/>
          </w:tcPr>
          <w:p w14:paraId="1F69E65B"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144</w:t>
            </w:r>
          </w:p>
        </w:tc>
        <w:tc>
          <w:tcPr>
            <w:tcW w:w="1695" w:type="dxa"/>
            <w:shd w:val="clear" w:color="auto" w:fill="auto"/>
          </w:tcPr>
          <w:p w14:paraId="3CB6FF36"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191</w:t>
            </w:r>
          </w:p>
        </w:tc>
      </w:tr>
      <w:tr w:rsidR="00C54B61" w:rsidRPr="00C54B61" w14:paraId="5CC3AC44" w14:textId="77777777" w:rsidTr="00845897">
        <w:trPr>
          <w:trHeight w:val="277"/>
        </w:trPr>
        <w:tc>
          <w:tcPr>
            <w:tcW w:w="3517" w:type="dxa"/>
            <w:shd w:val="clear" w:color="auto" w:fill="auto"/>
          </w:tcPr>
          <w:p w14:paraId="11496285"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7. Quantity Surveyors</w:t>
            </w:r>
          </w:p>
        </w:tc>
        <w:tc>
          <w:tcPr>
            <w:tcW w:w="1701" w:type="dxa"/>
            <w:shd w:val="clear" w:color="auto" w:fill="auto"/>
          </w:tcPr>
          <w:p w14:paraId="47554276"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18</w:t>
            </w:r>
          </w:p>
        </w:tc>
        <w:tc>
          <w:tcPr>
            <w:tcW w:w="1965" w:type="dxa"/>
            <w:shd w:val="clear" w:color="auto" w:fill="auto"/>
          </w:tcPr>
          <w:p w14:paraId="2CE380E9"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5</w:t>
            </w:r>
          </w:p>
        </w:tc>
        <w:tc>
          <w:tcPr>
            <w:tcW w:w="1437" w:type="dxa"/>
            <w:shd w:val="clear" w:color="auto" w:fill="auto"/>
          </w:tcPr>
          <w:p w14:paraId="2ED52E88"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22</w:t>
            </w:r>
          </w:p>
        </w:tc>
        <w:tc>
          <w:tcPr>
            <w:tcW w:w="1695" w:type="dxa"/>
            <w:shd w:val="clear" w:color="auto" w:fill="auto"/>
          </w:tcPr>
          <w:p w14:paraId="4366E09C"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27</w:t>
            </w:r>
          </w:p>
        </w:tc>
      </w:tr>
      <w:tr w:rsidR="00C54B61" w:rsidRPr="00C54B61" w14:paraId="482EBDF4" w14:textId="77777777" w:rsidTr="00845897">
        <w:trPr>
          <w:trHeight w:val="277"/>
        </w:trPr>
        <w:tc>
          <w:tcPr>
            <w:tcW w:w="3517" w:type="dxa"/>
            <w:shd w:val="clear" w:color="auto" w:fill="auto"/>
          </w:tcPr>
          <w:p w14:paraId="59B4A69C"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8. Town Planning</w:t>
            </w:r>
          </w:p>
        </w:tc>
        <w:tc>
          <w:tcPr>
            <w:tcW w:w="1701" w:type="dxa"/>
            <w:shd w:val="clear" w:color="auto" w:fill="auto"/>
          </w:tcPr>
          <w:p w14:paraId="02689CD2"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15</w:t>
            </w:r>
          </w:p>
        </w:tc>
        <w:tc>
          <w:tcPr>
            <w:tcW w:w="1965" w:type="dxa"/>
            <w:shd w:val="clear" w:color="auto" w:fill="auto"/>
          </w:tcPr>
          <w:p w14:paraId="0254D838"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w:t>
            </w:r>
          </w:p>
        </w:tc>
        <w:tc>
          <w:tcPr>
            <w:tcW w:w="1437" w:type="dxa"/>
            <w:shd w:val="clear" w:color="auto" w:fill="auto"/>
          </w:tcPr>
          <w:p w14:paraId="0BF78B1B"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18</w:t>
            </w:r>
          </w:p>
        </w:tc>
        <w:tc>
          <w:tcPr>
            <w:tcW w:w="1695" w:type="dxa"/>
            <w:shd w:val="clear" w:color="auto" w:fill="auto"/>
          </w:tcPr>
          <w:p w14:paraId="32A03C1C" w14:textId="77777777" w:rsidR="00845897" w:rsidRPr="00C54B61" w:rsidRDefault="00845897" w:rsidP="00F72F11">
            <w:pPr>
              <w:jc w:val="both"/>
              <w:rPr>
                <w:rFonts w:ascii="Times New Roman" w:hAnsi="Times New Roman" w:cs="Times New Roman"/>
              </w:rPr>
            </w:pPr>
            <w:r w:rsidRPr="00C54B61">
              <w:rPr>
                <w:rFonts w:ascii="Times New Roman" w:hAnsi="Times New Roman" w:cs="Times New Roman"/>
              </w:rPr>
              <w:t>20</w:t>
            </w:r>
          </w:p>
        </w:tc>
      </w:tr>
      <w:tr w:rsidR="00C54B61" w:rsidRPr="00C54B61" w14:paraId="61EDFA19" w14:textId="77777777" w:rsidTr="00845897">
        <w:trPr>
          <w:trHeight w:val="277"/>
        </w:trPr>
        <w:tc>
          <w:tcPr>
            <w:tcW w:w="3517" w:type="dxa"/>
            <w:shd w:val="clear" w:color="auto" w:fill="auto"/>
          </w:tcPr>
          <w:p w14:paraId="443A21B7" w14:textId="77777777" w:rsidR="00845897" w:rsidRPr="00C54B61" w:rsidRDefault="00845897" w:rsidP="00F72F11">
            <w:pPr>
              <w:jc w:val="both"/>
              <w:rPr>
                <w:rFonts w:ascii="Times New Roman" w:hAnsi="Times New Roman" w:cs="Times New Roman"/>
                <w:b/>
              </w:rPr>
            </w:pPr>
            <w:r w:rsidRPr="00C54B61">
              <w:rPr>
                <w:rFonts w:ascii="Times New Roman" w:hAnsi="Times New Roman" w:cs="Times New Roman"/>
                <w:b/>
              </w:rPr>
              <w:t>Total</w:t>
            </w:r>
          </w:p>
        </w:tc>
        <w:tc>
          <w:tcPr>
            <w:tcW w:w="1701" w:type="dxa"/>
            <w:shd w:val="clear" w:color="auto" w:fill="auto"/>
          </w:tcPr>
          <w:p w14:paraId="052C4ECA" w14:textId="77777777" w:rsidR="00845897" w:rsidRPr="00C54B61" w:rsidRDefault="00845897" w:rsidP="00F72F11">
            <w:pPr>
              <w:jc w:val="both"/>
              <w:rPr>
                <w:rFonts w:ascii="Times New Roman" w:hAnsi="Times New Roman" w:cs="Times New Roman"/>
                <w:b/>
              </w:rPr>
            </w:pPr>
            <w:r w:rsidRPr="00C54B61">
              <w:rPr>
                <w:rFonts w:ascii="Times New Roman" w:hAnsi="Times New Roman" w:cs="Times New Roman"/>
                <w:b/>
              </w:rPr>
              <w:t>273</w:t>
            </w:r>
          </w:p>
        </w:tc>
        <w:tc>
          <w:tcPr>
            <w:tcW w:w="1965" w:type="dxa"/>
            <w:shd w:val="clear" w:color="auto" w:fill="auto"/>
          </w:tcPr>
          <w:p w14:paraId="0FD73EAD" w14:textId="77777777" w:rsidR="00845897" w:rsidRPr="00C54B61" w:rsidRDefault="00845897" w:rsidP="00F72F11">
            <w:pPr>
              <w:jc w:val="both"/>
              <w:rPr>
                <w:rFonts w:ascii="Times New Roman" w:hAnsi="Times New Roman" w:cs="Times New Roman"/>
                <w:b/>
              </w:rPr>
            </w:pPr>
            <w:r w:rsidRPr="00C54B61">
              <w:rPr>
                <w:rFonts w:ascii="Times New Roman" w:hAnsi="Times New Roman" w:cs="Times New Roman"/>
                <w:b/>
              </w:rPr>
              <w:t>64</w:t>
            </w:r>
          </w:p>
        </w:tc>
        <w:tc>
          <w:tcPr>
            <w:tcW w:w="1437" w:type="dxa"/>
            <w:shd w:val="clear" w:color="auto" w:fill="auto"/>
          </w:tcPr>
          <w:p w14:paraId="4F8C3B87" w14:textId="77777777" w:rsidR="00845897" w:rsidRPr="00C54B61" w:rsidRDefault="00845897" w:rsidP="00F72F11">
            <w:pPr>
              <w:jc w:val="both"/>
              <w:rPr>
                <w:rFonts w:ascii="Times New Roman" w:hAnsi="Times New Roman" w:cs="Times New Roman"/>
                <w:b/>
              </w:rPr>
            </w:pPr>
            <w:r w:rsidRPr="00C54B61">
              <w:rPr>
                <w:rFonts w:ascii="Times New Roman" w:hAnsi="Times New Roman" w:cs="Times New Roman"/>
                <w:b/>
              </w:rPr>
              <w:t>306</w:t>
            </w:r>
          </w:p>
        </w:tc>
        <w:tc>
          <w:tcPr>
            <w:tcW w:w="1695" w:type="dxa"/>
            <w:shd w:val="clear" w:color="auto" w:fill="auto"/>
          </w:tcPr>
          <w:p w14:paraId="51D48B39" w14:textId="77777777" w:rsidR="00845897" w:rsidRPr="00C54B61" w:rsidRDefault="00845897" w:rsidP="00F72F11">
            <w:pPr>
              <w:jc w:val="both"/>
              <w:rPr>
                <w:rFonts w:ascii="Times New Roman" w:hAnsi="Times New Roman" w:cs="Times New Roman"/>
                <w:b/>
              </w:rPr>
            </w:pPr>
            <w:r w:rsidRPr="00C54B61">
              <w:rPr>
                <w:rFonts w:ascii="Times New Roman" w:hAnsi="Times New Roman" w:cs="Times New Roman"/>
                <w:b/>
              </w:rPr>
              <w:t>370</w:t>
            </w:r>
          </w:p>
        </w:tc>
      </w:tr>
    </w:tbl>
    <w:p w14:paraId="01A07C9C" w14:textId="77777777" w:rsidR="00845897" w:rsidRPr="00C54B61" w:rsidRDefault="00845897" w:rsidP="00F72F11">
      <w:pPr>
        <w:jc w:val="both"/>
        <w:rPr>
          <w:rFonts w:ascii="Times New Roman" w:hAnsi="Times New Roman" w:cs="Times New Roman"/>
        </w:rPr>
      </w:pPr>
    </w:p>
    <w:p w14:paraId="04D912E4" w14:textId="6D5DD55B" w:rsidR="00845897" w:rsidRPr="00C54B61" w:rsidRDefault="008A7DE0" w:rsidP="00F72F11">
      <w:pPr>
        <w:spacing w:line="360" w:lineRule="auto"/>
        <w:jc w:val="both"/>
        <w:rPr>
          <w:rFonts w:ascii="Times New Roman" w:hAnsi="Times New Roman" w:cs="Times New Roman"/>
        </w:rPr>
      </w:pPr>
      <w:r>
        <w:rPr>
          <w:rFonts w:ascii="Times New Roman" w:hAnsi="Times New Roman" w:cs="Times New Roman"/>
        </w:rPr>
        <w:t xml:space="preserve">While the table above provides </w:t>
      </w:r>
      <w:r w:rsidR="00845897" w:rsidRPr="00C54B61">
        <w:rPr>
          <w:rFonts w:ascii="Times New Roman" w:hAnsi="Times New Roman" w:cs="Times New Roman"/>
        </w:rPr>
        <w:t>a summary of the critical occupations required by the PMTE to fulfil its mandate</w:t>
      </w:r>
      <w:r>
        <w:rPr>
          <w:rFonts w:ascii="Times New Roman" w:hAnsi="Times New Roman" w:cs="Times New Roman"/>
        </w:rPr>
        <w:t xml:space="preserve">, it </w:t>
      </w:r>
      <w:r w:rsidR="00845897" w:rsidRPr="00C54B61">
        <w:rPr>
          <w:rFonts w:ascii="Times New Roman" w:hAnsi="Times New Roman" w:cs="Times New Roman"/>
        </w:rPr>
        <w:t xml:space="preserve">. Unlike in the past, the PMTE does not provide a column that indicate the total number of critical occupation positions available on its establishment. Instead, it reports on the following four areas: </w:t>
      </w:r>
    </w:p>
    <w:p w14:paraId="16B65A5F" w14:textId="77777777" w:rsidR="00845897" w:rsidRPr="00C54B61" w:rsidRDefault="00845897" w:rsidP="00B41D07">
      <w:pPr>
        <w:numPr>
          <w:ilvl w:val="0"/>
          <w:numId w:val="21"/>
        </w:numPr>
        <w:spacing w:after="0" w:line="360" w:lineRule="auto"/>
        <w:jc w:val="both"/>
        <w:rPr>
          <w:rFonts w:ascii="Times New Roman" w:hAnsi="Times New Roman" w:cs="Times New Roman"/>
        </w:rPr>
      </w:pPr>
      <w:r w:rsidRPr="00C54B61">
        <w:rPr>
          <w:rFonts w:ascii="Times New Roman" w:hAnsi="Times New Roman" w:cs="Times New Roman"/>
        </w:rPr>
        <w:t>Number of filled positions.</w:t>
      </w:r>
    </w:p>
    <w:p w14:paraId="6CB5AD8F" w14:textId="77777777" w:rsidR="00845897" w:rsidRPr="00C54B61" w:rsidRDefault="00845897" w:rsidP="00B41D07">
      <w:pPr>
        <w:numPr>
          <w:ilvl w:val="0"/>
          <w:numId w:val="21"/>
        </w:numPr>
        <w:spacing w:after="0" w:line="360" w:lineRule="auto"/>
        <w:jc w:val="both"/>
        <w:rPr>
          <w:rFonts w:ascii="Times New Roman" w:hAnsi="Times New Roman" w:cs="Times New Roman"/>
        </w:rPr>
      </w:pPr>
      <w:r w:rsidRPr="00C54B61">
        <w:rPr>
          <w:rFonts w:ascii="Times New Roman" w:hAnsi="Times New Roman" w:cs="Times New Roman"/>
        </w:rPr>
        <w:t>Number of expected retirements in a 5-year period.</w:t>
      </w:r>
    </w:p>
    <w:p w14:paraId="10D0269E" w14:textId="77777777" w:rsidR="00845897" w:rsidRPr="00C54B61" w:rsidRDefault="00845897" w:rsidP="00B41D07">
      <w:pPr>
        <w:numPr>
          <w:ilvl w:val="0"/>
          <w:numId w:val="21"/>
        </w:numPr>
        <w:spacing w:after="0" w:line="360" w:lineRule="auto"/>
        <w:jc w:val="both"/>
        <w:rPr>
          <w:rFonts w:ascii="Times New Roman" w:hAnsi="Times New Roman" w:cs="Times New Roman"/>
        </w:rPr>
      </w:pPr>
      <w:r w:rsidRPr="00C54B61">
        <w:rPr>
          <w:rFonts w:ascii="Times New Roman" w:hAnsi="Times New Roman" w:cs="Times New Roman"/>
        </w:rPr>
        <w:t>Number of current vacancies.</w:t>
      </w:r>
    </w:p>
    <w:p w14:paraId="1C663505" w14:textId="77777777" w:rsidR="00845897" w:rsidRPr="00C54B61" w:rsidRDefault="00845897" w:rsidP="00B41D07">
      <w:pPr>
        <w:numPr>
          <w:ilvl w:val="0"/>
          <w:numId w:val="21"/>
        </w:numPr>
        <w:spacing w:after="0" w:line="360" w:lineRule="auto"/>
        <w:jc w:val="both"/>
        <w:rPr>
          <w:rFonts w:ascii="Times New Roman" w:hAnsi="Times New Roman" w:cs="Times New Roman"/>
        </w:rPr>
      </w:pPr>
      <w:r w:rsidRPr="00C54B61">
        <w:rPr>
          <w:rFonts w:ascii="Times New Roman" w:hAnsi="Times New Roman" w:cs="Times New Roman"/>
        </w:rPr>
        <w:t xml:space="preserve">Total required. </w:t>
      </w:r>
    </w:p>
    <w:p w14:paraId="180CCE72" w14:textId="77777777" w:rsidR="00932539" w:rsidRPr="00C54B61" w:rsidRDefault="00932539" w:rsidP="00F72F11">
      <w:pPr>
        <w:spacing w:line="360" w:lineRule="auto"/>
        <w:jc w:val="both"/>
        <w:rPr>
          <w:rFonts w:ascii="Times New Roman" w:hAnsi="Times New Roman" w:cs="Times New Roman"/>
        </w:rPr>
      </w:pPr>
    </w:p>
    <w:p w14:paraId="3E58A5C9" w14:textId="77777777" w:rsidR="00845897" w:rsidRPr="00C54B61" w:rsidRDefault="00845897" w:rsidP="00F72F11">
      <w:pPr>
        <w:spacing w:line="360" w:lineRule="auto"/>
        <w:jc w:val="both"/>
        <w:rPr>
          <w:rFonts w:ascii="Times New Roman" w:hAnsi="Times New Roman" w:cs="Times New Roman"/>
        </w:rPr>
      </w:pPr>
      <w:r w:rsidRPr="00C54B61">
        <w:rPr>
          <w:rFonts w:ascii="Times New Roman" w:hAnsi="Times New Roman" w:cs="Times New Roman"/>
        </w:rPr>
        <w:t xml:space="preserve"> Of this amount a total of 273 posts are filled and 64 are reported as the expected number of retirements in a 5-year period. The PMTE also has 306 current vacancies and 370 total required posts. </w:t>
      </w:r>
    </w:p>
    <w:p w14:paraId="69DCD69A" w14:textId="77777777" w:rsidR="00845897" w:rsidRPr="00C54B61" w:rsidRDefault="00845897" w:rsidP="00F72F11">
      <w:pPr>
        <w:spacing w:line="360" w:lineRule="auto"/>
        <w:jc w:val="both"/>
        <w:rPr>
          <w:rFonts w:ascii="Times New Roman" w:hAnsi="Times New Roman" w:cs="Times New Roman"/>
        </w:rPr>
      </w:pPr>
    </w:p>
    <w:p w14:paraId="5821AFD4" w14:textId="45FDC612" w:rsidR="00932539" w:rsidRPr="00C54B61" w:rsidRDefault="00845897" w:rsidP="00F72F11">
      <w:pPr>
        <w:spacing w:line="360" w:lineRule="auto"/>
        <w:jc w:val="both"/>
        <w:rPr>
          <w:rFonts w:ascii="Times New Roman" w:hAnsi="Times New Roman" w:cs="Times New Roman"/>
        </w:rPr>
      </w:pPr>
      <w:r w:rsidRPr="00C54B61">
        <w:rPr>
          <w:rFonts w:ascii="Times New Roman" w:hAnsi="Times New Roman" w:cs="Times New Roman"/>
        </w:rPr>
        <w:lastRenderedPageBreak/>
        <w:t>The highest vacancy, fall under Construction Project Management with a total of 144 vacancies and 47 number of retirements expected in a 5-year period. This constitute 191 positions, however, it is unclear where the 174 filled positions fit into the overall staff complement</w:t>
      </w:r>
      <w:r w:rsidR="007D3D2E">
        <w:rPr>
          <w:rFonts w:ascii="Times New Roman" w:hAnsi="Times New Roman" w:cs="Times New Roman"/>
        </w:rPr>
        <w:t>.</w:t>
      </w:r>
      <w:r w:rsidRPr="00C54B61">
        <w:rPr>
          <w:rFonts w:ascii="Times New Roman" w:hAnsi="Times New Roman" w:cs="Times New Roman"/>
        </w:rPr>
        <w:t xml:space="preserve"> </w:t>
      </w:r>
    </w:p>
    <w:p w14:paraId="1F6348B6" w14:textId="717528D6" w:rsidR="00845897" w:rsidRPr="00C54B61" w:rsidRDefault="00845897" w:rsidP="00F72F11">
      <w:pPr>
        <w:spacing w:line="360" w:lineRule="auto"/>
        <w:jc w:val="both"/>
        <w:rPr>
          <w:rFonts w:ascii="Times New Roman" w:hAnsi="Times New Roman" w:cs="Times New Roman"/>
        </w:rPr>
      </w:pPr>
      <w:r w:rsidRPr="00C54B61">
        <w:rPr>
          <w:rFonts w:ascii="Times New Roman" w:hAnsi="Times New Roman" w:cs="Times New Roman"/>
        </w:rPr>
        <w:t xml:space="preserve">The second highest vacancy is under Chemical Engineering with a total of 33 vacancies and </w:t>
      </w:r>
      <w:r w:rsidR="000D1209">
        <w:rPr>
          <w:rFonts w:ascii="Times New Roman" w:hAnsi="Times New Roman" w:cs="Times New Roman"/>
        </w:rPr>
        <w:t xml:space="preserve">shows that six </w:t>
      </w:r>
      <w:r w:rsidRPr="00C54B61">
        <w:rPr>
          <w:rFonts w:ascii="Times New Roman" w:hAnsi="Times New Roman" w:cs="Times New Roman"/>
        </w:rPr>
        <w:t xml:space="preserve">retirements </w:t>
      </w:r>
      <w:r w:rsidR="000D1209">
        <w:rPr>
          <w:rFonts w:ascii="Times New Roman" w:hAnsi="Times New Roman" w:cs="Times New Roman"/>
        </w:rPr>
        <w:t xml:space="preserve">are </w:t>
      </w:r>
      <w:r w:rsidRPr="00C54B61">
        <w:rPr>
          <w:rFonts w:ascii="Times New Roman" w:hAnsi="Times New Roman" w:cs="Times New Roman"/>
        </w:rPr>
        <w:t>expected in a 5-year period. This constitute 39 positions; however, it is unclea</w:t>
      </w:r>
      <w:r w:rsidR="000D1209">
        <w:rPr>
          <w:rFonts w:ascii="Times New Roman" w:hAnsi="Times New Roman" w:cs="Times New Roman"/>
        </w:rPr>
        <w:t>r where the 16 filled positions</w:t>
      </w:r>
      <w:r w:rsidRPr="00C54B61">
        <w:rPr>
          <w:rFonts w:ascii="Times New Roman" w:hAnsi="Times New Roman" w:cs="Times New Roman"/>
        </w:rPr>
        <w:t xml:space="preserve"> fits into the overall staff complement.  </w:t>
      </w:r>
    </w:p>
    <w:p w14:paraId="3EE928C9" w14:textId="77777777" w:rsidR="00845897" w:rsidRPr="00C54B61" w:rsidRDefault="00845897" w:rsidP="00F72F11">
      <w:pPr>
        <w:spacing w:line="360" w:lineRule="auto"/>
        <w:jc w:val="both"/>
        <w:rPr>
          <w:rFonts w:ascii="Times New Roman" w:hAnsi="Times New Roman" w:cs="Times New Roman"/>
        </w:rPr>
      </w:pPr>
      <w:r w:rsidRPr="00C54B61">
        <w:rPr>
          <w:rFonts w:ascii="Times New Roman" w:hAnsi="Times New Roman" w:cs="Times New Roman"/>
        </w:rPr>
        <w:t>The lowest number of filled posts falls under Electrical an</w:t>
      </w:r>
      <w:r w:rsidR="00932539" w:rsidRPr="00C54B61">
        <w:rPr>
          <w:rFonts w:ascii="Times New Roman" w:hAnsi="Times New Roman" w:cs="Times New Roman"/>
        </w:rPr>
        <w:t>d Mechanical Engineering, with respectively two</w:t>
      </w:r>
      <w:r w:rsidRPr="00C54B61">
        <w:rPr>
          <w:rFonts w:ascii="Times New Roman" w:hAnsi="Times New Roman" w:cs="Times New Roman"/>
        </w:rPr>
        <w:t xml:space="preserve"> and </w:t>
      </w:r>
      <w:r w:rsidR="00932539" w:rsidRPr="00C54B61">
        <w:rPr>
          <w:rFonts w:ascii="Times New Roman" w:hAnsi="Times New Roman" w:cs="Times New Roman"/>
        </w:rPr>
        <w:t>three positions filled</w:t>
      </w:r>
      <w:r w:rsidRPr="00C54B61">
        <w:rPr>
          <w:rFonts w:ascii="Times New Roman" w:hAnsi="Times New Roman" w:cs="Times New Roman"/>
        </w:rPr>
        <w:t xml:space="preserve">. However, the Electrical and Mechanical Engineering </w:t>
      </w:r>
      <w:r w:rsidR="00932539" w:rsidRPr="00C54B61">
        <w:rPr>
          <w:rFonts w:ascii="Times New Roman" w:hAnsi="Times New Roman" w:cs="Times New Roman"/>
        </w:rPr>
        <w:t xml:space="preserve">respectively </w:t>
      </w:r>
      <w:r w:rsidRPr="00C54B61">
        <w:rPr>
          <w:rFonts w:ascii="Times New Roman" w:hAnsi="Times New Roman" w:cs="Times New Roman"/>
        </w:rPr>
        <w:t xml:space="preserve">report vacancies of 27 and 21 positions. </w:t>
      </w:r>
    </w:p>
    <w:p w14:paraId="11CE897A" w14:textId="1EE0A6A0" w:rsidR="00845897" w:rsidRPr="00C54B61" w:rsidRDefault="00845897" w:rsidP="00F72F11">
      <w:pPr>
        <w:spacing w:line="360" w:lineRule="auto"/>
        <w:jc w:val="both"/>
        <w:rPr>
          <w:rFonts w:ascii="Times New Roman" w:hAnsi="Times New Roman" w:cs="Times New Roman"/>
        </w:rPr>
      </w:pPr>
      <w:r w:rsidRPr="00C54B61">
        <w:rPr>
          <w:rFonts w:ascii="Times New Roman" w:hAnsi="Times New Roman" w:cs="Times New Roman"/>
        </w:rPr>
        <w:t>The PMTE has highlighted the challenge in filling these built environment specialist positions. It is implementing various technical capacity building initiatives to address these requirements; such as the “tailored Capacity Building Programmes</w:t>
      </w:r>
      <w:r w:rsidRPr="00C54B61">
        <w:rPr>
          <w:rStyle w:val="FootnoteReference"/>
          <w:rFonts w:ascii="Times New Roman" w:hAnsi="Times New Roman" w:cs="Times New Roman"/>
        </w:rPr>
        <w:footnoteReference w:id="57"/>
      </w:r>
      <w:r w:rsidRPr="00C54B61">
        <w:rPr>
          <w:rFonts w:ascii="Times New Roman" w:hAnsi="Times New Roman" w:cs="Times New Roman"/>
        </w:rPr>
        <w:t xml:space="preserve"> in partnership with the South African Property Owners Association (SAPOA) and the Coega Development Corporation (CDC); the Professionalisation of Property Managers Programme; Young Professionals Programme</w:t>
      </w:r>
      <w:r w:rsidR="000D1209">
        <w:rPr>
          <w:rFonts w:ascii="Times New Roman" w:hAnsi="Times New Roman" w:cs="Times New Roman"/>
        </w:rPr>
        <w:t>;</w:t>
      </w:r>
      <w:r w:rsidRPr="00C54B61">
        <w:rPr>
          <w:rFonts w:ascii="Times New Roman" w:hAnsi="Times New Roman" w:cs="Times New Roman"/>
        </w:rPr>
        <w:t xml:space="preserve"> and the Cuban Tech</w:t>
      </w:r>
      <w:r w:rsidR="00EF3666">
        <w:rPr>
          <w:rFonts w:ascii="Times New Roman" w:hAnsi="Times New Roman" w:cs="Times New Roman"/>
        </w:rPr>
        <w:t>nical Advisors (CTAs) Programme</w:t>
      </w:r>
      <w:r w:rsidRPr="00C54B61">
        <w:rPr>
          <w:rFonts w:ascii="Times New Roman" w:hAnsi="Times New Roman" w:cs="Times New Roman"/>
        </w:rPr>
        <w:t>.”</w:t>
      </w:r>
      <w:r w:rsidRPr="00C54B61">
        <w:rPr>
          <w:rStyle w:val="FootnoteReference"/>
          <w:rFonts w:ascii="Times New Roman" w:hAnsi="Times New Roman" w:cs="Times New Roman"/>
        </w:rPr>
        <w:t xml:space="preserve"> </w:t>
      </w:r>
      <w:r w:rsidRPr="00C54B61">
        <w:rPr>
          <w:rStyle w:val="FootnoteReference"/>
          <w:rFonts w:ascii="Times New Roman" w:hAnsi="Times New Roman" w:cs="Times New Roman"/>
        </w:rPr>
        <w:footnoteReference w:id="58"/>
      </w:r>
      <w:r w:rsidRPr="00C54B61">
        <w:rPr>
          <w:rFonts w:ascii="Times New Roman" w:hAnsi="Times New Roman" w:cs="Times New Roman"/>
        </w:rPr>
        <w:t xml:space="preserve">  </w:t>
      </w:r>
    </w:p>
    <w:p w14:paraId="3B7CDAB9" w14:textId="5E9093F3" w:rsidR="00845897" w:rsidRPr="00C54B61" w:rsidRDefault="00845897" w:rsidP="00F72F11">
      <w:pPr>
        <w:spacing w:line="360" w:lineRule="auto"/>
        <w:jc w:val="both"/>
        <w:rPr>
          <w:rFonts w:ascii="Times New Roman" w:hAnsi="Times New Roman" w:cs="Times New Roman"/>
        </w:rPr>
      </w:pPr>
      <w:r w:rsidRPr="00C54B61">
        <w:rPr>
          <w:rFonts w:ascii="Times New Roman" w:hAnsi="Times New Roman" w:cs="Times New Roman"/>
        </w:rPr>
        <w:t>The PMTE plans to place candidates for registration of permanent employees and the youth (participating in the Young Professionals Programme) with service providers contracted with the PMTE to provide training</w:t>
      </w:r>
      <w:r w:rsidR="00EF06D5">
        <w:rPr>
          <w:rFonts w:ascii="Times New Roman" w:hAnsi="Times New Roman" w:cs="Times New Roman"/>
        </w:rPr>
        <w:t xml:space="preserve"> and mentoring. Once registered, </w:t>
      </w:r>
      <w:r w:rsidRPr="00C54B61">
        <w:rPr>
          <w:rFonts w:ascii="Times New Roman" w:hAnsi="Times New Roman" w:cs="Times New Roman"/>
        </w:rPr>
        <w:t>the professionals will be placed in permanent technical positions or linked to Facilities Management Service Centres (workshops)’ maintenance programmes (as specialists in HVACs, Lifts, Boilers etc.).</w:t>
      </w:r>
      <w:r w:rsidRPr="00C54B61">
        <w:rPr>
          <w:rStyle w:val="FootnoteReference"/>
          <w:rFonts w:ascii="Times New Roman" w:hAnsi="Times New Roman" w:cs="Times New Roman"/>
        </w:rPr>
        <w:footnoteReference w:id="59"/>
      </w:r>
      <w:r w:rsidRPr="00C54B61">
        <w:rPr>
          <w:rFonts w:ascii="Times New Roman" w:hAnsi="Times New Roman" w:cs="Times New Roman"/>
        </w:rPr>
        <w:t xml:space="preserve"> </w:t>
      </w:r>
    </w:p>
    <w:p w14:paraId="3FDFB709" w14:textId="77777777" w:rsidR="00BB1EE2" w:rsidRPr="00FF4F0F" w:rsidRDefault="00BB1EE2" w:rsidP="00F72F11">
      <w:pPr>
        <w:spacing w:line="360" w:lineRule="auto"/>
        <w:jc w:val="both"/>
        <w:rPr>
          <w:rFonts w:ascii="Times New Roman" w:hAnsi="Times New Roman" w:cs="Times New Roman"/>
          <w:color w:val="ED7D31" w:themeColor="accent2"/>
        </w:rPr>
      </w:pPr>
    </w:p>
    <w:p w14:paraId="047DA738" w14:textId="77777777" w:rsidR="00BB1EE2" w:rsidRPr="00051D18" w:rsidRDefault="00BB1EE2" w:rsidP="00F72F11">
      <w:pPr>
        <w:spacing w:line="360" w:lineRule="auto"/>
        <w:jc w:val="both"/>
        <w:rPr>
          <w:rFonts w:ascii="Times New Roman" w:hAnsi="Times New Roman" w:cs="Times New Roman"/>
        </w:rPr>
      </w:pPr>
      <w:r w:rsidRPr="00051D18">
        <w:rPr>
          <w:rFonts w:ascii="Times New Roman" w:hAnsi="Times New Roman" w:cs="Times New Roman"/>
        </w:rPr>
        <w:t>The rest of the report deals with the entities that report to the Minister of Public Works.</w:t>
      </w:r>
    </w:p>
    <w:p w14:paraId="6384C5BD" w14:textId="77777777" w:rsidR="00BB1EE2" w:rsidRPr="001170E4" w:rsidRDefault="00BB1EE2" w:rsidP="00F72F11">
      <w:pPr>
        <w:spacing w:line="360" w:lineRule="auto"/>
        <w:jc w:val="both"/>
        <w:rPr>
          <w:rFonts w:ascii="Times New Roman" w:hAnsi="Times New Roman" w:cs="Times New Roman"/>
          <w:color w:val="001F00"/>
        </w:rPr>
      </w:pPr>
    </w:p>
    <w:p w14:paraId="77A2DEEA" w14:textId="77777777" w:rsidR="00446FEF" w:rsidRDefault="00446FEF">
      <w:pPr>
        <w:rPr>
          <w:rFonts w:ascii="Times New Roman" w:hAnsi="Times New Roman" w:cs="Times New Roman"/>
          <w:b/>
          <w:color w:val="001F00"/>
        </w:rPr>
      </w:pPr>
      <w:r>
        <w:rPr>
          <w:rFonts w:ascii="Times New Roman" w:hAnsi="Times New Roman" w:cs="Times New Roman"/>
          <w:b/>
          <w:color w:val="001F00"/>
        </w:rPr>
        <w:br w:type="page"/>
      </w:r>
    </w:p>
    <w:p w14:paraId="3E4EAF7E" w14:textId="77777777" w:rsidR="00BB1EE2" w:rsidRPr="001170E4" w:rsidRDefault="00BB1EE2" w:rsidP="00F72F11">
      <w:pPr>
        <w:spacing w:line="360" w:lineRule="auto"/>
        <w:jc w:val="both"/>
        <w:rPr>
          <w:rFonts w:ascii="Times New Roman" w:hAnsi="Times New Roman" w:cs="Times New Roman"/>
          <w:b/>
          <w:color w:val="001F00"/>
        </w:rPr>
      </w:pPr>
      <w:r w:rsidRPr="001170E4">
        <w:rPr>
          <w:rFonts w:ascii="Times New Roman" w:hAnsi="Times New Roman" w:cs="Times New Roman"/>
          <w:b/>
          <w:color w:val="001F00"/>
        </w:rPr>
        <w:lastRenderedPageBreak/>
        <w:t xml:space="preserve"> 4. Agrément SA (ASA)</w:t>
      </w:r>
    </w:p>
    <w:p w14:paraId="6BAF519B"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color w:val="001F00"/>
        </w:rPr>
        <w:t>4.1. Setting up t</w:t>
      </w:r>
      <w:r w:rsidRPr="001170E4">
        <w:rPr>
          <w:rFonts w:ascii="Times New Roman" w:hAnsi="Times New Roman" w:cs="Times New Roman"/>
          <w:b/>
        </w:rPr>
        <w:t>he ASA as a legal entity</w:t>
      </w:r>
    </w:p>
    <w:p w14:paraId="3FDAA989" w14:textId="75CEA8CE"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Agrément South Africa (established through a Ministerial Determination in 1969), is one of f</w:t>
      </w:r>
      <w:r w:rsidR="00126DC5">
        <w:rPr>
          <w:rFonts w:ascii="Times New Roman" w:eastAsia="Times New Roman" w:hAnsi="Times New Roman" w:cs="Times New Roman"/>
          <w:color w:val="000000"/>
          <w:spacing w:val="6"/>
          <w:lang w:val="en-GB" w:eastAsia="en-GB"/>
        </w:rPr>
        <w:t>our</w:t>
      </w:r>
      <w:r w:rsidRPr="001170E4">
        <w:rPr>
          <w:rFonts w:ascii="Times New Roman" w:eastAsia="Times New Roman" w:hAnsi="Times New Roman" w:cs="Times New Roman"/>
          <w:color w:val="000000"/>
          <w:spacing w:val="6"/>
          <w:lang w:val="en-GB" w:eastAsia="en-GB"/>
        </w:rPr>
        <w:t xml:space="preserve"> entities reporting to the Minister of Public Works. It was constituted as a juristic person through the Agrément South Africa Act (No. 11 of 2015).</w:t>
      </w:r>
      <w:r w:rsidRPr="001170E4">
        <w:rPr>
          <w:rFonts w:ascii="Times New Roman" w:eastAsia="Times New Roman" w:hAnsi="Times New Roman" w:cs="Times New Roman"/>
          <w:color w:val="000000"/>
          <w:spacing w:val="6"/>
          <w:vertAlign w:val="superscript"/>
          <w:lang w:val="en-GB" w:eastAsia="en-GB"/>
        </w:rPr>
        <w:footnoteReference w:id="60"/>
      </w:r>
      <w:r w:rsidRPr="001170E4">
        <w:rPr>
          <w:rFonts w:ascii="Times New Roman" w:eastAsia="Times New Roman" w:hAnsi="Times New Roman" w:cs="Times New Roman"/>
          <w:color w:val="000000"/>
          <w:spacing w:val="6"/>
          <w:lang w:val="en-GB" w:eastAsia="en-GB"/>
        </w:rPr>
        <w:t xml:space="preserve">   </w:t>
      </w:r>
    </w:p>
    <w:p w14:paraId="42A6BAEB"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115DB486" w14:textId="3EAF538A" w:rsidR="00BB1EE2" w:rsidRPr="001170E4" w:rsidRDefault="0070305B" w:rsidP="00F72F11">
      <w:p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 xml:space="preserve">The </w:t>
      </w:r>
      <w:r>
        <w:rPr>
          <w:rFonts w:ascii="Times New Roman" w:eastAsia="Times New Roman" w:hAnsi="Times New Roman" w:cs="Times New Roman"/>
          <w:color w:val="000000"/>
          <w:spacing w:val="6"/>
          <w:lang w:val="en-GB" w:eastAsia="en-GB"/>
        </w:rPr>
        <w:t xml:space="preserve">Agrément SA has </w:t>
      </w:r>
      <w:r w:rsidRPr="001170E4">
        <w:rPr>
          <w:rFonts w:ascii="Times New Roman" w:eastAsia="Times New Roman" w:hAnsi="Times New Roman" w:cs="Times New Roman"/>
          <w:color w:val="000000"/>
          <w:spacing w:val="6"/>
          <w:lang w:val="en-GB" w:eastAsia="en-GB"/>
        </w:rPr>
        <w:t>operat</w:t>
      </w:r>
      <w:r>
        <w:rPr>
          <w:rFonts w:ascii="Times New Roman" w:eastAsia="Times New Roman" w:hAnsi="Times New Roman" w:cs="Times New Roman"/>
          <w:color w:val="000000"/>
          <w:spacing w:val="6"/>
          <w:lang w:val="en-GB" w:eastAsia="en-GB"/>
        </w:rPr>
        <w:t>ed</w:t>
      </w:r>
      <w:r w:rsidRPr="001170E4">
        <w:rPr>
          <w:rFonts w:ascii="Times New Roman" w:eastAsia="Times New Roman" w:hAnsi="Times New Roman" w:cs="Times New Roman"/>
          <w:color w:val="000000"/>
          <w:spacing w:val="6"/>
          <w:lang w:val="en-GB" w:eastAsia="en-GB"/>
        </w:rPr>
        <w:t xml:space="preserve"> </w:t>
      </w:r>
      <w:r>
        <w:rPr>
          <w:rFonts w:ascii="Times New Roman" w:eastAsia="Times New Roman" w:hAnsi="Times New Roman" w:cs="Times New Roman"/>
          <w:color w:val="000000"/>
          <w:spacing w:val="6"/>
          <w:lang w:val="en-GB" w:eastAsia="en-GB"/>
        </w:rPr>
        <w:t>independen</w:t>
      </w:r>
      <w:r w:rsidRPr="001170E4">
        <w:rPr>
          <w:rFonts w:ascii="Times New Roman" w:eastAsia="Times New Roman" w:hAnsi="Times New Roman" w:cs="Times New Roman"/>
          <w:color w:val="000000"/>
          <w:spacing w:val="6"/>
          <w:lang w:val="en-GB" w:eastAsia="en-GB"/>
        </w:rPr>
        <w:t xml:space="preserve">tly </w:t>
      </w:r>
      <w:r>
        <w:rPr>
          <w:rFonts w:ascii="Times New Roman" w:eastAsia="Times New Roman" w:hAnsi="Times New Roman" w:cs="Times New Roman"/>
          <w:color w:val="000000"/>
          <w:spacing w:val="6"/>
          <w:lang w:val="en-GB" w:eastAsia="en-GB"/>
        </w:rPr>
        <w:t>from 1 April 2018</w:t>
      </w:r>
      <w:r w:rsidRPr="001170E4">
        <w:rPr>
          <w:rFonts w:ascii="Times New Roman" w:eastAsia="Times New Roman" w:hAnsi="Times New Roman" w:cs="Times New Roman"/>
          <w:color w:val="000000"/>
          <w:spacing w:val="6"/>
          <w:lang w:val="en-GB" w:eastAsia="en-GB"/>
        </w:rPr>
        <w:t xml:space="preserve"> </w:t>
      </w:r>
      <w:r>
        <w:rPr>
          <w:rFonts w:ascii="Times New Roman" w:eastAsia="Times New Roman" w:hAnsi="Times New Roman" w:cs="Times New Roman"/>
          <w:color w:val="000000"/>
          <w:spacing w:val="6"/>
          <w:lang w:val="en-GB" w:eastAsia="en-GB"/>
        </w:rPr>
        <w:t>f</w:t>
      </w:r>
      <w:r w:rsidR="00BB1EE2" w:rsidRPr="001170E4">
        <w:rPr>
          <w:rFonts w:ascii="Times New Roman" w:eastAsia="Times New Roman" w:hAnsi="Times New Roman" w:cs="Times New Roman"/>
          <w:color w:val="000000"/>
          <w:spacing w:val="6"/>
          <w:lang w:val="en-GB" w:eastAsia="en-GB"/>
        </w:rPr>
        <w:t>ollowing the legislative process to establish the entity.</w:t>
      </w:r>
      <w:r w:rsidR="00BB1EE2" w:rsidRPr="001170E4">
        <w:rPr>
          <w:rFonts w:ascii="Times New Roman" w:eastAsia="Times New Roman" w:hAnsi="Times New Roman" w:cs="Times New Roman"/>
          <w:color w:val="000000"/>
          <w:spacing w:val="6"/>
          <w:vertAlign w:val="superscript"/>
          <w:lang w:val="en-GB" w:eastAsia="en-GB"/>
        </w:rPr>
        <w:footnoteReference w:id="61"/>
      </w:r>
      <w:r w:rsidR="00BB1EE2" w:rsidRPr="001170E4">
        <w:rPr>
          <w:rFonts w:ascii="Times New Roman" w:eastAsia="Times New Roman" w:hAnsi="Times New Roman" w:cs="Times New Roman"/>
          <w:color w:val="000000"/>
          <w:spacing w:val="6"/>
          <w:lang w:val="en-GB" w:eastAsia="en-GB"/>
        </w:rPr>
        <w:t xml:space="preserve">  </w:t>
      </w:r>
    </w:p>
    <w:p w14:paraId="52E3226A"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6EAC1D03" w14:textId="77777777" w:rsidR="00BB1EE2" w:rsidRPr="001170E4" w:rsidRDefault="00BB1EE2" w:rsidP="00F72F11">
      <w:pPr>
        <w:spacing w:after="0" w:line="360" w:lineRule="auto"/>
        <w:jc w:val="both"/>
        <w:rPr>
          <w:rFonts w:ascii="Times New Roman" w:eastAsia="Times New Roman" w:hAnsi="Times New Roman" w:cs="Times New Roman"/>
          <w:b/>
          <w:color w:val="000000"/>
          <w:spacing w:val="6"/>
          <w:lang w:val="en-GB" w:eastAsia="en-GB"/>
        </w:rPr>
      </w:pPr>
      <w:r w:rsidRPr="001170E4">
        <w:rPr>
          <w:rFonts w:ascii="Times New Roman" w:eastAsia="Times New Roman" w:hAnsi="Times New Roman" w:cs="Times New Roman"/>
          <w:b/>
          <w:color w:val="000000"/>
          <w:spacing w:val="6"/>
          <w:lang w:val="en-GB" w:eastAsia="en-GB"/>
        </w:rPr>
        <w:t>4.2. Mandate</w:t>
      </w:r>
    </w:p>
    <w:p w14:paraId="5BE1FA7E"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Agrément South Africa is a statutory Board established in terms of the Agrément South Africa Act (No. 11 of 2015) with the following objectives to:</w:t>
      </w:r>
      <w:r w:rsidRPr="001170E4">
        <w:rPr>
          <w:rFonts w:ascii="Times New Roman" w:eastAsia="Times New Roman" w:hAnsi="Times New Roman" w:cs="Times New Roman"/>
          <w:color w:val="000000"/>
          <w:spacing w:val="6"/>
          <w:vertAlign w:val="superscript"/>
          <w:lang w:val="en-GB" w:eastAsia="en-GB"/>
        </w:rPr>
        <w:footnoteReference w:id="62"/>
      </w:r>
    </w:p>
    <w:p w14:paraId="07539E1A"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2DE4F542" w14:textId="77777777" w:rsidR="00BB1EE2" w:rsidRPr="001170E4" w:rsidRDefault="00BB1EE2" w:rsidP="00B41D07">
      <w:pPr>
        <w:numPr>
          <w:ilvl w:val="0"/>
          <w:numId w:val="35"/>
        </w:num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“Provide assurance to specifiers and users of fitness-for-purpose of non-standardised construction related products or systems.</w:t>
      </w:r>
    </w:p>
    <w:p w14:paraId="43A1A617" w14:textId="77777777" w:rsidR="00BB1EE2" w:rsidRPr="001170E4" w:rsidRDefault="00BB1EE2" w:rsidP="00B41D07">
      <w:pPr>
        <w:numPr>
          <w:ilvl w:val="0"/>
          <w:numId w:val="35"/>
        </w:num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Support and promote the process of integrated socio-economic development in the Republic as it relates to the construction industry; support and promote the introduction and use of certified non-standardised construction related products or systems in the local or international market.</w:t>
      </w:r>
    </w:p>
    <w:p w14:paraId="2B6D9447" w14:textId="77777777" w:rsidR="00BB1EE2" w:rsidRPr="001170E4" w:rsidRDefault="00BB1EE2" w:rsidP="00B41D07">
      <w:pPr>
        <w:numPr>
          <w:ilvl w:val="0"/>
          <w:numId w:val="35"/>
        </w:num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Support policymakers to minimise the risk associated with the use of non-standardised construction related product or system.</w:t>
      </w:r>
    </w:p>
    <w:p w14:paraId="25DE2C0E" w14:textId="77777777" w:rsidR="00BB1EE2" w:rsidRPr="001170E4" w:rsidRDefault="00BB1EE2" w:rsidP="00B41D07">
      <w:pPr>
        <w:numPr>
          <w:ilvl w:val="0"/>
          <w:numId w:val="35"/>
        </w:num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Be an impartial and internationally acknowledged South African centre for the assessment and confirmation of that for purpose of non-standardised construction related products or systems.</w:t>
      </w:r>
    </w:p>
    <w:p w14:paraId="574CDAC5" w14:textId="77777777" w:rsidR="00BB1EE2" w:rsidRPr="001170E4" w:rsidRDefault="00BB1EE2" w:rsidP="00B41D07">
      <w:pPr>
        <w:numPr>
          <w:ilvl w:val="0"/>
          <w:numId w:val="35"/>
        </w:num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Agrément South Africa will discharge its responsibilities through certification of innovative non-standardised products and systems impartially and without undue influence and keep records of the same.”</w:t>
      </w:r>
    </w:p>
    <w:p w14:paraId="3A718E8F"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3176D95E" w14:textId="77777777" w:rsidR="00BB1EE2" w:rsidRPr="001170E4" w:rsidRDefault="00BB1EE2" w:rsidP="00F72F11">
      <w:pPr>
        <w:spacing w:after="0" w:line="360" w:lineRule="auto"/>
        <w:jc w:val="both"/>
        <w:rPr>
          <w:rFonts w:ascii="Times New Roman" w:eastAsia="Times New Roman" w:hAnsi="Times New Roman" w:cs="Times New Roman"/>
          <w:b/>
          <w:color w:val="000000"/>
          <w:spacing w:val="6"/>
          <w:lang w:val="en-GB" w:eastAsia="en-GB"/>
        </w:rPr>
      </w:pPr>
      <w:r w:rsidRPr="001170E4">
        <w:rPr>
          <w:rFonts w:ascii="Times New Roman" w:eastAsia="Times New Roman" w:hAnsi="Times New Roman" w:cs="Times New Roman"/>
          <w:b/>
          <w:color w:val="000000"/>
          <w:spacing w:val="6"/>
          <w:lang w:val="en-GB" w:eastAsia="en-GB"/>
        </w:rPr>
        <w:t>4.3. Vision</w:t>
      </w:r>
      <w:r w:rsidRPr="001170E4">
        <w:rPr>
          <w:rFonts w:ascii="Times New Roman" w:eastAsia="Times New Roman" w:hAnsi="Times New Roman" w:cs="Times New Roman"/>
          <w:b/>
          <w:color w:val="000000"/>
          <w:spacing w:val="6"/>
          <w:vertAlign w:val="superscript"/>
          <w:lang w:val="en-GB" w:eastAsia="en-GB"/>
        </w:rPr>
        <w:footnoteReference w:id="63"/>
      </w:r>
    </w:p>
    <w:p w14:paraId="377DC7B0"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 xml:space="preserve">To be a world-class centre for technical assessment. </w:t>
      </w:r>
    </w:p>
    <w:p w14:paraId="6F626AEC" w14:textId="77777777" w:rsidR="00BB1EE2"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2DACE495" w14:textId="77777777" w:rsidR="00125AB3" w:rsidRDefault="00125AB3" w:rsidP="00F72F11">
      <w:pPr>
        <w:spacing w:after="0" w:line="360" w:lineRule="auto"/>
        <w:jc w:val="both"/>
        <w:rPr>
          <w:rFonts w:ascii="Times New Roman" w:eastAsia="Times New Roman" w:hAnsi="Times New Roman" w:cs="Times New Roman"/>
          <w:color w:val="000000"/>
          <w:spacing w:val="6"/>
          <w:lang w:val="en-GB" w:eastAsia="en-GB"/>
        </w:rPr>
      </w:pPr>
    </w:p>
    <w:p w14:paraId="5CCA03EA" w14:textId="77777777" w:rsidR="00125AB3" w:rsidRPr="001170E4" w:rsidRDefault="00125AB3" w:rsidP="00F72F11">
      <w:pPr>
        <w:spacing w:after="0" w:line="360" w:lineRule="auto"/>
        <w:jc w:val="both"/>
        <w:rPr>
          <w:rFonts w:ascii="Times New Roman" w:eastAsia="Times New Roman" w:hAnsi="Times New Roman" w:cs="Times New Roman"/>
          <w:color w:val="000000"/>
          <w:spacing w:val="6"/>
          <w:lang w:val="en-GB" w:eastAsia="en-GB"/>
        </w:rPr>
      </w:pPr>
    </w:p>
    <w:p w14:paraId="4D051567" w14:textId="77777777" w:rsidR="00BB1EE2" w:rsidRPr="001170E4" w:rsidRDefault="00BB1EE2" w:rsidP="00F72F11">
      <w:pPr>
        <w:spacing w:after="0" w:line="360" w:lineRule="auto"/>
        <w:jc w:val="both"/>
        <w:rPr>
          <w:rFonts w:ascii="Times New Roman" w:eastAsia="Times New Roman" w:hAnsi="Times New Roman" w:cs="Times New Roman"/>
          <w:b/>
          <w:color w:val="000000"/>
          <w:spacing w:val="6"/>
          <w:lang w:val="en-GB" w:eastAsia="en-GB"/>
        </w:rPr>
      </w:pPr>
      <w:r w:rsidRPr="001170E4">
        <w:rPr>
          <w:rFonts w:ascii="Times New Roman" w:eastAsia="Times New Roman" w:hAnsi="Times New Roman" w:cs="Times New Roman"/>
          <w:b/>
          <w:color w:val="000000"/>
          <w:spacing w:val="6"/>
          <w:lang w:val="en-GB" w:eastAsia="en-GB"/>
        </w:rPr>
        <w:lastRenderedPageBreak/>
        <w:t>4.4. Mission</w:t>
      </w:r>
    </w:p>
    <w:p w14:paraId="5712F1C0"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Enhance Agrément South Africa’s position as the internationally acknowledged, objective South African centre for the Assessment and certification of non-standardised construction related products and systems for which there are no SABS</w:t>
      </w:r>
      <w:r w:rsidRPr="001170E4">
        <w:rPr>
          <w:rFonts w:ascii="Times New Roman" w:eastAsia="Times New Roman" w:hAnsi="Times New Roman" w:cs="Times New Roman"/>
          <w:color w:val="000000"/>
          <w:spacing w:val="6"/>
          <w:vertAlign w:val="superscript"/>
          <w:lang w:val="en-GB" w:eastAsia="en-GB"/>
        </w:rPr>
        <w:footnoteReference w:id="64"/>
      </w:r>
      <w:r w:rsidRPr="001170E4">
        <w:rPr>
          <w:rFonts w:ascii="Times New Roman" w:eastAsia="Times New Roman" w:hAnsi="Times New Roman" w:cs="Times New Roman"/>
          <w:color w:val="000000"/>
          <w:spacing w:val="6"/>
          <w:lang w:val="en-GB" w:eastAsia="en-GB"/>
        </w:rPr>
        <w:t xml:space="preserve"> standards.</w:t>
      </w:r>
    </w:p>
    <w:p w14:paraId="0CD12AB8" w14:textId="77777777" w:rsidR="00BB1EE2" w:rsidRPr="001170E4" w:rsidRDefault="00BB1EE2" w:rsidP="00F72F11">
      <w:pPr>
        <w:spacing w:after="0" w:line="360" w:lineRule="auto"/>
        <w:jc w:val="both"/>
        <w:rPr>
          <w:rFonts w:ascii="Times New Roman" w:eastAsia="Times New Roman" w:hAnsi="Times New Roman" w:cs="Times New Roman"/>
          <w:b/>
          <w:color w:val="000000"/>
          <w:spacing w:val="6"/>
          <w:lang w:val="en-GB" w:eastAsia="en-GB"/>
        </w:rPr>
      </w:pPr>
    </w:p>
    <w:p w14:paraId="4F6091C3" w14:textId="77777777" w:rsidR="00BB1EE2" w:rsidRPr="001170E4" w:rsidRDefault="00BB1EE2" w:rsidP="00F72F11">
      <w:pPr>
        <w:spacing w:after="0" w:line="360" w:lineRule="auto"/>
        <w:jc w:val="both"/>
        <w:rPr>
          <w:rFonts w:ascii="Times New Roman" w:eastAsia="Times New Roman" w:hAnsi="Times New Roman" w:cs="Times New Roman"/>
          <w:b/>
          <w:color w:val="000000"/>
          <w:spacing w:val="6"/>
          <w:lang w:val="en-GB" w:eastAsia="en-GB"/>
        </w:rPr>
      </w:pPr>
      <w:r w:rsidRPr="001170E4">
        <w:rPr>
          <w:rFonts w:ascii="Times New Roman" w:eastAsia="Times New Roman" w:hAnsi="Times New Roman" w:cs="Times New Roman"/>
          <w:b/>
          <w:color w:val="000000"/>
          <w:spacing w:val="6"/>
          <w:lang w:val="en-GB" w:eastAsia="en-GB"/>
        </w:rPr>
        <w:t>4.5. Stakeholders</w:t>
      </w:r>
    </w:p>
    <w:p w14:paraId="46C4B32A" w14:textId="77777777" w:rsidR="00BB1EE2" w:rsidRPr="001170E4" w:rsidRDefault="00BB1EE2" w:rsidP="00F72F11">
      <w:pPr>
        <w:snapToGrid w:val="0"/>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Agrément South Africa is a founding member (and internationally affiliated through its membership) of the World Federation of Technical Assessment Organisations (WFTAO), which was established in 1996.</w:t>
      </w:r>
      <w:r w:rsidRPr="001170E4">
        <w:rPr>
          <w:rFonts w:ascii="Times New Roman" w:eastAsia="Times New Roman" w:hAnsi="Times New Roman" w:cs="Times New Roman"/>
          <w:color w:val="000000"/>
          <w:spacing w:val="6"/>
          <w:vertAlign w:val="superscript"/>
          <w:lang w:val="en-GB" w:eastAsia="en-GB"/>
        </w:rPr>
        <w:footnoteReference w:id="65"/>
      </w:r>
      <w:r w:rsidRPr="001170E4">
        <w:rPr>
          <w:rFonts w:ascii="Times New Roman" w:eastAsia="Times New Roman" w:hAnsi="Times New Roman" w:cs="Times New Roman"/>
          <w:color w:val="000000"/>
          <w:spacing w:val="6"/>
          <w:lang w:val="en-GB" w:eastAsia="en-GB"/>
        </w:rPr>
        <w:t xml:space="preserve"> It is a worldwide network for co-ordinating and facilitating the technical assessment of innovation in the construction field.</w:t>
      </w:r>
    </w:p>
    <w:p w14:paraId="031A3D7C" w14:textId="77777777" w:rsidR="00BB1EE2" w:rsidRPr="001170E4" w:rsidRDefault="00BB1EE2" w:rsidP="00F72F11">
      <w:pPr>
        <w:snapToGrid w:val="0"/>
        <w:spacing w:after="0" w:line="360" w:lineRule="auto"/>
        <w:jc w:val="both"/>
        <w:rPr>
          <w:rFonts w:ascii="Times New Roman" w:eastAsia="Times New Roman" w:hAnsi="Times New Roman" w:cs="Times New Roman"/>
          <w:color w:val="000000"/>
          <w:spacing w:val="6"/>
          <w:lang w:val="en-GB" w:eastAsia="en-GB"/>
        </w:rPr>
      </w:pPr>
    </w:p>
    <w:p w14:paraId="20B56EC1" w14:textId="77777777" w:rsidR="00BB1EE2" w:rsidRPr="001170E4" w:rsidRDefault="00BB1EE2" w:rsidP="00F72F11">
      <w:pPr>
        <w:shd w:val="clear" w:color="auto" w:fill="FFFFFF" w:themeFill="background1"/>
        <w:snapToGrid w:val="0"/>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WFTAO's primary objective is to facilitate the transfer of national products to the global marketplace through the acceptance of technical assessments delivered by its members. Assessments delivered by a WFTAO member will:</w:t>
      </w:r>
      <w:r w:rsidRPr="001170E4">
        <w:rPr>
          <w:rFonts w:ascii="Times New Roman" w:eastAsia="Times New Roman" w:hAnsi="Times New Roman" w:cs="Times New Roman"/>
          <w:color w:val="000000"/>
          <w:spacing w:val="6"/>
          <w:vertAlign w:val="superscript"/>
          <w:lang w:val="en-GB" w:eastAsia="en-GB"/>
        </w:rPr>
        <w:footnoteReference w:id="66"/>
      </w:r>
    </w:p>
    <w:p w14:paraId="6B669823" w14:textId="77777777" w:rsidR="00BB1EE2" w:rsidRPr="001170E4" w:rsidRDefault="00BB1EE2" w:rsidP="00F72F11">
      <w:pPr>
        <w:shd w:val="clear" w:color="auto" w:fill="FFFFFF" w:themeFill="background1"/>
        <w:snapToGrid w:val="0"/>
        <w:spacing w:after="0" w:line="360" w:lineRule="auto"/>
        <w:jc w:val="both"/>
        <w:rPr>
          <w:rFonts w:ascii="Times New Roman" w:eastAsia="Times New Roman" w:hAnsi="Times New Roman" w:cs="Times New Roman"/>
          <w:color w:val="000000"/>
          <w:spacing w:val="6"/>
          <w:lang w:val="en-GB" w:eastAsia="en-GB"/>
        </w:rPr>
      </w:pPr>
    </w:p>
    <w:p w14:paraId="59E76622" w14:textId="77777777" w:rsidR="00BB1EE2" w:rsidRPr="001170E4" w:rsidRDefault="00BB1EE2" w:rsidP="00B41D07">
      <w:pPr>
        <w:numPr>
          <w:ilvl w:val="0"/>
          <w:numId w:val="36"/>
        </w:numPr>
        <w:shd w:val="clear" w:color="auto" w:fill="FFFFFF" w:themeFill="background1"/>
        <w:snapToGrid w:val="0"/>
        <w:spacing w:after="0" w:line="360" w:lineRule="auto"/>
        <w:ind w:left="709" w:hanging="709"/>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“Provide a means of demonstrating the fitness for purpose of the product with building regulations.</w:t>
      </w:r>
    </w:p>
    <w:p w14:paraId="1D460417" w14:textId="77777777" w:rsidR="00BB1EE2" w:rsidRPr="001170E4" w:rsidRDefault="00BB1EE2" w:rsidP="00B41D07">
      <w:pPr>
        <w:numPr>
          <w:ilvl w:val="0"/>
          <w:numId w:val="36"/>
        </w:numPr>
        <w:shd w:val="clear" w:color="auto" w:fill="FFFFFF" w:themeFill="background1"/>
        <w:snapToGrid w:val="0"/>
        <w:spacing w:after="0" w:line="360" w:lineRule="auto"/>
        <w:ind w:firstLine="0"/>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Be more readily accepted by building control personnel.</w:t>
      </w:r>
    </w:p>
    <w:p w14:paraId="2217A2C0" w14:textId="77777777" w:rsidR="00BB1EE2" w:rsidRPr="001170E4" w:rsidRDefault="00BB1EE2" w:rsidP="00B41D07">
      <w:pPr>
        <w:numPr>
          <w:ilvl w:val="0"/>
          <w:numId w:val="36"/>
        </w:numPr>
        <w:shd w:val="clear" w:color="auto" w:fill="FFFFFF" w:themeFill="background1"/>
        <w:snapToGrid w:val="0"/>
        <w:spacing w:after="0" w:line="360" w:lineRule="auto"/>
        <w:ind w:left="709" w:hanging="709"/>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Show that the holders manufacturing and Quality Assurance (QA) systems meet high standards.</w:t>
      </w:r>
    </w:p>
    <w:p w14:paraId="7FCB62A8" w14:textId="77777777" w:rsidR="00BB1EE2" w:rsidRPr="001170E4" w:rsidRDefault="00BB1EE2" w:rsidP="00B41D07">
      <w:pPr>
        <w:numPr>
          <w:ilvl w:val="0"/>
          <w:numId w:val="36"/>
        </w:numPr>
        <w:shd w:val="clear" w:color="auto" w:fill="FFFFFF" w:themeFill="background1"/>
        <w:snapToGrid w:val="0"/>
        <w:spacing w:after="0" w:line="360" w:lineRule="auto"/>
        <w:ind w:firstLine="0"/>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Save valuable selling time, by using acceptance of new products in a conservative market.</w:t>
      </w:r>
    </w:p>
    <w:p w14:paraId="3894CF1A" w14:textId="77777777" w:rsidR="00BB1EE2" w:rsidRPr="001170E4" w:rsidRDefault="00BB1EE2" w:rsidP="00B41D07">
      <w:pPr>
        <w:numPr>
          <w:ilvl w:val="0"/>
          <w:numId w:val="36"/>
        </w:numPr>
        <w:shd w:val="clear" w:color="auto" w:fill="FFFFFF" w:themeFill="background1"/>
        <w:snapToGrid w:val="0"/>
        <w:spacing w:after="0" w:line="360" w:lineRule="auto"/>
        <w:ind w:left="709" w:hanging="709"/>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 xml:space="preserve">Provide a good opportunity for media coverage for the holders to use the distinctive WFTAO logo on advertisements.” </w:t>
      </w:r>
    </w:p>
    <w:p w14:paraId="3FD9ECE4"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2661B581" w14:textId="77777777" w:rsidR="00BB1EE2" w:rsidRPr="001170E4" w:rsidRDefault="00BB1EE2" w:rsidP="00F72F11">
      <w:pPr>
        <w:snapToGrid w:val="0"/>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In addition to its ties with the WFTAO, it maintains close working relationships with the following government departments, entities and agencies:</w:t>
      </w:r>
      <w:r w:rsidRPr="001170E4">
        <w:rPr>
          <w:rFonts w:ascii="Times New Roman" w:eastAsia="Times New Roman" w:hAnsi="Times New Roman" w:cs="Times New Roman"/>
          <w:color w:val="000000"/>
          <w:spacing w:val="6"/>
          <w:vertAlign w:val="superscript"/>
          <w:lang w:val="en-GB" w:eastAsia="en-GB"/>
        </w:rPr>
        <w:footnoteReference w:id="67"/>
      </w:r>
    </w:p>
    <w:p w14:paraId="0D7CE511" w14:textId="77777777" w:rsidR="00BB1EE2" w:rsidRPr="001170E4" w:rsidRDefault="00BB1EE2" w:rsidP="00F72F11">
      <w:pPr>
        <w:snapToGrid w:val="0"/>
        <w:spacing w:after="0" w:line="360" w:lineRule="auto"/>
        <w:jc w:val="both"/>
        <w:rPr>
          <w:rFonts w:ascii="Times New Roman" w:eastAsia="Times New Roman" w:hAnsi="Times New Roman" w:cs="Times New Roman"/>
          <w:color w:val="000000"/>
          <w:spacing w:val="6"/>
          <w:lang w:val="en-GB" w:eastAsia="en-GB"/>
        </w:rPr>
      </w:pPr>
    </w:p>
    <w:p w14:paraId="0B6C706E"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lastRenderedPageBreak/>
        <w:t>Department of Trade and Industry.</w:t>
      </w:r>
    </w:p>
    <w:p w14:paraId="5A21E8BA"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Construction Industry Development Board (</w:t>
      </w:r>
      <w:r w:rsidR="005862A7">
        <w:rPr>
          <w:rFonts w:ascii="Times New Roman" w:eastAsia="Times New Roman" w:hAnsi="Times New Roman" w:cs="Times New Roman"/>
          <w:color w:val="000000"/>
          <w:spacing w:val="6"/>
          <w:lang w:val="en-GB" w:eastAsia="en-GB"/>
        </w:rPr>
        <w:t>CIDB</w:t>
      </w:r>
      <w:r w:rsidRPr="001170E4">
        <w:rPr>
          <w:rFonts w:ascii="Times New Roman" w:eastAsia="Times New Roman" w:hAnsi="Times New Roman" w:cs="Times New Roman"/>
          <w:color w:val="000000"/>
          <w:spacing w:val="6"/>
          <w:lang w:val="en-GB" w:eastAsia="en-GB"/>
        </w:rPr>
        <w:t xml:space="preserve">). </w:t>
      </w:r>
    </w:p>
    <w:p w14:paraId="61EA0D52"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Council for the Built Environment (CBE).</w:t>
      </w:r>
    </w:p>
    <w:p w14:paraId="6B0DF640"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Independent Development Trust (IDT).</w:t>
      </w:r>
    </w:p>
    <w:p w14:paraId="11ACF1EF"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International Council for Building, Research Studies and Documentation (CID).</w:t>
      </w:r>
    </w:p>
    <w:p w14:paraId="32CA1AE4"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National, provincial, and local government departments (for example the Department of Human Settlements).</w:t>
      </w:r>
    </w:p>
    <w:p w14:paraId="0E767818"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South African Bureau of Standards (SABS).</w:t>
      </w:r>
    </w:p>
    <w:p w14:paraId="71E9ED55"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South African National Roads Agency Limited (SANRAL).</w:t>
      </w:r>
    </w:p>
    <w:p w14:paraId="3642D40F"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National Regulator for Compulsory Standards.</w:t>
      </w:r>
    </w:p>
    <w:p w14:paraId="3CCE18CB"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National Home Builders' Registration Council (NHBRC).</w:t>
      </w:r>
    </w:p>
    <w:p w14:paraId="4999F950"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Technology and Innovation Agency.</w:t>
      </w:r>
    </w:p>
    <w:p w14:paraId="32FE5C89"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South African Revenue Services (SARS).</w:t>
      </w:r>
    </w:p>
    <w:p w14:paraId="6330D1E1" w14:textId="77777777" w:rsidR="00BB1EE2" w:rsidRPr="001170E4" w:rsidRDefault="00BB1EE2" w:rsidP="00B41D07">
      <w:pPr>
        <w:numPr>
          <w:ilvl w:val="0"/>
          <w:numId w:val="37"/>
        </w:numPr>
        <w:tabs>
          <w:tab w:val="left" w:pos="360"/>
          <w:tab w:val="left" w:pos="851"/>
        </w:tabs>
        <w:snapToGrid w:val="0"/>
        <w:spacing w:after="0" w:line="360" w:lineRule="auto"/>
        <w:ind w:left="851" w:hanging="425"/>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National Treasury.</w:t>
      </w:r>
    </w:p>
    <w:p w14:paraId="62F083F8" w14:textId="77777777" w:rsidR="00BB1EE2" w:rsidRPr="001170E4" w:rsidRDefault="00BB1EE2" w:rsidP="00F72F11">
      <w:pPr>
        <w:spacing w:after="0" w:line="360" w:lineRule="auto"/>
        <w:jc w:val="both"/>
        <w:rPr>
          <w:rFonts w:ascii="Times New Roman" w:eastAsia="Times New Roman" w:hAnsi="Times New Roman" w:cs="Times New Roman"/>
          <w:b/>
          <w:color w:val="000000"/>
          <w:spacing w:val="6"/>
          <w:lang w:val="en-GB" w:eastAsia="en-GB"/>
        </w:rPr>
      </w:pPr>
    </w:p>
    <w:p w14:paraId="4003BC20" w14:textId="77777777" w:rsidR="00BB1EE2" w:rsidRPr="001170E4" w:rsidRDefault="00BB1EE2" w:rsidP="00F72F11">
      <w:pPr>
        <w:spacing w:after="0" w:line="360" w:lineRule="auto"/>
        <w:jc w:val="both"/>
        <w:rPr>
          <w:rFonts w:ascii="Times New Roman" w:eastAsia="Times New Roman" w:hAnsi="Times New Roman" w:cs="Times New Roman"/>
          <w:b/>
          <w:color w:val="000000"/>
          <w:spacing w:val="6"/>
          <w:lang w:val="en-GB" w:eastAsia="en-GB"/>
        </w:rPr>
      </w:pPr>
      <w:r w:rsidRPr="001170E4">
        <w:rPr>
          <w:rFonts w:ascii="Times New Roman" w:eastAsia="Times New Roman" w:hAnsi="Times New Roman" w:cs="Times New Roman"/>
          <w:b/>
          <w:color w:val="000000"/>
          <w:spacing w:val="6"/>
          <w:lang w:val="en-GB" w:eastAsia="en-GB"/>
        </w:rPr>
        <w:t>4.6. Budget</w:t>
      </w:r>
      <w:r w:rsidR="004D5EBA">
        <w:rPr>
          <w:rFonts w:ascii="Times New Roman" w:eastAsia="Times New Roman" w:hAnsi="Times New Roman" w:cs="Times New Roman"/>
          <w:b/>
          <w:color w:val="000000"/>
          <w:spacing w:val="6"/>
          <w:lang w:val="en-GB" w:eastAsia="en-GB"/>
        </w:rPr>
        <w:t>ary allocations to programmes</w:t>
      </w:r>
      <w:r w:rsidRPr="001170E4">
        <w:rPr>
          <w:rFonts w:ascii="Times New Roman" w:eastAsia="Times New Roman" w:hAnsi="Times New Roman" w:cs="Times New Roman"/>
          <w:color w:val="000000"/>
          <w:spacing w:val="6"/>
          <w:vertAlign w:val="superscript"/>
          <w:lang w:val="en-GB" w:eastAsia="en-GB"/>
        </w:rPr>
        <w:footnoteReference w:id="68"/>
      </w:r>
    </w:p>
    <w:p w14:paraId="6A54FB34"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 xml:space="preserve">The creation of Agrément South Africa as a separate legal entity means that the organisation requires more funding to fill vacant positions that were fulfilled by the CSIR (as noted above). </w:t>
      </w:r>
    </w:p>
    <w:p w14:paraId="5935E317"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0355C419" w14:textId="77777777" w:rsidR="0070305B" w:rsidRDefault="0070305B" w:rsidP="00F72F11">
      <w:pPr>
        <w:spacing w:after="0" w:line="360" w:lineRule="auto"/>
        <w:jc w:val="both"/>
        <w:rPr>
          <w:rFonts w:ascii="Times New Roman" w:eastAsia="Times New Roman" w:hAnsi="Times New Roman" w:cs="Times New Roman"/>
          <w:color w:val="000000"/>
          <w:spacing w:val="6"/>
          <w:lang w:val="en-GB" w:eastAsia="en-GB"/>
        </w:rPr>
      </w:pPr>
      <w:r w:rsidRPr="0070305B">
        <w:rPr>
          <w:rFonts w:ascii="Times New Roman" w:eastAsia="Times New Roman" w:hAnsi="Times New Roman" w:cs="Times New Roman"/>
          <w:noProof/>
          <w:color w:val="000000"/>
          <w:spacing w:val="6"/>
          <w:lang w:eastAsia="en-ZA"/>
        </w:rPr>
        <w:lastRenderedPageBreak/>
        <w:drawing>
          <wp:inline distT="0" distB="0" distL="0" distR="0" wp14:anchorId="3C5B601F" wp14:editId="188365B2">
            <wp:extent cx="5731510" cy="4035425"/>
            <wp:effectExtent l="0" t="0" r="254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731510" cy="4035425"/>
                    </a:xfrm>
                    <a:prstGeom prst="rect">
                      <a:avLst/>
                    </a:prstGeom>
                  </pic:spPr>
                </pic:pic>
              </a:graphicData>
            </a:graphic>
          </wp:inline>
        </w:drawing>
      </w:r>
    </w:p>
    <w:p w14:paraId="0C50A54A" w14:textId="77777777" w:rsidR="0070305B" w:rsidRDefault="0070305B" w:rsidP="00F72F11">
      <w:pPr>
        <w:spacing w:after="0" w:line="360" w:lineRule="auto"/>
        <w:jc w:val="both"/>
        <w:rPr>
          <w:rFonts w:ascii="Times New Roman" w:eastAsia="Times New Roman" w:hAnsi="Times New Roman" w:cs="Times New Roman"/>
          <w:color w:val="000000"/>
          <w:spacing w:val="6"/>
          <w:lang w:val="en-GB" w:eastAsia="en-GB"/>
        </w:rPr>
      </w:pPr>
    </w:p>
    <w:p w14:paraId="0CE1AFD3"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Agrément South Africa has a total allocation of R</w:t>
      </w:r>
      <w:r w:rsidR="00897BAB">
        <w:rPr>
          <w:rFonts w:ascii="Times New Roman" w:eastAsia="Times New Roman" w:hAnsi="Times New Roman" w:cs="Times New Roman"/>
          <w:color w:val="000000"/>
          <w:spacing w:val="6"/>
          <w:lang w:val="en-GB" w:eastAsia="en-GB"/>
        </w:rPr>
        <w:t>34,</w:t>
      </w:r>
      <w:r w:rsidR="0070305B">
        <w:rPr>
          <w:rFonts w:ascii="Times New Roman" w:eastAsia="Times New Roman" w:hAnsi="Times New Roman" w:cs="Times New Roman"/>
          <w:color w:val="000000"/>
          <w:spacing w:val="6"/>
          <w:lang w:val="en-GB" w:eastAsia="en-GB"/>
        </w:rPr>
        <w:t>8</w:t>
      </w:r>
      <w:r w:rsidRPr="001170E4">
        <w:rPr>
          <w:rFonts w:ascii="Times New Roman" w:eastAsia="Times New Roman" w:hAnsi="Times New Roman" w:cs="Times New Roman"/>
          <w:color w:val="000000"/>
          <w:spacing w:val="6"/>
          <w:lang w:val="en-GB" w:eastAsia="en-GB"/>
        </w:rPr>
        <w:t xml:space="preserve"> million for the 201</w:t>
      </w:r>
      <w:r w:rsidR="0070305B">
        <w:rPr>
          <w:rFonts w:ascii="Times New Roman" w:eastAsia="Times New Roman" w:hAnsi="Times New Roman" w:cs="Times New Roman"/>
          <w:color w:val="000000"/>
          <w:spacing w:val="6"/>
          <w:lang w:val="en-GB" w:eastAsia="en-GB"/>
        </w:rPr>
        <w:t>8</w:t>
      </w:r>
      <w:r w:rsidRPr="001170E4">
        <w:rPr>
          <w:rFonts w:ascii="Times New Roman" w:eastAsia="Times New Roman" w:hAnsi="Times New Roman" w:cs="Times New Roman"/>
          <w:color w:val="000000"/>
          <w:spacing w:val="6"/>
          <w:lang w:val="en-GB" w:eastAsia="en-GB"/>
        </w:rPr>
        <w:t>/1</w:t>
      </w:r>
      <w:r w:rsidR="0070305B">
        <w:rPr>
          <w:rFonts w:ascii="Times New Roman" w:eastAsia="Times New Roman" w:hAnsi="Times New Roman" w:cs="Times New Roman"/>
          <w:color w:val="000000"/>
          <w:spacing w:val="6"/>
          <w:lang w:val="en-GB" w:eastAsia="en-GB"/>
        </w:rPr>
        <w:t>9</w:t>
      </w:r>
      <w:r w:rsidRPr="001170E4">
        <w:rPr>
          <w:rFonts w:ascii="Times New Roman" w:eastAsia="Times New Roman" w:hAnsi="Times New Roman" w:cs="Times New Roman"/>
          <w:color w:val="000000"/>
          <w:spacing w:val="6"/>
          <w:lang w:val="en-GB" w:eastAsia="en-GB"/>
        </w:rPr>
        <w:t xml:space="preserve"> financial yea</w:t>
      </w:r>
      <w:r w:rsidR="0070305B">
        <w:rPr>
          <w:rFonts w:ascii="Times New Roman" w:eastAsia="Times New Roman" w:hAnsi="Times New Roman" w:cs="Times New Roman"/>
          <w:color w:val="000000"/>
          <w:spacing w:val="6"/>
          <w:lang w:val="en-GB" w:eastAsia="en-GB"/>
        </w:rPr>
        <w:t>r, which is an increase of R6</w:t>
      </w:r>
      <w:r w:rsidR="00897BAB">
        <w:rPr>
          <w:rFonts w:ascii="Times New Roman" w:eastAsia="Times New Roman" w:hAnsi="Times New Roman" w:cs="Times New Roman"/>
          <w:color w:val="000000"/>
          <w:spacing w:val="6"/>
          <w:lang w:val="en-GB" w:eastAsia="en-GB"/>
        </w:rPr>
        <w:t>,</w:t>
      </w:r>
      <w:r w:rsidR="0070305B">
        <w:rPr>
          <w:rFonts w:ascii="Times New Roman" w:eastAsia="Times New Roman" w:hAnsi="Times New Roman" w:cs="Times New Roman"/>
          <w:color w:val="000000"/>
          <w:spacing w:val="6"/>
          <w:lang w:val="en-GB" w:eastAsia="en-GB"/>
        </w:rPr>
        <w:t>4</w:t>
      </w:r>
      <w:r w:rsidRPr="001170E4">
        <w:rPr>
          <w:rFonts w:ascii="Times New Roman" w:eastAsia="Times New Roman" w:hAnsi="Times New Roman" w:cs="Times New Roman"/>
          <w:color w:val="000000"/>
          <w:spacing w:val="6"/>
          <w:lang w:val="en-GB" w:eastAsia="en-GB"/>
        </w:rPr>
        <w:t xml:space="preserve"> million from the R</w:t>
      </w:r>
      <w:r w:rsidR="00F43FE8">
        <w:rPr>
          <w:rFonts w:ascii="Times New Roman" w:eastAsia="Times New Roman" w:hAnsi="Times New Roman" w:cs="Times New Roman"/>
          <w:color w:val="000000"/>
          <w:spacing w:val="6"/>
          <w:lang w:val="en-GB" w:eastAsia="en-GB"/>
        </w:rPr>
        <w:t xml:space="preserve"> 28</w:t>
      </w:r>
      <w:r w:rsidR="00897BAB">
        <w:rPr>
          <w:rFonts w:ascii="Times New Roman" w:eastAsia="Times New Roman" w:hAnsi="Times New Roman" w:cs="Times New Roman"/>
          <w:color w:val="000000"/>
          <w:spacing w:val="6"/>
          <w:lang w:val="en-GB" w:eastAsia="en-GB"/>
        </w:rPr>
        <w:t>,</w:t>
      </w:r>
      <w:r w:rsidR="0070305B">
        <w:rPr>
          <w:rFonts w:ascii="Times New Roman" w:eastAsia="Times New Roman" w:hAnsi="Times New Roman" w:cs="Times New Roman"/>
          <w:color w:val="000000"/>
          <w:spacing w:val="6"/>
          <w:lang w:val="en-GB" w:eastAsia="en-GB"/>
        </w:rPr>
        <w:t>4</w:t>
      </w:r>
      <w:r w:rsidRPr="001170E4">
        <w:rPr>
          <w:rFonts w:ascii="Times New Roman" w:eastAsia="Times New Roman" w:hAnsi="Times New Roman" w:cs="Times New Roman"/>
          <w:color w:val="000000"/>
          <w:spacing w:val="6"/>
          <w:lang w:val="en-GB" w:eastAsia="en-GB"/>
        </w:rPr>
        <w:t xml:space="preserve"> million </w:t>
      </w:r>
      <w:r w:rsidR="0070305B">
        <w:rPr>
          <w:rFonts w:ascii="Times New Roman" w:eastAsia="Times New Roman" w:hAnsi="Times New Roman" w:cs="Times New Roman"/>
          <w:color w:val="000000"/>
          <w:spacing w:val="6"/>
          <w:lang w:val="en-GB" w:eastAsia="en-GB"/>
        </w:rPr>
        <w:t>allocation of</w:t>
      </w:r>
      <w:r w:rsidRPr="001170E4">
        <w:rPr>
          <w:rFonts w:ascii="Times New Roman" w:eastAsia="Times New Roman" w:hAnsi="Times New Roman" w:cs="Times New Roman"/>
          <w:color w:val="000000"/>
          <w:spacing w:val="6"/>
          <w:lang w:val="en-GB" w:eastAsia="en-GB"/>
        </w:rPr>
        <w:t xml:space="preserve"> 201</w:t>
      </w:r>
      <w:r w:rsidR="0070305B">
        <w:rPr>
          <w:rFonts w:ascii="Times New Roman" w:eastAsia="Times New Roman" w:hAnsi="Times New Roman" w:cs="Times New Roman"/>
          <w:color w:val="000000"/>
          <w:spacing w:val="6"/>
          <w:lang w:val="en-GB" w:eastAsia="en-GB"/>
        </w:rPr>
        <w:t>7/18</w:t>
      </w:r>
      <w:r w:rsidRPr="001170E4">
        <w:rPr>
          <w:rFonts w:ascii="Times New Roman" w:eastAsia="Times New Roman" w:hAnsi="Times New Roman" w:cs="Times New Roman"/>
          <w:color w:val="000000"/>
          <w:spacing w:val="6"/>
          <w:lang w:val="en-GB" w:eastAsia="en-GB"/>
        </w:rPr>
        <w:t>. The total budget consists of the following:</w:t>
      </w:r>
    </w:p>
    <w:p w14:paraId="4922DE02"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59ABE0F2" w14:textId="77777777" w:rsidR="00BB1EE2" w:rsidRPr="001170E4" w:rsidRDefault="0070305B" w:rsidP="00B41D07">
      <w:pPr>
        <w:numPr>
          <w:ilvl w:val="0"/>
          <w:numId w:val="32"/>
        </w:numPr>
        <w:spacing w:after="0" w:line="360" w:lineRule="auto"/>
        <w:ind w:left="851" w:hanging="425"/>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R29</w:t>
      </w:r>
      <w:r w:rsidR="00897BAB">
        <w:rPr>
          <w:rFonts w:ascii="Times New Roman" w:eastAsia="Times New Roman" w:hAnsi="Times New Roman" w:cs="Times New Roman"/>
          <w:color w:val="000000"/>
          <w:spacing w:val="6"/>
          <w:lang w:val="en-GB" w:eastAsia="en-GB"/>
        </w:rPr>
        <w:t>,</w:t>
      </w:r>
      <w:r>
        <w:rPr>
          <w:rFonts w:ascii="Times New Roman" w:eastAsia="Times New Roman" w:hAnsi="Times New Roman" w:cs="Times New Roman"/>
          <w:color w:val="000000"/>
          <w:spacing w:val="6"/>
          <w:lang w:val="en-GB" w:eastAsia="en-GB"/>
        </w:rPr>
        <w:t>9</w:t>
      </w:r>
      <w:r w:rsidR="00BB1EE2" w:rsidRPr="001170E4">
        <w:rPr>
          <w:rFonts w:ascii="Times New Roman" w:eastAsia="Times New Roman" w:hAnsi="Times New Roman" w:cs="Times New Roman"/>
          <w:color w:val="000000"/>
          <w:spacing w:val="6"/>
          <w:lang w:val="en-GB" w:eastAsia="en-GB"/>
        </w:rPr>
        <w:t xml:space="preserve"> million – External Income</w:t>
      </w:r>
      <w:r w:rsidR="00F43FE8">
        <w:rPr>
          <w:rFonts w:ascii="Times New Roman" w:eastAsia="Times New Roman" w:hAnsi="Times New Roman" w:cs="Times New Roman"/>
          <w:color w:val="000000"/>
          <w:spacing w:val="6"/>
          <w:lang w:val="en-GB" w:eastAsia="en-GB"/>
        </w:rPr>
        <w:t>.</w:t>
      </w:r>
      <w:r w:rsidR="00BB1EE2" w:rsidRPr="001170E4">
        <w:rPr>
          <w:rFonts w:ascii="Times New Roman" w:eastAsia="Times New Roman" w:hAnsi="Times New Roman" w:cs="Times New Roman"/>
          <w:color w:val="000000"/>
          <w:spacing w:val="6"/>
          <w:lang w:val="en-GB" w:eastAsia="en-GB"/>
        </w:rPr>
        <w:t xml:space="preserve"> </w:t>
      </w:r>
    </w:p>
    <w:p w14:paraId="31E1852C" w14:textId="77777777" w:rsidR="00BB1EE2" w:rsidRPr="001170E4" w:rsidRDefault="0070305B" w:rsidP="00B41D07">
      <w:pPr>
        <w:numPr>
          <w:ilvl w:val="0"/>
          <w:numId w:val="32"/>
        </w:numPr>
        <w:spacing w:after="0" w:line="360" w:lineRule="auto"/>
        <w:ind w:left="851" w:hanging="425"/>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R4</w:t>
      </w:r>
      <w:r w:rsidR="00897BAB">
        <w:rPr>
          <w:rFonts w:ascii="Times New Roman" w:eastAsia="Times New Roman" w:hAnsi="Times New Roman" w:cs="Times New Roman"/>
          <w:color w:val="000000"/>
          <w:spacing w:val="6"/>
          <w:lang w:val="en-GB" w:eastAsia="en-GB"/>
        </w:rPr>
        <w:t>,</w:t>
      </w:r>
      <w:r>
        <w:rPr>
          <w:rFonts w:ascii="Times New Roman" w:eastAsia="Times New Roman" w:hAnsi="Times New Roman" w:cs="Times New Roman"/>
          <w:color w:val="000000"/>
          <w:spacing w:val="6"/>
          <w:lang w:val="en-GB" w:eastAsia="en-GB"/>
        </w:rPr>
        <w:t>8</w:t>
      </w:r>
      <w:r w:rsidR="00BB1EE2" w:rsidRPr="001170E4">
        <w:rPr>
          <w:rFonts w:ascii="Times New Roman" w:eastAsia="Times New Roman" w:hAnsi="Times New Roman" w:cs="Times New Roman"/>
          <w:color w:val="000000"/>
          <w:spacing w:val="6"/>
          <w:lang w:val="en-GB" w:eastAsia="en-GB"/>
        </w:rPr>
        <w:t xml:space="preserve"> million – Other Income</w:t>
      </w:r>
      <w:r w:rsidR="00F43FE8">
        <w:rPr>
          <w:rFonts w:ascii="Times New Roman" w:eastAsia="Times New Roman" w:hAnsi="Times New Roman" w:cs="Times New Roman"/>
          <w:color w:val="000000"/>
          <w:spacing w:val="6"/>
          <w:lang w:val="en-GB" w:eastAsia="en-GB"/>
        </w:rPr>
        <w:t>.</w:t>
      </w:r>
      <w:r w:rsidR="00BB1EE2" w:rsidRPr="001170E4">
        <w:rPr>
          <w:rFonts w:ascii="Times New Roman" w:eastAsia="Times New Roman" w:hAnsi="Times New Roman" w:cs="Times New Roman"/>
          <w:color w:val="000000"/>
          <w:spacing w:val="6"/>
          <w:lang w:val="en-GB" w:eastAsia="en-GB"/>
        </w:rPr>
        <w:t xml:space="preserve"> </w:t>
      </w:r>
    </w:p>
    <w:p w14:paraId="33BEB9FC"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36F1B996"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Apart from the costs for Human Resources (to be discussed below), the Entity reports on the following expenditure:</w:t>
      </w:r>
    </w:p>
    <w:p w14:paraId="72697C71"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53D7E9CB" w14:textId="77777777" w:rsidR="007078F8" w:rsidRPr="007078F8" w:rsidRDefault="00BB1EE2" w:rsidP="00B41D07">
      <w:pPr>
        <w:pStyle w:val="ListParagraph"/>
        <w:numPr>
          <w:ilvl w:val="0"/>
          <w:numId w:val="51"/>
        </w:numPr>
        <w:spacing w:line="360" w:lineRule="auto"/>
        <w:rPr>
          <w:rFonts w:ascii="Times New Roman" w:eastAsia="Times New Roman" w:hAnsi="Times New Roman"/>
          <w:color w:val="000000"/>
          <w:spacing w:val="6"/>
          <w:lang w:eastAsia="en-GB"/>
        </w:rPr>
      </w:pPr>
      <w:r w:rsidRPr="007078F8">
        <w:rPr>
          <w:rFonts w:ascii="Times New Roman" w:eastAsia="Times New Roman" w:hAnsi="Times New Roman"/>
          <w:color w:val="000000"/>
          <w:spacing w:val="6"/>
          <w:lang w:eastAsia="en-GB"/>
        </w:rPr>
        <w:t>R1</w:t>
      </w:r>
      <w:r w:rsidR="0070305B" w:rsidRPr="007078F8">
        <w:rPr>
          <w:rFonts w:ascii="Times New Roman" w:eastAsia="Times New Roman" w:hAnsi="Times New Roman"/>
          <w:color w:val="000000"/>
          <w:spacing w:val="6"/>
          <w:lang w:eastAsia="en-GB"/>
        </w:rPr>
        <w:t>5</w:t>
      </w:r>
      <w:r w:rsidRPr="007078F8">
        <w:rPr>
          <w:rFonts w:ascii="Times New Roman" w:eastAsia="Times New Roman" w:hAnsi="Times New Roman"/>
          <w:color w:val="000000"/>
          <w:spacing w:val="6"/>
          <w:lang w:eastAsia="en-GB"/>
        </w:rPr>
        <w:t xml:space="preserve"> million – Running Costs,</w:t>
      </w:r>
      <w:r w:rsidR="007078F8" w:rsidRPr="007078F8">
        <w:rPr>
          <w:rFonts w:ascii="Times New Roman" w:eastAsia="Times New Roman" w:hAnsi="Times New Roman"/>
          <w:color w:val="000000"/>
          <w:spacing w:val="6"/>
          <w:lang w:eastAsia="en-GB"/>
        </w:rPr>
        <w:t xml:space="preserve"> consisting of:</w:t>
      </w:r>
    </w:p>
    <w:p w14:paraId="1D30FC92" w14:textId="77777777" w:rsidR="00BB1EE2" w:rsidRPr="00D95E75" w:rsidRDefault="007078F8" w:rsidP="00B41D07">
      <w:pPr>
        <w:numPr>
          <w:ilvl w:val="1"/>
          <w:numId w:val="33"/>
        </w:numPr>
        <w:spacing w:after="0" w:line="360" w:lineRule="auto"/>
        <w:ind w:left="1134" w:hanging="283"/>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 xml:space="preserve">R5,5 million </w:t>
      </w:r>
      <w:r w:rsidR="00BB1EE2" w:rsidRPr="00D95E75">
        <w:rPr>
          <w:rFonts w:ascii="Times New Roman" w:eastAsia="Times New Roman" w:hAnsi="Times New Roman" w:cs="Times New Roman"/>
          <w:color w:val="000000"/>
          <w:spacing w:val="6"/>
          <w:lang w:val="en-GB" w:eastAsia="en-GB"/>
        </w:rPr>
        <w:t>– Other Technical Assessments Costs.</w:t>
      </w:r>
    </w:p>
    <w:p w14:paraId="7B562F1F" w14:textId="77777777" w:rsidR="00BB1EE2" w:rsidRPr="001170E4" w:rsidRDefault="00BB1EE2" w:rsidP="00B41D07">
      <w:pPr>
        <w:numPr>
          <w:ilvl w:val="1"/>
          <w:numId w:val="33"/>
        </w:numPr>
        <w:spacing w:after="0" w:line="360" w:lineRule="auto"/>
        <w:ind w:left="1134" w:hanging="283"/>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R</w:t>
      </w:r>
      <w:r w:rsidR="00F43FE8">
        <w:rPr>
          <w:rFonts w:ascii="Times New Roman" w:eastAsia="Times New Roman" w:hAnsi="Times New Roman" w:cs="Times New Roman"/>
          <w:color w:val="000000"/>
          <w:spacing w:val="6"/>
          <w:lang w:val="en-GB" w:eastAsia="en-GB"/>
        </w:rPr>
        <w:t>3</w:t>
      </w:r>
      <w:r w:rsidR="00897BAB">
        <w:rPr>
          <w:rFonts w:ascii="Times New Roman" w:eastAsia="Times New Roman" w:hAnsi="Times New Roman" w:cs="Times New Roman"/>
          <w:color w:val="000000"/>
          <w:spacing w:val="6"/>
          <w:lang w:val="en-GB" w:eastAsia="en-GB"/>
        </w:rPr>
        <w:t>,</w:t>
      </w:r>
      <w:r w:rsidR="00F43FE8">
        <w:rPr>
          <w:rFonts w:ascii="Times New Roman" w:eastAsia="Times New Roman" w:hAnsi="Times New Roman" w:cs="Times New Roman"/>
          <w:color w:val="000000"/>
          <w:spacing w:val="6"/>
          <w:lang w:val="en-GB" w:eastAsia="en-GB"/>
        </w:rPr>
        <w:t>5</w:t>
      </w:r>
      <w:r w:rsidRPr="001170E4">
        <w:rPr>
          <w:rFonts w:ascii="Times New Roman" w:eastAsia="Times New Roman" w:hAnsi="Times New Roman" w:cs="Times New Roman"/>
          <w:color w:val="000000"/>
          <w:spacing w:val="6"/>
          <w:lang w:val="en-GB" w:eastAsia="en-GB"/>
        </w:rPr>
        <w:t> </w:t>
      </w:r>
      <w:r w:rsidR="00F43FE8">
        <w:rPr>
          <w:rFonts w:ascii="Times New Roman" w:eastAsia="Times New Roman" w:hAnsi="Times New Roman" w:cs="Times New Roman"/>
          <w:color w:val="000000"/>
          <w:spacing w:val="6"/>
          <w:lang w:val="en-GB" w:eastAsia="en-GB"/>
        </w:rPr>
        <w:t>million – Quality Management</w:t>
      </w:r>
      <w:r w:rsidRPr="001170E4">
        <w:rPr>
          <w:rFonts w:ascii="Times New Roman" w:eastAsia="Times New Roman" w:hAnsi="Times New Roman" w:cs="Times New Roman"/>
          <w:color w:val="000000"/>
          <w:spacing w:val="6"/>
          <w:lang w:val="en-GB" w:eastAsia="en-GB"/>
        </w:rPr>
        <w:t>.</w:t>
      </w:r>
    </w:p>
    <w:p w14:paraId="345AC068" w14:textId="77777777" w:rsidR="00BB1EE2" w:rsidRPr="001170E4" w:rsidRDefault="00BB1EE2" w:rsidP="00B41D07">
      <w:pPr>
        <w:numPr>
          <w:ilvl w:val="1"/>
          <w:numId w:val="33"/>
        </w:numPr>
        <w:spacing w:after="0" w:line="360" w:lineRule="auto"/>
        <w:ind w:left="1134" w:hanging="283"/>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R</w:t>
      </w:r>
      <w:r w:rsidR="00552E61">
        <w:rPr>
          <w:rFonts w:ascii="Times New Roman" w:eastAsia="Times New Roman" w:hAnsi="Times New Roman" w:cs="Times New Roman"/>
          <w:color w:val="000000"/>
          <w:spacing w:val="6"/>
          <w:lang w:val="en-GB" w:eastAsia="en-GB"/>
        </w:rPr>
        <w:t>803</w:t>
      </w:r>
      <w:r w:rsidRPr="001170E4">
        <w:rPr>
          <w:rFonts w:ascii="Times New Roman" w:eastAsia="Times New Roman" w:hAnsi="Times New Roman" w:cs="Times New Roman"/>
          <w:color w:val="000000"/>
          <w:spacing w:val="6"/>
          <w:lang w:val="en-GB" w:eastAsia="en-GB"/>
        </w:rPr>
        <w:t> 000 – Building, E</w:t>
      </w:r>
      <w:r w:rsidR="00552E61">
        <w:rPr>
          <w:rFonts w:ascii="Times New Roman" w:eastAsia="Times New Roman" w:hAnsi="Times New Roman" w:cs="Times New Roman"/>
          <w:color w:val="000000"/>
          <w:spacing w:val="6"/>
          <w:lang w:val="en-GB" w:eastAsia="en-GB"/>
        </w:rPr>
        <w:t>quipment Repair and Maintenance.</w:t>
      </w:r>
    </w:p>
    <w:p w14:paraId="18943145" w14:textId="77777777" w:rsidR="00BB1EE2" w:rsidRPr="001170E4" w:rsidRDefault="00BB1EE2" w:rsidP="00B41D07">
      <w:pPr>
        <w:numPr>
          <w:ilvl w:val="1"/>
          <w:numId w:val="33"/>
        </w:numPr>
        <w:spacing w:after="0" w:line="360" w:lineRule="auto"/>
        <w:ind w:left="1134" w:hanging="283"/>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color w:val="000000"/>
          <w:spacing w:val="6"/>
          <w:lang w:val="en-GB" w:eastAsia="en-GB"/>
        </w:rPr>
        <w:t>R3</w:t>
      </w:r>
      <w:r w:rsidR="00552E61">
        <w:rPr>
          <w:rFonts w:ascii="Times New Roman" w:eastAsia="Times New Roman" w:hAnsi="Times New Roman" w:cs="Times New Roman"/>
          <w:color w:val="000000"/>
          <w:spacing w:val="6"/>
          <w:lang w:val="en-GB" w:eastAsia="en-GB"/>
        </w:rPr>
        <w:t>68</w:t>
      </w:r>
      <w:r w:rsidRPr="001170E4">
        <w:rPr>
          <w:rFonts w:ascii="Times New Roman" w:eastAsia="Times New Roman" w:hAnsi="Times New Roman" w:cs="Times New Roman"/>
          <w:color w:val="000000"/>
          <w:spacing w:val="6"/>
          <w:lang w:val="en-GB" w:eastAsia="en-GB"/>
        </w:rPr>
        <w:t> 000 – Stationary, printing of the Annual Report, newsletters and other leaflets.</w:t>
      </w:r>
    </w:p>
    <w:p w14:paraId="0832F598"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26046D4F" w14:textId="77777777" w:rsidR="00BB1EE2" w:rsidRPr="001170E4" w:rsidRDefault="00D95E75" w:rsidP="00B41D07">
      <w:pPr>
        <w:numPr>
          <w:ilvl w:val="0"/>
          <w:numId w:val="34"/>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R640 million</w:t>
      </w:r>
      <w:r w:rsidR="00BB1EE2" w:rsidRPr="001170E4">
        <w:rPr>
          <w:rFonts w:ascii="Times New Roman" w:eastAsia="Times New Roman" w:hAnsi="Times New Roman" w:cs="Times New Roman"/>
          <w:color w:val="000000"/>
          <w:spacing w:val="6"/>
          <w:lang w:val="en-GB" w:eastAsia="en-GB"/>
        </w:rPr>
        <w:t xml:space="preserve"> </w:t>
      </w:r>
      <w:r w:rsidR="00BB1EE2" w:rsidRPr="001170E4">
        <w:rPr>
          <w:rFonts w:ascii="Times New Roman" w:eastAsia="Times New Roman" w:hAnsi="Times New Roman" w:cs="Times New Roman"/>
          <w:b/>
          <w:color w:val="000000"/>
          <w:spacing w:val="6"/>
          <w:lang w:val="en-GB" w:eastAsia="en-GB"/>
        </w:rPr>
        <w:t xml:space="preserve">- </w:t>
      </w:r>
      <w:r w:rsidR="00BB1EE2" w:rsidRPr="001170E4">
        <w:rPr>
          <w:rFonts w:ascii="Times New Roman" w:eastAsia="Times New Roman" w:hAnsi="Times New Roman" w:cs="Times New Roman"/>
          <w:color w:val="000000"/>
          <w:spacing w:val="6"/>
          <w:lang w:val="en-GB" w:eastAsia="en-GB"/>
        </w:rPr>
        <w:t>Other Costs</w:t>
      </w:r>
      <w:r w:rsidR="00775E1F">
        <w:rPr>
          <w:rFonts w:ascii="Times New Roman" w:eastAsia="Times New Roman" w:hAnsi="Times New Roman" w:cs="Times New Roman"/>
          <w:color w:val="000000"/>
          <w:spacing w:val="6"/>
          <w:lang w:val="en-GB" w:eastAsia="en-GB"/>
        </w:rPr>
        <w:t xml:space="preserve"> resulting </w:t>
      </w:r>
      <w:r w:rsidR="00572924">
        <w:rPr>
          <w:rFonts w:ascii="Times New Roman" w:eastAsia="Times New Roman" w:hAnsi="Times New Roman" w:cs="Times New Roman"/>
          <w:color w:val="000000"/>
          <w:spacing w:val="6"/>
          <w:lang w:val="en-GB" w:eastAsia="en-GB"/>
        </w:rPr>
        <w:t>f</w:t>
      </w:r>
      <w:r w:rsidR="00775E1F">
        <w:rPr>
          <w:rFonts w:ascii="Times New Roman" w:eastAsia="Times New Roman" w:hAnsi="Times New Roman" w:cs="Times New Roman"/>
          <w:color w:val="000000"/>
          <w:spacing w:val="6"/>
          <w:lang w:val="en-GB" w:eastAsia="en-GB"/>
        </w:rPr>
        <w:t>rom</w:t>
      </w:r>
      <w:r w:rsidR="00572924">
        <w:rPr>
          <w:rFonts w:ascii="Times New Roman" w:eastAsia="Times New Roman" w:hAnsi="Times New Roman" w:cs="Times New Roman"/>
          <w:color w:val="000000"/>
          <w:spacing w:val="6"/>
          <w:lang w:val="en-GB" w:eastAsia="en-GB"/>
        </w:rPr>
        <w:t xml:space="preserve"> deprecation.</w:t>
      </w:r>
      <w:r w:rsidR="00BB1EE2" w:rsidRPr="001170E4">
        <w:rPr>
          <w:rFonts w:ascii="Times New Roman" w:eastAsia="Times New Roman" w:hAnsi="Times New Roman" w:cs="Times New Roman"/>
          <w:color w:val="000000"/>
          <w:spacing w:val="6"/>
          <w:lang w:val="en-GB" w:eastAsia="en-GB"/>
        </w:rPr>
        <w:t xml:space="preserve"> </w:t>
      </w:r>
    </w:p>
    <w:p w14:paraId="12E2462B" w14:textId="77777777" w:rsidR="00BB1EE2" w:rsidRPr="001170E4" w:rsidRDefault="00BB1EE2" w:rsidP="00F72F11">
      <w:pPr>
        <w:spacing w:after="0" w:line="360" w:lineRule="auto"/>
        <w:ind w:left="1440"/>
        <w:jc w:val="both"/>
        <w:rPr>
          <w:rFonts w:ascii="Times New Roman" w:eastAsia="Times New Roman" w:hAnsi="Times New Roman" w:cs="Times New Roman"/>
          <w:color w:val="000000"/>
          <w:spacing w:val="6"/>
          <w:lang w:val="en-GB" w:eastAsia="en-GB"/>
        </w:rPr>
      </w:pPr>
    </w:p>
    <w:p w14:paraId="0DAAAAA1"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p>
    <w:p w14:paraId="67608F25" w14:textId="77777777" w:rsidR="00BD13BF" w:rsidRDefault="00BD13BF" w:rsidP="00F72F11">
      <w:p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Since operating as a juristic personality, Agrément SA reports on the following programmes:</w:t>
      </w:r>
      <w:r w:rsidR="00BB1EE2" w:rsidRPr="006F760E">
        <w:rPr>
          <w:rFonts w:ascii="Times New Roman" w:eastAsia="Times New Roman" w:hAnsi="Times New Roman" w:cs="Times New Roman"/>
          <w:spacing w:val="6"/>
          <w:lang w:val="en-GB" w:eastAsia="en-GB"/>
        </w:rPr>
        <w:t xml:space="preserve"> </w:t>
      </w:r>
    </w:p>
    <w:p w14:paraId="7E60622B" w14:textId="77777777" w:rsidR="00CA735C" w:rsidRDefault="00CA735C" w:rsidP="00CA735C">
      <w:pPr>
        <w:spacing w:after="0" w:line="360" w:lineRule="auto"/>
        <w:jc w:val="both"/>
        <w:rPr>
          <w:rFonts w:ascii="Times New Roman" w:eastAsia="Times New Roman" w:hAnsi="Times New Roman" w:cs="Times New Roman"/>
          <w:b/>
          <w:spacing w:val="6"/>
          <w:lang w:val="en-GB" w:eastAsia="en-GB"/>
        </w:rPr>
      </w:pPr>
      <w:r>
        <w:rPr>
          <w:rFonts w:ascii="Times New Roman" w:eastAsia="Times New Roman" w:hAnsi="Times New Roman" w:cs="Times New Roman"/>
          <w:b/>
          <w:spacing w:val="6"/>
          <w:lang w:val="en-GB" w:eastAsia="en-GB"/>
        </w:rPr>
        <w:t xml:space="preserve">Programme 1: Financial Management </w:t>
      </w:r>
      <w:r w:rsidRPr="00CA735C">
        <w:rPr>
          <w:rFonts w:ascii="Times New Roman" w:eastAsia="Times New Roman" w:hAnsi="Times New Roman" w:cs="Times New Roman"/>
          <w:spacing w:val="6"/>
          <w:lang w:val="en-GB" w:eastAsia="en-GB"/>
        </w:rPr>
        <w:t xml:space="preserve">the following </w:t>
      </w:r>
      <w:r>
        <w:rPr>
          <w:rFonts w:ascii="Times New Roman" w:eastAsia="Times New Roman" w:hAnsi="Times New Roman" w:cs="Times New Roman"/>
          <w:spacing w:val="6"/>
          <w:lang w:val="en-GB" w:eastAsia="en-GB"/>
        </w:rPr>
        <w:t>targets are listed</w:t>
      </w:r>
      <w:r w:rsidRPr="00CA735C">
        <w:rPr>
          <w:rFonts w:ascii="Times New Roman" w:eastAsia="Times New Roman" w:hAnsi="Times New Roman" w:cs="Times New Roman"/>
          <w:spacing w:val="6"/>
          <w:lang w:val="en-GB" w:eastAsia="en-GB"/>
        </w:rPr>
        <w:t>:</w:t>
      </w:r>
    </w:p>
    <w:p w14:paraId="52A302C2" w14:textId="77777777" w:rsidR="00CA735C" w:rsidRPr="00BD13BF" w:rsidRDefault="00CA735C" w:rsidP="00CA735C">
      <w:pPr>
        <w:spacing w:after="0" w:line="360" w:lineRule="auto"/>
        <w:jc w:val="both"/>
        <w:rPr>
          <w:rFonts w:ascii="Times New Roman" w:eastAsia="Times New Roman" w:hAnsi="Times New Roman" w:cs="Times New Roman"/>
          <w:spacing w:val="6"/>
          <w:lang w:val="en-GB" w:eastAsia="en-GB"/>
        </w:rPr>
      </w:pPr>
      <w:r w:rsidRPr="00BD13BF">
        <w:rPr>
          <w:rFonts w:ascii="Times New Roman" w:eastAsia="Times New Roman" w:hAnsi="Times New Roman" w:cs="Times New Roman"/>
          <w:spacing w:val="6"/>
          <w:lang w:val="en-GB" w:eastAsia="en-GB"/>
        </w:rPr>
        <w:t>Over the short term period</w:t>
      </w:r>
      <w:r>
        <w:rPr>
          <w:rFonts w:ascii="Times New Roman" w:eastAsia="Times New Roman" w:hAnsi="Times New Roman" w:cs="Times New Roman"/>
          <w:spacing w:val="6"/>
          <w:lang w:val="en-GB" w:eastAsia="en-GB"/>
        </w:rPr>
        <w:t xml:space="preserve"> (2017/18 – 2018/19)</w:t>
      </w:r>
      <w:r w:rsidRPr="00BD13BF">
        <w:rPr>
          <w:rFonts w:ascii="Times New Roman" w:eastAsia="Times New Roman" w:hAnsi="Times New Roman" w:cs="Times New Roman"/>
          <w:spacing w:val="6"/>
          <w:lang w:val="en-GB" w:eastAsia="en-GB"/>
        </w:rPr>
        <w:t>, the programme lists the following targets:</w:t>
      </w:r>
    </w:p>
    <w:p w14:paraId="52AD9F1F" w14:textId="77777777" w:rsidR="00CA735C" w:rsidRPr="00BD13BF" w:rsidRDefault="00CA735C" w:rsidP="00B41D07">
      <w:pPr>
        <w:pStyle w:val="ListParagraph"/>
        <w:numPr>
          <w:ilvl w:val="0"/>
          <w:numId w:val="34"/>
        </w:numPr>
        <w:spacing w:line="360" w:lineRule="auto"/>
        <w:rPr>
          <w:rFonts w:ascii="Times New Roman" w:eastAsia="Times New Roman" w:hAnsi="Times New Roman"/>
          <w:spacing w:val="6"/>
          <w:lang w:val="en-ZA" w:eastAsia="en-GB"/>
        </w:rPr>
      </w:pPr>
      <w:r w:rsidRPr="00BD13BF">
        <w:rPr>
          <w:rFonts w:ascii="Times New Roman" w:eastAsia="Times New Roman" w:hAnsi="Times New Roman"/>
          <w:spacing w:val="6"/>
          <w:lang w:val="en-US" w:eastAsia="en-GB"/>
        </w:rPr>
        <w:t>Test and implement practical budget and analysis tools, systems and procedures</w:t>
      </w:r>
      <w:r w:rsidRPr="00BD13BF">
        <w:rPr>
          <w:rFonts w:ascii="Times New Roman" w:eastAsia="Times New Roman" w:hAnsi="Times New Roman"/>
          <w:spacing w:val="6"/>
          <w:lang w:val="en-ZA" w:eastAsia="en-GB"/>
        </w:rPr>
        <w:t>,</w:t>
      </w:r>
    </w:p>
    <w:p w14:paraId="69BE4F83" w14:textId="77777777" w:rsidR="00CA735C" w:rsidRPr="00BD13BF" w:rsidRDefault="00CA735C" w:rsidP="00B41D07">
      <w:pPr>
        <w:pStyle w:val="ListParagraph"/>
        <w:numPr>
          <w:ilvl w:val="0"/>
          <w:numId w:val="34"/>
        </w:numPr>
        <w:spacing w:line="360" w:lineRule="auto"/>
        <w:rPr>
          <w:rFonts w:ascii="Times New Roman" w:eastAsia="Times New Roman" w:hAnsi="Times New Roman"/>
          <w:spacing w:val="6"/>
          <w:lang w:val="en-ZA" w:eastAsia="en-GB"/>
        </w:rPr>
      </w:pPr>
      <w:r w:rsidRPr="00BD13BF">
        <w:rPr>
          <w:rFonts w:ascii="Times New Roman" w:eastAsia="Times New Roman" w:hAnsi="Times New Roman"/>
          <w:spacing w:val="6"/>
          <w:lang w:val="en-US" w:eastAsia="en-GB"/>
        </w:rPr>
        <w:t>Develop a mechanism of evaluating and reporting financial performance monthly</w:t>
      </w:r>
      <w:r w:rsidRPr="00BD13BF">
        <w:rPr>
          <w:rFonts w:ascii="Times New Roman" w:eastAsia="Times New Roman" w:hAnsi="Times New Roman"/>
          <w:spacing w:val="6"/>
          <w:lang w:val="en-ZA" w:eastAsia="en-GB"/>
        </w:rPr>
        <w:t>,</w:t>
      </w:r>
    </w:p>
    <w:p w14:paraId="44FD39F8" w14:textId="77777777" w:rsidR="00CA735C" w:rsidRPr="00BD13BF" w:rsidRDefault="00CA735C" w:rsidP="00B41D07">
      <w:pPr>
        <w:pStyle w:val="ListParagraph"/>
        <w:numPr>
          <w:ilvl w:val="0"/>
          <w:numId w:val="34"/>
        </w:numPr>
        <w:spacing w:line="360" w:lineRule="auto"/>
        <w:rPr>
          <w:rFonts w:ascii="Times New Roman" w:eastAsia="Times New Roman" w:hAnsi="Times New Roman"/>
          <w:spacing w:val="6"/>
          <w:lang w:val="en-ZA" w:eastAsia="en-GB"/>
        </w:rPr>
      </w:pPr>
      <w:r w:rsidRPr="00BD13BF">
        <w:rPr>
          <w:rFonts w:ascii="Times New Roman" w:eastAsia="Times New Roman" w:hAnsi="Times New Roman"/>
          <w:spacing w:val="6"/>
          <w:lang w:val="en-US" w:eastAsia="en-GB"/>
        </w:rPr>
        <w:t xml:space="preserve">Develop standard operating procedures with turn-around times to ensure accurate measurement of supplier performance and </w:t>
      </w:r>
      <w:r>
        <w:rPr>
          <w:rFonts w:ascii="Times New Roman" w:eastAsia="Times New Roman" w:hAnsi="Times New Roman"/>
          <w:spacing w:val="6"/>
          <w:lang w:val="en-US" w:eastAsia="en-GB"/>
        </w:rPr>
        <w:t>supply chain management (</w:t>
      </w:r>
      <w:r w:rsidRPr="00BD13BF">
        <w:rPr>
          <w:rFonts w:ascii="Times New Roman" w:eastAsia="Times New Roman" w:hAnsi="Times New Roman"/>
          <w:spacing w:val="6"/>
          <w:lang w:val="en-US" w:eastAsia="en-GB"/>
        </w:rPr>
        <w:t>SCM</w:t>
      </w:r>
      <w:r>
        <w:rPr>
          <w:rFonts w:ascii="Times New Roman" w:eastAsia="Times New Roman" w:hAnsi="Times New Roman"/>
          <w:spacing w:val="6"/>
          <w:lang w:val="en-US" w:eastAsia="en-GB"/>
        </w:rPr>
        <w:t>)</w:t>
      </w:r>
      <w:r w:rsidRPr="00BD13BF">
        <w:rPr>
          <w:rFonts w:ascii="Times New Roman" w:eastAsia="Times New Roman" w:hAnsi="Times New Roman"/>
          <w:spacing w:val="6"/>
          <w:lang w:val="en-US" w:eastAsia="en-GB"/>
        </w:rPr>
        <w:t xml:space="preserve"> unit.</w:t>
      </w:r>
    </w:p>
    <w:p w14:paraId="41A5AFB8" w14:textId="77777777" w:rsidR="00CA735C" w:rsidRPr="006F2A7A" w:rsidRDefault="00CA735C" w:rsidP="00CA735C">
      <w:pPr>
        <w:spacing w:after="0" w:line="360" w:lineRule="auto"/>
        <w:jc w:val="both"/>
        <w:rPr>
          <w:rFonts w:ascii="Times New Roman" w:eastAsia="Times New Roman" w:hAnsi="Times New Roman" w:cs="Times New Roman"/>
          <w:spacing w:val="6"/>
          <w:lang w:val="en-GB" w:eastAsia="en-GB"/>
        </w:rPr>
      </w:pPr>
      <w:r w:rsidRPr="006F2A7A">
        <w:rPr>
          <w:rFonts w:ascii="Times New Roman" w:eastAsia="Times New Roman" w:hAnsi="Times New Roman" w:cs="Times New Roman"/>
          <w:spacing w:val="6"/>
          <w:lang w:val="en-GB" w:eastAsia="en-GB"/>
        </w:rPr>
        <w:t>Over the medium term (2019/20</w:t>
      </w:r>
      <w:r>
        <w:rPr>
          <w:rFonts w:ascii="Times New Roman" w:eastAsia="Times New Roman" w:hAnsi="Times New Roman" w:cs="Times New Roman"/>
          <w:spacing w:val="6"/>
          <w:lang w:val="en-GB" w:eastAsia="en-GB"/>
        </w:rPr>
        <w:t xml:space="preserve"> </w:t>
      </w:r>
      <w:r w:rsidRPr="006F2A7A">
        <w:rPr>
          <w:rFonts w:ascii="Times New Roman" w:eastAsia="Times New Roman" w:hAnsi="Times New Roman" w:cs="Times New Roman"/>
          <w:spacing w:val="6"/>
          <w:lang w:val="en-GB" w:eastAsia="en-GB"/>
        </w:rPr>
        <w:t>-</w:t>
      </w:r>
      <w:r>
        <w:rPr>
          <w:rFonts w:ascii="Times New Roman" w:eastAsia="Times New Roman" w:hAnsi="Times New Roman" w:cs="Times New Roman"/>
          <w:spacing w:val="6"/>
          <w:lang w:val="en-GB" w:eastAsia="en-GB"/>
        </w:rPr>
        <w:t xml:space="preserve"> </w:t>
      </w:r>
      <w:r w:rsidRPr="006F2A7A">
        <w:rPr>
          <w:rFonts w:ascii="Times New Roman" w:eastAsia="Times New Roman" w:hAnsi="Times New Roman" w:cs="Times New Roman"/>
          <w:spacing w:val="6"/>
          <w:lang w:val="en-GB" w:eastAsia="en-GB"/>
        </w:rPr>
        <w:t>2020-2021), the programme lists the following:</w:t>
      </w:r>
    </w:p>
    <w:p w14:paraId="0C52EA68" w14:textId="77777777" w:rsidR="00CA735C" w:rsidRPr="006F2A7A" w:rsidRDefault="00CA735C" w:rsidP="00B41D07">
      <w:pPr>
        <w:pStyle w:val="ListParagraph"/>
        <w:numPr>
          <w:ilvl w:val="0"/>
          <w:numId w:val="59"/>
        </w:numPr>
        <w:spacing w:line="360" w:lineRule="auto"/>
        <w:rPr>
          <w:rFonts w:ascii="Times New Roman" w:eastAsia="Times New Roman" w:hAnsi="Times New Roman"/>
          <w:spacing w:val="6"/>
          <w:lang w:val="en-ZA" w:eastAsia="en-GB"/>
        </w:rPr>
      </w:pPr>
      <w:r w:rsidRPr="006F2A7A">
        <w:rPr>
          <w:rFonts w:ascii="Times New Roman" w:eastAsia="Times New Roman" w:hAnsi="Times New Roman"/>
          <w:spacing w:val="6"/>
          <w:lang w:val="en-US" w:eastAsia="en-GB"/>
        </w:rPr>
        <w:t>Raise awareness to Agrément South Africa staff of SCM process and standard operating procedures with continuous training including Bid Committee members and other role players</w:t>
      </w:r>
      <w:r w:rsidRPr="006F2A7A">
        <w:rPr>
          <w:rFonts w:ascii="Times New Roman" w:eastAsia="Times New Roman" w:hAnsi="Times New Roman"/>
          <w:spacing w:val="6"/>
          <w:lang w:val="en-ZA" w:eastAsia="en-GB"/>
        </w:rPr>
        <w:t>,</w:t>
      </w:r>
    </w:p>
    <w:p w14:paraId="63F752F9" w14:textId="77777777" w:rsidR="00CA735C" w:rsidRPr="006F2A7A" w:rsidRDefault="00CA735C" w:rsidP="00B41D07">
      <w:pPr>
        <w:pStyle w:val="ListParagraph"/>
        <w:numPr>
          <w:ilvl w:val="0"/>
          <w:numId w:val="59"/>
        </w:numPr>
        <w:spacing w:line="360" w:lineRule="auto"/>
        <w:rPr>
          <w:rFonts w:ascii="Times New Roman" w:eastAsia="Times New Roman" w:hAnsi="Times New Roman"/>
          <w:spacing w:val="6"/>
          <w:lang w:val="en-ZA" w:eastAsia="en-GB"/>
        </w:rPr>
      </w:pPr>
      <w:r w:rsidRPr="006F2A7A">
        <w:rPr>
          <w:rFonts w:ascii="Times New Roman" w:eastAsia="Times New Roman" w:hAnsi="Times New Roman"/>
          <w:spacing w:val="6"/>
          <w:lang w:val="en-US" w:eastAsia="en-GB"/>
        </w:rPr>
        <w:t>Develop Agrément South Africa suitable financial plan.</w:t>
      </w:r>
    </w:p>
    <w:p w14:paraId="22370754" w14:textId="77777777" w:rsidR="00BD13BF" w:rsidRDefault="00BD13BF" w:rsidP="00F72F11">
      <w:pPr>
        <w:spacing w:after="0" w:line="360" w:lineRule="auto"/>
        <w:jc w:val="both"/>
        <w:rPr>
          <w:rFonts w:ascii="Times New Roman" w:eastAsia="Times New Roman" w:hAnsi="Times New Roman" w:cs="Times New Roman"/>
          <w:spacing w:val="6"/>
          <w:lang w:val="en-GB" w:eastAsia="en-GB"/>
        </w:rPr>
      </w:pPr>
    </w:p>
    <w:p w14:paraId="3420F86F" w14:textId="77777777" w:rsidR="00BB1EE2" w:rsidRPr="00CA735C" w:rsidRDefault="00CA735C" w:rsidP="00F72F11">
      <w:pPr>
        <w:spacing w:after="0" w:line="360" w:lineRule="auto"/>
        <w:jc w:val="both"/>
        <w:rPr>
          <w:rFonts w:ascii="Times New Roman" w:eastAsia="Times New Roman" w:hAnsi="Times New Roman" w:cs="Times New Roman"/>
          <w:b/>
          <w:spacing w:val="6"/>
          <w:lang w:val="en-GB" w:eastAsia="en-GB"/>
        </w:rPr>
      </w:pPr>
      <w:r w:rsidRPr="00CA735C">
        <w:rPr>
          <w:rFonts w:ascii="Times New Roman" w:eastAsia="Times New Roman" w:hAnsi="Times New Roman" w:cs="Times New Roman"/>
          <w:b/>
          <w:spacing w:val="6"/>
          <w:lang w:val="en-GB" w:eastAsia="en-GB"/>
        </w:rPr>
        <w:t>Programme 2: Corporate Services</w:t>
      </w:r>
    </w:p>
    <w:p w14:paraId="6FE788C6" w14:textId="77777777" w:rsidR="00BB1EE2" w:rsidRDefault="00320FAA" w:rsidP="00F72F11">
      <w:p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 xml:space="preserve">In the 2017/18 financial year, </w:t>
      </w:r>
      <w:r w:rsidR="00BB1EE2" w:rsidRPr="006F760E">
        <w:rPr>
          <w:rFonts w:ascii="Times New Roman" w:eastAsia="Times New Roman" w:hAnsi="Times New Roman" w:cs="Times New Roman"/>
          <w:spacing w:val="6"/>
          <w:lang w:val="en-GB" w:eastAsia="en-GB"/>
        </w:rPr>
        <w:t>Agrément South Africa identified the lack of specialised skills in the organisation as a potential risk which could affect its ability to fulfil its mandate. One of the mitigating strategies i</w:t>
      </w:r>
      <w:r>
        <w:rPr>
          <w:rFonts w:ascii="Times New Roman" w:eastAsia="Times New Roman" w:hAnsi="Times New Roman" w:cs="Times New Roman"/>
          <w:spacing w:val="6"/>
          <w:lang w:val="en-GB" w:eastAsia="en-GB"/>
        </w:rPr>
        <w:t>t wa</w:t>
      </w:r>
      <w:r w:rsidR="00BB1EE2" w:rsidRPr="006F760E">
        <w:rPr>
          <w:rFonts w:ascii="Times New Roman" w:eastAsia="Times New Roman" w:hAnsi="Times New Roman" w:cs="Times New Roman"/>
          <w:spacing w:val="6"/>
          <w:lang w:val="en-GB" w:eastAsia="en-GB"/>
        </w:rPr>
        <w:t xml:space="preserve">s </w:t>
      </w:r>
      <w:r>
        <w:rPr>
          <w:rFonts w:ascii="Times New Roman" w:eastAsia="Times New Roman" w:hAnsi="Times New Roman" w:cs="Times New Roman"/>
          <w:spacing w:val="6"/>
          <w:lang w:val="en-GB" w:eastAsia="en-GB"/>
        </w:rPr>
        <w:t xml:space="preserve">planning to </w:t>
      </w:r>
      <w:r w:rsidR="00BB1EE2" w:rsidRPr="006F760E">
        <w:rPr>
          <w:rFonts w:ascii="Times New Roman" w:eastAsia="Times New Roman" w:hAnsi="Times New Roman" w:cs="Times New Roman"/>
          <w:spacing w:val="6"/>
          <w:lang w:val="en-GB" w:eastAsia="en-GB"/>
        </w:rPr>
        <w:t xml:space="preserve">develop </w:t>
      </w:r>
      <w:r>
        <w:rPr>
          <w:rFonts w:ascii="Times New Roman" w:eastAsia="Times New Roman" w:hAnsi="Times New Roman" w:cs="Times New Roman"/>
          <w:spacing w:val="6"/>
          <w:lang w:val="en-GB" w:eastAsia="en-GB"/>
        </w:rPr>
        <w:t xml:space="preserve">was </w:t>
      </w:r>
      <w:r w:rsidR="00BB1EE2" w:rsidRPr="006F760E">
        <w:rPr>
          <w:rFonts w:ascii="Times New Roman" w:eastAsia="Times New Roman" w:hAnsi="Times New Roman" w:cs="Times New Roman"/>
          <w:spacing w:val="6"/>
          <w:lang w:val="en-GB" w:eastAsia="en-GB"/>
        </w:rPr>
        <w:t>a comprehensive Staff Retention Policy, and improve the remuneration, especially of the technical staff members.</w:t>
      </w:r>
      <w:r w:rsidR="00BB1EE2" w:rsidRPr="006F760E">
        <w:rPr>
          <w:rFonts w:ascii="Times New Roman" w:eastAsia="Times New Roman" w:hAnsi="Times New Roman" w:cs="Times New Roman"/>
          <w:spacing w:val="6"/>
          <w:vertAlign w:val="superscript"/>
          <w:lang w:val="en-GB" w:eastAsia="en-GB"/>
        </w:rPr>
        <w:footnoteReference w:id="69"/>
      </w:r>
      <w:r w:rsidR="00BB1EE2" w:rsidRPr="006F760E">
        <w:rPr>
          <w:rFonts w:ascii="Times New Roman" w:eastAsia="Times New Roman" w:hAnsi="Times New Roman" w:cs="Times New Roman"/>
          <w:spacing w:val="6"/>
          <w:lang w:val="en-GB" w:eastAsia="en-GB"/>
        </w:rPr>
        <w:t xml:space="preserve"> </w:t>
      </w:r>
    </w:p>
    <w:p w14:paraId="2076F497" w14:textId="77777777" w:rsidR="00320FAA" w:rsidRDefault="00320FAA" w:rsidP="00F72F11">
      <w:pPr>
        <w:spacing w:after="0" w:line="360" w:lineRule="auto"/>
        <w:jc w:val="both"/>
        <w:rPr>
          <w:rFonts w:ascii="Times New Roman" w:eastAsia="Times New Roman" w:hAnsi="Times New Roman" w:cs="Times New Roman"/>
          <w:spacing w:val="6"/>
          <w:lang w:val="en-GB" w:eastAsia="en-GB"/>
        </w:rPr>
      </w:pPr>
    </w:p>
    <w:p w14:paraId="0E92049F" w14:textId="77777777" w:rsidR="00320FAA" w:rsidRDefault="00320FAA" w:rsidP="00320FAA">
      <w:pPr>
        <w:spacing w:line="360" w:lineRule="auto"/>
        <w:rPr>
          <w:rFonts w:ascii="Times New Roman" w:eastAsia="Times New Roman" w:hAnsi="Times New Roman"/>
          <w:spacing w:val="6"/>
          <w:lang w:eastAsia="en-GB"/>
        </w:rPr>
      </w:pPr>
      <w:r>
        <w:rPr>
          <w:rFonts w:ascii="Times New Roman" w:eastAsia="Times New Roman" w:hAnsi="Times New Roman" w:cs="Times New Roman"/>
          <w:spacing w:val="6"/>
          <w:lang w:val="en-GB" w:eastAsia="en-GB"/>
        </w:rPr>
        <w:t>In its APP for 2018/19 to</w:t>
      </w:r>
      <w:r>
        <w:rPr>
          <w:rFonts w:ascii="Times New Roman" w:eastAsia="Times New Roman" w:hAnsi="Times New Roman"/>
          <w:spacing w:val="6"/>
          <w:lang w:eastAsia="en-GB"/>
        </w:rPr>
        <w:t xml:space="preserve"> 2020/2021, the following are listed in response to this identified risk:</w:t>
      </w:r>
    </w:p>
    <w:p w14:paraId="12C81158"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t>HR manager should find the right talent and create the right environment in which people can perform</w:t>
      </w:r>
      <w:r w:rsidRPr="00CA2D05">
        <w:rPr>
          <w:rFonts w:ascii="Times New Roman" w:eastAsia="Times New Roman" w:hAnsi="Times New Roman"/>
          <w:spacing w:val="6"/>
          <w:lang w:eastAsia="en-GB"/>
        </w:rPr>
        <w:t>,</w:t>
      </w:r>
    </w:p>
    <w:p w14:paraId="204E1EAF"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t>Cascading of employee performance to more levels within Agrément South Africa;</w:t>
      </w:r>
    </w:p>
    <w:p w14:paraId="6FFBDE83"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t>Annually conduct customer satisfaction surveys</w:t>
      </w:r>
      <w:r w:rsidRPr="00CA2D05">
        <w:rPr>
          <w:rFonts w:ascii="Times New Roman" w:eastAsia="Times New Roman" w:hAnsi="Times New Roman"/>
          <w:spacing w:val="6"/>
          <w:lang w:eastAsia="en-GB"/>
        </w:rPr>
        <w:t>,</w:t>
      </w:r>
    </w:p>
    <w:p w14:paraId="2C94379C"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t>Build capacity within Agrément South Africa to be able to conduct customer satisfaction surveys in-house</w:t>
      </w:r>
      <w:r w:rsidRPr="00CA2D05">
        <w:rPr>
          <w:rFonts w:ascii="Times New Roman" w:eastAsia="Times New Roman" w:hAnsi="Times New Roman"/>
          <w:spacing w:val="6"/>
          <w:lang w:eastAsia="en-GB"/>
        </w:rPr>
        <w:t>,</w:t>
      </w:r>
    </w:p>
    <w:p w14:paraId="4D26246D"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t>Implement communication and customer relation plans</w:t>
      </w:r>
      <w:r w:rsidRPr="00CA2D05">
        <w:rPr>
          <w:rFonts w:ascii="Times New Roman" w:eastAsia="Times New Roman" w:hAnsi="Times New Roman"/>
          <w:spacing w:val="6"/>
          <w:lang w:eastAsia="en-GB"/>
        </w:rPr>
        <w:t>,</w:t>
      </w:r>
    </w:p>
    <w:p w14:paraId="4B5051BF"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t>Conduct awareness surveys annually to determine whether initiative are improving the image and brand of Agrément South Africa</w:t>
      </w:r>
      <w:r w:rsidRPr="00CA2D05">
        <w:rPr>
          <w:rFonts w:ascii="Times New Roman" w:eastAsia="Times New Roman" w:hAnsi="Times New Roman"/>
          <w:spacing w:val="6"/>
          <w:lang w:eastAsia="en-GB"/>
        </w:rPr>
        <w:t>,</w:t>
      </w:r>
    </w:p>
    <w:p w14:paraId="635CF8A8"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t>Measure progress, review and implementation communication and customer relations plans</w:t>
      </w:r>
      <w:r w:rsidRPr="00CA2D05">
        <w:rPr>
          <w:rFonts w:ascii="Times New Roman" w:eastAsia="Times New Roman" w:hAnsi="Times New Roman"/>
          <w:spacing w:val="6"/>
          <w:lang w:eastAsia="en-GB"/>
        </w:rPr>
        <w:t>,</w:t>
      </w:r>
    </w:p>
    <w:p w14:paraId="00BC30EF"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t>Build internal capacity to conduct awareness surveys and compile reports</w:t>
      </w:r>
      <w:r w:rsidRPr="00CA2D05">
        <w:rPr>
          <w:rFonts w:ascii="Times New Roman" w:eastAsia="Times New Roman" w:hAnsi="Times New Roman"/>
          <w:spacing w:val="6"/>
          <w:lang w:eastAsia="en-GB"/>
        </w:rPr>
        <w:t>,</w:t>
      </w:r>
    </w:p>
    <w:p w14:paraId="4EADE384"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t>Implementation of brand awareness campaigns and communication strategies</w:t>
      </w:r>
      <w:r w:rsidRPr="00CA2D05">
        <w:rPr>
          <w:rFonts w:ascii="Times New Roman" w:eastAsia="Times New Roman" w:hAnsi="Times New Roman"/>
          <w:spacing w:val="6"/>
          <w:lang w:eastAsia="en-GB"/>
        </w:rPr>
        <w:t>,</w:t>
      </w:r>
    </w:p>
    <w:p w14:paraId="7FFE1C9C"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t>Cascading of employee performance to all employees within Agrément South Africa</w:t>
      </w:r>
      <w:r w:rsidRPr="00CA2D05">
        <w:rPr>
          <w:rFonts w:ascii="Times New Roman" w:eastAsia="Times New Roman" w:hAnsi="Times New Roman"/>
          <w:spacing w:val="6"/>
          <w:lang w:eastAsia="en-GB"/>
        </w:rPr>
        <w:t>,</w:t>
      </w:r>
    </w:p>
    <w:p w14:paraId="529C9A49"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lastRenderedPageBreak/>
        <w:t xml:space="preserve">Develop a custom/tailored people strategy to the specific business requirements. This will allow Agrément South Africa to be more competitive in attracting scarce expertise, </w:t>
      </w:r>
    </w:p>
    <w:p w14:paraId="5CD7C80C" w14:textId="77777777" w:rsidR="00320FAA" w:rsidRPr="00CA2D05" w:rsidRDefault="00320FAA" w:rsidP="00B41D07">
      <w:pPr>
        <w:pStyle w:val="ListParagraph"/>
        <w:numPr>
          <w:ilvl w:val="0"/>
          <w:numId w:val="60"/>
        </w:numPr>
        <w:spacing w:line="360" w:lineRule="auto"/>
        <w:rPr>
          <w:rFonts w:ascii="Times New Roman" w:eastAsia="Times New Roman" w:hAnsi="Times New Roman"/>
          <w:spacing w:val="6"/>
          <w:lang w:eastAsia="en-GB"/>
        </w:rPr>
      </w:pPr>
      <w:r w:rsidRPr="00CA2D05">
        <w:rPr>
          <w:rFonts w:ascii="Times New Roman" w:eastAsia="Times New Roman" w:hAnsi="Times New Roman"/>
          <w:spacing w:val="6"/>
          <w:lang w:val="en-US" w:eastAsia="en-GB"/>
        </w:rPr>
        <w:t>Concentrate on developing talent management skills in-house. These skills are needed all the time.</w:t>
      </w:r>
    </w:p>
    <w:p w14:paraId="5D2252EB" w14:textId="77777777" w:rsidR="00320FAA" w:rsidRDefault="00320FAA" w:rsidP="00F72F11">
      <w:pPr>
        <w:spacing w:after="0" w:line="360" w:lineRule="auto"/>
        <w:jc w:val="both"/>
        <w:rPr>
          <w:rFonts w:ascii="Times New Roman" w:eastAsia="Times New Roman" w:hAnsi="Times New Roman" w:cs="Times New Roman"/>
          <w:spacing w:val="6"/>
          <w:lang w:val="en-GB" w:eastAsia="en-GB"/>
        </w:rPr>
      </w:pPr>
    </w:p>
    <w:p w14:paraId="08D3E40E" w14:textId="77777777" w:rsidR="00CA735C" w:rsidRPr="00896EFF" w:rsidRDefault="00CA735C" w:rsidP="00CA735C">
      <w:pPr>
        <w:spacing w:line="360" w:lineRule="auto"/>
        <w:rPr>
          <w:rFonts w:ascii="Times New Roman" w:eastAsia="Times New Roman" w:hAnsi="Times New Roman" w:cs="Times New Roman"/>
          <w:b/>
          <w:spacing w:val="6"/>
          <w:lang w:val="fr-FR" w:eastAsia="en-GB"/>
        </w:rPr>
      </w:pPr>
      <w:r w:rsidRPr="00CA735C">
        <w:rPr>
          <w:rFonts w:ascii="Times New Roman" w:eastAsia="Times New Roman" w:hAnsi="Times New Roman" w:cs="Times New Roman"/>
          <w:b/>
          <w:spacing w:val="6"/>
          <w:lang w:val="en-GB" w:eastAsia="en-GB"/>
        </w:rPr>
        <w:t xml:space="preserve">Programme 3: </w:t>
      </w:r>
      <w:r w:rsidRPr="00896EFF">
        <w:rPr>
          <w:rFonts w:ascii="Times New Roman" w:eastAsia="Times New Roman" w:hAnsi="Times New Roman" w:cs="Times New Roman"/>
          <w:b/>
          <w:spacing w:val="6"/>
          <w:lang w:val="fr-FR" w:eastAsia="en-GB"/>
        </w:rPr>
        <w:t>Information and Communication Technology:</w:t>
      </w:r>
    </w:p>
    <w:p w14:paraId="43E0A907" w14:textId="77777777" w:rsidR="00CA735C" w:rsidRPr="004D5654" w:rsidRDefault="00CA735C" w:rsidP="00B41D07">
      <w:pPr>
        <w:pStyle w:val="ListParagraph"/>
        <w:numPr>
          <w:ilvl w:val="0"/>
          <w:numId w:val="61"/>
        </w:numPr>
        <w:spacing w:line="360" w:lineRule="auto"/>
        <w:ind w:left="709" w:hanging="283"/>
        <w:rPr>
          <w:rFonts w:ascii="Times New Roman" w:hAnsi="Times New Roman"/>
          <w:spacing w:val="6"/>
          <w:lang w:eastAsia="en-GB"/>
        </w:rPr>
      </w:pPr>
      <w:r w:rsidRPr="004D5654">
        <w:rPr>
          <w:rFonts w:ascii="Times New Roman" w:hAnsi="Times New Roman"/>
          <w:spacing w:val="6"/>
          <w:lang w:val="en-US" w:eastAsia="en-GB"/>
        </w:rPr>
        <w:t>Develop integrated data migration system,</w:t>
      </w:r>
    </w:p>
    <w:p w14:paraId="1CC1575F" w14:textId="77777777" w:rsidR="00CA735C" w:rsidRPr="004D5654" w:rsidRDefault="00CA735C" w:rsidP="00B41D07">
      <w:pPr>
        <w:pStyle w:val="ListParagraph"/>
        <w:numPr>
          <w:ilvl w:val="0"/>
          <w:numId w:val="61"/>
        </w:numPr>
        <w:spacing w:line="360" w:lineRule="auto"/>
        <w:ind w:left="709" w:hanging="283"/>
        <w:rPr>
          <w:rFonts w:ascii="Times New Roman" w:hAnsi="Times New Roman"/>
          <w:spacing w:val="6"/>
          <w:lang w:eastAsia="en-GB"/>
        </w:rPr>
      </w:pPr>
      <w:r w:rsidRPr="004D5654">
        <w:rPr>
          <w:rFonts w:ascii="Times New Roman" w:hAnsi="Times New Roman"/>
          <w:spacing w:val="6"/>
          <w:lang w:val="en-US" w:eastAsia="en-GB"/>
        </w:rPr>
        <w:t>To conduct business process review on a continuous basis,</w:t>
      </w:r>
    </w:p>
    <w:p w14:paraId="4041AB95" w14:textId="77777777" w:rsidR="00CA735C" w:rsidRPr="004D5654" w:rsidRDefault="00CA735C" w:rsidP="00B41D07">
      <w:pPr>
        <w:pStyle w:val="ListParagraph"/>
        <w:numPr>
          <w:ilvl w:val="0"/>
          <w:numId w:val="61"/>
        </w:numPr>
        <w:spacing w:line="360" w:lineRule="auto"/>
        <w:ind w:left="709" w:hanging="283"/>
        <w:rPr>
          <w:rFonts w:ascii="Times New Roman" w:hAnsi="Times New Roman"/>
          <w:spacing w:val="6"/>
          <w:lang w:eastAsia="en-GB"/>
        </w:rPr>
      </w:pPr>
      <w:r w:rsidRPr="004D5654">
        <w:rPr>
          <w:rFonts w:ascii="Times New Roman" w:hAnsi="Times New Roman"/>
          <w:spacing w:val="6"/>
          <w:lang w:val="en-US" w:eastAsia="en-GB"/>
        </w:rPr>
        <w:t>To upgrade and maintain cost-effective ICT infrastructure and capability,</w:t>
      </w:r>
    </w:p>
    <w:p w14:paraId="32604554" w14:textId="77777777" w:rsidR="00CA735C" w:rsidRPr="004D5654" w:rsidRDefault="00CA735C" w:rsidP="00B41D07">
      <w:pPr>
        <w:pStyle w:val="ListParagraph"/>
        <w:numPr>
          <w:ilvl w:val="0"/>
          <w:numId w:val="61"/>
        </w:numPr>
        <w:spacing w:line="360" w:lineRule="auto"/>
        <w:ind w:left="709" w:hanging="283"/>
        <w:rPr>
          <w:rFonts w:ascii="Times New Roman" w:hAnsi="Times New Roman"/>
          <w:spacing w:val="6"/>
          <w:lang w:eastAsia="en-GB"/>
        </w:rPr>
      </w:pPr>
      <w:r w:rsidRPr="004D5654">
        <w:rPr>
          <w:rFonts w:ascii="Times New Roman" w:hAnsi="Times New Roman"/>
          <w:spacing w:val="6"/>
          <w:lang w:val="en-US" w:eastAsia="en-GB"/>
        </w:rPr>
        <w:t>To guide and control responsible ICT utilisation of users.</w:t>
      </w:r>
    </w:p>
    <w:p w14:paraId="325064F5" w14:textId="77777777" w:rsidR="00CA735C" w:rsidRDefault="00CA735C" w:rsidP="00CA735C">
      <w:pPr>
        <w:spacing w:line="360" w:lineRule="auto"/>
        <w:rPr>
          <w:rFonts w:ascii="Times New Roman" w:hAnsi="Times New Roman"/>
          <w:spacing w:val="6"/>
          <w:lang w:eastAsia="en-GB"/>
        </w:rPr>
      </w:pPr>
    </w:p>
    <w:p w14:paraId="513DE2BF" w14:textId="77777777" w:rsidR="00CA735C" w:rsidRPr="00CA735C" w:rsidRDefault="00CA735C" w:rsidP="000717E1">
      <w:pPr>
        <w:spacing w:line="360" w:lineRule="auto"/>
        <w:rPr>
          <w:rFonts w:ascii="Times New Roman" w:eastAsia="Times New Roman" w:hAnsi="Times New Roman" w:cs="Times New Roman"/>
          <w:spacing w:val="6"/>
          <w:lang w:val="en-GB" w:eastAsia="en-GB"/>
        </w:rPr>
      </w:pPr>
      <w:r w:rsidRPr="00CA735C">
        <w:rPr>
          <w:rFonts w:ascii="Times New Roman" w:hAnsi="Times New Roman"/>
          <w:spacing w:val="6"/>
          <w:lang w:eastAsia="en-GB"/>
        </w:rPr>
        <w:t>The programmes Technical Assessment Evaluations, Product and Systems, and Quality Control deal with the technical assessment, products and systems and quality control through which the entity tests innovative systems and products that are fit for purpose in the built enviro</w:t>
      </w:r>
      <w:r w:rsidR="000717E1">
        <w:rPr>
          <w:rFonts w:ascii="Times New Roman" w:hAnsi="Times New Roman"/>
          <w:spacing w:val="6"/>
          <w:lang w:eastAsia="en-GB"/>
        </w:rPr>
        <w:t xml:space="preserve">nment and construction industry. </w:t>
      </w:r>
    </w:p>
    <w:p w14:paraId="4E3087C3" w14:textId="77777777" w:rsidR="00CA735C" w:rsidRPr="004E548D" w:rsidRDefault="00CA735C" w:rsidP="00F72F11">
      <w:pPr>
        <w:spacing w:after="0" w:line="360" w:lineRule="auto"/>
        <w:jc w:val="both"/>
        <w:rPr>
          <w:rFonts w:ascii="Times New Roman" w:eastAsia="Times New Roman" w:hAnsi="Times New Roman" w:cs="Times New Roman"/>
          <w:spacing w:val="6"/>
          <w:lang w:val="en-GB" w:eastAsia="en-GB"/>
        </w:rPr>
      </w:pPr>
    </w:p>
    <w:p w14:paraId="36D51D88" w14:textId="77777777" w:rsidR="00BB1EE2" w:rsidRPr="004E548D" w:rsidRDefault="00BB1EE2" w:rsidP="00F72F11">
      <w:pPr>
        <w:spacing w:after="0" w:line="360" w:lineRule="auto"/>
        <w:jc w:val="both"/>
        <w:rPr>
          <w:rFonts w:ascii="Times New Roman" w:eastAsia="Times New Roman" w:hAnsi="Times New Roman" w:cs="Times New Roman"/>
          <w:spacing w:val="6"/>
          <w:lang w:val="en-GB" w:eastAsia="en-GB"/>
        </w:rPr>
      </w:pPr>
      <w:r w:rsidRPr="004E548D">
        <w:rPr>
          <w:rFonts w:ascii="Times New Roman" w:eastAsia="Times New Roman" w:hAnsi="Times New Roman" w:cs="Times New Roman"/>
          <w:b/>
          <w:spacing w:val="6"/>
          <w:lang w:val="en-GB" w:eastAsia="en-GB"/>
        </w:rPr>
        <w:t>Matters that emerged from deliberations:</w:t>
      </w:r>
    </w:p>
    <w:p w14:paraId="28DAAE25" w14:textId="00D6EEA8" w:rsidR="004E548D" w:rsidRDefault="004E548D" w:rsidP="004E548D">
      <w:pPr>
        <w:pStyle w:val="ListParagraph"/>
        <w:spacing w:line="360" w:lineRule="auto"/>
        <w:ind w:left="284"/>
        <w:rPr>
          <w:rFonts w:ascii="Times New Roman" w:hAnsi="Times New Roman"/>
        </w:rPr>
      </w:pPr>
      <w:r>
        <w:rPr>
          <w:rFonts w:ascii="Times New Roman" w:hAnsi="Times New Roman"/>
        </w:rPr>
        <w:t xml:space="preserve">4.61. </w:t>
      </w:r>
      <w:r w:rsidR="00BB1EE2" w:rsidRPr="004E548D">
        <w:rPr>
          <w:rFonts w:ascii="Times New Roman" w:hAnsi="Times New Roman"/>
        </w:rPr>
        <w:t xml:space="preserve">The entity reported that it had insufficient capacity to deliver on </w:t>
      </w:r>
      <w:r w:rsidR="000642D4">
        <w:rPr>
          <w:rFonts w:ascii="Times New Roman" w:hAnsi="Times New Roman"/>
        </w:rPr>
        <w:t>its</w:t>
      </w:r>
      <w:r w:rsidR="00BB1EE2" w:rsidRPr="004E548D">
        <w:rPr>
          <w:rFonts w:ascii="Times New Roman" w:hAnsi="Times New Roman"/>
        </w:rPr>
        <w:t xml:space="preserve"> mandate due to the availability of scarce skills.</w:t>
      </w:r>
      <w:r w:rsidR="00CA735C" w:rsidRPr="004E548D">
        <w:rPr>
          <w:rFonts w:ascii="Times New Roman" w:hAnsi="Times New Roman"/>
        </w:rPr>
        <w:t xml:space="preserve"> </w:t>
      </w:r>
    </w:p>
    <w:p w14:paraId="68577CB5" w14:textId="77777777" w:rsidR="004E548D" w:rsidRDefault="004E548D" w:rsidP="004E548D">
      <w:pPr>
        <w:pStyle w:val="ListParagraph"/>
        <w:spacing w:line="360" w:lineRule="auto"/>
        <w:ind w:left="284"/>
        <w:rPr>
          <w:rFonts w:ascii="Times New Roman" w:hAnsi="Times New Roman"/>
        </w:rPr>
      </w:pPr>
      <w:r>
        <w:rPr>
          <w:rFonts w:ascii="Times New Roman" w:hAnsi="Times New Roman"/>
        </w:rPr>
        <w:t xml:space="preserve">4.6.2. </w:t>
      </w:r>
      <w:r w:rsidR="00BB1EE2" w:rsidRPr="004E548D">
        <w:rPr>
          <w:rFonts w:ascii="Times New Roman" w:hAnsi="Times New Roman"/>
        </w:rPr>
        <w:t xml:space="preserve">A lot of innovative material and systems were being developed for use in the sphere of social infrastructure development – storm water systems, foundations, and top structures. A number of houses in Eastern Cape and Western Cape used systems and materials tested by ASA. The impact of systems and materials tested by ASA was therefore materially evident. </w:t>
      </w:r>
    </w:p>
    <w:p w14:paraId="7F581F97" w14:textId="77777777" w:rsidR="00BB1EE2" w:rsidRPr="004E548D" w:rsidRDefault="004E548D" w:rsidP="004E548D">
      <w:pPr>
        <w:pStyle w:val="ListParagraph"/>
        <w:spacing w:line="360" w:lineRule="auto"/>
        <w:ind w:left="284"/>
        <w:rPr>
          <w:rFonts w:ascii="Times New Roman" w:hAnsi="Times New Roman"/>
        </w:rPr>
      </w:pPr>
      <w:r>
        <w:rPr>
          <w:rFonts w:ascii="Times New Roman" w:hAnsi="Times New Roman"/>
        </w:rPr>
        <w:t xml:space="preserve">4.6.3. </w:t>
      </w:r>
      <w:r w:rsidR="00BB1EE2" w:rsidRPr="004E548D">
        <w:rPr>
          <w:rFonts w:ascii="Times New Roman" w:hAnsi="Times New Roman"/>
        </w:rPr>
        <w:t xml:space="preserve">Members made it clear that for impact on the ground to be made effectively and efficiently, the products had to be cheap enough for communities to use. If it was too expensive, innovative products and systems may be inefficient. </w:t>
      </w:r>
    </w:p>
    <w:p w14:paraId="72C0DD03" w14:textId="77777777" w:rsidR="004E548D" w:rsidRDefault="004E548D" w:rsidP="00F72F11">
      <w:pPr>
        <w:spacing w:line="360" w:lineRule="auto"/>
        <w:jc w:val="both"/>
        <w:rPr>
          <w:rFonts w:ascii="Times New Roman" w:hAnsi="Times New Roman" w:cs="Times New Roman"/>
          <w:b/>
        </w:rPr>
      </w:pPr>
    </w:p>
    <w:p w14:paraId="6BEBB15A" w14:textId="77777777" w:rsidR="00A95765" w:rsidRDefault="00A95765" w:rsidP="00F72F11">
      <w:pPr>
        <w:spacing w:line="360" w:lineRule="auto"/>
        <w:jc w:val="both"/>
        <w:rPr>
          <w:rFonts w:ascii="Times New Roman" w:hAnsi="Times New Roman" w:cs="Times New Roman"/>
          <w:b/>
        </w:rPr>
      </w:pPr>
    </w:p>
    <w:p w14:paraId="4BFFADE0"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5. The Independent Development Trust (IDT)</w:t>
      </w:r>
    </w:p>
    <w:p w14:paraId="2ABE3EAC" w14:textId="77777777" w:rsidR="00BB1EE2" w:rsidRPr="001170E4" w:rsidRDefault="00BB1EE2" w:rsidP="00F72F11">
      <w:pPr>
        <w:pStyle w:val="NormalWeb"/>
        <w:spacing w:line="360" w:lineRule="auto"/>
        <w:jc w:val="both"/>
        <w:rPr>
          <w:sz w:val="22"/>
          <w:szCs w:val="22"/>
        </w:rPr>
      </w:pPr>
      <w:r w:rsidRPr="001170E4">
        <w:rPr>
          <w:sz w:val="22"/>
          <w:szCs w:val="22"/>
        </w:rPr>
        <w:t>The IDT was established in 1990, as a temporary grant-making agency by the former apartheid government. It was set up with a R2bn government endowment grant that was invested, and the returns was to be used for development purposes in poor communities.</w:t>
      </w:r>
    </w:p>
    <w:p w14:paraId="5F770D39" w14:textId="77777777" w:rsidR="00BB1EE2" w:rsidRPr="001170E4" w:rsidRDefault="00BB1EE2" w:rsidP="00F72F11">
      <w:pPr>
        <w:pStyle w:val="NormalWeb"/>
        <w:spacing w:line="360" w:lineRule="auto"/>
        <w:jc w:val="both"/>
        <w:rPr>
          <w:sz w:val="22"/>
          <w:szCs w:val="22"/>
        </w:rPr>
      </w:pPr>
      <w:r w:rsidRPr="001170E4">
        <w:rPr>
          <w:sz w:val="22"/>
          <w:szCs w:val="22"/>
        </w:rPr>
        <w:lastRenderedPageBreak/>
        <w:t>In 1997 the first democratic government changed the IDT’s mandate from being independent to that of a “government agency that will implement projects which are commissioned by government departments”. The idea was that the invested endowment grant, in combination with project cost which client departments would pay to the IDT, would mean that the entity did not need to be funded by the fiscus. Unfortunately, the enhanced mandate, and due to the massive social infrastructure backlogs in poor communities, meant that the IDT’s project load was vastly increased. The cost of projects that should have funded the IDT did not have the desired result as higher number of projects that went unpaid over a long period, actually eroded the capital base of the IDT.</w:t>
      </w:r>
    </w:p>
    <w:p w14:paraId="75431B25" w14:textId="77777777" w:rsidR="00BB1EE2" w:rsidRPr="001170E4" w:rsidRDefault="00BB1EE2" w:rsidP="00F72F11">
      <w:pPr>
        <w:pStyle w:val="NormalWeb"/>
        <w:spacing w:line="360" w:lineRule="auto"/>
        <w:jc w:val="both"/>
        <w:rPr>
          <w:sz w:val="22"/>
          <w:szCs w:val="22"/>
        </w:rPr>
      </w:pPr>
      <w:r w:rsidRPr="001170E4">
        <w:rPr>
          <w:sz w:val="22"/>
          <w:szCs w:val="22"/>
        </w:rPr>
        <w:t xml:space="preserve">In 2006 in an effort to ensure </w:t>
      </w:r>
      <w:r w:rsidR="00A95765" w:rsidRPr="001170E4">
        <w:rPr>
          <w:sz w:val="22"/>
          <w:szCs w:val="22"/>
        </w:rPr>
        <w:t>longer-term</w:t>
      </w:r>
      <w:r w:rsidRPr="001170E4">
        <w:rPr>
          <w:sz w:val="22"/>
          <w:szCs w:val="22"/>
        </w:rPr>
        <w:t xml:space="preserve"> sustainability, the IDT initiated a “cost recovery” principle to its projects, Unfortunately, this approach did not bring the financial stability that was required.</w:t>
      </w:r>
    </w:p>
    <w:p w14:paraId="2A7559AC" w14:textId="77777777" w:rsidR="00BB1EE2" w:rsidRPr="001170E4" w:rsidRDefault="00BB1EE2" w:rsidP="00F72F11">
      <w:pPr>
        <w:pStyle w:val="NormalWeb"/>
        <w:spacing w:line="360" w:lineRule="auto"/>
        <w:jc w:val="both"/>
        <w:rPr>
          <w:sz w:val="22"/>
          <w:szCs w:val="22"/>
        </w:rPr>
      </w:pPr>
      <w:r w:rsidRPr="001170E4">
        <w:rPr>
          <w:sz w:val="22"/>
          <w:szCs w:val="22"/>
        </w:rPr>
        <w:t>Government remains convinced that the IDT has a key role to play as a project manager of social infrastructure construction. The IDT developed a specific niche in the form of community consultation and participation in decision- making as part of the planning, construction and maintenance of social infrastructure. The community ownership that was part of its social infrastructure project management is a vital cog in future social development initiatives of government in the Presidential Infrastructure Coordinating Commission (PICC)</w:t>
      </w:r>
      <w:r w:rsidRPr="001170E4">
        <w:rPr>
          <w:rStyle w:val="FootnoteReference"/>
          <w:sz w:val="22"/>
          <w:szCs w:val="22"/>
        </w:rPr>
        <w:footnoteReference w:id="70"/>
      </w:r>
      <w:r w:rsidRPr="001170E4">
        <w:rPr>
          <w:sz w:val="22"/>
          <w:szCs w:val="22"/>
        </w:rPr>
        <w:t xml:space="preserve">.  </w:t>
      </w:r>
    </w:p>
    <w:p w14:paraId="72FDDF71" w14:textId="77777777" w:rsidR="00BB1EE2" w:rsidRPr="001170E4" w:rsidRDefault="00BB1EE2" w:rsidP="00F72F11">
      <w:pPr>
        <w:pStyle w:val="NormalWeb"/>
        <w:spacing w:line="360" w:lineRule="auto"/>
        <w:jc w:val="both"/>
        <w:rPr>
          <w:sz w:val="22"/>
          <w:szCs w:val="22"/>
        </w:rPr>
      </w:pPr>
      <w:r w:rsidRPr="001170E4">
        <w:rPr>
          <w:sz w:val="22"/>
          <w:szCs w:val="22"/>
        </w:rPr>
        <w:t>In the PICC, the DPW is a key role-player in Strategic Integrated Project (SIP) 13</w:t>
      </w:r>
      <w:r w:rsidRPr="001170E4">
        <w:rPr>
          <w:rStyle w:val="FootnoteReference"/>
          <w:sz w:val="22"/>
          <w:szCs w:val="22"/>
        </w:rPr>
        <w:footnoteReference w:id="71"/>
      </w:r>
      <w:r w:rsidR="00A95765" w:rsidRPr="001170E4">
        <w:rPr>
          <w:sz w:val="22"/>
          <w:szCs w:val="22"/>
        </w:rPr>
        <w:t xml:space="preserve"> that</w:t>
      </w:r>
      <w:r w:rsidRPr="001170E4">
        <w:rPr>
          <w:sz w:val="22"/>
          <w:szCs w:val="22"/>
        </w:rPr>
        <w:t xml:space="preserve"> addresses the backlog in educational infrastructure. The IDT is playing a critical role as an implementing agency in the eradication of unsuitable school structures and in the beautification of schools.</w:t>
      </w:r>
    </w:p>
    <w:p w14:paraId="1071E897" w14:textId="77777777" w:rsidR="00BB1EE2" w:rsidRPr="001170E4" w:rsidRDefault="00BB1EE2" w:rsidP="00F72F11">
      <w:pPr>
        <w:pStyle w:val="NormalWeb"/>
        <w:spacing w:line="360" w:lineRule="auto"/>
        <w:jc w:val="both"/>
        <w:rPr>
          <w:sz w:val="22"/>
          <w:szCs w:val="22"/>
        </w:rPr>
      </w:pPr>
      <w:r w:rsidRPr="001170E4">
        <w:rPr>
          <w:sz w:val="22"/>
          <w:szCs w:val="22"/>
        </w:rPr>
        <w:t>In order to consolidate these synergies between the IDT and DPW, government is working on a new business plan, which will see the IDT become a Schedule 3A Public Entity reporting to the Minister of Public Works. Th</w:t>
      </w:r>
      <w:r w:rsidR="00A95765">
        <w:rPr>
          <w:sz w:val="22"/>
          <w:szCs w:val="22"/>
        </w:rPr>
        <w:t xml:space="preserve">is will enable the IDT to </w:t>
      </w:r>
      <w:r w:rsidRPr="001170E4">
        <w:rPr>
          <w:sz w:val="22"/>
          <w:szCs w:val="22"/>
        </w:rPr>
        <w:t>give effect to the 1997 Cabinet mandate to be “a government development agency that will implement projects which are commissioned by government departments”.</w:t>
      </w:r>
    </w:p>
    <w:p w14:paraId="2FB6E303" w14:textId="77777777" w:rsidR="00157478" w:rsidRDefault="00157478" w:rsidP="00F72F11">
      <w:pPr>
        <w:pStyle w:val="Normalbold"/>
        <w:spacing w:line="360" w:lineRule="auto"/>
        <w:rPr>
          <w:rFonts w:ascii="Times New Roman" w:hAnsi="Times New Roman"/>
          <w:szCs w:val="22"/>
        </w:rPr>
      </w:pPr>
    </w:p>
    <w:p w14:paraId="7CF4AA1D" w14:textId="30405984" w:rsidR="00BB1EE2" w:rsidRPr="001170E4" w:rsidRDefault="00BB1EE2" w:rsidP="00F72F11">
      <w:pPr>
        <w:pStyle w:val="Normalbold"/>
        <w:spacing w:line="360" w:lineRule="auto"/>
        <w:rPr>
          <w:rFonts w:ascii="Times New Roman" w:hAnsi="Times New Roman"/>
          <w:szCs w:val="22"/>
        </w:rPr>
      </w:pPr>
      <w:r w:rsidRPr="001170E4">
        <w:rPr>
          <w:rFonts w:ascii="Times New Roman" w:hAnsi="Times New Roman"/>
          <w:szCs w:val="22"/>
        </w:rPr>
        <w:t>5.1. An Overview of the 201</w:t>
      </w:r>
      <w:r w:rsidR="00091DAB">
        <w:rPr>
          <w:rFonts w:ascii="Times New Roman" w:hAnsi="Times New Roman"/>
          <w:szCs w:val="22"/>
        </w:rPr>
        <w:t>8</w:t>
      </w:r>
      <w:r w:rsidRPr="001170E4">
        <w:rPr>
          <w:rFonts w:ascii="Times New Roman" w:hAnsi="Times New Roman"/>
          <w:szCs w:val="22"/>
        </w:rPr>
        <w:t>/1</w:t>
      </w:r>
      <w:r w:rsidR="00091DAB">
        <w:rPr>
          <w:rFonts w:ascii="Times New Roman" w:hAnsi="Times New Roman"/>
          <w:szCs w:val="22"/>
        </w:rPr>
        <w:t>9</w:t>
      </w:r>
      <w:r w:rsidRPr="001170E4">
        <w:rPr>
          <w:rFonts w:ascii="Times New Roman" w:hAnsi="Times New Roman"/>
          <w:szCs w:val="22"/>
        </w:rPr>
        <w:t xml:space="preserve"> Annual Performance Plan </w:t>
      </w:r>
    </w:p>
    <w:p w14:paraId="512F22C1" w14:textId="77777777" w:rsidR="00BB1EE2" w:rsidRPr="001170E4" w:rsidRDefault="00BB1EE2" w:rsidP="00F72F11">
      <w:pPr>
        <w:pStyle w:val="Normalbold"/>
        <w:spacing w:line="360" w:lineRule="auto"/>
        <w:rPr>
          <w:rFonts w:ascii="Times New Roman" w:hAnsi="Times New Roman"/>
          <w:b w:val="0"/>
          <w:szCs w:val="22"/>
        </w:rPr>
      </w:pPr>
    </w:p>
    <w:p w14:paraId="185528A6" w14:textId="77777777" w:rsidR="00BB1EE2" w:rsidRPr="001170E4" w:rsidRDefault="00293CA9" w:rsidP="00F72F11">
      <w:pPr>
        <w:spacing w:line="360" w:lineRule="auto"/>
        <w:jc w:val="both"/>
        <w:rPr>
          <w:rFonts w:ascii="Times New Roman" w:hAnsi="Times New Roman" w:cs="Times New Roman"/>
        </w:rPr>
      </w:pPr>
      <w:r w:rsidRPr="00BF4D59">
        <w:rPr>
          <w:rFonts w:ascii="Times New Roman" w:hAnsi="Times New Roman" w:cs="Times New Roman"/>
        </w:rPr>
        <w:t xml:space="preserve">The IDT </w:t>
      </w:r>
      <w:r w:rsidR="00BF4D59" w:rsidRPr="00BF4D59">
        <w:rPr>
          <w:rFonts w:ascii="Times New Roman" w:hAnsi="Times New Roman" w:cs="Times New Roman"/>
        </w:rPr>
        <w:t>is set up as a strategic partner in the management, integration and implementation of certain government’s development programmes.</w:t>
      </w:r>
      <w:r w:rsidR="00BF4D59">
        <w:rPr>
          <w:sz w:val="23"/>
          <w:szCs w:val="23"/>
        </w:rPr>
        <w:t xml:space="preserve"> It </w:t>
      </w:r>
      <w:r>
        <w:rPr>
          <w:rFonts w:ascii="Times New Roman" w:hAnsi="Times New Roman" w:cs="Times New Roman"/>
        </w:rPr>
        <w:t>plays a key role as</w:t>
      </w:r>
      <w:r w:rsidR="00BB1EE2" w:rsidRPr="001170E4">
        <w:rPr>
          <w:rFonts w:ascii="Times New Roman" w:hAnsi="Times New Roman" w:cs="Times New Roman"/>
        </w:rPr>
        <w:t xml:space="preserve"> implementer of social infrastructure projects</w:t>
      </w:r>
      <w:r>
        <w:rPr>
          <w:rFonts w:ascii="Times New Roman" w:hAnsi="Times New Roman" w:cs="Times New Roman"/>
        </w:rPr>
        <w:t>. It also</w:t>
      </w:r>
      <w:r w:rsidR="00BB1EE2" w:rsidRPr="001170E4">
        <w:rPr>
          <w:rFonts w:ascii="Times New Roman" w:hAnsi="Times New Roman" w:cs="Times New Roman"/>
        </w:rPr>
        <w:t xml:space="preserve"> assists the Department of Public Works in efforts to address the priorities of job creation and sector skills development. The IDT further contributes to the work of other entities in the </w:t>
      </w:r>
      <w:r w:rsidR="00BB1EE2" w:rsidRPr="001170E4">
        <w:rPr>
          <w:rFonts w:ascii="Times New Roman" w:hAnsi="Times New Roman" w:cs="Times New Roman"/>
        </w:rPr>
        <w:lastRenderedPageBreak/>
        <w:t xml:space="preserve">built environment and construction industry through the promotion of alternative construction initiatives in the building of school infrastructure. It also invests in professional registration of built environment employees, and supports human resources and talent development. </w:t>
      </w:r>
    </w:p>
    <w:p w14:paraId="16051650" w14:textId="77777777" w:rsidR="00BB1EE2" w:rsidRPr="001170E4" w:rsidRDefault="00293CA9" w:rsidP="00F72F11">
      <w:pPr>
        <w:spacing w:line="360" w:lineRule="auto"/>
        <w:jc w:val="both"/>
        <w:rPr>
          <w:rFonts w:ascii="Times New Roman" w:hAnsi="Times New Roman" w:cs="Times New Roman"/>
        </w:rPr>
      </w:pPr>
      <w:r>
        <w:rPr>
          <w:rFonts w:ascii="Times New Roman" w:hAnsi="Times New Roman" w:cs="Times New Roman"/>
        </w:rPr>
        <w:t>The</w:t>
      </w:r>
      <w:r w:rsidR="00BB1EE2" w:rsidRPr="001170E4">
        <w:rPr>
          <w:rFonts w:ascii="Times New Roman" w:hAnsi="Times New Roman" w:cs="Times New Roman"/>
        </w:rPr>
        <w:t xml:space="preserve"> role of the IDT </w:t>
      </w:r>
      <w:r>
        <w:rPr>
          <w:rFonts w:ascii="Times New Roman" w:hAnsi="Times New Roman" w:cs="Times New Roman"/>
        </w:rPr>
        <w:t>in addressing the priorities of job creation and skills development see</w:t>
      </w:r>
      <w:r w:rsidR="00BB1EE2" w:rsidRPr="001170E4">
        <w:rPr>
          <w:rFonts w:ascii="Times New Roman" w:hAnsi="Times New Roman" w:cs="Times New Roman"/>
        </w:rPr>
        <w:t>s th</w:t>
      </w:r>
      <w:r>
        <w:rPr>
          <w:rFonts w:ascii="Times New Roman" w:hAnsi="Times New Roman" w:cs="Times New Roman"/>
        </w:rPr>
        <w:t>e entity</w:t>
      </w:r>
      <w:r w:rsidR="00BB1EE2" w:rsidRPr="001170E4">
        <w:rPr>
          <w:rFonts w:ascii="Times New Roman" w:hAnsi="Times New Roman" w:cs="Times New Roman"/>
        </w:rPr>
        <w:t xml:space="preserve"> play a key part </w:t>
      </w:r>
      <w:r>
        <w:rPr>
          <w:rFonts w:ascii="Times New Roman" w:hAnsi="Times New Roman" w:cs="Times New Roman"/>
        </w:rPr>
        <w:t>in</w:t>
      </w:r>
      <w:r w:rsidR="00BB1EE2" w:rsidRPr="001170E4">
        <w:rPr>
          <w:rFonts w:ascii="Times New Roman" w:hAnsi="Times New Roman" w:cs="Times New Roman"/>
        </w:rPr>
        <w:t xml:space="preserve"> EPWP</w:t>
      </w:r>
      <w:r>
        <w:rPr>
          <w:rFonts w:ascii="Times New Roman" w:hAnsi="Times New Roman" w:cs="Times New Roman"/>
        </w:rPr>
        <w:t xml:space="preserve"> projects with other departments and municipalities</w:t>
      </w:r>
      <w:r w:rsidR="00BB1EE2" w:rsidRPr="001170E4">
        <w:rPr>
          <w:rFonts w:ascii="Times New Roman" w:hAnsi="Times New Roman" w:cs="Times New Roman"/>
        </w:rPr>
        <w:t>.</w:t>
      </w:r>
      <w:r w:rsidR="00BB1EE2" w:rsidRPr="001170E4">
        <w:rPr>
          <w:rStyle w:val="FootnoteReference"/>
          <w:rFonts w:ascii="Times New Roman" w:hAnsi="Times New Roman" w:cs="Times New Roman"/>
        </w:rPr>
        <w:footnoteReference w:id="72"/>
      </w:r>
      <w:r w:rsidR="00BB1EE2" w:rsidRPr="001170E4">
        <w:rPr>
          <w:rFonts w:ascii="Times New Roman" w:hAnsi="Times New Roman" w:cs="Times New Roman"/>
        </w:rPr>
        <w:t xml:space="preserve"> </w:t>
      </w:r>
    </w:p>
    <w:p w14:paraId="5C35C2C4" w14:textId="77777777" w:rsidR="00BB1EE2" w:rsidRDefault="00BB1EE2" w:rsidP="00F72F11">
      <w:pPr>
        <w:spacing w:line="360" w:lineRule="auto"/>
        <w:jc w:val="both"/>
        <w:rPr>
          <w:rFonts w:ascii="Times New Roman" w:hAnsi="Times New Roman" w:cs="Times New Roman"/>
        </w:rPr>
      </w:pPr>
    </w:p>
    <w:p w14:paraId="157DD2E4" w14:textId="77777777" w:rsidR="003C237A" w:rsidRDefault="00BF4D59" w:rsidP="00F72F11">
      <w:pPr>
        <w:spacing w:after="0" w:line="360" w:lineRule="auto"/>
        <w:jc w:val="both"/>
        <w:rPr>
          <w:rFonts w:ascii="Times New Roman" w:hAnsi="Times New Roman"/>
          <w:lang w:val="en-GB"/>
        </w:rPr>
      </w:pPr>
      <w:r>
        <w:rPr>
          <w:rFonts w:ascii="Times New Roman" w:hAnsi="Times New Roman" w:cs="Times New Roman"/>
        </w:rPr>
        <w:t xml:space="preserve">In its Annual Performance </w:t>
      </w:r>
      <w:r w:rsidR="0002603D">
        <w:rPr>
          <w:rFonts w:ascii="Times New Roman" w:hAnsi="Times New Roman" w:cs="Times New Roman"/>
        </w:rPr>
        <w:t>Plan,</w:t>
      </w:r>
      <w:r>
        <w:rPr>
          <w:rFonts w:ascii="Times New Roman" w:hAnsi="Times New Roman" w:cs="Times New Roman"/>
        </w:rPr>
        <w:t xml:space="preserve"> the IDT claims that it mainly generates income from </w:t>
      </w:r>
      <w:r w:rsidR="00941954" w:rsidRPr="00BF4D59">
        <w:rPr>
          <w:rFonts w:ascii="Times New Roman" w:hAnsi="Times New Roman"/>
          <w:lang w:val="en-GB"/>
        </w:rPr>
        <w:t>management fees derived from managing the implementation of social infrastructure projects on behalf of government.</w:t>
      </w:r>
      <w:r>
        <w:rPr>
          <w:rFonts w:ascii="Times New Roman" w:hAnsi="Times New Roman"/>
          <w:lang w:val="en-GB"/>
        </w:rPr>
        <w:t xml:space="preserve"> In spite of this claim,</w:t>
      </w:r>
      <w:r w:rsidR="0002603D">
        <w:rPr>
          <w:rFonts w:ascii="Times New Roman" w:hAnsi="Times New Roman"/>
          <w:lang w:val="en-GB"/>
        </w:rPr>
        <w:t xml:space="preserve"> it actually struggles to collect management fees from departments and municipalities. </w:t>
      </w:r>
    </w:p>
    <w:p w14:paraId="171027B5" w14:textId="77777777" w:rsidR="003C237A" w:rsidRDefault="003C237A" w:rsidP="00F72F11">
      <w:pPr>
        <w:spacing w:after="0" w:line="360" w:lineRule="auto"/>
        <w:jc w:val="both"/>
        <w:rPr>
          <w:rFonts w:ascii="Times New Roman" w:hAnsi="Times New Roman"/>
          <w:lang w:val="en-GB"/>
        </w:rPr>
      </w:pPr>
    </w:p>
    <w:p w14:paraId="61D00B0A" w14:textId="77777777" w:rsidR="003F459A" w:rsidRPr="00D60FFA" w:rsidRDefault="00D60FFA" w:rsidP="00F72F11">
      <w:pPr>
        <w:spacing w:after="0" w:line="360" w:lineRule="auto"/>
        <w:jc w:val="both"/>
        <w:rPr>
          <w:rFonts w:ascii="Times New Roman" w:hAnsi="Times New Roman"/>
        </w:rPr>
      </w:pPr>
      <w:r>
        <w:rPr>
          <w:rFonts w:ascii="Times New Roman" w:hAnsi="Times New Roman"/>
          <w:lang w:val="en-GB"/>
        </w:rPr>
        <w:t>The</w:t>
      </w:r>
      <w:r w:rsidR="0002603D">
        <w:rPr>
          <w:rFonts w:ascii="Times New Roman" w:hAnsi="Times New Roman"/>
          <w:lang w:val="en-GB"/>
        </w:rPr>
        <w:t xml:space="preserve"> </w:t>
      </w:r>
      <w:r w:rsidR="003C237A">
        <w:rPr>
          <w:rFonts w:ascii="Times New Roman" w:hAnsi="Times New Roman"/>
          <w:lang w:val="en-GB"/>
        </w:rPr>
        <w:t>IDT was un</w:t>
      </w:r>
      <w:r w:rsidR="0002603D">
        <w:rPr>
          <w:rFonts w:ascii="Times New Roman" w:hAnsi="Times New Roman"/>
          <w:lang w:val="en-GB"/>
        </w:rPr>
        <w:t xml:space="preserve">able to generate revenue as per the claim made in its Annual Performance Plans since 2014. </w:t>
      </w:r>
      <w:r>
        <w:rPr>
          <w:rFonts w:ascii="Times New Roman" w:hAnsi="Times New Roman"/>
          <w:lang w:val="en-GB"/>
        </w:rPr>
        <w:t>It ascribes this challenge in its presentation to the Committee as “</w:t>
      </w:r>
      <w:r w:rsidR="00941954" w:rsidRPr="00D60FFA">
        <w:rPr>
          <w:rFonts w:ascii="Times New Roman" w:hAnsi="Times New Roman"/>
        </w:rPr>
        <w:t>Owing to operational, governance and financial challenges experienced over the last three years</w:t>
      </w:r>
      <w:r>
        <w:rPr>
          <w:rFonts w:ascii="Times New Roman" w:hAnsi="Times New Roman"/>
        </w:rPr>
        <w:t>”.</w:t>
      </w:r>
      <w:r w:rsidR="00941954" w:rsidRPr="00D60FFA">
        <w:rPr>
          <w:rFonts w:ascii="Times New Roman" w:hAnsi="Times New Roman"/>
        </w:rPr>
        <w:t xml:space="preserve"> </w:t>
      </w:r>
      <w:r>
        <w:rPr>
          <w:rFonts w:ascii="Times New Roman" w:hAnsi="Times New Roman"/>
        </w:rPr>
        <w:t xml:space="preserve">The IDT has been unstable in terms of both financial income as well as management and government has had to take steps to reposition and renew it. </w:t>
      </w:r>
    </w:p>
    <w:p w14:paraId="054478FF" w14:textId="77777777" w:rsidR="00D60FFA" w:rsidRDefault="00D60FFA" w:rsidP="00F72F11">
      <w:pPr>
        <w:spacing w:after="0" w:line="360" w:lineRule="auto"/>
        <w:jc w:val="both"/>
        <w:rPr>
          <w:rFonts w:ascii="Times New Roman" w:hAnsi="Times New Roman"/>
        </w:rPr>
      </w:pPr>
    </w:p>
    <w:p w14:paraId="2EE27381" w14:textId="77777777" w:rsidR="003F459A" w:rsidRPr="00D60FFA" w:rsidRDefault="00941954" w:rsidP="00F72F11">
      <w:pPr>
        <w:spacing w:after="0" w:line="360" w:lineRule="auto"/>
        <w:jc w:val="both"/>
        <w:rPr>
          <w:rFonts w:ascii="Times New Roman" w:hAnsi="Times New Roman"/>
        </w:rPr>
      </w:pPr>
      <w:r w:rsidRPr="00D60FFA">
        <w:rPr>
          <w:rFonts w:ascii="Times New Roman" w:hAnsi="Times New Roman"/>
        </w:rPr>
        <w:t>This process</w:t>
      </w:r>
      <w:r w:rsidR="00B80989">
        <w:rPr>
          <w:rFonts w:ascii="Times New Roman" w:hAnsi="Times New Roman"/>
        </w:rPr>
        <w:t xml:space="preserve"> of renewal and repositioning was approved by the</w:t>
      </w:r>
      <w:r w:rsidRPr="00D60FFA">
        <w:rPr>
          <w:rFonts w:ascii="Times New Roman" w:hAnsi="Times New Roman"/>
        </w:rPr>
        <w:t xml:space="preserve"> Board</w:t>
      </w:r>
      <w:r w:rsidR="00B80989">
        <w:rPr>
          <w:rFonts w:ascii="Times New Roman" w:hAnsi="Times New Roman"/>
        </w:rPr>
        <w:t xml:space="preserve"> and include</w:t>
      </w:r>
      <w:r w:rsidR="00A95765">
        <w:rPr>
          <w:rFonts w:ascii="Times New Roman" w:hAnsi="Times New Roman"/>
        </w:rPr>
        <w:t>d</w:t>
      </w:r>
      <w:r w:rsidR="00B80989">
        <w:rPr>
          <w:rFonts w:ascii="Times New Roman" w:hAnsi="Times New Roman"/>
        </w:rPr>
        <w:t xml:space="preserve"> an</w:t>
      </w:r>
      <w:r w:rsidRPr="00D60FFA">
        <w:rPr>
          <w:rFonts w:ascii="Times New Roman" w:hAnsi="Times New Roman"/>
        </w:rPr>
        <w:t xml:space="preserve"> Operating Model and Turnaround Plan</w:t>
      </w:r>
      <w:r w:rsidR="00B80989">
        <w:rPr>
          <w:rFonts w:ascii="Times New Roman" w:hAnsi="Times New Roman"/>
        </w:rPr>
        <w:t>. T</w:t>
      </w:r>
      <w:r w:rsidRPr="00D60FFA">
        <w:rPr>
          <w:rFonts w:ascii="Times New Roman" w:hAnsi="Times New Roman"/>
        </w:rPr>
        <w:t xml:space="preserve">he Executive Authority and the Department of Public Works </w:t>
      </w:r>
      <w:r w:rsidR="00B80989">
        <w:rPr>
          <w:rFonts w:ascii="Times New Roman" w:hAnsi="Times New Roman"/>
        </w:rPr>
        <w:t xml:space="preserve">has assisted </w:t>
      </w:r>
      <w:r w:rsidRPr="00D60FFA">
        <w:rPr>
          <w:rFonts w:ascii="Times New Roman" w:hAnsi="Times New Roman"/>
        </w:rPr>
        <w:t xml:space="preserve">to secure transition funding, </w:t>
      </w:r>
      <w:r w:rsidR="00B80989">
        <w:rPr>
          <w:rFonts w:ascii="Times New Roman" w:hAnsi="Times New Roman"/>
        </w:rPr>
        <w:t>a</w:t>
      </w:r>
      <w:r w:rsidRPr="00D60FFA">
        <w:rPr>
          <w:rFonts w:ascii="Times New Roman" w:hAnsi="Times New Roman"/>
        </w:rPr>
        <w:t xml:space="preserve">s a structured response to the entity’s </w:t>
      </w:r>
      <w:r w:rsidR="000D2E41">
        <w:rPr>
          <w:rFonts w:ascii="Times New Roman" w:hAnsi="Times New Roman"/>
        </w:rPr>
        <w:t xml:space="preserve">mentioned </w:t>
      </w:r>
      <w:r w:rsidRPr="00D60FFA">
        <w:rPr>
          <w:rFonts w:ascii="Times New Roman" w:hAnsi="Times New Roman"/>
        </w:rPr>
        <w:t xml:space="preserve">operational and financial challenges. </w:t>
      </w:r>
    </w:p>
    <w:p w14:paraId="04BC75F8" w14:textId="77777777" w:rsidR="00D60FFA" w:rsidRDefault="00D60FFA" w:rsidP="00F72F11">
      <w:pPr>
        <w:spacing w:after="0" w:line="360" w:lineRule="auto"/>
        <w:jc w:val="both"/>
        <w:rPr>
          <w:rFonts w:ascii="Times New Roman" w:hAnsi="Times New Roman"/>
          <w:lang w:val="en-GB"/>
        </w:rPr>
      </w:pPr>
    </w:p>
    <w:p w14:paraId="4D0656A0" w14:textId="77777777" w:rsidR="0002603D" w:rsidRPr="001170E4" w:rsidRDefault="0002603D" w:rsidP="00F72F11">
      <w:pPr>
        <w:spacing w:after="0" w:line="360" w:lineRule="auto"/>
        <w:jc w:val="both"/>
        <w:rPr>
          <w:rFonts w:ascii="Times New Roman" w:eastAsia="Calibri" w:hAnsi="Times New Roman" w:cs="Times New Roman"/>
          <w:lang w:val="en-GB"/>
        </w:rPr>
      </w:pPr>
      <w:r>
        <w:rPr>
          <w:rFonts w:ascii="Times New Roman" w:hAnsi="Times New Roman"/>
          <w:lang w:val="en-GB"/>
        </w:rPr>
        <w:t>To assist the entity,</w:t>
      </w:r>
      <w:r w:rsidR="00BF4D59">
        <w:rPr>
          <w:rFonts w:ascii="Times New Roman" w:hAnsi="Times New Roman"/>
          <w:lang w:val="en-GB"/>
        </w:rPr>
        <w:t xml:space="preserve"> </w:t>
      </w:r>
      <w:r>
        <w:rPr>
          <w:rFonts w:ascii="Times New Roman" w:hAnsi="Times New Roman"/>
          <w:lang w:val="en-GB"/>
        </w:rPr>
        <w:t xml:space="preserve">the DPW </w:t>
      </w:r>
      <w:r>
        <w:rPr>
          <w:rFonts w:ascii="Times New Roman" w:eastAsia="Calibri" w:hAnsi="Times New Roman" w:cs="Times New Roman"/>
          <w:lang w:val="en-GB"/>
        </w:rPr>
        <w:t>made</w:t>
      </w:r>
      <w:r w:rsidRPr="001170E4">
        <w:rPr>
          <w:rFonts w:ascii="Times New Roman" w:eastAsia="Calibri" w:hAnsi="Times New Roman" w:cs="Times New Roman"/>
          <w:lang w:val="en-GB"/>
        </w:rPr>
        <w:t xml:space="preserve"> a</w:t>
      </w:r>
      <w:r>
        <w:rPr>
          <w:rFonts w:ascii="Times New Roman" w:eastAsia="Calibri" w:hAnsi="Times New Roman" w:cs="Times New Roman"/>
          <w:lang w:val="en-GB"/>
        </w:rPr>
        <w:t>n allocation</w:t>
      </w:r>
      <w:r w:rsidR="000D2E41">
        <w:rPr>
          <w:rFonts w:ascii="Times New Roman" w:eastAsia="Calibri" w:hAnsi="Times New Roman" w:cs="Times New Roman"/>
          <w:lang w:val="en-GB"/>
        </w:rPr>
        <w:t xml:space="preserve"> from </w:t>
      </w:r>
      <w:r w:rsidR="000D2E41" w:rsidRPr="000D2E41">
        <w:rPr>
          <w:rFonts w:ascii="Times New Roman" w:eastAsia="Calibri" w:hAnsi="Times New Roman" w:cs="Times New Roman"/>
          <w:i/>
          <w:lang w:val="en-GB"/>
        </w:rPr>
        <w:t>Programme 4:</w:t>
      </w:r>
      <w:r w:rsidR="000D2E41">
        <w:rPr>
          <w:rFonts w:ascii="Times New Roman" w:eastAsia="Calibri" w:hAnsi="Times New Roman" w:cs="Times New Roman"/>
          <w:lang w:val="en-GB"/>
        </w:rPr>
        <w:t xml:space="preserve"> </w:t>
      </w:r>
      <w:r w:rsidR="000D2E41" w:rsidRPr="001170E4">
        <w:rPr>
          <w:rFonts w:ascii="Times New Roman" w:hAnsi="Times New Roman"/>
          <w:i/>
        </w:rPr>
        <w:t>Property and Construction Industry Policy and Research</w:t>
      </w:r>
      <w:r w:rsidR="00897BAB">
        <w:rPr>
          <w:rFonts w:ascii="Times New Roman" w:eastAsia="Calibri" w:hAnsi="Times New Roman" w:cs="Times New Roman"/>
          <w:lang w:val="en-GB"/>
        </w:rPr>
        <w:t xml:space="preserve"> of R28,</w:t>
      </w:r>
      <w:r>
        <w:rPr>
          <w:rFonts w:ascii="Times New Roman" w:eastAsia="Calibri" w:hAnsi="Times New Roman" w:cs="Times New Roman"/>
          <w:lang w:val="en-GB"/>
        </w:rPr>
        <w:t xml:space="preserve">4 million that is </w:t>
      </w:r>
      <w:r w:rsidR="00897BAB">
        <w:rPr>
          <w:rFonts w:ascii="Times New Roman" w:eastAsia="Calibri" w:hAnsi="Times New Roman" w:cs="Times New Roman"/>
          <w:lang w:val="en-GB"/>
        </w:rPr>
        <w:t>a decline of R82,</w:t>
      </w:r>
      <w:r w:rsidRPr="001170E4">
        <w:rPr>
          <w:rFonts w:ascii="Times New Roman" w:eastAsia="Calibri" w:hAnsi="Times New Roman" w:cs="Times New Roman"/>
          <w:lang w:val="en-GB"/>
        </w:rPr>
        <w:t>7 million from the R111 million allocation of 2017/18.</w:t>
      </w:r>
    </w:p>
    <w:p w14:paraId="0736266C" w14:textId="77777777" w:rsidR="00BF4D59" w:rsidRPr="001170E4" w:rsidRDefault="00BF4D59" w:rsidP="00F72F11">
      <w:pPr>
        <w:spacing w:line="360" w:lineRule="auto"/>
        <w:jc w:val="both"/>
        <w:rPr>
          <w:rFonts w:ascii="Times New Roman" w:hAnsi="Times New Roman" w:cs="Times New Roman"/>
        </w:rPr>
      </w:pPr>
    </w:p>
    <w:p w14:paraId="436CBF19"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The IDT reports on two programmes:</w:t>
      </w:r>
    </w:p>
    <w:p w14:paraId="3DEBEEF5" w14:textId="77777777" w:rsidR="00BB1EE2" w:rsidRPr="001170E4" w:rsidRDefault="00BB1EE2" w:rsidP="00B41D07">
      <w:pPr>
        <w:pStyle w:val="Normalbold"/>
        <w:numPr>
          <w:ilvl w:val="0"/>
          <w:numId w:val="39"/>
        </w:numPr>
        <w:spacing w:line="360" w:lineRule="auto"/>
        <w:rPr>
          <w:rFonts w:ascii="Times New Roman" w:hAnsi="Times New Roman"/>
          <w:b w:val="0"/>
          <w:szCs w:val="22"/>
        </w:rPr>
      </w:pPr>
      <w:r w:rsidRPr="001170E4">
        <w:rPr>
          <w:rFonts w:ascii="Times New Roman" w:hAnsi="Times New Roman"/>
          <w:b w:val="0"/>
          <w:szCs w:val="22"/>
        </w:rPr>
        <w:t xml:space="preserve">Programme 1: Integrated Service Delivery. </w:t>
      </w:r>
    </w:p>
    <w:p w14:paraId="1F3B14C8" w14:textId="77777777" w:rsidR="00BB1EE2" w:rsidRPr="001170E4" w:rsidRDefault="00BB1EE2" w:rsidP="00B41D07">
      <w:pPr>
        <w:pStyle w:val="Normalbold"/>
        <w:numPr>
          <w:ilvl w:val="0"/>
          <w:numId w:val="39"/>
        </w:numPr>
        <w:spacing w:line="360" w:lineRule="auto"/>
        <w:rPr>
          <w:rFonts w:ascii="Times New Roman" w:hAnsi="Times New Roman"/>
          <w:b w:val="0"/>
          <w:szCs w:val="22"/>
        </w:rPr>
      </w:pPr>
      <w:r w:rsidRPr="001170E4">
        <w:rPr>
          <w:rFonts w:ascii="Times New Roman" w:hAnsi="Times New Roman"/>
          <w:b w:val="0"/>
          <w:szCs w:val="22"/>
        </w:rPr>
        <w:t>Programme 2: Administration.</w:t>
      </w:r>
    </w:p>
    <w:p w14:paraId="38990616" w14:textId="77777777" w:rsidR="00BB1EE2" w:rsidRPr="001170E4" w:rsidRDefault="00BB1EE2" w:rsidP="00F72F11">
      <w:pPr>
        <w:pStyle w:val="Normalbold"/>
        <w:spacing w:line="360" w:lineRule="auto"/>
        <w:rPr>
          <w:rFonts w:ascii="Times New Roman" w:eastAsiaTheme="minorHAnsi" w:hAnsi="Times New Roman"/>
          <w:b w:val="0"/>
          <w:color w:val="auto"/>
          <w:spacing w:val="0"/>
          <w:szCs w:val="22"/>
          <w:lang w:val="en-ZA" w:eastAsia="en-US"/>
        </w:rPr>
      </w:pPr>
    </w:p>
    <w:p w14:paraId="618B5421" w14:textId="77777777" w:rsidR="00BB1EE2" w:rsidRPr="001170E4" w:rsidRDefault="00BB1EE2" w:rsidP="00F72F11">
      <w:pPr>
        <w:pStyle w:val="Normalbold"/>
        <w:spacing w:line="360" w:lineRule="auto"/>
        <w:rPr>
          <w:rFonts w:ascii="Times New Roman" w:hAnsi="Times New Roman"/>
          <w:b w:val="0"/>
          <w:szCs w:val="22"/>
        </w:rPr>
      </w:pPr>
      <w:r w:rsidRPr="001170E4">
        <w:rPr>
          <w:rFonts w:ascii="Times New Roman" w:hAnsi="Times New Roman"/>
          <w:b w:val="0"/>
          <w:szCs w:val="22"/>
        </w:rPr>
        <w:t>The business focus strategy includes strengthening of new business growth areas within the social infrastructure sector. It also</w:t>
      </w:r>
      <w:r w:rsidRPr="001170E4">
        <w:rPr>
          <w:rFonts w:ascii="Times New Roman" w:hAnsi="Times New Roman"/>
          <w:szCs w:val="22"/>
        </w:rPr>
        <w:t xml:space="preserve"> </w:t>
      </w:r>
      <w:r w:rsidRPr="001170E4">
        <w:rPr>
          <w:rFonts w:ascii="Times New Roman" w:hAnsi="Times New Roman"/>
          <w:b w:val="0"/>
          <w:szCs w:val="22"/>
        </w:rPr>
        <w:t>plans to focus on the implementation of some of the long- and medium-term outcomes of the Turnaround Strategy, such as:</w:t>
      </w:r>
    </w:p>
    <w:p w14:paraId="39276389" w14:textId="77777777" w:rsidR="00BB1EE2" w:rsidRPr="001170E4" w:rsidRDefault="00BB1EE2" w:rsidP="00F72F11">
      <w:pPr>
        <w:pStyle w:val="Normalbold"/>
        <w:spacing w:line="360" w:lineRule="auto"/>
        <w:rPr>
          <w:rFonts w:ascii="Times New Roman" w:hAnsi="Times New Roman"/>
          <w:b w:val="0"/>
          <w:szCs w:val="22"/>
        </w:rPr>
      </w:pPr>
    </w:p>
    <w:p w14:paraId="372247AD" w14:textId="77777777" w:rsidR="00BB1EE2" w:rsidRPr="001170E4" w:rsidRDefault="00BB1EE2" w:rsidP="00B41D07">
      <w:pPr>
        <w:pStyle w:val="Normalbold"/>
        <w:numPr>
          <w:ilvl w:val="0"/>
          <w:numId w:val="38"/>
        </w:numPr>
        <w:spacing w:line="360" w:lineRule="auto"/>
        <w:ind w:left="714" w:hanging="357"/>
        <w:rPr>
          <w:rFonts w:ascii="Times New Roman" w:hAnsi="Times New Roman"/>
          <w:b w:val="0"/>
          <w:szCs w:val="22"/>
        </w:rPr>
      </w:pPr>
      <w:r w:rsidRPr="001170E4">
        <w:rPr>
          <w:rFonts w:ascii="Times New Roman" w:hAnsi="Times New Roman"/>
          <w:b w:val="0"/>
          <w:szCs w:val="22"/>
        </w:rPr>
        <w:lastRenderedPageBreak/>
        <w:t>Expansion of the revenue base and confidence-building;</w:t>
      </w:r>
    </w:p>
    <w:p w14:paraId="39248792" w14:textId="77777777" w:rsidR="00BB1EE2" w:rsidRPr="001170E4" w:rsidRDefault="00BB1EE2" w:rsidP="00B41D07">
      <w:pPr>
        <w:pStyle w:val="Normalbold"/>
        <w:numPr>
          <w:ilvl w:val="0"/>
          <w:numId w:val="38"/>
        </w:numPr>
        <w:spacing w:line="360" w:lineRule="auto"/>
        <w:ind w:left="714" w:hanging="357"/>
        <w:rPr>
          <w:rFonts w:ascii="Times New Roman" w:hAnsi="Times New Roman"/>
          <w:b w:val="0"/>
          <w:szCs w:val="22"/>
        </w:rPr>
      </w:pPr>
      <w:r w:rsidRPr="001170E4">
        <w:rPr>
          <w:rFonts w:ascii="Times New Roman" w:hAnsi="Times New Roman"/>
          <w:b w:val="0"/>
          <w:szCs w:val="22"/>
        </w:rPr>
        <w:t>Corporate and financial governance;</w:t>
      </w:r>
    </w:p>
    <w:p w14:paraId="4971D011" w14:textId="77777777" w:rsidR="00BB1EE2" w:rsidRPr="001170E4" w:rsidRDefault="00BB1EE2" w:rsidP="00B41D07">
      <w:pPr>
        <w:pStyle w:val="Normalbold"/>
        <w:numPr>
          <w:ilvl w:val="0"/>
          <w:numId w:val="38"/>
        </w:numPr>
        <w:spacing w:line="360" w:lineRule="auto"/>
        <w:ind w:left="714" w:hanging="357"/>
        <w:rPr>
          <w:rFonts w:ascii="Times New Roman" w:hAnsi="Times New Roman"/>
          <w:b w:val="0"/>
          <w:szCs w:val="22"/>
        </w:rPr>
      </w:pPr>
      <w:r w:rsidRPr="001170E4">
        <w:rPr>
          <w:rFonts w:ascii="Times New Roman" w:hAnsi="Times New Roman"/>
          <w:b w:val="0"/>
          <w:szCs w:val="22"/>
        </w:rPr>
        <w:t>Reputation Management Plan; and</w:t>
      </w:r>
    </w:p>
    <w:p w14:paraId="2E4808D3" w14:textId="77777777" w:rsidR="00BB1EE2" w:rsidRPr="001170E4" w:rsidRDefault="00BB1EE2" w:rsidP="00B41D07">
      <w:pPr>
        <w:pStyle w:val="Normalbold"/>
        <w:numPr>
          <w:ilvl w:val="0"/>
          <w:numId w:val="38"/>
        </w:numPr>
        <w:spacing w:line="360" w:lineRule="auto"/>
        <w:ind w:left="714" w:hanging="357"/>
        <w:rPr>
          <w:rFonts w:ascii="Times New Roman" w:hAnsi="Times New Roman"/>
          <w:b w:val="0"/>
          <w:szCs w:val="22"/>
        </w:rPr>
      </w:pPr>
      <w:r w:rsidRPr="001170E4">
        <w:rPr>
          <w:rFonts w:ascii="Times New Roman" w:hAnsi="Times New Roman"/>
          <w:b w:val="0"/>
          <w:szCs w:val="22"/>
        </w:rPr>
        <w:t>Finalisation of the IDT Business Case.</w:t>
      </w:r>
    </w:p>
    <w:p w14:paraId="1C8748AB" w14:textId="77777777" w:rsidR="00BB1EE2" w:rsidRPr="001170E4" w:rsidRDefault="00BB1EE2" w:rsidP="00F72F11">
      <w:pPr>
        <w:pStyle w:val="Normalbold"/>
        <w:spacing w:line="360" w:lineRule="auto"/>
        <w:rPr>
          <w:rFonts w:ascii="Times New Roman" w:hAnsi="Times New Roman"/>
          <w:szCs w:val="22"/>
        </w:rPr>
      </w:pPr>
    </w:p>
    <w:p w14:paraId="0CFB7C93" w14:textId="77777777" w:rsidR="00091DAB" w:rsidRDefault="00B10D70" w:rsidP="00F72F11">
      <w:pPr>
        <w:pStyle w:val="Normalbold"/>
        <w:spacing w:line="360" w:lineRule="auto"/>
        <w:rPr>
          <w:rFonts w:ascii="Times New Roman" w:hAnsi="Times New Roman"/>
          <w:b w:val="0"/>
          <w:szCs w:val="22"/>
        </w:rPr>
      </w:pPr>
      <w:r>
        <w:rPr>
          <w:rFonts w:ascii="Times New Roman" w:hAnsi="Times New Roman"/>
          <w:b w:val="0"/>
          <w:szCs w:val="22"/>
        </w:rPr>
        <w:t xml:space="preserve">In its </w:t>
      </w:r>
      <w:r w:rsidR="00A95765">
        <w:rPr>
          <w:rFonts w:ascii="Times New Roman" w:hAnsi="Times New Roman"/>
          <w:b w:val="0"/>
          <w:szCs w:val="22"/>
        </w:rPr>
        <w:t>APP,</w:t>
      </w:r>
      <w:r>
        <w:rPr>
          <w:rFonts w:ascii="Times New Roman" w:hAnsi="Times New Roman"/>
          <w:b w:val="0"/>
          <w:szCs w:val="22"/>
        </w:rPr>
        <w:t xml:space="preserve"> the IDT showed a budget </w:t>
      </w:r>
      <w:r w:rsidR="00BB1EE2" w:rsidRPr="001170E4">
        <w:rPr>
          <w:rFonts w:ascii="Times New Roman" w:hAnsi="Times New Roman"/>
          <w:b w:val="0"/>
          <w:szCs w:val="22"/>
        </w:rPr>
        <w:t xml:space="preserve">for </w:t>
      </w:r>
      <w:r>
        <w:rPr>
          <w:rFonts w:ascii="Times New Roman" w:hAnsi="Times New Roman"/>
          <w:b w:val="0"/>
          <w:szCs w:val="22"/>
        </w:rPr>
        <w:t>2018/19 amounting to R</w:t>
      </w:r>
      <w:r w:rsidR="00091DAB">
        <w:rPr>
          <w:rFonts w:ascii="Times New Roman" w:hAnsi="Times New Roman"/>
          <w:b w:val="0"/>
          <w:szCs w:val="22"/>
        </w:rPr>
        <w:t>6,</w:t>
      </w:r>
      <w:r>
        <w:rPr>
          <w:rFonts w:ascii="Times New Roman" w:hAnsi="Times New Roman"/>
          <w:b w:val="0"/>
          <w:szCs w:val="22"/>
        </w:rPr>
        <w:t>1</w:t>
      </w:r>
      <w:r w:rsidR="00091DAB">
        <w:rPr>
          <w:rFonts w:ascii="Times New Roman" w:hAnsi="Times New Roman"/>
          <w:b w:val="0"/>
          <w:szCs w:val="22"/>
        </w:rPr>
        <w:t>2</w:t>
      </w:r>
      <w:r>
        <w:rPr>
          <w:rFonts w:ascii="Times New Roman" w:hAnsi="Times New Roman"/>
          <w:b w:val="0"/>
          <w:szCs w:val="22"/>
        </w:rPr>
        <w:t xml:space="preserve"> billion which is a decrease of R1,5 billion from the R4,6</w:t>
      </w:r>
      <w:r w:rsidR="00091DAB">
        <w:rPr>
          <w:rFonts w:ascii="Times New Roman" w:hAnsi="Times New Roman"/>
          <w:b w:val="0"/>
          <w:szCs w:val="22"/>
        </w:rPr>
        <w:t>7</w:t>
      </w:r>
      <w:r>
        <w:rPr>
          <w:rFonts w:ascii="Times New Roman" w:hAnsi="Times New Roman"/>
          <w:b w:val="0"/>
          <w:szCs w:val="22"/>
        </w:rPr>
        <w:t xml:space="preserve"> billion of 2017/18. </w:t>
      </w:r>
    </w:p>
    <w:p w14:paraId="26E6CC93" w14:textId="77777777" w:rsidR="00091DAB" w:rsidRDefault="00091DAB" w:rsidP="00F72F11">
      <w:pPr>
        <w:pStyle w:val="Normalbold"/>
        <w:spacing w:line="360" w:lineRule="auto"/>
        <w:rPr>
          <w:rFonts w:ascii="Times New Roman" w:hAnsi="Times New Roman"/>
          <w:b w:val="0"/>
          <w:szCs w:val="22"/>
        </w:rPr>
      </w:pPr>
    </w:p>
    <w:p w14:paraId="7F42ED94" w14:textId="34909E49"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The IDT lists the following under revenue</w:t>
      </w:r>
      <w:r w:rsidR="00BE70AA">
        <w:rPr>
          <w:rStyle w:val="FootnoteReference"/>
          <w:rFonts w:ascii="Times New Roman" w:hAnsi="Times New Roman"/>
          <w:b w:val="0"/>
          <w:szCs w:val="22"/>
        </w:rPr>
        <w:footnoteReference w:id="73"/>
      </w:r>
      <w:r>
        <w:rPr>
          <w:rFonts w:ascii="Times New Roman" w:hAnsi="Times New Roman"/>
          <w:b w:val="0"/>
          <w:szCs w:val="22"/>
        </w:rPr>
        <w:t>:</w:t>
      </w:r>
    </w:p>
    <w:tbl>
      <w:tblPr>
        <w:tblStyle w:val="TableGrid"/>
        <w:tblW w:w="0" w:type="auto"/>
        <w:tblLook w:val="04A0" w:firstRow="1" w:lastRow="0" w:firstColumn="1" w:lastColumn="0" w:noHBand="0" w:noVBand="1"/>
      </w:tblPr>
      <w:tblGrid>
        <w:gridCol w:w="4508"/>
        <w:gridCol w:w="1016"/>
      </w:tblGrid>
      <w:tr w:rsidR="008F52D9" w14:paraId="1924034E" w14:textId="77777777" w:rsidTr="008F52D9">
        <w:tc>
          <w:tcPr>
            <w:tcW w:w="4508" w:type="dxa"/>
          </w:tcPr>
          <w:p w14:paraId="45A14039"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Management Fees (Confirmed)</w:t>
            </w:r>
          </w:p>
        </w:tc>
        <w:tc>
          <w:tcPr>
            <w:tcW w:w="1016" w:type="dxa"/>
          </w:tcPr>
          <w:p w14:paraId="5629B57B" w14:textId="77777777" w:rsidR="008F52D9" w:rsidRDefault="008F52D9" w:rsidP="004A685E">
            <w:pPr>
              <w:pStyle w:val="Normalbold"/>
              <w:spacing w:line="360" w:lineRule="auto"/>
              <w:jc w:val="right"/>
              <w:rPr>
                <w:rFonts w:ascii="Times New Roman" w:hAnsi="Times New Roman"/>
                <w:b w:val="0"/>
                <w:szCs w:val="22"/>
              </w:rPr>
            </w:pPr>
            <w:r>
              <w:rPr>
                <w:rFonts w:ascii="Times New Roman" w:hAnsi="Times New Roman"/>
                <w:b w:val="0"/>
                <w:szCs w:val="22"/>
              </w:rPr>
              <w:t>135,888</w:t>
            </w:r>
          </w:p>
        </w:tc>
      </w:tr>
      <w:tr w:rsidR="008F52D9" w14:paraId="0B061A64" w14:textId="77777777" w:rsidTr="008F52D9">
        <w:tc>
          <w:tcPr>
            <w:tcW w:w="4508" w:type="dxa"/>
          </w:tcPr>
          <w:p w14:paraId="159F9617"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Management Fees (New Business)</w:t>
            </w:r>
          </w:p>
        </w:tc>
        <w:tc>
          <w:tcPr>
            <w:tcW w:w="1016" w:type="dxa"/>
          </w:tcPr>
          <w:p w14:paraId="264DA029" w14:textId="77777777" w:rsidR="008F52D9" w:rsidRDefault="008F52D9" w:rsidP="004A685E">
            <w:pPr>
              <w:pStyle w:val="Normalbold"/>
              <w:spacing w:line="360" w:lineRule="auto"/>
              <w:jc w:val="right"/>
              <w:rPr>
                <w:rFonts w:ascii="Times New Roman" w:hAnsi="Times New Roman"/>
                <w:b w:val="0"/>
                <w:szCs w:val="22"/>
              </w:rPr>
            </w:pPr>
            <w:r>
              <w:rPr>
                <w:rFonts w:ascii="Times New Roman" w:hAnsi="Times New Roman"/>
                <w:b w:val="0"/>
                <w:szCs w:val="22"/>
              </w:rPr>
              <w:t>135,000</w:t>
            </w:r>
          </w:p>
        </w:tc>
      </w:tr>
      <w:tr w:rsidR="008F52D9" w14:paraId="3AF88983" w14:textId="77777777" w:rsidTr="008F52D9">
        <w:tc>
          <w:tcPr>
            <w:tcW w:w="4508" w:type="dxa"/>
          </w:tcPr>
          <w:p w14:paraId="042F2B79"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Management Fees (Non-State Sector EPWP)</w:t>
            </w:r>
          </w:p>
        </w:tc>
        <w:tc>
          <w:tcPr>
            <w:tcW w:w="1016" w:type="dxa"/>
          </w:tcPr>
          <w:p w14:paraId="20A37CD4" w14:textId="77777777" w:rsidR="008F52D9" w:rsidRDefault="008F52D9" w:rsidP="004A685E">
            <w:pPr>
              <w:pStyle w:val="Normalbold"/>
              <w:spacing w:line="360" w:lineRule="auto"/>
              <w:jc w:val="right"/>
              <w:rPr>
                <w:rFonts w:ascii="Times New Roman" w:hAnsi="Times New Roman"/>
                <w:b w:val="0"/>
                <w:szCs w:val="22"/>
              </w:rPr>
            </w:pPr>
            <w:r>
              <w:rPr>
                <w:rFonts w:ascii="Times New Roman" w:hAnsi="Times New Roman"/>
                <w:b w:val="0"/>
                <w:szCs w:val="22"/>
              </w:rPr>
              <w:t>42,127</w:t>
            </w:r>
          </w:p>
        </w:tc>
      </w:tr>
      <w:tr w:rsidR="008F52D9" w14:paraId="1D5D3FA6" w14:textId="77777777" w:rsidTr="008F52D9">
        <w:tc>
          <w:tcPr>
            <w:tcW w:w="4508" w:type="dxa"/>
          </w:tcPr>
          <w:p w14:paraId="6BC03EC7"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BECPS Revenue</w:t>
            </w:r>
          </w:p>
        </w:tc>
        <w:tc>
          <w:tcPr>
            <w:tcW w:w="1016" w:type="dxa"/>
          </w:tcPr>
          <w:p w14:paraId="4935507A" w14:textId="77777777" w:rsidR="008F52D9" w:rsidRDefault="008F52D9" w:rsidP="004A685E">
            <w:pPr>
              <w:pStyle w:val="Normalbold"/>
              <w:spacing w:line="360" w:lineRule="auto"/>
              <w:jc w:val="right"/>
              <w:rPr>
                <w:rFonts w:ascii="Times New Roman" w:hAnsi="Times New Roman"/>
                <w:b w:val="0"/>
                <w:szCs w:val="22"/>
              </w:rPr>
            </w:pPr>
            <w:r>
              <w:rPr>
                <w:rFonts w:ascii="Times New Roman" w:hAnsi="Times New Roman"/>
                <w:b w:val="0"/>
                <w:szCs w:val="22"/>
              </w:rPr>
              <w:t>28,176</w:t>
            </w:r>
          </w:p>
        </w:tc>
      </w:tr>
      <w:tr w:rsidR="008F52D9" w14:paraId="4DA2A2E6" w14:textId="77777777" w:rsidTr="008F52D9">
        <w:tc>
          <w:tcPr>
            <w:tcW w:w="4508" w:type="dxa"/>
          </w:tcPr>
          <w:p w14:paraId="1D5F894A"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Government Grant</w:t>
            </w:r>
          </w:p>
        </w:tc>
        <w:tc>
          <w:tcPr>
            <w:tcW w:w="1016" w:type="dxa"/>
          </w:tcPr>
          <w:p w14:paraId="7522A862" w14:textId="77777777" w:rsidR="008F52D9" w:rsidRDefault="008F52D9" w:rsidP="004A685E">
            <w:pPr>
              <w:pStyle w:val="Normalbold"/>
              <w:spacing w:line="360" w:lineRule="auto"/>
              <w:jc w:val="right"/>
              <w:rPr>
                <w:rFonts w:ascii="Times New Roman" w:hAnsi="Times New Roman"/>
                <w:b w:val="0"/>
                <w:szCs w:val="22"/>
              </w:rPr>
            </w:pPr>
            <w:r>
              <w:rPr>
                <w:rFonts w:ascii="Times New Roman" w:hAnsi="Times New Roman"/>
                <w:b w:val="0"/>
                <w:szCs w:val="22"/>
              </w:rPr>
              <w:t>28,362</w:t>
            </w:r>
          </w:p>
        </w:tc>
      </w:tr>
      <w:tr w:rsidR="008F52D9" w14:paraId="08925A35" w14:textId="77777777" w:rsidTr="008F52D9">
        <w:tc>
          <w:tcPr>
            <w:tcW w:w="4508" w:type="dxa"/>
          </w:tcPr>
          <w:p w14:paraId="73502F96"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Other income</w:t>
            </w:r>
          </w:p>
        </w:tc>
        <w:tc>
          <w:tcPr>
            <w:tcW w:w="1016" w:type="dxa"/>
          </w:tcPr>
          <w:p w14:paraId="663E8C1E" w14:textId="77777777" w:rsidR="008F52D9" w:rsidRDefault="008F52D9" w:rsidP="004A685E">
            <w:pPr>
              <w:pStyle w:val="Normalbold"/>
              <w:spacing w:line="360" w:lineRule="auto"/>
              <w:jc w:val="right"/>
              <w:rPr>
                <w:rFonts w:ascii="Times New Roman" w:hAnsi="Times New Roman"/>
                <w:b w:val="0"/>
                <w:szCs w:val="22"/>
              </w:rPr>
            </w:pPr>
            <w:r>
              <w:rPr>
                <w:rFonts w:ascii="Times New Roman" w:hAnsi="Times New Roman"/>
                <w:b w:val="0"/>
                <w:szCs w:val="22"/>
              </w:rPr>
              <w:t>7,000</w:t>
            </w:r>
          </w:p>
        </w:tc>
      </w:tr>
    </w:tbl>
    <w:p w14:paraId="719B47AB" w14:textId="77777777" w:rsidR="00143442" w:rsidRPr="00BD114D" w:rsidRDefault="00143442" w:rsidP="00006F34">
      <w:pPr>
        <w:pStyle w:val="Normalbold"/>
        <w:spacing w:line="360" w:lineRule="auto"/>
        <w:rPr>
          <w:rFonts w:ascii="Times New Roman" w:hAnsi="Times New Roman"/>
          <w:b w:val="0"/>
          <w:szCs w:val="22"/>
        </w:rPr>
      </w:pPr>
      <w:r w:rsidRPr="00BD114D">
        <w:rPr>
          <w:rFonts w:ascii="Times New Roman" w:hAnsi="Times New Roman"/>
          <w:b w:val="0"/>
          <w:szCs w:val="22"/>
        </w:rPr>
        <w:t>The Revenue</w:t>
      </w:r>
      <w:r w:rsidRPr="00BD114D">
        <w:rPr>
          <w:rFonts w:ascii="Times New Roman" w:hAnsi="Times New Roman"/>
          <w:szCs w:val="22"/>
        </w:rPr>
        <w:t xml:space="preserve"> </w:t>
      </w:r>
      <w:r w:rsidRPr="00BD114D">
        <w:rPr>
          <w:rFonts w:ascii="Times New Roman" w:hAnsi="Times New Roman"/>
          <w:b w:val="0"/>
          <w:szCs w:val="22"/>
        </w:rPr>
        <w:t>of the IDT consists of the following:</w:t>
      </w:r>
      <w:r w:rsidRPr="00BD114D">
        <w:rPr>
          <w:rStyle w:val="FootnoteReference"/>
          <w:rFonts w:ascii="Times New Roman" w:hAnsi="Times New Roman"/>
          <w:b w:val="0"/>
          <w:szCs w:val="22"/>
        </w:rPr>
        <w:footnoteReference w:id="74"/>
      </w:r>
      <w:r w:rsidRPr="00BD114D">
        <w:rPr>
          <w:rFonts w:ascii="Times New Roman" w:hAnsi="Times New Roman"/>
          <w:b w:val="0"/>
          <w:szCs w:val="22"/>
        </w:rPr>
        <w:t xml:space="preserve"> </w:t>
      </w:r>
    </w:p>
    <w:p w14:paraId="6D194F99" w14:textId="77777777" w:rsidR="00143442" w:rsidRPr="00BD114D" w:rsidRDefault="00143442" w:rsidP="00006F34">
      <w:pPr>
        <w:pStyle w:val="Normalbold"/>
        <w:spacing w:line="360" w:lineRule="auto"/>
        <w:rPr>
          <w:rFonts w:ascii="Times New Roman" w:hAnsi="Times New Roman"/>
          <w:b w:val="0"/>
          <w:szCs w:val="22"/>
        </w:rPr>
      </w:pPr>
    </w:p>
    <w:p w14:paraId="7F0F90BF" w14:textId="77777777" w:rsidR="00143442" w:rsidRPr="00BD114D" w:rsidRDefault="00143442" w:rsidP="00006F34">
      <w:pPr>
        <w:pStyle w:val="Normalbold"/>
        <w:numPr>
          <w:ilvl w:val="0"/>
          <w:numId w:val="62"/>
        </w:numPr>
        <w:spacing w:line="360" w:lineRule="auto"/>
        <w:rPr>
          <w:rFonts w:ascii="Times New Roman" w:hAnsi="Times New Roman"/>
          <w:b w:val="0"/>
          <w:szCs w:val="22"/>
        </w:rPr>
      </w:pPr>
      <w:r w:rsidRPr="00BD114D">
        <w:rPr>
          <w:rFonts w:ascii="Times New Roman" w:hAnsi="Times New Roman"/>
          <w:b w:val="0"/>
          <w:szCs w:val="22"/>
        </w:rPr>
        <w:t>Management Fees: Confirmed - R135.9 million for 2018/19 (a decrease of R38.5 million) from the R174.4million for 2017/18.</w:t>
      </w:r>
    </w:p>
    <w:p w14:paraId="1330EC72" w14:textId="67249F62" w:rsidR="00143442" w:rsidRPr="00BD114D" w:rsidRDefault="00143442" w:rsidP="00006F34">
      <w:pPr>
        <w:pStyle w:val="Normalbold"/>
        <w:numPr>
          <w:ilvl w:val="0"/>
          <w:numId w:val="62"/>
        </w:numPr>
        <w:spacing w:line="360" w:lineRule="auto"/>
        <w:rPr>
          <w:rFonts w:ascii="Times New Roman" w:hAnsi="Times New Roman"/>
          <w:b w:val="0"/>
          <w:szCs w:val="22"/>
        </w:rPr>
      </w:pPr>
      <w:r w:rsidRPr="00BD114D">
        <w:rPr>
          <w:rFonts w:ascii="Times New Roman" w:hAnsi="Times New Roman"/>
          <w:b w:val="0"/>
          <w:szCs w:val="22"/>
        </w:rPr>
        <w:t>Management Fees: New Business - R135 million for 2018/19 (an increase of R104.9 million) from the R30.1 million for 2017/18.</w:t>
      </w:r>
    </w:p>
    <w:p w14:paraId="56EB8B08" w14:textId="77777777" w:rsidR="00143442" w:rsidRPr="00BD114D" w:rsidRDefault="00143442" w:rsidP="00006F34">
      <w:pPr>
        <w:pStyle w:val="Normalbold"/>
        <w:numPr>
          <w:ilvl w:val="0"/>
          <w:numId w:val="62"/>
        </w:numPr>
        <w:spacing w:line="360" w:lineRule="auto"/>
        <w:rPr>
          <w:rFonts w:ascii="Times New Roman" w:hAnsi="Times New Roman"/>
          <w:b w:val="0"/>
          <w:szCs w:val="22"/>
        </w:rPr>
      </w:pPr>
      <w:r w:rsidRPr="00BD114D">
        <w:rPr>
          <w:rFonts w:ascii="Times New Roman" w:hAnsi="Times New Roman"/>
          <w:b w:val="0"/>
          <w:szCs w:val="22"/>
        </w:rPr>
        <w:t>Provision based on 5.0% of gross Management Fees for 2018/19 (from the 4.9% in 2017/18), an increase of 0.1% in 2018/19.</w:t>
      </w:r>
    </w:p>
    <w:p w14:paraId="2541A5E6" w14:textId="77777777" w:rsidR="00143442" w:rsidRPr="00BD114D" w:rsidRDefault="00143442" w:rsidP="00006F34">
      <w:pPr>
        <w:pStyle w:val="Normalbold"/>
        <w:numPr>
          <w:ilvl w:val="0"/>
          <w:numId w:val="62"/>
        </w:numPr>
        <w:spacing w:line="360" w:lineRule="auto"/>
        <w:rPr>
          <w:rFonts w:ascii="Times New Roman" w:hAnsi="Times New Roman"/>
          <w:b w:val="0"/>
          <w:szCs w:val="22"/>
        </w:rPr>
      </w:pPr>
      <w:r w:rsidRPr="00BD114D">
        <w:rPr>
          <w:rFonts w:ascii="Times New Roman" w:hAnsi="Times New Roman"/>
          <w:b w:val="0"/>
          <w:szCs w:val="22"/>
        </w:rPr>
        <w:t xml:space="preserve">Management Fees: NSS EPWP R42.1 million for 2018/19 (an increase of R13.5 million) from the R28.7 million for 2017/18. </w:t>
      </w:r>
    </w:p>
    <w:p w14:paraId="628622EC" w14:textId="77777777" w:rsidR="00143442" w:rsidRPr="00BD114D" w:rsidRDefault="00143442" w:rsidP="00006F34">
      <w:pPr>
        <w:pStyle w:val="Normalbold"/>
        <w:numPr>
          <w:ilvl w:val="0"/>
          <w:numId w:val="62"/>
        </w:numPr>
        <w:spacing w:line="360" w:lineRule="auto"/>
        <w:rPr>
          <w:rFonts w:ascii="Times New Roman" w:hAnsi="Times New Roman"/>
          <w:b w:val="0"/>
          <w:szCs w:val="22"/>
        </w:rPr>
      </w:pPr>
      <w:r w:rsidRPr="00BD114D">
        <w:rPr>
          <w:rFonts w:ascii="Times New Roman" w:hAnsi="Times New Roman"/>
          <w:b w:val="0"/>
          <w:szCs w:val="22"/>
        </w:rPr>
        <w:t>BECPS Revenue R28.2 million for 2018/19, a 100% from the 0 allocation in 2017/18.</w:t>
      </w:r>
    </w:p>
    <w:p w14:paraId="4EF6A4AE" w14:textId="77777777" w:rsidR="00143442" w:rsidRPr="00BD114D" w:rsidRDefault="00143442" w:rsidP="00006F34">
      <w:pPr>
        <w:pStyle w:val="Normalbold"/>
        <w:numPr>
          <w:ilvl w:val="0"/>
          <w:numId w:val="62"/>
        </w:numPr>
        <w:spacing w:line="360" w:lineRule="auto"/>
        <w:rPr>
          <w:rFonts w:ascii="Times New Roman" w:hAnsi="Times New Roman"/>
          <w:b w:val="0"/>
          <w:szCs w:val="22"/>
        </w:rPr>
      </w:pPr>
      <w:r w:rsidRPr="00BD114D">
        <w:rPr>
          <w:rFonts w:ascii="Times New Roman" w:hAnsi="Times New Roman"/>
          <w:b w:val="0"/>
          <w:szCs w:val="22"/>
        </w:rPr>
        <w:t>Government Grant: R28.4 million in 2018/19 (a decline of R82.7 million) from the R111.1 million for 2017/18.</w:t>
      </w:r>
    </w:p>
    <w:p w14:paraId="67188518" w14:textId="77777777" w:rsidR="00143442" w:rsidRPr="00BD114D" w:rsidRDefault="00143442" w:rsidP="00006F34">
      <w:pPr>
        <w:pStyle w:val="Normalbold"/>
        <w:numPr>
          <w:ilvl w:val="0"/>
          <w:numId w:val="62"/>
        </w:numPr>
        <w:spacing w:line="360" w:lineRule="auto"/>
        <w:rPr>
          <w:rFonts w:ascii="Times New Roman" w:hAnsi="Times New Roman"/>
          <w:b w:val="0"/>
          <w:szCs w:val="22"/>
        </w:rPr>
      </w:pPr>
      <w:r w:rsidRPr="00BD114D">
        <w:rPr>
          <w:rFonts w:ascii="Times New Roman" w:hAnsi="Times New Roman"/>
          <w:b w:val="0"/>
          <w:szCs w:val="22"/>
        </w:rPr>
        <w:t xml:space="preserve">Investment Income: R7 million in 2018/19, (a decline of R4.1 million) from the R11.1 million reported in 2017/18. </w:t>
      </w:r>
    </w:p>
    <w:p w14:paraId="32B6DA69" w14:textId="77777777" w:rsidR="008F52D9" w:rsidRDefault="008F52D9" w:rsidP="00006F34">
      <w:pPr>
        <w:pStyle w:val="Normalbold"/>
        <w:spacing w:line="360" w:lineRule="auto"/>
        <w:rPr>
          <w:rFonts w:ascii="Times New Roman" w:hAnsi="Times New Roman"/>
          <w:b w:val="0"/>
          <w:szCs w:val="22"/>
        </w:rPr>
      </w:pPr>
    </w:p>
    <w:p w14:paraId="2A49D3CE" w14:textId="77777777" w:rsidR="008F52D9" w:rsidRDefault="00091DAB" w:rsidP="00F72F11">
      <w:pPr>
        <w:pStyle w:val="Normalbold"/>
        <w:spacing w:line="360" w:lineRule="auto"/>
        <w:rPr>
          <w:rFonts w:ascii="Times New Roman" w:hAnsi="Times New Roman"/>
          <w:b w:val="0"/>
          <w:szCs w:val="22"/>
        </w:rPr>
      </w:pPr>
      <w:r>
        <w:rPr>
          <w:rFonts w:ascii="Times New Roman" w:hAnsi="Times New Roman"/>
          <w:b w:val="0"/>
          <w:szCs w:val="22"/>
        </w:rPr>
        <w:t>This makes up the total</w:t>
      </w:r>
      <w:r w:rsidR="008F52D9">
        <w:rPr>
          <w:rFonts w:ascii="Times New Roman" w:hAnsi="Times New Roman"/>
          <w:b w:val="0"/>
          <w:szCs w:val="22"/>
        </w:rPr>
        <w:t xml:space="preserve"> income</w:t>
      </w:r>
      <w:r>
        <w:rPr>
          <w:rFonts w:ascii="Times New Roman" w:hAnsi="Times New Roman"/>
          <w:b w:val="0"/>
          <w:szCs w:val="22"/>
        </w:rPr>
        <w:t xml:space="preserve"> of R376,</w:t>
      </w:r>
      <w:r w:rsidR="00B10D70">
        <w:rPr>
          <w:rFonts w:ascii="Times New Roman" w:hAnsi="Times New Roman"/>
          <w:b w:val="0"/>
          <w:szCs w:val="22"/>
        </w:rPr>
        <w:t>5 million</w:t>
      </w:r>
      <w:r w:rsidR="00BB1EE2" w:rsidRPr="001170E4">
        <w:rPr>
          <w:rFonts w:ascii="Times New Roman" w:hAnsi="Times New Roman"/>
          <w:b w:val="0"/>
          <w:szCs w:val="22"/>
        </w:rPr>
        <w:t xml:space="preserve"> </w:t>
      </w:r>
      <w:r w:rsidR="008F52D9">
        <w:rPr>
          <w:rFonts w:ascii="Times New Roman" w:hAnsi="Times New Roman"/>
          <w:b w:val="0"/>
          <w:szCs w:val="22"/>
        </w:rPr>
        <w:t xml:space="preserve">for the 2018/19 financial year. </w:t>
      </w:r>
    </w:p>
    <w:p w14:paraId="6D4F533C" w14:textId="77777777" w:rsidR="00BB1EE2" w:rsidRDefault="00091DAB" w:rsidP="00F72F11">
      <w:pPr>
        <w:pStyle w:val="Normalbold"/>
        <w:spacing w:line="360" w:lineRule="auto"/>
        <w:rPr>
          <w:rFonts w:ascii="Times New Roman" w:hAnsi="Times New Roman"/>
          <w:b w:val="0"/>
          <w:szCs w:val="22"/>
        </w:rPr>
      </w:pPr>
      <w:r>
        <w:rPr>
          <w:rFonts w:ascii="Times New Roman" w:hAnsi="Times New Roman"/>
          <w:b w:val="0"/>
          <w:szCs w:val="22"/>
        </w:rPr>
        <w:t>The overheads totals R 349,2</w:t>
      </w:r>
      <w:r w:rsidR="008F52D9">
        <w:rPr>
          <w:rFonts w:ascii="Times New Roman" w:hAnsi="Times New Roman"/>
          <w:b w:val="0"/>
          <w:szCs w:val="22"/>
        </w:rPr>
        <w:t xml:space="preserve"> million consisting of the following:</w:t>
      </w:r>
    </w:p>
    <w:tbl>
      <w:tblPr>
        <w:tblStyle w:val="TableGrid"/>
        <w:tblW w:w="0" w:type="auto"/>
        <w:tblLook w:val="04A0" w:firstRow="1" w:lastRow="0" w:firstColumn="1" w:lastColumn="0" w:noHBand="0" w:noVBand="1"/>
      </w:tblPr>
      <w:tblGrid>
        <w:gridCol w:w="4508"/>
        <w:gridCol w:w="1016"/>
      </w:tblGrid>
      <w:tr w:rsidR="008F52D9" w14:paraId="4F944052" w14:textId="77777777" w:rsidTr="008F52D9">
        <w:tc>
          <w:tcPr>
            <w:tcW w:w="4508" w:type="dxa"/>
          </w:tcPr>
          <w:p w14:paraId="173916FE"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Employee costs</w:t>
            </w:r>
          </w:p>
        </w:tc>
        <w:tc>
          <w:tcPr>
            <w:tcW w:w="1016" w:type="dxa"/>
          </w:tcPr>
          <w:p w14:paraId="0433BADC"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200,506</w:t>
            </w:r>
          </w:p>
        </w:tc>
      </w:tr>
      <w:tr w:rsidR="008F52D9" w14:paraId="17BC5681" w14:textId="77777777" w:rsidTr="008F52D9">
        <w:tc>
          <w:tcPr>
            <w:tcW w:w="4508" w:type="dxa"/>
          </w:tcPr>
          <w:p w14:paraId="05745EB0"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Costs to restructure the IDT</w:t>
            </w:r>
          </w:p>
        </w:tc>
        <w:tc>
          <w:tcPr>
            <w:tcW w:w="1016" w:type="dxa"/>
          </w:tcPr>
          <w:p w14:paraId="5C6131B2"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w:t>
            </w:r>
          </w:p>
        </w:tc>
      </w:tr>
      <w:tr w:rsidR="008F52D9" w14:paraId="51572D3B" w14:textId="77777777" w:rsidTr="008F52D9">
        <w:tc>
          <w:tcPr>
            <w:tcW w:w="4508" w:type="dxa"/>
          </w:tcPr>
          <w:p w14:paraId="2F4F485D"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lastRenderedPageBreak/>
              <w:t>BECPS costs</w:t>
            </w:r>
          </w:p>
        </w:tc>
        <w:tc>
          <w:tcPr>
            <w:tcW w:w="1016" w:type="dxa"/>
          </w:tcPr>
          <w:p w14:paraId="0F97E5CA"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10,931</w:t>
            </w:r>
          </w:p>
        </w:tc>
      </w:tr>
      <w:tr w:rsidR="008F52D9" w14:paraId="6A530605" w14:textId="77777777" w:rsidTr="008F52D9">
        <w:tc>
          <w:tcPr>
            <w:tcW w:w="4508" w:type="dxa"/>
          </w:tcPr>
          <w:p w14:paraId="186F08C7"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Travelling and Accommodation</w:t>
            </w:r>
          </w:p>
        </w:tc>
        <w:tc>
          <w:tcPr>
            <w:tcW w:w="1016" w:type="dxa"/>
          </w:tcPr>
          <w:p w14:paraId="76B073AF"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23,972</w:t>
            </w:r>
          </w:p>
        </w:tc>
      </w:tr>
      <w:tr w:rsidR="008F52D9" w14:paraId="0F910F93" w14:textId="77777777" w:rsidTr="008F52D9">
        <w:tc>
          <w:tcPr>
            <w:tcW w:w="4508" w:type="dxa"/>
          </w:tcPr>
          <w:p w14:paraId="0E1ADAFE"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Consultation fees</w:t>
            </w:r>
          </w:p>
        </w:tc>
        <w:tc>
          <w:tcPr>
            <w:tcW w:w="1016" w:type="dxa"/>
          </w:tcPr>
          <w:p w14:paraId="374FE856"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9,692</w:t>
            </w:r>
          </w:p>
        </w:tc>
      </w:tr>
      <w:tr w:rsidR="008F52D9" w14:paraId="6A059965" w14:textId="77777777" w:rsidTr="008F52D9">
        <w:tc>
          <w:tcPr>
            <w:tcW w:w="4508" w:type="dxa"/>
          </w:tcPr>
          <w:p w14:paraId="4B0F3632"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Legal costs</w:t>
            </w:r>
          </w:p>
        </w:tc>
        <w:tc>
          <w:tcPr>
            <w:tcW w:w="1016" w:type="dxa"/>
          </w:tcPr>
          <w:p w14:paraId="219EF40F"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11,616</w:t>
            </w:r>
          </w:p>
        </w:tc>
      </w:tr>
      <w:tr w:rsidR="008F52D9" w14:paraId="345FAD12" w14:textId="77777777" w:rsidTr="008F52D9">
        <w:tc>
          <w:tcPr>
            <w:tcW w:w="4508" w:type="dxa"/>
          </w:tcPr>
          <w:p w14:paraId="73DAAF80"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Operational expenditure</w:t>
            </w:r>
          </w:p>
        </w:tc>
        <w:tc>
          <w:tcPr>
            <w:tcW w:w="1016" w:type="dxa"/>
          </w:tcPr>
          <w:p w14:paraId="278BAC59" w14:textId="77777777" w:rsidR="008F52D9" w:rsidRDefault="008F52D9" w:rsidP="00F72F11">
            <w:pPr>
              <w:pStyle w:val="Normalbold"/>
              <w:spacing w:line="360" w:lineRule="auto"/>
              <w:rPr>
                <w:rFonts w:ascii="Times New Roman" w:hAnsi="Times New Roman"/>
                <w:b w:val="0"/>
                <w:szCs w:val="22"/>
              </w:rPr>
            </w:pPr>
            <w:r>
              <w:rPr>
                <w:rFonts w:ascii="Times New Roman" w:hAnsi="Times New Roman"/>
                <w:b w:val="0"/>
                <w:szCs w:val="22"/>
              </w:rPr>
              <w:t>92,440</w:t>
            </w:r>
          </w:p>
        </w:tc>
      </w:tr>
    </w:tbl>
    <w:p w14:paraId="557F641A" w14:textId="77777777" w:rsidR="00091DAB" w:rsidRDefault="00091DAB" w:rsidP="00F72F11">
      <w:pPr>
        <w:pStyle w:val="Normalbold"/>
        <w:spacing w:line="360" w:lineRule="auto"/>
        <w:rPr>
          <w:rFonts w:ascii="Times New Roman" w:hAnsi="Times New Roman"/>
          <w:b w:val="0"/>
          <w:szCs w:val="22"/>
        </w:rPr>
      </w:pPr>
    </w:p>
    <w:p w14:paraId="13302E1D" w14:textId="77777777" w:rsidR="00091DAB" w:rsidRPr="001170E4" w:rsidRDefault="00091DAB" w:rsidP="00091DAB">
      <w:pPr>
        <w:pStyle w:val="Normalbold"/>
        <w:spacing w:line="360" w:lineRule="auto"/>
        <w:rPr>
          <w:rFonts w:ascii="Times New Roman" w:hAnsi="Times New Roman"/>
          <w:b w:val="0"/>
          <w:szCs w:val="22"/>
        </w:rPr>
      </w:pPr>
      <w:r>
        <w:rPr>
          <w:rFonts w:ascii="Times New Roman" w:hAnsi="Times New Roman"/>
          <w:b w:val="0"/>
          <w:szCs w:val="22"/>
        </w:rPr>
        <w:t xml:space="preserve">This means that for 2018/19 the IDT shows operational expenditure (OPEX) of R27,4 million. The IDT shows Capital Expenditure amounting to R69,9 million. This means that for this financial year, the IDT shows a deficit of R42,5 million. </w:t>
      </w:r>
    </w:p>
    <w:p w14:paraId="3A65BAE5" w14:textId="77777777" w:rsidR="00BB1EE2" w:rsidRPr="001170E4" w:rsidRDefault="00BB1EE2" w:rsidP="00F72F11">
      <w:pPr>
        <w:pStyle w:val="Normalbold"/>
        <w:spacing w:line="360" w:lineRule="auto"/>
        <w:rPr>
          <w:rFonts w:ascii="Times New Roman" w:hAnsi="Times New Roman"/>
          <w:b w:val="0"/>
          <w:szCs w:val="22"/>
        </w:rPr>
      </w:pPr>
    </w:p>
    <w:p w14:paraId="6BBFAB0C" w14:textId="77777777" w:rsidR="00BB1EE2" w:rsidRPr="001170E4" w:rsidRDefault="00BB1EE2" w:rsidP="00F72F11">
      <w:pPr>
        <w:spacing w:after="0" w:line="360" w:lineRule="auto"/>
        <w:jc w:val="both"/>
        <w:rPr>
          <w:rFonts w:ascii="Times New Roman" w:hAnsi="Times New Roman" w:cs="Times New Roman"/>
        </w:rPr>
      </w:pPr>
    </w:p>
    <w:p w14:paraId="3311CC9E"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5.4. Challenges noted</w:t>
      </w:r>
    </w:p>
    <w:p w14:paraId="4CE39A8C" w14:textId="77777777" w:rsidR="00BB1EE2" w:rsidRPr="001170E4" w:rsidRDefault="00D06177" w:rsidP="00F72F11">
      <w:pPr>
        <w:spacing w:line="360" w:lineRule="auto"/>
        <w:jc w:val="both"/>
        <w:rPr>
          <w:rFonts w:ascii="Times New Roman" w:hAnsi="Times New Roman" w:cs="Times New Roman"/>
        </w:rPr>
      </w:pPr>
      <w:r>
        <w:rPr>
          <w:rFonts w:ascii="Times New Roman" w:hAnsi="Times New Roman" w:cs="Times New Roman"/>
        </w:rPr>
        <w:t>In 2017/18, t</w:t>
      </w:r>
      <w:r w:rsidR="00BB1EE2" w:rsidRPr="001170E4">
        <w:rPr>
          <w:rFonts w:ascii="Times New Roman" w:hAnsi="Times New Roman" w:cs="Times New Roman"/>
        </w:rPr>
        <w:t xml:space="preserve">he IDT reported </w:t>
      </w:r>
      <w:r>
        <w:rPr>
          <w:rFonts w:ascii="Times New Roman" w:hAnsi="Times New Roman" w:cs="Times New Roman"/>
        </w:rPr>
        <w:t>on</w:t>
      </w:r>
      <w:r w:rsidR="00BB1EE2" w:rsidRPr="001170E4">
        <w:rPr>
          <w:rFonts w:ascii="Times New Roman" w:hAnsi="Times New Roman" w:cs="Times New Roman"/>
        </w:rPr>
        <w:t xml:space="preserve"> challenges related to the migration of the financial reporting system. The Great Plains financial reporting system migration process resulted in:</w:t>
      </w:r>
      <w:r w:rsidR="00BB1EE2" w:rsidRPr="001170E4">
        <w:rPr>
          <w:rStyle w:val="FootnoteReference"/>
          <w:rFonts w:ascii="Times New Roman" w:hAnsi="Times New Roman" w:cs="Times New Roman"/>
        </w:rPr>
        <w:footnoteReference w:id="75"/>
      </w:r>
    </w:p>
    <w:p w14:paraId="52ACBBD5" w14:textId="77777777" w:rsidR="00BB1EE2" w:rsidRPr="001170E4" w:rsidRDefault="00BB1EE2" w:rsidP="00B41D07">
      <w:pPr>
        <w:numPr>
          <w:ilvl w:val="0"/>
          <w:numId w:val="40"/>
        </w:numPr>
        <w:spacing w:after="0" w:line="360" w:lineRule="auto"/>
        <w:ind w:left="714" w:hanging="357"/>
        <w:jc w:val="both"/>
        <w:rPr>
          <w:rFonts w:ascii="Times New Roman" w:hAnsi="Times New Roman" w:cs="Times New Roman"/>
        </w:rPr>
      </w:pPr>
      <w:r w:rsidRPr="001170E4">
        <w:rPr>
          <w:rFonts w:ascii="Times New Roman" w:hAnsi="Times New Roman" w:cs="Times New Roman"/>
        </w:rPr>
        <w:t>Material take-on balances and had an impact on the underlying financial information and account balances within Project Accounting Revenue and Accounts Receivable Environment.</w:t>
      </w:r>
    </w:p>
    <w:p w14:paraId="47AEC574" w14:textId="77777777" w:rsidR="00BB1EE2" w:rsidRPr="001170E4" w:rsidRDefault="00BB1EE2" w:rsidP="00B41D07">
      <w:pPr>
        <w:numPr>
          <w:ilvl w:val="0"/>
          <w:numId w:val="40"/>
        </w:numPr>
        <w:spacing w:after="0" w:line="360" w:lineRule="auto"/>
        <w:ind w:left="714" w:hanging="357"/>
        <w:jc w:val="both"/>
        <w:rPr>
          <w:rFonts w:ascii="Times New Roman" w:hAnsi="Times New Roman" w:cs="Times New Roman"/>
        </w:rPr>
      </w:pPr>
      <w:r w:rsidRPr="001170E4">
        <w:rPr>
          <w:rFonts w:ascii="Times New Roman" w:hAnsi="Times New Roman" w:cs="Times New Roman"/>
        </w:rPr>
        <w:t xml:space="preserve">Capturing of supplier invoices into the system timeously, particularly related to the expenditure of funds transferred by Client Departments to the IDT.  </w:t>
      </w:r>
    </w:p>
    <w:p w14:paraId="16D9BC46" w14:textId="77777777" w:rsidR="00BB1EE2" w:rsidRPr="001170E4" w:rsidRDefault="00BB1EE2" w:rsidP="00B41D07">
      <w:pPr>
        <w:numPr>
          <w:ilvl w:val="0"/>
          <w:numId w:val="40"/>
        </w:numPr>
        <w:spacing w:after="0" w:line="360" w:lineRule="auto"/>
        <w:ind w:left="714" w:hanging="357"/>
        <w:jc w:val="both"/>
        <w:rPr>
          <w:rFonts w:ascii="Times New Roman" w:hAnsi="Times New Roman" w:cs="Times New Roman"/>
        </w:rPr>
      </w:pPr>
      <w:r w:rsidRPr="001170E4">
        <w:rPr>
          <w:rFonts w:ascii="Times New Roman" w:hAnsi="Times New Roman" w:cs="Times New Roman"/>
        </w:rPr>
        <w:t>The lack of standardised processes, adequate supervisory controls, requisite skills and resources compounded the capturing of supplier invoices.</w:t>
      </w:r>
    </w:p>
    <w:p w14:paraId="3A1887B2" w14:textId="77777777" w:rsidR="00BB1EE2" w:rsidRPr="001170E4" w:rsidRDefault="00BB1EE2" w:rsidP="00F72F11">
      <w:pPr>
        <w:spacing w:line="360" w:lineRule="auto"/>
        <w:jc w:val="both"/>
        <w:rPr>
          <w:rFonts w:ascii="Times New Roman" w:hAnsi="Times New Roman" w:cs="Times New Roman"/>
        </w:rPr>
      </w:pPr>
    </w:p>
    <w:p w14:paraId="5A1A8F54"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 xml:space="preserve">The IDT has implemented </w:t>
      </w:r>
      <w:r w:rsidR="00A95765" w:rsidRPr="001170E4">
        <w:rPr>
          <w:rFonts w:ascii="Times New Roman" w:hAnsi="Times New Roman" w:cs="Times New Roman"/>
        </w:rPr>
        <w:t>Standard</w:t>
      </w:r>
      <w:r w:rsidRPr="001170E4">
        <w:rPr>
          <w:rFonts w:ascii="Times New Roman" w:hAnsi="Times New Roman" w:cs="Times New Roman"/>
        </w:rPr>
        <w:t xml:space="preserve"> Operating Procedur</w:t>
      </w:r>
      <w:r w:rsidR="00A95765">
        <w:rPr>
          <w:rFonts w:ascii="Times New Roman" w:hAnsi="Times New Roman" w:cs="Times New Roman"/>
        </w:rPr>
        <w:t>es (SOPs), automation and built-</w:t>
      </w:r>
      <w:r w:rsidRPr="001170E4">
        <w:rPr>
          <w:rFonts w:ascii="Times New Roman" w:hAnsi="Times New Roman" w:cs="Times New Roman"/>
        </w:rPr>
        <w:t xml:space="preserve">in system controls and capacitating critical functional areas. </w:t>
      </w:r>
    </w:p>
    <w:p w14:paraId="47F97749" w14:textId="77777777" w:rsidR="00BB1EE2" w:rsidRPr="001170E4" w:rsidRDefault="00BB1EE2" w:rsidP="00F72F11">
      <w:pPr>
        <w:spacing w:after="0" w:line="360" w:lineRule="auto"/>
        <w:jc w:val="both"/>
        <w:rPr>
          <w:rFonts w:ascii="Times New Roman" w:eastAsia="Times New Roman" w:hAnsi="Times New Roman" w:cs="Times New Roman"/>
          <w:b/>
          <w:color w:val="000000"/>
          <w:spacing w:val="6"/>
          <w:lang w:val="en-GB" w:eastAsia="en-GB"/>
        </w:rPr>
      </w:pPr>
    </w:p>
    <w:p w14:paraId="48620954" w14:textId="77777777" w:rsidR="00BB1EE2" w:rsidRPr="001170E4" w:rsidRDefault="00BB1EE2" w:rsidP="00F72F11">
      <w:p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b/>
          <w:color w:val="000000"/>
          <w:spacing w:val="6"/>
          <w:lang w:val="en-GB" w:eastAsia="en-GB"/>
        </w:rPr>
        <w:t>Matters that emerged from deliberations:</w:t>
      </w:r>
    </w:p>
    <w:p w14:paraId="740CC53D" w14:textId="1115BE8B" w:rsidR="00BB1EE2" w:rsidRPr="001170E4" w:rsidRDefault="00BB1EE2" w:rsidP="00F72F11">
      <w:pPr>
        <w:spacing w:line="360" w:lineRule="auto"/>
        <w:ind w:left="284" w:hanging="284"/>
        <w:jc w:val="both"/>
        <w:rPr>
          <w:rFonts w:ascii="Times New Roman" w:hAnsi="Times New Roman" w:cs="Times New Roman"/>
        </w:rPr>
      </w:pPr>
      <w:r w:rsidRPr="001170E4">
        <w:rPr>
          <w:rFonts w:ascii="Times New Roman" w:hAnsi="Times New Roman" w:cs="Times New Roman"/>
        </w:rPr>
        <w:t xml:space="preserve">1. </w:t>
      </w:r>
      <w:r w:rsidR="00D06177">
        <w:rPr>
          <w:rFonts w:ascii="Times New Roman" w:hAnsi="Times New Roman" w:cs="Times New Roman"/>
        </w:rPr>
        <w:t>The critical matters reported on in the 2017/18 financial year, remain largely the same. The</w:t>
      </w:r>
      <w:r w:rsidRPr="001170E4">
        <w:rPr>
          <w:rFonts w:ascii="Times New Roman" w:hAnsi="Times New Roman" w:cs="Times New Roman"/>
        </w:rPr>
        <w:t xml:space="preserve"> entity</w:t>
      </w:r>
      <w:r w:rsidR="00D06177">
        <w:rPr>
          <w:rFonts w:ascii="Times New Roman" w:hAnsi="Times New Roman" w:cs="Times New Roman"/>
        </w:rPr>
        <w:t xml:space="preserve"> continues to face</w:t>
      </w:r>
      <w:r w:rsidRPr="001170E4">
        <w:rPr>
          <w:rFonts w:ascii="Times New Roman" w:hAnsi="Times New Roman" w:cs="Times New Roman"/>
        </w:rPr>
        <w:t xml:space="preserve"> cash flow challenges. National Treasury was aware of the matter and was working with the IDT and DPW to find a working solution.</w:t>
      </w:r>
      <w:r w:rsidR="00D06177">
        <w:rPr>
          <w:rFonts w:ascii="Times New Roman" w:hAnsi="Times New Roman" w:cs="Times New Roman"/>
        </w:rPr>
        <w:t xml:space="preserve"> </w:t>
      </w:r>
      <w:r w:rsidR="00A713DE">
        <w:rPr>
          <w:rFonts w:ascii="Times New Roman" w:hAnsi="Times New Roman" w:cs="Times New Roman"/>
        </w:rPr>
        <w:t xml:space="preserve">In 2014 already National Treasury published an instruction note (04 of 2014/15) that prescribed market-related management fees that the IDT may charge departments, constitutional institutions and public entities listed in schedule 2 and 3 of the PFMA (1999). </w:t>
      </w:r>
      <w:r w:rsidR="00D06177">
        <w:rPr>
          <w:rFonts w:ascii="Times New Roman" w:hAnsi="Times New Roman" w:cs="Times New Roman"/>
        </w:rPr>
        <w:t xml:space="preserve">The Committee noted that the IDT received a grant transferred from the DPW’s Programme 4 totalling R28, 3 million and in spite of this, it continues to run at a deficit for the year amounting to R42,4 million. </w:t>
      </w:r>
    </w:p>
    <w:p w14:paraId="28F79A51" w14:textId="77777777" w:rsidR="00BB1EE2" w:rsidRDefault="00BB1EE2" w:rsidP="00F72F11">
      <w:pPr>
        <w:spacing w:line="360" w:lineRule="auto"/>
        <w:ind w:left="284" w:hanging="284"/>
        <w:jc w:val="both"/>
        <w:rPr>
          <w:rFonts w:ascii="Times New Roman" w:hAnsi="Times New Roman" w:cs="Times New Roman"/>
        </w:rPr>
      </w:pPr>
      <w:r w:rsidRPr="001170E4">
        <w:rPr>
          <w:rFonts w:ascii="Times New Roman" w:hAnsi="Times New Roman" w:cs="Times New Roman"/>
        </w:rPr>
        <w:lastRenderedPageBreak/>
        <w:t xml:space="preserve">2. </w:t>
      </w:r>
      <w:r w:rsidR="00D06177">
        <w:rPr>
          <w:rFonts w:ascii="Times New Roman" w:hAnsi="Times New Roman" w:cs="Times New Roman"/>
        </w:rPr>
        <w:t>In the previous financial year the Committee stated that “the</w:t>
      </w:r>
      <w:r w:rsidRPr="001170E4">
        <w:rPr>
          <w:rFonts w:ascii="Times New Roman" w:hAnsi="Times New Roman" w:cs="Times New Roman"/>
        </w:rPr>
        <w:t xml:space="preserve"> process of transforming the entity into a more relevant and sustainable one for the future as contained in a new business case was being drafted and processed to Cabinet in collaboration with relevant departments such as National Treasury, and the Department of Public Service and Administration.</w:t>
      </w:r>
      <w:r w:rsidR="00D06177">
        <w:rPr>
          <w:rFonts w:ascii="Times New Roman" w:hAnsi="Times New Roman" w:cs="Times New Roman"/>
        </w:rPr>
        <w:t>” This year it states that urgent intervention is required as the IDT is not operating as a business should.</w:t>
      </w:r>
      <w:r w:rsidRPr="001170E4">
        <w:rPr>
          <w:rFonts w:ascii="Times New Roman" w:hAnsi="Times New Roman" w:cs="Times New Roman"/>
        </w:rPr>
        <w:t xml:space="preserve"> </w:t>
      </w:r>
    </w:p>
    <w:p w14:paraId="3DE7D14B" w14:textId="77777777" w:rsidR="00BF2ECF" w:rsidRPr="001170E4" w:rsidRDefault="00BF2ECF" w:rsidP="00F72F11">
      <w:pPr>
        <w:spacing w:line="360" w:lineRule="auto"/>
        <w:ind w:left="284" w:hanging="284"/>
        <w:jc w:val="both"/>
        <w:rPr>
          <w:rFonts w:ascii="Times New Roman" w:hAnsi="Times New Roman" w:cs="Times New Roman"/>
        </w:rPr>
      </w:pPr>
      <w:r>
        <w:rPr>
          <w:rFonts w:ascii="Times New Roman" w:hAnsi="Times New Roman" w:cs="Times New Roman"/>
        </w:rPr>
        <w:t>3. Due to the urgency of transforming the IDT, and the nature of governance challenges, the Committee requested that a specific date be set aside to engage in a focused manner on these challenges.</w:t>
      </w:r>
    </w:p>
    <w:p w14:paraId="0155091C"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 xml:space="preserve"> </w:t>
      </w:r>
    </w:p>
    <w:p w14:paraId="364B2900"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6. The Construction Industry Development Board (CIDB)</w:t>
      </w:r>
    </w:p>
    <w:p w14:paraId="7C70B6D2"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The CIDB reported that it underwent a collaborative and consultative process to change its mission, strategic goals and indicators. It presented it as follows:</w:t>
      </w:r>
    </w:p>
    <w:p w14:paraId="0B228915"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Strategic mission</w:t>
      </w:r>
    </w:p>
    <w:p w14:paraId="46F1A898"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The CIDB presented a reviewed mission that stated the following:</w:t>
      </w:r>
    </w:p>
    <w:p w14:paraId="3FDDB160"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bCs/>
        </w:rPr>
        <w:t>“We exist in order to regulate and develop the construction industry through strategic interventions and partnerships”.</w:t>
      </w:r>
    </w:p>
    <w:p w14:paraId="36EA87C4"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Strategic goals and indicators to reach the stated mission:</w:t>
      </w:r>
    </w:p>
    <w:p w14:paraId="5E674683"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 xml:space="preserve">An inclusive, growing construction industry: </w:t>
      </w:r>
      <w:r w:rsidRPr="001170E4">
        <w:rPr>
          <w:rFonts w:ascii="Times New Roman" w:hAnsi="Times New Roman" w:cs="Times New Roman"/>
        </w:rPr>
        <w:t>To transform the construction industry by increasing infrastructure spend to support and reflect the demographics of South Africa.</w:t>
      </w:r>
    </w:p>
    <w:p w14:paraId="3B090767"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 xml:space="preserve">Indicators: </w:t>
      </w:r>
    </w:p>
    <w:p w14:paraId="646DBEE7" w14:textId="77777777" w:rsidR="00BB1EE2" w:rsidRPr="001170E4" w:rsidRDefault="00BB1EE2" w:rsidP="00B41D07">
      <w:pPr>
        <w:pStyle w:val="ListParagraph"/>
        <w:numPr>
          <w:ilvl w:val="0"/>
          <w:numId w:val="46"/>
        </w:numPr>
        <w:spacing w:line="360" w:lineRule="auto"/>
        <w:rPr>
          <w:rFonts w:ascii="Times New Roman" w:hAnsi="Times New Roman"/>
        </w:rPr>
      </w:pPr>
      <w:r w:rsidRPr="001170E4">
        <w:rPr>
          <w:rFonts w:ascii="Times New Roman" w:hAnsi="Times New Roman"/>
        </w:rPr>
        <w:t>Percentage construction Gross Fixed Capital Formation of GDP.</w:t>
      </w:r>
    </w:p>
    <w:p w14:paraId="61417E81" w14:textId="77777777" w:rsidR="00BB1EE2" w:rsidRPr="001170E4" w:rsidRDefault="00BB1EE2" w:rsidP="00B41D07">
      <w:pPr>
        <w:pStyle w:val="ListParagraph"/>
        <w:numPr>
          <w:ilvl w:val="0"/>
          <w:numId w:val="46"/>
        </w:numPr>
        <w:tabs>
          <w:tab w:val="left" w:pos="6379"/>
        </w:tabs>
        <w:spacing w:line="360" w:lineRule="auto"/>
        <w:rPr>
          <w:rFonts w:ascii="Times New Roman" w:hAnsi="Times New Roman"/>
        </w:rPr>
      </w:pPr>
      <w:r w:rsidRPr="001170E4">
        <w:rPr>
          <w:rFonts w:ascii="Times New Roman" w:hAnsi="Times New Roman"/>
        </w:rPr>
        <w:t>Percentage public Sector Contract Awards Index.</w:t>
      </w:r>
    </w:p>
    <w:p w14:paraId="289F0BDB" w14:textId="77777777" w:rsidR="00BB1EE2" w:rsidRPr="001170E4" w:rsidRDefault="00BB1EE2" w:rsidP="00B41D07">
      <w:pPr>
        <w:pStyle w:val="ListParagraph"/>
        <w:numPr>
          <w:ilvl w:val="0"/>
          <w:numId w:val="46"/>
        </w:numPr>
        <w:spacing w:line="360" w:lineRule="auto"/>
        <w:rPr>
          <w:rFonts w:ascii="Times New Roman" w:hAnsi="Times New Roman"/>
        </w:rPr>
      </w:pPr>
      <w:r w:rsidRPr="001170E4">
        <w:rPr>
          <w:rFonts w:ascii="Times New Roman" w:hAnsi="Times New Roman"/>
        </w:rPr>
        <w:t>5-Year Independent Review and Impact Assessment.</w:t>
      </w:r>
    </w:p>
    <w:p w14:paraId="7896A719" w14:textId="77777777" w:rsidR="00BB1EE2" w:rsidRPr="001170E4" w:rsidRDefault="00BB1EE2" w:rsidP="00F72F11">
      <w:pPr>
        <w:spacing w:line="360" w:lineRule="auto"/>
        <w:jc w:val="both"/>
        <w:rPr>
          <w:rFonts w:ascii="Times New Roman" w:hAnsi="Times New Roman" w:cs="Times New Roman"/>
          <w:b/>
        </w:rPr>
      </w:pPr>
    </w:p>
    <w:p w14:paraId="4695626B"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b/>
        </w:rPr>
        <w:t>Innovative and thriving construction industry:</w:t>
      </w:r>
      <w:r w:rsidRPr="001170E4">
        <w:rPr>
          <w:rFonts w:ascii="Times New Roman" w:hAnsi="Times New Roman" w:cs="Times New Roman"/>
        </w:rPr>
        <w:t xml:space="preserve"> Provide mechanisms and support to enterprises to be competitive and sustainable and to deliver value for money within the construction industry.</w:t>
      </w:r>
    </w:p>
    <w:p w14:paraId="6BED71EB"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Indicators:</w:t>
      </w:r>
    </w:p>
    <w:p w14:paraId="0F38366A" w14:textId="77777777" w:rsidR="00BB1EE2" w:rsidRPr="001170E4" w:rsidRDefault="00BB1EE2" w:rsidP="00B41D07">
      <w:pPr>
        <w:pStyle w:val="ListParagraph"/>
        <w:numPr>
          <w:ilvl w:val="0"/>
          <w:numId w:val="47"/>
        </w:numPr>
        <w:spacing w:line="360" w:lineRule="auto"/>
        <w:rPr>
          <w:rFonts w:ascii="Times New Roman" w:hAnsi="Times New Roman"/>
        </w:rPr>
      </w:pPr>
      <w:r w:rsidRPr="001170E4">
        <w:rPr>
          <w:rFonts w:ascii="Times New Roman" w:hAnsi="Times New Roman"/>
        </w:rPr>
        <w:t>Percentage contractor and PSP satisfaction with clients’ index.</w:t>
      </w:r>
    </w:p>
    <w:p w14:paraId="7A8C45AA" w14:textId="77777777" w:rsidR="00BB1EE2" w:rsidRPr="001170E4" w:rsidRDefault="00BB1EE2" w:rsidP="00B41D07">
      <w:pPr>
        <w:pStyle w:val="ListParagraph"/>
        <w:numPr>
          <w:ilvl w:val="0"/>
          <w:numId w:val="47"/>
        </w:numPr>
        <w:spacing w:line="360" w:lineRule="auto"/>
        <w:rPr>
          <w:rFonts w:ascii="Times New Roman" w:hAnsi="Times New Roman"/>
        </w:rPr>
      </w:pPr>
      <w:r w:rsidRPr="001170E4">
        <w:rPr>
          <w:rFonts w:ascii="Times New Roman" w:hAnsi="Times New Roman"/>
        </w:rPr>
        <w:t>Percentage client satisfaction with contractors and PSPs index.</w:t>
      </w:r>
    </w:p>
    <w:p w14:paraId="72597DB2" w14:textId="77777777" w:rsidR="00BB1EE2" w:rsidRPr="001170E4" w:rsidRDefault="00BB1EE2" w:rsidP="00B41D07">
      <w:pPr>
        <w:pStyle w:val="ListParagraph"/>
        <w:numPr>
          <w:ilvl w:val="0"/>
          <w:numId w:val="47"/>
        </w:numPr>
        <w:spacing w:line="360" w:lineRule="auto"/>
        <w:rPr>
          <w:rFonts w:ascii="Times New Roman" w:hAnsi="Times New Roman"/>
        </w:rPr>
      </w:pPr>
      <w:r w:rsidRPr="001170E4">
        <w:rPr>
          <w:rFonts w:ascii="Times New Roman" w:hAnsi="Times New Roman"/>
        </w:rPr>
        <w:t>Percentage artisan development index.</w:t>
      </w:r>
    </w:p>
    <w:p w14:paraId="6E380814" w14:textId="77777777" w:rsidR="00BB1EE2" w:rsidRPr="001170E4" w:rsidRDefault="00BB1EE2" w:rsidP="00F72F11">
      <w:pPr>
        <w:spacing w:line="360" w:lineRule="auto"/>
        <w:jc w:val="both"/>
        <w:rPr>
          <w:rFonts w:ascii="Times New Roman" w:hAnsi="Times New Roman" w:cs="Times New Roman"/>
          <w:b/>
        </w:rPr>
      </w:pPr>
    </w:p>
    <w:p w14:paraId="769ACF30"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b/>
        </w:rPr>
        <w:lastRenderedPageBreak/>
        <w:t xml:space="preserve">Be a reputable regulator: </w:t>
      </w:r>
      <w:r w:rsidRPr="001170E4">
        <w:rPr>
          <w:rFonts w:ascii="Times New Roman" w:hAnsi="Times New Roman" w:cs="Times New Roman"/>
        </w:rPr>
        <w:t>To regulate the construction industry in the public interest to ensure a fair, inclusive, ethical, transformed, enabling and reputable construction environment.</w:t>
      </w:r>
    </w:p>
    <w:p w14:paraId="2C0B623E"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 xml:space="preserve">Indicators: </w:t>
      </w:r>
    </w:p>
    <w:p w14:paraId="4BC4BD77" w14:textId="77777777" w:rsidR="00BB1EE2" w:rsidRPr="001170E4" w:rsidRDefault="00BB1EE2" w:rsidP="00B41D07">
      <w:pPr>
        <w:pStyle w:val="ListParagraph"/>
        <w:numPr>
          <w:ilvl w:val="0"/>
          <w:numId w:val="48"/>
        </w:numPr>
        <w:spacing w:line="360" w:lineRule="auto"/>
        <w:rPr>
          <w:rFonts w:ascii="Times New Roman" w:hAnsi="Times New Roman"/>
        </w:rPr>
      </w:pPr>
      <w:r w:rsidRPr="001170E4">
        <w:rPr>
          <w:rFonts w:ascii="Times New Roman" w:hAnsi="Times New Roman"/>
        </w:rPr>
        <w:t>Code of Conduct Investigations Finalised within 6 Months.</w:t>
      </w:r>
    </w:p>
    <w:p w14:paraId="55A54902" w14:textId="77777777" w:rsidR="00BB1EE2" w:rsidRPr="001170E4" w:rsidRDefault="00BB1EE2" w:rsidP="00B41D07">
      <w:pPr>
        <w:pStyle w:val="ListParagraph"/>
        <w:numPr>
          <w:ilvl w:val="0"/>
          <w:numId w:val="48"/>
        </w:numPr>
        <w:spacing w:line="360" w:lineRule="auto"/>
        <w:rPr>
          <w:rFonts w:ascii="Times New Roman" w:hAnsi="Times New Roman"/>
        </w:rPr>
      </w:pPr>
      <w:r w:rsidRPr="001170E4">
        <w:rPr>
          <w:rFonts w:ascii="Times New Roman" w:hAnsi="Times New Roman"/>
        </w:rPr>
        <w:t>Percentage sanctions per 1 000 Contractors (Grades 2 to 9).</w:t>
      </w:r>
    </w:p>
    <w:p w14:paraId="40EEB635" w14:textId="77777777" w:rsidR="00BB1EE2" w:rsidRPr="001170E4" w:rsidRDefault="00BB1EE2" w:rsidP="00B41D07">
      <w:pPr>
        <w:pStyle w:val="ListParagraph"/>
        <w:numPr>
          <w:ilvl w:val="0"/>
          <w:numId w:val="48"/>
        </w:numPr>
        <w:spacing w:line="360" w:lineRule="auto"/>
        <w:rPr>
          <w:rFonts w:ascii="Times New Roman" w:hAnsi="Times New Roman"/>
        </w:rPr>
      </w:pPr>
      <w:r w:rsidRPr="001170E4">
        <w:rPr>
          <w:rFonts w:ascii="Times New Roman" w:hAnsi="Times New Roman"/>
        </w:rPr>
        <w:t>Percentage Register of Contractors (ROC) effective index.</w:t>
      </w:r>
    </w:p>
    <w:p w14:paraId="20D0D8FC" w14:textId="77777777" w:rsidR="00BB1EE2" w:rsidRPr="001170E4" w:rsidRDefault="00BB1EE2" w:rsidP="00B41D07">
      <w:pPr>
        <w:pStyle w:val="ListParagraph"/>
        <w:numPr>
          <w:ilvl w:val="0"/>
          <w:numId w:val="48"/>
        </w:numPr>
        <w:spacing w:line="360" w:lineRule="auto"/>
        <w:rPr>
          <w:rFonts w:ascii="Times New Roman" w:hAnsi="Times New Roman"/>
        </w:rPr>
      </w:pPr>
      <w:r w:rsidRPr="001170E4">
        <w:rPr>
          <w:rFonts w:ascii="Times New Roman" w:hAnsi="Times New Roman"/>
        </w:rPr>
        <w:t>Percentage Register of Project Compliance index.</w:t>
      </w:r>
    </w:p>
    <w:p w14:paraId="07210B33" w14:textId="77777777" w:rsidR="00BB1EE2" w:rsidRPr="001170E4" w:rsidRDefault="00BB1EE2" w:rsidP="00B41D07">
      <w:pPr>
        <w:pStyle w:val="ListParagraph"/>
        <w:numPr>
          <w:ilvl w:val="0"/>
          <w:numId w:val="48"/>
        </w:numPr>
        <w:spacing w:line="360" w:lineRule="auto"/>
        <w:rPr>
          <w:rFonts w:ascii="Times New Roman" w:hAnsi="Times New Roman"/>
          <w:b/>
        </w:rPr>
      </w:pPr>
      <w:r w:rsidRPr="001170E4">
        <w:rPr>
          <w:rFonts w:ascii="Times New Roman" w:hAnsi="Times New Roman"/>
        </w:rPr>
        <w:t>Percentage Provincial Performance Index.</w:t>
      </w:r>
    </w:p>
    <w:p w14:paraId="19B75A3A" w14:textId="77777777" w:rsidR="00BB1EE2" w:rsidRPr="001170E4" w:rsidRDefault="00BB1EE2" w:rsidP="00F72F11">
      <w:pPr>
        <w:spacing w:line="360" w:lineRule="auto"/>
        <w:jc w:val="both"/>
        <w:rPr>
          <w:rFonts w:ascii="Times New Roman" w:hAnsi="Times New Roman" w:cs="Times New Roman"/>
          <w:b/>
        </w:rPr>
      </w:pPr>
    </w:p>
    <w:p w14:paraId="2A0D2D7A"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 xml:space="preserve">Working in Alliance: </w:t>
      </w:r>
      <w:r w:rsidRPr="001170E4">
        <w:rPr>
          <w:rFonts w:ascii="Times New Roman" w:hAnsi="Times New Roman" w:cs="Times New Roman"/>
        </w:rPr>
        <w:t>Pursuing progressive partnerships and alliances with industry stakeholders to achieve cidb's strategic intent.</w:t>
      </w:r>
    </w:p>
    <w:p w14:paraId="569662F5"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 xml:space="preserve">Indicator: </w:t>
      </w:r>
      <w:r w:rsidRPr="001170E4">
        <w:rPr>
          <w:rFonts w:ascii="Times New Roman" w:hAnsi="Times New Roman" w:cs="Times New Roman"/>
        </w:rPr>
        <w:t>Percentage CIDB Perception and Acceptance index.</w:t>
      </w:r>
    </w:p>
    <w:p w14:paraId="625F2F56" w14:textId="77777777" w:rsidR="00BB1EE2" w:rsidRPr="001170E4" w:rsidRDefault="00BB1EE2" w:rsidP="00F72F11">
      <w:pPr>
        <w:spacing w:line="360" w:lineRule="auto"/>
        <w:jc w:val="both"/>
        <w:rPr>
          <w:rFonts w:ascii="Times New Roman" w:hAnsi="Times New Roman" w:cs="Times New Roman"/>
          <w:b/>
        </w:rPr>
      </w:pPr>
    </w:p>
    <w:p w14:paraId="78A7EA61"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Sound corporate governance:</w:t>
      </w:r>
      <w:r w:rsidRPr="001170E4">
        <w:rPr>
          <w:rFonts w:ascii="Times New Roman" w:hAnsi="Times New Roman" w:cs="Times New Roman"/>
        </w:rPr>
        <w:t xml:space="preserve"> An effective, efficient adequately structured well-governed and sustainable institution.</w:t>
      </w:r>
    </w:p>
    <w:p w14:paraId="5CD779E8"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 xml:space="preserve">Indicator: </w:t>
      </w:r>
      <w:r w:rsidRPr="001170E4">
        <w:rPr>
          <w:rFonts w:ascii="Times New Roman" w:hAnsi="Times New Roman" w:cs="Times New Roman"/>
        </w:rPr>
        <w:t>A clean audit outcome.</w:t>
      </w:r>
    </w:p>
    <w:p w14:paraId="516C9E0F" w14:textId="77777777" w:rsidR="00B16A39" w:rsidRDefault="00B16A39" w:rsidP="00B258A1">
      <w:pPr>
        <w:spacing w:line="360" w:lineRule="auto"/>
        <w:rPr>
          <w:rFonts w:ascii="Times New Roman" w:hAnsi="Times New Roman" w:cs="Times New Roman"/>
          <w:b/>
        </w:rPr>
      </w:pPr>
    </w:p>
    <w:p w14:paraId="4EF88B0D" w14:textId="77777777" w:rsidR="00BB1EE2" w:rsidRPr="001170E4" w:rsidRDefault="00BB1EE2" w:rsidP="00B258A1">
      <w:pPr>
        <w:spacing w:line="360" w:lineRule="auto"/>
        <w:rPr>
          <w:rFonts w:ascii="Times New Roman" w:hAnsi="Times New Roman" w:cs="Times New Roman"/>
          <w:b/>
        </w:rPr>
      </w:pPr>
      <w:r w:rsidRPr="001170E4">
        <w:rPr>
          <w:rFonts w:ascii="Times New Roman" w:hAnsi="Times New Roman" w:cs="Times New Roman"/>
          <w:b/>
        </w:rPr>
        <w:t xml:space="preserve">The </w:t>
      </w:r>
      <w:r w:rsidR="00B16A39">
        <w:rPr>
          <w:rFonts w:ascii="Times New Roman" w:hAnsi="Times New Roman" w:cs="Times New Roman"/>
          <w:b/>
        </w:rPr>
        <w:t xml:space="preserve">budget is the </w:t>
      </w:r>
      <w:r w:rsidRPr="001170E4">
        <w:rPr>
          <w:rFonts w:ascii="Times New Roman" w:hAnsi="Times New Roman" w:cs="Times New Roman"/>
          <w:b/>
        </w:rPr>
        <w:t>main resource to achieve the above stated goals:</w:t>
      </w:r>
    </w:p>
    <w:tbl>
      <w:tblPr>
        <w:tblpPr w:leftFromText="181" w:rightFromText="181" w:vertAnchor="text" w:horzAnchor="margin" w:tblpY="92"/>
        <w:tblW w:w="8495" w:type="dxa"/>
        <w:tblCellMar>
          <w:left w:w="0" w:type="dxa"/>
          <w:right w:w="0" w:type="dxa"/>
        </w:tblCellMar>
        <w:tblLook w:val="04A0" w:firstRow="1" w:lastRow="0" w:firstColumn="1" w:lastColumn="0" w:noHBand="0" w:noVBand="1"/>
      </w:tblPr>
      <w:tblGrid>
        <w:gridCol w:w="3759"/>
        <w:gridCol w:w="1984"/>
        <w:gridCol w:w="1503"/>
        <w:gridCol w:w="1249"/>
      </w:tblGrid>
      <w:tr w:rsidR="00B16A39" w:rsidRPr="001170E4" w14:paraId="2BE72CD3" w14:textId="77777777" w:rsidTr="003C1AB6">
        <w:trPr>
          <w:trHeight w:val="456"/>
        </w:trPr>
        <w:tc>
          <w:tcPr>
            <w:tcW w:w="375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FFB5740" w14:textId="77777777" w:rsidR="00B16A39" w:rsidRPr="001170E4" w:rsidRDefault="00B16A39" w:rsidP="00B16A39">
            <w:pPr>
              <w:spacing w:line="360" w:lineRule="auto"/>
              <w:rPr>
                <w:rFonts w:ascii="Times New Roman" w:hAnsi="Times New Roman" w:cs="Times New Roman"/>
              </w:rPr>
            </w:pPr>
          </w:p>
        </w:tc>
        <w:tc>
          <w:tcPr>
            <w:tcW w:w="198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84F10CF"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
                <w:bCs/>
              </w:rPr>
              <w:t>2017/18</w:t>
            </w:r>
          </w:p>
        </w:tc>
        <w:tc>
          <w:tcPr>
            <w:tcW w:w="150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C44B7E1"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
                <w:bCs/>
              </w:rPr>
              <w:t>2018/19</w:t>
            </w:r>
          </w:p>
        </w:tc>
        <w:tc>
          <w:tcPr>
            <w:tcW w:w="124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34F150C"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
                <w:bCs/>
              </w:rPr>
              <w:t>2019/20</w:t>
            </w:r>
          </w:p>
        </w:tc>
      </w:tr>
      <w:tr w:rsidR="00B16A39" w:rsidRPr="001170E4" w14:paraId="25D0543B" w14:textId="77777777" w:rsidTr="003C1AB6">
        <w:trPr>
          <w:trHeight w:val="228"/>
        </w:trPr>
        <w:tc>
          <w:tcPr>
            <w:tcW w:w="3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AF6EB8" w14:textId="77777777" w:rsidR="00B16A39" w:rsidRPr="001170E4" w:rsidRDefault="00B16A39" w:rsidP="00B16A39">
            <w:pPr>
              <w:spacing w:line="360" w:lineRule="auto"/>
              <w:rPr>
                <w:rFonts w:ascii="Times New Roman" w:hAnsi="Times New Roman" w:cs="Times New Roman"/>
                <w:b/>
                <w:bCs/>
              </w:rPr>
            </w:pPr>
            <w:r w:rsidRPr="001170E4">
              <w:rPr>
                <w:rFonts w:ascii="Times New Roman" w:hAnsi="Times New Roman" w:cs="Times New Roman"/>
                <w:b/>
                <w:bCs/>
              </w:rPr>
              <w:t xml:space="preserve">1. Administration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378168"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75 967</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6C3038"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77 693</w:t>
            </w: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82D273"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82 044</w:t>
            </w:r>
          </w:p>
        </w:tc>
      </w:tr>
      <w:tr w:rsidR="00B16A39" w:rsidRPr="001170E4" w14:paraId="0428C881" w14:textId="77777777" w:rsidTr="003C1AB6">
        <w:trPr>
          <w:trHeight w:val="212"/>
        </w:trPr>
        <w:tc>
          <w:tcPr>
            <w:tcW w:w="3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C15BA" w14:textId="77777777" w:rsidR="00B16A39" w:rsidRPr="001170E4" w:rsidRDefault="00B16A39" w:rsidP="00B16A39">
            <w:pPr>
              <w:spacing w:line="360" w:lineRule="auto"/>
              <w:rPr>
                <w:rFonts w:ascii="Times New Roman" w:hAnsi="Times New Roman" w:cs="Times New Roman"/>
                <w:b/>
                <w:bCs/>
              </w:rPr>
            </w:pPr>
            <w:r w:rsidRPr="001170E4">
              <w:rPr>
                <w:rFonts w:ascii="Times New Roman" w:hAnsi="Times New Roman" w:cs="Times New Roman"/>
                <w:b/>
                <w:bCs/>
              </w:rPr>
              <w:t>2. Regulation and Advocacy</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1A668C"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64 710</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DCEADE"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67 628</w:t>
            </w: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2B1099"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71 415</w:t>
            </w:r>
          </w:p>
        </w:tc>
      </w:tr>
      <w:tr w:rsidR="00B16A39" w:rsidRPr="001170E4" w14:paraId="28725273" w14:textId="77777777" w:rsidTr="003C1AB6">
        <w:trPr>
          <w:trHeight w:val="282"/>
        </w:trPr>
        <w:tc>
          <w:tcPr>
            <w:tcW w:w="3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A0A759" w14:textId="77777777" w:rsidR="00B16A39" w:rsidRPr="001170E4" w:rsidRDefault="00B16A39" w:rsidP="00B16A39">
            <w:pPr>
              <w:spacing w:line="360" w:lineRule="auto"/>
              <w:rPr>
                <w:rFonts w:ascii="Times New Roman" w:hAnsi="Times New Roman" w:cs="Times New Roman"/>
                <w:b/>
                <w:bCs/>
              </w:rPr>
            </w:pPr>
            <w:r w:rsidRPr="001170E4">
              <w:rPr>
                <w:rFonts w:ascii="Times New Roman" w:hAnsi="Times New Roman" w:cs="Times New Roman"/>
                <w:b/>
                <w:bCs/>
              </w:rPr>
              <w:t>3. Development and Capacitation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40DACC"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13 303</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6994D"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13 914</w:t>
            </w: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040CF8"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14 693</w:t>
            </w:r>
          </w:p>
        </w:tc>
      </w:tr>
      <w:tr w:rsidR="00B16A39" w:rsidRPr="001170E4" w14:paraId="493D3E2F" w14:textId="77777777" w:rsidTr="003C1AB6">
        <w:trPr>
          <w:trHeight w:val="288"/>
        </w:trPr>
        <w:tc>
          <w:tcPr>
            <w:tcW w:w="3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D1BCC6" w14:textId="77777777" w:rsidR="00B16A39" w:rsidRPr="001170E4" w:rsidRDefault="00B16A39" w:rsidP="00B16A39">
            <w:pPr>
              <w:spacing w:line="360" w:lineRule="auto"/>
              <w:rPr>
                <w:rFonts w:ascii="Times New Roman" w:hAnsi="Times New Roman" w:cs="Times New Roman"/>
                <w:b/>
                <w:bCs/>
              </w:rPr>
            </w:pPr>
            <w:r w:rsidRPr="001170E4">
              <w:rPr>
                <w:rFonts w:ascii="Times New Roman" w:hAnsi="Times New Roman" w:cs="Times New Roman"/>
                <w:b/>
                <w:bCs/>
              </w:rPr>
              <w:t>4. Industry Performance and Transformation</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43DE35"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14 497</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06EC4"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15 188</w:t>
            </w: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965B66" w14:textId="77777777" w:rsidR="00B16A39" w:rsidRPr="001170E4" w:rsidRDefault="00B16A39" w:rsidP="00B16A39">
            <w:pPr>
              <w:spacing w:line="360" w:lineRule="auto"/>
              <w:rPr>
                <w:rFonts w:ascii="Times New Roman" w:hAnsi="Times New Roman" w:cs="Times New Roman"/>
              </w:rPr>
            </w:pPr>
            <w:r w:rsidRPr="001170E4">
              <w:rPr>
                <w:rFonts w:ascii="Times New Roman" w:hAnsi="Times New Roman" w:cs="Times New Roman"/>
                <w:bCs/>
              </w:rPr>
              <w:t>16 039</w:t>
            </w:r>
          </w:p>
        </w:tc>
      </w:tr>
      <w:tr w:rsidR="00B16A39" w:rsidRPr="001170E4" w14:paraId="0BD02EAB" w14:textId="77777777" w:rsidTr="003C1AB6">
        <w:trPr>
          <w:trHeight w:val="211"/>
        </w:trPr>
        <w:tc>
          <w:tcPr>
            <w:tcW w:w="3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875AA7" w14:textId="77777777" w:rsidR="00B16A39" w:rsidRPr="001170E4" w:rsidRDefault="00B16A39" w:rsidP="00B16A39">
            <w:pPr>
              <w:spacing w:line="360" w:lineRule="auto"/>
              <w:rPr>
                <w:rFonts w:ascii="Times New Roman" w:hAnsi="Times New Roman" w:cs="Times New Roman"/>
                <w:b/>
                <w:bCs/>
              </w:rPr>
            </w:pPr>
            <w:r w:rsidRPr="001170E4">
              <w:rPr>
                <w:rFonts w:ascii="Times New Roman" w:hAnsi="Times New Roman" w:cs="Times New Roman"/>
                <w:b/>
                <w:bCs/>
              </w:rPr>
              <w:t>Total</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ADA0BE" w14:textId="77777777" w:rsidR="00B16A39" w:rsidRPr="001170E4" w:rsidRDefault="00B16A39" w:rsidP="00B16A39">
            <w:pPr>
              <w:spacing w:line="360" w:lineRule="auto"/>
              <w:rPr>
                <w:rFonts w:ascii="Times New Roman" w:hAnsi="Times New Roman" w:cs="Times New Roman"/>
                <w:b/>
                <w:bCs/>
              </w:rPr>
            </w:pPr>
            <w:r w:rsidRPr="001170E4">
              <w:rPr>
                <w:rFonts w:ascii="Times New Roman" w:hAnsi="Times New Roman" w:cs="Times New Roman"/>
                <w:b/>
                <w:bCs/>
              </w:rPr>
              <w:t>168 477</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C7E54" w14:textId="77777777" w:rsidR="00B16A39" w:rsidRPr="001170E4" w:rsidRDefault="00B16A39" w:rsidP="00B16A39">
            <w:pPr>
              <w:spacing w:line="360" w:lineRule="auto"/>
              <w:rPr>
                <w:rFonts w:ascii="Times New Roman" w:hAnsi="Times New Roman" w:cs="Times New Roman"/>
                <w:b/>
                <w:bCs/>
              </w:rPr>
            </w:pPr>
            <w:r w:rsidRPr="001170E4">
              <w:rPr>
                <w:rFonts w:ascii="Times New Roman" w:hAnsi="Times New Roman" w:cs="Times New Roman"/>
                <w:b/>
                <w:bCs/>
              </w:rPr>
              <w:t>174 423</w:t>
            </w:r>
          </w:p>
        </w:tc>
        <w:tc>
          <w:tcPr>
            <w:tcW w:w="12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87262B" w14:textId="77777777" w:rsidR="00B16A39" w:rsidRPr="001170E4" w:rsidRDefault="00B16A39" w:rsidP="00B16A39">
            <w:pPr>
              <w:spacing w:line="360" w:lineRule="auto"/>
              <w:rPr>
                <w:rFonts w:ascii="Times New Roman" w:hAnsi="Times New Roman" w:cs="Times New Roman"/>
                <w:b/>
                <w:bCs/>
              </w:rPr>
            </w:pPr>
            <w:r w:rsidRPr="001170E4">
              <w:rPr>
                <w:rFonts w:ascii="Times New Roman" w:hAnsi="Times New Roman" w:cs="Times New Roman"/>
                <w:b/>
                <w:bCs/>
              </w:rPr>
              <w:t>184 191</w:t>
            </w:r>
          </w:p>
        </w:tc>
      </w:tr>
    </w:tbl>
    <w:p w14:paraId="4C9B1117" w14:textId="77777777" w:rsidR="00BB1EE2" w:rsidRDefault="00BB1EE2" w:rsidP="00B258A1">
      <w:pPr>
        <w:spacing w:line="360" w:lineRule="auto"/>
        <w:rPr>
          <w:rFonts w:ascii="Times New Roman" w:hAnsi="Times New Roman" w:cs="Times New Roman"/>
          <w:b/>
        </w:rPr>
      </w:pPr>
    </w:p>
    <w:p w14:paraId="73EB7752" w14:textId="5E835ACC" w:rsidR="00143442" w:rsidRDefault="00143442" w:rsidP="00B258A1">
      <w:pPr>
        <w:spacing w:line="360" w:lineRule="auto"/>
        <w:rPr>
          <w:rFonts w:ascii="Times New Roman" w:hAnsi="Times New Roman" w:cs="Times New Roman"/>
        </w:rPr>
      </w:pPr>
      <w:r w:rsidRPr="00BD114D">
        <w:rPr>
          <w:rFonts w:ascii="Times New Roman" w:hAnsi="Times New Roman" w:cs="Times New Roman"/>
        </w:rPr>
        <w:t xml:space="preserve">The total programme budget for the CIDB equals R174.4 million for 2018/19, an increase of </w:t>
      </w:r>
      <w:r w:rsidR="004C5747" w:rsidRPr="00BD114D">
        <w:rPr>
          <w:rFonts w:ascii="Times New Roman" w:hAnsi="Times New Roman" w:cs="Times New Roman"/>
        </w:rPr>
        <w:t>R5.9 million from the R166.5 million in 2017/18.</w:t>
      </w:r>
      <w:r w:rsidR="009C580D">
        <w:rPr>
          <w:rFonts w:ascii="Times New Roman" w:hAnsi="Times New Roman" w:cs="Times New Roman"/>
        </w:rPr>
        <w:t xml:space="preserve"> The allocation for the four programmes is as follows:</w:t>
      </w:r>
      <w:r w:rsidR="0085024C">
        <w:rPr>
          <w:rStyle w:val="FootnoteReference"/>
          <w:rFonts w:ascii="Times New Roman" w:hAnsi="Times New Roman" w:cs="Times New Roman"/>
        </w:rPr>
        <w:footnoteReference w:id="76"/>
      </w:r>
    </w:p>
    <w:p w14:paraId="44FE9A7C" w14:textId="77777777" w:rsidR="0085024C" w:rsidRDefault="0085024C" w:rsidP="00B258A1">
      <w:pPr>
        <w:spacing w:line="360" w:lineRule="auto"/>
        <w:rPr>
          <w:rFonts w:ascii="Times New Roman" w:hAnsi="Times New Roman" w:cs="Times New Roman"/>
        </w:rPr>
      </w:pPr>
    </w:p>
    <w:p w14:paraId="49C7B1EE" w14:textId="43CDB0A6" w:rsidR="009C580D" w:rsidRPr="00BD114D" w:rsidRDefault="009C580D" w:rsidP="00BD114D">
      <w:pPr>
        <w:pStyle w:val="ListParagraph"/>
        <w:numPr>
          <w:ilvl w:val="0"/>
          <w:numId w:val="63"/>
        </w:numPr>
        <w:spacing w:line="360" w:lineRule="auto"/>
        <w:rPr>
          <w:rFonts w:ascii="Times New Roman" w:hAnsi="Times New Roman"/>
        </w:rPr>
      </w:pPr>
      <w:r w:rsidRPr="00BD114D">
        <w:rPr>
          <w:rFonts w:ascii="Times New Roman" w:hAnsi="Times New Roman"/>
        </w:rPr>
        <w:lastRenderedPageBreak/>
        <w:t>Administration received R77.7 million for 2018/19, (an increase of R1.7 million), from the R75.9 million in 2017/18.</w:t>
      </w:r>
    </w:p>
    <w:p w14:paraId="67854A2E" w14:textId="74BF91E2" w:rsidR="009C580D" w:rsidRPr="00BD114D" w:rsidRDefault="009C580D" w:rsidP="00BD114D">
      <w:pPr>
        <w:pStyle w:val="ListParagraph"/>
        <w:numPr>
          <w:ilvl w:val="0"/>
          <w:numId w:val="63"/>
        </w:numPr>
        <w:spacing w:line="360" w:lineRule="auto"/>
        <w:rPr>
          <w:rFonts w:ascii="Times New Roman" w:hAnsi="Times New Roman"/>
        </w:rPr>
      </w:pPr>
      <w:r w:rsidRPr="00BD114D">
        <w:rPr>
          <w:rFonts w:ascii="Times New Roman" w:hAnsi="Times New Roman"/>
        </w:rPr>
        <w:t>Regulatory and Advocacy received R67.6 million (an increase of R2.9 million), from the R64.7 million in 2017/18.</w:t>
      </w:r>
    </w:p>
    <w:p w14:paraId="744C7AE4" w14:textId="268B29C2" w:rsidR="009C580D" w:rsidRPr="00BD114D" w:rsidRDefault="0085024C" w:rsidP="00BD114D">
      <w:pPr>
        <w:pStyle w:val="ListParagraph"/>
        <w:numPr>
          <w:ilvl w:val="0"/>
          <w:numId w:val="63"/>
        </w:numPr>
        <w:spacing w:line="360" w:lineRule="auto"/>
        <w:rPr>
          <w:rFonts w:ascii="Times New Roman" w:hAnsi="Times New Roman"/>
        </w:rPr>
      </w:pPr>
      <w:r w:rsidRPr="00BD114D">
        <w:rPr>
          <w:rFonts w:ascii="Times New Roman" w:hAnsi="Times New Roman"/>
        </w:rPr>
        <w:t>Development and Capacitation received R13.9 million (R611 000), from the R13.3 million in 2017/18.</w:t>
      </w:r>
    </w:p>
    <w:p w14:paraId="539E47F0" w14:textId="33E09AF0" w:rsidR="004C5747" w:rsidRPr="00BD114D" w:rsidRDefault="009C580D" w:rsidP="00BD114D">
      <w:pPr>
        <w:pStyle w:val="CommentText"/>
        <w:numPr>
          <w:ilvl w:val="0"/>
          <w:numId w:val="63"/>
        </w:numPr>
        <w:rPr>
          <w:rFonts w:ascii="Times New Roman" w:hAnsi="Times New Roman"/>
          <w:sz w:val="22"/>
          <w:szCs w:val="22"/>
        </w:rPr>
      </w:pPr>
      <w:r w:rsidRPr="00BD114D">
        <w:rPr>
          <w:rFonts w:ascii="Times New Roman" w:hAnsi="Times New Roman"/>
          <w:sz w:val="22"/>
          <w:szCs w:val="22"/>
        </w:rPr>
        <w:t xml:space="preserve">Industry </w:t>
      </w:r>
      <w:r w:rsidR="004C5747" w:rsidRPr="00BD114D">
        <w:rPr>
          <w:rFonts w:ascii="Times New Roman" w:hAnsi="Times New Roman"/>
          <w:sz w:val="22"/>
          <w:szCs w:val="22"/>
        </w:rPr>
        <w:t>Performance and Transformation increased by R691 000 from</w:t>
      </w:r>
      <w:r w:rsidRPr="00BD114D">
        <w:rPr>
          <w:rFonts w:ascii="Times New Roman" w:hAnsi="Times New Roman"/>
          <w:sz w:val="22"/>
          <w:szCs w:val="22"/>
        </w:rPr>
        <w:t xml:space="preserve"> the</w:t>
      </w:r>
      <w:r w:rsidR="004C5747" w:rsidRPr="00BD114D">
        <w:rPr>
          <w:rFonts w:ascii="Times New Roman" w:hAnsi="Times New Roman"/>
          <w:sz w:val="22"/>
          <w:szCs w:val="22"/>
        </w:rPr>
        <w:t xml:space="preserve"> R14.5 million in 2017/18 to R15.2 million in 2018/19. </w:t>
      </w:r>
    </w:p>
    <w:p w14:paraId="3926C02F" w14:textId="5961E3B9" w:rsidR="00143442" w:rsidRPr="00BD114D" w:rsidRDefault="0085024C" w:rsidP="00B258A1">
      <w:pPr>
        <w:spacing w:line="360" w:lineRule="auto"/>
        <w:rPr>
          <w:rFonts w:ascii="Times New Roman" w:hAnsi="Times New Roman" w:cs="Times New Roman"/>
        </w:rPr>
      </w:pPr>
      <w:r w:rsidRPr="00BD114D">
        <w:rPr>
          <w:rFonts w:ascii="Times New Roman" w:hAnsi="Times New Roman" w:cs="Times New Roman"/>
        </w:rPr>
        <w:t xml:space="preserve">The revenue of the CIDB for 2018/19 consists of the following: </w:t>
      </w:r>
    </w:p>
    <w:p w14:paraId="7BDE2340" w14:textId="77777777" w:rsidR="00EB4CB6" w:rsidRDefault="00EB4CB6" w:rsidP="00B258A1">
      <w:pPr>
        <w:spacing w:line="360" w:lineRule="auto"/>
        <w:rPr>
          <w:rFonts w:ascii="Times New Roman" w:hAnsi="Times New Roman" w:cs="Times New Roman"/>
        </w:rPr>
      </w:pPr>
    </w:p>
    <w:p w14:paraId="26DF304F" w14:textId="04ACFFCE" w:rsidR="0085024C" w:rsidRPr="00BD114D" w:rsidRDefault="0085024C" w:rsidP="00BD114D">
      <w:pPr>
        <w:pStyle w:val="ListParagraph"/>
        <w:numPr>
          <w:ilvl w:val="0"/>
          <w:numId w:val="64"/>
        </w:numPr>
        <w:spacing w:line="360" w:lineRule="auto"/>
        <w:rPr>
          <w:rFonts w:ascii="Times New Roman" w:hAnsi="Times New Roman"/>
        </w:rPr>
      </w:pPr>
      <w:r w:rsidRPr="00BD114D">
        <w:rPr>
          <w:rFonts w:ascii="Times New Roman" w:hAnsi="Times New Roman"/>
        </w:rPr>
        <w:t>Government Grant -  R73.3 million (a decline of R1.7 million), from the R74.9 million in 2017/18.</w:t>
      </w:r>
    </w:p>
    <w:p w14:paraId="403450FA" w14:textId="26DBB42A" w:rsidR="0085024C" w:rsidRPr="00BD114D" w:rsidRDefault="0085024C" w:rsidP="00BD114D">
      <w:pPr>
        <w:pStyle w:val="ListParagraph"/>
        <w:numPr>
          <w:ilvl w:val="0"/>
          <w:numId w:val="64"/>
        </w:numPr>
        <w:spacing w:line="360" w:lineRule="auto"/>
        <w:rPr>
          <w:rFonts w:ascii="Times New Roman" w:hAnsi="Times New Roman"/>
        </w:rPr>
      </w:pPr>
      <w:r w:rsidRPr="00BD114D">
        <w:rPr>
          <w:rFonts w:ascii="Times New Roman" w:hAnsi="Times New Roman"/>
        </w:rPr>
        <w:t>Registration Fees – R92.8 million (an increase of R7.2 million) from the R85.6 million in 2017/18.</w:t>
      </w:r>
    </w:p>
    <w:p w14:paraId="559B843A" w14:textId="549F7735" w:rsidR="0085024C" w:rsidRPr="00BD114D" w:rsidRDefault="0085024C" w:rsidP="00BD114D">
      <w:pPr>
        <w:pStyle w:val="ListParagraph"/>
        <w:numPr>
          <w:ilvl w:val="0"/>
          <w:numId w:val="64"/>
        </w:numPr>
        <w:spacing w:line="360" w:lineRule="auto"/>
        <w:rPr>
          <w:rFonts w:ascii="Times New Roman" w:hAnsi="Times New Roman"/>
        </w:rPr>
      </w:pPr>
      <w:r w:rsidRPr="00BD114D">
        <w:rPr>
          <w:rFonts w:ascii="Times New Roman" w:hAnsi="Times New Roman"/>
        </w:rPr>
        <w:t>Finance Income – R8.3 million (an increase of R794 000) from the R</w:t>
      </w:r>
      <w:r w:rsidR="00EB4CB6" w:rsidRPr="00BD114D">
        <w:rPr>
          <w:rFonts w:ascii="Times New Roman" w:hAnsi="Times New Roman"/>
        </w:rPr>
        <w:t>7.9 million in 2017/18.</w:t>
      </w:r>
    </w:p>
    <w:p w14:paraId="1EA7A7EA" w14:textId="77777777" w:rsidR="00143442" w:rsidRPr="001170E4" w:rsidRDefault="00143442" w:rsidP="00B258A1">
      <w:pPr>
        <w:spacing w:line="360" w:lineRule="auto"/>
        <w:rPr>
          <w:rFonts w:ascii="Times New Roman" w:hAnsi="Times New Roman" w:cs="Times New Roman"/>
          <w:b/>
        </w:rPr>
      </w:pPr>
    </w:p>
    <w:p w14:paraId="20E17182" w14:textId="77777777" w:rsidR="00BB1EE2" w:rsidRPr="001170E4" w:rsidRDefault="00BB1EE2" w:rsidP="00996395">
      <w:pPr>
        <w:spacing w:after="0" w:line="360" w:lineRule="auto"/>
        <w:jc w:val="both"/>
        <w:rPr>
          <w:rFonts w:ascii="Times New Roman" w:eastAsia="Times New Roman" w:hAnsi="Times New Roman" w:cs="Times New Roman"/>
          <w:b/>
          <w:color w:val="000000"/>
          <w:spacing w:val="6"/>
          <w:lang w:val="en-GB" w:eastAsia="en-GB"/>
        </w:rPr>
      </w:pPr>
    </w:p>
    <w:p w14:paraId="03CC563B" w14:textId="77777777" w:rsidR="00BB1EE2" w:rsidRPr="001170E4" w:rsidRDefault="00BB1EE2" w:rsidP="00996395">
      <w:pPr>
        <w:spacing w:after="0" w:line="360" w:lineRule="auto"/>
        <w:jc w:val="both"/>
        <w:rPr>
          <w:rFonts w:ascii="Times New Roman" w:eastAsia="Times New Roman" w:hAnsi="Times New Roman" w:cs="Times New Roman"/>
          <w:color w:val="000000"/>
          <w:spacing w:val="6"/>
          <w:lang w:val="en-GB" w:eastAsia="en-GB"/>
        </w:rPr>
      </w:pPr>
      <w:r w:rsidRPr="001170E4">
        <w:rPr>
          <w:rFonts w:ascii="Times New Roman" w:eastAsia="Times New Roman" w:hAnsi="Times New Roman" w:cs="Times New Roman"/>
          <w:b/>
          <w:color w:val="000000"/>
          <w:spacing w:val="6"/>
          <w:lang w:val="en-GB" w:eastAsia="en-GB"/>
        </w:rPr>
        <w:t>Matters that emerged from deliberations with the CIDB:</w:t>
      </w:r>
    </w:p>
    <w:p w14:paraId="5114CC48" w14:textId="77777777" w:rsidR="0024180D" w:rsidRDefault="00B16A39" w:rsidP="00B16A39">
      <w:pPr>
        <w:spacing w:line="360" w:lineRule="auto"/>
        <w:ind w:left="284" w:hanging="426"/>
        <w:jc w:val="both"/>
        <w:rPr>
          <w:rFonts w:ascii="Times New Roman" w:hAnsi="Times New Roman" w:cs="Times New Roman"/>
        </w:rPr>
      </w:pPr>
      <w:r>
        <w:rPr>
          <w:rFonts w:ascii="Times New Roman" w:hAnsi="Times New Roman" w:cs="Times New Roman"/>
        </w:rPr>
        <w:t xml:space="preserve">6.1. </w:t>
      </w:r>
      <w:r w:rsidR="00BB1EE2" w:rsidRPr="001170E4">
        <w:rPr>
          <w:rFonts w:ascii="Times New Roman" w:hAnsi="Times New Roman" w:cs="Times New Roman"/>
        </w:rPr>
        <w:t xml:space="preserve">The CIDB Board </w:t>
      </w:r>
      <w:r w:rsidR="00E011D3">
        <w:rPr>
          <w:rFonts w:ascii="Times New Roman" w:hAnsi="Times New Roman" w:cs="Times New Roman"/>
        </w:rPr>
        <w:t>stated that it faced a challenge with capacity erosion at senior and executive management level. This affected governance systems so that it was showing signs of being underdeveloped. The problem requires urgent attention</w:t>
      </w:r>
      <w:r w:rsidR="00EA42BC">
        <w:rPr>
          <w:rFonts w:ascii="Times New Roman" w:hAnsi="Times New Roman" w:cs="Times New Roman"/>
        </w:rPr>
        <w:t xml:space="preserve"> as</w:t>
      </w:r>
      <w:r w:rsidR="0024180D">
        <w:rPr>
          <w:rFonts w:ascii="Times New Roman" w:hAnsi="Times New Roman" w:cs="Times New Roman"/>
        </w:rPr>
        <w:t>:</w:t>
      </w:r>
    </w:p>
    <w:p w14:paraId="25EDBE80" w14:textId="77777777" w:rsidR="00E011D3" w:rsidRDefault="0024180D" w:rsidP="00B16A39">
      <w:pPr>
        <w:spacing w:line="360" w:lineRule="auto"/>
        <w:ind w:left="284" w:hanging="426"/>
        <w:jc w:val="both"/>
        <w:rPr>
          <w:rFonts w:ascii="Times New Roman" w:hAnsi="Times New Roman" w:cs="Times New Roman"/>
        </w:rPr>
      </w:pPr>
      <w:r>
        <w:rPr>
          <w:rFonts w:ascii="Times New Roman" w:hAnsi="Times New Roman" w:cs="Times New Roman"/>
        </w:rPr>
        <w:t>6.1.1.</w:t>
      </w:r>
      <w:r w:rsidR="00EA42BC">
        <w:rPr>
          <w:rFonts w:ascii="Times New Roman" w:hAnsi="Times New Roman" w:cs="Times New Roman"/>
        </w:rPr>
        <w:t xml:space="preserve"> the Office of the Auditor-General and the Department of Monitoring and Evaluation reported that the entity was not submitting the required reports and documentation.</w:t>
      </w:r>
      <w:r w:rsidR="00E011D3">
        <w:rPr>
          <w:rFonts w:ascii="Times New Roman" w:hAnsi="Times New Roman" w:cs="Times New Roman"/>
        </w:rPr>
        <w:t xml:space="preserve"> </w:t>
      </w:r>
    </w:p>
    <w:p w14:paraId="2CB1EDE6" w14:textId="77777777" w:rsidR="0024180D" w:rsidRDefault="0024180D" w:rsidP="00B16A39">
      <w:pPr>
        <w:spacing w:line="360" w:lineRule="auto"/>
        <w:ind w:left="284" w:hanging="426"/>
        <w:jc w:val="both"/>
        <w:rPr>
          <w:rFonts w:ascii="Times New Roman" w:hAnsi="Times New Roman" w:cs="Times New Roman"/>
        </w:rPr>
      </w:pPr>
      <w:r>
        <w:rPr>
          <w:rFonts w:ascii="Times New Roman" w:hAnsi="Times New Roman" w:cs="Times New Roman"/>
        </w:rPr>
        <w:t>6.1.2. the OAG reported that the CIDB could not get a clean audit as the matter of irregular expenditure could not be properly investigated as the entity did not provide the necessary documentation to assist with a completed auditing process.</w:t>
      </w:r>
    </w:p>
    <w:p w14:paraId="41004947" w14:textId="77777777" w:rsidR="00BB1EE2" w:rsidRPr="001170E4" w:rsidRDefault="005B1119" w:rsidP="00A95765">
      <w:pPr>
        <w:spacing w:line="360" w:lineRule="auto"/>
        <w:ind w:left="284" w:hanging="426"/>
        <w:jc w:val="both"/>
        <w:rPr>
          <w:rFonts w:ascii="Times New Roman" w:hAnsi="Times New Roman" w:cs="Times New Roman"/>
        </w:rPr>
      </w:pPr>
      <w:r>
        <w:rPr>
          <w:rFonts w:ascii="Times New Roman" w:hAnsi="Times New Roman" w:cs="Times New Roman"/>
        </w:rPr>
        <w:t>6.1.3. vacancies at senior and executive managerial levels remain unoccupied which leads to financial systems, organisatio</w:t>
      </w:r>
      <w:r w:rsidR="00A95765">
        <w:rPr>
          <w:rFonts w:ascii="Times New Roman" w:hAnsi="Times New Roman" w:cs="Times New Roman"/>
        </w:rPr>
        <w:t>nal, and governance weaknesses.</w:t>
      </w:r>
    </w:p>
    <w:p w14:paraId="4307EF87" w14:textId="77777777" w:rsidR="00BB1EE2" w:rsidRPr="001170E4" w:rsidRDefault="00B16A39" w:rsidP="00A95765">
      <w:pPr>
        <w:spacing w:line="360" w:lineRule="auto"/>
        <w:ind w:left="284" w:hanging="426"/>
        <w:jc w:val="both"/>
        <w:rPr>
          <w:rFonts w:ascii="Times New Roman" w:hAnsi="Times New Roman" w:cs="Times New Roman"/>
        </w:rPr>
      </w:pPr>
      <w:r>
        <w:rPr>
          <w:rFonts w:ascii="Times New Roman" w:hAnsi="Times New Roman" w:cs="Times New Roman"/>
        </w:rPr>
        <w:t xml:space="preserve">6.3. </w:t>
      </w:r>
      <w:r w:rsidR="00BB1EE2" w:rsidRPr="001170E4">
        <w:rPr>
          <w:rFonts w:ascii="Times New Roman" w:hAnsi="Times New Roman" w:cs="Times New Roman"/>
        </w:rPr>
        <w:t>The matter of a sustainable skills development pipeline for the construction and built environment was discussed with the CIDB</w:t>
      </w:r>
      <w:r w:rsidR="007D3747" w:rsidRPr="007D3747">
        <w:rPr>
          <w:rFonts w:ascii="Times New Roman" w:hAnsi="Times New Roman" w:cs="Times New Roman"/>
        </w:rPr>
        <w:t>.</w:t>
      </w:r>
      <w:r w:rsidR="00BB1EE2" w:rsidRPr="007D3747">
        <w:rPr>
          <w:rFonts w:ascii="Times New Roman" w:hAnsi="Times New Roman" w:cs="Times New Roman"/>
        </w:rPr>
        <w:t xml:space="preserve"> </w:t>
      </w:r>
      <w:r w:rsidR="007D3747">
        <w:rPr>
          <w:rFonts w:ascii="Times New Roman" w:hAnsi="Times New Roman" w:cs="Times New Roman"/>
        </w:rPr>
        <w:t xml:space="preserve">The CIDB aims to </w:t>
      </w:r>
      <w:r w:rsidR="007D3747" w:rsidRPr="007D3747">
        <w:rPr>
          <w:rFonts w:ascii="Times New Roman" w:hAnsi="Times New Roman" w:cs="Times New Roman"/>
          <w:bCs/>
          <w:lang w:val="en-GB"/>
        </w:rPr>
        <w:t>impro</w:t>
      </w:r>
      <w:r w:rsidR="007D3747">
        <w:rPr>
          <w:rFonts w:ascii="Times New Roman" w:hAnsi="Times New Roman" w:cs="Times New Roman"/>
          <w:bCs/>
          <w:lang w:val="en-GB"/>
        </w:rPr>
        <w:t>ve</w:t>
      </w:r>
      <w:r w:rsidR="007D3747" w:rsidRPr="007D3747">
        <w:rPr>
          <w:rFonts w:ascii="Times New Roman" w:hAnsi="Times New Roman" w:cs="Times New Roman"/>
          <w:bCs/>
          <w:lang w:val="en-GB"/>
        </w:rPr>
        <w:t xml:space="preserve"> the skills development pipeline by providing learners with access to workplace learning opportunities by 2020</w:t>
      </w:r>
      <w:r w:rsidR="007D3747">
        <w:rPr>
          <w:rFonts w:ascii="Times New Roman" w:hAnsi="Times New Roman" w:cs="Times New Roman"/>
          <w:bCs/>
          <w:lang w:val="en-GB"/>
        </w:rPr>
        <w:t xml:space="preserve">. </w:t>
      </w:r>
      <w:r w:rsidR="00A416B9">
        <w:rPr>
          <w:rFonts w:ascii="Times New Roman" w:hAnsi="Times New Roman" w:cs="Times New Roman"/>
          <w:bCs/>
          <w:lang w:val="en-GB"/>
        </w:rPr>
        <w:t xml:space="preserve">It allocated R1 million to ensure that a target of </w:t>
      </w:r>
      <w:r w:rsidR="007D3747" w:rsidRPr="007D3747">
        <w:rPr>
          <w:rFonts w:ascii="Times New Roman" w:hAnsi="Times New Roman" w:cs="Times New Roman"/>
          <w:bCs/>
          <w:lang w:val="en-GB"/>
        </w:rPr>
        <w:t xml:space="preserve">4 000 </w:t>
      </w:r>
      <w:r w:rsidR="00BB1EE2" w:rsidRPr="001170E4">
        <w:rPr>
          <w:rFonts w:ascii="Times New Roman" w:hAnsi="Times New Roman" w:cs="Times New Roman"/>
        </w:rPr>
        <w:t xml:space="preserve">learners </w:t>
      </w:r>
      <w:r w:rsidR="00A416B9">
        <w:rPr>
          <w:rFonts w:ascii="Times New Roman" w:hAnsi="Times New Roman" w:cs="Times New Roman"/>
        </w:rPr>
        <w:t>would be assisted to</w:t>
      </w:r>
      <w:r w:rsidR="00BB1EE2" w:rsidRPr="001170E4">
        <w:rPr>
          <w:rFonts w:ascii="Times New Roman" w:hAnsi="Times New Roman" w:cs="Times New Roman"/>
        </w:rPr>
        <w:t xml:space="preserve"> enter artisanship. Work </w:t>
      </w:r>
      <w:r w:rsidR="00A416B9">
        <w:rPr>
          <w:rFonts w:ascii="Times New Roman" w:hAnsi="Times New Roman" w:cs="Times New Roman"/>
        </w:rPr>
        <w:t xml:space="preserve">in this regard </w:t>
      </w:r>
      <w:r w:rsidR="00BB1EE2" w:rsidRPr="001170E4">
        <w:rPr>
          <w:rFonts w:ascii="Times New Roman" w:hAnsi="Times New Roman" w:cs="Times New Roman"/>
        </w:rPr>
        <w:t>is on-going with the Departments of Basic Education, Higher Education and Training, and Further Educati</w:t>
      </w:r>
      <w:r w:rsidR="00A95765">
        <w:rPr>
          <w:rFonts w:ascii="Times New Roman" w:hAnsi="Times New Roman" w:cs="Times New Roman"/>
        </w:rPr>
        <w:t>on and Training (FET) colleges.</w:t>
      </w:r>
    </w:p>
    <w:p w14:paraId="227CD381" w14:textId="77777777" w:rsidR="00BB1EE2" w:rsidRPr="001170E4" w:rsidRDefault="00A95765" w:rsidP="00B16A39">
      <w:pPr>
        <w:shd w:val="clear" w:color="auto" w:fill="FFFFFF" w:themeFill="background1"/>
        <w:spacing w:line="360" w:lineRule="auto"/>
        <w:ind w:left="284" w:hanging="426"/>
        <w:jc w:val="both"/>
        <w:rPr>
          <w:rFonts w:ascii="Times New Roman" w:hAnsi="Times New Roman" w:cs="Times New Roman"/>
        </w:rPr>
      </w:pPr>
      <w:r>
        <w:rPr>
          <w:rFonts w:ascii="Times New Roman" w:hAnsi="Times New Roman" w:cs="Times New Roman"/>
        </w:rPr>
        <w:lastRenderedPageBreak/>
        <w:t>6.4</w:t>
      </w:r>
      <w:r w:rsidR="00B16A39">
        <w:rPr>
          <w:rFonts w:ascii="Times New Roman" w:hAnsi="Times New Roman" w:cs="Times New Roman"/>
        </w:rPr>
        <w:t xml:space="preserve">. </w:t>
      </w:r>
      <w:r w:rsidR="00F3116E">
        <w:rPr>
          <w:rFonts w:ascii="Times New Roman" w:hAnsi="Times New Roman" w:cs="Times New Roman"/>
        </w:rPr>
        <w:t xml:space="preserve">In the previous financial year, the </w:t>
      </w:r>
      <w:r w:rsidR="00BB1EE2" w:rsidRPr="001170E4">
        <w:rPr>
          <w:rFonts w:ascii="Times New Roman" w:hAnsi="Times New Roman" w:cs="Times New Roman"/>
        </w:rPr>
        <w:t xml:space="preserve">Committee </w:t>
      </w:r>
      <w:r w:rsidR="000571B0">
        <w:rPr>
          <w:rFonts w:ascii="Times New Roman" w:hAnsi="Times New Roman" w:cs="Times New Roman"/>
        </w:rPr>
        <w:t>emphasis</w:t>
      </w:r>
      <w:r w:rsidR="00BB1EE2" w:rsidRPr="001170E4">
        <w:rPr>
          <w:rFonts w:ascii="Times New Roman" w:hAnsi="Times New Roman" w:cs="Times New Roman"/>
        </w:rPr>
        <w:t xml:space="preserve">ed that the CIDB had to ensure that a review of the criteria according to which contractors progressed along grades was done. </w:t>
      </w:r>
      <w:r w:rsidR="000571B0">
        <w:rPr>
          <w:rFonts w:ascii="Times New Roman" w:hAnsi="Times New Roman" w:cs="Times New Roman"/>
        </w:rPr>
        <w:t xml:space="preserve">It was not clear whether this matter was sufficiently highlighted in the 2018/19 APP. </w:t>
      </w:r>
      <w:r w:rsidR="00BB1EE2" w:rsidRPr="001170E4">
        <w:rPr>
          <w:rFonts w:ascii="Times New Roman" w:hAnsi="Times New Roman" w:cs="Times New Roman"/>
        </w:rPr>
        <w:t xml:space="preserve">This had to include a review of the adjustment of grades so that more contractors </w:t>
      </w:r>
      <w:r w:rsidR="001870D4">
        <w:rPr>
          <w:rFonts w:ascii="Times New Roman" w:hAnsi="Times New Roman" w:cs="Times New Roman"/>
        </w:rPr>
        <w:t>could be</w:t>
      </w:r>
      <w:r w:rsidR="00BB1EE2" w:rsidRPr="001170E4">
        <w:rPr>
          <w:rFonts w:ascii="Times New Roman" w:hAnsi="Times New Roman" w:cs="Times New Roman"/>
        </w:rPr>
        <w:t xml:space="preserve"> </w:t>
      </w:r>
      <w:r w:rsidR="001870D4">
        <w:rPr>
          <w:rFonts w:ascii="Times New Roman" w:hAnsi="Times New Roman" w:cs="Times New Roman"/>
        </w:rPr>
        <w:t>en</w:t>
      </w:r>
      <w:r w:rsidR="00BB1EE2" w:rsidRPr="001170E4">
        <w:rPr>
          <w:rFonts w:ascii="Times New Roman" w:hAnsi="Times New Roman" w:cs="Times New Roman"/>
        </w:rPr>
        <w:t>able</w:t>
      </w:r>
      <w:r w:rsidR="001870D4">
        <w:rPr>
          <w:rFonts w:ascii="Times New Roman" w:hAnsi="Times New Roman" w:cs="Times New Roman"/>
        </w:rPr>
        <w:t>d</w:t>
      </w:r>
      <w:r w:rsidR="00BB1EE2" w:rsidRPr="001170E4">
        <w:rPr>
          <w:rFonts w:ascii="Times New Roman" w:hAnsi="Times New Roman" w:cs="Times New Roman"/>
        </w:rPr>
        <w:t xml:space="preserve"> to access the market. Equitable distribution of work is crucial. The adjustment would ensure that lower graded contractors, are able to move into higher grades. </w:t>
      </w:r>
    </w:p>
    <w:p w14:paraId="29CABDF4" w14:textId="77777777" w:rsidR="00BB1EE2" w:rsidRPr="001170E4" w:rsidRDefault="00A95765" w:rsidP="00B16A39">
      <w:pPr>
        <w:spacing w:line="360" w:lineRule="auto"/>
        <w:ind w:left="284" w:hanging="426"/>
        <w:jc w:val="both"/>
        <w:rPr>
          <w:rFonts w:ascii="Times New Roman" w:hAnsi="Times New Roman" w:cs="Times New Roman"/>
        </w:rPr>
      </w:pPr>
      <w:r>
        <w:rPr>
          <w:rFonts w:ascii="Times New Roman" w:hAnsi="Times New Roman" w:cs="Times New Roman"/>
        </w:rPr>
        <w:t>6.5</w:t>
      </w:r>
      <w:r w:rsidR="00B16A39">
        <w:rPr>
          <w:rFonts w:ascii="Times New Roman" w:hAnsi="Times New Roman" w:cs="Times New Roman"/>
        </w:rPr>
        <w:t xml:space="preserve">. </w:t>
      </w:r>
      <w:r w:rsidR="00BB1EE2" w:rsidRPr="001170E4">
        <w:rPr>
          <w:rFonts w:ascii="Times New Roman" w:hAnsi="Times New Roman" w:cs="Times New Roman"/>
        </w:rPr>
        <w:t xml:space="preserve">The need to review the CIDB Act </w:t>
      </w:r>
      <w:r w:rsidR="00F32210">
        <w:rPr>
          <w:rFonts w:ascii="Times New Roman" w:hAnsi="Times New Roman" w:cs="Times New Roman"/>
        </w:rPr>
        <w:t xml:space="preserve">continues to be a matter that requires attention. This is part of the work of the DPW as regulator and policy-maker of the public works sector. The </w:t>
      </w:r>
      <w:r w:rsidR="00F32210" w:rsidRPr="00F32210">
        <w:rPr>
          <w:rFonts w:ascii="Times New Roman" w:eastAsia="Times New Roman" w:hAnsi="Times New Roman" w:cs="Times New Roman"/>
          <w:lang w:eastAsia="en-ZA"/>
        </w:rPr>
        <w:t>Property and Construction Industry Policy and Research</w:t>
      </w:r>
      <w:r w:rsidR="00F32210">
        <w:rPr>
          <w:rFonts w:ascii="Times New Roman" w:hAnsi="Times New Roman" w:cs="Times New Roman"/>
        </w:rPr>
        <w:t xml:space="preserve"> branch has to urgently deliver on stated reviews of all the legislation and policy as per the Strategic Plan 2014-2019. A lack of delivery in this regard has impacted negatively on the public works entities such as</w:t>
      </w:r>
      <w:r w:rsidR="00BB1EE2" w:rsidRPr="001170E4">
        <w:rPr>
          <w:rFonts w:ascii="Times New Roman" w:hAnsi="Times New Roman" w:cs="Times New Roman"/>
        </w:rPr>
        <w:t xml:space="preserve"> the CIDB</w:t>
      </w:r>
      <w:r w:rsidR="00F32210">
        <w:rPr>
          <w:rFonts w:ascii="Times New Roman" w:hAnsi="Times New Roman" w:cs="Times New Roman"/>
        </w:rPr>
        <w:t xml:space="preserve"> and the impact it</w:t>
      </w:r>
      <w:r w:rsidR="00BB1EE2" w:rsidRPr="001170E4">
        <w:rPr>
          <w:rFonts w:ascii="Times New Roman" w:hAnsi="Times New Roman" w:cs="Times New Roman"/>
        </w:rPr>
        <w:t xml:space="preserve"> could make to the </w:t>
      </w:r>
      <w:r w:rsidR="0048391C">
        <w:rPr>
          <w:rFonts w:ascii="Times New Roman" w:hAnsi="Times New Roman" w:cs="Times New Roman"/>
        </w:rPr>
        <w:t>built environment professional sector</w:t>
      </w:r>
      <w:r w:rsidR="00BB1EE2" w:rsidRPr="001170E4">
        <w:rPr>
          <w:rFonts w:ascii="Times New Roman" w:hAnsi="Times New Roman" w:cs="Times New Roman"/>
        </w:rPr>
        <w:t>.</w:t>
      </w:r>
    </w:p>
    <w:p w14:paraId="61E5F50F" w14:textId="77777777" w:rsidR="00BB1EE2" w:rsidRPr="001170E4" w:rsidRDefault="00BB1EE2" w:rsidP="00B258A1">
      <w:pPr>
        <w:spacing w:line="360" w:lineRule="auto"/>
        <w:rPr>
          <w:rFonts w:ascii="Times New Roman" w:hAnsi="Times New Roman" w:cs="Times New Roman"/>
        </w:rPr>
      </w:pPr>
    </w:p>
    <w:p w14:paraId="4CD70352" w14:textId="77777777" w:rsidR="001928A3" w:rsidRDefault="001928A3">
      <w:pPr>
        <w:rPr>
          <w:rFonts w:ascii="Times New Roman" w:hAnsi="Times New Roman" w:cs="Times New Roman"/>
          <w:b/>
        </w:rPr>
      </w:pPr>
      <w:r>
        <w:rPr>
          <w:rFonts w:ascii="Times New Roman" w:hAnsi="Times New Roman" w:cs="Times New Roman"/>
          <w:b/>
        </w:rPr>
        <w:br w:type="page"/>
      </w:r>
    </w:p>
    <w:p w14:paraId="4DF71BDC" w14:textId="45A45829" w:rsidR="00BB1EE2" w:rsidRPr="001170E4" w:rsidRDefault="00BB1EE2" w:rsidP="00B258A1">
      <w:pPr>
        <w:spacing w:line="360" w:lineRule="auto"/>
        <w:rPr>
          <w:rFonts w:ascii="Times New Roman" w:hAnsi="Times New Roman" w:cs="Times New Roman"/>
          <w:b/>
        </w:rPr>
      </w:pPr>
      <w:r w:rsidRPr="001170E4">
        <w:rPr>
          <w:rFonts w:ascii="Times New Roman" w:hAnsi="Times New Roman" w:cs="Times New Roman"/>
          <w:b/>
        </w:rPr>
        <w:lastRenderedPageBreak/>
        <w:t>7. The Council for the Built Environment (CBE)</w:t>
      </w:r>
    </w:p>
    <w:p w14:paraId="1BF4B7D7" w14:textId="77777777" w:rsidR="00BB1EE2" w:rsidRPr="001170E4" w:rsidRDefault="00BB1EE2" w:rsidP="00B258A1">
      <w:pPr>
        <w:spacing w:line="360" w:lineRule="auto"/>
        <w:rPr>
          <w:rFonts w:ascii="Times New Roman" w:hAnsi="Times New Roman" w:cs="Times New Roman"/>
        </w:rPr>
      </w:pPr>
      <w:r w:rsidRPr="001170E4">
        <w:rPr>
          <w:rFonts w:ascii="Times New Roman" w:hAnsi="Times New Roman" w:cs="Times New Roman"/>
        </w:rPr>
        <w:t>The CBE is a schedule 3A entity established by the Council for the Built Environment Act (No. 43 of 2000). “The CBE and Professional Councils in the built environment value chain are to regulate those Built Environment Professions who conceptualise, design, build, maintain and transfer social and economic infrastructure.”</w:t>
      </w:r>
      <w:r w:rsidRPr="001170E4">
        <w:rPr>
          <w:rStyle w:val="FootnoteReference"/>
          <w:rFonts w:ascii="Times New Roman" w:hAnsi="Times New Roman" w:cs="Times New Roman"/>
        </w:rPr>
        <w:footnoteReference w:id="77"/>
      </w:r>
      <w:r w:rsidRPr="001170E4">
        <w:rPr>
          <w:rFonts w:ascii="Times New Roman" w:hAnsi="Times New Roman" w:cs="Times New Roman"/>
        </w:rPr>
        <w:t xml:space="preserve">  </w:t>
      </w:r>
    </w:p>
    <w:p w14:paraId="50CB234E" w14:textId="1231E61E" w:rsidR="00BB1EE2" w:rsidRPr="001170E4" w:rsidRDefault="00BB1EE2" w:rsidP="00B258A1">
      <w:pPr>
        <w:spacing w:line="360" w:lineRule="auto"/>
        <w:rPr>
          <w:rFonts w:ascii="Times New Roman" w:hAnsi="Times New Roman" w:cs="Times New Roman"/>
        </w:rPr>
      </w:pPr>
      <w:r w:rsidRPr="001170E4">
        <w:rPr>
          <w:rFonts w:ascii="Times New Roman" w:hAnsi="Times New Roman" w:cs="Times New Roman"/>
        </w:rPr>
        <w:t>The six Built Environment Professional Councils (BEPCs</w:t>
      </w:r>
      <w:r w:rsidR="002B37BC">
        <w:rPr>
          <w:rStyle w:val="FootnoteReference"/>
          <w:rFonts w:ascii="Times New Roman" w:hAnsi="Times New Roman" w:cs="Times New Roman"/>
        </w:rPr>
        <w:footnoteReference w:id="78"/>
      </w:r>
      <w:r w:rsidRPr="001170E4">
        <w:rPr>
          <w:rFonts w:ascii="Times New Roman" w:hAnsi="Times New Roman" w:cs="Times New Roman"/>
        </w:rPr>
        <w:t xml:space="preserve">) are the: </w:t>
      </w:r>
    </w:p>
    <w:p w14:paraId="1C1635DD" w14:textId="77777777" w:rsidR="00BB1EE2" w:rsidRPr="001170E4" w:rsidRDefault="00BB1EE2" w:rsidP="00B41D07">
      <w:pPr>
        <w:numPr>
          <w:ilvl w:val="0"/>
          <w:numId w:val="42"/>
        </w:numPr>
        <w:spacing w:after="0" w:line="360" w:lineRule="auto"/>
        <w:rPr>
          <w:rFonts w:ascii="Times New Roman" w:hAnsi="Times New Roman" w:cs="Times New Roman"/>
        </w:rPr>
      </w:pPr>
      <w:r w:rsidRPr="001170E4">
        <w:rPr>
          <w:rFonts w:ascii="Times New Roman" w:hAnsi="Times New Roman" w:cs="Times New Roman"/>
        </w:rPr>
        <w:t>South African Council for Architectural Professions (SACAP).</w:t>
      </w:r>
    </w:p>
    <w:p w14:paraId="1B1D208D" w14:textId="77777777" w:rsidR="00BB1EE2" w:rsidRPr="001170E4" w:rsidRDefault="00BB1EE2" w:rsidP="00B41D07">
      <w:pPr>
        <w:numPr>
          <w:ilvl w:val="0"/>
          <w:numId w:val="42"/>
        </w:numPr>
        <w:spacing w:after="0" w:line="360" w:lineRule="auto"/>
        <w:rPr>
          <w:rFonts w:ascii="Times New Roman" w:hAnsi="Times New Roman" w:cs="Times New Roman"/>
        </w:rPr>
      </w:pPr>
      <w:r w:rsidRPr="001170E4">
        <w:rPr>
          <w:rFonts w:ascii="Times New Roman" w:hAnsi="Times New Roman" w:cs="Times New Roman"/>
        </w:rPr>
        <w:t>Engineering Council of South Africa (ECSA).</w:t>
      </w:r>
    </w:p>
    <w:p w14:paraId="47767CB7" w14:textId="77777777" w:rsidR="00BB1EE2" w:rsidRPr="001170E4" w:rsidRDefault="00BB1EE2" w:rsidP="00B41D07">
      <w:pPr>
        <w:numPr>
          <w:ilvl w:val="0"/>
          <w:numId w:val="42"/>
        </w:numPr>
        <w:spacing w:after="0" w:line="360" w:lineRule="auto"/>
        <w:rPr>
          <w:rFonts w:ascii="Times New Roman" w:hAnsi="Times New Roman" w:cs="Times New Roman"/>
        </w:rPr>
      </w:pPr>
      <w:r w:rsidRPr="001170E4">
        <w:rPr>
          <w:rFonts w:ascii="Times New Roman" w:hAnsi="Times New Roman" w:cs="Times New Roman"/>
        </w:rPr>
        <w:t>South African Council for the Project and Construction Management Professions (SACPCMP).</w:t>
      </w:r>
    </w:p>
    <w:p w14:paraId="279B5ADD" w14:textId="77777777" w:rsidR="00BB1EE2" w:rsidRPr="001170E4" w:rsidRDefault="00BB1EE2" w:rsidP="00B41D07">
      <w:pPr>
        <w:numPr>
          <w:ilvl w:val="0"/>
          <w:numId w:val="42"/>
        </w:numPr>
        <w:spacing w:after="0" w:line="360" w:lineRule="auto"/>
        <w:rPr>
          <w:rFonts w:ascii="Times New Roman" w:hAnsi="Times New Roman" w:cs="Times New Roman"/>
        </w:rPr>
      </w:pPr>
      <w:r w:rsidRPr="001170E4">
        <w:rPr>
          <w:rFonts w:ascii="Times New Roman" w:hAnsi="Times New Roman" w:cs="Times New Roman"/>
        </w:rPr>
        <w:t>South African Council for the Landscape Architectural Profession (SACLAP).</w:t>
      </w:r>
    </w:p>
    <w:p w14:paraId="0DF996B9" w14:textId="77777777" w:rsidR="00BB1EE2" w:rsidRPr="001170E4" w:rsidRDefault="00BB1EE2" w:rsidP="00B41D07">
      <w:pPr>
        <w:numPr>
          <w:ilvl w:val="0"/>
          <w:numId w:val="42"/>
        </w:numPr>
        <w:spacing w:after="0" w:line="360" w:lineRule="auto"/>
        <w:rPr>
          <w:rFonts w:ascii="Times New Roman" w:hAnsi="Times New Roman" w:cs="Times New Roman"/>
        </w:rPr>
      </w:pPr>
      <w:r w:rsidRPr="001170E4">
        <w:rPr>
          <w:rFonts w:ascii="Times New Roman" w:hAnsi="Times New Roman" w:cs="Times New Roman"/>
        </w:rPr>
        <w:t>South African Council for the Quantity Surveying Profession (SACQSP).</w:t>
      </w:r>
    </w:p>
    <w:p w14:paraId="3B17E0CB" w14:textId="77777777" w:rsidR="00BB1EE2" w:rsidRPr="001170E4" w:rsidRDefault="00BB1EE2" w:rsidP="00B41D07">
      <w:pPr>
        <w:numPr>
          <w:ilvl w:val="0"/>
          <w:numId w:val="42"/>
        </w:numPr>
        <w:spacing w:after="0" w:line="360" w:lineRule="auto"/>
        <w:rPr>
          <w:rFonts w:ascii="Times New Roman" w:hAnsi="Times New Roman" w:cs="Times New Roman"/>
        </w:rPr>
      </w:pPr>
      <w:r w:rsidRPr="001170E4">
        <w:rPr>
          <w:rFonts w:ascii="Times New Roman" w:hAnsi="Times New Roman" w:cs="Times New Roman"/>
        </w:rPr>
        <w:t>South African Council for the Property Valuers Profession (SACPVP).</w:t>
      </w:r>
    </w:p>
    <w:p w14:paraId="1E179E52" w14:textId="77777777" w:rsidR="00BB1EE2" w:rsidRPr="001170E4" w:rsidRDefault="00BB1EE2" w:rsidP="00B258A1">
      <w:pPr>
        <w:spacing w:line="360" w:lineRule="auto"/>
        <w:rPr>
          <w:rFonts w:ascii="Times New Roman" w:hAnsi="Times New Roman" w:cs="Times New Roman"/>
        </w:rPr>
      </w:pPr>
    </w:p>
    <w:p w14:paraId="0B2169B6" w14:textId="77777777" w:rsidR="00BB1EE2" w:rsidRPr="001170E4" w:rsidRDefault="00BB1EE2" w:rsidP="00B258A1">
      <w:pPr>
        <w:spacing w:line="360" w:lineRule="auto"/>
        <w:rPr>
          <w:rFonts w:ascii="Times New Roman" w:hAnsi="Times New Roman" w:cs="Times New Roman"/>
        </w:rPr>
      </w:pPr>
      <w:r w:rsidRPr="001170E4">
        <w:rPr>
          <w:rFonts w:ascii="Times New Roman" w:hAnsi="Times New Roman" w:cs="Times New Roman"/>
        </w:rPr>
        <w:t>The CBE is a Statutory Council established in terms of the CBE Act as an overarching body for the six Built Environment Professions and mandated to:</w:t>
      </w:r>
      <w:r w:rsidRPr="001170E4">
        <w:rPr>
          <w:rStyle w:val="FootnoteReference"/>
          <w:rFonts w:ascii="Times New Roman" w:hAnsi="Times New Roman" w:cs="Times New Roman"/>
        </w:rPr>
        <w:footnoteReference w:id="79"/>
      </w:r>
      <w:r w:rsidRPr="001170E4">
        <w:rPr>
          <w:rFonts w:ascii="Times New Roman" w:hAnsi="Times New Roman" w:cs="Times New Roman"/>
        </w:rPr>
        <w:t xml:space="preserve"> </w:t>
      </w:r>
    </w:p>
    <w:p w14:paraId="1BE12E41" w14:textId="77777777" w:rsidR="00BB1EE2" w:rsidRPr="001170E4" w:rsidRDefault="00BB1EE2" w:rsidP="00B41D07">
      <w:pPr>
        <w:pStyle w:val="Default"/>
        <w:numPr>
          <w:ilvl w:val="0"/>
          <w:numId w:val="41"/>
        </w:numPr>
        <w:spacing w:after="20" w:line="360" w:lineRule="auto"/>
        <w:rPr>
          <w:rFonts w:ascii="Times New Roman" w:hAnsi="Times New Roman" w:cs="Times New Roman"/>
          <w:color w:val="auto"/>
          <w:sz w:val="22"/>
          <w:szCs w:val="22"/>
        </w:rPr>
      </w:pPr>
      <w:r w:rsidRPr="001170E4">
        <w:rPr>
          <w:rFonts w:ascii="Times New Roman" w:hAnsi="Times New Roman" w:cs="Times New Roman"/>
          <w:color w:val="auto"/>
          <w:sz w:val="22"/>
          <w:szCs w:val="22"/>
        </w:rPr>
        <w:t>“Promote and protect the interest of the public in the built environment.</w:t>
      </w:r>
    </w:p>
    <w:p w14:paraId="28B843DD" w14:textId="77777777" w:rsidR="00BB1EE2" w:rsidRPr="001170E4" w:rsidRDefault="00BB1EE2" w:rsidP="00B41D07">
      <w:pPr>
        <w:pStyle w:val="Default"/>
        <w:numPr>
          <w:ilvl w:val="0"/>
          <w:numId w:val="41"/>
        </w:numPr>
        <w:spacing w:after="20" w:line="360" w:lineRule="auto"/>
        <w:rPr>
          <w:rFonts w:ascii="Times New Roman" w:hAnsi="Times New Roman" w:cs="Times New Roman"/>
          <w:color w:val="auto"/>
          <w:sz w:val="22"/>
          <w:szCs w:val="22"/>
        </w:rPr>
      </w:pPr>
      <w:r w:rsidRPr="001170E4">
        <w:rPr>
          <w:rFonts w:ascii="Times New Roman" w:hAnsi="Times New Roman" w:cs="Times New Roman"/>
          <w:color w:val="auto"/>
          <w:sz w:val="22"/>
          <w:szCs w:val="22"/>
        </w:rPr>
        <w:t>Promote and maintain a sustainable built environment and natural environment.</w:t>
      </w:r>
    </w:p>
    <w:p w14:paraId="40103D5E" w14:textId="77777777" w:rsidR="00BB1EE2" w:rsidRPr="001170E4" w:rsidRDefault="00BB1EE2" w:rsidP="00B41D07">
      <w:pPr>
        <w:pStyle w:val="Default"/>
        <w:numPr>
          <w:ilvl w:val="0"/>
          <w:numId w:val="41"/>
        </w:numPr>
        <w:spacing w:after="20" w:line="360" w:lineRule="auto"/>
        <w:rPr>
          <w:rFonts w:ascii="Times New Roman" w:hAnsi="Times New Roman" w:cs="Times New Roman"/>
          <w:color w:val="auto"/>
          <w:sz w:val="22"/>
          <w:szCs w:val="22"/>
        </w:rPr>
      </w:pPr>
      <w:r w:rsidRPr="001170E4">
        <w:rPr>
          <w:rFonts w:ascii="Times New Roman" w:hAnsi="Times New Roman" w:cs="Times New Roman"/>
          <w:color w:val="auto"/>
          <w:sz w:val="22"/>
          <w:szCs w:val="22"/>
        </w:rPr>
        <w:t>Promote on-going human resources development in the Built Environment.</w:t>
      </w:r>
    </w:p>
    <w:p w14:paraId="4A0F0EF2" w14:textId="77777777" w:rsidR="00BB1EE2" w:rsidRPr="001170E4" w:rsidRDefault="00BB1EE2" w:rsidP="00B41D07">
      <w:pPr>
        <w:pStyle w:val="Default"/>
        <w:numPr>
          <w:ilvl w:val="0"/>
          <w:numId w:val="41"/>
        </w:numPr>
        <w:spacing w:after="20" w:line="360" w:lineRule="auto"/>
        <w:rPr>
          <w:rFonts w:ascii="Times New Roman" w:hAnsi="Times New Roman" w:cs="Times New Roman"/>
          <w:color w:val="auto"/>
          <w:sz w:val="22"/>
          <w:szCs w:val="22"/>
        </w:rPr>
      </w:pPr>
      <w:r w:rsidRPr="001170E4">
        <w:rPr>
          <w:rFonts w:ascii="Times New Roman" w:hAnsi="Times New Roman" w:cs="Times New Roman"/>
          <w:color w:val="auto"/>
          <w:sz w:val="22"/>
          <w:szCs w:val="22"/>
        </w:rPr>
        <w:t>Facilitate participation by the Built Environment Professions in integrated development in the context of national goals.</w:t>
      </w:r>
    </w:p>
    <w:p w14:paraId="3EBD44E9" w14:textId="77777777" w:rsidR="00BB1EE2" w:rsidRPr="001170E4" w:rsidRDefault="00BB1EE2" w:rsidP="00B41D07">
      <w:pPr>
        <w:pStyle w:val="Default"/>
        <w:numPr>
          <w:ilvl w:val="0"/>
          <w:numId w:val="41"/>
        </w:numPr>
        <w:spacing w:after="20" w:line="360" w:lineRule="auto"/>
        <w:rPr>
          <w:rFonts w:ascii="Times New Roman" w:hAnsi="Times New Roman" w:cs="Times New Roman"/>
          <w:color w:val="auto"/>
          <w:sz w:val="22"/>
          <w:szCs w:val="22"/>
        </w:rPr>
      </w:pPr>
      <w:r w:rsidRPr="001170E4">
        <w:rPr>
          <w:rFonts w:ascii="Times New Roman" w:hAnsi="Times New Roman" w:cs="Times New Roman"/>
          <w:color w:val="auto"/>
          <w:sz w:val="22"/>
          <w:szCs w:val="22"/>
        </w:rPr>
        <w:t>Promote appropriate standards of health, safety and environmental protection within the built environment.</w:t>
      </w:r>
    </w:p>
    <w:p w14:paraId="7E09872B" w14:textId="77777777" w:rsidR="00BB1EE2" w:rsidRPr="001170E4" w:rsidRDefault="00BB1EE2" w:rsidP="00B41D07">
      <w:pPr>
        <w:pStyle w:val="Default"/>
        <w:numPr>
          <w:ilvl w:val="0"/>
          <w:numId w:val="41"/>
        </w:numPr>
        <w:spacing w:after="20" w:line="360" w:lineRule="auto"/>
        <w:rPr>
          <w:rFonts w:ascii="Times New Roman" w:hAnsi="Times New Roman" w:cs="Times New Roman"/>
          <w:color w:val="auto"/>
          <w:sz w:val="22"/>
          <w:szCs w:val="22"/>
        </w:rPr>
      </w:pPr>
      <w:r w:rsidRPr="001170E4">
        <w:rPr>
          <w:rFonts w:ascii="Times New Roman" w:hAnsi="Times New Roman" w:cs="Times New Roman"/>
          <w:color w:val="auto"/>
          <w:sz w:val="22"/>
          <w:szCs w:val="22"/>
        </w:rPr>
        <w:t>Promote sound governance of the Built Environment Professions.</w:t>
      </w:r>
    </w:p>
    <w:p w14:paraId="4E93655F" w14:textId="77777777" w:rsidR="00BB1EE2" w:rsidRPr="001170E4" w:rsidRDefault="00BB1EE2" w:rsidP="00B41D07">
      <w:pPr>
        <w:pStyle w:val="Default"/>
        <w:numPr>
          <w:ilvl w:val="0"/>
          <w:numId w:val="41"/>
        </w:numPr>
        <w:spacing w:after="20" w:line="360" w:lineRule="auto"/>
        <w:rPr>
          <w:rFonts w:ascii="Times New Roman" w:hAnsi="Times New Roman" w:cs="Times New Roman"/>
          <w:color w:val="auto"/>
          <w:sz w:val="22"/>
          <w:szCs w:val="22"/>
        </w:rPr>
      </w:pPr>
      <w:r w:rsidRPr="001170E4">
        <w:rPr>
          <w:rFonts w:ascii="Times New Roman" w:hAnsi="Times New Roman" w:cs="Times New Roman"/>
          <w:color w:val="auto"/>
          <w:sz w:val="22"/>
          <w:szCs w:val="22"/>
        </w:rPr>
        <w:t>Promote liaison in the field of training in the Republic and elsewhere and to promote the standards of such training in the Republic.</w:t>
      </w:r>
    </w:p>
    <w:p w14:paraId="07A4C4F5" w14:textId="77777777" w:rsidR="00BB1EE2" w:rsidRPr="001170E4" w:rsidRDefault="00BB1EE2" w:rsidP="00B41D07">
      <w:pPr>
        <w:pStyle w:val="Default"/>
        <w:numPr>
          <w:ilvl w:val="0"/>
          <w:numId w:val="41"/>
        </w:numPr>
        <w:spacing w:after="20" w:line="360" w:lineRule="auto"/>
        <w:rPr>
          <w:rFonts w:ascii="Times New Roman" w:hAnsi="Times New Roman" w:cs="Times New Roman"/>
          <w:b/>
          <w:color w:val="auto"/>
          <w:sz w:val="22"/>
          <w:szCs w:val="22"/>
        </w:rPr>
      </w:pPr>
      <w:r w:rsidRPr="001170E4">
        <w:rPr>
          <w:rFonts w:ascii="Times New Roman" w:hAnsi="Times New Roman" w:cs="Times New Roman"/>
          <w:color w:val="auto"/>
          <w:sz w:val="22"/>
          <w:szCs w:val="22"/>
        </w:rPr>
        <w:t xml:space="preserve">Serve as a forum where the Built Environment Professions can discuss relevant issues. </w:t>
      </w:r>
    </w:p>
    <w:p w14:paraId="57249D81" w14:textId="77777777" w:rsidR="00BB1EE2" w:rsidRPr="001170E4" w:rsidRDefault="00BB1EE2" w:rsidP="00B41D07">
      <w:pPr>
        <w:pStyle w:val="Default"/>
        <w:numPr>
          <w:ilvl w:val="0"/>
          <w:numId w:val="41"/>
        </w:numPr>
        <w:spacing w:after="20" w:line="360" w:lineRule="auto"/>
        <w:rPr>
          <w:rFonts w:ascii="Times New Roman" w:hAnsi="Times New Roman" w:cs="Times New Roman"/>
          <w:b/>
          <w:color w:val="auto"/>
          <w:sz w:val="22"/>
          <w:szCs w:val="22"/>
        </w:rPr>
      </w:pPr>
      <w:r w:rsidRPr="001170E4">
        <w:rPr>
          <w:rFonts w:ascii="Times New Roman" w:hAnsi="Times New Roman" w:cs="Times New Roman"/>
          <w:color w:val="auto"/>
          <w:sz w:val="22"/>
          <w:szCs w:val="22"/>
        </w:rPr>
        <w:t>Ensure uniform application of norms and guidelines set by the Professional Councils throughout the Built Environment.”</w:t>
      </w:r>
    </w:p>
    <w:p w14:paraId="32BB480A" w14:textId="77777777" w:rsidR="00BB1EE2" w:rsidRPr="001170E4" w:rsidRDefault="00BB1EE2" w:rsidP="00B258A1">
      <w:pPr>
        <w:pStyle w:val="Default"/>
        <w:spacing w:after="20" w:line="360" w:lineRule="auto"/>
        <w:ind w:left="720"/>
        <w:rPr>
          <w:rFonts w:ascii="Times New Roman" w:hAnsi="Times New Roman" w:cs="Times New Roman"/>
          <w:b/>
          <w:color w:val="auto"/>
          <w:sz w:val="22"/>
          <w:szCs w:val="22"/>
        </w:rPr>
      </w:pPr>
    </w:p>
    <w:p w14:paraId="55C769DE" w14:textId="03037308" w:rsidR="003C1AB6" w:rsidRDefault="003C1AB6">
      <w:pPr>
        <w:rPr>
          <w:rFonts w:ascii="Times New Roman" w:eastAsia="Calibri" w:hAnsi="Times New Roman" w:cs="Times New Roman"/>
          <w:b/>
          <w:color w:val="000000"/>
          <w:lang w:eastAsia="en-ZA"/>
        </w:rPr>
      </w:pPr>
    </w:p>
    <w:p w14:paraId="5E35595D" w14:textId="77777777" w:rsidR="00BB1EE2" w:rsidRPr="001170E4" w:rsidRDefault="00BB1EE2" w:rsidP="00B258A1">
      <w:pPr>
        <w:pStyle w:val="Default"/>
        <w:spacing w:after="20" w:line="360" w:lineRule="auto"/>
        <w:rPr>
          <w:rFonts w:ascii="Times New Roman" w:hAnsi="Times New Roman" w:cs="Times New Roman"/>
          <w:b/>
          <w:sz w:val="22"/>
          <w:szCs w:val="22"/>
        </w:rPr>
      </w:pPr>
      <w:r w:rsidRPr="001170E4">
        <w:rPr>
          <w:rFonts w:ascii="Times New Roman" w:hAnsi="Times New Roman" w:cs="Times New Roman"/>
          <w:b/>
          <w:sz w:val="22"/>
          <w:szCs w:val="22"/>
        </w:rPr>
        <w:t>7.2. Key Priorities of the CBE</w:t>
      </w:r>
    </w:p>
    <w:p w14:paraId="3FB23E52" w14:textId="77777777" w:rsidR="00BB1EE2" w:rsidRPr="001170E4" w:rsidRDefault="00BB1EE2" w:rsidP="00B258A1">
      <w:pPr>
        <w:pStyle w:val="Default"/>
        <w:spacing w:after="20" w:line="360" w:lineRule="auto"/>
        <w:rPr>
          <w:rFonts w:ascii="Times New Roman" w:hAnsi="Times New Roman" w:cs="Times New Roman"/>
          <w:sz w:val="22"/>
          <w:szCs w:val="22"/>
        </w:rPr>
      </w:pPr>
    </w:p>
    <w:p w14:paraId="340D9B18" w14:textId="77777777" w:rsidR="00BB1EE2" w:rsidRPr="001170E4" w:rsidRDefault="00BB1EE2" w:rsidP="00B258A1">
      <w:pPr>
        <w:pStyle w:val="Default"/>
        <w:spacing w:after="20" w:line="360" w:lineRule="auto"/>
        <w:rPr>
          <w:rFonts w:ascii="Times New Roman" w:hAnsi="Times New Roman" w:cs="Times New Roman"/>
          <w:sz w:val="22"/>
          <w:szCs w:val="22"/>
        </w:rPr>
      </w:pPr>
      <w:r w:rsidRPr="001170E4">
        <w:rPr>
          <w:rFonts w:ascii="Times New Roman" w:hAnsi="Times New Roman" w:cs="Times New Roman"/>
          <w:sz w:val="22"/>
          <w:szCs w:val="22"/>
        </w:rPr>
        <w:t>The CBE highlighted the following ten priorities for the Medium Term Strategic Framework (MTSF):</w:t>
      </w:r>
      <w:r w:rsidRPr="001170E4">
        <w:rPr>
          <w:rStyle w:val="FootnoteReference"/>
          <w:rFonts w:ascii="Times New Roman" w:hAnsi="Times New Roman" w:cs="Times New Roman"/>
          <w:sz w:val="22"/>
          <w:szCs w:val="22"/>
        </w:rPr>
        <w:footnoteReference w:id="80"/>
      </w:r>
      <w:r w:rsidRPr="001170E4">
        <w:rPr>
          <w:rFonts w:ascii="Times New Roman" w:hAnsi="Times New Roman" w:cs="Times New Roman"/>
          <w:sz w:val="22"/>
          <w:szCs w:val="22"/>
        </w:rPr>
        <w:t xml:space="preserve"> </w:t>
      </w:r>
    </w:p>
    <w:p w14:paraId="0903B041" w14:textId="77777777" w:rsidR="00BB1EE2" w:rsidRPr="001170E4" w:rsidRDefault="00BB1EE2" w:rsidP="00B258A1">
      <w:pPr>
        <w:pStyle w:val="Default"/>
        <w:spacing w:after="20" w:line="360" w:lineRule="auto"/>
        <w:rPr>
          <w:rFonts w:ascii="Times New Roman" w:hAnsi="Times New Roman" w:cs="Times New Roman"/>
          <w:sz w:val="22"/>
          <w:szCs w:val="22"/>
        </w:rPr>
      </w:pPr>
    </w:p>
    <w:p w14:paraId="6D8D5A7E" w14:textId="77777777" w:rsidR="00BB1EE2" w:rsidRPr="001170E4" w:rsidRDefault="00BB1EE2" w:rsidP="00B41D07">
      <w:pPr>
        <w:pStyle w:val="Default"/>
        <w:numPr>
          <w:ilvl w:val="0"/>
          <w:numId w:val="43"/>
        </w:numPr>
        <w:spacing w:after="20" w:line="360" w:lineRule="auto"/>
        <w:rPr>
          <w:rFonts w:ascii="Times New Roman" w:hAnsi="Times New Roman" w:cs="Times New Roman"/>
          <w:sz w:val="22"/>
          <w:szCs w:val="22"/>
        </w:rPr>
      </w:pPr>
      <w:r w:rsidRPr="001170E4">
        <w:rPr>
          <w:rFonts w:ascii="Times New Roman" w:hAnsi="Times New Roman" w:cs="Times New Roman"/>
          <w:sz w:val="22"/>
          <w:szCs w:val="22"/>
        </w:rPr>
        <w:t>“Ensuring that Built Environment (BE) academic programmes curricula addresses issues of Labour-Intensive Construction, implementation of the Infrastructure Delivery Management System (IDMS), Sustainable Development and Health and Safety.</w:t>
      </w:r>
    </w:p>
    <w:p w14:paraId="62D58C68" w14:textId="77777777" w:rsidR="00BB1EE2" w:rsidRPr="001170E4" w:rsidRDefault="00BB1EE2" w:rsidP="00B41D07">
      <w:pPr>
        <w:pStyle w:val="Default"/>
        <w:numPr>
          <w:ilvl w:val="0"/>
          <w:numId w:val="43"/>
        </w:numPr>
        <w:spacing w:after="20" w:line="360" w:lineRule="auto"/>
        <w:rPr>
          <w:rFonts w:ascii="Times New Roman" w:hAnsi="Times New Roman" w:cs="Times New Roman"/>
          <w:sz w:val="22"/>
          <w:szCs w:val="22"/>
        </w:rPr>
      </w:pPr>
      <w:r w:rsidRPr="001170E4">
        <w:rPr>
          <w:rFonts w:ascii="Times New Roman" w:hAnsi="Times New Roman" w:cs="Times New Roman"/>
          <w:sz w:val="22"/>
          <w:szCs w:val="22"/>
        </w:rPr>
        <w:t>Promotion of high demand skills for Strategic Infrastructure Projects (SIPs).</w:t>
      </w:r>
    </w:p>
    <w:p w14:paraId="35785CB4" w14:textId="77777777" w:rsidR="00BB1EE2" w:rsidRPr="001170E4" w:rsidRDefault="00BB1EE2" w:rsidP="00B41D07">
      <w:pPr>
        <w:pStyle w:val="Default"/>
        <w:numPr>
          <w:ilvl w:val="0"/>
          <w:numId w:val="43"/>
        </w:numPr>
        <w:spacing w:after="20" w:line="360" w:lineRule="auto"/>
        <w:rPr>
          <w:rFonts w:ascii="Times New Roman" w:hAnsi="Times New Roman" w:cs="Times New Roman"/>
          <w:sz w:val="22"/>
          <w:szCs w:val="22"/>
        </w:rPr>
      </w:pPr>
      <w:r w:rsidRPr="001170E4">
        <w:rPr>
          <w:rFonts w:ascii="Times New Roman" w:hAnsi="Times New Roman" w:cs="Times New Roman"/>
          <w:sz w:val="22"/>
          <w:szCs w:val="22"/>
        </w:rPr>
        <w:t>Stepping up mechanisms, programmes, projects and interventions to drive transformation and ensure adequate representation of woman and black people within the BE through the CBE Transformation Model.</w:t>
      </w:r>
    </w:p>
    <w:p w14:paraId="658946F2" w14:textId="77777777" w:rsidR="00BB1EE2" w:rsidRPr="001170E4" w:rsidRDefault="00BB1EE2" w:rsidP="00B41D07">
      <w:pPr>
        <w:pStyle w:val="Default"/>
        <w:numPr>
          <w:ilvl w:val="0"/>
          <w:numId w:val="43"/>
        </w:numPr>
        <w:spacing w:after="20" w:line="360" w:lineRule="auto"/>
        <w:rPr>
          <w:rFonts w:ascii="Times New Roman" w:hAnsi="Times New Roman" w:cs="Times New Roman"/>
          <w:sz w:val="22"/>
          <w:szCs w:val="22"/>
        </w:rPr>
      </w:pPr>
      <w:r w:rsidRPr="001170E4">
        <w:rPr>
          <w:rFonts w:ascii="Times New Roman" w:hAnsi="Times New Roman" w:cs="Times New Roman"/>
          <w:sz w:val="22"/>
          <w:szCs w:val="22"/>
        </w:rPr>
        <w:t xml:space="preserve">Maths and Science Support </w:t>
      </w:r>
      <w:r w:rsidR="00A95765">
        <w:rPr>
          <w:rFonts w:ascii="Times New Roman" w:hAnsi="Times New Roman" w:cs="Times New Roman"/>
          <w:sz w:val="22"/>
          <w:szCs w:val="22"/>
        </w:rPr>
        <w:t>Programme to reach learners in G</w:t>
      </w:r>
      <w:r w:rsidRPr="001170E4">
        <w:rPr>
          <w:rFonts w:ascii="Times New Roman" w:hAnsi="Times New Roman" w:cs="Times New Roman"/>
          <w:sz w:val="22"/>
          <w:szCs w:val="22"/>
        </w:rPr>
        <w:t>rade 8 to 12 by 2018.</w:t>
      </w:r>
    </w:p>
    <w:p w14:paraId="5E739EC9" w14:textId="77777777" w:rsidR="00BB1EE2" w:rsidRPr="001170E4" w:rsidRDefault="00BB1EE2" w:rsidP="00B41D07">
      <w:pPr>
        <w:pStyle w:val="Default"/>
        <w:numPr>
          <w:ilvl w:val="0"/>
          <w:numId w:val="43"/>
        </w:numPr>
        <w:spacing w:after="20" w:line="360" w:lineRule="auto"/>
        <w:rPr>
          <w:rFonts w:ascii="Times New Roman" w:hAnsi="Times New Roman" w:cs="Times New Roman"/>
          <w:sz w:val="22"/>
          <w:szCs w:val="22"/>
        </w:rPr>
      </w:pPr>
      <w:r w:rsidRPr="001170E4">
        <w:rPr>
          <w:rFonts w:ascii="Times New Roman" w:hAnsi="Times New Roman" w:cs="Times New Roman"/>
          <w:sz w:val="22"/>
          <w:szCs w:val="22"/>
        </w:rPr>
        <w:t>Establishing a structured candidacy programme for candidates and interns to address bottlenecks in the skills pipeline.</w:t>
      </w:r>
    </w:p>
    <w:p w14:paraId="149F5BF0" w14:textId="77777777" w:rsidR="00BB1EE2" w:rsidRPr="001170E4" w:rsidRDefault="00BB1EE2" w:rsidP="00B41D07">
      <w:pPr>
        <w:pStyle w:val="Default"/>
        <w:numPr>
          <w:ilvl w:val="0"/>
          <w:numId w:val="43"/>
        </w:numPr>
        <w:spacing w:after="20" w:line="360" w:lineRule="auto"/>
        <w:rPr>
          <w:rFonts w:ascii="Times New Roman" w:hAnsi="Times New Roman" w:cs="Times New Roman"/>
          <w:sz w:val="22"/>
          <w:szCs w:val="22"/>
        </w:rPr>
      </w:pPr>
      <w:r w:rsidRPr="001170E4">
        <w:rPr>
          <w:rFonts w:ascii="Times New Roman" w:hAnsi="Times New Roman" w:cs="Times New Roman"/>
          <w:sz w:val="22"/>
          <w:szCs w:val="22"/>
        </w:rPr>
        <w:t>Supporting workplace training of BE graduates/candidates and interns to bolster competencies and to promote professional registration.</w:t>
      </w:r>
    </w:p>
    <w:p w14:paraId="4096D4A3" w14:textId="77777777" w:rsidR="00BB1EE2" w:rsidRPr="001170E4" w:rsidRDefault="00BB1EE2" w:rsidP="00B41D07">
      <w:pPr>
        <w:pStyle w:val="Default"/>
        <w:numPr>
          <w:ilvl w:val="0"/>
          <w:numId w:val="43"/>
        </w:numPr>
        <w:spacing w:after="20" w:line="360" w:lineRule="auto"/>
        <w:rPr>
          <w:rFonts w:ascii="Times New Roman" w:hAnsi="Times New Roman" w:cs="Times New Roman"/>
          <w:sz w:val="22"/>
          <w:szCs w:val="22"/>
        </w:rPr>
      </w:pPr>
      <w:r w:rsidRPr="001170E4">
        <w:rPr>
          <w:rFonts w:ascii="Times New Roman" w:hAnsi="Times New Roman" w:cs="Times New Roman"/>
          <w:sz w:val="22"/>
          <w:szCs w:val="22"/>
        </w:rPr>
        <w:t>Strengthening the technical capacity of Local, Provincial and National Government.</w:t>
      </w:r>
    </w:p>
    <w:p w14:paraId="756851DF" w14:textId="77777777" w:rsidR="00BB1EE2" w:rsidRPr="001170E4" w:rsidRDefault="00BB1EE2" w:rsidP="00B41D07">
      <w:pPr>
        <w:pStyle w:val="Default"/>
        <w:numPr>
          <w:ilvl w:val="0"/>
          <w:numId w:val="43"/>
        </w:numPr>
        <w:spacing w:after="20" w:line="360" w:lineRule="auto"/>
        <w:rPr>
          <w:rFonts w:ascii="Times New Roman" w:hAnsi="Times New Roman" w:cs="Times New Roman"/>
          <w:sz w:val="22"/>
          <w:szCs w:val="22"/>
        </w:rPr>
      </w:pPr>
      <w:r w:rsidRPr="001170E4">
        <w:rPr>
          <w:rFonts w:ascii="Times New Roman" w:hAnsi="Times New Roman" w:cs="Times New Roman"/>
          <w:sz w:val="22"/>
          <w:szCs w:val="22"/>
        </w:rPr>
        <w:t>Aligning the policy planning and reporting processes of Built Environment Professional Councils the (BEPCs) to the Government’s planning cycles and the Government’s priorities.</w:t>
      </w:r>
    </w:p>
    <w:p w14:paraId="3E19BDFD" w14:textId="77777777" w:rsidR="00BB1EE2" w:rsidRPr="001170E4" w:rsidRDefault="00BB1EE2" w:rsidP="00B41D07">
      <w:pPr>
        <w:pStyle w:val="Default"/>
        <w:numPr>
          <w:ilvl w:val="0"/>
          <w:numId w:val="43"/>
        </w:numPr>
        <w:spacing w:after="20" w:line="360" w:lineRule="auto"/>
        <w:rPr>
          <w:rFonts w:ascii="Times New Roman" w:hAnsi="Times New Roman" w:cs="Times New Roman"/>
          <w:sz w:val="22"/>
          <w:szCs w:val="22"/>
        </w:rPr>
      </w:pPr>
      <w:r w:rsidRPr="001170E4">
        <w:rPr>
          <w:rFonts w:ascii="Times New Roman" w:hAnsi="Times New Roman" w:cs="Times New Roman"/>
          <w:sz w:val="22"/>
          <w:szCs w:val="22"/>
        </w:rPr>
        <w:t>Strengthening monitoring and regulatory work on delegated public functions of the BEPCs.</w:t>
      </w:r>
    </w:p>
    <w:p w14:paraId="7C9A74FD" w14:textId="77777777" w:rsidR="00BB1EE2" w:rsidRPr="001170E4" w:rsidRDefault="00BB1EE2" w:rsidP="00B41D07">
      <w:pPr>
        <w:pStyle w:val="Default"/>
        <w:numPr>
          <w:ilvl w:val="0"/>
          <w:numId w:val="43"/>
        </w:numPr>
        <w:spacing w:after="20" w:line="360" w:lineRule="auto"/>
        <w:rPr>
          <w:rFonts w:ascii="Times New Roman" w:hAnsi="Times New Roman" w:cs="Times New Roman"/>
          <w:sz w:val="22"/>
          <w:szCs w:val="22"/>
        </w:rPr>
      </w:pPr>
      <w:r w:rsidRPr="001170E4">
        <w:rPr>
          <w:rFonts w:ascii="Times New Roman" w:hAnsi="Times New Roman" w:cs="Times New Roman"/>
          <w:sz w:val="22"/>
          <w:szCs w:val="22"/>
        </w:rPr>
        <w:t>Enhancing internal systems, controls and capabilities to allow the organisation to deliver on its mandate and strategic goals.”</w:t>
      </w:r>
    </w:p>
    <w:p w14:paraId="4C870532" w14:textId="77777777" w:rsidR="00BB1EE2" w:rsidRPr="001170E4" w:rsidRDefault="00BB1EE2" w:rsidP="00F72F11">
      <w:pPr>
        <w:pStyle w:val="Default"/>
        <w:spacing w:after="20" w:line="360" w:lineRule="auto"/>
        <w:jc w:val="both"/>
        <w:rPr>
          <w:rFonts w:ascii="Times New Roman" w:hAnsi="Times New Roman" w:cs="Times New Roman"/>
          <w:sz w:val="22"/>
          <w:szCs w:val="22"/>
        </w:rPr>
      </w:pPr>
    </w:p>
    <w:p w14:paraId="72DF2F98" w14:textId="77777777" w:rsidR="00B258A1" w:rsidRPr="00B258A1" w:rsidRDefault="00B258A1" w:rsidP="00B41D07">
      <w:pPr>
        <w:pStyle w:val="Heading1"/>
        <w:numPr>
          <w:ilvl w:val="1"/>
          <w:numId w:val="58"/>
        </w:numPr>
        <w:rPr>
          <w:rFonts w:ascii="Times New Roman" w:hAnsi="Times New Roman"/>
          <w:color w:val="auto"/>
        </w:rPr>
      </w:pPr>
      <w:bookmarkStart w:id="31" w:name="_Toc511946612"/>
      <w:r w:rsidRPr="00B258A1">
        <w:rPr>
          <w:rFonts w:ascii="Times New Roman" w:hAnsi="Times New Roman"/>
          <w:caps w:val="0"/>
          <w:color w:val="auto"/>
        </w:rPr>
        <w:t>Planned Programme Performance for 2018/19</w:t>
      </w:r>
      <w:bookmarkEnd w:id="31"/>
    </w:p>
    <w:p w14:paraId="7731D1A7" w14:textId="77777777" w:rsidR="00B258A1" w:rsidRPr="00446DD3" w:rsidRDefault="00B258A1" w:rsidP="00446DD3">
      <w:pPr>
        <w:jc w:val="both"/>
        <w:rPr>
          <w:rFonts w:ascii="Times New Roman" w:hAnsi="Times New Roman" w:cs="Times New Roman"/>
        </w:rPr>
      </w:pPr>
    </w:p>
    <w:p w14:paraId="4D44E230" w14:textId="77777777" w:rsidR="00B258A1" w:rsidRPr="00446DD3" w:rsidRDefault="00B258A1" w:rsidP="00446DD3">
      <w:pPr>
        <w:spacing w:line="360" w:lineRule="auto"/>
        <w:jc w:val="both"/>
        <w:rPr>
          <w:rFonts w:ascii="Times New Roman" w:hAnsi="Times New Roman" w:cs="Times New Roman"/>
        </w:rPr>
      </w:pPr>
      <w:r w:rsidRPr="00446DD3">
        <w:rPr>
          <w:rFonts w:ascii="Times New Roman" w:hAnsi="Times New Roman" w:cs="Times New Roman"/>
        </w:rPr>
        <w:t>This section outlines the plann</w:t>
      </w:r>
      <w:r w:rsidR="00A95765">
        <w:rPr>
          <w:rFonts w:ascii="Times New Roman" w:hAnsi="Times New Roman" w:cs="Times New Roman"/>
        </w:rPr>
        <w:t>ed performance under the CBE’s five</w:t>
      </w:r>
      <w:r w:rsidRPr="00446DD3">
        <w:rPr>
          <w:rFonts w:ascii="Times New Roman" w:hAnsi="Times New Roman" w:cs="Times New Roman"/>
        </w:rPr>
        <w:t xml:space="preserve"> main programmes. However, a brief note of the changes in the names of the programmes is highlighted below.</w:t>
      </w:r>
    </w:p>
    <w:p w14:paraId="66A62247" w14:textId="77777777" w:rsidR="00B258A1" w:rsidRPr="00446DD3" w:rsidRDefault="00A95765" w:rsidP="00446DD3">
      <w:pPr>
        <w:pStyle w:val="FootnoteText"/>
        <w:spacing w:line="360" w:lineRule="auto"/>
        <w:jc w:val="both"/>
        <w:rPr>
          <w:sz w:val="22"/>
          <w:szCs w:val="22"/>
        </w:rPr>
      </w:pPr>
      <w:r>
        <w:rPr>
          <w:sz w:val="22"/>
          <w:szCs w:val="22"/>
        </w:rPr>
        <w:t>In 2013/14, the names of the four</w:t>
      </w:r>
      <w:r w:rsidR="00B258A1" w:rsidRPr="00446DD3">
        <w:rPr>
          <w:sz w:val="22"/>
          <w:szCs w:val="22"/>
        </w:rPr>
        <w:t xml:space="preserve"> programmes of the CBE were: Administration; Built Environment Academy Programme; Centre for Innovation and Integrated Planning; Public Protection and </w:t>
      </w:r>
      <w:r w:rsidR="00B258A1" w:rsidRPr="00446DD3">
        <w:rPr>
          <w:sz w:val="22"/>
          <w:szCs w:val="22"/>
        </w:rPr>
        <w:lastRenderedPageBreak/>
        <w:t>Education in the Built Environment.</w:t>
      </w:r>
      <w:r w:rsidR="00B258A1" w:rsidRPr="00446DD3">
        <w:rPr>
          <w:rStyle w:val="FootnoteReference"/>
          <w:b/>
          <w:sz w:val="22"/>
          <w:szCs w:val="22"/>
        </w:rPr>
        <w:t xml:space="preserve"> </w:t>
      </w:r>
      <w:r w:rsidR="00B258A1" w:rsidRPr="00446DD3">
        <w:rPr>
          <w:rStyle w:val="FootnoteReference"/>
          <w:b/>
          <w:sz w:val="22"/>
          <w:szCs w:val="22"/>
        </w:rPr>
        <w:footnoteReference w:id="81"/>
      </w:r>
      <w:r w:rsidR="00B258A1" w:rsidRPr="00446DD3">
        <w:rPr>
          <w:sz w:val="22"/>
          <w:szCs w:val="22"/>
        </w:rPr>
        <w:t xml:space="preserve"> The CBE left </w:t>
      </w:r>
      <w:r>
        <w:rPr>
          <w:sz w:val="22"/>
          <w:szCs w:val="22"/>
        </w:rPr>
        <w:t>P</w:t>
      </w:r>
      <w:r w:rsidR="00B258A1" w:rsidRPr="00446DD3">
        <w:rPr>
          <w:sz w:val="22"/>
          <w:szCs w:val="22"/>
        </w:rPr>
        <w:t xml:space="preserve">rogramme 1 unchanged from that in 2014/15 but renamed the last three programmes in 2015/16 as illustrated in the table below. </w:t>
      </w:r>
    </w:p>
    <w:p w14:paraId="0E7DEBA4" w14:textId="77777777" w:rsidR="00B258A1" w:rsidRPr="00446DD3" w:rsidRDefault="00B258A1" w:rsidP="00446DD3">
      <w:pPr>
        <w:pStyle w:val="FootnoteText"/>
        <w:jc w:val="both"/>
        <w:rPr>
          <w:b/>
          <w:sz w:val="22"/>
          <w:szCs w:val="22"/>
        </w:rPr>
      </w:pPr>
    </w:p>
    <w:p w14:paraId="0FC5B0FF" w14:textId="77777777" w:rsidR="00B258A1" w:rsidRPr="00446DD3" w:rsidRDefault="00B258A1" w:rsidP="00446DD3">
      <w:pPr>
        <w:pStyle w:val="Heading2"/>
        <w:jc w:val="both"/>
        <w:rPr>
          <w:rFonts w:ascii="Times New Roman" w:hAnsi="Times New Roman"/>
          <w:color w:val="auto"/>
          <w:szCs w:val="22"/>
        </w:rPr>
      </w:pPr>
      <w:bookmarkStart w:id="32" w:name="_Toc511946614"/>
      <w:r w:rsidRPr="00446DD3">
        <w:rPr>
          <w:rFonts w:ascii="Times New Roman" w:hAnsi="Times New Roman"/>
          <w:color w:val="auto"/>
          <w:szCs w:val="22"/>
        </w:rPr>
        <w:t>Changes in Programme Names between 2014/15 and 2015/16</w:t>
      </w:r>
      <w:bookmarkEnd w:id="32"/>
    </w:p>
    <w:p w14:paraId="2E23E5E1" w14:textId="77777777" w:rsidR="00446DD3" w:rsidRPr="00446DD3" w:rsidRDefault="00446DD3" w:rsidP="00446DD3">
      <w:pPr>
        <w:jc w:val="both"/>
        <w:rPr>
          <w:rFonts w:ascii="Times New Roman" w:hAnsi="Times New Roman" w:cs="Times New Roman"/>
          <w:lang w:val="en-G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536"/>
      </w:tblGrid>
      <w:tr w:rsidR="00B258A1" w:rsidRPr="00446DD3" w14:paraId="66FB5600" w14:textId="77777777" w:rsidTr="0077203D">
        <w:tc>
          <w:tcPr>
            <w:tcW w:w="4248" w:type="dxa"/>
            <w:shd w:val="clear" w:color="auto" w:fill="auto"/>
          </w:tcPr>
          <w:p w14:paraId="3236A7E7" w14:textId="77777777" w:rsidR="00B258A1" w:rsidRPr="00446DD3" w:rsidRDefault="00B258A1" w:rsidP="00446DD3">
            <w:pPr>
              <w:jc w:val="both"/>
              <w:rPr>
                <w:rFonts w:ascii="Times New Roman" w:hAnsi="Times New Roman" w:cs="Times New Roman"/>
                <w:b/>
              </w:rPr>
            </w:pPr>
            <w:r w:rsidRPr="00446DD3">
              <w:rPr>
                <w:rFonts w:ascii="Times New Roman" w:hAnsi="Times New Roman" w:cs="Times New Roman"/>
                <w:b/>
              </w:rPr>
              <w:t>Programme Name 2014/15</w:t>
            </w:r>
            <w:r w:rsidRPr="00446DD3">
              <w:rPr>
                <w:rStyle w:val="FootnoteReference"/>
                <w:rFonts w:ascii="Times New Roman" w:hAnsi="Times New Roman" w:cs="Times New Roman"/>
                <w:b/>
              </w:rPr>
              <w:footnoteReference w:id="82"/>
            </w:r>
          </w:p>
        </w:tc>
        <w:tc>
          <w:tcPr>
            <w:tcW w:w="4536" w:type="dxa"/>
            <w:shd w:val="clear" w:color="auto" w:fill="auto"/>
          </w:tcPr>
          <w:p w14:paraId="75D42779" w14:textId="77777777" w:rsidR="00B258A1" w:rsidRPr="00446DD3" w:rsidRDefault="00B258A1" w:rsidP="00446DD3">
            <w:pPr>
              <w:jc w:val="both"/>
              <w:rPr>
                <w:rFonts w:ascii="Times New Roman" w:hAnsi="Times New Roman" w:cs="Times New Roman"/>
                <w:b/>
              </w:rPr>
            </w:pPr>
            <w:r w:rsidRPr="00446DD3">
              <w:rPr>
                <w:rFonts w:ascii="Times New Roman" w:hAnsi="Times New Roman" w:cs="Times New Roman"/>
                <w:b/>
              </w:rPr>
              <w:t>Programme Name 2015/16</w:t>
            </w:r>
          </w:p>
        </w:tc>
      </w:tr>
      <w:tr w:rsidR="00B258A1" w:rsidRPr="00446DD3" w14:paraId="259C2738" w14:textId="77777777" w:rsidTr="0077203D">
        <w:tc>
          <w:tcPr>
            <w:tcW w:w="4248" w:type="dxa"/>
            <w:shd w:val="clear" w:color="auto" w:fill="auto"/>
          </w:tcPr>
          <w:p w14:paraId="531F2061" w14:textId="77777777" w:rsidR="00B258A1" w:rsidRPr="00446DD3" w:rsidRDefault="00B258A1" w:rsidP="00446DD3">
            <w:pPr>
              <w:jc w:val="both"/>
              <w:rPr>
                <w:rFonts w:ascii="Times New Roman" w:hAnsi="Times New Roman" w:cs="Times New Roman"/>
              </w:rPr>
            </w:pPr>
            <w:r w:rsidRPr="00446DD3">
              <w:rPr>
                <w:rFonts w:ascii="Times New Roman" w:hAnsi="Times New Roman" w:cs="Times New Roman"/>
              </w:rPr>
              <w:t xml:space="preserve">1. Government Policies and Priorities  </w:t>
            </w:r>
          </w:p>
        </w:tc>
        <w:tc>
          <w:tcPr>
            <w:tcW w:w="4536" w:type="dxa"/>
            <w:shd w:val="clear" w:color="auto" w:fill="auto"/>
          </w:tcPr>
          <w:p w14:paraId="6C2A1608" w14:textId="77777777" w:rsidR="00B258A1" w:rsidRPr="00446DD3" w:rsidRDefault="00B258A1" w:rsidP="00446DD3">
            <w:pPr>
              <w:jc w:val="both"/>
              <w:rPr>
                <w:rFonts w:ascii="Times New Roman" w:hAnsi="Times New Roman" w:cs="Times New Roman"/>
              </w:rPr>
            </w:pPr>
            <w:r w:rsidRPr="00446DD3">
              <w:rPr>
                <w:rFonts w:ascii="Times New Roman" w:hAnsi="Times New Roman" w:cs="Times New Roman"/>
              </w:rPr>
              <w:t xml:space="preserve">1. Government Policies and Priorities  </w:t>
            </w:r>
          </w:p>
        </w:tc>
      </w:tr>
      <w:tr w:rsidR="00B258A1" w:rsidRPr="00446DD3" w14:paraId="1D99206D" w14:textId="77777777" w:rsidTr="0077203D">
        <w:tc>
          <w:tcPr>
            <w:tcW w:w="4248" w:type="dxa"/>
            <w:shd w:val="clear" w:color="auto" w:fill="auto"/>
          </w:tcPr>
          <w:p w14:paraId="729961FD" w14:textId="77777777" w:rsidR="00B258A1" w:rsidRPr="00446DD3" w:rsidRDefault="00B258A1" w:rsidP="00446DD3">
            <w:pPr>
              <w:jc w:val="both"/>
              <w:rPr>
                <w:rFonts w:ascii="Times New Roman" w:hAnsi="Times New Roman" w:cs="Times New Roman"/>
              </w:rPr>
            </w:pPr>
            <w:r w:rsidRPr="00446DD3">
              <w:rPr>
                <w:rFonts w:ascii="Times New Roman" w:hAnsi="Times New Roman" w:cs="Times New Roman"/>
              </w:rPr>
              <w:t>2. Skills Development in the Built Environment</w:t>
            </w:r>
          </w:p>
        </w:tc>
        <w:tc>
          <w:tcPr>
            <w:tcW w:w="4536" w:type="dxa"/>
            <w:shd w:val="clear" w:color="auto" w:fill="auto"/>
          </w:tcPr>
          <w:p w14:paraId="01510E2A" w14:textId="77777777" w:rsidR="00B258A1" w:rsidRPr="00446DD3" w:rsidRDefault="00B258A1" w:rsidP="00446DD3">
            <w:pPr>
              <w:jc w:val="both"/>
              <w:rPr>
                <w:rFonts w:ascii="Times New Roman" w:hAnsi="Times New Roman" w:cs="Times New Roman"/>
              </w:rPr>
            </w:pPr>
            <w:r w:rsidRPr="00446DD3">
              <w:rPr>
                <w:rFonts w:ascii="Times New Roman" w:hAnsi="Times New Roman" w:cs="Times New Roman"/>
              </w:rPr>
              <w:t>2. Skills for Infrastructure Delivery</w:t>
            </w:r>
          </w:p>
        </w:tc>
      </w:tr>
      <w:tr w:rsidR="00B258A1" w:rsidRPr="00446DD3" w14:paraId="6D8B9F0D" w14:textId="77777777" w:rsidTr="0077203D">
        <w:tc>
          <w:tcPr>
            <w:tcW w:w="4248" w:type="dxa"/>
            <w:shd w:val="clear" w:color="auto" w:fill="auto"/>
          </w:tcPr>
          <w:p w14:paraId="167DADCC" w14:textId="77777777" w:rsidR="00B258A1" w:rsidRPr="00446DD3" w:rsidRDefault="00B258A1" w:rsidP="00446DD3">
            <w:pPr>
              <w:jc w:val="both"/>
              <w:rPr>
                <w:rFonts w:ascii="Times New Roman" w:hAnsi="Times New Roman" w:cs="Times New Roman"/>
              </w:rPr>
            </w:pPr>
            <w:r w:rsidRPr="00446DD3">
              <w:rPr>
                <w:rFonts w:ascii="Times New Roman" w:hAnsi="Times New Roman" w:cs="Times New Roman"/>
              </w:rPr>
              <w:t>3. Research and Information in the Built Environment</w:t>
            </w:r>
          </w:p>
        </w:tc>
        <w:tc>
          <w:tcPr>
            <w:tcW w:w="4536" w:type="dxa"/>
            <w:shd w:val="clear" w:color="auto" w:fill="auto"/>
          </w:tcPr>
          <w:p w14:paraId="6E8132ED" w14:textId="77777777" w:rsidR="00B258A1" w:rsidRPr="00446DD3" w:rsidRDefault="00B258A1" w:rsidP="00446DD3">
            <w:pPr>
              <w:jc w:val="both"/>
              <w:rPr>
                <w:rFonts w:ascii="Times New Roman" w:hAnsi="Times New Roman" w:cs="Times New Roman"/>
              </w:rPr>
            </w:pPr>
            <w:r w:rsidRPr="00446DD3">
              <w:rPr>
                <w:rFonts w:ascii="Times New Roman" w:hAnsi="Times New Roman" w:cs="Times New Roman"/>
              </w:rPr>
              <w:t>3. Built Environment Research, Information and Advisory</w:t>
            </w:r>
          </w:p>
        </w:tc>
      </w:tr>
      <w:tr w:rsidR="00B258A1" w:rsidRPr="00446DD3" w14:paraId="37871EA8" w14:textId="77777777" w:rsidTr="0077203D">
        <w:tc>
          <w:tcPr>
            <w:tcW w:w="4248" w:type="dxa"/>
            <w:shd w:val="clear" w:color="auto" w:fill="auto"/>
          </w:tcPr>
          <w:p w14:paraId="20619C01" w14:textId="77777777" w:rsidR="00B258A1" w:rsidRPr="00446DD3" w:rsidRDefault="00B258A1" w:rsidP="00446DD3">
            <w:pPr>
              <w:jc w:val="both"/>
              <w:rPr>
                <w:rFonts w:ascii="Times New Roman" w:hAnsi="Times New Roman" w:cs="Times New Roman"/>
              </w:rPr>
            </w:pPr>
            <w:r w:rsidRPr="00446DD3">
              <w:rPr>
                <w:rFonts w:ascii="Times New Roman" w:hAnsi="Times New Roman" w:cs="Times New Roman"/>
              </w:rPr>
              <w:t>4. Public Interest</w:t>
            </w:r>
          </w:p>
        </w:tc>
        <w:tc>
          <w:tcPr>
            <w:tcW w:w="4536" w:type="dxa"/>
            <w:shd w:val="clear" w:color="auto" w:fill="auto"/>
          </w:tcPr>
          <w:p w14:paraId="5BAA8397" w14:textId="77777777" w:rsidR="00B258A1" w:rsidRPr="00446DD3" w:rsidRDefault="00B258A1" w:rsidP="00446DD3">
            <w:pPr>
              <w:jc w:val="both"/>
              <w:rPr>
                <w:rFonts w:ascii="Times New Roman" w:hAnsi="Times New Roman" w:cs="Times New Roman"/>
              </w:rPr>
            </w:pPr>
            <w:r w:rsidRPr="00446DD3">
              <w:rPr>
                <w:rFonts w:ascii="Times New Roman" w:hAnsi="Times New Roman" w:cs="Times New Roman"/>
              </w:rPr>
              <w:t>4. Regulation and Oversight of 6 BEPCs</w:t>
            </w:r>
          </w:p>
        </w:tc>
      </w:tr>
    </w:tbl>
    <w:p w14:paraId="55AFF4F6" w14:textId="77777777" w:rsidR="00B258A1" w:rsidRPr="00446DD3" w:rsidRDefault="00B258A1" w:rsidP="00446DD3">
      <w:pPr>
        <w:jc w:val="both"/>
        <w:rPr>
          <w:rFonts w:ascii="Times New Roman" w:hAnsi="Times New Roman" w:cs="Times New Roman"/>
          <w:b/>
        </w:rPr>
      </w:pPr>
    </w:p>
    <w:p w14:paraId="5A556AB7" w14:textId="77777777" w:rsidR="00B258A1" w:rsidRPr="00446DD3" w:rsidRDefault="00B258A1" w:rsidP="00446DD3">
      <w:pPr>
        <w:pStyle w:val="Default"/>
        <w:spacing w:after="20" w:line="360" w:lineRule="auto"/>
        <w:jc w:val="both"/>
        <w:rPr>
          <w:rFonts w:ascii="Times New Roman" w:hAnsi="Times New Roman" w:cs="Times New Roman"/>
          <w:sz w:val="22"/>
          <w:szCs w:val="22"/>
        </w:rPr>
      </w:pPr>
      <w:r w:rsidRPr="00446DD3">
        <w:rPr>
          <w:rFonts w:ascii="Times New Roman" w:hAnsi="Times New Roman" w:cs="Times New Roman"/>
          <w:sz w:val="22"/>
          <w:szCs w:val="22"/>
        </w:rPr>
        <w:t xml:space="preserve">The CBE has once again changed the composition of some of its programmes, from </w:t>
      </w:r>
      <w:r w:rsidR="00A95765" w:rsidRPr="00446DD3">
        <w:rPr>
          <w:rFonts w:ascii="Times New Roman" w:hAnsi="Times New Roman" w:cs="Times New Roman"/>
          <w:sz w:val="22"/>
          <w:szCs w:val="22"/>
        </w:rPr>
        <w:t>four</w:t>
      </w:r>
      <w:r w:rsidRPr="00446DD3">
        <w:rPr>
          <w:rFonts w:ascii="Times New Roman" w:hAnsi="Times New Roman" w:cs="Times New Roman"/>
          <w:sz w:val="22"/>
          <w:szCs w:val="22"/>
        </w:rPr>
        <w:t xml:space="preserve"> Programmes to </w:t>
      </w:r>
      <w:r w:rsidR="00A95765" w:rsidRPr="00446DD3">
        <w:rPr>
          <w:rFonts w:ascii="Times New Roman" w:hAnsi="Times New Roman" w:cs="Times New Roman"/>
          <w:sz w:val="22"/>
          <w:szCs w:val="22"/>
        </w:rPr>
        <w:t>five</w:t>
      </w:r>
      <w:r w:rsidRPr="00446DD3">
        <w:rPr>
          <w:rFonts w:ascii="Times New Roman" w:hAnsi="Times New Roman" w:cs="Times New Roman"/>
          <w:sz w:val="22"/>
          <w:szCs w:val="22"/>
        </w:rPr>
        <w:t xml:space="preserve">, as illustrated in the </w:t>
      </w:r>
      <w:r w:rsidR="00A95765" w:rsidRPr="00446DD3">
        <w:rPr>
          <w:rFonts w:ascii="Times New Roman" w:hAnsi="Times New Roman" w:cs="Times New Roman"/>
          <w:sz w:val="22"/>
          <w:szCs w:val="22"/>
        </w:rPr>
        <w:t>table below</w:t>
      </w:r>
      <w:r w:rsidRPr="00446DD3">
        <w:rPr>
          <w:rFonts w:ascii="Times New Roman" w:hAnsi="Times New Roman" w:cs="Times New Roman"/>
          <w:sz w:val="22"/>
          <w:szCs w:val="22"/>
        </w:rPr>
        <w:t>:</w:t>
      </w:r>
    </w:p>
    <w:p w14:paraId="19EBD728" w14:textId="77777777" w:rsidR="00B258A1" w:rsidRPr="00942DCA" w:rsidRDefault="00B258A1" w:rsidP="00446DD3">
      <w:pPr>
        <w:pStyle w:val="Default"/>
        <w:spacing w:after="20" w:line="360" w:lineRule="auto"/>
        <w:jc w:val="both"/>
        <w:rPr>
          <w:rFonts w:ascii="Times New Roman" w:hAnsi="Times New Roman" w:cs="Times New Roman"/>
          <w:sz w:val="22"/>
          <w:szCs w:val="22"/>
        </w:rPr>
      </w:pPr>
    </w:p>
    <w:p w14:paraId="07A9E9DC" w14:textId="77777777" w:rsidR="00B258A1" w:rsidRDefault="00B258A1" w:rsidP="00B258A1">
      <w:pPr>
        <w:pStyle w:val="Heading2"/>
        <w:rPr>
          <w:rFonts w:ascii="Times New Roman" w:hAnsi="Times New Roman"/>
          <w:color w:val="auto"/>
          <w:szCs w:val="22"/>
        </w:rPr>
      </w:pPr>
      <w:bookmarkStart w:id="33" w:name="_Toc511946615"/>
      <w:r w:rsidRPr="00446DD3">
        <w:rPr>
          <w:rFonts w:ascii="Times New Roman" w:hAnsi="Times New Roman"/>
          <w:color w:val="auto"/>
          <w:szCs w:val="22"/>
        </w:rPr>
        <w:t>Changes in Programme Names between 2016/17 and 2017/18</w:t>
      </w:r>
      <w:bookmarkEnd w:id="33"/>
    </w:p>
    <w:p w14:paraId="1C7D459C" w14:textId="77777777" w:rsidR="00446DD3" w:rsidRPr="00446DD3" w:rsidRDefault="00446DD3" w:rsidP="00446DD3">
      <w:pPr>
        <w:rPr>
          <w:lang w:val="en-G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4"/>
      </w:tblGrid>
      <w:tr w:rsidR="00B258A1" w:rsidRPr="00D36E95" w14:paraId="7C946064" w14:textId="77777777" w:rsidTr="00446DD3">
        <w:tc>
          <w:tcPr>
            <w:tcW w:w="4390" w:type="dxa"/>
            <w:shd w:val="clear" w:color="auto" w:fill="auto"/>
          </w:tcPr>
          <w:p w14:paraId="0CE43D5A" w14:textId="77777777" w:rsidR="00B258A1" w:rsidRPr="00942DCA" w:rsidRDefault="00B258A1" w:rsidP="00AF121E">
            <w:pPr>
              <w:rPr>
                <w:rFonts w:ascii="Times New Roman" w:hAnsi="Times New Roman" w:cs="Times New Roman"/>
                <w:b/>
              </w:rPr>
            </w:pPr>
            <w:r w:rsidRPr="00942DCA">
              <w:rPr>
                <w:rFonts w:ascii="Times New Roman" w:hAnsi="Times New Roman" w:cs="Times New Roman"/>
                <w:b/>
              </w:rPr>
              <w:t>Programme Name 2016/17</w:t>
            </w:r>
          </w:p>
        </w:tc>
        <w:tc>
          <w:tcPr>
            <w:tcW w:w="4394" w:type="dxa"/>
            <w:shd w:val="clear" w:color="auto" w:fill="auto"/>
          </w:tcPr>
          <w:p w14:paraId="2B126AB5" w14:textId="77777777" w:rsidR="00B258A1" w:rsidRPr="00942DCA" w:rsidRDefault="00B258A1" w:rsidP="00AF121E">
            <w:pPr>
              <w:rPr>
                <w:rFonts w:ascii="Times New Roman" w:hAnsi="Times New Roman" w:cs="Times New Roman"/>
                <w:b/>
              </w:rPr>
            </w:pPr>
            <w:r w:rsidRPr="00942DCA">
              <w:rPr>
                <w:rFonts w:ascii="Times New Roman" w:hAnsi="Times New Roman" w:cs="Times New Roman"/>
                <w:b/>
              </w:rPr>
              <w:t>Programme Name 2017/18</w:t>
            </w:r>
            <w:r w:rsidRPr="00942DCA">
              <w:rPr>
                <w:rStyle w:val="FootnoteReference"/>
                <w:rFonts w:ascii="Times New Roman" w:hAnsi="Times New Roman" w:cs="Times New Roman"/>
                <w:b/>
              </w:rPr>
              <w:footnoteReference w:id="83"/>
            </w:r>
          </w:p>
        </w:tc>
      </w:tr>
      <w:tr w:rsidR="00B258A1" w:rsidRPr="00D36E95" w14:paraId="16B78BD7" w14:textId="77777777" w:rsidTr="00446DD3">
        <w:tc>
          <w:tcPr>
            <w:tcW w:w="4390" w:type="dxa"/>
            <w:shd w:val="clear" w:color="auto" w:fill="auto"/>
          </w:tcPr>
          <w:p w14:paraId="6342D6D6" w14:textId="77777777" w:rsidR="00B258A1" w:rsidRPr="00942DCA" w:rsidRDefault="00B258A1" w:rsidP="00AF121E">
            <w:pPr>
              <w:rPr>
                <w:rFonts w:ascii="Times New Roman" w:hAnsi="Times New Roman" w:cs="Times New Roman"/>
              </w:rPr>
            </w:pPr>
            <w:r w:rsidRPr="00942DCA">
              <w:rPr>
                <w:rFonts w:ascii="Times New Roman" w:hAnsi="Times New Roman" w:cs="Times New Roman"/>
              </w:rPr>
              <w:t xml:space="preserve">1. Government Policies and Priorities  </w:t>
            </w:r>
          </w:p>
        </w:tc>
        <w:tc>
          <w:tcPr>
            <w:tcW w:w="4394" w:type="dxa"/>
            <w:shd w:val="clear" w:color="auto" w:fill="auto"/>
          </w:tcPr>
          <w:p w14:paraId="1638A8FC" w14:textId="77777777" w:rsidR="00B258A1" w:rsidRPr="00942DCA" w:rsidRDefault="00B258A1" w:rsidP="00AF121E">
            <w:pPr>
              <w:rPr>
                <w:rFonts w:ascii="Times New Roman" w:hAnsi="Times New Roman" w:cs="Times New Roman"/>
              </w:rPr>
            </w:pPr>
            <w:r w:rsidRPr="00942DCA">
              <w:rPr>
                <w:rFonts w:ascii="Times New Roman" w:hAnsi="Times New Roman" w:cs="Times New Roman"/>
              </w:rPr>
              <w:t>1. Administration</w:t>
            </w:r>
          </w:p>
        </w:tc>
      </w:tr>
      <w:tr w:rsidR="00B258A1" w:rsidRPr="00D36E95" w14:paraId="50EAF964" w14:textId="77777777" w:rsidTr="00446DD3">
        <w:tc>
          <w:tcPr>
            <w:tcW w:w="4390" w:type="dxa"/>
            <w:shd w:val="clear" w:color="auto" w:fill="auto"/>
          </w:tcPr>
          <w:p w14:paraId="1A7C64BD" w14:textId="77777777" w:rsidR="00B258A1" w:rsidRPr="00942DCA" w:rsidRDefault="00B258A1" w:rsidP="00AF121E">
            <w:pPr>
              <w:rPr>
                <w:rFonts w:ascii="Times New Roman" w:hAnsi="Times New Roman" w:cs="Times New Roman"/>
              </w:rPr>
            </w:pPr>
            <w:r w:rsidRPr="00942DCA">
              <w:rPr>
                <w:rFonts w:ascii="Times New Roman" w:hAnsi="Times New Roman" w:cs="Times New Roman"/>
              </w:rPr>
              <w:t>2. Skills for Infrastructure Delivery</w:t>
            </w:r>
          </w:p>
        </w:tc>
        <w:tc>
          <w:tcPr>
            <w:tcW w:w="4394" w:type="dxa"/>
            <w:shd w:val="clear" w:color="auto" w:fill="auto"/>
          </w:tcPr>
          <w:p w14:paraId="313171E4" w14:textId="77777777" w:rsidR="00B258A1" w:rsidRPr="00942DCA" w:rsidRDefault="00B258A1" w:rsidP="00AF121E">
            <w:pPr>
              <w:rPr>
                <w:rFonts w:ascii="Times New Roman" w:hAnsi="Times New Roman" w:cs="Times New Roman"/>
              </w:rPr>
            </w:pPr>
            <w:r w:rsidRPr="00942DCA">
              <w:rPr>
                <w:rFonts w:ascii="Times New Roman" w:hAnsi="Times New Roman" w:cs="Times New Roman"/>
              </w:rPr>
              <w:t>2. Skills for Infrastructure Delivery</w:t>
            </w:r>
          </w:p>
        </w:tc>
      </w:tr>
      <w:tr w:rsidR="00B258A1" w:rsidRPr="00D36E95" w14:paraId="77EDAA3E" w14:textId="77777777" w:rsidTr="00446DD3">
        <w:tc>
          <w:tcPr>
            <w:tcW w:w="4390" w:type="dxa"/>
            <w:shd w:val="clear" w:color="auto" w:fill="auto"/>
          </w:tcPr>
          <w:p w14:paraId="616E48B1" w14:textId="77777777" w:rsidR="00B258A1" w:rsidRPr="00942DCA" w:rsidRDefault="00B258A1" w:rsidP="00AF121E">
            <w:pPr>
              <w:rPr>
                <w:rFonts w:ascii="Times New Roman" w:hAnsi="Times New Roman" w:cs="Times New Roman"/>
              </w:rPr>
            </w:pPr>
            <w:r w:rsidRPr="00942DCA">
              <w:rPr>
                <w:rFonts w:ascii="Times New Roman" w:hAnsi="Times New Roman" w:cs="Times New Roman"/>
              </w:rPr>
              <w:t>3. Built Environment Research, Information and Advisory</w:t>
            </w:r>
          </w:p>
        </w:tc>
        <w:tc>
          <w:tcPr>
            <w:tcW w:w="4394" w:type="dxa"/>
            <w:shd w:val="clear" w:color="auto" w:fill="auto"/>
          </w:tcPr>
          <w:p w14:paraId="5EE7A68F" w14:textId="77777777" w:rsidR="00B258A1" w:rsidRPr="00942DCA" w:rsidRDefault="00B258A1" w:rsidP="00AF121E">
            <w:pPr>
              <w:rPr>
                <w:rFonts w:ascii="Times New Roman" w:hAnsi="Times New Roman" w:cs="Times New Roman"/>
              </w:rPr>
            </w:pPr>
            <w:r w:rsidRPr="00942DCA">
              <w:rPr>
                <w:rFonts w:ascii="Times New Roman" w:hAnsi="Times New Roman" w:cs="Times New Roman"/>
              </w:rPr>
              <w:t>3. Built Environment Research, Information and Advisory</w:t>
            </w:r>
          </w:p>
        </w:tc>
      </w:tr>
      <w:tr w:rsidR="00B258A1" w:rsidRPr="00D36E95" w14:paraId="3CB95FD9" w14:textId="77777777" w:rsidTr="00446DD3">
        <w:tc>
          <w:tcPr>
            <w:tcW w:w="4390" w:type="dxa"/>
            <w:shd w:val="clear" w:color="auto" w:fill="auto"/>
          </w:tcPr>
          <w:p w14:paraId="73A8F4BF" w14:textId="77777777" w:rsidR="00B258A1" w:rsidRPr="00942DCA" w:rsidRDefault="00B258A1" w:rsidP="00AF121E">
            <w:pPr>
              <w:rPr>
                <w:rFonts w:ascii="Times New Roman" w:hAnsi="Times New Roman" w:cs="Times New Roman"/>
              </w:rPr>
            </w:pPr>
            <w:r w:rsidRPr="00942DCA">
              <w:rPr>
                <w:rFonts w:ascii="Times New Roman" w:hAnsi="Times New Roman" w:cs="Times New Roman"/>
              </w:rPr>
              <w:t>4. Regulation and Oversight of 6 BEPCs</w:t>
            </w:r>
          </w:p>
        </w:tc>
        <w:tc>
          <w:tcPr>
            <w:tcW w:w="4394" w:type="dxa"/>
            <w:shd w:val="clear" w:color="auto" w:fill="auto"/>
          </w:tcPr>
          <w:p w14:paraId="33C236B4" w14:textId="77777777" w:rsidR="00B258A1" w:rsidRPr="00942DCA" w:rsidRDefault="00B258A1" w:rsidP="00AF121E">
            <w:pPr>
              <w:rPr>
                <w:rFonts w:ascii="Times New Roman" w:hAnsi="Times New Roman" w:cs="Times New Roman"/>
              </w:rPr>
            </w:pPr>
            <w:r w:rsidRPr="00942DCA">
              <w:rPr>
                <w:rFonts w:ascii="Times New Roman" w:hAnsi="Times New Roman" w:cs="Times New Roman"/>
              </w:rPr>
              <w:t>4. Regulation and Oversight of 6 BEPCs</w:t>
            </w:r>
          </w:p>
        </w:tc>
      </w:tr>
      <w:tr w:rsidR="00B258A1" w:rsidRPr="00D36E95" w14:paraId="00BADAB7" w14:textId="77777777" w:rsidTr="00446DD3">
        <w:tc>
          <w:tcPr>
            <w:tcW w:w="4390" w:type="dxa"/>
            <w:shd w:val="clear" w:color="auto" w:fill="auto"/>
          </w:tcPr>
          <w:p w14:paraId="2E9ED41C" w14:textId="77777777" w:rsidR="00B258A1" w:rsidRPr="00942DCA" w:rsidRDefault="00B258A1" w:rsidP="00AF121E">
            <w:pPr>
              <w:rPr>
                <w:rFonts w:ascii="Times New Roman" w:hAnsi="Times New Roman" w:cs="Times New Roman"/>
              </w:rPr>
            </w:pPr>
            <w:r w:rsidRPr="00942DCA">
              <w:rPr>
                <w:rFonts w:ascii="Times New Roman" w:hAnsi="Times New Roman" w:cs="Times New Roman"/>
              </w:rPr>
              <w:t>5. -</w:t>
            </w:r>
          </w:p>
        </w:tc>
        <w:tc>
          <w:tcPr>
            <w:tcW w:w="4394" w:type="dxa"/>
            <w:shd w:val="clear" w:color="auto" w:fill="auto"/>
          </w:tcPr>
          <w:p w14:paraId="1E3C0C91" w14:textId="77777777" w:rsidR="00B258A1" w:rsidRPr="00942DCA" w:rsidRDefault="00B258A1" w:rsidP="00AF121E">
            <w:pPr>
              <w:rPr>
                <w:rFonts w:ascii="Times New Roman" w:hAnsi="Times New Roman" w:cs="Times New Roman"/>
              </w:rPr>
            </w:pPr>
            <w:r w:rsidRPr="00942DCA">
              <w:rPr>
                <w:rFonts w:ascii="Times New Roman" w:hAnsi="Times New Roman" w:cs="Times New Roman"/>
              </w:rPr>
              <w:t xml:space="preserve">5. Government Policies and Priorities  </w:t>
            </w:r>
          </w:p>
        </w:tc>
      </w:tr>
    </w:tbl>
    <w:p w14:paraId="1B654F43" w14:textId="77777777" w:rsidR="00B258A1" w:rsidRPr="00942DCA" w:rsidRDefault="00B258A1" w:rsidP="00B258A1">
      <w:pPr>
        <w:pStyle w:val="Default"/>
        <w:spacing w:after="20" w:line="280" w:lineRule="exact"/>
        <w:jc w:val="both"/>
        <w:rPr>
          <w:rFonts w:ascii="Times New Roman" w:hAnsi="Times New Roman" w:cs="Times New Roman"/>
          <w:sz w:val="22"/>
          <w:szCs w:val="22"/>
        </w:rPr>
      </w:pPr>
    </w:p>
    <w:p w14:paraId="189E7A56" w14:textId="77777777" w:rsidR="00B258A1" w:rsidRPr="00942DCA" w:rsidRDefault="00B258A1" w:rsidP="00204AE5">
      <w:pPr>
        <w:pStyle w:val="Default"/>
        <w:spacing w:after="20" w:line="360" w:lineRule="auto"/>
        <w:jc w:val="both"/>
        <w:rPr>
          <w:rFonts w:ascii="Times New Roman" w:hAnsi="Times New Roman" w:cs="Times New Roman"/>
          <w:sz w:val="22"/>
          <w:szCs w:val="22"/>
        </w:rPr>
      </w:pPr>
      <w:r w:rsidRPr="00942DCA">
        <w:rPr>
          <w:rFonts w:ascii="Times New Roman" w:hAnsi="Times New Roman" w:cs="Times New Roman"/>
          <w:sz w:val="22"/>
          <w:szCs w:val="22"/>
        </w:rPr>
        <w:t>Programmes 2, 3 and 4 remain unchange</w:t>
      </w:r>
      <w:r w:rsidR="00A95765">
        <w:rPr>
          <w:rFonts w:ascii="Times New Roman" w:hAnsi="Times New Roman" w:cs="Times New Roman"/>
          <w:sz w:val="22"/>
          <w:szCs w:val="22"/>
        </w:rPr>
        <w:t>d. However, Programmes 1 and 5 we</w:t>
      </w:r>
      <w:r w:rsidRPr="00942DCA">
        <w:rPr>
          <w:rFonts w:ascii="Times New Roman" w:hAnsi="Times New Roman" w:cs="Times New Roman"/>
          <w:sz w:val="22"/>
          <w:szCs w:val="22"/>
        </w:rPr>
        <w:t xml:space="preserve">re altered as illustrated above, with Programme 1 reported as Administration and the former Programme 1: Government Policies and Priorities </w:t>
      </w:r>
      <w:r w:rsidR="00A95765">
        <w:rPr>
          <w:rFonts w:ascii="Times New Roman" w:hAnsi="Times New Roman" w:cs="Times New Roman"/>
          <w:sz w:val="22"/>
          <w:szCs w:val="22"/>
        </w:rPr>
        <w:t>was changed to</w:t>
      </w:r>
      <w:r w:rsidRPr="00942DCA">
        <w:rPr>
          <w:rFonts w:ascii="Times New Roman" w:hAnsi="Times New Roman" w:cs="Times New Roman"/>
          <w:sz w:val="22"/>
          <w:szCs w:val="22"/>
        </w:rPr>
        <w:t xml:space="preserve"> Programme 5.  </w:t>
      </w:r>
    </w:p>
    <w:p w14:paraId="12C7EEAE" w14:textId="77777777" w:rsidR="00204AE5" w:rsidRDefault="00204AE5" w:rsidP="00204AE5">
      <w:pPr>
        <w:pStyle w:val="FootnoteText"/>
        <w:spacing w:line="360" w:lineRule="auto"/>
        <w:rPr>
          <w:sz w:val="22"/>
          <w:szCs w:val="22"/>
        </w:rPr>
      </w:pPr>
    </w:p>
    <w:p w14:paraId="1B1C323D" w14:textId="77777777" w:rsidR="00B258A1" w:rsidRPr="00EA5571" w:rsidRDefault="00B258A1" w:rsidP="00204AE5">
      <w:pPr>
        <w:pStyle w:val="FootnoteText"/>
        <w:spacing w:line="360" w:lineRule="auto"/>
        <w:jc w:val="both"/>
        <w:rPr>
          <w:sz w:val="22"/>
          <w:szCs w:val="22"/>
          <w:lang w:val="en-GB"/>
        </w:rPr>
      </w:pPr>
      <w:r w:rsidRPr="00D36E95">
        <w:rPr>
          <w:sz w:val="22"/>
          <w:szCs w:val="22"/>
        </w:rPr>
        <w:t>The CBE’s programmes for 2018/19 have remained unchanged from that of the previous financial year.</w:t>
      </w:r>
      <w:r w:rsidRPr="00D36E95">
        <w:rPr>
          <w:rStyle w:val="FootnoteReference"/>
          <w:sz w:val="22"/>
          <w:szCs w:val="22"/>
        </w:rPr>
        <w:footnoteReference w:id="84"/>
      </w:r>
      <w:r w:rsidRPr="00D36E95">
        <w:rPr>
          <w:sz w:val="22"/>
          <w:szCs w:val="22"/>
        </w:rPr>
        <w:t xml:space="preserve"> However, the acronym for Programme 4 </w:t>
      </w:r>
      <w:r w:rsidRPr="00942DCA">
        <w:rPr>
          <w:sz w:val="22"/>
          <w:szCs w:val="22"/>
        </w:rPr>
        <w:t xml:space="preserve">BEPCs, the </w:t>
      </w:r>
      <w:r w:rsidRPr="00D36E95">
        <w:rPr>
          <w:sz w:val="22"/>
          <w:szCs w:val="22"/>
          <w:lang w:val="en-GB"/>
        </w:rPr>
        <w:t xml:space="preserve">Built Environment Professional Councils, </w:t>
      </w:r>
      <w:r w:rsidRPr="00EA5571">
        <w:rPr>
          <w:sz w:val="22"/>
          <w:szCs w:val="22"/>
        </w:rPr>
        <w:t xml:space="preserve">has been changed from </w:t>
      </w:r>
      <w:r w:rsidRPr="00EA5571">
        <w:rPr>
          <w:sz w:val="22"/>
          <w:szCs w:val="22"/>
          <w:lang w:val="en-GB"/>
        </w:rPr>
        <w:t>(BEPCs), to Councils for the Built Environment Professions (CBEP).</w:t>
      </w:r>
      <w:r w:rsidRPr="00D36E95">
        <w:rPr>
          <w:rStyle w:val="FootnoteReference"/>
          <w:sz w:val="22"/>
          <w:szCs w:val="22"/>
          <w:lang w:val="en-GB"/>
        </w:rPr>
        <w:footnoteReference w:id="85"/>
      </w:r>
      <w:r w:rsidRPr="00D36E95">
        <w:rPr>
          <w:sz w:val="22"/>
          <w:szCs w:val="22"/>
          <w:lang w:val="en-GB"/>
        </w:rPr>
        <w:t xml:space="preserve"> </w:t>
      </w:r>
    </w:p>
    <w:p w14:paraId="23BFFFA7" w14:textId="77777777" w:rsidR="00B258A1" w:rsidRPr="001170E4" w:rsidRDefault="00B258A1" w:rsidP="00204AE5">
      <w:pPr>
        <w:pStyle w:val="Default"/>
        <w:spacing w:after="20" w:line="360" w:lineRule="auto"/>
        <w:jc w:val="both"/>
        <w:rPr>
          <w:rFonts w:ascii="Times New Roman" w:hAnsi="Times New Roman" w:cs="Times New Roman"/>
          <w:sz w:val="22"/>
          <w:szCs w:val="22"/>
        </w:rPr>
      </w:pPr>
    </w:p>
    <w:p w14:paraId="17BF6F51" w14:textId="77777777" w:rsidR="00B258A1" w:rsidRPr="001170E4" w:rsidRDefault="00B258A1" w:rsidP="00204AE5">
      <w:pPr>
        <w:pStyle w:val="Default"/>
        <w:spacing w:after="20" w:line="360" w:lineRule="auto"/>
        <w:jc w:val="both"/>
        <w:rPr>
          <w:rFonts w:ascii="Times New Roman" w:hAnsi="Times New Roman" w:cs="Times New Roman"/>
          <w:sz w:val="22"/>
          <w:szCs w:val="22"/>
        </w:rPr>
      </w:pPr>
      <w:r w:rsidRPr="001170E4">
        <w:rPr>
          <w:rFonts w:ascii="Times New Roman" w:hAnsi="Times New Roman" w:cs="Times New Roman"/>
          <w:sz w:val="22"/>
          <w:szCs w:val="22"/>
        </w:rPr>
        <w:t xml:space="preserve">The strategic priorities and planned </w:t>
      </w:r>
      <w:r w:rsidR="00A95765">
        <w:rPr>
          <w:rFonts w:ascii="Times New Roman" w:hAnsi="Times New Roman" w:cs="Times New Roman"/>
          <w:sz w:val="22"/>
          <w:szCs w:val="22"/>
        </w:rPr>
        <w:t>performance per programme we</w:t>
      </w:r>
      <w:r w:rsidRPr="001170E4">
        <w:rPr>
          <w:rFonts w:ascii="Times New Roman" w:hAnsi="Times New Roman" w:cs="Times New Roman"/>
          <w:sz w:val="22"/>
          <w:szCs w:val="22"/>
        </w:rPr>
        <w:t>re reported</w:t>
      </w:r>
      <w:r w:rsidR="00A95765">
        <w:rPr>
          <w:rFonts w:ascii="Times New Roman" w:hAnsi="Times New Roman" w:cs="Times New Roman"/>
          <w:sz w:val="22"/>
          <w:szCs w:val="22"/>
        </w:rPr>
        <w:t xml:space="preserve"> on</w:t>
      </w:r>
      <w:r w:rsidRPr="001170E4">
        <w:rPr>
          <w:rFonts w:ascii="Times New Roman" w:hAnsi="Times New Roman" w:cs="Times New Roman"/>
          <w:sz w:val="22"/>
          <w:szCs w:val="22"/>
        </w:rPr>
        <w:t xml:space="preserve"> as follows:</w:t>
      </w:r>
    </w:p>
    <w:p w14:paraId="261E36C1" w14:textId="77777777" w:rsidR="00B258A1" w:rsidRPr="001170E4" w:rsidRDefault="00B258A1" w:rsidP="00B258A1">
      <w:pPr>
        <w:pStyle w:val="Default"/>
        <w:spacing w:after="20" w:line="360" w:lineRule="auto"/>
        <w:jc w:val="both"/>
        <w:rPr>
          <w:rFonts w:ascii="Times New Roman" w:hAnsi="Times New Roman" w:cs="Times New Roman"/>
          <w:sz w:val="22"/>
          <w:szCs w:val="22"/>
        </w:rPr>
      </w:pPr>
    </w:p>
    <w:p w14:paraId="70274E68" w14:textId="77777777" w:rsidR="00B258A1" w:rsidRPr="001170E4" w:rsidRDefault="00B258A1" w:rsidP="00B258A1">
      <w:pPr>
        <w:spacing w:line="360" w:lineRule="auto"/>
        <w:jc w:val="both"/>
        <w:rPr>
          <w:rFonts w:ascii="Times New Roman" w:hAnsi="Times New Roman" w:cs="Times New Roman"/>
          <w:b/>
        </w:rPr>
      </w:pPr>
      <w:r w:rsidRPr="001170E4">
        <w:rPr>
          <w:rFonts w:ascii="Times New Roman" w:hAnsi="Times New Roman" w:cs="Times New Roman"/>
          <w:b/>
        </w:rPr>
        <w:t xml:space="preserve">Programme 1: Administration  </w:t>
      </w:r>
    </w:p>
    <w:p w14:paraId="2EF7EE7F" w14:textId="77777777" w:rsidR="00B258A1" w:rsidRPr="001170E4" w:rsidRDefault="00B258A1" w:rsidP="00B258A1">
      <w:pPr>
        <w:pStyle w:val="Default"/>
        <w:spacing w:after="20" w:line="360" w:lineRule="auto"/>
        <w:jc w:val="both"/>
        <w:rPr>
          <w:rFonts w:ascii="Times New Roman" w:hAnsi="Times New Roman" w:cs="Times New Roman"/>
          <w:sz w:val="22"/>
          <w:szCs w:val="22"/>
        </w:rPr>
      </w:pPr>
      <w:r w:rsidRPr="001170E4">
        <w:rPr>
          <w:rFonts w:ascii="Times New Roman" w:hAnsi="Times New Roman" w:cs="Times New Roman"/>
          <w:b/>
          <w:sz w:val="22"/>
          <w:szCs w:val="22"/>
        </w:rPr>
        <w:t>Strategic Objective</w:t>
      </w:r>
      <w:r w:rsidRPr="001170E4">
        <w:rPr>
          <w:rFonts w:ascii="Times New Roman" w:hAnsi="Times New Roman" w:cs="Times New Roman"/>
          <w:sz w:val="22"/>
          <w:szCs w:val="22"/>
        </w:rPr>
        <w:t xml:space="preserve">:  Ensure that </w:t>
      </w:r>
      <w:r w:rsidR="00204AE5">
        <w:rPr>
          <w:rFonts w:ascii="Times New Roman" w:hAnsi="Times New Roman" w:cs="Times New Roman"/>
          <w:sz w:val="22"/>
          <w:szCs w:val="22"/>
        </w:rPr>
        <w:t xml:space="preserve">the </w:t>
      </w:r>
      <w:r w:rsidRPr="001170E4">
        <w:rPr>
          <w:rFonts w:ascii="Times New Roman" w:hAnsi="Times New Roman" w:cs="Times New Roman"/>
          <w:sz w:val="22"/>
          <w:szCs w:val="22"/>
        </w:rPr>
        <w:t>CBE has the necessary capacity and capability to support government’s development priorities within the Built Environment (BE).</w:t>
      </w:r>
    </w:p>
    <w:p w14:paraId="78853FFF" w14:textId="77777777" w:rsidR="00B258A1" w:rsidRPr="001170E4" w:rsidRDefault="00B258A1" w:rsidP="00B258A1">
      <w:pPr>
        <w:pStyle w:val="Default"/>
        <w:spacing w:after="20" w:line="360" w:lineRule="auto"/>
        <w:jc w:val="both"/>
        <w:rPr>
          <w:rFonts w:ascii="Times New Roman" w:hAnsi="Times New Roman" w:cs="Times New Roman"/>
          <w:b/>
          <w:sz w:val="22"/>
          <w:szCs w:val="22"/>
        </w:rPr>
      </w:pPr>
    </w:p>
    <w:p w14:paraId="2AF50CE1" w14:textId="77777777" w:rsidR="00B258A1" w:rsidRPr="003E2533" w:rsidRDefault="00B258A1" w:rsidP="00B258A1">
      <w:pPr>
        <w:pStyle w:val="Default"/>
        <w:pBdr>
          <w:top w:val="single" w:sz="4" w:space="1" w:color="auto"/>
          <w:left w:val="single" w:sz="4" w:space="4" w:color="auto"/>
          <w:bottom w:val="single" w:sz="4" w:space="1" w:color="auto"/>
          <w:right w:val="single" w:sz="4" w:space="4" w:color="auto"/>
        </w:pBdr>
        <w:spacing w:after="20" w:line="360" w:lineRule="auto"/>
        <w:jc w:val="both"/>
        <w:rPr>
          <w:rFonts w:ascii="Times New Roman" w:hAnsi="Times New Roman" w:cs="Times New Roman"/>
          <w:sz w:val="22"/>
          <w:szCs w:val="22"/>
        </w:rPr>
      </w:pPr>
      <w:r w:rsidRPr="007C30BC">
        <w:rPr>
          <w:rFonts w:ascii="Times New Roman" w:hAnsi="Times New Roman" w:cs="Times New Roman"/>
          <w:sz w:val="22"/>
          <w:szCs w:val="22"/>
        </w:rPr>
        <w:t xml:space="preserve">Programme </w:t>
      </w:r>
      <w:r w:rsidR="00A95765">
        <w:rPr>
          <w:rFonts w:ascii="Times New Roman" w:hAnsi="Times New Roman" w:cs="Times New Roman"/>
          <w:sz w:val="22"/>
          <w:szCs w:val="22"/>
        </w:rPr>
        <w:t>1 receives an allocation of R42,</w:t>
      </w:r>
      <w:r w:rsidRPr="007C30BC">
        <w:rPr>
          <w:rFonts w:ascii="Times New Roman" w:hAnsi="Times New Roman" w:cs="Times New Roman"/>
          <w:sz w:val="22"/>
          <w:szCs w:val="22"/>
        </w:rPr>
        <w:t>0 million for the 2018/19 financial year and constitutes 78</w:t>
      </w:r>
      <w:r w:rsidR="009E2F1A">
        <w:rPr>
          <w:rFonts w:ascii="Times New Roman" w:hAnsi="Times New Roman" w:cs="Times New Roman"/>
          <w:sz w:val="22"/>
          <w:szCs w:val="22"/>
        </w:rPr>
        <w:t>,</w:t>
      </w:r>
      <w:r w:rsidRPr="007C30BC">
        <w:rPr>
          <w:rFonts w:ascii="Times New Roman" w:hAnsi="Times New Roman" w:cs="Times New Roman"/>
          <w:sz w:val="22"/>
          <w:szCs w:val="22"/>
        </w:rPr>
        <w:t>2% of the E</w:t>
      </w:r>
      <w:r w:rsidR="00A95765">
        <w:rPr>
          <w:rFonts w:ascii="Times New Roman" w:hAnsi="Times New Roman" w:cs="Times New Roman"/>
          <w:sz w:val="22"/>
          <w:szCs w:val="22"/>
        </w:rPr>
        <w:t>ntity’s total allocation of R53,</w:t>
      </w:r>
      <w:r w:rsidRPr="007C30BC">
        <w:rPr>
          <w:rFonts w:ascii="Times New Roman" w:hAnsi="Times New Roman" w:cs="Times New Roman"/>
          <w:sz w:val="22"/>
          <w:szCs w:val="22"/>
        </w:rPr>
        <w:t>7 million</w:t>
      </w:r>
      <w:r w:rsidR="009E2F1A">
        <w:rPr>
          <w:rFonts w:ascii="Times New Roman" w:hAnsi="Times New Roman" w:cs="Times New Roman"/>
          <w:sz w:val="22"/>
          <w:szCs w:val="22"/>
        </w:rPr>
        <w:t>.</w:t>
      </w:r>
      <w:r w:rsidRPr="007C30BC">
        <w:rPr>
          <w:rStyle w:val="FootnoteReference"/>
          <w:rFonts w:ascii="Times New Roman" w:hAnsi="Times New Roman" w:cs="Times New Roman"/>
          <w:sz w:val="22"/>
          <w:szCs w:val="22"/>
        </w:rPr>
        <w:footnoteReference w:id="86"/>
      </w:r>
      <w:r w:rsidR="00A95765">
        <w:rPr>
          <w:rFonts w:ascii="Times New Roman" w:hAnsi="Times New Roman" w:cs="Times New Roman"/>
          <w:sz w:val="22"/>
          <w:szCs w:val="22"/>
        </w:rPr>
        <w:t xml:space="preserve"> This is an increase of R1,</w:t>
      </w:r>
      <w:r w:rsidRPr="007C30BC">
        <w:rPr>
          <w:rFonts w:ascii="Times New Roman" w:hAnsi="Times New Roman" w:cs="Times New Roman"/>
          <w:sz w:val="22"/>
          <w:szCs w:val="22"/>
        </w:rPr>
        <w:t>7 million from the R40</w:t>
      </w:r>
      <w:r w:rsidR="009E2F1A">
        <w:rPr>
          <w:rFonts w:ascii="Times New Roman" w:hAnsi="Times New Roman" w:cs="Times New Roman"/>
          <w:sz w:val="22"/>
          <w:szCs w:val="22"/>
        </w:rPr>
        <w:t>,</w:t>
      </w:r>
      <w:r w:rsidRPr="007C30BC">
        <w:rPr>
          <w:rFonts w:ascii="Times New Roman" w:hAnsi="Times New Roman" w:cs="Times New Roman"/>
          <w:sz w:val="22"/>
          <w:szCs w:val="22"/>
        </w:rPr>
        <w:t>3 million for 2017/18.</w:t>
      </w:r>
    </w:p>
    <w:p w14:paraId="15FBD54E" w14:textId="77777777" w:rsidR="00B258A1" w:rsidRDefault="00B258A1" w:rsidP="00B258A1">
      <w:pPr>
        <w:pStyle w:val="Default"/>
        <w:spacing w:after="20" w:line="360" w:lineRule="auto"/>
        <w:jc w:val="both"/>
        <w:rPr>
          <w:rFonts w:ascii="Times New Roman" w:hAnsi="Times New Roman" w:cs="Times New Roman"/>
          <w:sz w:val="22"/>
          <w:szCs w:val="22"/>
        </w:rPr>
      </w:pPr>
    </w:p>
    <w:p w14:paraId="7932C256" w14:textId="77777777" w:rsidR="00B258A1" w:rsidRPr="00942DCA" w:rsidRDefault="00B258A1" w:rsidP="00B258A1">
      <w:pPr>
        <w:pStyle w:val="Default"/>
        <w:spacing w:after="20" w:line="280" w:lineRule="exact"/>
        <w:jc w:val="both"/>
        <w:rPr>
          <w:rFonts w:ascii="Times New Roman" w:hAnsi="Times New Roman" w:cs="Times New Roman"/>
          <w:sz w:val="22"/>
          <w:szCs w:val="22"/>
        </w:rPr>
      </w:pPr>
      <w:r w:rsidRPr="00942DCA">
        <w:rPr>
          <w:rFonts w:ascii="Times New Roman" w:hAnsi="Times New Roman" w:cs="Times New Roman"/>
          <w:sz w:val="22"/>
          <w:szCs w:val="22"/>
        </w:rPr>
        <w:t>The CBE reports that the budget for Programme 1 will increase by 1% during the 2018/19 financial year.</w:t>
      </w:r>
      <w:r w:rsidRPr="00942DCA">
        <w:rPr>
          <w:rStyle w:val="FootnoteReference"/>
          <w:rFonts w:ascii="Times New Roman" w:hAnsi="Times New Roman" w:cs="Times New Roman"/>
          <w:sz w:val="22"/>
          <w:szCs w:val="22"/>
        </w:rPr>
        <w:footnoteReference w:id="87"/>
      </w:r>
    </w:p>
    <w:p w14:paraId="2B565581" w14:textId="77777777" w:rsidR="00B258A1" w:rsidRPr="00942DCA" w:rsidRDefault="00B258A1" w:rsidP="00204AE5">
      <w:pPr>
        <w:pStyle w:val="Default"/>
        <w:spacing w:after="20" w:line="360" w:lineRule="auto"/>
        <w:jc w:val="both"/>
        <w:rPr>
          <w:rFonts w:ascii="Times New Roman" w:hAnsi="Times New Roman" w:cs="Times New Roman"/>
          <w:sz w:val="22"/>
          <w:szCs w:val="22"/>
        </w:rPr>
      </w:pPr>
    </w:p>
    <w:p w14:paraId="2A1AFDDF" w14:textId="77777777" w:rsidR="00B258A1" w:rsidRDefault="00B258A1" w:rsidP="00204AE5">
      <w:pPr>
        <w:pStyle w:val="Default"/>
        <w:spacing w:after="20" w:line="360" w:lineRule="auto"/>
        <w:jc w:val="both"/>
        <w:rPr>
          <w:rFonts w:ascii="Times New Roman" w:hAnsi="Times New Roman" w:cs="Times New Roman"/>
          <w:sz w:val="22"/>
          <w:szCs w:val="22"/>
        </w:rPr>
      </w:pPr>
      <w:r w:rsidRPr="00942DCA">
        <w:rPr>
          <w:rFonts w:ascii="Times New Roman" w:hAnsi="Times New Roman" w:cs="Times New Roman"/>
          <w:sz w:val="22"/>
          <w:szCs w:val="22"/>
        </w:rPr>
        <w:t xml:space="preserve">The budget </w:t>
      </w:r>
      <w:r w:rsidR="00A95765">
        <w:rPr>
          <w:rFonts w:ascii="Times New Roman" w:hAnsi="Times New Roman" w:cs="Times New Roman"/>
          <w:sz w:val="22"/>
          <w:szCs w:val="22"/>
        </w:rPr>
        <w:t>for Programme 1 increases by R1,</w:t>
      </w:r>
      <w:r w:rsidRPr="00942DCA">
        <w:rPr>
          <w:rFonts w:ascii="Times New Roman" w:hAnsi="Times New Roman" w:cs="Times New Roman"/>
          <w:sz w:val="22"/>
          <w:szCs w:val="22"/>
        </w:rPr>
        <w:t>7 million or 4</w:t>
      </w:r>
      <w:r w:rsidR="009E2F1A">
        <w:rPr>
          <w:rFonts w:ascii="Times New Roman" w:hAnsi="Times New Roman" w:cs="Times New Roman"/>
          <w:sz w:val="22"/>
          <w:szCs w:val="22"/>
        </w:rPr>
        <w:t>,</w:t>
      </w:r>
      <w:r w:rsidRPr="00942DCA">
        <w:rPr>
          <w:rFonts w:ascii="Times New Roman" w:hAnsi="Times New Roman" w:cs="Times New Roman"/>
          <w:sz w:val="22"/>
          <w:szCs w:val="22"/>
        </w:rPr>
        <w:t xml:space="preserve">3% in nominal terms. However, the CBE reports that </w:t>
      </w:r>
      <w:r w:rsidR="00204AE5">
        <w:rPr>
          <w:rFonts w:ascii="Times New Roman" w:hAnsi="Times New Roman" w:cs="Times New Roman"/>
          <w:sz w:val="22"/>
          <w:szCs w:val="22"/>
        </w:rPr>
        <w:t xml:space="preserve">the </w:t>
      </w:r>
      <w:r w:rsidRPr="00942DCA">
        <w:rPr>
          <w:rFonts w:ascii="Times New Roman" w:hAnsi="Times New Roman" w:cs="Times New Roman"/>
          <w:color w:val="0D0D0D"/>
          <w:sz w:val="22"/>
          <w:szCs w:val="22"/>
        </w:rPr>
        <w:t xml:space="preserve">budget </w:t>
      </w:r>
      <w:r w:rsidR="00204AE5">
        <w:rPr>
          <w:rFonts w:ascii="Times New Roman" w:hAnsi="Times New Roman" w:cs="Times New Roman"/>
          <w:color w:val="0D0D0D"/>
          <w:sz w:val="22"/>
          <w:szCs w:val="22"/>
        </w:rPr>
        <w:t xml:space="preserve">allocation </w:t>
      </w:r>
      <w:r w:rsidRPr="00942DCA">
        <w:rPr>
          <w:rFonts w:ascii="Times New Roman" w:hAnsi="Times New Roman" w:cs="Times New Roman"/>
          <w:color w:val="0D0D0D"/>
          <w:sz w:val="22"/>
          <w:szCs w:val="22"/>
        </w:rPr>
        <w:t>for this programme will increase by 1% during the 2018/19 financial year.</w:t>
      </w:r>
      <w:r w:rsidRPr="00942DCA">
        <w:rPr>
          <w:rStyle w:val="FootnoteReference"/>
          <w:rFonts w:ascii="Times New Roman" w:hAnsi="Times New Roman" w:cs="Times New Roman"/>
          <w:color w:val="0D0D0D"/>
          <w:sz w:val="22"/>
          <w:szCs w:val="22"/>
        </w:rPr>
        <w:footnoteReference w:id="88"/>
      </w:r>
      <w:r w:rsidRPr="00942DCA">
        <w:rPr>
          <w:rFonts w:ascii="Times New Roman" w:hAnsi="Times New Roman" w:cs="Times New Roman"/>
          <w:color w:val="0D0D0D"/>
          <w:sz w:val="22"/>
          <w:szCs w:val="22"/>
        </w:rPr>
        <w:t xml:space="preserve"> </w:t>
      </w:r>
    </w:p>
    <w:p w14:paraId="688A1CD7" w14:textId="77777777" w:rsidR="00204AE5" w:rsidRDefault="00204AE5" w:rsidP="00204AE5">
      <w:pPr>
        <w:spacing w:after="20" w:line="360" w:lineRule="auto"/>
        <w:jc w:val="both"/>
        <w:rPr>
          <w:rFonts w:ascii="Times New Roman" w:hAnsi="Times New Roman" w:cs="Times New Roman"/>
          <w:color w:val="0D0D0D"/>
        </w:rPr>
      </w:pPr>
    </w:p>
    <w:p w14:paraId="1581533A" w14:textId="77777777" w:rsidR="00B258A1" w:rsidRDefault="00B258A1" w:rsidP="00204AE5">
      <w:pPr>
        <w:spacing w:after="20" w:line="360" w:lineRule="auto"/>
        <w:jc w:val="both"/>
        <w:rPr>
          <w:rFonts w:ascii="Times New Roman" w:hAnsi="Times New Roman" w:cs="Times New Roman"/>
        </w:rPr>
      </w:pPr>
      <w:r w:rsidRPr="00DE1795">
        <w:rPr>
          <w:rFonts w:ascii="Times New Roman" w:hAnsi="Times New Roman" w:cs="Times New Roman"/>
          <w:color w:val="0D0D0D"/>
        </w:rPr>
        <w:t xml:space="preserve">Programme 2 reports on the following </w:t>
      </w:r>
      <w:r>
        <w:rPr>
          <w:rFonts w:ascii="Times New Roman" w:hAnsi="Times New Roman" w:cs="Times New Roman"/>
          <w:color w:val="0D0D0D"/>
        </w:rPr>
        <w:t>three</w:t>
      </w:r>
      <w:r w:rsidRPr="00DE1795">
        <w:rPr>
          <w:rFonts w:ascii="Times New Roman" w:hAnsi="Times New Roman" w:cs="Times New Roman"/>
          <w:color w:val="0D0D0D"/>
        </w:rPr>
        <w:t xml:space="preserve"> programme </w:t>
      </w:r>
      <w:r w:rsidR="00A95765" w:rsidRPr="00DE1795">
        <w:rPr>
          <w:rFonts w:ascii="Times New Roman" w:hAnsi="Times New Roman" w:cs="Times New Roman"/>
          <w:color w:val="0D0D0D"/>
        </w:rPr>
        <w:t>indicators that</w:t>
      </w:r>
      <w:r w:rsidRPr="00DE1795">
        <w:rPr>
          <w:rFonts w:ascii="Times New Roman" w:hAnsi="Times New Roman" w:cs="Times New Roman"/>
          <w:color w:val="0D0D0D"/>
        </w:rPr>
        <w:t xml:space="preserve"> are to be completed by 31 March 201</w:t>
      </w:r>
      <w:r w:rsidRPr="000078FE">
        <w:rPr>
          <w:rFonts w:ascii="Times New Roman" w:hAnsi="Times New Roman" w:cs="Times New Roman"/>
          <w:color w:val="0D0D0D"/>
        </w:rPr>
        <w:t>9:</w:t>
      </w:r>
      <w:r w:rsidRPr="000078FE">
        <w:rPr>
          <w:rStyle w:val="FootnoteReference"/>
          <w:rFonts w:ascii="Times New Roman" w:hAnsi="Times New Roman" w:cs="Times New Roman"/>
          <w:spacing w:val="6"/>
        </w:rPr>
        <w:t xml:space="preserve"> </w:t>
      </w:r>
      <w:r w:rsidRPr="00B4654C">
        <w:rPr>
          <w:rStyle w:val="FootnoteReference"/>
          <w:rFonts w:cs="Arial"/>
          <w:b/>
          <w:sz w:val="20"/>
          <w:szCs w:val="20"/>
        </w:rPr>
        <w:footnoteReference w:id="89"/>
      </w:r>
    </w:p>
    <w:p w14:paraId="1D6299DC" w14:textId="77777777" w:rsidR="00B258A1" w:rsidRPr="009242D0" w:rsidRDefault="00B258A1" w:rsidP="00B41D07">
      <w:pPr>
        <w:pStyle w:val="Default"/>
        <w:numPr>
          <w:ilvl w:val="0"/>
          <w:numId w:val="54"/>
        </w:numPr>
        <w:spacing w:after="20" w:line="360" w:lineRule="auto"/>
        <w:jc w:val="both"/>
        <w:rPr>
          <w:rFonts w:ascii="Times New Roman" w:hAnsi="Times New Roman" w:cs="Times New Roman"/>
          <w:sz w:val="22"/>
          <w:szCs w:val="22"/>
        </w:rPr>
      </w:pPr>
      <w:r w:rsidRPr="00942DCA">
        <w:rPr>
          <w:rFonts w:ascii="Times New Roman" w:hAnsi="Times New Roman" w:cs="Times New Roman"/>
          <w:spacing w:val="6"/>
          <w:sz w:val="22"/>
          <w:szCs w:val="22"/>
        </w:rPr>
        <w:t>Fully implement a CBE Information Technology (IT) Governance Framework, in line with the Department of Public Service and Administration (DPSA) Corporate Governance of ICT Policy Framework.</w:t>
      </w:r>
    </w:p>
    <w:p w14:paraId="6AB552D4" w14:textId="77777777" w:rsidR="00B258A1" w:rsidRPr="00942DCA" w:rsidRDefault="00B258A1" w:rsidP="00B41D07">
      <w:pPr>
        <w:pStyle w:val="Default"/>
        <w:numPr>
          <w:ilvl w:val="0"/>
          <w:numId w:val="54"/>
        </w:numPr>
        <w:spacing w:after="20" w:line="360" w:lineRule="auto"/>
        <w:jc w:val="both"/>
        <w:rPr>
          <w:rFonts w:ascii="Times New Roman" w:hAnsi="Times New Roman" w:cs="Times New Roman"/>
          <w:sz w:val="22"/>
          <w:szCs w:val="22"/>
        </w:rPr>
      </w:pPr>
      <w:r w:rsidRPr="00942DCA">
        <w:rPr>
          <w:rFonts w:ascii="Times New Roman" w:hAnsi="Times New Roman" w:cs="Times New Roman"/>
          <w:sz w:val="22"/>
          <w:szCs w:val="22"/>
        </w:rPr>
        <w:t>Implement an Electronic – Built En</w:t>
      </w:r>
      <w:r w:rsidR="00A95765">
        <w:rPr>
          <w:rFonts w:ascii="Times New Roman" w:hAnsi="Times New Roman" w:cs="Times New Roman"/>
          <w:sz w:val="22"/>
          <w:szCs w:val="22"/>
        </w:rPr>
        <w:t>vironment (E-BE) System in any three</w:t>
      </w:r>
      <w:r w:rsidRPr="00942DCA">
        <w:rPr>
          <w:rFonts w:ascii="Times New Roman" w:hAnsi="Times New Roman" w:cs="Times New Roman"/>
          <w:sz w:val="22"/>
          <w:szCs w:val="22"/>
        </w:rPr>
        <w:t xml:space="preserve"> CBEP</w:t>
      </w:r>
      <w:r w:rsidRPr="00942DCA">
        <w:rPr>
          <w:rStyle w:val="FootnoteReference"/>
          <w:rFonts w:ascii="Times New Roman" w:hAnsi="Times New Roman" w:cs="Times New Roman"/>
          <w:sz w:val="22"/>
          <w:szCs w:val="22"/>
        </w:rPr>
        <w:footnoteReference w:id="90"/>
      </w:r>
      <w:r w:rsidRPr="00942DCA">
        <w:rPr>
          <w:rFonts w:ascii="Times New Roman" w:hAnsi="Times New Roman" w:cs="Times New Roman"/>
          <w:sz w:val="22"/>
          <w:szCs w:val="22"/>
        </w:rPr>
        <w:t xml:space="preserve"> by 31 March 2019.</w:t>
      </w:r>
    </w:p>
    <w:p w14:paraId="49377AEA" w14:textId="77777777" w:rsidR="00B258A1" w:rsidRPr="009242D0" w:rsidRDefault="00B258A1" w:rsidP="00B41D07">
      <w:pPr>
        <w:pStyle w:val="Default"/>
        <w:numPr>
          <w:ilvl w:val="0"/>
          <w:numId w:val="54"/>
        </w:numPr>
        <w:spacing w:after="20" w:line="360" w:lineRule="auto"/>
        <w:jc w:val="both"/>
        <w:rPr>
          <w:rFonts w:ascii="Times New Roman" w:hAnsi="Times New Roman" w:cs="Times New Roman"/>
          <w:sz w:val="22"/>
          <w:szCs w:val="22"/>
        </w:rPr>
      </w:pPr>
      <w:r w:rsidRPr="00942DCA">
        <w:rPr>
          <w:rFonts w:ascii="Times New Roman" w:hAnsi="Times New Roman" w:cs="Times New Roman"/>
          <w:sz w:val="22"/>
          <w:szCs w:val="22"/>
        </w:rPr>
        <w:t>Unqualified Audit Report on financial statements, with no material findings for the 2017/18 financial year.</w:t>
      </w:r>
    </w:p>
    <w:p w14:paraId="70732C0F" w14:textId="77777777" w:rsidR="00B258A1" w:rsidRDefault="00B258A1" w:rsidP="00204AE5">
      <w:pPr>
        <w:pStyle w:val="Default"/>
        <w:spacing w:after="20" w:line="360" w:lineRule="auto"/>
        <w:jc w:val="both"/>
        <w:rPr>
          <w:rFonts w:ascii="Times New Roman" w:hAnsi="Times New Roman" w:cs="Times New Roman"/>
          <w:sz w:val="22"/>
          <w:szCs w:val="22"/>
        </w:rPr>
      </w:pPr>
    </w:p>
    <w:p w14:paraId="0D6E3F7A" w14:textId="77777777" w:rsidR="00B258A1" w:rsidRPr="001170E4" w:rsidRDefault="00B258A1" w:rsidP="00204AE5">
      <w:pPr>
        <w:pStyle w:val="Default"/>
        <w:spacing w:after="20" w:line="360" w:lineRule="auto"/>
        <w:jc w:val="both"/>
        <w:rPr>
          <w:rFonts w:ascii="Times New Roman" w:hAnsi="Times New Roman" w:cs="Times New Roman"/>
          <w:sz w:val="22"/>
          <w:szCs w:val="22"/>
        </w:rPr>
      </w:pPr>
    </w:p>
    <w:p w14:paraId="5985E0E5" w14:textId="77777777" w:rsidR="001F3E27" w:rsidRDefault="001F3E27">
      <w:pPr>
        <w:rPr>
          <w:rFonts w:ascii="Times New Roman" w:hAnsi="Times New Roman" w:cs="Times New Roman"/>
          <w:b/>
        </w:rPr>
      </w:pPr>
      <w:r>
        <w:rPr>
          <w:rFonts w:ascii="Times New Roman" w:hAnsi="Times New Roman" w:cs="Times New Roman"/>
          <w:b/>
        </w:rPr>
        <w:br w:type="page"/>
      </w:r>
    </w:p>
    <w:p w14:paraId="0011862A" w14:textId="77777777" w:rsidR="00B258A1" w:rsidRPr="001170E4" w:rsidRDefault="00B258A1" w:rsidP="00B258A1">
      <w:pPr>
        <w:spacing w:line="360" w:lineRule="auto"/>
        <w:jc w:val="both"/>
        <w:rPr>
          <w:rFonts w:ascii="Times New Roman" w:hAnsi="Times New Roman" w:cs="Times New Roman"/>
          <w:b/>
        </w:rPr>
      </w:pPr>
      <w:r w:rsidRPr="001170E4">
        <w:rPr>
          <w:rFonts w:ascii="Times New Roman" w:hAnsi="Times New Roman" w:cs="Times New Roman"/>
          <w:b/>
        </w:rPr>
        <w:lastRenderedPageBreak/>
        <w:t xml:space="preserve">Programme 2: Skills for Infrastructure Delivery </w:t>
      </w:r>
    </w:p>
    <w:p w14:paraId="3B54ABFC" w14:textId="77777777" w:rsidR="00B258A1" w:rsidRPr="00942DCA" w:rsidRDefault="00B258A1" w:rsidP="00B258A1">
      <w:pPr>
        <w:pStyle w:val="Default"/>
        <w:spacing w:after="20" w:line="280" w:lineRule="exact"/>
        <w:jc w:val="both"/>
        <w:rPr>
          <w:rFonts w:ascii="Times New Roman" w:hAnsi="Times New Roman" w:cs="Times New Roman"/>
          <w:b/>
          <w:sz w:val="22"/>
          <w:szCs w:val="22"/>
        </w:rPr>
      </w:pPr>
      <w:r w:rsidRPr="001170E4">
        <w:rPr>
          <w:rFonts w:ascii="Times New Roman" w:hAnsi="Times New Roman" w:cs="Times New Roman"/>
          <w:b/>
          <w:sz w:val="22"/>
          <w:szCs w:val="22"/>
        </w:rPr>
        <w:t>Strategic Objective</w:t>
      </w:r>
      <w:r w:rsidRPr="001170E4">
        <w:rPr>
          <w:rFonts w:ascii="Times New Roman" w:hAnsi="Times New Roman" w:cs="Times New Roman"/>
          <w:sz w:val="22"/>
          <w:szCs w:val="22"/>
        </w:rPr>
        <w:t xml:space="preserve">:  </w:t>
      </w:r>
      <w:r w:rsidRPr="00942DCA">
        <w:rPr>
          <w:rFonts w:ascii="Times New Roman" w:hAnsi="Times New Roman" w:cs="Times New Roman"/>
          <w:sz w:val="22"/>
          <w:szCs w:val="22"/>
        </w:rPr>
        <w:t>Drive and facilitate skills development and transformation in the BE.</w:t>
      </w:r>
      <w:r w:rsidRPr="00942DCA">
        <w:rPr>
          <w:rStyle w:val="FootnoteReference"/>
          <w:rFonts w:ascii="Times New Roman" w:hAnsi="Times New Roman" w:cs="Times New Roman"/>
          <w:sz w:val="22"/>
          <w:szCs w:val="22"/>
        </w:rPr>
        <w:footnoteReference w:id="91"/>
      </w:r>
      <w:r w:rsidRPr="00942DCA">
        <w:rPr>
          <w:rFonts w:ascii="Times New Roman" w:hAnsi="Times New Roman" w:cs="Times New Roman"/>
          <w:sz w:val="22"/>
          <w:szCs w:val="22"/>
        </w:rPr>
        <w:t xml:space="preserve"> </w:t>
      </w:r>
    </w:p>
    <w:p w14:paraId="3A56BB44" w14:textId="77777777" w:rsidR="00B258A1" w:rsidRPr="001170E4" w:rsidRDefault="00B258A1" w:rsidP="00B258A1">
      <w:pPr>
        <w:pStyle w:val="Default"/>
        <w:spacing w:after="20" w:line="360" w:lineRule="auto"/>
        <w:jc w:val="both"/>
        <w:rPr>
          <w:rFonts w:ascii="Times New Roman" w:hAnsi="Times New Roman" w:cs="Times New Roman"/>
          <w:sz w:val="22"/>
          <w:szCs w:val="22"/>
        </w:rPr>
      </w:pPr>
    </w:p>
    <w:p w14:paraId="2C5AE337" w14:textId="77777777" w:rsidR="00B258A1" w:rsidRPr="003479E6" w:rsidRDefault="00B258A1" w:rsidP="00B258A1">
      <w:pPr>
        <w:pStyle w:val="Default"/>
        <w:pBdr>
          <w:top w:val="single" w:sz="4" w:space="1" w:color="auto"/>
          <w:left w:val="single" w:sz="4" w:space="4" w:color="auto"/>
          <w:bottom w:val="single" w:sz="4" w:space="1" w:color="auto"/>
          <w:right w:val="single" w:sz="4" w:space="4" w:color="auto"/>
        </w:pBdr>
        <w:spacing w:after="20" w:line="360" w:lineRule="auto"/>
        <w:jc w:val="both"/>
        <w:rPr>
          <w:rFonts w:ascii="Times New Roman" w:hAnsi="Times New Roman" w:cs="Times New Roman"/>
          <w:color w:val="0D0D0D"/>
          <w:sz w:val="22"/>
          <w:szCs w:val="22"/>
        </w:rPr>
      </w:pPr>
      <w:r w:rsidRPr="003479E6">
        <w:rPr>
          <w:rFonts w:ascii="Times New Roman" w:hAnsi="Times New Roman" w:cs="Times New Roman"/>
          <w:sz w:val="22"/>
          <w:szCs w:val="22"/>
        </w:rPr>
        <w:t>Programme</w:t>
      </w:r>
      <w:r w:rsidR="00617FE1">
        <w:rPr>
          <w:rFonts w:ascii="Times New Roman" w:hAnsi="Times New Roman" w:cs="Times New Roman"/>
          <w:sz w:val="22"/>
          <w:szCs w:val="22"/>
        </w:rPr>
        <w:t xml:space="preserve"> 2 receives an allocation of R9,</w:t>
      </w:r>
      <w:r w:rsidRPr="003479E6">
        <w:rPr>
          <w:rFonts w:ascii="Times New Roman" w:hAnsi="Times New Roman" w:cs="Times New Roman"/>
          <w:sz w:val="22"/>
          <w:szCs w:val="22"/>
        </w:rPr>
        <w:t>2 million for 201</w:t>
      </w:r>
      <w:r>
        <w:rPr>
          <w:rFonts w:ascii="Times New Roman" w:hAnsi="Times New Roman" w:cs="Times New Roman"/>
          <w:sz w:val="22"/>
          <w:szCs w:val="22"/>
        </w:rPr>
        <w:t>8</w:t>
      </w:r>
      <w:r w:rsidRPr="003479E6">
        <w:rPr>
          <w:rFonts w:ascii="Times New Roman" w:hAnsi="Times New Roman" w:cs="Times New Roman"/>
          <w:sz w:val="22"/>
          <w:szCs w:val="22"/>
        </w:rPr>
        <w:t>/1</w:t>
      </w:r>
      <w:r>
        <w:rPr>
          <w:rFonts w:ascii="Times New Roman" w:hAnsi="Times New Roman" w:cs="Times New Roman"/>
          <w:sz w:val="22"/>
          <w:szCs w:val="22"/>
        </w:rPr>
        <w:t>9</w:t>
      </w:r>
      <w:r w:rsidRPr="003479E6">
        <w:rPr>
          <w:rFonts w:ascii="Times New Roman" w:hAnsi="Times New Roman" w:cs="Times New Roman"/>
          <w:sz w:val="22"/>
          <w:szCs w:val="22"/>
        </w:rPr>
        <w:t xml:space="preserve"> and constitutes 17</w:t>
      </w:r>
      <w:r w:rsidR="009E2F1A">
        <w:rPr>
          <w:rFonts w:ascii="Times New Roman" w:hAnsi="Times New Roman" w:cs="Times New Roman"/>
          <w:sz w:val="22"/>
          <w:szCs w:val="22"/>
        </w:rPr>
        <w:t>,</w:t>
      </w:r>
      <w:r w:rsidRPr="003479E6">
        <w:rPr>
          <w:rFonts w:ascii="Times New Roman" w:hAnsi="Times New Roman" w:cs="Times New Roman"/>
          <w:sz w:val="22"/>
          <w:szCs w:val="22"/>
        </w:rPr>
        <w:t>1% of the total programme allocation.</w:t>
      </w:r>
      <w:r w:rsidRPr="003479E6">
        <w:rPr>
          <w:rStyle w:val="FootnoteReference"/>
          <w:rFonts w:ascii="Times New Roman" w:hAnsi="Times New Roman" w:cs="Times New Roman"/>
          <w:sz w:val="22"/>
          <w:szCs w:val="22"/>
        </w:rPr>
        <w:footnoteReference w:id="92"/>
      </w:r>
      <w:r w:rsidRPr="003479E6">
        <w:rPr>
          <w:rFonts w:ascii="Times New Roman" w:hAnsi="Times New Roman" w:cs="Times New Roman"/>
          <w:sz w:val="22"/>
          <w:szCs w:val="22"/>
        </w:rPr>
        <w:t xml:space="preserve"> This constitutes an incre</w:t>
      </w:r>
      <w:r w:rsidR="00617FE1">
        <w:rPr>
          <w:rFonts w:ascii="Times New Roman" w:hAnsi="Times New Roman" w:cs="Times New Roman"/>
          <w:sz w:val="22"/>
          <w:szCs w:val="22"/>
        </w:rPr>
        <w:t>ase of R1,9 million from the R7,</w:t>
      </w:r>
      <w:r w:rsidRPr="003479E6">
        <w:rPr>
          <w:rFonts w:ascii="Times New Roman" w:hAnsi="Times New Roman" w:cs="Times New Roman"/>
          <w:sz w:val="22"/>
          <w:szCs w:val="22"/>
        </w:rPr>
        <w:t xml:space="preserve">3 million allocation in 2017/18. </w:t>
      </w:r>
    </w:p>
    <w:p w14:paraId="35CB81B5" w14:textId="77777777" w:rsidR="00B258A1" w:rsidRPr="001170E4" w:rsidRDefault="00B258A1" w:rsidP="00B258A1">
      <w:pPr>
        <w:pStyle w:val="Default"/>
        <w:spacing w:after="20" w:line="360" w:lineRule="auto"/>
        <w:jc w:val="both"/>
        <w:rPr>
          <w:rFonts w:ascii="Times New Roman" w:hAnsi="Times New Roman" w:cs="Times New Roman"/>
          <w:color w:val="0D0D0D"/>
          <w:sz w:val="22"/>
          <w:szCs w:val="22"/>
        </w:rPr>
      </w:pPr>
    </w:p>
    <w:p w14:paraId="5B3BD697" w14:textId="77777777" w:rsidR="00B258A1" w:rsidRPr="00942DCA" w:rsidRDefault="00B258A1" w:rsidP="00B258A1">
      <w:pPr>
        <w:pStyle w:val="Default"/>
        <w:spacing w:after="20" w:line="280" w:lineRule="exact"/>
        <w:jc w:val="both"/>
        <w:rPr>
          <w:rFonts w:ascii="Times New Roman" w:hAnsi="Times New Roman" w:cs="Times New Roman"/>
          <w:color w:val="0D0D0D"/>
          <w:sz w:val="22"/>
          <w:szCs w:val="22"/>
        </w:rPr>
      </w:pPr>
      <w:r w:rsidRPr="00942DCA">
        <w:rPr>
          <w:rFonts w:ascii="Times New Roman" w:hAnsi="Times New Roman" w:cs="Times New Roman"/>
          <w:color w:val="0D0D0D"/>
          <w:sz w:val="22"/>
          <w:szCs w:val="22"/>
        </w:rPr>
        <w:t xml:space="preserve">The major cost drivers </w:t>
      </w:r>
      <w:r w:rsidR="00EA52E1">
        <w:rPr>
          <w:rFonts w:ascii="Times New Roman" w:hAnsi="Times New Roman" w:cs="Times New Roman"/>
          <w:color w:val="0D0D0D"/>
          <w:sz w:val="22"/>
          <w:szCs w:val="22"/>
        </w:rPr>
        <w:t>of this Programme are</w:t>
      </w:r>
      <w:r w:rsidRPr="00942DCA">
        <w:rPr>
          <w:rFonts w:ascii="Times New Roman" w:hAnsi="Times New Roman" w:cs="Times New Roman"/>
          <w:color w:val="0D0D0D"/>
          <w:sz w:val="22"/>
          <w:szCs w:val="22"/>
        </w:rPr>
        <w:t>:</w:t>
      </w:r>
      <w:r w:rsidRPr="00942DCA">
        <w:rPr>
          <w:rStyle w:val="FootnoteReference"/>
          <w:rFonts w:ascii="Times New Roman" w:hAnsi="Times New Roman" w:cs="Times New Roman"/>
          <w:color w:val="0D0D0D"/>
          <w:sz w:val="22"/>
          <w:szCs w:val="22"/>
        </w:rPr>
        <w:footnoteReference w:id="93"/>
      </w:r>
    </w:p>
    <w:p w14:paraId="21A456E5" w14:textId="77777777" w:rsidR="00B258A1" w:rsidRPr="00942DCA" w:rsidRDefault="00B258A1" w:rsidP="00B258A1">
      <w:pPr>
        <w:pStyle w:val="Default"/>
        <w:spacing w:after="20" w:line="280" w:lineRule="exact"/>
        <w:jc w:val="both"/>
        <w:rPr>
          <w:rFonts w:ascii="Times New Roman" w:hAnsi="Times New Roman" w:cs="Times New Roman"/>
          <w:color w:val="0D0D0D"/>
          <w:sz w:val="22"/>
          <w:szCs w:val="22"/>
        </w:rPr>
      </w:pPr>
    </w:p>
    <w:p w14:paraId="38A64238" w14:textId="77777777" w:rsidR="00B258A1" w:rsidRPr="00942DCA" w:rsidRDefault="00B258A1" w:rsidP="00B41D07">
      <w:pPr>
        <w:pStyle w:val="Default"/>
        <w:numPr>
          <w:ilvl w:val="0"/>
          <w:numId w:val="45"/>
        </w:numPr>
        <w:spacing w:after="20" w:line="280" w:lineRule="exact"/>
        <w:jc w:val="both"/>
        <w:rPr>
          <w:rFonts w:ascii="Times New Roman" w:hAnsi="Times New Roman" w:cs="Times New Roman"/>
          <w:color w:val="0D0D0D"/>
          <w:sz w:val="22"/>
          <w:szCs w:val="22"/>
        </w:rPr>
      </w:pPr>
      <w:r w:rsidRPr="00942DCA">
        <w:rPr>
          <w:rFonts w:ascii="Times New Roman" w:hAnsi="Times New Roman" w:cs="Times New Roman"/>
          <w:color w:val="0D0D0D"/>
          <w:sz w:val="22"/>
          <w:szCs w:val="22"/>
        </w:rPr>
        <w:t xml:space="preserve">Maths and Science support programme for </w:t>
      </w:r>
      <w:r w:rsidR="00617FE1">
        <w:rPr>
          <w:rFonts w:ascii="Times New Roman" w:hAnsi="Times New Roman" w:cs="Times New Roman"/>
          <w:color w:val="0D0D0D"/>
          <w:sz w:val="22"/>
          <w:szCs w:val="22"/>
        </w:rPr>
        <w:t>G</w:t>
      </w:r>
      <w:r w:rsidRPr="00942DCA">
        <w:rPr>
          <w:rFonts w:ascii="Times New Roman" w:hAnsi="Times New Roman" w:cs="Times New Roman"/>
          <w:color w:val="0D0D0D"/>
          <w:sz w:val="22"/>
          <w:szCs w:val="22"/>
        </w:rPr>
        <w:t>rade 12 learners.</w:t>
      </w:r>
    </w:p>
    <w:p w14:paraId="5D472C91" w14:textId="77777777" w:rsidR="00B258A1" w:rsidRPr="00942DCA" w:rsidRDefault="00B258A1" w:rsidP="00B41D07">
      <w:pPr>
        <w:pStyle w:val="Default"/>
        <w:numPr>
          <w:ilvl w:val="0"/>
          <w:numId w:val="45"/>
        </w:numPr>
        <w:spacing w:after="20" w:line="280" w:lineRule="exact"/>
        <w:jc w:val="both"/>
        <w:rPr>
          <w:rFonts w:ascii="Times New Roman" w:hAnsi="Times New Roman" w:cs="Times New Roman"/>
          <w:color w:val="0D0D0D"/>
          <w:sz w:val="22"/>
          <w:szCs w:val="22"/>
        </w:rPr>
      </w:pPr>
      <w:r w:rsidRPr="00942DCA">
        <w:rPr>
          <w:rFonts w:ascii="Times New Roman" w:hAnsi="Times New Roman" w:cs="Times New Roman"/>
          <w:color w:val="0D0D0D"/>
          <w:sz w:val="22"/>
          <w:szCs w:val="22"/>
        </w:rPr>
        <w:t>Increasing career awareness of Built Environment professions at school level.</w:t>
      </w:r>
    </w:p>
    <w:p w14:paraId="0E85A8CB" w14:textId="77777777" w:rsidR="00B258A1" w:rsidRPr="00942DCA" w:rsidRDefault="00B258A1" w:rsidP="00B41D07">
      <w:pPr>
        <w:pStyle w:val="Default"/>
        <w:numPr>
          <w:ilvl w:val="0"/>
          <w:numId w:val="45"/>
        </w:numPr>
        <w:spacing w:after="20" w:line="280" w:lineRule="exact"/>
        <w:jc w:val="both"/>
        <w:rPr>
          <w:rFonts w:ascii="Times New Roman" w:hAnsi="Times New Roman" w:cs="Times New Roman"/>
          <w:color w:val="0D0D0D"/>
          <w:sz w:val="22"/>
          <w:szCs w:val="22"/>
        </w:rPr>
      </w:pPr>
      <w:r w:rsidRPr="00942DCA">
        <w:rPr>
          <w:rFonts w:ascii="Times New Roman" w:hAnsi="Times New Roman" w:cs="Times New Roman"/>
          <w:color w:val="0D0D0D"/>
          <w:sz w:val="22"/>
          <w:szCs w:val="22"/>
        </w:rPr>
        <w:t>Refinement of the pilot project on the Integrated Workplace Training Model for candidates and interns.</w:t>
      </w:r>
    </w:p>
    <w:p w14:paraId="38A93FB9" w14:textId="77777777" w:rsidR="00B258A1" w:rsidRPr="00942DCA" w:rsidRDefault="00B258A1" w:rsidP="00B258A1">
      <w:pPr>
        <w:pStyle w:val="Default"/>
        <w:spacing w:after="20" w:line="280" w:lineRule="exact"/>
        <w:jc w:val="both"/>
        <w:rPr>
          <w:rFonts w:ascii="Times New Roman" w:hAnsi="Times New Roman" w:cs="Times New Roman"/>
          <w:color w:val="0D0D0D"/>
          <w:sz w:val="22"/>
          <w:szCs w:val="22"/>
        </w:rPr>
      </w:pPr>
    </w:p>
    <w:p w14:paraId="4FFE7D17" w14:textId="77777777" w:rsidR="00B258A1" w:rsidRPr="00942DCA" w:rsidRDefault="00B258A1" w:rsidP="00B258A1">
      <w:pPr>
        <w:pStyle w:val="Default"/>
        <w:spacing w:after="20" w:line="280" w:lineRule="exact"/>
        <w:jc w:val="both"/>
        <w:rPr>
          <w:rFonts w:ascii="Times New Roman" w:hAnsi="Times New Roman" w:cs="Times New Roman"/>
          <w:color w:val="0D0D0D"/>
          <w:sz w:val="22"/>
          <w:szCs w:val="22"/>
        </w:rPr>
      </w:pPr>
      <w:r w:rsidRPr="00942DCA">
        <w:rPr>
          <w:rFonts w:ascii="Times New Roman" w:hAnsi="Times New Roman" w:cs="Times New Roman"/>
          <w:color w:val="0D0D0D"/>
          <w:sz w:val="22"/>
          <w:szCs w:val="22"/>
        </w:rPr>
        <w:t>The budget for Programme 2 increases b</w:t>
      </w:r>
      <w:r w:rsidR="0001107D">
        <w:rPr>
          <w:rFonts w:ascii="Times New Roman" w:hAnsi="Times New Roman" w:cs="Times New Roman"/>
          <w:color w:val="0D0D0D"/>
          <w:sz w:val="22"/>
          <w:szCs w:val="22"/>
        </w:rPr>
        <w:t>y R1,</w:t>
      </w:r>
      <w:r w:rsidRPr="00942DCA">
        <w:rPr>
          <w:rFonts w:ascii="Times New Roman" w:hAnsi="Times New Roman" w:cs="Times New Roman"/>
          <w:color w:val="0D0D0D"/>
          <w:sz w:val="22"/>
          <w:szCs w:val="22"/>
        </w:rPr>
        <w:t>5 million (or 25</w:t>
      </w:r>
      <w:r w:rsidR="009E2F1A">
        <w:rPr>
          <w:rFonts w:ascii="Times New Roman" w:hAnsi="Times New Roman" w:cs="Times New Roman"/>
          <w:color w:val="0D0D0D"/>
          <w:sz w:val="22"/>
          <w:szCs w:val="22"/>
        </w:rPr>
        <w:t>,</w:t>
      </w:r>
      <w:r w:rsidRPr="00942DCA">
        <w:rPr>
          <w:rFonts w:ascii="Times New Roman" w:hAnsi="Times New Roman" w:cs="Times New Roman"/>
          <w:color w:val="0D0D0D"/>
          <w:sz w:val="22"/>
          <w:szCs w:val="22"/>
        </w:rPr>
        <w:t>7%</w:t>
      </w:r>
      <w:r w:rsidR="00204AE5">
        <w:rPr>
          <w:rFonts w:ascii="Times New Roman" w:hAnsi="Times New Roman" w:cs="Times New Roman"/>
          <w:color w:val="0D0D0D"/>
          <w:sz w:val="22"/>
          <w:szCs w:val="22"/>
        </w:rPr>
        <w:t xml:space="preserve"> in nominal terms) for 2018/19.</w:t>
      </w:r>
    </w:p>
    <w:p w14:paraId="7111AFDF" w14:textId="77777777" w:rsidR="00B258A1" w:rsidRPr="000078FE" w:rsidRDefault="00B258A1" w:rsidP="00B258A1">
      <w:pPr>
        <w:pStyle w:val="Default"/>
        <w:spacing w:after="20" w:line="360" w:lineRule="auto"/>
        <w:jc w:val="both"/>
        <w:rPr>
          <w:rFonts w:ascii="Times New Roman" w:hAnsi="Times New Roman" w:cs="Times New Roman"/>
          <w:b/>
          <w:sz w:val="22"/>
          <w:szCs w:val="22"/>
        </w:rPr>
      </w:pPr>
    </w:p>
    <w:p w14:paraId="4E94FA04" w14:textId="77777777" w:rsidR="00B258A1" w:rsidRPr="00942DCA" w:rsidRDefault="00B258A1" w:rsidP="00B258A1">
      <w:pPr>
        <w:pStyle w:val="Default"/>
        <w:shd w:val="clear" w:color="auto" w:fill="FFFFFF"/>
        <w:spacing w:after="20" w:line="280" w:lineRule="exact"/>
        <w:jc w:val="both"/>
        <w:rPr>
          <w:rFonts w:ascii="Times New Roman" w:hAnsi="Times New Roman" w:cs="Times New Roman"/>
          <w:color w:val="0D0D0D"/>
          <w:sz w:val="22"/>
          <w:szCs w:val="22"/>
        </w:rPr>
      </w:pPr>
      <w:r w:rsidRPr="00942DCA">
        <w:rPr>
          <w:rFonts w:ascii="Times New Roman" w:hAnsi="Times New Roman" w:cs="Times New Roman"/>
          <w:color w:val="0D0D0D"/>
          <w:sz w:val="22"/>
          <w:szCs w:val="22"/>
        </w:rPr>
        <w:t xml:space="preserve">Programme 2 reports on the following seven programme </w:t>
      </w:r>
      <w:r w:rsidR="003601E1" w:rsidRPr="00942DCA">
        <w:rPr>
          <w:rFonts w:ascii="Times New Roman" w:hAnsi="Times New Roman" w:cs="Times New Roman"/>
          <w:color w:val="0D0D0D"/>
          <w:sz w:val="22"/>
          <w:szCs w:val="22"/>
        </w:rPr>
        <w:t>indicators that</w:t>
      </w:r>
      <w:r w:rsidRPr="00942DCA">
        <w:rPr>
          <w:rFonts w:ascii="Times New Roman" w:hAnsi="Times New Roman" w:cs="Times New Roman"/>
          <w:color w:val="0D0D0D"/>
          <w:sz w:val="22"/>
          <w:szCs w:val="22"/>
        </w:rPr>
        <w:t xml:space="preserve"> are to be completed by 31 March 201</w:t>
      </w:r>
      <w:r w:rsidRPr="000078FE">
        <w:rPr>
          <w:rFonts w:ascii="Times New Roman" w:hAnsi="Times New Roman" w:cs="Times New Roman"/>
          <w:color w:val="0D0D0D"/>
          <w:sz w:val="22"/>
          <w:szCs w:val="22"/>
        </w:rPr>
        <w:t>9:</w:t>
      </w:r>
      <w:r w:rsidRPr="000078FE">
        <w:rPr>
          <w:rStyle w:val="FootnoteReference"/>
          <w:rFonts w:ascii="Times New Roman" w:hAnsi="Times New Roman" w:cs="Times New Roman"/>
          <w:spacing w:val="6"/>
          <w:sz w:val="22"/>
          <w:szCs w:val="22"/>
        </w:rPr>
        <w:t xml:space="preserve"> </w:t>
      </w:r>
      <w:r w:rsidRPr="00174C19">
        <w:rPr>
          <w:rStyle w:val="FootnoteReference"/>
          <w:rFonts w:ascii="Times New Roman" w:hAnsi="Times New Roman" w:cs="Times New Roman"/>
          <w:spacing w:val="6"/>
          <w:sz w:val="22"/>
          <w:szCs w:val="22"/>
        </w:rPr>
        <w:footnoteReference w:id="94"/>
      </w:r>
    </w:p>
    <w:p w14:paraId="44485CF8" w14:textId="77777777" w:rsidR="00B258A1" w:rsidRDefault="00B258A1" w:rsidP="00B258A1">
      <w:pPr>
        <w:pStyle w:val="Default"/>
        <w:spacing w:after="20" w:line="360" w:lineRule="auto"/>
        <w:jc w:val="both"/>
        <w:rPr>
          <w:rFonts w:ascii="Times New Roman" w:hAnsi="Times New Roman" w:cs="Times New Roman"/>
          <w:b/>
          <w:sz w:val="22"/>
          <w:szCs w:val="22"/>
        </w:rPr>
      </w:pPr>
    </w:p>
    <w:p w14:paraId="2723770E" w14:textId="77777777" w:rsidR="00B258A1" w:rsidRPr="00942DCA" w:rsidRDefault="00B258A1" w:rsidP="00B41D07">
      <w:pPr>
        <w:pStyle w:val="Default"/>
        <w:numPr>
          <w:ilvl w:val="0"/>
          <w:numId w:val="55"/>
        </w:numPr>
        <w:spacing w:after="20" w:line="360" w:lineRule="auto"/>
        <w:jc w:val="both"/>
        <w:rPr>
          <w:rFonts w:ascii="Times New Roman" w:hAnsi="Times New Roman" w:cs="Times New Roman"/>
          <w:spacing w:val="6"/>
          <w:sz w:val="22"/>
          <w:szCs w:val="22"/>
        </w:rPr>
      </w:pPr>
      <w:r w:rsidRPr="00942DCA">
        <w:rPr>
          <w:rFonts w:ascii="Times New Roman" w:hAnsi="Times New Roman" w:cs="Times New Roman"/>
          <w:spacing w:val="6"/>
          <w:sz w:val="22"/>
          <w:szCs w:val="22"/>
        </w:rPr>
        <w:t>A Strategic Infrastructure Projects (SIPs) implementation plan for two categories of high demand Built Environment Professions (BEPs) Architects and Town Planners, approved by the CEO.</w:t>
      </w:r>
    </w:p>
    <w:p w14:paraId="169B0937" w14:textId="77777777" w:rsidR="00B258A1" w:rsidRPr="00942DCA" w:rsidRDefault="00B258A1" w:rsidP="00B41D07">
      <w:pPr>
        <w:pStyle w:val="Default"/>
        <w:numPr>
          <w:ilvl w:val="0"/>
          <w:numId w:val="55"/>
        </w:numPr>
        <w:spacing w:after="20" w:line="360" w:lineRule="auto"/>
        <w:jc w:val="both"/>
        <w:rPr>
          <w:rFonts w:ascii="Times New Roman" w:hAnsi="Times New Roman" w:cs="Times New Roman"/>
          <w:sz w:val="22"/>
          <w:szCs w:val="22"/>
        </w:rPr>
      </w:pPr>
      <w:r w:rsidRPr="00942DCA">
        <w:rPr>
          <w:rFonts w:ascii="Times New Roman" w:hAnsi="Times New Roman" w:cs="Times New Roman"/>
          <w:sz w:val="22"/>
          <w:szCs w:val="22"/>
        </w:rPr>
        <w:t>150 Grade 12 learners enrolled in CBEs Maths and Science Support Programme.</w:t>
      </w:r>
    </w:p>
    <w:p w14:paraId="54BD2E23" w14:textId="77777777" w:rsidR="00B258A1" w:rsidRPr="000078FE" w:rsidRDefault="00B258A1" w:rsidP="00B41D07">
      <w:pPr>
        <w:pStyle w:val="Default"/>
        <w:numPr>
          <w:ilvl w:val="0"/>
          <w:numId w:val="55"/>
        </w:numPr>
        <w:spacing w:after="20" w:line="360" w:lineRule="auto"/>
        <w:jc w:val="both"/>
        <w:rPr>
          <w:rFonts w:ascii="Times New Roman" w:hAnsi="Times New Roman" w:cs="Times New Roman"/>
          <w:b/>
          <w:sz w:val="22"/>
          <w:szCs w:val="22"/>
        </w:rPr>
      </w:pPr>
      <w:r w:rsidRPr="00942DCA">
        <w:rPr>
          <w:rFonts w:ascii="Times New Roman" w:hAnsi="Times New Roman" w:cs="Times New Roman"/>
          <w:sz w:val="22"/>
          <w:szCs w:val="22"/>
        </w:rPr>
        <w:t>50 new Candidates/BE graduates in Work Place Training.</w:t>
      </w:r>
    </w:p>
    <w:p w14:paraId="789FE687" w14:textId="77777777" w:rsidR="00B258A1" w:rsidRPr="00942DCA" w:rsidRDefault="00B258A1" w:rsidP="00B41D07">
      <w:pPr>
        <w:pStyle w:val="Default"/>
        <w:numPr>
          <w:ilvl w:val="0"/>
          <w:numId w:val="55"/>
        </w:numPr>
        <w:spacing w:after="20" w:line="360" w:lineRule="auto"/>
        <w:jc w:val="both"/>
        <w:rPr>
          <w:rFonts w:ascii="Times New Roman" w:hAnsi="Times New Roman" w:cs="Times New Roman"/>
          <w:sz w:val="22"/>
          <w:szCs w:val="22"/>
        </w:rPr>
      </w:pPr>
      <w:r w:rsidRPr="00942DCA">
        <w:rPr>
          <w:rFonts w:ascii="Times New Roman" w:hAnsi="Times New Roman" w:cs="Times New Roman"/>
          <w:sz w:val="22"/>
          <w:szCs w:val="22"/>
        </w:rPr>
        <w:t>100 interns placed and accessed for work integrated learning.</w:t>
      </w:r>
    </w:p>
    <w:p w14:paraId="295BC5E0" w14:textId="77777777" w:rsidR="00B258A1" w:rsidRPr="00942DCA" w:rsidRDefault="00B258A1" w:rsidP="00B41D07">
      <w:pPr>
        <w:pStyle w:val="Default"/>
        <w:numPr>
          <w:ilvl w:val="0"/>
          <w:numId w:val="55"/>
        </w:numPr>
        <w:spacing w:after="20" w:line="360" w:lineRule="auto"/>
        <w:jc w:val="both"/>
        <w:rPr>
          <w:rFonts w:ascii="Times New Roman" w:hAnsi="Times New Roman" w:cs="Times New Roman"/>
          <w:sz w:val="22"/>
          <w:szCs w:val="22"/>
        </w:rPr>
      </w:pPr>
      <w:r w:rsidRPr="00942DCA">
        <w:rPr>
          <w:rFonts w:ascii="Times New Roman" w:hAnsi="Times New Roman" w:cs="Times New Roman"/>
          <w:sz w:val="22"/>
          <w:szCs w:val="22"/>
        </w:rPr>
        <w:t>One Oversight Report on the Accreditation Academic Programmes undertake by the CBEP.</w:t>
      </w:r>
    </w:p>
    <w:p w14:paraId="40C2ED87" w14:textId="77777777" w:rsidR="00B258A1" w:rsidRPr="00942DCA" w:rsidRDefault="00B258A1" w:rsidP="00B41D07">
      <w:pPr>
        <w:pStyle w:val="Default"/>
        <w:numPr>
          <w:ilvl w:val="0"/>
          <w:numId w:val="55"/>
        </w:numPr>
        <w:spacing w:after="20" w:line="360" w:lineRule="auto"/>
        <w:jc w:val="both"/>
        <w:rPr>
          <w:rFonts w:ascii="Times New Roman" w:hAnsi="Times New Roman" w:cs="Times New Roman"/>
          <w:sz w:val="22"/>
          <w:szCs w:val="22"/>
        </w:rPr>
      </w:pPr>
      <w:r w:rsidRPr="00942DCA">
        <w:rPr>
          <w:rFonts w:ascii="Times New Roman" w:hAnsi="Times New Roman" w:cs="Times New Roman"/>
          <w:sz w:val="22"/>
          <w:szCs w:val="22"/>
        </w:rPr>
        <w:t>Four Metropolitan municipalities engaged on the implementation of the CBE Structured Candidacy Framework.</w:t>
      </w:r>
    </w:p>
    <w:p w14:paraId="111F3501" w14:textId="77777777" w:rsidR="00B258A1" w:rsidRPr="00942DCA" w:rsidRDefault="00B258A1" w:rsidP="00B41D07">
      <w:pPr>
        <w:pStyle w:val="Default"/>
        <w:numPr>
          <w:ilvl w:val="0"/>
          <w:numId w:val="55"/>
        </w:numPr>
        <w:spacing w:after="20" w:line="360" w:lineRule="auto"/>
        <w:jc w:val="both"/>
        <w:rPr>
          <w:rFonts w:ascii="Times New Roman" w:hAnsi="Times New Roman" w:cs="Times New Roman"/>
          <w:sz w:val="22"/>
          <w:szCs w:val="22"/>
        </w:rPr>
      </w:pPr>
      <w:r w:rsidRPr="00942DCA">
        <w:rPr>
          <w:rFonts w:ascii="Times New Roman" w:hAnsi="Times New Roman" w:cs="Times New Roman"/>
          <w:sz w:val="22"/>
          <w:szCs w:val="22"/>
        </w:rPr>
        <w:t>One Annual Transformation Indaba hosted and reported on to the Department of Public Works.</w:t>
      </w:r>
    </w:p>
    <w:p w14:paraId="75411C7C" w14:textId="77777777" w:rsidR="00B258A1" w:rsidRPr="001170E4" w:rsidRDefault="00B258A1" w:rsidP="00B258A1">
      <w:pPr>
        <w:pStyle w:val="Default"/>
        <w:spacing w:after="20" w:line="360" w:lineRule="auto"/>
        <w:jc w:val="both"/>
        <w:rPr>
          <w:rFonts w:ascii="Times New Roman" w:hAnsi="Times New Roman" w:cs="Times New Roman"/>
          <w:b/>
          <w:sz w:val="22"/>
          <w:szCs w:val="22"/>
        </w:rPr>
      </w:pPr>
      <w:r w:rsidRPr="00B4654C">
        <w:rPr>
          <w:rFonts w:cs="Arial"/>
          <w:sz w:val="20"/>
          <w:szCs w:val="20"/>
        </w:rPr>
        <w:t xml:space="preserve"> </w:t>
      </w:r>
    </w:p>
    <w:p w14:paraId="5DEEB8EE" w14:textId="77777777" w:rsidR="00B258A1" w:rsidRPr="001170E4" w:rsidRDefault="00B258A1" w:rsidP="00B258A1">
      <w:pPr>
        <w:spacing w:line="360" w:lineRule="auto"/>
        <w:jc w:val="both"/>
        <w:rPr>
          <w:rFonts w:ascii="Times New Roman" w:hAnsi="Times New Roman" w:cs="Times New Roman"/>
          <w:b/>
        </w:rPr>
      </w:pPr>
      <w:r w:rsidRPr="001170E4">
        <w:rPr>
          <w:rFonts w:ascii="Times New Roman" w:hAnsi="Times New Roman" w:cs="Times New Roman"/>
          <w:b/>
        </w:rPr>
        <w:t xml:space="preserve">Programme 3: Built Environment Research, Information and Advisory </w:t>
      </w:r>
    </w:p>
    <w:p w14:paraId="2A397447" w14:textId="77777777" w:rsidR="00B258A1" w:rsidRPr="001170E4" w:rsidRDefault="00B258A1" w:rsidP="00B258A1">
      <w:pPr>
        <w:spacing w:line="360" w:lineRule="auto"/>
        <w:jc w:val="both"/>
        <w:rPr>
          <w:rFonts w:ascii="Times New Roman" w:hAnsi="Times New Roman" w:cs="Times New Roman"/>
          <w:b/>
        </w:rPr>
      </w:pPr>
      <w:r w:rsidRPr="001170E4">
        <w:rPr>
          <w:rFonts w:ascii="Times New Roman" w:hAnsi="Times New Roman" w:cs="Times New Roman"/>
          <w:b/>
        </w:rPr>
        <w:t xml:space="preserve">Strategic Objective: </w:t>
      </w:r>
      <w:r w:rsidRPr="001170E4">
        <w:rPr>
          <w:rFonts w:ascii="Times New Roman" w:hAnsi="Times New Roman" w:cs="Times New Roman"/>
        </w:rPr>
        <w:t>Provide informed and researched advice to Government on Built Environment priority matters identified in the 2014 MTEF.</w:t>
      </w:r>
      <w:r w:rsidRPr="001170E4">
        <w:rPr>
          <w:rFonts w:ascii="Times New Roman" w:hAnsi="Times New Roman" w:cs="Times New Roman"/>
          <w:b/>
        </w:rPr>
        <w:t xml:space="preserve"> </w:t>
      </w:r>
    </w:p>
    <w:p w14:paraId="792E9E42" w14:textId="77777777" w:rsidR="00B258A1" w:rsidRPr="001170E4" w:rsidRDefault="00B258A1" w:rsidP="00B258A1">
      <w:pPr>
        <w:pStyle w:val="Default"/>
        <w:spacing w:after="20" w:line="360" w:lineRule="auto"/>
        <w:jc w:val="both"/>
        <w:rPr>
          <w:rFonts w:ascii="Times New Roman" w:hAnsi="Times New Roman" w:cs="Times New Roman"/>
          <w:sz w:val="22"/>
          <w:szCs w:val="22"/>
        </w:rPr>
      </w:pPr>
    </w:p>
    <w:p w14:paraId="0C7A3B59" w14:textId="77777777" w:rsidR="00B258A1" w:rsidRPr="00B30948" w:rsidRDefault="00B258A1" w:rsidP="00B258A1">
      <w:pPr>
        <w:pStyle w:val="Default"/>
        <w:pBdr>
          <w:top w:val="single" w:sz="4" w:space="1" w:color="auto"/>
          <w:left w:val="single" w:sz="4" w:space="4" w:color="auto"/>
          <w:bottom w:val="single" w:sz="4" w:space="1" w:color="auto"/>
          <w:right w:val="single" w:sz="4" w:space="4" w:color="auto"/>
        </w:pBdr>
        <w:spacing w:after="20" w:line="360" w:lineRule="auto"/>
        <w:jc w:val="both"/>
        <w:rPr>
          <w:rFonts w:ascii="Times New Roman" w:hAnsi="Times New Roman" w:cs="Times New Roman"/>
          <w:sz w:val="22"/>
          <w:szCs w:val="22"/>
        </w:rPr>
      </w:pPr>
      <w:r w:rsidRPr="00B30948">
        <w:rPr>
          <w:rFonts w:ascii="Times New Roman" w:hAnsi="Times New Roman" w:cs="Times New Roman"/>
          <w:sz w:val="22"/>
          <w:szCs w:val="22"/>
        </w:rPr>
        <w:lastRenderedPageBreak/>
        <w:t>Programme 3 receives an allocation of R790 000 for the 2018/19 financial year and constitutes 1</w:t>
      </w:r>
      <w:r w:rsidR="009E2F1A">
        <w:rPr>
          <w:rFonts w:ascii="Times New Roman" w:hAnsi="Times New Roman" w:cs="Times New Roman"/>
          <w:sz w:val="22"/>
          <w:szCs w:val="22"/>
        </w:rPr>
        <w:t>,</w:t>
      </w:r>
      <w:r w:rsidRPr="00B30948">
        <w:rPr>
          <w:rFonts w:ascii="Times New Roman" w:hAnsi="Times New Roman" w:cs="Times New Roman"/>
          <w:sz w:val="22"/>
          <w:szCs w:val="22"/>
        </w:rPr>
        <w:t>5% of the total budget. Th</w:t>
      </w:r>
      <w:r w:rsidR="003601E1">
        <w:rPr>
          <w:rFonts w:ascii="Times New Roman" w:hAnsi="Times New Roman" w:cs="Times New Roman"/>
          <w:sz w:val="22"/>
          <w:szCs w:val="22"/>
        </w:rPr>
        <w:t>is constitutes a decrease of R1,</w:t>
      </w:r>
      <w:r w:rsidRPr="00B30948">
        <w:rPr>
          <w:rFonts w:ascii="Times New Roman" w:hAnsi="Times New Roman" w:cs="Times New Roman"/>
          <w:sz w:val="22"/>
          <w:szCs w:val="22"/>
        </w:rPr>
        <w:t>7 million from the R2</w:t>
      </w:r>
      <w:r w:rsidR="003601E1">
        <w:rPr>
          <w:rFonts w:ascii="Times New Roman" w:hAnsi="Times New Roman" w:cs="Times New Roman"/>
          <w:sz w:val="22"/>
          <w:szCs w:val="22"/>
        </w:rPr>
        <w:t>,</w:t>
      </w:r>
      <w:r w:rsidRPr="00B30948">
        <w:rPr>
          <w:rFonts w:ascii="Times New Roman" w:hAnsi="Times New Roman" w:cs="Times New Roman"/>
          <w:sz w:val="22"/>
          <w:szCs w:val="22"/>
        </w:rPr>
        <w:t>5 million allocation in 2017/18.</w:t>
      </w:r>
      <w:r w:rsidRPr="00B30948">
        <w:rPr>
          <w:rStyle w:val="FootnoteReference"/>
          <w:rFonts w:ascii="Times New Roman" w:hAnsi="Times New Roman" w:cs="Times New Roman"/>
          <w:sz w:val="22"/>
          <w:szCs w:val="22"/>
        </w:rPr>
        <w:footnoteReference w:id="95"/>
      </w:r>
    </w:p>
    <w:p w14:paraId="48437210" w14:textId="77777777" w:rsidR="00B258A1" w:rsidRPr="001170E4" w:rsidRDefault="00B258A1" w:rsidP="00B258A1">
      <w:pPr>
        <w:pStyle w:val="Default"/>
        <w:spacing w:after="20" w:line="360" w:lineRule="auto"/>
        <w:jc w:val="both"/>
        <w:rPr>
          <w:rFonts w:ascii="Times New Roman" w:hAnsi="Times New Roman" w:cs="Times New Roman"/>
          <w:color w:val="auto"/>
          <w:sz w:val="22"/>
          <w:szCs w:val="22"/>
        </w:rPr>
      </w:pPr>
    </w:p>
    <w:p w14:paraId="5E7BBA82" w14:textId="77777777" w:rsidR="00B258A1" w:rsidRPr="00942DCA" w:rsidRDefault="0001107D" w:rsidP="00204AE5">
      <w:pPr>
        <w:pStyle w:val="Default"/>
        <w:spacing w:after="20"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In its APP the CBE showed that </w:t>
      </w:r>
      <w:r w:rsidR="00B258A1" w:rsidRPr="00942DCA">
        <w:rPr>
          <w:rFonts w:ascii="Times New Roman" w:hAnsi="Times New Roman" w:cs="Times New Roman"/>
          <w:color w:val="auto"/>
          <w:sz w:val="22"/>
          <w:szCs w:val="22"/>
        </w:rPr>
        <w:t xml:space="preserve">Programme 3 </w:t>
      </w:r>
      <w:r>
        <w:rPr>
          <w:rFonts w:ascii="Times New Roman" w:hAnsi="Times New Roman" w:cs="Times New Roman"/>
          <w:color w:val="auto"/>
          <w:sz w:val="22"/>
          <w:szCs w:val="22"/>
        </w:rPr>
        <w:t>was allocated</w:t>
      </w:r>
      <w:r w:rsidR="00B258A1" w:rsidRPr="00942DCA">
        <w:rPr>
          <w:rFonts w:ascii="Times New Roman" w:hAnsi="Times New Roman" w:cs="Times New Roman"/>
          <w:color w:val="auto"/>
          <w:sz w:val="22"/>
          <w:szCs w:val="22"/>
        </w:rPr>
        <w:t xml:space="preserve"> an increase in its budget of 6.6% due to the following key cost drivers, namely, research; portal for research information; knowledge and information gathering; publication and stakeholder forums.</w:t>
      </w:r>
      <w:r w:rsidR="00B258A1" w:rsidRPr="00942DCA">
        <w:rPr>
          <w:rStyle w:val="FootnoteReference"/>
          <w:rFonts w:ascii="Times New Roman" w:hAnsi="Times New Roman" w:cs="Times New Roman"/>
          <w:color w:val="auto"/>
          <w:sz w:val="22"/>
          <w:szCs w:val="22"/>
        </w:rPr>
        <w:footnoteReference w:id="96"/>
      </w:r>
      <w:r w:rsidR="00B258A1" w:rsidRPr="00942DCA">
        <w:rPr>
          <w:rFonts w:ascii="Times New Roman" w:hAnsi="Times New Roman" w:cs="Times New Roman"/>
          <w:color w:val="auto"/>
          <w:sz w:val="22"/>
          <w:szCs w:val="22"/>
        </w:rPr>
        <w:t xml:space="preserve"> </w:t>
      </w:r>
    </w:p>
    <w:p w14:paraId="4BAF003E" w14:textId="77777777" w:rsidR="00B258A1" w:rsidRPr="00942DCA" w:rsidRDefault="00B258A1" w:rsidP="00204AE5">
      <w:pPr>
        <w:pStyle w:val="Default"/>
        <w:spacing w:after="20" w:line="360" w:lineRule="auto"/>
        <w:jc w:val="both"/>
        <w:rPr>
          <w:rFonts w:ascii="Times New Roman" w:hAnsi="Times New Roman" w:cs="Times New Roman"/>
          <w:color w:val="auto"/>
          <w:sz w:val="22"/>
          <w:szCs w:val="22"/>
        </w:rPr>
      </w:pPr>
    </w:p>
    <w:p w14:paraId="13A91D66" w14:textId="77777777" w:rsidR="00B258A1" w:rsidRPr="00942DCA" w:rsidRDefault="0001107D" w:rsidP="00204AE5">
      <w:pPr>
        <w:pStyle w:val="Default"/>
        <w:spacing w:after="20"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T</w:t>
      </w:r>
      <w:r w:rsidR="00B258A1" w:rsidRPr="00942DCA">
        <w:rPr>
          <w:rFonts w:ascii="Times New Roman" w:hAnsi="Times New Roman" w:cs="Times New Roman"/>
          <w:color w:val="auto"/>
          <w:sz w:val="22"/>
          <w:szCs w:val="22"/>
        </w:rPr>
        <w:t xml:space="preserve">he budget </w:t>
      </w:r>
      <w:r>
        <w:rPr>
          <w:rFonts w:ascii="Times New Roman" w:hAnsi="Times New Roman" w:cs="Times New Roman"/>
          <w:color w:val="auto"/>
          <w:sz w:val="22"/>
          <w:szCs w:val="22"/>
        </w:rPr>
        <w:t xml:space="preserve">allocation </w:t>
      </w:r>
      <w:r w:rsidR="00B258A1" w:rsidRPr="00942DCA">
        <w:rPr>
          <w:rFonts w:ascii="Times New Roman" w:hAnsi="Times New Roman" w:cs="Times New Roman"/>
          <w:color w:val="auto"/>
          <w:sz w:val="22"/>
          <w:szCs w:val="22"/>
        </w:rPr>
        <w:t xml:space="preserve">for Programme 3 </w:t>
      </w:r>
      <w:r>
        <w:rPr>
          <w:rFonts w:ascii="Times New Roman" w:hAnsi="Times New Roman" w:cs="Times New Roman"/>
          <w:color w:val="auto"/>
          <w:sz w:val="22"/>
          <w:szCs w:val="22"/>
        </w:rPr>
        <w:t xml:space="preserve">actually </w:t>
      </w:r>
      <w:r w:rsidR="00B258A1" w:rsidRPr="00942DCA">
        <w:rPr>
          <w:rFonts w:ascii="Times New Roman" w:hAnsi="Times New Roman" w:cs="Times New Roman"/>
          <w:color w:val="auto"/>
          <w:sz w:val="22"/>
          <w:szCs w:val="22"/>
        </w:rPr>
        <w:t>decline</w:t>
      </w:r>
      <w:r>
        <w:rPr>
          <w:rFonts w:ascii="Times New Roman" w:hAnsi="Times New Roman" w:cs="Times New Roman"/>
          <w:color w:val="auto"/>
          <w:sz w:val="22"/>
          <w:szCs w:val="22"/>
        </w:rPr>
        <w:t>d</w:t>
      </w:r>
      <w:r w:rsidR="003601E1">
        <w:rPr>
          <w:rFonts w:ascii="Times New Roman" w:hAnsi="Times New Roman" w:cs="Times New Roman"/>
          <w:color w:val="auto"/>
          <w:sz w:val="22"/>
          <w:szCs w:val="22"/>
        </w:rPr>
        <w:t xml:space="preserve"> by R1,</w:t>
      </w:r>
      <w:r w:rsidR="00B258A1" w:rsidRPr="00942DCA">
        <w:rPr>
          <w:rFonts w:ascii="Times New Roman" w:hAnsi="Times New Roman" w:cs="Times New Roman"/>
          <w:color w:val="auto"/>
          <w:sz w:val="22"/>
          <w:szCs w:val="22"/>
        </w:rPr>
        <w:t>7 million for the 2018/19 financial year</w:t>
      </w:r>
      <w:r>
        <w:rPr>
          <w:rFonts w:ascii="Times New Roman" w:hAnsi="Times New Roman" w:cs="Times New Roman"/>
          <w:color w:val="auto"/>
          <w:sz w:val="22"/>
          <w:szCs w:val="22"/>
        </w:rPr>
        <w:t>. The anomaly is that the</w:t>
      </w:r>
      <w:r w:rsidR="00B258A1" w:rsidRPr="00942DCA">
        <w:rPr>
          <w:rFonts w:ascii="Times New Roman" w:hAnsi="Times New Roman" w:cs="Times New Roman"/>
          <w:color w:val="auto"/>
          <w:sz w:val="22"/>
          <w:szCs w:val="22"/>
        </w:rPr>
        <w:t xml:space="preserve"> CBE </w:t>
      </w:r>
      <w:r>
        <w:rPr>
          <w:rFonts w:ascii="Times New Roman" w:hAnsi="Times New Roman" w:cs="Times New Roman"/>
          <w:color w:val="auto"/>
          <w:sz w:val="22"/>
          <w:szCs w:val="22"/>
        </w:rPr>
        <w:t>stat</w:t>
      </w:r>
      <w:r w:rsidR="00B258A1" w:rsidRPr="00942DCA">
        <w:rPr>
          <w:rFonts w:ascii="Times New Roman" w:hAnsi="Times New Roman" w:cs="Times New Roman"/>
          <w:color w:val="auto"/>
          <w:sz w:val="22"/>
          <w:szCs w:val="22"/>
        </w:rPr>
        <w:t xml:space="preserve">ed that the programme’s budget </w:t>
      </w:r>
      <w:r>
        <w:rPr>
          <w:rFonts w:ascii="Times New Roman" w:hAnsi="Times New Roman" w:cs="Times New Roman"/>
          <w:color w:val="auto"/>
          <w:sz w:val="22"/>
          <w:szCs w:val="22"/>
        </w:rPr>
        <w:t xml:space="preserve">allocation was </w:t>
      </w:r>
      <w:r w:rsidR="00B258A1" w:rsidRPr="00942DCA">
        <w:rPr>
          <w:rFonts w:ascii="Times New Roman" w:hAnsi="Times New Roman" w:cs="Times New Roman"/>
          <w:color w:val="auto"/>
          <w:sz w:val="22"/>
          <w:szCs w:val="22"/>
        </w:rPr>
        <w:t>increase</w:t>
      </w:r>
      <w:r>
        <w:rPr>
          <w:rFonts w:ascii="Times New Roman" w:hAnsi="Times New Roman" w:cs="Times New Roman"/>
          <w:color w:val="auto"/>
          <w:sz w:val="22"/>
          <w:szCs w:val="22"/>
        </w:rPr>
        <w:t>d</w:t>
      </w:r>
      <w:r w:rsidR="00B258A1" w:rsidRPr="00942DCA">
        <w:rPr>
          <w:rFonts w:ascii="Times New Roman" w:hAnsi="Times New Roman" w:cs="Times New Roman"/>
          <w:color w:val="auto"/>
          <w:sz w:val="22"/>
          <w:szCs w:val="22"/>
        </w:rPr>
        <w:t xml:space="preserve"> by 6</w:t>
      </w:r>
      <w:r w:rsidR="009E2F1A">
        <w:rPr>
          <w:rFonts w:ascii="Times New Roman" w:hAnsi="Times New Roman" w:cs="Times New Roman"/>
          <w:color w:val="auto"/>
          <w:sz w:val="22"/>
          <w:szCs w:val="22"/>
        </w:rPr>
        <w:t>,</w:t>
      </w:r>
      <w:r w:rsidR="00B258A1" w:rsidRPr="00942DCA">
        <w:rPr>
          <w:rFonts w:ascii="Times New Roman" w:hAnsi="Times New Roman" w:cs="Times New Roman"/>
          <w:color w:val="auto"/>
          <w:sz w:val="22"/>
          <w:szCs w:val="22"/>
        </w:rPr>
        <w:t xml:space="preserve">6%. </w:t>
      </w:r>
    </w:p>
    <w:p w14:paraId="59D9817C" w14:textId="77777777" w:rsidR="00B258A1" w:rsidRDefault="00B258A1" w:rsidP="00204AE5">
      <w:pPr>
        <w:pStyle w:val="Default"/>
        <w:spacing w:after="20" w:line="360" w:lineRule="auto"/>
        <w:jc w:val="both"/>
        <w:rPr>
          <w:rFonts w:ascii="Times New Roman" w:hAnsi="Times New Roman" w:cs="Times New Roman"/>
          <w:sz w:val="22"/>
          <w:szCs w:val="22"/>
        </w:rPr>
      </w:pPr>
    </w:p>
    <w:p w14:paraId="08494B11" w14:textId="77777777" w:rsidR="00B258A1" w:rsidRPr="006F25F3" w:rsidRDefault="00B258A1" w:rsidP="00B258A1">
      <w:pPr>
        <w:pStyle w:val="Default"/>
        <w:spacing w:after="20" w:line="360" w:lineRule="auto"/>
        <w:jc w:val="both"/>
        <w:rPr>
          <w:rFonts w:ascii="Times New Roman" w:hAnsi="Times New Roman" w:cs="Times New Roman"/>
          <w:color w:val="0D0D0D"/>
          <w:sz w:val="22"/>
          <w:szCs w:val="22"/>
        </w:rPr>
      </w:pPr>
      <w:r w:rsidRPr="006F25F3">
        <w:rPr>
          <w:rFonts w:ascii="Times New Roman" w:hAnsi="Times New Roman" w:cs="Times New Roman"/>
          <w:color w:val="0D0D0D"/>
          <w:sz w:val="22"/>
          <w:szCs w:val="22"/>
        </w:rPr>
        <w:t xml:space="preserve">Programme 3 reports on the following four programme indicators </w:t>
      </w:r>
      <w:r w:rsidR="0001107D">
        <w:rPr>
          <w:rFonts w:ascii="Times New Roman" w:hAnsi="Times New Roman" w:cs="Times New Roman"/>
          <w:color w:val="0D0D0D"/>
          <w:sz w:val="22"/>
          <w:szCs w:val="22"/>
        </w:rPr>
        <w:t>that</w:t>
      </w:r>
      <w:r w:rsidRPr="006F25F3">
        <w:rPr>
          <w:rFonts w:ascii="Times New Roman" w:hAnsi="Times New Roman" w:cs="Times New Roman"/>
          <w:color w:val="0D0D0D"/>
          <w:sz w:val="22"/>
          <w:szCs w:val="22"/>
        </w:rPr>
        <w:t xml:space="preserve"> are </w:t>
      </w:r>
      <w:r w:rsidR="0001107D">
        <w:rPr>
          <w:rFonts w:ascii="Times New Roman" w:hAnsi="Times New Roman" w:cs="Times New Roman"/>
          <w:color w:val="0D0D0D"/>
          <w:sz w:val="22"/>
          <w:szCs w:val="22"/>
        </w:rPr>
        <w:t>planned for completion</w:t>
      </w:r>
      <w:r w:rsidRPr="006F25F3">
        <w:rPr>
          <w:rFonts w:ascii="Times New Roman" w:hAnsi="Times New Roman" w:cs="Times New Roman"/>
          <w:color w:val="0D0D0D"/>
          <w:sz w:val="22"/>
          <w:szCs w:val="22"/>
        </w:rPr>
        <w:t xml:space="preserve"> by 31 March 2019:</w:t>
      </w:r>
    </w:p>
    <w:p w14:paraId="7ED1768E" w14:textId="77777777" w:rsidR="00B258A1" w:rsidRPr="006F25F3" w:rsidRDefault="00B258A1" w:rsidP="00B258A1">
      <w:pPr>
        <w:pStyle w:val="Default"/>
        <w:spacing w:after="20" w:line="360" w:lineRule="auto"/>
        <w:jc w:val="both"/>
        <w:rPr>
          <w:rFonts w:ascii="Times New Roman" w:hAnsi="Times New Roman" w:cs="Times New Roman"/>
          <w:sz w:val="22"/>
          <w:szCs w:val="22"/>
        </w:rPr>
      </w:pPr>
    </w:p>
    <w:p w14:paraId="44BE2C4F" w14:textId="77777777" w:rsidR="00B258A1" w:rsidRPr="006F25F3" w:rsidRDefault="00B258A1" w:rsidP="00B41D07">
      <w:pPr>
        <w:pStyle w:val="Default"/>
        <w:numPr>
          <w:ilvl w:val="0"/>
          <w:numId w:val="56"/>
        </w:numPr>
        <w:spacing w:after="20" w:line="360" w:lineRule="auto"/>
        <w:ind w:left="993" w:hanging="284"/>
        <w:jc w:val="both"/>
        <w:rPr>
          <w:rFonts w:ascii="Times New Roman" w:hAnsi="Times New Roman" w:cs="Times New Roman"/>
          <w:sz w:val="22"/>
          <w:szCs w:val="22"/>
        </w:rPr>
      </w:pPr>
      <w:r w:rsidRPr="00942DCA">
        <w:rPr>
          <w:rFonts w:ascii="Times New Roman" w:hAnsi="Times New Roman" w:cs="Times New Roman"/>
          <w:spacing w:val="6"/>
          <w:sz w:val="22"/>
          <w:szCs w:val="22"/>
        </w:rPr>
        <w:t>Report on initiatives to support infrastructure skills within Government.</w:t>
      </w:r>
    </w:p>
    <w:p w14:paraId="4EB69CF4" w14:textId="77777777" w:rsidR="00B258A1" w:rsidRPr="00942DCA" w:rsidRDefault="00B258A1" w:rsidP="00B41D07">
      <w:pPr>
        <w:pStyle w:val="Default"/>
        <w:numPr>
          <w:ilvl w:val="0"/>
          <w:numId w:val="56"/>
        </w:numPr>
        <w:spacing w:after="20" w:line="360" w:lineRule="auto"/>
        <w:ind w:left="993" w:hanging="284"/>
        <w:jc w:val="both"/>
        <w:rPr>
          <w:rFonts w:ascii="Times New Roman" w:hAnsi="Times New Roman" w:cs="Times New Roman"/>
          <w:sz w:val="22"/>
          <w:szCs w:val="22"/>
        </w:rPr>
      </w:pPr>
      <w:r w:rsidRPr="00942DCA">
        <w:rPr>
          <w:rFonts w:ascii="Times New Roman" w:hAnsi="Times New Roman" w:cs="Times New Roman"/>
          <w:sz w:val="22"/>
          <w:szCs w:val="22"/>
        </w:rPr>
        <w:t>One research report analysing the impact of the Standards for Infrastructure Procurement and Delivery Management (SIPDM) on attracting and retaining BEPs within the Department of Public Works.</w:t>
      </w:r>
    </w:p>
    <w:p w14:paraId="4EB016B4" w14:textId="77777777" w:rsidR="00B258A1" w:rsidRPr="00942DCA" w:rsidRDefault="00B258A1" w:rsidP="00B41D07">
      <w:pPr>
        <w:pStyle w:val="Default"/>
        <w:numPr>
          <w:ilvl w:val="0"/>
          <w:numId w:val="56"/>
        </w:numPr>
        <w:spacing w:after="20" w:line="360" w:lineRule="auto"/>
        <w:ind w:left="993" w:hanging="284"/>
        <w:jc w:val="both"/>
        <w:rPr>
          <w:rFonts w:ascii="Times New Roman" w:hAnsi="Times New Roman" w:cs="Times New Roman"/>
          <w:sz w:val="22"/>
          <w:szCs w:val="22"/>
        </w:rPr>
      </w:pPr>
      <w:r w:rsidRPr="00942DCA">
        <w:rPr>
          <w:rFonts w:ascii="Times New Roman" w:hAnsi="Times New Roman" w:cs="Times New Roman"/>
          <w:sz w:val="22"/>
          <w:szCs w:val="22"/>
        </w:rPr>
        <w:t>One advisory report on Health and Safety Regulations within the public sector developed and submitted to the Department of Labour.</w:t>
      </w:r>
    </w:p>
    <w:p w14:paraId="5463DDF7" w14:textId="77777777" w:rsidR="00B258A1" w:rsidRPr="006F25F3" w:rsidRDefault="00B258A1" w:rsidP="00B41D07">
      <w:pPr>
        <w:pStyle w:val="Default"/>
        <w:numPr>
          <w:ilvl w:val="0"/>
          <w:numId w:val="56"/>
        </w:numPr>
        <w:spacing w:after="20" w:line="360" w:lineRule="auto"/>
        <w:ind w:left="993" w:hanging="284"/>
        <w:jc w:val="both"/>
        <w:rPr>
          <w:rFonts w:ascii="Times New Roman" w:hAnsi="Times New Roman" w:cs="Times New Roman"/>
          <w:sz w:val="22"/>
          <w:szCs w:val="22"/>
        </w:rPr>
      </w:pPr>
      <w:r w:rsidRPr="00942DCA">
        <w:rPr>
          <w:rFonts w:ascii="Times New Roman" w:hAnsi="Times New Roman" w:cs="Times New Roman"/>
          <w:sz w:val="22"/>
          <w:szCs w:val="22"/>
        </w:rPr>
        <w:t>One advisory report on BEPs role in the Expan</w:t>
      </w:r>
      <w:r w:rsidR="009D62D9">
        <w:rPr>
          <w:rFonts w:ascii="Times New Roman" w:hAnsi="Times New Roman" w:cs="Times New Roman"/>
          <w:sz w:val="22"/>
          <w:szCs w:val="22"/>
        </w:rPr>
        <w:t>ded Public Works Programme</w:t>
      </w:r>
      <w:r w:rsidRPr="00942DCA">
        <w:rPr>
          <w:rFonts w:ascii="Times New Roman" w:hAnsi="Times New Roman" w:cs="Times New Roman"/>
          <w:sz w:val="22"/>
          <w:szCs w:val="22"/>
        </w:rPr>
        <w:t xml:space="preserve"> (EPWP) developed and submitted to the EPWP</w:t>
      </w:r>
      <w:r w:rsidR="00020B85">
        <w:rPr>
          <w:rFonts w:ascii="Times New Roman" w:hAnsi="Times New Roman" w:cs="Times New Roman"/>
          <w:sz w:val="22"/>
          <w:szCs w:val="22"/>
        </w:rPr>
        <w:t xml:space="preserve"> branch</w:t>
      </w:r>
      <w:r w:rsidRPr="00942DCA">
        <w:rPr>
          <w:rFonts w:ascii="Times New Roman" w:hAnsi="Times New Roman" w:cs="Times New Roman"/>
          <w:sz w:val="22"/>
          <w:szCs w:val="22"/>
        </w:rPr>
        <w:t>.</w:t>
      </w:r>
    </w:p>
    <w:p w14:paraId="1647401F" w14:textId="77777777" w:rsidR="00B258A1" w:rsidRPr="001170E4" w:rsidRDefault="00B258A1" w:rsidP="00B258A1">
      <w:pPr>
        <w:pStyle w:val="Default"/>
        <w:spacing w:after="20" w:line="360" w:lineRule="auto"/>
        <w:jc w:val="both"/>
        <w:rPr>
          <w:rFonts w:ascii="Times New Roman" w:hAnsi="Times New Roman" w:cs="Times New Roman"/>
          <w:color w:val="auto"/>
          <w:sz w:val="22"/>
          <w:szCs w:val="22"/>
        </w:rPr>
      </w:pPr>
    </w:p>
    <w:p w14:paraId="4673B49C" w14:textId="77777777" w:rsidR="00B258A1" w:rsidRPr="00204AE5" w:rsidRDefault="00B258A1" w:rsidP="00B258A1">
      <w:pPr>
        <w:rPr>
          <w:rStyle w:val="Heading2Char"/>
          <w:rFonts w:ascii="Times New Roman" w:eastAsia="Calibri" w:hAnsi="Times New Roman"/>
          <w:color w:val="auto"/>
        </w:rPr>
      </w:pPr>
      <w:r w:rsidRPr="00204AE5">
        <w:rPr>
          <w:rStyle w:val="Heading2Char"/>
          <w:rFonts w:ascii="Times New Roman" w:eastAsia="Calibri" w:hAnsi="Times New Roman"/>
          <w:color w:val="auto"/>
        </w:rPr>
        <w:t xml:space="preserve">Programme </w:t>
      </w:r>
      <w:r w:rsidR="00571C5B">
        <w:rPr>
          <w:rStyle w:val="Heading2Char"/>
          <w:rFonts w:ascii="Times New Roman" w:eastAsia="Calibri" w:hAnsi="Times New Roman"/>
          <w:color w:val="auto"/>
        </w:rPr>
        <w:t>4: Regulation and Oversight of Six</w:t>
      </w:r>
      <w:r w:rsidRPr="00204AE5">
        <w:rPr>
          <w:rStyle w:val="Heading2Char"/>
          <w:rFonts w:ascii="Times New Roman" w:eastAsia="Calibri" w:hAnsi="Times New Roman"/>
          <w:color w:val="auto"/>
        </w:rPr>
        <w:t xml:space="preserve"> CBEP</w:t>
      </w:r>
      <w:r w:rsidRPr="00204AE5">
        <w:rPr>
          <w:rStyle w:val="FootnoteReference"/>
          <w:rFonts w:ascii="Times New Roman" w:hAnsi="Times New Roman" w:cs="Times New Roman"/>
          <w:b/>
        </w:rPr>
        <w:footnoteReference w:id="97"/>
      </w:r>
    </w:p>
    <w:p w14:paraId="5FE4AC39" w14:textId="77777777" w:rsidR="00B258A1" w:rsidRPr="00204AE5" w:rsidRDefault="00B258A1" w:rsidP="00204AE5">
      <w:pPr>
        <w:spacing w:line="360" w:lineRule="auto"/>
        <w:jc w:val="both"/>
        <w:rPr>
          <w:rFonts w:ascii="Times New Roman" w:hAnsi="Times New Roman" w:cs="Times New Roman"/>
        </w:rPr>
      </w:pPr>
      <w:r w:rsidRPr="00204AE5">
        <w:rPr>
          <w:rFonts w:ascii="Times New Roman" w:hAnsi="Times New Roman" w:cs="Times New Roman"/>
          <w:b/>
        </w:rPr>
        <w:t>Strategic Objective</w:t>
      </w:r>
      <w:r w:rsidRPr="00204AE5">
        <w:rPr>
          <w:rFonts w:ascii="Times New Roman" w:hAnsi="Times New Roman" w:cs="Times New Roman"/>
        </w:rPr>
        <w:t>: To act as an appeal body on matters of law referred to it in terms of legislation regulating the Built Environment Professions and to promote and ensure high standards of professional ethics.</w:t>
      </w:r>
      <w:r w:rsidRPr="00204AE5">
        <w:rPr>
          <w:rStyle w:val="FootnoteReference"/>
          <w:rFonts w:ascii="Times New Roman" w:hAnsi="Times New Roman" w:cs="Times New Roman"/>
        </w:rPr>
        <w:footnoteReference w:id="98"/>
      </w:r>
    </w:p>
    <w:p w14:paraId="62AFE198" w14:textId="77777777" w:rsidR="00B258A1" w:rsidRPr="00B30948" w:rsidRDefault="00B258A1" w:rsidP="00B258A1">
      <w:pPr>
        <w:pStyle w:val="Default"/>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2"/>
          <w:szCs w:val="22"/>
        </w:rPr>
      </w:pPr>
      <w:r w:rsidRPr="00B30948">
        <w:rPr>
          <w:rFonts w:ascii="Times New Roman" w:hAnsi="Times New Roman" w:cs="Times New Roman"/>
          <w:sz w:val="22"/>
          <w:szCs w:val="22"/>
        </w:rPr>
        <w:t>Programme 4 received an allocation of R1</w:t>
      </w:r>
      <w:r w:rsidR="009E2F1A">
        <w:rPr>
          <w:rFonts w:ascii="Times New Roman" w:hAnsi="Times New Roman" w:cs="Times New Roman"/>
          <w:sz w:val="22"/>
          <w:szCs w:val="22"/>
        </w:rPr>
        <w:t>,</w:t>
      </w:r>
      <w:r w:rsidRPr="00B30948">
        <w:rPr>
          <w:rFonts w:ascii="Times New Roman" w:hAnsi="Times New Roman" w:cs="Times New Roman"/>
          <w:sz w:val="22"/>
          <w:szCs w:val="22"/>
        </w:rPr>
        <w:t>3 million for 2018/19, which constitutes 2</w:t>
      </w:r>
      <w:r w:rsidR="009E2F1A">
        <w:rPr>
          <w:rFonts w:ascii="Times New Roman" w:hAnsi="Times New Roman" w:cs="Times New Roman"/>
          <w:sz w:val="22"/>
          <w:szCs w:val="22"/>
        </w:rPr>
        <w:t>,</w:t>
      </w:r>
      <w:r w:rsidRPr="00B30948">
        <w:rPr>
          <w:rFonts w:ascii="Times New Roman" w:hAnsi="Times New Roman" w:cs="Times New Roman"/>
          <w:sz w:val="22"/>
          <w:szCs w:val="22"/>
        </w:rPr>
        <w:t>5% of the total allocation. This is an increase of R408 000 from the R913 000 allocation received in 2017/18.</w:t>
      </w:r>
      <w:r w:rsidRPr="00B30948">
        <w:rPr>
          <w:rStyle w:val="FootnoteReference"/>
          <w:rFonts w:ascii="Times New Roman" w:hAnsi="Times New Roman" w:cs="Times New Roman"/>
          <w:sz w:val="22"/>
          <w:szCs w:val="22"/>
        </w:rPr>
        <w:footnoteReference w:id="99"/>
      </w:r>
      <w:r w:rsidRPr="00B30948">
        <w:rPr>
          <w:rFonts w:ascii="Times New Roman" w:hAnsi="Times New Roman" w:cs="Times New Roman"/>
          <w:sz w:val="22"/>
          <w:szCs w:val="22"/>
        </w:rPr>
        <w:t xml:space="preserve"> </w:t>
      </w:r>
    </w:p>
    <w:p w14:paraId="106E6AB9" w14:textId="77777777" w:rsidR="00B258A1" w:rsidRPr="001170E4" w:rsidRDefault="00B258A1" w:rsidP="00B258A1">
      <w:pPr>
        <w:pStyle w:val="Default"/>
        <w:shd w:val="clear" w:color="auto" w:fill="FFFFFF" w:themeFill="background1"/>
        <w:spacing w:line="360" w:lineRule="auto"/>
        <w:jc w:val="both"/>
        <w:rPr>
          <w:rFonts w:ascii="Times New Roman" w:hAnsi="Times New Roman" w:cs="Times New Roman"/>
          <w:sz w:val="22"/>
          <w:szCs w:val="22"/>
        </w:rPr>
      </w:pPr>
    </w:p>
    <w:p w14:paraId="77010143" w14:textId="77777777" w:rsidR="00B258A1" w:rsidRPr="00942DCA" w:rsidRDefault="00B258A1" w:rsidP="00204AE5">
      <w:pPr>
        <w:pStyle w:val="Default"/>
        <w:spacing w:line="360" w:lineRule="auto"/>
        <w:jc w:val="both"/>
        <w:rPr>
          <w:rFonts w:ascii="Times New Roman" w:hAnsi="Times New Roman" w:cs="Times New Roman"/>
          <w:sz w:val="22"/>
          <w:szCs w:val="22"/>
        </w:rPr>
      </w:pPr>
      <w:r w:rsidRPr="00942DCA">
        <w:rPr>
          <w:rFonts w:ascii="Times New Roman" w:hAnsi="Times New Roman" w:cs="Times New Roman"/>
          <w:sz w:val="22"/>
          <w:szCs w:val="22"/>
        </w:rPr>
        <w:lastRenderedPageBreak/>
        <w:t>Programme 4s budget will increase by 6</w:t>
      </w:r>
      <w:r w:rsidR="009E2F1A">
        <w:rPr>
          <w:rFonts w:ascii="Times New Roman" w:hAnsi="Times New Roman" w:cs="Times New Roman"/>
          <w:sz w:val="22"/>
          <w:szCs w:val="22"/>
        </w:rPr>
        <w:t>,</w:t>
      </w:r>
      <w:r w:rsidRPr="00942DCA">
        <w:rPr>
          <w:rFonts w:ascii="Times New Roman" w:hAnsi="Times New Roman" w:cs="Times New Roman"/>
          <w:sz w:val="22"/>
          <w:szCs w:val="22"/>
        </w:rPr>
        <w:t>7% in the 2018/19 financial year. The major cost drivers remain:</w:t>
      </w:r>
      <w:r w:rsidRPr="00942DCA">
        <w:rPr>
          <w:rStyle w:val="FootnoteReference"/>
          <w:rFonts w:ascii="Times New Roman" w:hAnsi="Times New Roman" w:cs="Times New Roman"/>
          <w:sz w:val="22"/>
          <w:szCs w:val="22"/>
        </w:rPr>
        <w:footnoteReference w:id="100"/>
      </w:r>
    </w:p>
    <w:p w14:paraId="7C9A612B" w14:textId="77777777" w:rsidR="00B258A1" w:rsidRPr="00942DCA" w:rsidRDefault="00B258A1" w:rsidP="00B41D07">
      <w:pPr>
        <w:pStyle w:val="Default"/>
        <w:numPr>
          <w:ilvl w:val="0"/>
          <w:numId w:val="44"/>
        </w:numPr>
        <w:spacing w:line="360" w:lineRule="auto"/>
        <w:jc w:val="both"/>
        <w:rPr>
          <w:rFonts w:ascii="Times New Roman" w:hAnsi="Times New Roman" w:cs="Times New Roman"/>
          <w:sz w:val="22"/>
          <w:szCs w:val="22"/>
        </w:rPr>
      </w:pPr>
      <w:r w:rsidRPr="00942DCA">
        <w:rPr>
          <w:rFonts w:ascii="Times New Roman" w:hAnsi="Times New Roman" w:cs="Times New Roman"/>
          <w:sz w:val="22"/>
          <w:szCs w:val="22"/>
        </w:rPr>
        <w:t>The appeals function.</w:t>
      </w:r>
    </w:p>
    <w:p w14:paraId="498EBC4F" w14:textId="77777777" w:rsidR="00B258A1" w:rsidRPr="00942DCA" w:rsidRDefault="00B258A1" w:rsidP="00B41D07">
      <w:pPr>
        <w:pStyle w:val="Default"/>
        <w:numPr>
          <w:ilvl w:val="0"/>
          <w:numId w:val="44"/>
        </w:numPr>
        <w:spacing w:line="360" w:lineRule="auto"/>
        <w:jc w:val="both"/>
        <w:rPr>
          <w:rFonts w:ascii="Times New Roman" w:hAnsi="Times New Roman" w:cs="Times New Roman"/>
          <w:sz w:val="22"/>
          <w:szCs w:val="22"/>
        </w:rPr>
      </w:pPr>
      <w:r w:rsidRPr="00942DCA">
        <w:rPr>
          <w:rFonts w:ascii="Times New Roman" w:hAnsi="Times New Roman" w:cs="Times New Roman"/>
          <w:sz w:val="22"/>
          <w:szCs w:val="22"/>
        </w:rPr>
        <w:t>Information dissemination to the public.</w:t>
      </w:r>
    </w:p>
    <w:p w14:paraId="03DB0F20" w14:textId="77777777" w:rsidR="00B258A1" w:rsidRPr="00942DCA" w:rsidRDefault="00B258A1" w:rsidP="00B41D07">
      <w:pPr>
        <w:pStyle w:val="Default"/>
        <w:numPr>
          <w:ilvl w:val="0"/>
          <w:numId w:val="44"/>
        </w:numPr>
        <w:spacing w:line="360" w:lineRule="auto"/>
        <w:jc w:val="both"/>
        <w:rPr>
          <w:rFonts w:ascii="Times New Roman" w:hAnsi="Times New Roman" w:cs="Times New Roman"/>
          <w:sz w:val="22"/>
          <w:szCs w:val="22"/>
        </w:rPr>
      </w:pPr>
      <w:r w:rsidRPr="00942DCA">
        <w:rPr>
          <w:rFonts w:ascii="Times New Roman" w:hAnsi="Times New Roman" w:cs="Times New Roman"/>
          <w:sz w:val="22"/>
          <w:szCs w:val="22"/>
        </w:rPr>
        <w:t>Identification of Work (IDoW) activities.</w:t>
      </w:r>
    </w:p>
    <w:p w14:paraId="05DFEBBC" w14:textId="77777777" w:rsidR="00B258A1" w:rsidRPr="00942DCA" w:rsidRDefault="00B258A1" w:rsidP="00204AE5">
      <w:pPr>
        <w:pStyle w:val="Default"/>
        <w:spacing w:line="360" w:lineRule="auto"/>
        <w:rPr>
          <w:rFonts w:ascii="Times New Roman" w:hAnsi="Times New Roman" w:cs="Times New Roman"/>
          <w:color w:val="auto"/>
          <w:sz w:val="22"/>
          <w:szCs w:val="22"/>
        </w:rPr>
      </w:pPr>
    </w:p>
    <w:p w14:paraId="7A634C1B" w14:textId="77777777" w:rsidR="00B258A1" w:rsidRPr="00942DCA" w:rsidRDefault="00B258A1" w:rsidP="00204AE5">
      <w:pPr>
        <w:pStyle w:val="Default"/>
        <w:spacing w:line="360" w:lineRule="auto"/>
        <w:rPr>
          <w:rFonts w:ascii="Times New Roman" w:hAnsi="Times New Roman" w:cs="Times New Roman"/>
          <w:color w:val="auto"/>
          <w:sz w:val="22"/>
          <w:szCs w:val="22"/>
        </w:rPr>
      </w:pPr>
      <w:r w:rsidRPr="00942DCA">
        <w:rPr>
          <w:rFonts w:ascii="Times New Roman" w:hAnsi="Times New Roman" w:cs="Times New Roman"/>
          <w:color w:val="auto"/>
          <w:sz w:val="22"/>
          <w:szCs w:val="22"/>
        </w:rPr>
        <w:t>Clarify the reported increase of 6</w:t>
      </w:r>
      <w:r w:rsidR="009E2F1A">
        <w:rPr>
          <w:rFonts w:ascii="Times New Roman" w:hAnsi="Times New Roman" w:cs="Times New Roman"/>
          <w:color w:val="auto"/>
          <w:sz w:val="22"/>
          <w:szCs w:val="22"/>
        </w:rPr>
        <w:t>,</w:t>
      </w:r>
      <w:r w:rsidRPr="00942DCA">
        <w:rPr>
          <w:rFonts w:ascii="Times New Roman" w:hAnsi="Times New Roman" w:cs="Times New Roman"/>
          <w:color w:val="auto"/>
          <w:sz w:val="22"/>
          <w:szCs w:val="22"/>
        </w:rPr>
        <w:t xml:space="preserve">7% above, given that Programme 4s budget increases by </w:t>
      </w:r>
      <w:r w:rsidRPr="00942DCA">
        <w:rPr>
          <w:rFonts w:ascii="Times New Roman" w:hAnsi="Times New Roman" w:cs="Times New Roman"/>
          <w:sz w:val="22"/>
          <w:szCs w:val="22"/>
        </w:rPr>
        <w:t>R408 000 or 44</w:t>
      </w:r>
      <w:r w:rsidR="009E2F1A">
        <w:rPr>
          <w:rFonts w:ascii="Times New Roman" w:hAnsi="Times New Roman" w:cs="Times New Roman"/>
          <w:sz w:val="22"/>
          <w:szCs w:val="22"/>
        </w:rPr>
        <w:t>,</w:t>
      </w:r>
      <w:r w:rsidRPr="00942DCA">
        <w:rPr>
          <w:rFonts w:ascii="Times New Roman" w:hAnsi="Times New Roman" w:cs="Times New Roman"/>
          <w:sz w:val="22"/>
          <w:szCs w:val="22"/>
        </w:rPr>
        <w:t>7% in nominal terms, for the 2018/19 financial year?</w:t>
      </w:r>
    </w:p>
    <w:p w14:paraId="4E6BAC95" w14:textId="77777777" w:rsidR="00B258A1" w:rsidRPr="00942DCA" w:rsidRDefault="00B258A1" w:rsidP="00B258A1">
      <w:pPr>
        <w:pStyle w:val="Default"/>
        <w:spacing w:line="280" w:lineRule="exact"/>
        <w:jc w:val="both"/>
        <w:rPr>
          <w:rFonts w:ascii="Times New Roman" w:hAnsi="Times New Roman" w:cs="Times New Roman"/>
          <w:color w:val="auto"/>
          <w:sz w:val="22"/>
          <w:szCs w:val="22"/>
        </w:rPr>
      </w:pPr>
    </w:p>
    <w:p w14:paraId="13C8A4E0" w14:textId="77777777" w:rsidR="00B258A1" w:rsidRPr="00942DCA" w:rsidRDefault="00B258A1" w:rsidP="00204AE5">
      <w:pPr>
        <w:pStyle w:val="Default"/>
        <w:spacing w:line="360" w:lineRule="auto"/>
        <w:jc w:val="both"/>
        <w:rPr>
          <w:rFonts w:ascii="Times New Roman" w:hAnsi="Times New Roman" w:cs="Times New Roman"/>
          <w:color w:val="auto"/>
          <w:sz w:val="22"/>
          <w:szCs w:val="22"/>
        </w:rPr>
      </w:pPr>
      <w:r w:rsidRPr="00942DCA">
        <w:rPr>
          <w:rFonts w:ascii="Times New Roman" w:hAnsi="Times New Roman" w:cs="Times New Roman"/>
          <w:color w:val="auto"/>
          <w:sz w:val="22"/>
          <w:szCs w:val="22"/>
        </w:rPr>
        <w:t>Programme 4 reports on six programme indicators to be completed by 31 March 2019:</w:t>
      </w:r>
      <w:r w:rsidRPr="00942DCA">
        <w:rPr>
          <w:rStyle w:val="PageNumber"/>
          <w:rFonts w:ascii="Times New Roman" w:hAnsi="Times New Roman" w:cs="Times New Roman"/>
          <w:b/>
          <w:sz w:val="20"/>
          <w:szCs w:val="20"/>
        </w:rPr>
        <w:t xml:space="preserve"> </w:t>
      </w:r>
      <w:r w:rsidRPr="00F27194">
        <w:rPr>
          <w:rStyle w:val="FootnoteReference"/>
          <w:rFonts w:ascii="Times New Roman" w:hAnsi="Times New Roman" w:cs="Times New Roman"/>
          <w:sz w:val="22"/>
          <w:szCs w:val="22"/>
        </w:rPr>
        <w:footnoteReference w:id="101"/>
      </w:r>
    </w:p>
    <w:p w14:paraId="1369E990" w14:textId="77777777" w:rsidR="00B258A1" w:rsidRPr="00055564" w:rsidRDefault="00B258A1" w:rsidP="00B41D07">
      <w:pPr>
        <w:pStyle w:val="Default"/>
        <w:numPr>
          <w:ilvl w:val="0"/>
          <w:numId w:val="57"/>
        </w:numPr>
        <w:spacing w:after="20" w:line="360" w:lineRule="auto"/>
        <w:jc w:val="both"/>
        <w:rPr>
          <w:rFonts w:ascii="Times New Roman" w:hAnsi="Times New Roman" w:cs="Times New Roman"/>
          <w:spacing w:val="6"/>
          <w:sz w:val="22"/>
          <w:szCs w:val="22"/>
        </w:rPr>
      </w:pPr>
      <w:r w:rsidRPr="00055564">
        <w:rPr>
          <w:rFonts w:ascii="Times New Roman" w:hAnsi="Times New Roman" w:cs="Times New Roman"/>
          <w:spacing w:val="6"/>
          <w:sz w:val="22"/>
          <w:szCs w:val="22"/>
        </w:rPr>
        <w:t>Finalise 100% of appeals within the statutory 60 days of their judgement.</w:t>
      </w:r>
    </w:p>
    <w:p w14:paraId="6131F807" w14:textId="77777777" w:rsidR="00B258A1" w:rsidRPr="00942DCA" w:rsidRDefault="00B258A1" w:rsidP="00B41D07">
      <w:pPr>
        <w:pStyle w:val="Default"/>
        <w:numPr>
          <w:ilvl w:val="0"/>
          <w:numId w:val="57"/>
        </w:numPr>
        <w:spacing w:line="360" w:lineRule="auto"/>
        <w:jc w:val="both"/>
        <w:rPr>
          <w:rFonts w:ascii="Times New Roman" w:hAnsi="Times New Roman" w:cs="Times New Roman"/>
          <w:sz w:val="22"/>
          <w:szCs w:val="22"/>
        </w:rPr>
      </w:pPr>
      <w:r w:rsidRPr="00942DCA">
        <w:rPr>
          <w:rFonts w:ascii="Times New Roman" w:hAnsi="Times New Roman" w:cs="Times New Roman"/>
          <w:sz w:val="22"/>
          <w:szCs w:val="22"/>
        </w:rPr>
        <w:t>Implement 50% of the deliverables of the IDoW Action Plan approved by Council.</w:t>
      </w:r>
    </w:p>
    <w:p w14:paraId="5504FFA8" w14:textId="77777777" w:rsidR="00B258A1" w:rsidRPr="00942DCA" w:rsidRDefault="00B258A1" w:rsidP="00B41D07">
      <w:pPr>
        <w:pStyle w:val="Default"/>
        <w:numPr>
          <w:ilvl w:val="0"/>
          <w:numId w:val="57"/>
        </w:numPr>
        <w:spacing w:line="360" w:lineRule="auto"/>
        <w:jc w:val="both"/>
        <w:rPr>
          <w:rFonts w:ascii="Times New Roman" w:hAnsi="Times New Roman" w:cs="Times New Roman"/>
          <w:sz w:val="22"/>
          <w:szCs w:val="22"/>
        </w:rPr>
      </w:pPr>
      <w:r w:rsidRPr="00942DCA">
        <w:rPr>
          <w:rFonts w:ascii="Times New Roman" w:hAnsi="Times New Roman" w:cs="Times New Roman"/>
          <w:sz w:val="22"/>
          <w:szCs w:val="22"/>
        </w:rPr>
        <w:t>A report on the six CBEP implementation of the King IV Corporate Governance Framework, submitted to Council and the Department of Public Works.</w:t>
      </w:r>
    </w:p>
    <w:p w14:paraId="3BD0A513" w14:textId="77777777" w:rsidR="00B258A1" w:rsidRPr="00942DCA" w:rsidRDefault="00B258A1" w:rsidP="00B41D07">
      <w:pPr>
        <w:pStyle w:val="Default"/>
        <w:numPr>
          <w:ilvl w:val="0"/>
          <w:numId w:val="57"/>
        </w:numPr>
        <w:spacing w:line="360" w:lineRule="auto"/>
        <w:jc w:val="both"/>
        <w:rPr>
          <w:rFonts w:ascii="Times New Roman" w:hAnsi="Times New Roman" w:cs="Times New Roman"/>
          <w:sz w:val="22"/>
          <w:szCs w:val="22"/>
        </w:rPr>
      </w:pPr>
      <w:r w:rsidRPr="00942DCA">
        <w:rPr>
          <w:rFonts w:ascii="Times New Roman" w:hAnsi="Times New Roman" w:cs="Times New Roman"/>
          <w:sz w:val="22"/>
          <w:szCs w:val="22"/>
        </w:rPr>
        <w:t>An implementation plan for the six CBEP alignment of their policies with the Ministerial approved Policy Framework, developed and approved by the COO and CEO.</w:t>
      </w:r>
    </w:p>
    <w:p w14:paraId="4E59A9F6" w14:textId="77777777" w:rsidR="00B258A1" w:rsidRPr="00942DCA" w:rsidRDefault="00B258A1" w:rsidP="00B41D07">
      <w:pPr>
        <w:pStyle w:val="Default"/>
        <w:numPr>
          <w:ilvl w:val="0"/>
          <w:numId w:val="57"/>
        </w:numPr>
        <w:spacing w:line="360" w:lineRule="auto"/>
        <w:jc w:val="both"/>
        <w:rPr>
          <w:rFonts w:ascii="Times New Roman" w:hAnsi="Times New Roman" w:cs="Times New Roman"/>
          <w:sz w:val="22"/>
          <w:szCs w:val="22"/>
        </w:rPr>
      </w:pPr>
      <w:r w:rsidRPr="00942DCA">
        <w:rPr>
          <w:rFonts w:ascii="Times New Roman" w:hAnsi="Times New Roman" w:cs="Times New Roman"/>
          <w:sz w:val="22"/>
          <w:szCs w:val="22"/>
        </w:rPr>
        <w:t>Develop and implement a Regulatory Framework on oversight of CBEP.</w:t>
      </w:r>
    </w:p>
    <w:p w14:paraId="60DA16F6" w14:textId="77777777" w:rsidR="00B258A1" w:rsidRPr="00055564" w:rsidRDefault="00B258A1" w:rsidP="00B41D07">
      <w:pPr>
        <w:pStyle w:val="Default"/>
        <w:numPr>
          <w:ilvl w:val="0"/>
          <w:numId w:val="57"/>
        </w:numPr>
        <w:spacing w:line="360" w:lineRule="auto"/>
        <w:jc w:val="both"/>
        <w:rPr>
          <w:rFonts w:ascii="Times New Roman" w:hAnsi="Times New Roman" w:cs="Times New Roman"/>
          <w:sz w:val="22"/>
          <w:szCs w:val="22"/>
        </w:rPr>
      </w:pPr>
      <w:r w:rsidRPr="00942DCA">
        <w:rPr>
          <w:rFonts w:ascii="Times New Roman" w:hAnsi="Times New Roman" w:cs="Times New Roman"/>
          <w:sz w:val="22"/>
          <w:szCs w:val="22"/>
        </w:rPr>
        <w:t>Six CBEP’ Strategic Plans, APPs and Annual Report submitted to the Department of Public Works.</w:t>
      </w:r>
    </w:p>
    <w:p w14:paraId="29AFB7FB" w14:textId="77777777" w:rsidR="00B258A1" w:rsidRDefault="00B258A1" w:rsidP="00B258A1">
      <w:pPr>
        <w:pStyle w:val="Default"/>
        <w:spacing w:line="360" w:lineRule="auto"/>
        <w:jc w:val="both"/>
        <w:rPr>
          <w:rFonts w:ascii="Times New Roman" w:hAnsi="Times New Roman" w:cs="Times New Roman"/>
          <w:sz w:val="22"/>
          <w:szCs w:val="22"/>
        </w:rPr>
      </w:pPr>
    </w:p>
    <w:p w14:paraId="5531DF24" w14:textId="77777777" w:rsidR="00B258A1" w:rsidRPr="001170E4" w:rsidRDefault="00B258A1" w:rsidP="00B258A1">
      <w:pPr>
        <w:pStyle w:val="Default"/>
        <w:spacing w:line="360" w:lineRule="auto"/>
        <w:jc w:val="both"/>
        <w:rPr>
          <w:rFonts w:ascii="Times New Roman" w:hAnsi="Times New Roman" w:cs="Times New Roman"/>
          <w:color w:val="auto"/>
          <w:sz w:val="22"/>
          <w:szCs w:val="22"/>
        </w:rPr>
      </w:pPr>
    </w:p>
    <w:p w14:paraId="754A4270" w14:textId="77777777" w:rsidR="00B258A1" w:rsidRPr="001170E4" w:rsidRDefault="00B258A1" w:rsidP="00204AE5">
      <w:pPr>
        <w:spacing w:line="360" w:lineRule="auto"/>
        <w:jc w:val="both"/>
        <w:rPr>
          <w:rFonts w:ascii="Times New Roman" w:hAnsi="Times New Roman" w:cs="Times New Roman"/>
          <w:b/>
        </w:rPr>
      </w:pPr>
      <w:r w:rsidRPr="001170E4">
        <w:rPr>
          <w:rFonts w:ascii="Times New Roman" w:hAnsi="Times New Roman" w:cs="Times New Roman"/>
          <w:b/>
        </w:rPr>
        <w:t xml:space="preserve">Programme 5: Government Policies and Priorities  </w:t>
      </w:r>
    </w:p>
    <w:p w14:paraId="3CE3C523" w14:textId="77777777" w:rsidR="00B258A1" w:rsidRPr="001170E4" w:rsidRDefault="00B258A1" w:rsidP="00204AE5">
      <w:pPr>
        <w:pStyle w:val="BodyText"/>
        <w:spacing w:line="360" w:lineRule="auto"/>
        <w:rPr>
          <w:rFonts w:ascii="Times New Roman" w:hAnsi="Times New Roman"/>
          <w:i/>
          <w:sz w:val="22"/>
          <w:szCs w:val="22"/>
          <w:lang w:val="en-ZA"/>
        </w:rPr>
      </w:pPr>
      <w:r w:rsidRPr="001170E4">
        <w:rPr>
          <w:rFonts w:ascii="Times New Roman" w:hAnsi="Times New Roman"/>
          <w:b/>
          <w:sz w:val="22"/>
          <w:szCs w:val="22"/>
        </w:rPr>
        <w:t>Strategic Objective</w:t>
      </w:r>
      <w:r w:rsidRPr="001170E4">
        <w:rPr>
          <w:rFonts w:ascii="Times New Roman" w:hAnsi="Times New Roman"/>
          <w:sz w:val="22"/>
          <w:szCs w:val="22"/>
          <w:lang w:val="en-ZA"/>
        </w:rPr>
        <w:t>: Built Environment  academic curricula and CPD</w:t>
      </w:r>
      <w:r w:rsidRPr="001170E4">
        <w:rPr>
          <w:rStyle w:val="FootnoteReference"/>
          <w:rFonts w:ascii="Times New Roman" w:hAnsi="Times New Roman"/>
          <w:sz w:val="22"/>
          <w:szCs w:val="22"/>
          <w:lang w:val="en-ZA"/>
        </w:rPr>
        <w:footnoteReference w:id="102"/>
      </w:r>
      <w:r w:rsidRPr="001170E4">
        <w:rPr>
          <w:rFonts w:ascii="Times New Roman" w:hAnsi="Times New Roman"/>
          <w:sz w:val="22"/>
          <w:szCs w:val="22"/>
          <w:lang w:val="en-ZA"/>
        </w:rPr>
        <w:t xml:space="preserve"> programmes that embody issues [such as] health and safety in construction, environmental sustainability and job creation through labour intensive construction and the IDMS</w:t>
      </w:r>
      <w:r>
        <w:rPr>
          <w:rFonts w:ascii="Times New Roman" w:hAnsi="Times New Roman"/>
          <w:sz w:val="22"/>
          <w:szCs w:val="22"/>
          <w:lang w:val="en-ZA"/>
        </w:rPr>
        <w:t>.</w:t>
      </w:r>
      <w:r w:rsidRPr="001170E4">
        <w:rPr>
          <w:rStyle w:val="FootnoteReference"/>
          <w:rFonts w:ascii="Times New Roman" w:hAnsi="Times New Roman"/>
          <w:sz w:val="22"/>
          <w:szCs w:val="22"/>
          <w:lang w:val="en-ZA"/>
        </w:rPr>
        <w:footnoteReference w:id="103"/>
      </w:r>
    </w:p>
    <w:p w14:paraId="090EB2B3" w14:textId="77777777" w:rsidR="00B258A1" w:rsidRPr="001170E4" w:rsidRDefault="00B258A1" w:rsidP="00204AE5">
      <w:pPr>
        <w:pStyle w:val="Default"/>
        <w:spacing w:after="20" w:line="360" w:lineRule="auto"/>
        <w:ind w:left="785"/>
        <w:jc w:val="both"/>
        <w:rPr>
          <w:rFonts w:ascii="Times New Roman" w:hAnsi="Times New Roman" w:cs="Times New Roman"/>
          <w:color w:val="FF0000"/>
          <w:sz w:val="22"/>
          <w:szCs w:val="22"/>
        </w:rPr>
      </w:pPr>
    </w:p>
    <w:p w14:paraId="13EA2E7C" w14:textId="77777777" w:rsidR="00B258A1" w:rsidRPr="00FE1BB6" w:rsidRDefault="00B258A1" w:rsidP="00204AE5">
      <w:pPr>
        <w:pStyle w:val="Default"/>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2"/>
          <w:szCs w:val="22"/>
        </w:rPr>
      </w:pPr>
      <w:r w:rsidRPr="00FE1BB6">
        <w:rPr>
          <w:rFonts w:ascii="Times New Roman" w:hAnsi="Times New Roman" w:cs="Times New Roman"/>
          <w:sz w:val="22"/>
          <w:szCs w:val="22"/>
        </w:rPr>
        <w:t>Programme 5 received an allocation of R429 000 in 2018/19 and constitutes 0</w:t>
      </w:r>
      <w:r w:rsidR="009E2F1A">
        <w:rPr>
          <w:rFonts w:ascii="Times New Roman" w:hAnsi="Times New Roman" w:cs="Times New Roman"/>
          <w:sz w:val="22"/>
          <w:szCs w:val="22"/>
        </w:rPr>
        <w:t>,</w:t>
      </w:r>
      <w:r w:rsidRPr="00FE1BB6">
        <w:rPr>
          <w:rFonts w:ascii="Times New Roman" w:hAnsi="Times New Roman" w:cs="Times New Roman"/>
          <w:sz w:val="22"/>
          <w:szCs w:val="22"/>
        </w:rPr>
        <w:t>8% of the total allocation. This is a decrease of R15 000 from the R444 000 allocation in 2017/18.</w:t>
      </w:r>
      <w:r w:rsidRPr="00FE1BB6">
        <w:rPr>
          <w:rStyle w:val="FootnoteReference"/>
          <w:rFonts w:ascii="Times New Roman" w:hAnsi="Times New Roman" w:cs="Times New Roman"/>
          <w:sz w:val="22"/>
          <w:szCs w:val="22"/>
        </w:rPr>
        <w:footnoteReference w:id="104"/>
      </w:r>
      <w:r w:rsidRPr="00FE1BB6">
        <w:rPr>
          <w:rFonts w:ascii="Times New Roman" w:hAnsi="Times New Roman" w:cs="Times New Roman"/>
          <w:sz w:val="22"/>
          <w:szCs w:val="22"/>
        </w:rPr>
        <w:t xml:space="preserve"> </w:t>
      </w:r>
    </w:p>
    <w:p w14:paraId="1A05FA08" w14:textId="77777777" w:rsidR="00B258A1" w:rsidRDefault="00B258A1" w:rsidP="0031105D">
      <w:pPr>
        <w:pStyle w:val="Default"/>
        <w:spacing w:line="360" w:lineRule="auto"/>
        <w:jc w:val="both"/>
        <w:rPr>
          <w:rFonts w:ascii="Times New Roman" w:hAnsi="Times New Roman" w:cs="Times New Roman"/>
          <w:sz w:val="22"/>
          <w:szCs w:val="22"/>
        </w:rPr>
      </w:pPr>
    </w:p>
    <w:p w14:paraId="7255B41C" w14:textId="77777777" w:rsidR="00B258A1" w:rsidRPr="00055564" w:rsidRDefault="009E522E" w:rsidP="0031105D">
      <w:pPr>
        <w:pStyle w:val="Default"/>
        <w:spacing w:line="360" w:lineRule="auto"/>
        <w:jc w:val="both"/>
        <w:rPr>
          <w:rFonts w:ascii="Times New Roman" w:hAnsi="Times New Roman" w:cs="Times New Roman"/>
          <w:sz w:val="22"/>
          <w:szCs w:val="22"/>
        </w:rPr>
      </w:pPr>
      <w:r>
        <w:rPr>
          <w:rFonts w:ascii="Times New Roman" w:hAnsi="Times New Roman" w:cs="Times New Roman"/>
          <w:spacing w:val="6"/>
          <w:sz w:val="22"/>
          <w:szCs w:val="22"/>
        </w:rPr>
        <w:t>The entity stated that an i</w:t>
      </w:r>
      <w:r w:rsidR="00B258A1" w:rsidRPr="00942DCA">
        <w:rPr>
          <w:rFonts w:ascii="Times New Roman" w:hAnsi="Times New Roman" w:cs="Times New Roman"/>
          <w:spacing w:val="6"/>
          <w:sz w:val="22"/>
          <w:szCs w:val="22"/>
        </w:rPr>
        <w:t xml:space="preserve">mplementation plan to incorporate health and safety, sustainability, labour-intensive construction and the Infrastructure Delivery Management System (IDMS into BE academic curricula </w:t>
      </w:r>
      <w:r>
        <w:rPr>
          <w:rFonts w:ascii="Times New Roman" w:hAnsi="Times New Roman" w:cs="Times New Roman"/>
          <w:spacing w:val="6"/>
          <w:sz w:val="22"/>
          <w:szCs w:val="22"/>
        </w:rPr>
        <w:t xml:space="preserve">had to be completed </w:t>
      </w:r>
      <w:r w:rsidR="00B258A1" w:rsidRPr="00942DCA">
        <w:rPr>
          <w:rFonts w:ascii="Times New Roman" w:hAnsi="Times New Roman" w:cs="Times New Roman"/>
          <w:spacing w:val="6"/>
          <w:sz w:val="22"/>
          <w:szCs w:val="22"/>
        </w:rPr>
        <w:t>by 31 March 2019.</w:t>
      </w:r>
      <w:r w:rsidR="00B258A1" w:rsidRPr="00942DCA">
        <w:rPr>
          <w:rStyle w:val="FootnoteReference"/>
          <w:rFonts w:ascii="Times New Roman" w:hAnsi="Times New Roman" w:cs="Times New Roman"/>
          <w:spacing w:val="6"/>
          <w:sz w:val="22"/>
          <w:szCs w:val="22"/>
        </w:rPr>
        <w:footnoteReference w:id="105"/>
      </w:r>
    </w:p>
    <w:p w14:paraId="5CEB80A5" w14:textId="77777777" w:rsidR="00B258A1" w:rsidRDefault="00B258A1" w:rsidP="0031105D">
      <w:pPr>
        <w:pStyle w:val="Default"/>
        <w:spacing w:after="20" w:line="280" w:lineRule="exact"/>
        <w:jc w:val="both"/>
        <w:rPr>
          <w:rFonts w:ascii="Arial" w:hAnsi="Arial" w:cs="Arial"/>
          <w:color w:val="FF0000"/>
          <w:sz w:val="22"/>
          <w:szCs w:val="22"/>
        </w:rPr>
      </w:pPr>
    </w:p>
    <w:p w14:paraId="51B31820" w14:textId="77777777" w:rsidR="00BB1EE2" w:rsidRPr="001170E4" w:rsidRDefault="00BB1EE2" w:rsidP="00F72F11">
      <w:pPr>
        <w:pStyle w:val="Default"/>
        <w:spacing w:after="20" w:line="360" w:lineRule="auto"/>
        <w:jc w:val="both"/>
        <w:rPr>
          <w:rFonts w:ascii="Times New Roman" w:hAnsi="Times New Roman" w:cs="Times New Roman"/>
          <w:sz w:val="22"/>
          <w:szCs w:val="22"/>
        </w:rPr>
      </w:pPr>
      <w:r w:rsidRPr="001170E4">
        <w:rPr>
          <w:rFonts w:ascii="Times New Roman" w:hAnsi="Times New Roman" w:cs="Times New Roman"/>
          <w:sz w:val="22"/>
          <w:szCs w:val="22"/>
        </w:rPr>
        <w:t xml:space="preserve">The strategic priorities and planned performance per programme </w:t>
      </w:r>
      <w:r w:rsidR="00B339AF">
        <w:rPr>
          <w:rFonts w:ascii="Times New Roman" w:hAnsi="Times New Roman" w:cs="Times New Roman"/>
          <w:sz w:val="22"/>
          <w:szCs w:val="22"/>
        </w:rPr>
        <w:t>were</w:t>
      </w:r>
      <w:r w:rsidRPr="001170E4">
        <w:rPr>
          <w:rFonts w:ascii="Times New Roman" w:hAnsi="Times New Roman" w:cs="Times New Roman"/>
          <w:sz w:val="22"/>
          <w:szCs w:val="22"/>
        </w:rPr>
        <w:t xml:space="preserve"> reported as follows:</w:t>
      </w:r>
    </w:p>
    <w:p w14:paraId="5EB169D3" w14:textId="77777777" w:rsidR="00BB1EE2" w:rsidRPr="001170E4" w:rsidRDefault="00BB1EE2" w:rsidP="00F72F11">
      <w:pPr>
        <w:pStyle w:val="Default"/>
        <w:spacing w:after="20" w:line="360" w:lineRule="auto"/>
        <w:jc w:val="both"/>
        <w:rPr>
          <w:rFonts w:ascii="Times New Roman" w:hAnsi="Times New Roman" w:cs="Times New Roman"/>
          <w:sz w:val="22"/>
          <w:szCs w:val="22"/>
        </w:rPr>
      </w:pPr>
    </w:p>
    <w:p w14:paraId="5735BA90"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 xml:space="preserve">Programme 1: Administration  </w:t>
      </w:r>
    </w:p>
    <w:p w14:paraId="43430A44" w14:textId="77777777" w:rsidR="00BB1EE2" w:rsidRPr="001170E4" w:rsidRDefault="00BB1EE2" w:rsidP="00F72F11">
      <w:pPr>
        <w:pStyle w:val="Default"/>
        <w:spacing w:after="20" w:line="360" w:lineRule="auto"/>
        <w:jc w:val="both"/>
        <w:rPr>
          <w:rFonts w:ascii="Times New Roman" w:hAnsi="Times New Roman" w:cs="Times New Roman"/>
          <w:sz w:val="22"/>
          <w:szCs w:val="22"/>
        </w:rPr>
      </w:pPr>
      <w:r w:rsidRPr="001170E4">
        <w:rPr>
          <w:rFonts w:ascii="Times New Roman" w:hAnsi="Times New Roman" w:cs="Times New Roman"/>
          <w:b/>
          <w:sz w:val="22"/>
          <w:szCs w:val="22"/>
        </w:rPr>
        <w:t>Strategic Objective</w:t>
      </w:r>
      <w:r w:rsidRPr="001170E4">
        <w:rPr>
          <w:rFonts w:ascii="Times New Roman" w:hAnsi="Times New Roman" w:cs="Times New Roman"/>
          <w:sz w:val="22"/>
          <w:szCs w:val="22"/>
        </w:rPr>
        <w:t>:  Ensure that CBE has the necessary capacity and capability to support government’s development priorities within the Built Environment (BE).</w:t>
      </w:r>
    </w:p>
    <w:p w14:paraId="7DEDB861" w14:textId="77777777" w:rsidR="00BB1EE2" w:rsidRPr="001170E4" w:rsidRDefault="00BB1EE2" w:rsidP="00F72F11">
      <w:pPr>
        <w:pStyle w:val="Default"/>
        <w:spacing w:after="20" w:line="360" w:lineRule="auto"/>
        <w:jc w:val="both"/>
        <w:rPr>
          <w:rFonts w:ascii="Times New Roman" w:hAnsi="Times New Roman" w:cs="Times New Roman"/>
          <w:b/>
          <w:sz w:val="22"/>
          <w:szCs w:val="22"/>
        </w:rPr>
      </w:pPr>
    </w:p>
    <w:p w14:paraId="23C74DBD" w14:textId="77777777" w:rsidR="003E2533" w:rsidRPr="003E2533" w:rsidRDefault="003E2533" w:rsidP="00F72F11">
      <w:pPr>
        <w:pStyle w:val="Default"/>
        <w:pBdr>
          <w:top w:val="single" w:sz="4" w:space="1" w:color="auto"/>
          <w:left w:val="single" w:sz="4" w:space="4" w:color="auto"/>
          <w:bottom w:val="single" w:sz="4" w:space="1" w:color="auto"/>
          <w:right w:val="single" w:sz="4" w:space="4" w:color="auto"/>
        </w:pBdr>
        <w:spacing w:after="20" w:line="360" w:lineRule="auto"/>
        <w:jc w:val="both"/>
        <w:rPr>
          <w:rFonts w:ascii="Times New Roman" w:hAnsi="Times New Roman" w:cs="Times New Roman"/>
          <w:sz w:val="22"/>
          <w:szCs w:val="22"/>
        </w:rPr>
      </w:pPr>
      <w:r w:rsidRPr="007C30BC">
        <w:rPr>
          <w:rFonts w:ascii="Times New Roman" w:hAnsi="Times New Roman" w:cs="Times New Roman"/>
          <w:sz w:val="22"/>
          <w:szCs w:val="22"/>
        </w:rPr>
        <w:t xml:space="preserve">Programme </w:t>
      </w:r>
      <w:r w:rsidR="003601E1">
        <w:rPr>
          <w:rFonts w:ascii="Times New Roman" w:hAnsi="Times New Roman" w:cs="Times New Roman"/>
          <w:sz w:val="22"/>
          <w:szCs w:val="22"/>
        </w:rPr>
        <w:t>1 receives an allocation of R42,</w:t>
      </w:r>
      <w:r w:rsidRPr="007C30BC">
        <w:rPr>
          <w:rFonts w:ascii="Times New Roman" w:hAnsi="Times New Roman" w:cs="Times New Roman"/>
          <w:sz w:val="22"/>
          <w:szCs w:val="22"/>
        </w:rPr>
        <w:t>0 million for the 2018/19 financial year and constitutes 78</w:t>
      </w:r>
      <w:r w:rsidR="009E2F1A">
        <w:rPr>
          <w:rFonts w:ascii="Times New Roman" w:hAnsi="Times New Roman" w:cs="Times New Roman"/>
          <w:sz w:val="22"/>
          <w:szCs w:val="22"/>
        </w:rPr>
        <w:t>,</w:t>
      </w:r>
      <w:r w:rsidRPr="007C30BC">
        <w:rPr>
          <w:rFonts w:ascii="Times New Roman" w:hAnsi="Times New Roman" w:cs="Times New Roman"/>
          <w:sz w:val="22"/>
          <w:szCs w:val="22"/>
        </w:rPr>
        <w:t>2% of the E</w:t>
      </w:r>
      <w:r w:rsidR="003601E1">
        <w:rPr>
          <w:rFonts w:ascii="Times New Roman" w:hAnsi="Times New Roman" w:cs="Times New Roman"/>
          <w:sz w:val="22"/>
          <w:szCs w:val="22"/>
        </w:rPr>
        <w:t>ntity’s total allocation of R53,</w:t>
      </w:r>
      <w:r w:rsidRPr="007C30BC">
        <w:rPr>
          <w:rFonts w:ascii="Times New Roman" w:hAnsi="Times New Roman" w:cs="Times New Roman"/>
          <w:sz w:val="22"/>
          <w:szCs w:val="22"/>
        </w:rPr>
        <w:t>7 million.</w:t>
      </w:r>
      <w:r w:rsidRPr="007C30BC">
        <w:rPr>
          <w:rStyle w:val="FootnoteReference"/>
          <w:rFonts w:ascii="Times New Roman" w:hAnsi="Times New Roman" w:cs="Times New Roman"/>
          <w:sz w:val="22"/>
          <w:szCs w:val="22"/>
        </w:rPr>
        <w:footnoteReference w:id="106"/>
      </w:r>
      <w:r w:rsidR="003601E1">
        <w:rPr>
          <w:rFonts w:ascii="Times New Roman" w:hAnsi="Times New Roman" w:cs="Times New Roman"/>
          <w:sz w:val="22"/>
          <w:szCs w:val="22"/>
        </w:rPr>
        <w:t xml:space="preserve"> This is an increase of R1,7 million from the R40,</w:t>
      </w:r>
      <w:r w:rsidRPr="007C30BC">
        <w:rPr>
          <w:rFonts w:ascii="Times New Roman" w:hAnsi="Times New Roman" w:cs="Times New Roman"/>
          <w:sz w:val="22"/>
          <w:szCs w:val="22"/>
        </w:rPr>
        <w:t>3 million for 2017/18.</w:t>
      </w:r>
    </w:p>
    <w:p w14:paraId="2FFDFFBD" w14:textId="77777777" w:rsidR="00BB1EE2" w:rsidRPr="001170E4" w:rsidRDefault="00BB1EE2" w:rsidP="00F72F11">
      <w:pPr>
        <w:pStyle w:val="Default"/>
        <w:spacing w:after="20" w:line="360" w:lineRule="auto"/>
        <w:jc w:val="both"/>
        <w:rPr>
          <w:rFonts w:ascii="Times New Roman" w:hAnsi="Times New Roman" w:cs="Times New Roman"/>
          <w:sz w:val="22"/>
          <w:szCs w:val="22"/>
        </w:rPr>
      </w:pPr>
    </w:p>
    <w:p w14:paraId="3E48B25A"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 xml:space="preserve">Programme 2: Skills for Infrastructure Delivery </w:t>
      </w:r>
    </w:p>
    <w:p w14:paraId="05EF057C" w14:textId="77777777" w:rsidR="00BB1EE2" w:rsidRPr="001170E4" w:rsidRDefault="00BB1EE2" w:rsidP="00F72F11">
      <w:pPr>
        <w:pStyle w:val="Default"/>
        <w:spacing w:after="20" w:line="360" w:lineRule="auto"/>
        <w:jc w:val="both"/>
        <w:rPr>
          <w:rFonts w:ascii="Times New Roman" w:hAnsi="Times New Roman" w:cs="Times New Roman"/>
          <w:b/>
          <w:sz w:val="22"/>
          <w:szCs w:val="22"/>
        </w:rPr>
      </w:pPr>
      <w:r w:rsidRPr="001170E4">
        <w:rPr>
          <w:rFonts w:ascii="Times New Roman" w:hAnsi="Times New Roman" w:cs="Times New Roman"/>
          <w:b/>
          <w:sz w:val="22"/>
          <w:szCs w:val="22"/>
        </w:rPr>
        <w:t>Strategic Objective</w:t>
      </w:r>
      <w:r w:rsidRPr="001170E4">
        <w:rPr>
          <w:rFonts w:ascii="Times New Roman" w:hAnsi="Times New Roman" w:cs="Times New Roman"/>
          <w:sz w:val="22"/>
          <w:szCs w:val="22"/>
        </w:rPr>
        <w:t>:  Drive and facilitate skills development and transformation in the BE. Additionally, this programme will aim to translate the knowledge generated from its pilot projects into frameworks/action plans for large-scale cooperative implementation of facilitation and assistance of such.</w:t>
      </w:r>
      <w:r w:rsidRPr="001170E4">
        <w:rPr>
          <w:rStyle w:val="FootnoteReference"/>
          <w:rFonts w:ascii="Times New Roman" w:hAnsi="Times New Roman" w:cs="Times New Roman"/>
          <w:sz w:val="22"/>
          <w:szCs w:val="22"/>
        </w:rPr>
        <w:footnoteReference w:id="107"/>
      </w:r>
      <w:r w:rsidRPr="001170E4">
        <w:rPr>
          <w:rFonts w:ascii="Times New Roman" w:hAnsi="Times New Roman" w:cs="Times New Roman"/>
          <w:sz w:val="22"/>
          <w:szCs w:val="22"/>
        </w:rPr>
        <w:t xml:space="preserve"> </w:t>
      </w:r>
    </w:p>
    <w:p w14:paraId="3DB210E8" w14:textId="77777777" w:rsidR="00BB1EE2" w:rsidRPr="001170E4" w:rsidRDefault="00BB1EE2" w:rsidP="00F72F11">
      <w:pPr>
        <w:pStyle w:val="Default"/>
        <w:spacing w:after="20" w:line="360" w:lineRule="auto"/>
        <w:jc w:val="both"/>
        <w:rPr>
          <w:rFonts w:ascii="Times New Roman" w:hAnsi="Times New Roman" w:cs="Times New Roman"/>
          <w:sz w:val="22"/>
          <w:szCs w:val="22"/>
        </w:rPr>
      </w:pPr>
    </w:p>
    <w:p w14:paraId="733F6A39" w14:textId="37D1044B" w:rsidR="00BB1EE2" w:rsidRPr="003479E6" w:rsidRDefault="003479E6" w:rsidP="00F72F11">
      <w:pPr>
        <w:pStyle w:val="Default"/>
        <w:pBdr>
          <w:top w:val="single" w:sz="4" w:space="1" w:color="auto"/>
          <w:left w:val="single" w:sz="4" w:space="4" w:color="auto"/>
          <w:bottom w:val="single" w:sz="4" w:space="1" w:color="auto"/>
          <w:right w:val="single" w:sz="4" w:space="4" w:color="auto"/>
        </w:pBdr>
        <w:spacing w:after="20" w:line="360" w:lineRule="auto"/>
        <w:jc w:val="both"/>
        <w:rPr>
          <w:rFonts w:ascii="Times New Roman" w:hAnsi="Times New Roman" w:cs="Times New Roman"/>
          <w:color w:val="0D0D0D"/>
          <w:sz w:val="22"/>
          <w:szCs w:val="22"/>
        </w:rPr>
      </w:pPr>
      <w:r w:rsidRPr="003479E6">
        <w:rPr>
          <w:rFonts w:ascii="Times New Roman" w:hAnsi="Times New Roman" w:cs="Times New Roman"/>
          <w:sz w:val="22"/>
          <w:szCs w:val="22"/>
        </w:rPr>
        <w:t>Programme</w:t>
      </w:r>
      <w:r w:rsidR="003601E1">
        <w:rPr>
          <w:rFonts w:ascii="Times New Roman" w:hAnsi="Times New Roman" w:cs="Times New Roman"/>
          <w:sz w:val="22"/>
          <w:szCs w:val="22"/>
        </w:rPr>
        <w:t xml:space="preserve"> 2 receives an allocation of R9,</w:t>
      </w:r>
      <w:r w:rsidRPr="003479E6">
        <w:rPr>
          <w:rFonts w:ascii="Times New Roman" w:hAnsi="Times New Roman" w:cs="Times New Roman"/>
          <w:sz w:val="22"/>
          <w:szCs w:val="22"/>
        </w:rPr>
        <w:t>2 million for 201</w:t>
      </w:r>
      <w:r w:rsidR="00EB301C">
        <w:rPr>
          <w:rFonts w:ascii="Times New Roman" w:hAnsi="Times New Roman" w:cs="Times New Roman"/>
          <w:sz w:val="22"/>
          <w:szCs w:val="22"/>
        </w:rPr>
        <w:t>8</w:t>
      </w:r>
      <w:r w:rsidRPr="003479E6">
        <w:rPr>
          <w:rFonts w:ascii="Times New Roman" w:hAnsi="Times New Roman" w:cs="Times New Roman"/>
          <w:sz w:val="22"/>
          <w:szCs w:val="22"/>
        </w:rPr>
        <w:t>/1</w:t>
      </w:r>
      <w:r w:rsidR="00EB301C">
        <w:rPr>
          <w:rFonts w:ascii="Times New Roman" w:hAnsi="Times New Roman" w:cs="Times New Roman"/>
          <w:sz w:val="22"/>
          <w:szCs w:val="22"/>
        </w:rPr>
        <w:t>9</w:t>
      </w:r>
      <w:r w:rsidRPr="003479E6">
        <w:rPr>
          <w:rFonts w:ascii="Times New Roman" w:hAnsi="Times New Roman" w:cs="Times New Roman"/>
          <w:sz w:val="22"/>
          <w:szCs w:val="22"/>
        </w:rPr>
        <w:t xml:space="preserve"> and constitutes 17</w:t>
      </w:r>
      <w:r w:rsidR="009E2F1A">
        <w:rPr>
          <w:rFonts w:ascii="Times New Roman" w:hAnsi="Times New Roman" w:cs="Times New Roman"/>
          <w:sz w:val="22"/>
          <w:szCs w:val="22"/>
        </w:rPr>
        <w:t>,</w:t>
      </w:r>
      <w:r w:rsidRPr="003479E6">
        <w:rPr>
          <w:rFonts w:ascii="Times New Roman" w:hAnsi="Times New Roman" w:cs="Times New Roman"/>
          <w:sz w:val="22"/>
          <w:szCs w:val="22"/>
        </w:rPr>
        <w:t>1% of the total programme allocation.</w:t>
      </w:r>
      <w:r w:rsidRPr="003479E6">
        <w:rPr>
          <w:rStyle w:val="FootnoteReference"/>
          <w:rFonts w:ascii="Times New Roman" w:hAnsi="Times New Roman" w:cs="Times New Roman"/>
          <w:sz w:val="22"/>
          <w:szCs w:val="22"/>
        </w:rPr>
        <w:footnoteReference w:id="108"/>
      </w:r>
      <w:r w:rsidRPr="003479E6">
        <w:rPr>
          <w:rFonts w:ascii="Times New Roman" w:hAnsi="Times New Roman" w:cs="Times New Roman"/>
          <w:sz w:val="22"/>
          <w:szCs w:val="22"/>
        </w:rPr>
        <w:t xml:space="preserve"> This constitutes an incre</w:t>
      </w:r>
      <w:r w:rsidR="003601E1">
        <w:rPr>
          <w:rFonts w:ascii="Times New Roman" w:hAnsi="Times New Roman" w:cs="Times New Roman"/>
          <w:sz w:val="22"/>
          <w:szCs w:val="22"/>
        </w:rPr>
        <w:t>ase of R1</w:t>
      </w:r>
      <w:r w:rsidR="009E2F1A">
        <w:rPr>
          <w:rFonts w:ascii="Times New Roman" w:hAnsi="Times New Roman" w:cs="Times New Roman"/>
          <w:sz w:val="22"/>
          <w:szCs w:val="22"/>
        </w:rPr>
        <w:t>,</w:t>
      </w:r>
      <w:r w:rsidR="003601E1">
        <w:rPr>
          <w:rFonts w:ascii="Times New Roman" w:hAnsi="Times New Roman" w:cs="Times New Roman"/>
          <w:sz w:val="22"/>
          <w:szCs w:val="22"/>
        </w:rPr>
        <w:t>9 million from the R7,</w:t>
      </w:r>
      <w:r w:rsidRPr="003479E6">
        <w:rPr>
          <w:rFonts w:ascii="Times New Roman" w:hAnsi="Times New Roman" w:cs="Times New Roman"/>
          <w:sz w:val="22"/>
          <w:szCs w:val="22"/>
        </w:rPr>
        <w:t xml:space="preserve">3 million allocation in 2017/18. </w:t>
      </w:r>
    </w:p>
    <w:p w14:paraId="62DAF3A8" w14:textId="77777777" w:rsidR="00BB1EE2" w:rsidRPr="001170E4" w:rsidRDefault="00BB1EE2" w:rsidP="00F72F11">
      <w:pPr>
        <w:pStyle w:val="Default"/>
        <w:spacing w:after="20" w:line="360" w:lineRule="auto"/>
        <w:jc w:val="both"/>
        <w:rPr>
          <w:rFonts w:ascii="Times New Roman" w:hAnsi="Times New Roman" w:cs="Times New Roman"/>
          <w:color w:val="0D0D0D"/>
          <w:sz w:val="22"/>
          <w:szCs w:val="22"/>
        </w:rPr>
      </w:pPr>
    </w:p>
    <w:p w14:paraId="04C2640E" w14:textId="77777777" w:rsidR="00BB1EE2" w:rsidRPr="001170E4" w:rsidRDefault="00BB1EE2" w:rsidP="00F72F11">
      <w:pPr>
        <w:pStyle w:val="Default"/>
        <w:spacing w:after="20" w:line="360" w:lineRule="auto"/>
        <w:jc w:val="both"/>
        <w:rPr>
          <w:rFonts w:ascii="Times New Roman" w:hAnsi="Times New Roman" w:cs="Times New Roman"/>
          <w:color w:val="0D0D0D"/>
          <w:sz w:val="22"/>
          <w:szCs w:val="22"/>
        </w:rPr>
      </w:pPr>
      <w:r w:rsidRPr="001170E4">
        <w:rPr>
          <w:rFonts w:ascii="Times New Roman" w:hAnsi="Times New Roman" w:cs="Times New Roman"/>
          <w:color w:val="0D0D0D"/>
          <w:sz w:val="22"/>
          <w:szCs w:val="22"/>
        </w:rPr>
        <w:t>The budget for this programme will increase by 6</w:t>
      </w:r>
      <w:r w:rsidR="009E2F1A">
        <w:rPr>
          <w:rFonts w:ascii="Times New Roman" w:hAnsi="Times New Roman" w:cs="Times New Roman"/>
          <w:color w:val="0D0D0D"/>
          <w:sz w:val="22"/>
          <w:szCs w:val="22"/>
        </w:rPr>
        <w:t>,</w:t>
      </w:r>
      <w:r w:rsidRPr="001170E4">
        <w:rPr>
          <w:rFonts w:ascii="Times New Roman" w:hAnsi="Times New Roman" w:cs="Times New Roman"/>
          <w:color w:val="0D0D0D"/>
          <w:sz w:val="22"/>
          <w:szCs w:val="22"/>
        </w:rPr>
        <w:t>6% in the 2017/18 financial year, with the major cost drivers being:</w:t>
      </w:r>
      <w:r w:rsidRPr="001170E4">
        <w:rPr>
          <w:rStyle w:val="FootnoteReference"/>
          <w:rFonts w:ascii="Times New Roman" w:hAnsi="Times New Roman" w:cs="Times New Roman"/>
          <w:color w:val="0D0D0D"/>
          <w:sz w:val="22"/>
          <w:szCs w:val="22"/>
        </w:rPr>
        <w:t xml:space="preserve"> </w:t>
      </w:r>
      <w:r w:rsidRPr="001170E4">
        <w:rPr>
          <w:rStyle w:val="FootnoteReference"/>
          <w:rFonts w:ascii="Times New Roman" w:hAnsi="Times New Roman" w:cs="Times New Roman"/>
          <w:color w:val="0D0D0D"/>
          <w:sz w:val="22"/>
          <w:szCs w:val="22"/>
        </w:rPr>
        <w:footnoteReference w:id="109"/>
      </w:r>
    </w:p>
    <w:p w14:paraId="30850F68" w14:textId="77777777" w:rsidR="00BB1EE2" w:rsidRPr="001170E4" w:rsidRDefault="00BB1EE2" w:rsidP="00B41D07">
      <w:pPr>
        <w:pStyle w:val="Default"/>
        <w:numPr>
          <w:ilvl w:val="0"/>
          <w:numId w:val="45"/>
        </w:numPr>
        <w:spacing w:after="20" w:line="360" w:lineRule="auto"/>
        <w:jc w:val="both"/>
        <w:rPr>
          <w:rFonts w:ascii="Times New Roman" w:hAnsi="Times New Roman" w:cs="Times New Roman"/>
          <w:color w:val="0D0D0D"/>
          <w:sz w:val="22"/>
          <w:szCs w:val="22"/>
        </w:rPr>
      </w:pPr>
      <w:r w:rsidRPr="001170E4">
        <w:rPr>
          <w:rFonts w:ascii="Times New Roman" w:hAnsi="Times New Roman" w:cs="Times New Roman"/>
          <w:color w:val="0D0D0D"/>
          <w:sz w:val="22"/>
          <w:szCs w:val="22"/>
        </w:rPr>
        <w:t>The roll out of Maths and Science support programme for grade 12 learners and increasing awareness at school level of Built Environment professions as viable career choices.</w:t>
      </w:r>
    </w:p>
    <w:p w14:paraId="7BACC399" w14:textId="77777777" w:rsidR="00BB1EE2" w:rsidRPr="001170E4" w:rsidRDefault="00BB1EE2" w:rsidP="00B41D07">
      <w:pPr>
        <w:pStyle w:val="Default"/>
        <w:numPr>
          <w:ilvl w:val="0"/>
          <w:numId w:val="45"/>
        </w:numPr>
        <w:spacing w:after="20" w:line="360" w:lineRule="auto"/>
        <w:jc w:val="both"/>
        <w:rPr>
          <w:rFonts w:ascii="Times New Roman" w:hAnsi="Times New Roman" w:cs="Times New Roman"/>
          <w:b/>
          <w:color w:val="auto"/>
          <w:sz w:val="22"/>
          <w:szCs w:val="22"/>
        </w:rPr>
      </w:pPr>
      <w:r w:rsidRPr="001170E4">
        <w:rPr>
          <w:rFonts w:ascii="Times New Roman" w:hAnsi="Times New Roman" w:cs="Times New Roman"/>
          <w:color w:val="0D0D0D"/>
          <w:sz w:val="22"/>
          <w:szCs w:val="22"/>
        </w:rPr>
        <w:t>The refinement of the pilot project on the Integrated Workplace Training Model for candidates and interns.</w:t>
      </w:r>
    </w:p>
    <w:p w14:paraId="2DD8B4FA" w14:textId="77777777" w:rsidR="00BB1EE2" w:rsidRPr="001170E4" w:rsidRDefault="00BB1EE2" w:rsidP="00F72F11">
      <w:pPr>
        <w:pStyle w:val="Default"/>
        <w:spacing w:after="20" w:line="360" w:lineRule="auto"/>
        <w:jc w:val="both"/>
        <w:rPr>
          <w:rFonts w:ascii="Times New Roman" w:hAnsi="Times New Roman" w:cs="Times New Roman"/>
          <w:b/>
          <w:sz w:val="22"/>
          <w:szCs w:val="22"/>
        </w:rPr>
      </w:pPr>
    </w:p>
    <w:p w14:paraId="6DA39FFA" w14:textId="77777777" w:rsidR="001F3E27" w:rsidRDefault="001F3E27">
      <w:pPr>
        <w:rPr>
          <w:rFonts w:ascii="Times New Roman" w:hAnsi="Times New Roman" w:cs="Times New Roman"/>
          <w:b/>
        </w:rPr>
      </w:pPr>
      <w:r>
        <w:rPr>
          <w:rFonts w:ascii="Times New Roman" w:hAnsi="Times New Roman" w:cs="Times New Roman"/>
          <w:b/>
        </w:rPr>
        <w:br w:type="page"/>
      </w:r>
    </w:p>
    <w:p w14:paraId="393D2CC3"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lastRenderedPageBreak/>
        <w:t xml:space="preserve">Programme 3: Built Environment Research, Information and Advisory </w:t>
      </w:r>
    </w:p>
    <w:p w14:paraId="7AEB00E4"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 xml:space="preserve">Strategic Objective: </w:t>
      </w:r>
      <w:r w:rsidRPr="001170E4">
        <w:rPr>
          <w:rFonts w:ascii="Times New Roman" w:hAnsi="Times New Roman" w:cs="Times New Roman"/>
        </w:rPr>
        <w:t>Provide informed and researched advice to Government on Built Environment priority matters identified in the 2014 MTEF.</w:t>
      </w:r>
      <w:r w:rsidRPr="001170E4">
        <w:rPr>
          <w:rFonts w:ascii="Times New Roman" w:hAnsi="Times New Roman" w:cs="Times New Roman"/>
          <w:b/>
        </w:rPr>
        <w:t xml:space="preserve"> </w:t>
      </w:r>
    </w:p>
    <w:p w14:paraId="248E12AE" w14:textId="77777777" w:rsidR="00BB1EE2" w:rsidRPr="001170E4" w:rsidRDefault="00BB1EE2" w:rsidP="00F72F11">
      <w:pPr>
        <w:pStyle w:val="Default"/>
        <w:spacing w:after="20" w:line="360" w:lineRule="auto"/>
        <w:jc w:val="both"/>
        <w:rPr>
          <w:rFonts w:ascii="Times New Roman" w:hAnsi="Times New Roman" w:cs="Times New Roman"/>
          <w:sz w:val="22"/>
          <w:szCs w:val="22"/>
        </w:rPr>
      </w:pPr>
    </w:p>
    <w:p w14:paraId="796F6DC1" w14:textId="77777777" w:rsidR="00B30948" w:rsidRPr="00B30948" w:rsidRDefault="00B30948" w:rsidP="00F72F11">
      <w:pPr>
        <w:pStyle w:val="Default"/>
        <w:pBdr>
          <w:top w:val="single" w:sz="4" w:space="1" w:color="auto"/>
          <w:left w:val="single" w:sz="4" w:space="4" w:color="auto"/>
          <w:bottom w:val="single" w:sz="4" w:space="1" w:color="auto"/>
          <w:right w:val="single" w:sz="4" w:space="4" w:color="auto"/>
        </w:pBdr>
        <w:spacing w:after="20" w:line="360" w:lineRule="auto"/>
        <w:jc w:val="both"/>
        <w:rPr>
          <w:rFonts w:ascii="Times New Roman" w:hAnsi="Times New Roman" w:cs="Times New Roman"/>
          <w:sz w:val="22"/>
          <w:szCs w:val="22"/>
        </w:rPr>
      </w:pPr>
      <w:r w:rsidRPr="00B30948">
        <w:rPr>
          <w:rFonts w:ascii="Times New Roman" w:hAnsi="Times New Roman" w:cs="Times New Roman"/>
          <w:sz w:val="22"/>
          <w:szCs w:val="22"/>
        </w:rPr>
        <w:t>Programme 3 receives an allocation of R790 000 for the 2018/19 financial year and constitutes 1</w:t>
      </w:r>
      <w:r w:rsidR="009E2F1A">
        <w:rPr>
          <w:rFonts w:ascii="Times New Roman" w:hAnsi="Times New Roman" w:cs="Times New Roman"/>
          <w:sz w:val="22"/>
          <w:szCs w:val="22"/>
        </w:rPr>
        <w:t>,</w:t>
      </w:r>
      <w:r w:rsidRPr="00B30948">
        <w:rPr>
          <w:rFonts w:ascii="Times New Roman" w:hAnsi="Times New Roman" w:cs="Times New Roman"/>
          <w:sz w:val="22"/>
          <w:szCs w:val="22"/>
        </w:rPr>
        <w:t>5% of the total budget. This constitutes a decrease of R1</w:t>
      </w:r>
      <w:r w:rsidR="003601E1">
        <w:rPr>
          <w:rFonts w:ascii="Times New Roman" w:hAnsi="Times New Roman" w:cs="Times New Roman"/>
          <w:sz w:val="22"/>
          <w:szCs w:val="22"/>
        </w:rPr>
        <w:t>,7 million from the R2,</w:t>
      </w:r>
      <w:r w:rsidRPr="00B30948">
        <w:rPr>
          <w:rFonts w:ascii="Times New Roman" w:hAnsi="Times New Roman" w:cs="Times New Roman"/>
          <w:sz w:val="22"/>
          <w:szCs w:val="22"/>
        </w:rPr>
        <w:t>5 million allocation in 2017/18.</w:t>
      </w:r>
      <w:r w:rsidRPr="00B30948">
        <w:rPr>
          <w:rStyle w:val="FootnoteReference"/>
          <w:rFonts w:ascii="Times New Roman" w:hAnsi="Times New Roman" w:cs="Times New Roman"/>
          <w:sz w:val="22"/>
          <w:szCs w:val="22"/>
        </w:rPr>
        <w:footnoteReference w:id="110"/>
      </w:r>
    </w:p>
    <w:p w14:paraId="42D28F6E" w14:textId="77777777" w:rsidR="00BB1EE2" w:rsidRPr="001170E4" w:rsidRDefault="00BB1EE2" w:rsidP="00F72F11">
      <w:pPr>
        <w:pStyle w:val="Default"/>
        <w:spacing w:after="20" w:line="360" w:lineRule="auto"/>
        <w:jc w:val="both"/>
        <w:rPr>
          <w:rFonts w:ascii="Times New Roman" w:hAnsi="Times New Roman" w:cs="Times New Roman"/>
          <w:color w:val="auto"/>
          <w:sz w:val="22"/>
          <w:szCs w:val="22"/>
        </w:rPr>
      </w:pPr>
    </w:p>
    <w:p w14:paraId="22D554CA" w14:textId="77777777" w:rsidR="00BB1EE2" w:rsidRPr="001170E4" w:rsidRDefault="00BB1EE2" w:rsidP="00F72F11">
      <w:pPr>
        <w:pStyle w:val="Default"/>
        <w:spacing w:after="20" w:line="360" w:lineRule="auto"/>
        <w:jc w:val="both"/>
        <w:rPr>
          <w:rFonts w:ascii="Times New Roman" w:hAnsi="Times New Roman" w:cs="Times New Roman"/>
          <w:color w:val="auto"/>
          <w:sz w:val="22"/>
          <w:szCs w:val="22"/>
        </w:rPr>
      </w:pPr>
      <w:r w:rsidRPr="001170E4">
        <w:rPr>
          <w:rFonts w:ascii="Times New Roman" w:hAnsi="Times New Roman" w:cs="Times New Roman"/>
          <w:color w:val="auto"/>
          <w:sz w:val="22"/>
          <w:szCs w:val="22"/>
        </w:rPr>
        <w:t>Programme 3 reports an increase in its budget of 6</w:t>
      </w:r>
      <w:r w:rsidR="009E2F1A">
        <w:rPr>
          <w:rFonts w:ascii="Times New Roman" w:hAnsi="Times New Roman" w:cs="Times New Roman"/>
          <w:color w:val="auto"/>
          <w:sz w:val="22"/>
          <w:szCs w:val="22"/>
        </w:rPr>
        <w:t>,</w:t>
      </w:r>
      <w:r w:rsidRPr="001170E4">
        <w:rPr>
          <w:rFonts w:ascii="Times New Roman" w:hAnsi="Times New Roman" w:cs="Times New Roman"/>
          <w:color w:val="auto"/>
          <w:sz w:val="22"/>
          <w:szCs w:val="22"/>
        </w:rPr>
        <w:t>6% due to the following key cost drivers, namely, research; Portal for research information; knowledge and information gathering; publication and stakeholder forums.</w:t>
      </w:r>
      <w:r w:rsidRPr="001170E4">
        <w:rPr>
          <w:rStyle w:val="FootnoteReference"/>
          <w:rFonts w:ascii="Times New Roman" w:hAnsi="Times New Roman" w:cs="Times New Roman"/>
          <w:color w:val="auto"/>
          <w:sz w:val="22"/>
          <w:szCs w:val="22"/>
        </w:rPr>
        <w:footnoteReference w:id="111"/>
      </w:r>
      <w:r w:rsidRPr="001170E4">
        <w:rPr>
          <w:rFonts w:ascii="Times New Roman" w:hAnsi="Times New Roman" w:cs="Times New Roman"/>
          <w:color w:val="auto"/>
          <w:sz w:val="22"/>
          <w:szCs w:val="22"/>
        </w:rPr>
        <w:t xml:space="preserve"> </w:t>
      </w:r>
    </w:p>
    <w:p w14:paraId="6D229D73" w14:textId="77777777" w:rsidR="00BB1EE2" w:rsidRPr="001170E4" w:rsidRDefault="00BB1EE2" w:rsidP="00F72F11">
      <w:pPr>
        <w:pStyle w:val="Default"/>
        <w:spacing w:after="20" w:line="360" w:lineRule="auto"/>
        <w:jc w:val="both"/>
        <w:rPr>
          <w:rFonts w:ascii="Times New Roman" w:hAnsi="Times New Roman" w:cs="Times New Roman"/>
          <w:color w:val="auto"/>
          <w:sz w:val="22"/>
          <w:szCs w:val="22"/>
        </w:rPr>
      </w:pPr>
    </w:p>
    <w:p w14:paraId="63FF3D56"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Programme 4</w:t>
      </w:r>
      <w:r w:rsidR="00B339AF">
        <w:rPr>
          <w:rFonts w:ascii="Times New Roman" w:hAnsi="Times New Roman" w:cs="Times New Roman"/>
          <w:b/>
        </w:rPr>
        <w:t>: Regulation and Oversight of Six</w:t>
      </w:r>
      <w:r w:rsidRPr="001170E4">
        <w:rPr>
          <w:rFonts w:ascii="Times New Roman" w:hAnsi="Times New Roman" w:cs="Times New Roman"/>
          <w:b/>
        </w:rPr>
        <w:t xml:space="preserve"> BEPCs</w:t>
      </w:r>
      <w:r w:rsidRPr="001170E4">
        <w:rPr>
          <w:rStyle w:val="FootnoteReference"/>
          <w:rFonts w:ascii="Times New Roman" w:hAnsi="Times New Roman" w:cs="Times New Roman"/>
          <w:b/>
        </w:rPr>
        <w:footnoteReference w:id="112"/>
      </w:r>
    </w:p>
    <w:p w14:paraId="51E0F01F"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b/>
        </w:rPr>
        <w:t>Strategic Objective</w:t>
      </w:r>
      <w:r w:rsidRPr="001170E4">
        <w:rPr>
          <w:rFonts w:ascii="Times New Roman" w:hAnsi="Times New Roman" w:cs="Times New Roman"/>
        </w:rPr>
        <w:t>: To act as an appeal body on matters of law referred to it in terms of legislation regulating the Built Environment Professions and to promote and ensure high standards of professional ethics and conduct within the Built Environment.</w:t>
      </w:r>
      <w:r w:rsidRPr="001170E4">
        <w:rPr>
          <w:rStyle w:val="FootnoteReference"/>
          <w:rFonts w:ascii="Times New Roman" w:hAnsi="Times New Roman" w:cs="Times New Roman"/>
        </w:rPr>
        <w:t xml:space="preserve"> </w:t>
      </w:r>
      <w:r w:rsidRPr="001170E4">
        <w:rPr>
          <w:rStyle w:val="FootnoteReference"/>
          <w:rFonts w:ascii="Times New Roman" w:hAnsi="Times New Roman" w:cs="Times New Roman"/>
        </w:rPr>
        <w:footnoteReference w:id="113"/>
      </w:r>
    </w:p>
    <w:p w14:paraId="3D68B3F9" w14:textId="77777777" w:rsidR="00BB1EE2" w:rsidRPr="001170E4" w:rsidRDefault="00BB1EE2" w:rsidP="00F72F11">
      <w:pPr>
        <w:pStyle w:val="Default"/>
        <w:spacing w:after="20" w:line="360" w:lineRule="auto"/>
        <w:jc w:val="both"/>
        <w:rPr>
          <w:rFonts w:ascii="Times New Roman" w:hAnsi="Times New Roman" w:cs="Times New Roman"/>
          <w:sz w:val="22"/>
          <w:szCs w:val="22"/>
        </w:rPr>
      </w:pPr>
    </w:p>
    <w:p w14:paraId="74CD21B5" w14:textId="77777777" w:rsidR="00B30948" w:rsidRPr="00B30948" w:rsidRDefault="00B30948" w:rsidP="00F72F11">
      <w:pPr>
        <w:pStyle w:val="Default"/>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2"/>
          <w:szCs w:val="22"/>
        </w:rPr>
      </w:pPr>
      <w:r w:rsidRPr="00B30948">
        <w:rPr>
          <w:rFonts w:ascii="Times New Roman" w:hAnsi="Times New Roman" w:cs="Times New Roman"/>
          <w:sz w:val="22"/>
          <w:szCs w:val="22"/>
        </w:rPr>
        <w:t>Programme 4 received an allocation of R1</w:t>
      </w:r>
      <w:r w:rsidR="009E2F1A">
        <w:rPr>
          <w:rFonts w:ascii="Times New Roman" w:hAnsi="Times New Roman" w:cs="Times New Roman"/>
          <w:sz w:val="22"/>
          <w:szCs w:val="22"/>
        </w:rPr>
        <w:t>,</w:t>
      </w:r>
      <w:r w:rsidRPr="00B30948">
        <w:rPr>
          <w:rFonts w:ascii="Times New Roman" w:hAnsi="Times New Roman" w:cs="Times New Roman"/>
          <w:sz w:val="22"/>
          <w:szCs w:val="22"/>
        </w:rPr>
        <w:t>3 million for 2018/19, which constitutes 2</w:t>
      </w:r>
      <w:r w:rsidR="009E2F1A">
        <w:rPr>
          <w:rFonts w:ascii="Times New Roman" w:hAnsi="Times New Roman" w:cs="Times New Roman"/>
          <w:sz w:val="22"/>
          <w:szCs w:val="22"/>
        </w:rPr>
        <w:t>,</w:t>
      </w:r>
      <w:r w:rsidRPr="00B30948">
        <w:rPr>
          <w:rFonts w:ascii="Times New Roman" w:hAnsi="Times New Roman" w:cs="Times New Roman"/>
          <w:sz w:val="22"/>
          <w:szCs w:val="22"/>
        </w:rPr>
        <w:t>5% of the total allocation. This is an increase of R408 000 from the R913 000 allocation received in 2017/18.</w:t>
      </w:r>
      <w:r w:rsidRPr="00B30948">
        <w:rPr>
          <w:rStyle w:val="FootnoteReference"/>
          <w:rFonts w:ascii="Times New Roman" w:hAnsi="Times New Roman" w:cs="Times New Roman"/>
          <w:sz w:val="22"/>
          <w:szCs w:val="22"/>
        </w:rPr>
        <w:footnoteReference w:id="114"/>
      </w:r>
      <w:r w:rsidRPr="00B30948">
        <w:rPr>
          <w:rFonts w:ascii="Times New Roman" w:hAnsi="Times New Roman" w:cs="Times New Roman"/>
          <w:sz w:val="22"/>
          <w:szCs w:val="22"/>
        </w:rPr>
        <w:t xml:space="preserve"> </w:t>
      </w:r>
    </w:p>
    <w:p w14:paraId="7C931D2D" w14:textId="77777777" w:rsidR="00BB1EE2" w:rsidRPr="001170E4" w:rsidRDefault="00BB1EE2" w:rsidP="00F72F11">
      <w:pPr>
        <w:pStyle w:val="Default"/>
        <w:shd w:val="clear" w:color="auto" w:fill="FFFFFF" w:themeFill="background1"/>
        <w:spacing w:line="360" w:lineRule="auto"/>
        <w:jc w:val="both"/>
        <w:rPr>
          <w:rFonts w:ascii="Times New Roman" w:hAnsi="Times New Roman" w:cs="Times New Roman"/>
          <w:sz w:val="22"/>
          <w:szCs w:val="22"/>
        </w:rPr>
      </w:pPr>
    </w:p>
    <w:p w14:paraId="32D35470" w14:textId="77777777" w:rsidR="00BB1EE2" w:rsidRPr="001170E4" w:rsidRDefault="00BB1EE2" w:rsidP="00F72F11">
      <w:pPr>
        <w:pStyle w:val="Default"/>
        <w:spacing w:line="360" w:lineRule="auto"/>
        <w:jc w:val="both"/>
        <w:rPr>
          <w:rFonts w:ascii="Times New Roman" w:hAnsi="Times New Roman" w:cs="Times New Roman"/>
          <w:sz w:val="22"/>
          <w:szCs w:val="22"/>
        </w:rPr>
      </w:pPr>
      <w:r w:rsidRPr="001170E4">
        <w:rPr>
          <w:rFonts w:ascii="Times New Roman" w:hAnsi="Times New Roman" w:cs="Times New Roman"/>
          <w:sz w:val="22"/>
          <w:szCs w:val="22"/>
        </w:rPr>
        <w:t>The major cost drivers remain:</w:t>
      </w:r>
      <w:r w:rsidRPr="001170E4">
        <w:rPr>
          <w:rStyle w:val="FootnoteReference"/>
          <w:rFonts w:ascii="Times New Roman" w:hAnsi="Times New Roman" w:cs="Times New Roman"/>
          <w:sz w:val="22"/>
          <w:szCs w:val="22"/>
        </w:rPr>
        <w:footnoteReference w:id="115"/>
      </w:r>
    </w:p>
    <w:p w14:paraId="705B27B9" w14:textId="77777777" w:rsidR="00BB1EE2" w:rsidRPr="001170E4" w:rsidRDefault="00BB1EE2" w:rsidP="00B41D07">
      <w:pPr>
        <w:pStyle w:val="Default"/>
        <w:numPr>
          <w:ilvl w:val="0"/>
          <w:numId w:val="44"/>
        </w:numPr>
        <w:spacing w:line="360" w:lineRule="auto"/>
        <w:jc w:val="both"/>
        <w:rPr>
          <w:rFonts w:ascii="Times New Roman" w:hAnsi="Times New Roman" w:cs="Times New Roman"/>
          <w:sz w:val="22"/>
          <w:szCs w:val="22"/>
        </w:rPr>
      </w:pPr>
      <w:r w:rsidRPr="001170E4">
        <w:rPr>
          <w:rFonts w:ascii="Times New Roman" w:hAnsi="Times New Roman" w:cs="Times New Roman"/>
          <w:sz w:val="22"/>
          <w:szCs w:val="22"/>
        </w:rPr>
        <w:t>Appeals function.</w:t>
      </w:r>
    </w:p>
    <w:p w14:paraId="740FD8A5" w14:textId="77777777" w:rsidR="00BB1EE2" w:rsidRPr="001170E4" w:rsidRDefault="00BB1EE2" w:rsidP="00B41D07">
      <w:pPr>
        <w:pStyle w:val="Default"/>
        <w:numPr>
          <w:ilvl w:val="0"/>
          <w:numId w:val="44"/>
        </w:numPr>
        <w:spacing w:line="360" w:lineRule="auto"/>
        <w:jc w:val="both"/>
        <w:rPr>
          <w:rFonts w:ascii="Times New Roman" w:hAnsi="Times New Roman" w:cs="Times New Roman"/>
          <w:sz w:val="22"/>
          <w:szCs w:val="22"/>
        </w:rPr>
      </w:pPr>
      <w:r w:rsidRPr="001170E4">
        <w:rPr>
          <w:rFonts w:ascii="Times New Roman" w:hAnsi="Times New Roman" w:cs="Times New Roman"/>
          <w:sz w:val="22"/>
          <w:szCs w:val="22"/>
        </w:rPr>
        <w:t>Information dissemination to the public.</w:t>
      </w:r>
    </w:p>
    <w:p w14:paraId="1EF71646" w14:textId="77777777" w:rsidR="00BB1EE2" w:rsidRPr="001170E4" w:rsidRDefault="00BB1EE2" w:rsidP="00B41D07">
      <w:pPr>
        <w:pStyle w:val="Default"/>
        <w:numPr>
          <w:ilvl w:val="0"/>
          <w:numId w:val="44"/>
        </w:numPr>
        <w:spacing w:line="360" w:lineRule="auto"/>
        <w:jc w:val="both"/>
        <w:rPr>
          <w:rFonts w:ascii="Times New Roman" w:hAnsi="Times New Roman" w:cs="Times New Roman"/>
          <w:sz w:val="22"/>
          <w:szCs w:val="22"/>
        </w:rPr>
      </w:pPr>
      <w:r w:rsidRPr="001170E4">
        <w:rPr>
          <w:rFonts w:ascii="Times New Roman" w:hAnsi="Times New Roman" w:cs="Times New Roman"/>
          <w:sz w:val="22"/>
          <w:szCs w:val="22"/>
        </w:rPr>
        <w:t>Identification of Work (IDoW) activities.</w:t>
      </w:r>
    </w:p>
    <w:p w14:paraId="081E374D" w14:textId="77777777" w:rsidR="00BB1EE2" w:rsidRPr="001170E4" w:rsidRDefault="00BB1EE2" w:rsidP="00F72F11">
      <w:pPr>
        <w:spacing w:line="360" w:lineRule="auto"/>
        <w:jc w:val="both"/>
        <w:rPr>
          <w:rFonts w:ascii="Times New Roman" w:hAnsi="Times New Roman" w:cs="Times New Roman"/>
          <w:b/>
        </w:rPr>
      </w:pPr>
    </w:p>
    <w:p w14:paraId="0A3C3D79" w14:textId="77777777" w:rsidR="001F3E27" w:rsidRDefault="001F3E27">
      <w:pPr>
        <w:rPr>
          <w:rFonts w:ascii="Times New Roman" w:hAnsi="Times New Roman" w:cs="Times New Roman"/>
          <w:b/>
        </w:rPr>
      </w:pPr>
      <w:r>
        <w:rPr>
          <w:rFonts w:ascii="Times New Roman" w:hAnsi="Times New Roman" w:cs="Times New Roman"/>
          <w:b/>
        </w:rPr>
        <w:br w:type="page"/>
      </w:r>
    </w:p>
    <w:p w14:paraId="440EFCC9"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lastRenderedPageBreak/>
        <w:t xml:space="preserve">Programme 5: Government Policies and Priorities  </w:t>
      </w:r>
    </w:p>
    <w:p w14:paraId="0E047CD8" w14:textId="689E713C" w:rsidR="00BB1EE2" w:rsidRPr="001170E4" w:rsidRDefault="00BB1EE2" w:rsidP="00F72F11">
      <w:pPr>
        <w:pStyle w:val="BodyText"/>
        <w:spacing w:line="360" w:lineRule="auto"/>
        <w:rPr>
          <w:rFonts w:ascii="Times New Roman" w:hAnsi="Times New Roman"/>
          <w:i/>
          <w:sz w:val="22"/>
          <w:szCs w:val="22"/>
          <w:lang w:val="en-ZA"/>
        </w:rPr>
      </w:pPr>
      <w:r w:rsidRPr="001170E4">
        <w:rPr>
          <w:rFonts w:ascii="Times New Roman" w:hAnsi="Times New Roman"/>
          <w:b/>
          <w:sz w:val="22"/>
          <w:szCs w:val="22"/>
        </w:rPr>
        <w:t>Strategic Objective</w:t>
      </w:r>
      <w:r w:rsidRPr="001170E4">
        <w:rPr>
          <w:rFonts w:ascii="Times New Roman" w:hAnsi="Times New Roman"/>
          <w:sz w:val="22"/>
          <w:szCs w:val="22"/>
          <w:lang w:val="en-ZA"/>
        </w:rPr>
        <w:t>: Built Environment  academic curricula and CPD</w:t>
      </w:r>
      <w:r w:rsidRPr="001170E4">
        <w:rPr>
          <w:rStyle w:val="FootnoteReference"/>
          <w:rFonts w:ascii="Times New Roman" w:hAnsi="Times New Roman"/>
          <w:sz w:val="22"/>
          <w:szCs w:val="22"/>
          <w:lang w:val="en-ZA"/>
        </w:rPr>
        <w:footnoteReference w:id="116"/>
      </w:r>
      <w:r w:rsidRPr="001170E4">
        <w:rPr>
          <w:rFonts w:ascii="Times New Roman" w:hAnsi="Times New Roman"/>
          <w:sz w:val="22"/>
          <w:szCs w:val="22"/>
          <w:lang w:val="en-ZA"/>
        </w:rPr>
        <w:t xml:space="preserve"> programmes that embody issues [such as] health and safety in construction, environmental sustainability and job creation through labour intensive construction and the IDMS</w:t>
      </w:r>
      <w:r w:rsidR="00125AB3">
        <w:rPr>
          <w:rFonts w:ascii="Times New Roman" w:hAnsi="Times New Roman"/>
          <w:sz w:val="22"/>
          <w:szCs w:val="22"/>
          <w:lang w:val="en-ZA"/>
        </w:rPr>
        <w:t>.</w:t>
      </w:r>
      <w:r w:rsidRPr="001170E4">
        <w:rPr>
          <w:rStyle w:val="FootnoteReference"/>
          <w:rFonts w:ascii="Times New Roman" w:hAnsi="Times New Roman"/>
          <w:sz w:val="22"/>
          <w:szCs w:val="22"/>
          <w:lang w:val="en-ZA"/>
        </w:rPr>
        <w:footnoteReference w:id="117"/>
      </w:r>
    </w:p>
    <w:p w14:paraId="5D362B6E" w14:textId="77777777" w:rsidR="00BB1EE2" w:rsidRPr="001170E4" w:rsidRDefault="00BB1EE2" w:rsidP="00F72F11">
      <w:pPr>
        <w:pStyle w:val="Default"/>
        <w:spacing w:after="20" w:line="360" w:lineRule="auto"/>
        <w:ind w:left="785"/>
        <w:jc w:val="both"/>
        <w:rPr>
          <w:rFonts w:ascii="Times New Roman" w:hAnsi="Times New Roman" w:cs="Times New Roman"/>
          <w:color w:val="FF0000"/>
          <w:sz w:val="22"/>
          <w:szCs w:val="22"/>
        </w:rPr>
      </w:pPr>
    </w:p>
    <w:p w14:paraId="022D0750" w14:textId="77777777" w:rsidR="00FE1BB6" w:rsidRPr="00FE1BB6" w:rsidRDefault="00FE1BB6" w:rsidP="00F72F11">
      <w:pPr>
        <w:pStyle w:val="Default"/>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2"/>
          <w:szCs w:val="22"/>
        </w:rPr>
      </w:pPr>
      <w:r w:rsidRPr="00FE1BB6">
        <w:rPr>
          <w:rFonts w:ascii="Times New Roman" w:hAnsi="Times New Roman" w:cs="Times New Roman"/>
          <w:sz w:val="22"/>
          <w:szCs w:val="22"/>
        </w:rPr>
        <w:t>Programme 5 received an allocation of R429 000 in 2018/19 and constitutes 0</w:t>
      </w:r>
      <w:r w:rsidR="009E2F1A">
        <w:rPr>
          <w:rFonts w:ascii="Times New Roman" w:hAnsi="Times New Roman" w:cs="Times New Roman"/>
          <w:sz w:val="22"/>
          <w:szCs w:val="22"/>
        </w:rPr>
        <w:t>,</w:t>
      </w:r>
      <w:r w:rsidRPr="00FE1BB6">
        <w:rPr>
          <w:rFonts w:ascii="Times New Roman" w:hAnsi="Times New Roman" w:cs="Times New Roman"/>
          <w:sz w:val="22"/>
          <w:szCs w:val="22"/>
        </w:rPr>
        <w:t>8% of the total allocation. This is a decrease of R15 000 from the R444 000 allocation in 2017/18.</w:t>
      </w:r>
      <w:r w:rsidRPr="00FE1BB6">
        <w:rPr>
          <w:rStyle w:val="FootnoteReference"/>
          <w:rFonts w:ascii="Times New Roman" w:hAnsi="Times New Roman" w:cs="Times New Roman"/>
          <w:sz w:val="22"/>
          <w:szCs w:val="22"/>
        </w:rPr>
        <w:footnoteReference w:id="118"/>
      </w:r>
      <w:r w:rsidRPr="00FE1BB6">
        <w:rPr>
          <w:rFonts w:ascii="Times New Roman" w:hAnsi="Times New Roman" w:cs="Times New Roman"/>
          <w:sz w:val="22"/>
          <w:szCs w:val="22"/>
        </w:rPr>
        <w:t xml:space="preserve"> </w:t>
      </w:r>
    </w:p>
    <w:p w14:paraId="147E2E34" w14:textId="77777777" w:rsidR="00BB1EE2" w:rsidRPr="001170E4" w:rsidRDefault="00BB1EE2" w:rsidP="00F72F11">
      <w:pPr>
        <w:pStyle w:val="Default"/>
        <w:spacing w:line="360" w:lineRule="auto"/>
        <w:jc w:val="both"/>
        <w:rPr>
          <w:rFonts w:ascii="Times New Roman" w:hAnsi="Times New Roman" w:cs="Times New Roman"/>
          <w:sz w:val="22"/>
          <w:szCs w:val="22"/>
        </w:rPr>
      </w:pPr>
    </w:p>
    <w:p w14:paraId="47BF45D4" w14:textId="77777777" w:rsidR="00BB1EE2" w:rsidRPr="001170E4" w:rsidRDefault="00BB1EE2" w:rsidP="00F72F11">
      <w:pPr>
        <w:pStyle w:val="Default"/>
        <w:spacing w:line="360" w:lineRule="auto"/>
        <w:jc w:val="both"/>
        <w:rPr>
          <w:rFonts w:ascii="Times New Roman" w:hAnsi="Times New Roman" w:cs="Times New Roman"/>
          <w:sz w:val="22"/>
          <w:szCs w:val="22"/>
        </w:rPr>
      </w:pPr>
      <w:r w:rsidRPr="001170E4">
        <w:rPr>
          <w:rFonts w:ascii="Times New Roman" w:hAnsi="Times New Roman" w:cs="Times New Roman"/>
          <w:sz w:val="22"/>
          <w:szCs w:val="22"/>
        </w:rPr>
        <w:t>The main cost driver of Programme 5 is the benchmarking study on Transformation.</w:t>
      </w:r>
      <w:r w:rsidRPr="001170E4">
        <w:rPr>
          <w:rStyle w:val="FootnoteReference"/>
          <w:rFonts w:ascii="Times New Roman" w:hAnsi="Times New Roman" w:cs="Times New Roman"/>
          <w:sz w:val="22"/>
          <w:szCs w:val="22"/>
        </w:rPr>
        <w:footnoteReference w:id="119"/>
      </w:r>
    </w:p>
    <w:p w14:paraId="0FE6A4B2" w14:textId="77777777" w:rsidR="00BB1EE2" w:rsidRPr="001170E4" w:rsidRDefault="00BB1EE2" w:rsidP="00F72F11">
      <w:pPr>
        <w:pStyle w:val="Default"/>
        <w:spacing w:after="20" w:line="360" w:lineRule="auto"/>
        <w:jc w:val="both"/>
        <w:rPr>
          <w:rFonts w:ascii="Times New Roman" w:hAnsi="Times New Roman" w:cs="Times New Roman"/>
          <w:color w:val="0D0D0D"/>
          <w:sz w:val="22"/>
          <w:szCs w:val="22"/>
        </w:rPr>
      </w:pPr>
    </w:p>
    <w:p w14:paraId="1E48E981"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7.4. Human Resources</w:t>
      </w:r>
    </w:p>
    <w:p w14:paraId="6E32AD1D" w14:textId="77777777" w:rsidR="00DD681D" w:rsidRPr="00DD681D" w:rsidRDefault="00DD681D" w:rsidP="00F72F11">
      <w:pPr>
        <w:jc w:val="both"/>
        <w:rPr>
          <w:rFonts w:ascii="Times New Roman" w:hAnsi="Times New Roman" w:cs="Times New Roman"/>
        </w:rPr>
      </w:pPr>
      <w:r w:rsidRPr="00DD681D">
        <w:rPr>
          <w:rFonts w:ascii="Times New Roman" w:hAnsi="Times New Roman" w:cs="Times New Roman"/>
        </w:rPr>
        <w:t>The CBE has a total of 39 approved posts of which 36 were filled and three were vacant.</w:t>
      </w:r>
      <w:r w:rsidRPr="00DD681D">
        <w:rPr>
          <w:rStyle w:val="FootnoteReference"/>
          <w:rFonts w:ascii="Times New Roman" w:hAnsi="Times New Roman" w:cs="Times New Roman"/>
        </w:rPr>
        <w:footnoteReference w:id="120"/>
      </w:r>
    </w:p>
    <w:p w14:paraId="292814AB" w14:textId="77777777" w:rsidR="00DD681D" w:rsidRPr="00DD681D" w:rsidRDefault="00DD681D" w:rsidP="00F72F11">
      <w:pPr>
        <w:jc w:val="both"/>
        <w:rPr>
          <w:rFonts w:ascii="Times New Roman" w:hAnsi="Times New Roman" w:cs="Times New Roman"/>
        </w:rPr>
      </w:pPr>
      <w:r w:rsidRPr="00DD681D">
        <w:rPr>
          <w:rFonts w:ascii="Times New Roman" w:hAnsi="Times New Roman" w:cs="Times New Roman"/>
        </w:rPr>
        <w:t xml:space="preserve">The CBEs staff establishment </w:t>
      </w:r>
      <w:r w:rsidR="00B339AF">
        <w:rPr>
          <w:rFonts w:ascii="Times New Roman" w:hAnsi="Times New Roman" w:cs="Times New Roman"/>
        </w:rPr>
        <w:t>for 2018/19 was stated as</w:t>
      </w:r>
      <w:r w:rsidRPr="00DD681D">
        <w:rPr>
          <w:rFonts w:ascii="Times New Roman" w:hAnsi="Times New Roman" w:cs="Times New Roman"/>
        </w:rPr>
        <w:t>:</w:t>
      </w:r>
      <w:r w:rsidRPr="00DD681D">
        <w:rPr>
          <w:rStyle w:val="FootnoteReference"/>
          <w:rFonts w:ascii="Times New Roman" w:hAnsi="Times New Roman" w:cs="Times New Roman"/>
        </w:rPr>
        <w:footnoteReference w:id="121"/>
      </w:r>
      <w:r w:rsidRPr="00DD681D">
        <w:rPr>
          <w:rFonts w:ascii="Times New Roman" w:hAnsi="Times New Roman" w:cs="Times New Roman"/>
        </w:rPr>
        <w:t xml:space="preserve"> </w:t>
      </w:r>
    </w:p>
    <w:p w14:paraId="01ADA397" w14:textId="77777777" w:rsidR="00DD681D" w:rsidRPr="00DD681D" w:rsidRDefault="00DD681D" w:rsidP="00B41D07">
      <w:pPr>
        <w:numPr>
          <w:ilvl w:val="0"/>
          <w:numId w:val="52"/>
        </w:numPr>
        <w:spacing w:after="0" w:line="280" w:lineRule="exact"/>
        <w:jc w:val="both"/>
        <w:rPr>
          <w:rFonts w:ascii="Times New Roman" w:hAnsi="Times New Roman" w:cs="Times New Roman"/>
        </w:rPr>
      </w:pPr>
      <w:r w:rsidRPr="00DD681D">
        <w:rPr>
          <w:rFonts w:ascii="Times New Roman" w:hAnsi="Times New Roman" w:cs="Times New Roman"/>
        </w:rPr>
        <w:t>Executive Management</w:t>
      </w:r>
      <w:r w:rsidR="006933FD">
        <w:rPr>
          <w:rFonts w:ascii="Times New Roman" w:hAnsi="Times New Roman" w:cs="Times New Roman"/>
        </w:rPr>
        <w:t>: Three</w:t>
      </w:r>
      <w:r w:rsidRPr="00DD681D">
        <w:rPr>
          <w:rFonts w:ascii="Times New Roman" w:hAnsi="Times New Roman" w:cs="Times New Roman"/>
        </w:rPr>
        <w:t xml:space="preserve">. </w:t>
      </w:r>
    </w:p>
    <w:p w14:paraId="7D69858F" w14:textId="77777777" w:rsidR="00DD681D" w:rsidRPr="00DD681D" w:rsidRDefault="00DD681D" w:rsidP="00B41D07">
      <w:pPr>
        <w:numPr>
          <w:ilvl w:val="0"/>
          <w:numId w:val="52"/>
        </w:numPr>
        <w:spacing w:after="0" w:line="280" w:lineRule="exact"/>
        <w:jc w:val="both"/>
        <w:rPr>
          <w:rFonts w:ascii="Times New Roman" w:hAnsi="Times New Roman" w:cs="Times New Roman"/>
        </w:rPr>
      </w:pPr>
      <w:r w:rsidRPr="00DD681D">
        <w:rPr>
          <w:rFonts w:ascii="Times New Roman" w:hAnsi="Times New Roman" w:cs="Times New Roman"/>
        </w:rPr>
        <w:t>Senior Management</w:t>
      </w:r>
      <w:r w:rsidR="006933FD">
        <w:rPr>
          <w:rFonts w:ascii="Times New Roman" w:hAnsi="Times New Roman" w:cs="Times New Roman"/>
        </w:rPr>
        <w:t>: Nine</w:t>
      </w:r>
      <w:r w:rsidRPr="00DD681D">
        <w:rPr>
          <w:rFonts w:ascii="Times New Roman" w:hAnsi="Times New Roman" w:cs="Times New Roman"/>
        </w:rPr>
        <w:t xml:space="preserve">. </w:t>
      </w:r>
    </w:p>
    <w:p w14:paraId="5435B783" w14:textId="77777777" w:rsidR="00DD681D" w:rsidRPr="00DD681D" w:rsidRDefault="00DD681D" w:rsidP="00B41D07">
      <w:pPr>
        <w:numPr>
          <w:ilvl w:val="0"/>
          <w:numId w:val="52"/>
        </w:numPr>
        <w:spacing w:after="0" w:line="280" w:lineRule="exact"/>
        <w:jc w:val="both"/>
        <w:rPr>
          <w:rFonts w:ascii="Times New Roman" w:hAnsi="Times New Roman" w:cs="Times New Roman"/>
        </w:rPr>
      </w:pPr>
      <w:r w:rsidRPr="00DD681D">
        <w:rPr>
          <w:rFonts w:ascii="Times New Roman" w:hAnsi="Times New Roman" w:cs="Times New Roman"/>
        </w:rPr>
        <w:t>Highly Skilled: Professional</w:t>
      </w:r>
      <w:r w:rsidR="006933FD">
        <w:rPr>
          <w:rFonts w:ascii="Times New Roman" w:hAnsi="Times New Roman" w:cs="Times New Roman"/>
        </w:rPr>
        <w:t>: 14</w:t>
      </w:r>
      <w:r w:rsidRPr="00DD681D">
        <w:rPr>
          <w:rFonts w:ascii="Times New Roman" w:hAnsi="Times New Roman" w:cs="Times New Roman"/>
        </w:rPr>
        <w:t>.</w:t>
      </w:r>
    </w:p>
    <w:p w14:paraId="2BCDF109" w14:textId="77777777" w:rsidR="00DD681D" w:rsidRPr="00DD681D" w:rsidRDefault="00DD681D" w:rsidP="00B41D07">
      <w:pPr>
        <w:numPr>
          <w:ilvl w:val="0"/>
          <w:numId w:val="52"/>
        </w:numPr>
        <w:spacing w:after="0" w:line="280" w:lineRule="exact"/>
        <w:jc w:val="both"/>
        <w:rPr>
          <w:rFonts w:ascii="Times New Roman" w:hAnsi="Times New Roman" w:cs="Times New Roman"/>
        </w:rPr>
      </w:pPr>
      <w:r w:rsidRPr="00DD681D">
        <w:rPr>
          <w:rFonts w:ascii="Times New Roman" w:hAnsi="Times New Roman" w:cs="Times New Roman"/>
        </w:rPr>
        <w:t>Skilled Administrative</w:t>
      </w:r>
      <w:r w:rsidR="006933FD">
        <w:rPr>
          <w:rFonts w:ascii="Times New Roman" w:hAnsi="Times New Roman" w:cs="Times New Roman"/>
        </w:rPr>
        <w:t>: Nine</w:t>
      </w:r>
      <w:r w:rsidRPr="00DD681D">
        <w:rPr>
          <w:rFonts w:ascii="Times New Roman" w:hAnsi="Times New Roman" w:cs="Times New Roman"/>
        </w:rPr>
        <w:t>.</w:t>
      </w:r>
    </w:p>
    <w:p w14:paraId="16A4B4F2" w14:textId="77777777" w:rsidR="00DD681D" w:rsidRPr="00DD681D" w:rsidRDefault="00DD681D" w:rsidP="00B41D07">
      <w:pPr>
        <w:numPr>
          <w:ilvl w:val="0"/>
          <w:numId w:val="52"/>
        </w:numPr>
        <w:spacing w:after="0" w:line="280" w:lineRule="exact"/>
        <w:jc w:val="both"/>
        <w:rPr>
          <w:rFonts w:ascii="Times New Roman" w:hAnsi="Times New Roman" w:cs="Times New Roman"/>
        </w:rPr>
      </w:pPr>
      <w:r w:rsidRPr="00DD681D">
        <w:rPr>
          <w:rFonts w:ascii="Times New Roman" w:hAnsi="Times New Roman" w:cs="Times New Roman"/>
        </w:rPr>
        <w:t>Semi-Skilled</w:t>
      </w:r>
      <w:r w:rsidR="006933FD">
        <w:rPr>
          <w:rFonts w:ascii="Times New Roman" w:hAnsi="Times New Roman" w:cs="Times New Roman"/>
        </w:rPr>
        <w:t>: Two</w:t>
      </w:r>
      <w:r w:rsidRPr="00DD681D">
        <w:rPr>
          <w:rFonts w:ascii="Times New Roman" w:hAnsi="Times New Roman" w:cs="Times New Roman"/>
        </w:rPr>
        <w:t>.</w:t>
      </w:r>
    </w:p>
    <w:p w14:paraId="47BE771D" w14:textId="77777777" w:rsidR="00DD681D" w:rsidRPr="00DD681D" w:rsidRDefault="00DD681D" w:rsidP="00B41D07">
      <w:pPr>
        <w:numPr>
          <w:ilvl w:val="0"/>
          <w:numId w:val="52"/>
        </w:numPr>
        <w:spacing w:after="0" w:line="280" w:lineRule="exact"/>
        <w:jc w:val="both"/>
        <w:rPr>
          <w:rFonts w:ascii="Times New Roman" w:hAnsi="Times New Roman" w:cs="Times New Roman"/>
        </w:rPr>
      </w:pPr>
      <w:r w:rsidRPr="00DD681D">
        <w:rPr>
          <w:rFonts w:ascii="Times New Roman" w:hAnsi="Times New Roman" w:cs="Times New Roman"/>
        </w:rPr>
        <w:t>Unskilled</w:t>
      </w:r>
      <w:r w:rsidR="006933FD">
        <w:rPr>
          <w:rFonts w:ascii="Times New Roman" w:hAnsi="Times New Roman" w:cs="Times New Roman"/>
        </w:rPr>
        <w:t>: Two</w:t>
      </w:r>
      <w:r w:rsidRPr="00DD681D">
        <w:rPr>
          <w:rFonts w:ascii="Times New Roman" w:hAnsi="Times New Roman" w:cs="Times New Roman"/>
        </w:rPr>
        <w:t>.</w:t>
      </w:r>
    </w:p>
    <w:p w14:paraId="70EC6D26" w14:textId="77777777" w:rsidR="00DD681D" w:rsidRPr="00DD681D" w:rsidRDefault="00DD681D" w:rsidP="00F72F11">
      <w:pPr>
        <w:jc w:val="both"/>
        <w:rPr>
          <w:rFonts w:ascii="Times New Roman" w:hAnsi="Times New Roman" w:cs="Times New Roman"/>
        </w:rPr>
      </w:pPr>
    </w:p>
    <w:p w14:paraId="39242DF0" w14:textId="77777777" w:rsidR="00DD681D" w:rsidRPr="00DD681D" w:rsidRDefault="00DD681D" w:rsidP="00F72F11">
      <w:pPr>
        <w:jc w:val="both"/>
        <w:rPr>
          <w:rFonts w:ascii="Times New Roman" w:hAnsi="Times New Roman" w:cs="Times New Roman"/>
        </w:rPr>
      </w:pPr>
      <w:r w:rsidRPr="00DD681D">
        <w:rPr>
          <w:rFonts w:ascii="Times New Roman" w:hAnsi="Times New Roman" w:cs="Times New Roman"/>
        </w:rPr>
        <w:t>The CBE reported the following acting positions:</w:t>
      </w:r>
      <w:r w:rsidRPr="00DD681D">
        <w:rPr>
          <w:rStyle w:val="FootnoteReference"/>
          <w:rFonts w:ascii="Times New Roman" w:hAnsi="Times New Roman" w:cs="Times New Roman"/>
        </w:rPr>
        <w:footnoteReference w:id="122"/>
      </w:r>
      <w:r w:rsidRPr="00DD681D">
        <w:rPr>
          <w:rFonts w:ascii="Times New Roman" w:hAnsi="Times New Roman" w:cs="Times New Roman"/>
        </w:rPr>
        <w:t xml:space="preserve"> </w:t>
      </w:r>
    </w:p>
    <w:p w14:paraId="3C030FA7" w14:textId="77777777" w:rsidR="00DD681D" w:rsidRPr="00DD681D" w:rsidRDefault="00DD681D" w:rsidP="00B41D07">
      <w:pPr>
        <w:numPr>
          <w:ilvl w:val="0"/>
          <w:numId w:val="53"/>
        </w:numPr>
        <w:spacing w:after="0" w:line="280" w:lineRule="exact"/>
        <w:jc w:val="both"/>
        <w:rPr>
          <w:rFonts w:ascii="Times New Roman" w:hAnsi="Times New Roman" w:cs="Times New Roman"/>
        </w:rPr>
      </w:pPr>
      <w:r w:rsidRPr="00DD681D">
        <w:rPr>
          <w:rFonts w:ascii="Times New Roman" w:hAnsi="Times New Roman" w:cs="Times New Roman"/>
        </w:rPr>
        <w:t>Company Secretary.</w:t>
      </w:r>
    </w:p>
    <w:p w14:paraId="5C7C4DBC" w14:textId="77777777" w:rsidR="00DD681D" w:rsidRPr="00DD681D" w:rsidRDefault="00DD681D" w:rsidP="00B41D07">
      <w:pPr>
        <w:numPr>
          <w:ilvl w:val="0"/>
          <w:numId w:val="53"/>
        </w:numPr>
        <w:spacing w:after="0" w:line="280" w:lineRule="exact"/>
        <w:jc w:val="both"/>
        <w:rPr>
          <w:rFonts w:ascii="Times New Roman" w:hAnsi="Times New Roman" w:cs="Times New Roman"/>
        </w:rPr>
      </w:pPr>
      <w:r w:rsidRPr="00DD681D">
        <w:rPr>
          <w:rFonts w:ascii="Times New Roman" w:hAnsi="Times New Roman" w:cs="Times New Roman"/>
        </w:rPr>
        <w:t>Manager: Skills Development.</w:t>
      </w:r>
    </w:p>
    <w:p w14:paraId="27BF1DDC" w14:textId="77777777" w:rsidR="00DD681D" w:rsidRPr="00DD681D" w:rsidRDefault="00DD681D" w:rsidP="00F72F11">
      <w:pPr>
        <w:jc w:val="both"/>
        <w:rPr>
          <w:rFonts w:ascii="Times New Roman" w:hAnsi="Times New Roman" w:cs="Times New Roman"/>
        </w:rPr>
      </w:pPr>
    </w:p>
    <w:p w14:paraId="69E93E5C" w14:textId="77777777" w:rsidR="00DD681D" w:rsidRPr="00DD681D" w:rsidRDefault="00DD681D" w:rsidP="00F72F11">
      <w:pPr>
        <w:spacing w:line="360" w:lineRule="auto"/>
        <w:jc w:val="both"/>
        <w:rPr>
          <w:rFonts w:ascii="Times New Roman" w:hAnsi="Times New Roman" w:cs="Times New Roman"/>
        </w:rPr>
      </w:pPr>
      <w:r w:rsidRPr="00DD681D">
        <w:rPr>
          <w:rFonts w:ascii="Times New Roman" w:hAnsi="Times New Roman" w:cs="Times New Roman"/>
        </w:rPr>
        <w:t>The CBE reports that vacant positions are in the process of being filled, however, the entity indicated that the post of the Company Secretary has been halted and is currently executed in a dual responsibility arrangement, (with the Manager Regulations and Legal Services), acting in the position.</w:t>
      </w:r>
      <w:r w:rsidRPr="00DD681D">
        <w:rPr>
          <w:rStyle w:val="FootnoteReference"/>
          <w:rFonts w:ascii="Times New Roman" w:hAnsi="Times New Roman" w:cs="Times New Roman"/>
        </w:rPr>
        <w:footnoteReference w:id="123"/>
      </w:r>
    </w:p>
    <w:p w14:paraId="340A4D87" w14:textId="77777777" w:rsidR="00DD681D" w:rsidRPr="00DD681D" w:rsidRDefault="00DD681D" w:rsidP="00F72F11">
      <w:pPr>
        <w:pStyle w:val="Default"/>
        <w:spacing w:after="20" w:line="360" w:lineRule="auto"/>
        <w:jc w:val="both"/>
        <w:rPr>
          <w:rFonts w:ascii="Times New Roman" w:hAnsi="Times New Roman" w:cs="Times New Roman"/>
          <w:sz w:val="22"/>
          <w:szCs w:val="22"/>
        </w:rPr>
      </w:pPr>
      <w:r w:rsidRPr="00DD681D">
        <w:rPr>
          <w:rFonts w:ascii="Times New Roman" w:hAnsi="Times New Roman" w:cs="Times New Roman"/>
          <w:sz w:val="22"/>
          <w:szCs w:val="22"/>
        </w:rPr>
        <w:t>The CBE reports that the entity’s current establishment is not adequate to execute its m</w:t>
      </w:r>
      <w:r w:rsidR="002519A9">
        <w:rPr>
          <w:rFonts w:ascii="Times New Roman" w:hAnsi="Times New Roman" w:cs="Times New Roman"/>
          <w:sz w:val="22"/>
          <w:szCs w:val="22"/>
        </w:rPr>
        <w:t>andate.  Of particular concern wa</w:t>
      </w:r>
      <w:r w:rsidR="00A95600">
        <w:rPr>
          <w:rFonts w:ascii="Times New Roman" w:hAnsi="Times New Roman" w:cs="Times New Roman"/>
          <w:sz w:val="22"/>
          <w:szCs w:val="22"/>
        </w:rPr>
        <w:t>s Programme</w:t>
      </w:r>
      <w:r w:rsidRPr="00DD681D">
        <w:rPr>
          <w:rFonts w:ascii="Times New Roman" w:hAnsi="Times New Roman" w:cs="Times New Roman"/>
          <w:sz w:val="22"/>
          <w:szCs w:val="22"/>
        </w:rPr>
        <w:t xml:space="preserve">s 2 and 3 </w:t>
      </w:r>
      <w:r w:rsidR="002519A9">
        <w:rPr>
          <w:rFonts w:ascii="Times New Roman" w:hAnsi="Times New Roman" w:cs="Times New Roman"/>
          <w:sz w:val="22"/>
          <w:szCs w:val="22"/>
        </w:rPr>
        <w:t xml:space="preserve">as it did not show evidence of having </w:t>
      </w:r>
      <w:r w:rsidRPr="00DD681D">
        <w:rPr>
          <w:rFonts w:ascii="Times New Roman" w:hAnsi="Times New Roman" w:cs="Times New Roman"/>
          <w:sz w:val="22"/>
          <w:szCs w:val="22"/>
        </w:rPr>
        <w:t xml:space="preserve">the required capacity “to fulfil the projects in their schedules.” The CBE forged “partnerships with key </w:t>
      </w:r>
      <w:r w:rsidRPr="00DD681D">
        <w:rPr>
          <w:rFonts w:ascii="Times New Roman" w:hAnsi="Times New Roman" w:cs="Times New Roman"/>
          <w:sz w:val="22"/>
          <w:szCs w:val="22"/>
        </w:rPr>
        <w:lastRenderedPageBreak/>
        <w:t>stakeholders such as institutions of higher learning, research institutions and Voluntary Associations (VAs) to leverage resources.”</w:t>
      </w:r>
      <w:r w:rsidRPr="00DD681D">
        <w:rPr>
          <w:rStyle w:val="FootnoteReference"/>
          <w:rFonts w:ascii="Times New Roman" w:hAnsi="Times New Roman" w:cs="Times New Roman"/>
          <w:sz w:val="22"/>
          <w:szCs w:val="22"/>
        </w:rPr>
        <w:footnoteReference w:id="124"/>
      </w:r>
      <w:r w:rsidRPr="00DD681D">
        <w:rPr>
          <w:rFonts w:ascii="Times New Roman" w:hAnsi="Times New Roman" w:cs="Times New Roman"/>
          <w:sz w:val="22"/>
          <w:szCs w:val="22"/>
        </w:rPr>
        <w:t xml:space="preserve"> </w:t>
      </w:r>
    </w:p>
    <w:p w14:paraId="0A4D026C" w14:textId="77777777" w:rsidR="00DD681D" w:rsidRDefault="00DD681D" w:rsidP="00F72F11">
      <w:pPr>
        <w:pStyle w:val="Default"/>
        <w:spacing w:after="20" w:line="360" w:lineRule="auto"/>
        <w:jc w:val="both"/>
        <w:rPr>
          <w:rFonts w:ascii="Times New Roman" w:hAnsi="Times New Roman" w:cs="Times New Roman"/>
          <w:sz w:val="22"/>
          <w:szCs w:val="22"/>
        </w:rPr>
      </w:pPr>
    </w:p>
    <w:p w14:paraId="47629C8F" w14:textId="77777777" w:rsidR="00DD681D" w:rsidRPr="00DD681D" w:rsidRDefault="002519A9" w:rsidP="00F72F11">
      <w:pPr>
        <w:pStyle w:val="Default"/>
        <w:spacing w:after="20" w:line="360" w:lineRule="auto"/>
        <w:jc w:val="both"/>
        <w:rPr>
          <w:rFonts w:ascii="Times New Roman" w:hAnsi="Times New Roman" w:cs="Times New Roman"/>
          <w:sz w:val="22"/>
          <w:szCs w:val="22"/>
        </w:rPr>
      </w:pPr>
      <w:r>
        <w:rPr>
          <w:rFonts w:ascii="Times New Roman" w:hAnsi="Times New Roman" w:cs="Times New Roman"/>
          <w:sz w:val="22"/>
          <w:szCs w:val="22"/>
        </w:rPr>
        <w:t>A total of R26,</w:t>
      </w:r>
      <w:r w:rsidR="00DD681D" w:rsidRPr="00DD681D">
        <w:rPr>
          <w:rFonts w:ascii="Times New Roman" w:hAnsi="Times New Roman" w:cs="Times New Roman"/>
          <w:sz w:val="22"/>
          <w:szCs w:val="22"/>
        </w:rPr>
        <w:t>3 million is allocated towards Compensation of Employees, a d</w:t>
      </w:r>
      <w:r>
        <w:rPr>
          <w:rFonts w:ascii="Times New Roman" w:hAnsi="Times New Roman" w:cs="Times New Roman"/>
          <w:sz w:val="22"/>
          <w:szCs w:val="22"/>
        </w:rPr>
        <w:t>ecline of R529 000 from the R26,</w:t>
      </w:r>
      <w:r w:rsidR="00DD681D" w:rsidRPr="00DD681D">
        <w:rPr>
          <w:rFonts w:ascii="Times New Roman" w:hAnsi="Times New Roman" w:cs="Times New Roman"/>
          <w:sz w:val="22"/>
          <w:szCs w:val="22"/>
        </w:rPr>
        <w:t xml:space="preserve">9 million allocation in 2017/18. </w:t>
      </w:r>
    </w:p>
    <w:p w14:paraId="2D1D040D" w14:textId="77777777" w:rsidR="00DD681D" w:rsidRPr="00DD681D" w:rsidRDefault="00DD681D" w:rsidP="00F72F11">
      <w:pPr>
        <w:pStyle w:val="Default"/>
        <w:spacing w:after="20" w:line="360" w:lineRule="auto"/>
        <w:jc w:val="both"/>
        <w:rPr>
          <w:rFonts w:ascii="Times New Roman" w:hAnsi="Times New Roman" w:cs="Times New Roman"/>
          <w:sz w:val="22"/>
          <w:szCs w:val="22"/>
        </w:rPr>
      </w:pPr>
    </w:p>
    <w:p w14:paraId="4D3121FE" w14:textId="77777777" w:rsidR="00DD681D" w:rsidRPr="00DD681D" w:rsidRDefault="00DD681D" w:rsidP="00F72F11">
      <w:pPr>
        <w:pStyle w:val="Default"/>
        <w:spacing w:after="20" w:line="360" w:lineRule="auto"/>
        <w:jc w:val="both"/>
        <w:rPr>
          <w:rFonts w:ascii="Times New Roman" w:hAnsi="Times New Roman" w:cs="Times New Roman"/>
          <w:sz w:val="22"/>
          <w:szCs w:val="22"/>
        </w:rPr>
      </w:pPr>
      <w:r w:rsidRPr="00DD681D">
        <w:rPr>
          <w:rFonts w:ascii="Times New Roman" w:hAnsi="Times New Roman" w:cs="Times New Roman"/>
          <w:sz w:val="22"/>
          <w:szCs w:val="22"/>
        </w:rPr>
        <w:t>A further R212 000 is allocated towards Training and Staff Development, an increase of R68 000 from the R144 000 allocated in 2017/18.</w:t>
      </w:r>
      <w:r w:rsidRPr="00DD681D">
        <w:rPr>
          <w:rStyle w:val="FootnoteReference"/>
          <w:rFonts w:ascii="Times New Roman" w:hAnsi="Times New Roman" w:cs="Times New Roman"/>
          <w:sz w:val="22"/>
          <w:szCs w:val="22"/>
        </w:rPr>
        <w:t xml:space="preserve"> </w:t>
      </w:r>
      <w:r w:rsidRPr="00DD681D">
        <w:rPr>
          <w:rStyle w:val="FootnoteReference"/>
          <w:rFonts w:ascii="Times New Roman" w:hAnsi="Times New Roman" w:cs="Times New Roman"/>
          <w:sz w:val="22"/>
          <w:szCs w:val="22"/>
        </w:rPr>
        <w:footnoteReference w:id="125"/>
      </w:r>
    </w:p>
    <w:p w14:paraId="70F1DABF" w14:textId="77777777" w:rsidR="00BB1EE2" w:rsidRDefault="00BB1EE2" w:rsidP="00F72F11">
      <w:pPr>
        <w:spacing w:after="0" w:line="360" w:lineRule="auto"/>
        <w:jc w:val="both"/>
        <w:rPr>
          <w:rFonts w:ascii="Times New Roman" w:eastAsia="Times New Roman" w:hAnsi="Times New Roman" w:cs="Times New Roman"/>
          <w:b/>
          <w:color w:val="000000"/>
          <w:spacing w:val="6"/>
          <w:lang w:val="en-GB" w:eastAsia="en-GB"/>
        </w:rPr>
      </w:pPr>
    </w:p>
    <w:p w14:paraId="0961CA8D" w14:textId="77777777" w:rsidR="00DD681D" w:rsidRPr="001170E4" w:rsidRDefault="00DD681D" w:rsidP="00F72F11">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Governance matters to note:</w:t>
      </w:r>
    </w:p>
    <w:p w14:paraId="07A42BC3" w14:textId="77777777" w:rsidR="00DD681D" w:rsidRPr="00DD681D" w:rsidRDefault="00DD681D" w:rsidP="00F72F11">
      <w:pPr>
        <w:spacing w:line="360" w:lineRule="auto"/>
        <w:jc w:val="both"/>
        <w:rPr>
          <w:rFonts w:ascii="Times New Roman" w:hAnsi="Times New Roman" w:cs="Times New Roman"/>
        </w:rPr>
      </w:pPr>
      <w:r w:rsidRPr="00DD681D">
        <w:rPr>
          <w:rFonts w:ascii="Times New Roman" w:hAnsi="Times New Roman" w:cs="Times New Roman"/>
        </w:rPr>
        <w:t>The CBE’s 4</w:t>
      </w:r>
      <w:r w:rsidRPr="00DD681D">
        <w:rPr>
          <w:rFonts w:ascii="Times New Roman" w:hAnsi="Times New Roman" w:cs="Times New Roman"/>
          <w:vertAlign w:val="superscript"/>
        </w:rPr>
        <w:t>th</w:t>
      </w:r>
      <w:r w:rsidRPr="00DD681D">
        <w:rPr>
          <w:rFonts w:ascii="Times New Roman" w:hAnsi="Times New Roman" w:cs="Times New Roman"/>
        </w:rPr>
        <w:t xml:space="preserve"> Term Council’s tenure ends in mid 2018/19, and the appointment of a new Council is expected to take place during that period.</w:t>
      </w:r>
      <w:r w:rsidRPr="00DD681D">
        <w:rPr>
          <w:rStyle w:val="FootnoteReference"/>
          <w:rFonts w:ascii="Times New Roman" w:hAnsi="Times New Roman" w:cs="Times New Roman"/>
        </w:rPr>
        <w:footnoteReference w:id="126"/>
      </w:r>
      <w:r w:rsidRPr="00DD681D">
        <w:rPr>
          <w:rFonts w:ascii="Times New Roman" w:hAnsi="Times New Roman" w:cs="Times New Roman"/>
        </w:rPr>
        <w:t xml:space="preserve"> </w:t>
      </w:r>
    </w:p>
    <w:p w14:paraId="402F9595" w14:textId="77777777" w:rsidR="00DD681D" w:rsidRPr="00DD681D" w:rsidRDefault="00DD681D" w:rsidP="00F72F11">
      <w:pPr>
        <w:spacing w:line="360" w:lineRule="auto"/>
        <w:jc w:val="both"/>
        <w:rPr>
          <w:rFonts w:ascii="Times New Roman" w:hAnsi="Times New Roman" w:cs="Times New Roman"/>
        </w:rPr>
      </w:pPr>
    </w:p>
    <w:p w14:paraId="7C8A4260" w14:textId="77777777" w:rsidR="00DD681D" w:rsidRPr="00DD681D" w:rsidRDefault="00DD681D" w:rsidP="00F72F11">
      <w:pPr>
        <w:spacing w:line="360" w:lineRule="auto"/>
        <w:jc w:val="both"/>
        <w:rPr>
          <w:rFonts w:ascii="Times New Roman" w:hAnsi="Times New Roman" w:cs="Times New Roman"/>
        </w:rPr>
      </w:pPr>
      <w:r w:rsidRPr="00DD681D">
        <w:rPr>
          <w:rFonts w:ascii="Times New Roman" w:hAnsi="Times New Roman" w:cs="Times New Roman"/>
        </w:rPr>
        <w:t>The CBE reported that it has 13 concurrent functions with the CBEP. The CBE Act provides that the CBE “has primary jurisdiction in all Built Environment Professions (BEP) matters, lack of cooperation from some CBEP has compromised the implementation of some functions.”</w:t>
      </w:r>
      <w:r w:rsidRPr="00DD681D">
        <w:rPr>
          <w:rStyle w:val="FootnoteReference"/>
          <w:rFonts w:ascii="Times New Roman" w:hAnsi="Times New Roman" w:cs="Times New Roman"/>
        </w:rPr>
        <w:footnoteReference w:id="127"/>
      </w:r>
      <w:r w:rsidRPr="00DD681D">
        <w:rPr>
          <w:rFonts w:ascii="Times New Roman" w:hAnsi="Times New Roman" w:cs="Times New Roman"/>
        </w:rPr>
        <w:t xml:space="preserve"> </w:t>
      </w:r>
    </w:p>
    <w:p w14:paraId="11040CF6" w14:textId="77777777" w:rsidR="00BB1EE2" w:rsidRPr="001170E4" w:rsidRDefault="00BB1EE2" w:rsidP="00F72F11">
      <w:pPr>
        <w:spacing w:line="360" w:lineRule="auto"/>
        <w:jc w:val="both"/>
        <w:rPr>
          <w:rFonts w:ascii="Times New Roman" w:hAnsi="Times New Roman" w:cs="Times New Roman"/>
          <w:b/>
        </w:rPr>
      </w:pPr>
    </w:p>
    <w:p w14:paraId="6371E8B8" w14:textId="77777777" w:rsidR="00A441EB" w:rsidRDefault="00A441EB" w:rsidP="00F72F11">
      <w:pPr>
        <w:spacing w:line="360" w:lineRule="auto"/>
        <w:jc w:val="both"/>
        <w:rPr>
          <w:rFonts w:ascii="Times New Roman" w:hAnsi="Times New Roman" w:cs="Times New Roman"/>
          <w:b/>
        </w:rPr>
      </w:pPr>
    </w:p>
    <w:p w14:paraId="23F9D341" w14:textId="77777777" w:rsidR="001F3E27" w:rsidRDefault="001F3E27">
      <w:pPr>
        <w:rPr>
          <w:rFonts w:ascii="Times New Roman" w:hAnsi="Times New Roman" w:cs="Times New Roman"/>
          <w:b/>
        </w:rPr>
      </w:pPr>
      <w:r>
        <w:rPr>
          <w:rFonts w:ascii="Times New Roman" w:hAnsi="Times New Roman" w:cs="Times New Roman"/>
          <w:b/>
        </w:rPr>
        <w:br w:type="page"/>
      </w:r>
    </w:p>
    <w:p w14:paraId="422A3A7B"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lastRenderedPageBreak/>
        <w:t>8. Matters noted</w:t>
      </w:r>
      <w:r w:rsidR="00020A94">
        <w:rPr>
          <w:rFonts w:ascii="Times New Roman" w:hAnsi="Times New Roman" w:cs="Times New Roman"/>
          <w:b/>
        </w:rPr>
        <w:t xml:space="preserve"> from deliberations with the DPW, PMTE and entities</w:t>
      </w:r>
      <w:r w:rsidRPr="001170E4">
        <w:rPr>
          <w:rFonts w:ascii="Times New Roman" w:hAnsi="Times New Roman" w:cs="Times New Roman"/>
          <w:b/>
        </w:rPr>
        <w:t>:</w:t>
      </w:r>
    </w:p>
    <w:p w14:paraId="691260AA" w14:textId="77777777" w:rsidR="00BB1EE2" w:rsidRPr="00EE1497" w:rsidRDefault="00BB1EE2" w:rsidP="00F72F11">
      <w:pPr>
        <w:spacing w:line="360" w:lineRule="auto"/>
        <w:ind w:left="426" w:hanging="426"/>
        <w:jc w:val="both"/>
        <w:rPr>
          <w:rFonts w:ascii="Times New Roman" w:hAnsi="Times New Roman" w:cs="Times New Roman"/>
        </w:rPr>
      </w:pPr>
      <w:r w:rsidRPr="00EE1497">
        <w:rPr>
          <w:rFonts w:ascii="Times New Roman" w:hAnsi="Times New Roman" w:cs="Times New Roman"/>
        </w:rPr>
        <w:t xml:space="preserve">8.1. Key function areas of the Department continues to be hampered: </w:t>
      </w:r>
    </w:p>
    <w:p w14:paraId="7EC0BDE5" w14:textId="77777777" w:rsidR="008A7DE0" w:rsidRDefault="008A7DE0" w:rsidP="00746449">
      <w:pPr>
        <w:spacing w:line="360" w:lineRule="auto"/>
        <w:ind w:left="990" w:hanging="720"/>
        <w:jc w:val="both"/>
        <w:rPr>
          <w:rFonts w:ascii="Times New Roman" w:hAnsi="Times New Roman" w:cs="Times New Roman"/>
        </w:rPr>
      </w:pPr>
      <w:r>
        <w:rPr>
          <w:rFonts w:ascii="Times New Roman" w:hAnsi="Times New Roman" w:cs="Times New Roman"/>
        </w:rPr>
        <w:t xml:space="preserve">8.1.1. </w:t>
      </w:r>
      <w:r w:rsidR="00ED4AC7" w:rsidRPr="00EE1497">
        <w:rPr>
          <w:rFonts w:ascii="Times New Roman" w:hAnsi="Times New Roman" w:cs="Times New Roman"/>
        </w:rPr>
        <w:t xml:space="preserve">The Committee was concerned that the APPs of </w:t>
      </w:r>
      <w:r w:rsidR="00A441EB" w:rsidRPr="00EE1497">
        <w:rPr>
          <w:rFonts w:ascii="Times New Roman" w:hAnsi="Times New Roman" w:cs="Times New Roman"/>
        </w:rPr>
        <w:t>the DPW and PM</w:t>
      </w:r>
      <w:r w:rsidR="00BF25E8" w:rsidRPr="00EE1497">
        <w:rPr>
          <w:rFonts w:ascii="Times New Roman" w:hAnsi="Times New Roman" w:cs="Times New Roman"/>
        </w:rPr>
        <w:t>TE did not sufficiently</w:t>
      </w:r>
      <w:r w:rsidR="00740C66">
        <w:rPr>
          <w:rFonts w:ascii="Times New Roman" w:hAnsi="Times New Roman" w:cs="Times New Roman"/>
        </w:rPr>
        <w:t xml:space="preserve"> address</w:t>
      </w:r>
      <w:r w:rsidR="00BF25E8" w:rsidRPr="00EE1497">
        <w:rPr>
          <w:rFonts w:ascii="Times New Roman" w:hAnsi="Times New Roman" w:cs="Times New Roman"/>
        </w:rPr>
        <w:t xml:space="preserve"> </w:t>
      </w:r>
      <w:r w:rsidR="00A441EB" w:rsidRPr="00EE1497">
        <w:rPr>
          <w:rFonts w:ascii="Times New Roman" w:hAnsi="Times New Roman" w:cs="Times New Roman"/>
        </w:rPr>
        <w:t xml:space="preserve">the critical task </w:t>
      </w:r>
      <w:r w:rsidR="00BF25E8" w:rsidRPr="00EE1497">
        <w:rPr>
          <w:rFonts w:ascii="Times New Roman" w:hAnsi="Times New Roman" w:cs="Times New Roman"/>
        </w:rPr>
        <w:t xml:space="preserve">of maintaining the buildings of client departments that provide services to the people. The Committee </w:t>
      </w:r>
      <w:r w:rsidR="00D42741">
        <w:rPr>
          <w:rFonts w:ascii="Times New Roman" w:hAnsi="Times New Roman" w:cs="Times New Roman"/>
        </w:rPr>
        <w:t>stated</w:t>
      </w:r>
      <w:r w:rsidR="00BF25E8" w:rsidRPr="00EE1497">
        <w:rPr>
          <w:rFonts w:ascii="Times New Roman" w:hAnsi="Times New Roman" w:cs="Times New Roman"/>
        </w:rPr>
        <w:t xml:space="preserve"> </w:t>
      </w:r>
      <w:r w:rsidR="006C698D">
        <w:rPr>
          <w:rFonts w:ascii="Times New Roman" w:hAnsi="Times New Roman" w:cs="Times New Roman"/>
        </w:rPr>
        <w:t>that</w:t>
      </w:r>
      <w:r w:rsidR="00BF25E8" w:rsidRPr="00EE1497">
        <w:rPr>
          <w:rFonts w:ascii="Times New Roman" w:hAnsi="Times New Roman" w:cs="Times New Roman"/>
        </w:rPr>
        <w:t xml:space="preserve"> client departments have to use the allocated R100 000 per </w:t>
      </w:r>
      <w:r w:rsidR="000717B3">
        <w:rPr>
          <w:rFonts w:ascii="Times New Roman" w:hAnsi="Times New Roman" w:cs="Times New Roman"/>
        </w:rPr>
        <w:t xml:space="preserve">maintenance </w:t>
      </w:r>
      <w:r w:rsidR="00BF25E8" w:rsidRPr="00EE1497">
        <w:rPr>
          <w:rFonts w:ascii="Times New Roman" w:hAnsi="Times New Roman" w:cs="Times New Roman"/>
        </w:rPr>
        <w:t xml:space="preserve">incident to do </w:t>
      </w:r>
      <w:r w:rsidR="000717B3">
        <w:rPr>
          <w:rFonts w:ascii="Times New Roman" w:hAnsi="Times New Roman" w:cs="Times New Roman"/>
        </w:rPr>
        <w:t>daily</w:t>
      </w:r>
      <w:r w:rsidR="00BF25E8" w:rsidRPr="00EE1497">
        <w:rPr>
          <w:rFonts w:ascii="Times New Roman" w:hAnsi="Times New Roman" w:cs="Times New Roman"/>
        </w:rPr>
        <w:t xml:space="preserve"> maintenance</w:t>
      </w:r>
      <w:r w:rsidR="000717B3">
        <w:rPr>
          <w:rFonts w:ascii="Times New Roman" w:hAnsi="Times New Roman" w:cs="Times New Roman"/>
        </w:rPr>
        <w:t xml:space="preserve"> tasks</w:t>
      </w:r>
      <w:r w:rsidR="009E5916">
        <w:rPr>
          <w:rFonts w:ascii="Times New Roman" w:hAnsi="Times New Roman" w:cs="Times New Roman"/>
        </w:rPr>
        <w:t xml:space="preserve">. </w:t>
      </w:r>
    </w:p>
    <w:p w14:paraId="781FE13A" w14:textId="77777777" w:rsidR="00746449" w:rsidRDefault="008A7DE0" w:rsidP="00746449">
      <w:pPr>
        <w:spacing w:line="360" w:lineRule="auto"/>
        <w:ind w:left="990" w:hanging="720"/>
        <w:jc w:val="both"/>
        <w:rPr>
          <w:rFonts w:ascii="Times New Roman" w:hAnsi="Times New Roman" w:cs="Times New Roman"/>
        </w:rPr>
      </w:pPr>
      <w:r>
        <w:rPr>
          <w:rFonts w:ascii="Times New Roman" w:hAnsi="Times New Roman" w:cs="Times New Roman"/>
        </w:rPr>
        <w:t xml:space="preserve">8.1.2. </w:t>
      </w:r>
      <w:r w:rsidR="009E5916">
        <w:rPr>
          <w:rFonts w:ascii="Times New Roman" w:hAnsi="Times New Roman" w:cs="Times New Roman"/>
        </w:rPr>
        <w:t>The Committee was concerned at the lack of implementation detail i</w:t>
      </w:r>
      <w:r w:rsidR="00BF25E8" w:rsidRPr="00EE1497">
        <w:rPr>
          <w:rFonts w:ascii="Times New Roman" w:hAnsi="Times New Roman" w:cs="Times New Roman"/>
        </w:rPr>
        <w:t xml:space="preserve">n the APP on proactive steps through which it would develop maintenance plans and service level agreements with client departments. </w:t>
      </w:r>
    </w:p>
    <w:p w14:paraId="5C9A791E" w14:textId="2C2E8B02" w:rsidR="00BB1EE2" w:rsidRPr="00D42741" w:rsidRDefault="00746449" w:rsidP="00746449">
      <w:pPr>
        <w:spacing w:line="360" w:lineRule="auto"/>
        <w:ind w:left="990" w:hanging="720"/>
        <w:jc w:val="both"/>
        <w:rPr>
          <w:rFonts w:ascii="Times New Roman" w:hAnsi="Times New Roman" w:cs="Times New Roman"/>
          <w:color w:val="FF0000"/>
        </w:rPr>
      </w:pPr>
      <w:r>
        <w:rPr>
          <w:rFonts w:ascii="Times New Roman" w:hAnsi="Times New Roman" w:cs="Times New Roman"/>
        </w:rPr>
        <w:t xml:space="preserve">8.1.3. </w:t>
      </w:r>
      <w:r w:rsidR="0093642E">
        <w:rPr>
          <w:rFonts w:ascii="Times New Roman" w:hAnsi="Times New Roman" w:cs="Times New Roman"/>
        </w:rPr>
        <w:t>The Committee indicates that the management of leasing requires urgent attention.</w:t>
      </w:r>
      <w:r w:rsidR="00EC682B" w:rsidRPr="005B15DD">
        <w:rPr>
          <w:rFonts w:ascii="Times New Roman" w:hAnsi="Times New Roman" w:cs="Times New Roman"/>
        </w:rPr>
        <w:t xml:space="preserve"> </w:t>
      </w:r>
      <w:r w:rsidR="0093642E">
        <w:rPr>
          <w:rFonts w:ascii="Times New Roman" w:hAnsi="Times New Roman" w:cs="Times New Roman"/>
        </w:rPr>
        <w:t>T</w:t>
      </w:r>
      <w:r w:rsidR="00BB1EE2" w:rsidRPr="005B15DD">
        <w:rPr>
          <w:rFonts w:ascii="Times New Roman" w:hAnsi="Times New Roman" w:cs="Times New Roman"/>
        </w:rPr>
        <w:t>he Department</w:t>
      </w:r>
      <w:r w:rsidR="003D6F0A" w:rsidRPr="005B15DD">
        <w:rPr>
          <w:rFonts w:ascii="Times New Roman" w:hAnsi="Times New Roman" w:cs="Times New Roman"/>
        </w:rPr>
        <w:t xml:space="preserve"> should accelerate the appointment of professional personnel </w:t>
      </w:r>
      <w:r w:rsidR="00DC7583">
        <w:rPr>
          <w:rFonts w:ascii="Times New Roman" w:hAnsi="Times New Roman" w:cs="Times New Roman"/>
        </w:rPr>
        <w:t>in</w:t>
      </w:r>
      <w:r w:rsidR="00831A33">
        <w:rPr>
          <w:rFonts w:ascii="Times New Roman" w:hAnsi="Times New Roman" w:cs="Times New Roman"/>
        </w:rPr>
        <w:t xml:space="preserve"> the PMTE</w:t>
      </w:r>
      <w:r w:rsidR="008A7DE0">
        <w:rPr>
          <w:rFonts w:ascii="Times New Roman" w:hAnsi="Times New Roman" w:cs="Times New Roman"/>
        </w:rPr>
        <w:t>.</w:t>
      </w:r>
      <w:r w:rsidR="003D6F0A" w:rsidRPr="005B15DD">
        <w:rPr>
          <w:rFonts w:ascii="Times New Roman" w:hAnsi="Times New Roman" w:cs="Times New Roman"/>
        </w:rPr>
        <w:t xml:space="preserve"> Similarly, the filling of key leadership positions </w:t>
      </w:r>
      <w:r w:rsidR="00F77F21">
        <w:rPr>
          <w:rFonts w:ascii="Times New Roman" w:hAnsi="Times New Roman" w:cs="Times New Roman"/>
        </w:rPr>
        <w:t xml:space="preserve">of the PMTE </w:t>
      </w:r>
      <w:r w:rsidR="003D6F0A" w:rsidRPr="005B15DD">
        <w:rPr>
          <w:rFonts w:ascii="Times New Roman" w:hAnsi="Times New Roman" w:cs="Times New Roman"/>
        </w:rPr>
        <w:t>must be given priority.</w:t>
      </w:r>
      <w:r w:rsidR="00BB1EE2" w:rsidRPr="005B15DD">
        <w:rPr>
          <w:rFonts w:ascii="Times New Roman" w:hAnsi="Times New Roman" w:cs="Times New Roman"/>
        </w:rPr>
        <w:t xml:space="preserve"> </w:t>
      </w:r>
    </w:p>
    <w:p w14:paraId="2D2560D9" w14:textId="34F1B78B" w:rsidR="00BB1EE2" w:rsidRPr="00EE1497" w:rsidRDefault="003D6F0A" w:rsidP="00746449">
      <w:pPr>
        <w:spacing w:line="360" w:lineRule="auto"/>
        <w:ind w:left="270" w:hanging="270"/>
        <w:jc w:val="both"/>
        <w:rPr>
          <w:rFonts w:ascii="Times New Roman" w:hAnsi="Times New Roman" w:cs="Times New Roman"/>
        </w:rPr>
      </w:pPr>
      <w:r>
        <w:rPr>
          <w:rFonts w:ascii="Times New Roman" w:hAnsi="Times New Roman" w:cs="Times New Roman"/>
        </w:rPr>
        <w:t>8.2</w:t>
      </w:r>
      <w:r w:rsidR="00BB1EE2" w:rsidRPr="00EE1497">
        <w:rPr>
          <w:rFonts w:ascii="Times New Roman" w:hAnsi="Times New Roman" w:cs="Times New Roman"/>
        </w:rPr>
        <w:t xml:space="preserve">. </w:t>
      </w:r>
      <w:r w:rsidR="00E53379" w:rsidRPr="00EE1497">
        <w:rPr>
          <w:rFonts w:ascii="Times New Roman" w:hAnsi="Times New Roman" w:cs="Times New Roman"/>
        </w:rPr>
        <w:t>The Committee noted a lack of cooperation between entities in the built environment sector. This</w:t>
      </w:r>
      <w:r w:rsidR="00290343" w:rsidRPr="00EE1497">
        <w:rPr>
          <w:rFonts w:ascii="Times New Roman" w:hAnsi="Times New Roman" w:cs="Times New Roman"/>
        </w:rPr>
        <w:t xml:space="preserve"> requires urgent attention to ensure the coordinating </w:t>
      </w:r>
      <w:r w:rsidR="005D7CED" w:rsidRPr="00EE1497">
        <w:rPr>
          <w:rFonts w:ascii="Times New Roman" w:hAnsi="Times New Roman" w:cs="Times New Roman"/>
        </w:rPr>
        <w:t xml:space="preserve">of </w:t>
      </w:r>
      <w:r w:rsidR="00290343" w:rsidRPr="00EE1497">
        <w:rPr>
          <w:rFonts w:ascii="Times New Roman" w:hAnsi="Times New Roman" w:cs="Times New Roman"/>
        </w:rPr>
        <w:t>built environment professional skills development and contractor development</w:t>
      </w:r>
      <w:r w:rsidR="00EE1497">
        <w:rPr>
          <w:rFonts w:ascii="Times New Roman" w:hAnsi="Times New Roman" w:cs="Times New Roman"/>
        </w:rPr>
        <w:t xml:space="preserve"> to give effect to the policy directive</w:t>
      </w:r>
      <w:r w:rsidR="006861E2">
        <w:rPr>
          <w:rFonts w:ascii="Times New Roman" w:hAnsi="Times New Roman" w:cs="Times New Roman"/>
        </w:rPr>
        <w:t>s</w:t>
      </w:r>
      <w:r w:rsidR="00EE1497">
        <w:rPr>
          <w:rFonts w:ascii="Times New Roman" w:hAnsi="Times New Roman" w:cs="Times New Roman"/>
        </w:rPr>
        <w:t xml:space="preserve"> of the Minister</w:t>
      </w:r>
      <w:r w:rsidR="005D7CED" w:rsidRPr="00EE1497">
        <w:rPr>
          <w:rFonts w:ascii="Times New Roman" w:hAnsi="Times New Roman" w:cs="Times New Roman"/>
        </w:rPr>
        <w:t>.</w:t>
      </w:r>
      <w:r w:rsidR="00290343" w:rsidRPr="00EE1497">
        <w:rPr>
          <w:rFonts w:ascii="Times New Roman" w:hAnsi="Times New Roman" w:cs="Times New Roman"/>
        </w:rPr>
        <w:t xml:space="preserve"> </w:t>
      </w:r>
    </w:p>
    <w:p w14:paraId="0E0127D2" w14:textId="4576EA03" w:rsidR="00BB1EE2" w:rsidRPr="00DD19DD" w:rsidRDefault="003D6F0A" w:rsidP="00F72F11">
      <w:pPr>
        <w:shd w:val="clear" w:color="auto" w:fill="FFFFFF" w:themeFill="background1"/>
        <w:spacing w:line="360" w:lineRule="auto"/>
        <w:ind w:left="426" w:hanging="426"/>
        <w:jc w:val="both"/>
        <w:rPr>
          <w:rFonts w:ascii="Times New Roman" w:hAnsi="Times New Roman" w:cs="Times New Roman"/>
        </w:rPr>
      </w:pPr>
      <w:r>
        <w:rPr>
          <w:rFonts w:ascii="Times New Roman" w:hAnsi="Times New Roman" w:cs="Times New Roman"/>
        </w:rPr>
        <w:t>8.3</w:t>
      </w:r>
      <w:r w:rsidR="00BB1EE2" w:rsidRPr="00DD19DD">
        <w:rPr>
          <w:rFonts w:ascii="Times New Roman" w:hAnsi="Times New Roman" w:cs="Times New Roman"/>
        </w:rPr>
        <w:t xml:space="preserve">. </w:t>
      </w:r>
      <w:r w:rsidR="00DD19DD" w:rsidRPr="00DD19DD">
        <w:rPr>
          <w:rFonts w:ascii="Times New Roman" w:hAnsi="Times New Roman" w:cs="Times New Roman"/>
        </w:rPr>
        <w:t xml:space="preserve">The Committee </w:t>
      </w:r>
      <w:r w:rsidR="00DD19DD">
        <w:rPr>
          <w:rFonts w:ascii="Times New Roman" w:hAnsi="Times New Roman" w:cs="Times New Roman"/>
        </w:rPr>
        <w:t>expressed its concern at hearing from t</w:t>
      </w:r>
      <w:r w:rsidR="00813EE6" w:rsidRPr="00DD19DD">
        <w:rPr>
          <w:rFonts w:ascii="Times New Roman" w:hAnsi="Times New Roman" w:cs="Times New Roman"/>
        </w:rPr>
        <w:t>he Office of the Auditor-General</w:t>
      </w:r>
      <w:r w:rsidR="00746449">
        <w:rPr>
          <w:rFonts w:ascii="Times New Roman" w:hAnsi="Times New Roman" w:cs="Times New Roman"/>
        </w:rPr>
        <w:t xml:space="preserve"> (AG)</w:t>
      </w:r>
      <w:r w:rsidR="00813EE6" w:rsidRPr="00DD19DD">
        <w:rPr>
          <w:rFonts w:ascii="Times New Roman" w:hAnsi="Times New Roman" w:cs="Times New Roman"/>
        </w:rPr>
        <w:t xml:space="preserve"> that the auditing of the PMTE’s systems </w:t>
      </w:r>
      <w:r w:rsidR="00DD19DD">
        <w:rPr>
          <w:rFonts w:ascii="Times New Roman" w:hAnsi="Times New Roman" w:cs="Times New Roman"/>
        </w:rPr>
        <w:t>rema</w:t>
      </w:r>
      <w:r w:rsidR="00746449">
        <w:rPr>
          <w:rFonts w:ascii="Times New Roman" w:hAnsi="Times New Roman" w:cs="Times New Roman"/>
        </w:rPr>
        <w:t>ined incomplete. This concern was</w:t>
      </w:r>
      <w:r w:rsidR="00DD19DD">
        <w:rPr>
          <w:rFonts w:ascii="Times New Roman" w:hAnsi="Times New Roman" w:cs="Times New Roman"/>
        </w:rPr>
        <w:t xml:space="preserve"> </w:t>
      </w:r>
      <w:r w:rsidR="00617C67">
        <w:rPr>
          <w:rFonts w:ascii="Times New Roman" w:hAnsi="Times New Roman" w:cs="Times New Roman"/>
        </w:rPr>
        <w:t>amplified</w:t>
      </w:r>
      <w:r w:rsidR="00DD19DD">
        <w:rPr>
          <w:rFonts w:ascii="Times New Roman" w:hAnsi="Times New Roman" w:cs="Times New Roman"/>
        </w:rPr>
        <w:t xml:space="preserve"> as the matter of vacancies and the appointment of adequately skilled and experience</w:t>
      </w:r>
      <w:r w:rsidR="00746449">
        <w:rPr>
          <w:rFonts w:ascii="Times New Roman" w:hAnsi="Times New Roman" w:cs="Times New Roman"/>
        </w:rPr>
        <w:t>d personnel to the PMTE had</w:t>
      </w:r>
      <w:r w:rsidR="00DD19DD">
        <w:rPr>
          <w:rFonts w:ascii="Times New Roman" w:hAnsi="Times New Roman" w:cs="Times New Roman"/>
        </w:rPr>
        <w:t xml:space="preserve"> been consistently raised as a matter that had to be resolved.</w:t>
      </w:r>
    </w:p>
    <w:p w14:paraId="5D616599" w14:textId="37D6217F" w:rsidR="00BB1EE2" w:rsidRPr="00617C67" w:rsidRDefault="00BB1EE2" w:rsidP="0091607D">
      <w:pPr>
        <w:shd w:val="clear" w:color="auto" w:fill="FFFFFF" w:themeFill="background1"/>
        <w:spacing w:line="360" w:lineRule="auto"/>
        <w:ind w:left="426" w:hanging="426"/>
        <w:jc w:val="both"/>
        <w:rPr>
          <w:rFonts w:ascii="Times New Roman" w:hAnsi="Times New Roman" w:cs="Times New Roman"/>
        </w:rPr>
      </w:pPr>
      <w:r w:rsidRPr="00617C67">
        <w:rPr>
          <w:rFonts w:ascii="Times New Roman" w:hAnsi="Times New Roman" w:cs="Times New Roman"/>
        </w:rPr>
        <w:t>8.</w:t>
      </w:r>
      <w:r w:rsidR="003D6F0A">
        <w:rPr>
          <w:rFonts w:ascii="Times New Roman" w:hAnsi="Times New Roman" w:cs="Times New Roman"/>
        </w:rPr>
        <w:t>4</w:t>
      </w:r>
      <w:r w:rsidRPr="00617C67">
        <w:rPr>
          <w:rFonts w:ascii="Times New Roman" w:hAnsi="Times New Roman" w:cs="Times New Roman"/>
        </w:rPr>
        <w:t xml:space="preserve">. </w:t>
      </w:r>
      <w:r w:rsidR="00A4190D" w:rsidRPr="00617C67">
        <w:rPr>
          <w:rFonts w:ascii="Times New Roman" w:hAnsi="Times New Roman" w:cs="Times New Roman"/>
        </w:rPr>
        <w:t>The Committee noted the</w:t>
      </w:r>
      <w:r w:rsidR="00746449">
        <w:rPr>
          <w:rFonts w:ascii="Times New Roman" w:hAnsi="Times New Roman" w:cs="Times New Roman"/>
        </w:rPr>
        <w:t xml:space="preserve"> clean audit opinions that the </w:t>
      </w:r>
      <w:r w:rsidR="00A4190D" w:rsidRPr="00617C67">
        <w:rPr>
          <w:rFonts w:ascii="Times New Roman" w:hAnsi="Times New Roman" w:cs="Times New Roman"/>
        </w:rPr>
        <w:t xml:space="preserve">AG expressed on the financial statements of the </w:t>
      </w:r>
      <w:r w:rsidR="00746449">
        <w:rPr>
          <w:rFonts w:ascii="Times New Roman" w:hAnsi="Times New Roman" w:cs="Times New Roman"/>
        </w:rPr>
        <w:t>CBE</w:t>
      </w:r>
      <w:r w:rsidR="00A4190D" w:rsidRPr="00617C67">
        <w:rPr>
          <w:rFonts w:ascii="Times New Roman" w:hAnsi="Times New Roman" w:cs="Times New Roman"/>
        </w:rPr>
        <w:t xml:space="preserve"> and Agrément South Africa.</w:t>
      </w:r>
    </w:p>
    <w:p w14:paraId="32DD665C" w14:textId="2D445C4A" w:rsidR="00EC682B" w:rsidRDefault="00617C67" w:rsidP="0091607D">
      <w:pPr>
        <w:shd w:val="clear" w:color="auto" w:fill="FFFFFF" w:themeFill="background1"/>
        <w:spacing w:line="360" w:lineRule="auto"/>
        <w:ind w:left="426" w:hanging="426"/>
        <w:jc w:val="both"/>
        <w:rPr>
          <w:rFonts w:ascii="Times New Roman" w:hAnsi="Times New Roman" w:cs="Times New Roman"/>
        </w:rPr>
      </w:pPr>
      <w:r w:rsidRPr="00617C67">
        <w:rPr>
          <w:rFonts w:ascii="Times New Roman" w:hAnsi="Times New Roman" w:cs="Times New Roman"/>
        </w:rPr>
        <w:t>8.</w:t>
      </w:r>
      <w:r w:rsidR="003D6F0A">
        <w:rPr>
          <w:rFonts w:ascii="Times New Roman" w:hAnsi="Times New Roman" w:cs="Times New Roman"/>
        </w:rPr>
        <w:t>5</w:t>
      </w:r>
      <w:r w:rsidR="00A37D11" w:rsidRPr="00617C67">
        <w:rPr>
          <w:rFonts w:ascii="Times New Roman" w:hAnsi="Times New Roman" w:cs="Times New Roman"/>
        </w:rPr>
        <w:t xml:space="preserve">. </w:t>
      </w:r>
      <w:r w:rsidR="0096613D" w:rsidRPr="00617C67">
        <w:rPr>
          <w:rFonts w:ascii="Times New Roman" w:hAnsi="Times New Roman" w:cs="Times New Roman"/>
        </w:rPr>
        <w:t xml:space="preserve">The Committee </w:t>
      </w:r>
      <w:r w:rsidR="00746449">
        <w:rPr>
          <w:rFonts w:ascii="Times New Roman" w:hAnsi="Times New Roman" w:cs="Times New Roman"/>
        </w:rPr>
        <w:t>was</w:t>
      </w:r>
      <w:r w:rsidR="00FF3B94">
        <w:rPr>
          <w:rFonts w:ascii="Times New Roman" w:hAnsi="Times New Roman" w:cs="Times New Roman"/>
        </w:rPr>
        <w:t xml:space="preserve"> alarmed at</w:t>
      </w:r>
      <w:r w:rsidR="0096613D" w:rsidRPr="00617C67">
        <w:rPr>
          <w:rFonts w:ascii="Times New Roman" w:hAnsi="Times New Roman" w:cs="Times New Roman"/>
        </w:rPr>
        <w:t xml:space="preserve"> the </w:t>
      </w:r>
      <w:r w:rsidR="00EC682B">
        <w:rPr>
          <w:rFonts w:ascii="Times New Roman" w:hAnsi="Times New Roman" w:cs="Times New Roman"/>
        </w:rPr>
        <w:t xml:space="preserve">high </w:t>
      </w:r>
      <w:r w:rsidR="0096613D" w:rsidRPr="00617C67">
        <w:rPr>
          <w:rFonts w:ascii="Times New Roman" w:hAnsi="Times New Roman" w:cs="Times New Roman"/>
        </w:rPr>
        <w:t>vacanc</w:t>
      </w:r>
      <w:r w:rsidR="00EC682B">
        <w:rPr>
          <w:rFonts w:ascii="Times New Roman" w:hAnsi="Times New Roman" w:cs="Times New Roman"/>
        </w:rPr>
        <w:t>y rate</w:t>
      </w:r>
      <w:r w:rsidR="0096613D" w:rsidRPr="00617C67">
        <w:rPr>
          <w:rFonts w:ascii="Times New Roman" w:hAnsi="Times New Roman" w:cs="Times New Roman"/>
        </w:rPr>
        <w:t xml:space="preserve"> </w:t>
      </w:r>
      <w:r w:rsidR="00EC682B">
        <w:rPr>
          <w:rFonts w:ascii="Times New Roman" w:hAnsi="Times New Roman" w:cs="Times New Roman"/>
        </w:rPr>
        <w:t>of the PMTE</w:t>
      </w:r>
      <w:r w:rsidR="00636E80">
        <w:rPr>
          <w:rFonts w:ascii="Times New Roman" w:hAnsi="Times New Roman" w:cs="Times New Roman"/>
        </w:rPr>
        <w:t xml:space="preserve"> </w:t>
      </w:r>
      <w:r w:rsidR="00636E80" w:rsidRPr="005B15DD">
        <w:rPr>
          <w:rFonts w:ascii="Times New Roman" w:hAnsi="Times New Roman" w:cs="Times New Roman"/>
        </w:rPr>
        <w:t>in its management and professional structures</w:t>
      </w:r>
      <w:r w:rsidR="00EC682B" w:rsidRPr="005B15DD">
        <w:rPr>
          <w:rFonts w:ascii="Times New Roman" w:hAnsi="Times New Roman" w:cs="Times New Roman"/>
        </w:rPr>
        <w:t>.</w:t>
      </w:r>
      <w:r w:rsidR="00EC682B">
        <w:rPr>
          <w:rFonts w:ascii="Times New Roman" w:hAnsi="Times New Roman" w:cs="Times New Roman"/>
        </w:rPr>
        <w:t xml:space="preserve"> This slows down the operationalisation ef</w:t>
      </w:r>
      <w:r w:rsidR="0096613D" w:rsidRPr="00617C67">
        <w:rPr>
          <w:rFonts w:ascii="Times New Roman" w:hAnsi="Times New Roman" w:cs="Times New Roman"/>
        </w:rPr>
        <w:t>for</w:t>
      </w:r>
      <w:r w:rsidR="00EC682B">
        <w:rPr>
          <w:rFonts w:ascii="Times New Roman" w:hAnsi="Times New Roman" w:cs="Times New Roman"/>
        </w:rPr>
        <w:t>ts of the PMTE and hampers service delivery.</w:t>
      </w:r>
      <w:r w:rsidR="0096613D" w:rsidRPr="00617C67">
        <w:rPr>
          <w:rFonts w:ascii="Times New Roman" w:hAnsi="Times New Roman" w:cs="Times New Roman"/>
        </w:rPr>
        <w:t xml:space="preserve"> </w:t>
      </w:r>
    </w:p>
    <w:p w14:paraId="7C839544" w14:textId="0E35C5F1" w:rsidR="00A37D11" w:rsidRPr="00617C67" w:rsidRDefault="003D6F0A" w:rsidP="0091607D">
      <w:pPr>
        <w:shd w:val="clear" w:color="auto" w:fill="FFFFFF" w:themeFill="background1"/>
        <w:spacing w:line="360" w:lineRule="auto"/>
        <w:ind w:left="426" w:hanging="426"/>
        <w:jc w:val="both"/>
        <w:rPr>
          <w:rFonts w:ascii="Times New Roman" w:hAnsi="Times New Roman" w:cs="Times New Roman"/>
        </w:rPr>
      </w:pPr>
      <w:r>
        <w:rPr>
          <w:rFonts w:ascii="Times New Roman" w:hAnsi="Times New Roman" w:cs="Times New Roman"/>
        </w:rPr>
        <w:t>8.6</w:t>
      </w:r>
      <w:r w:rsidR="00EC682B">
        <w:rPr>
          <w:rFonts w:ascii="Times New Roman" w:hAnsi="Times New Roman" w:cs="Times New Roman"/>
        </w:rPr>
        <w:t xml:space="preserve">. The Committee </w:t>
      </w:r>
      <w:r w:rsidR="008A4AA5">
        <w:rPr>
          <w:rFonts w:ascii="Times New Roman" w:hAnsi="Times New Roman" w:cs="Times New Roman"/>
        </w:rPr>
        <w:t>expressed its</w:t>
      </w:r>
      <w:r w:rsidR="00EC682B">
        <w:rPr>
          <w:rFonts w:ascii="Times New Roman" w:hAnsi="Times New Roman" w:cs="Times New Roman"/>
        </w:rPr>
        <w:t xml:space="preserve"> concern about the vacancies at </w:t>
      </w:r>
      <w:r w:rsidR="0096613D" w:rsidRPr="00617C67">
        <w:rPr>
          <w:rFonts w:ascii="Times New Roman" w:hAnsi="Times New Roman" w:cs="Times New Roman"/>
        </w:rPr>
        <w:t xml:space="preserve">senior and executive management </w:t>
      </w:r>
      <w:r w:rsidR="00EC682B">
        <w:rPr>
          <w:rFonts w:ascii="Times New Roman" w:hAnsi="Times New Roman" w:cs="Times New Roman"/>
        </w:rPr>
        <w:t xml:space="preserve">level </w:t>
      </w:r>
      <w:r w:rsidR="0096613D" w:rsidRPr="00617C67">
        <w:rPr>
          <w:rFonts w:ascii="Times New Roman" w:hAnsi="Times New Roman" w:cs="Times New Roman"/>
        </w:rPr>
        <w:t xml:space="preserve">that continue to appear in </w:t>
      </w:r>
      <w:r w:rsidR="008A4AA5">
        <w:rPr>
          <w:rFonts w:ascii="Times New Roman" w:hAnsi="Times New Roman" w:cs="Times New Roman"/>
        </w:rPr>
        <w:t xml:space="preserve">reports on </w:t>
      </w:r>
      <w:r w:rsidR="0096613D" w:rsidRPr="00617C67">
        <w:rPr>
          <w:rFonts w:ascii="Times New Roman" w:hAnsi="Times New Roman" w:cs="Times New Roman"/>
        </w:rPr>
        <w:t xml:space="preserve">the structures of the CIDB and IDT. This could be part of the reason why these entities struggle to get clean audits and to efficiently deliver on their mandates. </w:t>
      </w:r>
    </w:p>
    <w:p w14:paraId="5F02471D" w14:textId="61F2FC48" w:rsidR="00781A24" w:rsidRPr="00781A24" w:rsidRDefault="00BB1EE2" w:rsidP="00F72F11">
      <w:pPr>
        <w:spacing w:line="360" w:lineRule="auto"/>
        <w:ind w:left="426" w:hanging="426"/>
        <w:jc w:val="both"/>
        <w:rPr>
          <w:rFonts w:ascii="Times New Roman" w:hAnsi="Times New Roman" w:cs="Times New Roman"/>
        </w:rPr>
      </w:pPr>
      <w:r w:rsidRPr="009A0B59">
        <w:rPr>
          <w:rFonts w:ascii="Times New Roman" w:hAnsi="Times New Roman" w:cs="Times New Roman"/>
        </w:rPr>
        <w:t>8.</w:t>
      </w:r>
      <w:r w:rsidR="00617C67" w:rsidRPr="009A0B59">
        <w:rPr>
          <w:rFonts w:ascii="Times New Roman" w:hAnsi="Times New Roman" w:cs="Times New Roman"/>
        </w:rPr>
        <w:t>7</w:t>
      </w:r>
      <w:r w:rsidRPr="009A0B59">
        <w:rPr>
          <w:rFonts w:ascii="Times New Roman" w:hAnsi="Times New Roman" w:cs="Times New Roman"/>
        </w:rPr>
        <w:t xml:space="preserve">. </w:t>
      </w:r>
      <w:r w:rsidR="00781A24">
        <w:rPr>
          <w:rFonts w:ascii="Times New Roman" w:hAnsi="Times New Roman" w:cs="Times New Roman"/>
        </w:rPr>
        <w:t xml:space="preserve">The Committee stressed </w:t>
      </w:r>
      <w:r w:rsidR="00781A24" w:rsidRPr="00781A24">
        <w:rPr>
          <w:rFonts w:ascii="Times New Roman" w:hAnsi="Times New Roman" w:cs="Times New Roman"/>
        </w:rPr>
        <w:t xml:space="preserve">the </w:t>
      </w:r>
      <w:r w:rsidR="00781A24">
        <w:rPr>
          <w:rFonts w:ascii="Times New Roman" w:hAnsi="Times New Roman" w:cs="Times New Roman"/>
        </w:rPr>
        <w:t xml:space="preserve">important role of the </w:t>
      </w:r>
      <w:r w:rsidR="00781A24" w:rsidRPr="00781A24">
        <w:rPr>
          <w:rFonts w:ascii="Times New Roman" w:hAnsi="Times New Roman" w:cs="Times New Roman"/>
        </w:rPr>
        <w:t xml:space="preserve">IDT as </w:t>
      </w:r>
      <w:r w:rsidR="00746449">
        <w:rPr>
          <w:rFonts w:ascii="Times New Roman" w:hAnsi="Times New Roman" w:cs="Times New Roman"/>
        </w:rPr>
        <w:t xml:space="preserve">a </w:t>
      </w:r>
      <w:r w:rsidR="00781A24" w:rsidRPr="00781A24">
        <w:rPr>
          <w:rFonts w:ascii="Times New Roman" w:hAnsi="Times New Roman" w:cs="Times New Roman"/>
        </w:rPr>
        <w:t xml:space="preserve">project management agency of government to ensure </w:t>
      </w:r>
      <w:r w:rsidR="00781A24">
        <w:rPr>
          <w:rFonts w:ascii="Times New Roman" w:hAnsi="Times New Roman" w:cs="Times New Roman"/>
        </w:rPr>
        <w:t>the building of social structure infrastructure such as clinics, hospitals, courts, police stations, libraries,</w:t>
      </w:r>
      <w:r w:rsidR="00781A24" w:rsidRPr="00781A24">
        <w:rPr>
          <w:rFonts w:ascii="Times New Roman" w:hAnsi="Times New Roman" w:cs="Times New Roman"/>
        </w:rPr>
        <w:t xml:space="preserve"> </w:t>
      </w:r>
      <w:r w:rsidR="00781A24">
        <w:rPr>
          <w:rFonts w:ascii="Times New Roman" w:hAnsi="Times New Roman" w:cs="Times New Roman"/>
        </w:rPr>
        <w:t>and schools</w:t>
      </w:r>
      <w:r w:rsidR="00781A24" w:rsidRPr="00781A24">
        <w:rPr>
          <w:rFonts w:ascii="Times New Roman" w:hAnsi="Times New Roman" w:cs="Times New Roman"/>
        </w:rPr>
        <w:t xml:space="preserve">. </w:t>
      </w:r>
      <w:r w:rsidR="00781A24">
        <w:rPr>
          <w:rFonts w:ascii="Times New Roman" w:hAnsi="Times New Roman" w:cs="Times New Roman"/>
        </w:rPr>
        <w:t xml:space="preserve">It </w:t>
      </w:r>
      <w:r w:rsidR="00F322D5">
        <w:rPr>
          <w:rFonts w:ascii="Times New Roman" w:hAnsi="Times New Roman" w:cs="Times New Roman"/>
        </w:rPr>
        <w:t xml:space="preserve">is alarmed at </w:t>
      </w:r>
      <w:r w:rsidR="00A04A40">
        <w:rPr>
          <w:rFonts w:ascii="Times New Roman" w:hAnsi="Times New Roman" w:cs="Times New Roman"/>
        </w:rPr>
        <w:t xml:space="preserve">the dire financial situation of the entity. It </w:t>
      </w:r>
      <w:r w:rsidR="006C66EA">
        <w:rPr>
          <w:rFonts w:ascii="Times New Roman" w:hAnsi="Times New Roman" w:cs="Times New Roman"/>
        </w:rPr>
        <w:t xml:space="preserve">is disgusted that governance weaknesses has led to this being a characteristic of the </w:t>
      </w:r>
      <w:r w:rsidR="006C66EA">
        <w:rPr>
          <w:rFonts w:ascii="Times New Roman" w:hAnsi="Times New Roman" w:cs="Times New Roman"/>
        </w:rPr>
        <w:lastRenderedPageBreak/>
        <w:t>IDT. The</w:t>
      </w:r>
      <w:r w:rsidR="00A04A40">
        <w:rPr>
          <w:rFonts w:ascii="Times New Roman" w:hAnsi="Times New Roman" w:cs="Times New Roman"/>
        </w:rPr>
        <w:t xml:space="preserve"> DPW </w:t>
      </w:r>
      <w:r w:rsidR="005916E1">
        <w:rPr>
          <w:rFonts w:ascii="Times New Roman" w:hAnsi="Times New Roman" w:cs="Times New Roman"/>
        </w:rPr>
        <w:t>must</w:t>
      </w:r>
      <w:r w:rsidR="006C66EA">
        <w:rPr>
          <w:rFonts w:ascii="Times New Roman" w:hAnsi="Times New Roman" w:cs="Times New Roman"/>
        </w:rPr>
        <w:t xml:space="preserve"> </w:t>
      </w:r>
      <w:r w:rsidR="00DD4315">
        <w:rPr>
          <w:rFonts w:ascii="Times New Roman" w:hAnsi="Times New Roman" w:cs="Times New Roman"/>
        </w:rPr>
        <w:t xml:space="preserve">urgently </w:t>
      </w:r>
      <w:r w:rsidR="00A04A40">
        <w:rPr>
          <w:rFonts w:ascii="Times New Roman" w:hAnsi="Times New Roman" w:cs="Times New Roman"/>
        </w:rPr>
        <w:t>intervene to</w:t>
      </w:r>
      <w:r w:rsidR="00781A24">
        <w:rPr>
          <w:rFonts w:ascii="Times New Roman" w:hAnsi="Times New Roman" w:cs="Times New Roman"/>
        </w:rPr>
        <w:t xml:space="preserve"> address the financial, administrative management, and governance weaknesses that has become a feature of the entity. </w:t>
      </w:r>
    </w:p>
    <w:p w14:paraId="419E73A5" w14:textId="6BDE54B2" w:rsidR="00BB1EE2" w:rsidRDefault="00781A24" w:rsidP="00F72F11">
      <w:pPr>
        <w:spacing w:line="360" w:lineRule="auto"/>
        <w:ind w:left="426" w:hanging="426"/>
        <w:jc w:val="both"/>
        <w:rPr>
          <w:rFonts w:ascii="Times New Roman" w:hAnsi="Times New Roman" w:cs="Times New Roman"/>
        </w:rPr>
      </w:pPr>
      <w:r>
        <w:rPr>
          <w:rFonts w:ascii="Times New Roman" w:hAnsi="Times New Roman" w:cs="Times New Roman"/>
        </w:rPr>
        <w:t xml:space="preserve">8.8. </w:t>
      </w:r>
      <w:r w:rsidR="00617C67" w:rsidRPr="009A0B59">
        <w:rPr>
          <w:rFonts w:ascii="Times New Roman" w:hAnsi="Times New Roman" w:cs="Times New Roman"/>
        </w:rPr>
        <w:t>The Committee repeats</w:t>
      </w:r>
      <w:r w:rsidR="00916CBC">
        <w:rPr>
          <w:rStyle w:val="FootnoteReference"/>
          <w:rFonts w:ascii="Times New Roman" w:hAnsi="Times New Roman" w:cs="Times New Roman"/>
        </w:rPr>
        <w:footnoteReference w:id="128"/>
      </w:r>
      <w:r w:rsidR="00617C67" w:rsidRPr="009A0B59">
        <w:rPr>
          <w:rFonts w:ascii="Times New Roman" w:hAnsi="Times New Roman" w:cs="Times New Roman"/>
        </w:rPr>
        <w:t xml:space="preserve"> its concern at the </w:t>
      </w:r>
      <w:r w:rsidR="00B13A92" w:rsidRPr="009A0B59">
        <w:rPr>
          <w:rFonts w:ascii="Times New Roman" w:hAnsi="Times New Roman" w:cs="Times New Roman"/>
        </w:rPr>
        <w:t xml:space="preserve">lack of delivery of the review of the Public Works White Papers </w:t>
      </w:r>
      <w:r w:rsidR="00EC682B">
        <w:rPr>
          <w:rFonts w:ascii="Times New Roman" w:hAnsi="Times New Roman" w:cs="Times New Roman"/>
        </w:rPr>
        <w:t>by Pro</w:t>
      </w:r>
      <w:r w:rsidR="00900EBB">
        <w:rPr>
          <w:rFonts w:ascii="Times New Roman" w:hAnsi="Times New Roman" w:cs="Times New Roman"/>
        </w:rPr>
        <w:t>gramme 4 of the DPW that was shifted to the 2019 five-</w:t>
      </w:r>
      <w:r w:rsidR="00EC682B">
        <w:rPr>
          <w:rFonts w:ascii="Times New Roman" w:hAnsi="Times New Roman" w:cs="Times New Roman"/>
        </w:rPr>
        <w:t>year administrative term. This is contrary to the targets stated in the 2014-2019 Strategic Plan of the DPW and the subsequent Annual Performance Plans. The Committee continued to express its concern that the</w:t>
      </w:r>
      <w:r w:rsidR="00B13A92" w:rsidRPr="009A0B59">
        <w:rPr>
          <w:rFonts w:ascii="Times New Roman" w:hAnsi="Times New Roman" w:cs="Times New Roman"/>
        </w:rPr>
        <w:t xml:space="preserve"> Public Works Bill and amendments to the mandates of the CIDB and the CBE</w:t>
      </w:r>
      <w:r w:rsidR="00900EBB">
        <w:rPr>
          <w:rFonts w:ascii="Times New Roman" w:hAnsi="Times New Roman" w:cs="Times New Roman"/>
        </w:rPr>
        <w:t xml:space="preserve"> were</w:t>
      </w:r>
      <w:r w:rsidR="00EC682B">
        <w:rPr>
          <w:rFonts w:ascii="Times New Roman" w:hAnsi="Times New Roman" w:cs="Times New Roman"/>
        </w:rPr>
        <w:t xml:space="preserve"> not going to be achieved in this term</w:t>
      </w:r>
      <w:r w:rsidR="00900EBB">
        <w:rPr>
          <w:rFonts w:ascii="Times New Roman" w:hAnsi="Times New Roman" w:cs="Times New Roman"/>
        </w:rPr>
        <w:t>. It noted</w:t>
      </w:r>
      <w:r w:rsidR="00B13A92" w:rsidRPr="009A0B59">
        <w:rPr>
          <w:rFonts w:ascii="Times New Roman" w:hAnsi="Times New Roman" w:cs="Times New Roman"/>
        </w:rPr>
        <w:t xml:space="preserve"> that some of the challenges experienced in the DPW, PMTE and </w:t>
      </w:r>
      <w:r w:rsidR="00900EBB">
        <w:rPr>
          <w:rFonts w:ascii="Times New Roman" w:hAnsi="Times New Roman" w:cs="Times New Roman"/>
        </w:rPr>
        <w:t>the relevant entities originate</w:t>
      </w:r>
      <w:r w:rsidR="00B13A92" w:rsidRPr="009A0B59">
        <w:rPr>
          <w:rFonts w:ascii="Times New Roman" w:hAnsi="Times New Roman" w:cs="Times New Roman"/>
        </w:rPr>
        <w:t xml:space="preserve"> from this work being incomplete.</w:t>
      </w:r>
    </w:p>
    <w:p w14:paraId="76C761F8" w14:textId="53FC20E9" w:rsidR="00865070" w:rsidRDefault="00A17054" w:rsidP="00F72F11">
      <w:pPr>
        <w:spacing w:line="360" w:lineRule="auto"/>
        <w:ind w:left="426" w:hanging="426"/>
        <w:jc w:val="both"/>
        <w:rPr>
          <w:rFonts w:ascii="Times New Roman" w:hAnsi="Times New Roman" w:cs="Times New Roman"/>
          <w:lang w:val="en-US"/>
        </w:rPr>
      </w:pPr>
      <w:r>
        <w:rPr>
          <w:rFonts w:ascii="Times New Roman" w:hAnsi="Times New Roman" w:cs="Times New Roman"/>
        </w:rPr>
        <w:t>8.9</w:t>
      </w:r>
      <w:r w:rsidR="00865070" w:rsidRPr="000F6F88">
        <w:rPr>
          <w:rFonts w:ascii="Times New Roman" w:hAnsi="Times New Roman" w:cs="Times New Roman"/>
        </w:rPr>
        <w:t xml:space="preserve">. The Committee noted </w:t>
      </w:r>
      <w:r w:rsidR="00865070" w:rsidRPr="000F6F88">
        <w:rPr>
          <w:rFonts w:ascii="Times New Roman" w:hAnsi="Times New Roman" w:cs="Times New Roman"/>
          <w:lang w:val="en-US"/>
        </w:rPr>
        <w:t>that while the</w:t>
      </w:r>
      <w:r>
        <w:rPr>
          <w:rFonts w:ascii="Times New Roman" w:hAnsi="Times New Roman" w:cs="Times New Roman"/>
          <w:lang w:val="en-US"/>
        </w:rPr>
        <w:t xml:space="preserve"> 2018/19</w:t>
      </w:r>
      <w:r w:rsidR="00865070" w:rsidRPr="000F6F88">
        <w:rPr>
          <w:rFonts w:ascii="Times New Roman" w:hAnsi="Times New Roman" w:cs="Times New Roman"/>
          <w:lang w:val="en-US"/>
        </w:rPr>
        <w:t xml:space="preserve"> APP mentioned the Immovable Asset Register, the seriousness of delivering on whether and how the register was going to be effectivel</w:t>
      </w:r>
      <w:r w:rsidR="00284087">
        <w:rPr>
          <w:rFonts w:ascii="Times New Roman" w:hAnsi="Times New Roman" w:cs="Times New Roman"/>
          <w:lang w:val="en-US"/>
        </w:rPr>
        <w:t xml:space="preserve">y updated to make </w:t>
      </w:r>
      <w:r w:rsidR="00865070" w:rsidRPr="000F6F88">
        <w:rPr>
          <w:rFonts w:ascii="Times New Roman" w:hAnsi="Times New Roman" w:cs="Times New Roman"/>
          <w:lang w:val="en-US"/>
        </w:rPr>
        <w:t xml:space="preserve">land </w:t>
      </w:r>
      <w:r w:rsidR="00284087">
        <w:rPr>
          <w:rFonts w:ascii="Times New Roman" w:hAnsi="Times New Roman" w:cs="Times New Roman"/>
          <w:lang w:val="en-US"/>
        </w:rPr>
        <w:t xml:space="preserve">available </w:t>
      </w:r>
      <w:r w:rsidR="00865070" w:rsidRPr="000F6F88">
        <w:rPr>
          <w:rFonts w:ascii="Times New Roman" w:hAnsi="Times New Roman" w:cs="Times New Roman"/>
          <w:lang w:val="en-US"/>
        </w:rPr>
        <w:t>for other target</w:t>
      </w:r>
      <w:r w:rsidR="00284087">
        <w:rPr>
          <w:rFonts w:ascii="Times New Roman" w:hAnsi="Times New Roman" w:cs="Times New Roman"/>
          <w:lang w:val="en-US"/>
        </w:rPr>
        <w:t>ed outcomes</w:t>
      </w:r>
      <w:r w:rsidR="00865070" w:rsidRPr="000F6F88">
        <w:rPr>
          <w:rFonts w:ascii="Times New Roman" w:hAnsi="Times New Roman" w:cs="Times New Roman"/>
          <w:lang w:val="en-US"/>
        </w:rPr>
        <w:t xml:space="preserve"> of government such as transport, </w:t>
      </w:r>
      <w:r w:rsidR="00900EBB" w:rsidRPr="000F6F88">
        <w:rPr>
          <w:rFonts w:ascii="Times New Roman" w:hAnsi="Times New Roman" w:cs="Times New Roman"/>
          <w:lang w:val="en-US"/>
        </w:rPr>
        <w:t>housing,</w:t>
      </w:r>
      <w:r w:rsidR="00900EBB">
        <w:rPr>
          <w:rFonts w:ascii="Times New Roman" w:hAnsi="Times New Roman" w:cs="Times New Roman"/>
          <w:lang w:val="en-US"/>
        </w:rPr>
        <w:t xml:space="preserve"> health, security</w:t>
      </w:r>
      <w:r w:rsidR="00865070" w:rsidRPr="000F6F88">
        <w:rPr>
          <w:rFonts w:ascii="Times New Roman" w:hAnsi="Times New Roman" w:cs="Times New Roman"/>
          <w:lang w:val="en-US"/>
        </w:rPr>
        <w:t xml:space="preserve"> and schooling was not sufficiently addressed.</w:t>
      </w:r>
    </w:p>
    <w:p w14:paraId="5A066FE9" w14:textId="543E3212" w:rsidR="000F6F88" w:rsidRPr="000F6F88" w:rsidRDefault="000F6F88" w:rsidP="00F72F11">
      <w:pPr>
        <w:spacing w:line="360" w:lineRule="auto"/>
        <w:ind w:left="426" w:hanging="426"/>
        <w:jc w:val="both"/>
        <w:rPr>
          <w:rFonts w:ascii="Times New Roman" w:hAnsi="Times New Roman" w:cs="Times New Roman"/>
        </w:rPr>
      </w:pPr>
      <w:r>
        <w:rPr>
          <w:rFonts w:ascii="Times New Roman" w:hAnsi="Times New Roman" w:cs="Times New Roman"/>
          <w:lang w:val="en-US"/>
        </w:rPr>
        <w:t>8.</w:t>
      </w:r>
      <w:r w:rsidR="00B659EB">
        <w:rPr>
          <w:rFonts w:ascii="Times New Roman" w:hAnsi="Times New Roman" w:cs="Times New Roman"/>
          <w:lang w:val="en-US"/>
        </w:rPr>
        <w:t>10</w:t>
      </w:r>
      <w:r>
        <w:rPr>
          <w:rFonts w:ascii="Times New Roman" w:hAnsi="Times New Roman" w:cs="Times New Roman"/>
          <w:lang w:val="en-US"/>
        </w:rPr>
        <w:t xml:space="preserve">. </w:t>
      </w:r>
      <w:r w:rsidR="00D14D95">
        <w:rPr>
          <w:rFonts w:ascii="Times New Roman" w:hAnsi="Times New Roman" w:cs="Times New Roman"/>
          <w:lang w:val="en-US"/>
        </w:rPr>
        <w:t>The Committee also noted that</w:t>
      </w:r>
      <w:r w:rsidR="00F22359">
        <w:rPr>
          <w:rFonts w:ascii="Times New Roman" w:hAnsi="Times New Roman" w:cs="Times New Roman"/>
          <w:lang w:val="en-US"/>
        </w:rPr>
        <w:t xml:space="preserve"> the PMTE had to take </w:t>
      </w:r>
      <w:r w:rsidR="00777C14">
        <w:rPr>
          <w:rFonts w:ascii="Times New Roman" w:hAnsi="Times New Roman" w:cs="Times New Roman"/>
          <w:lang w:val="en-US"/>
        </w:rPr>
        <w:t xml:space="preserve">the necessary </w:t>
      </w:r>
      <w:r w:rsidR="00F22359">
        <w:rPr>
          <w:rFonts w:ascii="Times New Roman" w:hAnsi="Times New Roman" w:cs="Times New Roman"/>
          <w:lang w:val="en-US"/>
        </w:rPr>
        <w:t xml:space="preserve">steps </w:t>
      </w:r>
      <w:r w:rsidR="00900EBB">
        <w:rPr>
          <w:rFonts w:ascii="Times New Roman" w:hAnsi="Times New Roman" w:cs="Times New Roman"/>
          <w:lang w:val="en-US"/>
        </w:rPr>
        <w:t>to develop</w:t>
      </w:r>
      <w:r w:rsidR="00777C14">
        <w:rPr>
          <w:rFonts w:ascii="Times New Roman" w:hAnsi="Times New Roman" w:cs="Times New Roman"/>
          <w:lang w:val="en-US"/>
        </w:rPr>
        <w:t xml:space="preserve"> </w:t>
      </w:r>
      <w:r w:rsidR="00F22359">
        <w:rPr>
          <w:rFonts w:ascii="Times New Roman" w:hAnsi="Times New Roman" w:cs="Times New Roman"/>
          <w:lang w:val="en-US"/>
        </w:rPr>
        <w:t>the</w:t>
      </w:r>
      <w:r w:rsidR="00D14D95">
        <w:rPr>
          <w:rFonts w:ascii="Times New Roman" w:hAnsi="Times New Roman" w:cs="Times New Roman"/>
          <w:lang w:val="en-US"/>
        </w:rPr>
        <w:t xml:space="preserve"> </w:t>
      </w:r>
      <w:r w:rsidR="00F22359" w:rsidRPr="00F22359">
        <w:rPr>
          <w:rFonts w:ascii="Times New Roman" w:hAnsi="Times New Roman" w:cs="Times New Roman"/>
          <w:lang w:val="en-US"/>
        </w:rPr>
        <w:t xml:space="preserve">Infrastructure Programme Implementation Plans (IPIPs), User Asset Management and Client Asset Management planning tools </w:t>
      </w:r>
      <w:r w:rsidR="00F22359">
        <w:rPr>
          <w:rFonts w:ascii="Times New Roman" w:hAnsi="Times New Roman" w:cs="Times New Roman"/>
          <w:lang w:val="en-US"/>
        </w:rPr>
        <w:t>in cooperation with</w:t>
      </w:r>
      <w:r w:rsidR="00F22359" w:rsidRPr="00F22359">
        <w:rPr>
          <w:rFonts w:ascii="Times New Roman" w:hAnsi="Times New Roman" w:cs="Times New Roman"/>
          <w:lang w:val="en-US"/>
        </w:rPr>
        <w:t xml:space="preserve"> client</w:t>
      </w:r>
      <w:r w:rsidR="00F22359">
        <w:rPr>
          <w:rFonts w:ascii="Times New Roman" w:hAnsi="Times New Roman" w:cs="Times New Roman"/>
          <w:lang w:val="en-US"/>
        </w:rPr>
        <w:t xml:space="preserve"> departments</w:t>
      </w:r>
      <w:r w:rsidR="00561EAE">
        <w:rPr>
          <w:rFonts w:ascii="Times New Roman" w:hAnsi="Times New Roman" w:cs="Times New Roman"/>
          <w:lang w:val="en-US"/>
        </w:rPr>
        <w:t xml:space="preserve"> and, where relevant,</w:t>
      </w:r>
      <w:r w:rsidR="00561EAE" w:rsidRPr="00F22359">
        <w:rPr>
          <w:rFonts w:ascii="Times New Roman" w:hAnsi="Times New Roman" w:cs="Times New Roman"/>
          <w:lang w:val="en-US"/>
        </w:rPr>
        <w:t xml:space="preserve"> </w:t>
      </w:r>
      <w:r w:rsidR="00561EAE">
        <w:rPr>
          <w:rFonts w:ascii="Times New Roman" w:hAnsi="Times New Roman" w:cs="Times New Roman"/>
          <w:lang w:val="en-US"/>
        </w:rPr>
        <w:t>provincial departments</w:t>
      </w:r>
      <w:r w:rsidR="00590479">
        <w:rPr>
          <w:rFonts w:ascii="Times New Roman" w:hAnsi="Times New Roman" w:cs="Times New Roman"/>
          <w:lang w:val="en-US"/>
        </w:rPr>
        <w:t>, and</w:t>
      </w:r>
      <w:r w:rsidR="00F22359">
        <w:rPr>
          <w:rFonts w:ascii="Times New Roman" w:hAnsi="Times New Roman" w:cs="Times New Roman"/>
          <w:lang w:val="en-US"/>
        </w:rPr>
        <w:t xml:space="preserve"> </w:t>
      </w:r>
      <w:r w:rsidR="00F22359" w:rsidRPr="00F22359">
        <w:rPr>
          <w:rFonts w:ascii="Times New Roman" w:hAnsi="Times New Roman" w:cs="Times New Roman"/>
          <w:lang w:val="en-US"/>
        </w:rPr>
        <w:t>municipalities</w:t>
      </w:r>
      <w:r w:rsidR="00F22359">
        <w:rPr>
          <w:rFonts w:ascii="Times New Roman" w:hAnsi="Times New Roman" w:cs="Times New Roman"/>
          <w:lang w:val="en-US"/>
        </w:rPr>
        <w:t>.</w:t>
      </w:r>
    </w:p>
    <w:p w14:paraId="4400318F" w14:textId="64AED7A2" w:rsidR="00BB1EE2" w:rsidRDefault="00B659EB" w:rsidP="00037538">
      <w:pPr>
        <w:spacing w:line="360" w:lineRule="auto"/>
        <w:ind w:left="426" w:hanging="426"/>
        <w:jc w:val="both"/>
        <w:rPr>
          <w:rFonts w:ascii="Times New Roman" w:hAnsi="Times New Roman" w:cs="Times New Roman"/>
        </w:rPr>
      </w:pPr>
      <w:r>
        <w:rPr>
          <w:rFonts w:ascii="Times New Roman" w:hAnsi="Times New Roman" w:cs="Times New Roman"/>
        </w:rPr>
        <w:t>8.11</w:t>
      </w:r>
      <w:r w:rsidR="006936A1" w:rsidRPr="006936A1">
        <w:rPr>
          <w:rFonts w:ascii="Times New Roman" w:hAnsi="Times New Roman" w:cs="Times New Roman"/>
        </w:rPr>
        <w:t>.</w:t>
      </w:r>
      <w:r w:rsidR="006936A1">
        <w:rPr>
          <w:rFonts w:ascii="Times New Roman" w:hAnsi="Times New Roman" w:cs="Times New Roman"/>
        </w:rPr>
        <w:t xml:space="preserve"> The Committee </w:t>
      </w:r>
      <w:r w:rsidR="006936A1" w:rsidRPr="006936A1">
        <w:rPr>
          <w:rFonts w:ascii="Times New Roman" w:hAnsi="Times New Roman" w:cs="Times New Roman"/>
        </w:rPr>
        <w:t>recognise</w:t>
      </w:r>
      <w:r w:rsidR="00900EBB">
        <w:rPr>
          <w:rFonts w:ascii="Times New Roman" w:hAnsi="Times New Roman" w:cs="Times New Roman"/>
        </w:rPr>
        <w:t>d</w:t>
      </w:r>
      <w:r w:rsidR="006936A1" w:rsidRPr="006936A1">
        <w:rPr>
          <w:rFonts w:ascii="Times New Roman" w:hAnsi="Times New Roman" w:cs="Times New Roman"/>
        </w:rPr>
        <w:t xml:space="preserve"> the results of the DPW’s </w:t>
      </w:r>
      <w:r w:rsidR="00370147" w:rsidRPr="006936A1">
        <w:rPr>
          <w:rFonts w:ascii="Times New Roman" w:hAnsi="Times New Roman" w:cs="Times New Roman"/>
        </w:rPr>
        <w:t>turnaround</w:t>
      </w:r>
      <w:r w:rsidR="006936A1" w:rsidRPr="006936A1">
        <w:rPr>
          <w:rFonts w:ascii="Times New Roman" w:hAnsi="Times New Roman" w:cs="Times New Roman"/>
        </w:rPr>
        <w:t xml:space="preserve"> plan that was started in 2012.</w:t>
      </w:r>
      <w:r w:rsidR="00370147">
        <w:rPr>
          <w:rFonts w:ascii="Times New Roman" w:hAnsi="Times New Roman" w:cs="Times New Roman"/>
        </w:rPr>
        <w:t xml:space="preserve"> The work of the Governance Risk and </w:t>
      </w:r>
      <w:r w:rsidR="003226D2">
        <w:rPr>
          <w:rFonts w:ascii="Times New Roman" w:hAnsi="Times New Roman" w:cs="Times New Roman"/>
        </w:rPr>
        <w:t>Compliance Branch had the effect of</w:t>
      </w:r>
      <w:r w:rsidR="006936A1" w:rsidRPr="006936A1">
        <w:rPr>
          <w:rFonts w:ascii="Times New Roman" w:hAnsi="Times New Roman" w:cs="Times New Roman"/>
        </w:rPr>
        <w:t xml:space="preserve"> </w:t>
      </w:r>
      <w:r w:rsidR="00370147">
        <w:rPr>
          <w:rFonts w:ascii="Times New Roman" w:hAnsi="Times New Roman" w:cs="Times New Roman"/>
        </w:rPr>
        <w:t xml:space="preserve">addressing </w:t>
      </w:r>
      <w:r w:rsidR="006936A1" w:rsidRPr="006936A1">
        <w:rPr>
          <w:rFonts w:ascii="Times New Roman" w:hAnsi="Times New Roman" w:cs="Times New Roman"/>
        </w:rPr>
        <w:t xml:space="preserve">corruption in the department’s dealings with the private construction industry and </w:t>
      </w:r>
      <w:r w:rsidR="00370147">
        <w:rPr>
          <w:rFonts w:ascii="Times New Roman" w:hAnsi="Times New Roman" w:cs="Times New Roman"/>
        </w:rPr>
        <w:t xml:space="preserve">the </w:t>
      </w:r>
      <w:r w:rsidR="006936A1" w:rsidRPr="006936A1">
        <w:rPr>
          <w:rFonts w:ascii="Times New Roman" w:hAnsi="Times New Roman" w:cs="Times New Roman"/>
        </w:rPr>
        <w:t>built environment.</w:t>
      </w:r>
      <w:r w:rsidR="006936A1">
        <w:rPr>
          <w:rFonts w:ascii="Times New Roman" w:hAnsi="Times New Roman" w:cs="Times New Roman"/>
        </w:rPr>
        <w:t xml:space="preserve"> Further </w:t>
      </w:r>
      <w:r w:rsidR="00DA7127">
        <w:rPr>
          <w:rFonts w:ascii="Times New Roman" w:hAnsi="Times New Roman" w:cs="Times New Roman"/>
        </w:rPr>
        <w:t xml:space="preserve">steps </w:t>
      </w:r>
      <w:r w:rsidR="003226D2">
        <w:rPr>
          <w:rFonts w:ascii="Times New Roman" w:hAnsi="Times New Roman" w:cs="Times New Roman"/>
        </w:rPr>
        <w:t xml:space="preserve">need to be taken to ensure that corrupt activities can be detected earlier rather than later in the procurement and reporting phases of operations.  </w:t>
      </w:r>
      <w:r w:rsidR="006936A1">
        <w:rPr>
          <w:rFonts w:ascii="Times New Roman" w:hAnsi="Times New Roman" w:cs="Times New Roman"/>
        </w:rPr>
        <w:t xml:space="preserve"> </w:t>
      </w:r>
    </w:p>
    <w:p w14:paraId="7D42591A" w14:textId="236015CC" w:rsidR="00B20DA9" w:rsidRDefault="00B20DA9" w:rsidP="00037538">
      <w:pPr>
        <w:spacing w:line="360" w:lineRule="auto"/>
        <w:ind w:left="426" w:hanging="426"/>
        <w:jc w:val="both"/>
        <w:rPr>
          <w:rFonts w:ascii="Times New Roman" w:hAnsi="Times New Roman"/>
        </w:rPr>
      </w:pPr>
      <w:r>
        <w:rPr>
          <w:rFonts w:ascii="Times New Roman" w:hAnsi="Times New Roman" w:cs="Times New Roman"/>
        </w:rPr>
        <w:t xml:space="preserve">8.12. The Committee noted the planned target stated to </w:t>
      </w:r>
      <w:r w:rsidRPr="00B20DA9">
        <w:rPr>
          <w:rFonts w:ascii="Times New Roman" w:hAnsi="Times New Roman" w:cs="Times New Roman"/>
        </w:rPr>
        <w:t>s</w:t>
      </w:r>
      <w:r w:rsidRPr="00B20DA9">
        <w:rPr>
          <w:rFonts w:ascii="Times New Roman" w:hAnsi="Times New Roman"/>
        </w:rPr>
        <w:t xml:space="preserve">ettle all </w:t>
      </w:r>
      <w:r>
        <w:rPr>
          <w:rFonts w:ascii="Times New Roman" w:hAnsi="Times New Roman"/>
        </w:rPr>
        <w:t xml:space="preserve">registered </w:t>
      </w:r>
      <w:r w:rsidRPr="00B20DA9">
        <w:rPr>
          <w:rFonts w:ascii="Times New Roman" w:hAnsi="Times New Roman"/>
        </w:rPr>
        <w:t>invoices within 30 days</w:t>
      </w:r>
      <w:r>
        <w:rPr>
          <w:rFonts w:ascii="Times New Roman" w:hAnsi="Times New Roman"/>
        </w:rPr>
        <w:t xml:space="preserve"> as important to ensure that especially emerging</w:t>
      </w:r>
      <w:r w:rsidR="00900EBB">
        <w:rPr>
          <w:rFonts w:ascii="Times New Roman" w:hAnsi="Times New Roman"/>
        </w:rPr>
        <w:t xml:space="preserve"> Black</w:t>
      </w:r>
      <w:r>
        <w:rPr>
          <w:rFonts w:ascii="Times New Roman" w:hAnsi="Times New Roman"/>
        </w:rPr>
        <w:t xml:space="preserve"> contractors and sub-contractors are able to continue doing business. </w:t>
      </w:r>
    </w:p>
    <w:p w14:paraId="0803C09D" w14:textId="4E0FA6EC" w:rsidR="00D130D4" w:rsidRDefault="00D130D4" w:rsidP="00037538">
      <w:pPr>
        <w:spacing w:line="360" w:lineRule="auto"/>
        <w:ind w:left="426" w:hanging="426"/>
        <w:jc w:val="both"/>
        <w:rPr>
          <w:rFonts w:ascii="Times New Roman" w:hAnsi="Times New Roman"/>
        </w:rPr>
      </w:pPr>
      <w:r>
        <w:rPr>
          <w:rFonts w:ascii="Times New Roman" w:hAnsi="Times New Roman"/>
        </w:rPr>
        <w:t xml:space="preserve">8.13. The Committee noted that </w:t>
      </w:r>
      <w:r w:rsidR="00900EBB">
        <w:rPr>
          <w:rFonts w:ascii="Times New Roman" w:hAnsi="Times New Roman"/>
        </w:rPr>
        <w:t xml:space="preserve">the </w:t>
      </w:r>
      <w:r>
        <w:rPr>
          <w:rFonts w:ascii="Times New Roman" w:hAnsi="Times New Roman"/>
        </w:rPr>
        <w:t>leadership changes in the DPW and the entities create governance and administ</w:t>
      </w:r>
      <w:r w:rsidR="00900EBB">
        <w:rPr>
          <w:rFonts w:ascii="Times New Roman" w:hAnsi="Times New Roman"/>
        </w:rPr>
        <w:t>rative weaknesses that increase</w:t>
      </w:r>
      <w:r>
        <w:rPr>
          <w:rFonts w:ascii="Times New Roman" w:hAnsi="Times New Roman"/>
        </w:rPr>
        <w:t xml:space="preserve"> the risk of corrupt activities and </w:t>
      </w:r>
      <w:r w:rsidR="00F47097">
        <w:rPr>
          <w:rFonts w:ascii="Times New Roman" w:hAnsi="Times New Roman"/>
        </w:rPr>
        <w:t xml:space="preserve">deepen </w:t>
      </w:r>
      <w:r>
        <w:rPr>
          <w:rFonts w:ascii="Times New Roman" w:hAnsi="Times New Roman"/>
        </w:rPr>
        <w:t>compliance challenges.</w:t>
      </w:r>
    </w:p>
    <w:p w14:paraId="6736BC22" w14:textId="632539C4" w:rsidR="00F52A25" w:rsidRDefault="00F52A25" w:rsidP="00037538">
      <w:pPr>
        <w:spacing w:line="360" w:lineRule="auto"/>
        <w:ind w:left="426" w:hanging="426"/>
        <w:jc w:val="both"/>
        <w:rPr>
          <w:rFonts w:ascii="Times New Roman" w:hAnsi="Times New Roman"/>
        </w:rPr>
      </w:pPr>
      <w:r>
        <w:rPr>
          <w:rFonts w:ascii="Times New Roman" w:hAnsi="Times New Roman"/>
        </w:rPr>
        <w:t>8.14. The Committee notes that while the APP of the PMTE and the CBE refers to the critical need for built environment professional training of young people, it does not show evidence of its interrelationship with the Department of Higher Education and Training</w:t>
      </w:r>
      <w:r w:rsidR="00D85B02">
        <w:rPr>
          <w:rFonts w:ascii="Times New Roman" w:hAnsi="Times New Roman"/>
        </w:rPr>
        <w:t>, the technical vocation and Further Education</w:t>
      </w:r>
      <w:r w:rsidR="002F0EC2">
        <w:rPr>
          <w:rFonts w:ascii="Times New Roman" w:hAnsi="Times New Roman"/>
        </w:rPr>
        <w:t xml:space="preserve"> </w:t>
      </w:r>
      <w:r w:rsidR="00743496">
        <w:rPr>
          <w:rFonts w:ascii="Times New Roman" w:hAnsi="Times New Roman"/>
        </w:rPr>
        <w:t>S</w:t>
      </w:r>
      <w:r w:rsidR="00D85B02">
        <w:rPr>
          <w:rFonts w:ascii="Times New Roman" w:hAnsi="Times New Roman"/>
        </w:rPr>
        <w:t>ector,</w:t>
      </w:r>
      <w:r>
        <w:rPr>
          <w:rFonts w:ascii="Times New Roman" w:hAnsi="Times New Roman"/>
        </w:rPr>
        <w:t xml:space="preserve"> and Sector Education and Training </w:t>
      </w:r>
      <w:r w:rsidR="00D85B02">
        <w:rPr>
          <w:rFonts w:ascii="Times New Roman" w:hAnsi="Times New Roman"/>
        </w:rPr>
        <w:t>A</w:t>
      </w:r>
      <w:r w:rsidR="00900EBB">
        <w:rPr>
          <w:rFonts w:ascii="Times New Roman" w:hAnsi="Times New Roman"/>
        </w:rPr>
        <w:t>gencies (SETAs).</w:t>
      </w:r>
    </w:p>
    <w:p w14:paraId="1F6F14F6" w14:textId="7B499CCC" w:rsidR="00292DE1" w:rsidRPr="006936A1" w:rsidRDefault="00292DE1" w:rsidP="00037538">
      <w:pPr>
        <w:spacing w:line="360" w:lineRule="auto"/>
        <w:ind w:left="426" w:hanging="426"/>
        <w:jc w:val="both"/>
        <w:rPr>
          <w:rFonts w:ascii="Times New Roman" w:hAnsi="Times New Roman" w:cs="Times New Roman"/>
        </w:rPr>
      </w:pPr>
      <w:r>
        <w:rPr>
          <w:rFonts w:ascii="Times New Roman" w:hAnsi="Times New Roman"/>
        </w:rPr>
        <w:lastRenderedPageBreak/>
        <w:t>8.15. The Committee notes the key role of phase three of the EPWP</w:t>
      </w:r>
      <w:r w:rsidR="00493152">
        <w:rPr>
          <w:rFonts w:ascii="Times New Roman" w:hAnsi="Times New Roman"/>
        </w:rPr>
        <w:t xml:space="preserve"> to ensure employment opportunities for the margi</w:t>
      </w:r>
      <w:r w:rsidR="00C11373">
        <w:rPr>
          <w:rFonts w:ascii="Times New Roman" w:hAnsi="Times New Roman"/>
        </w:rPr>
        <w:t>nalised communities. It stressed</w:t>
      </w:r>
      <w:r w:rsidR="00493152">
        <w:rPr>
          <w:rFonts w:ascii="Times New Roman" w:hAnsi="Times New Roman"/>
        </w:rPr>
        <w:t xml:space="preserve"> the importance</w:t>
      </w:r>
      <w:r w:rsidR="00C11373">
        <w:rPr>
          <w:rFonts w:ascii="Times New Roman" w:hAnsi="Times New Roman"/>
        </w:rPr>
        <w:t xml:space="preserve"> of strengthening the administrative and data verification component of the </w:t>
      </w:r>
      <w:r w:rsidR="00A9066A">
        <w:rPr>
          <w:rFonts w:ascii="Times New Roman" w:hAnsi="Times New Roman"/>
        </w:rPr>
        <w:t xml:space="preserve">EPWP </w:t>
      </w:r>
      <w:r w:rsidR="00C11373">
        <w:rPr>
          <w:rFonts w:ascii="Times New Roman" w:hAnsi="Times New Roman"/>
        </w:rPr>
        <w:t>branch. It further stressed</w:t>
      </w:r>
      <w:r w:rsidR="00493152">
        <w:rPr>
          <w:rFonts w:ascii="Times New Roman" w:hAnsi="Times New Roman"/>
        </w:rPr>
        <w:t xml:space="preserve"> that the training component of the programme must be implemented through on-going work with the relevant </w:t>
      </w:r>
      <w:r w:rsidR="00C11373">
        <w:rPr>
          <w:rFonts w:ascii="Times New Roman" w:hAnsi="Times New Roman"/>
        </w:rPr>
        <w:t>SETAs</w:t>
      </w:r>
      <w:r w:rsidR="00493152">
        <w:rPr>
          <w:rFonts w:ascii="Times New Roman" w:hAnsi="Times New Roman"/>
        </w:rPr>
        <w:t>, the Further Education and Training</w:t>
      </w:r>
      <w:r w:rsidR="00C11373">
        <w:rPr>
          <w:rFonts w:ascii="Times New Roman" w:hAnsi="Times New Roman"/>
        </w:rPr>
        <w:t xml:space="preserve"> Sector</w:t>
      </w:r>
      <w:r w:rsidR="00493152">
        <w:rPr>
          <w:rFonts w:ascii="Times New Roman" w:hAnsi="Times New Roman"/>
        </w:rPr>
        <w:t>, and the private industry.</w:t>
      </w:r>
    </w:p>
    <w:p w14:paraId="567A14B6" w14:textId="77777777" w:rsidR="003226D2" w:rsidRDefault="003226D2" w:rsidP="00F72F11">
      <w:pPr>
        <w:spacing w:line="360" w:lineRule="auto"/>
        <w:jc w:val="both"/>
        <w:rPr>
          <w:rFonts w:ascii="Times New Roman" w:hAnsi="Times New Roman" w:cs="Times New Roman"/>
          <w:b/>
        </w:rPr>
      </w:pPr>
    </w:p>
    <w:p w14:paraId="24797B30" w14:textId="77777777" w:rsidR="00BB1EE2" w:rsidRPr="001170E4" w:rsidRDefault="00BB1EE2" w:rsidP="00F72F11">
      <w:pPr>
        <w:spacing w:line="360" w:lineRule="auto"/>
        <w:jc w:val="both"/>
        <w:rPr>
          <w:rFonts w:ascii="Times New Roman" w:hAnsi="Times New Roman" w:cs="Times New Roman"/>
          <w:b/>
        </w:rPr>
      </w:pPr>
      <w:r w:rsidRPr="001170E4">
        <w:rPr>
          <w:rFonts w:ascii="Times New Roman" w:hAnsi="Times New Roman" w:cs="Times New Roman"/>
          <w:b/>
        </w:rPr>
        <w:t>9. Recommendations</w:t>
      </w:r>
    </w:p>
    <w:p w14:paraId="63779795" w14:textId="77777777" w:rsidR="00BB1EE2" w:rsidRPr="001170E4" w:rsidRDefault="00BB1EE2" w:rsidP="00F72F11">
      <w:pPr>
        <w:spacing w:line="360" w:lineRule="auto"/>
        <w:jc w:val="both"/>
        <w:rPr>
          <w:rFonts w:ascii="Times New Roman" w:hAnsi="Times New Roman" w:cs="Times New Roman"/>
        </w:rPr>
      </w:pPr>
      <w:r w:rsidRPr="001170E4">
        <w:rPr>
          <w:rFonts w:ascii="Times New Roman" w:hAnsi="Times New Roman" w:cs="Times New Roman"/>
        </w:rPr>
        <w:t>The Committee recommends to the Minister of Public Works that</w:t>
      </w:r>
      <w:r w:rsidR="003B62CF">
        <w:rPr>
          <w:rFonts w:ascii="Times New Roman" w:hAnsi="Times New Roman" w:cs="Times New Roman"/>
        </w:rPr>
        <w:t xml:space="preserve"> the following be reported on in the third quarter of 2018 and in the first quarter of 2019</w:t>
      </w:r>
      <w:r w:rsidRPr="001170E4">
        <w:rPr>
          <w:rFonts w:ascii="Times New Roman" w:hAnsi="Times New Roman" w:cs="Times New Roman"/>
        </w:rPr>
        <w:t>:</w:t>
      </w:r>
    </w:p>
    <w:p w14:paraId="7DFF2357" w14:textId="4947C149" w:rsidR="003226D2" w:rsidRDefault="00BB1EE2" w:rsidP="00414708">
      <w:pPr>
        <w:spacing w:line="360" w:lineRule="auto"/>
        <w:ind w:left="360" w:hanging="360"/>
        <w:jc w:val="both"/>
        <w:rPr>
          <w:rFonts w:ascii="Times New Roman" w:hAnsi="Times New Roman" w:cs="Times New Roman"/>
        </w:rPr>
      </w:pPr>
      <w:r w:rsidRPr="001170E4">
        <w:rPr>
          <w:rFonts w:ascii="Times New Roman" w:hAnsi="Times New Roman" w:cs="Times New Roman"/>
        </w:rPr>
        <w:t>9.1</w:t>
      </w:r>
      <w:r w:rsidR="00C11373" w:rsidRPr="001170E4">
        <w:rPr>
          <w:rFonts w:ascii="Times New Roman" w:hAnsi="Times New Roman" w:cs="Times New Roman"/>
        </w:rPr>
        <w:t>. The</w:t>
      </w:r>
      <w:r w:rsidRPr="001170E4">
        <w:rPr>
          <w:rFonts w:ascii="Times New Roman" w:hAnsi="Times New Roman" w:cs="Times New Roman"/>
        </w:rPr>
        <w:t xml:space="preserve"> Minister as policy </w:t>
      </w:r>
      <w:r w:rsidR="00414708" w:rsidRPr="001170E4">
        <w:rPr>
          <w:rFonts w:ascii="Times New Roman" w:hAnsi="Times New Roman" w:cs="Times New Roman"/>
        </w:rPr>
        <w:t>leader</w:t>
      </w:r>
      <w:r w:rsidR="00414708">
        <w:rPr>
          <w:rFonts w:ascii="Times New Roman" w:hAnsi="Times New Roman" w:cs="Times New Roman"/>
        </w:rPr>
        <w:t>,</w:t>
      </w:r>
      <w:r w:rsidRPr="001170E4">
        <w:rPr>
          <w:rFonts w:ascii="Times New Roman" w:hAnsi="Times New Roman" w:cs="Times New Roman"/>
        </w:rPr>
        <w:t xml:space="preserve"> ensures that the delay in the Review of the White Papers is urgently addressed so that</w:t>
      </w:r>
      <w:r w:rsidR="000349CF">
        <w:rPr>
          <w:rFonts w:ascii="Times New Roman" w:hAnsi="Times New Roman" w:cs="Times New Roman"/>
        </w:rPr>
        <w:t>:</w:t>
      </w:r>
      <w:r w:rsidRPr="001170E4">
        <w:rPr>
          <w:rFonts w:ascii="Times New Roman" w:hAnsi="Times New Roman" w:cs="Times New Roman"/>
        </w:rPr>
        <w:t xml:space="preserve"> </w:t>
      </w:r>
    </w:p>
    <w:p w14:paraId="3FFBB63E" w14:textId="3223C301" w:rsidR="00BB1EE2" w:rsidRDefault="003226D2" w:rsidP="00F72F11">
      <w:pPr>
        <w:spacing w:line="360" w:lineRule="auto"/>
        <w:ind w:left="851" w:hanging="491"/>
        <w:jc w:val="both"/>
        <w:rPr>
          <w:rFonts w:ascii="Times New Roman" w:hAnsi="Times New Roman" w:cs="Times New Roman"/>
        </w:rPr>
      </w:pPr>
      <w:r>
        <w:rPr>
          <w:rFonts w:ascii="Times New Roman" w:hAnsi="Times New Roman" w:cs="Times New Roman"/>
        </w:rPr>
        <w:t xml:space="preserve">9.1.1. </w:t>
      </w:r>
      <w:r w:rsidR="00BB1EE2" w:rsidRPr="001170E4">
        <w:rPr>
          <w:rFonts w:ascii="Times New Roman" w:hAnsi="Times New Roman" w:cs="Times New Roman"/>
        </w:rPr>
        <w:t xml:space="preserve">the mandate of the Department </w:t>
      </w:r>
      <w:r w:rsidR="00E136EF">
        <w:rPr>
          <w:rFonts w:ascii="Times New Roman" w:hAnsi="Times New Roman" w:cs="Times New Roman"/>
        </w:rPr>
        <w:t>is</w:t>
      </w:r>
      <w:r w:rsidR="00BB1EE2" w:rsidRPr="001170E4">
        <w:rPr>
          <w:rFonts w:ascii="Times New Roman" w:hAnsi="Times New Roman" w:cs="Times New Roman"/>
        </w:rPr>
        <w:t xml:space="preserve"> properly spelled out, so that block</w:t>
      </w:r>
      <w:r w:rsidR="00414708">
        <w:rPr>
          <w:rFonts w:ascii="Times New Roman" w:hAnsi="Times New Roman" w:cs="Times New Roman"/>
        </w:rPr>
        <w:t>ages in performing optimally, are</w:t>
      </w:r>
      <w:r w:rsidR="00BB1EE2" w:rsidRPr="001170E4">
        <w:rPr>
          <w:rFonts w:ascii="Times New Roman" w:hAnsi="Times New Roman" w:cs="Times New Roman"/>
        </w:rPr>
        <w:t xml:space="preserve"> removed, and the draft Public Works Bill is concluded, and submitted to Parliament</w:t>
      </w:r>
      <w:r w:rsidR="00E136EF">
        <w:rPr>
          <w:rFonts w:ascii="Times New Roman" w:hAnsi="Times New Roman" w:cs="Times New Roman"/>
        </w:rPr>
        <w:t>;</w:t>
      </w:r>
    </w:p>
    <w:p w14:paraId="368B4942" w14:textId="77777777" w:rsidR="003226D2" w:rsidRDefault="003226D2" w:rsidP="00F72F11">
      <w:pPr>
        <w:spacing w:line="360" w:lineRule="auto"/>
        <w:ind w:left="851" w:hanging="491"/>
        <w:jc w:val="both"/>
        <w:rPr>
          <w:rFonts w:ascii="Times New Roman" w:hAnsi="Times New Roman" w:cs="Times New Roman"/>
        </w:rPr>
      </w:pPr>
      <w:r>
        <w:rPr>
          <w:rFonts w:ascii="Times New Roman" w:hAnsi="Times New Roman" w:cs="Times New Roman"/>
        </w:rPr>
        <w:t xml:space="preserve">9.1.2. the legal mandates of the built environment profession entities </w:t>
      </w:r>
      <w:r w:rsidR="00E136EF">
        <w:rPr>
          <w:rFonts w:ascii="Times New Roman" w:hAnsi="Times New Roman" w:cs="Times New Roman"/>
        </w:rPr>
        <w:t xml:space="preserve">are amended to streamline and focus on the matter of relevantly transforming the built environment </w:t>
      </w:r>
      <w:r w:rsidR="000349CF">
        <w:rPr>
          <w:rFonts w:ascii="Times New Roman" w:hAnsi="Times New Roman" w:cs="Times New Roman"/>
        </w:rPr>
        <w:t>and construction sector;</w:t>
      </w:r>
    </w:p>
    <w:p w14:paraId="7F4AEDCD" w14:textId="681E1FE4" w:rsidR="00044147" w:rsidRDefault="000349CF" w:rsidP="000349CF">
      <w:pPr>
        <w:spacing w:line="360" w:lineRule="auto"/>
        <w:ind w:left="851" w:hanging="491"/>
        <w:jc w:val="both"/>
        <w:rPr>
          <w:rFonts w:ascii="Times New Roman" w:hAnsi="Times New Roman" w:cs="Times New Roman"/>
        </w:rPr>
      </w:pPr>
      <w:r>
        <w:rPr>
          <w:rFonts w:ascii="Times New Roman" w:hAnsi="Times New Roman" w:cs="Times New Roman"/>
        </w:rPr>
        <w:t xml:space="preserve">9.1.3. </w:t>
      </w:r>
      <w:r w:rsidRPr="000349CF">
        <w:rPr>
          <w:rFonts w:ascii="Times New Roman" w:hAnsi="Times New Roman" w:cs="Times New Roman"/>
        </w:rPr>
        <w:t xml:space="preserve">the </w:t>
      </w:r>
      <w:r w:rsidR="004A685E">
        <w:rPr>
          <w:rFonts w:ascii="Times New Roman" w:hAnsi="Times New Roman" w:cs="Times New Roman"/>
        </w:rPr>
        <w:t xml:space="preserve">turnaround plan of the IDT is escalated for </w:t>
      </w:r>
      <w:r w:rsidRPr="000349CF">
        <w:rPr>
          <w:rFonts w:ascii="Times New Roman" w:hAnsi="Times New Roman" w:cs="Times New Roman"/>
        </w:rPr>
        <w:t xml:space="preserve">the </w:t>
      </w:r>
      <w:r w:rsidRPr="000349CF">
        <w:rPr>
          <w:rFonts w:ascii="Times New Roman" w:hAnsi="Times New Roman" w:cs="Times New Roman"/>
          <w:bCs/>
        </w:rPr>
        <w:t xml:space="preserve">transformation of the IDT into a </w:t>
      </w:r>
      <w:r>
        <w:rPr>
          <w:rFonts w:ascii="Times New Roman" w:hAnsi="Times New Roman" w:cs="Times New Roman"/>
          <w:bCs/>
        </w:rPr>
        <w:t xml:space="preserve">properly resourced, </w:t>
      </w:r>
      <w:r w:rsidRPr="000349CF">
        <w:rPr>
          <w:rFonts w:ascii="Times New Roman" w:hAnsi="Times New Roman" w:cs="Times New Roman"/>
          <w:bCs/>
        </w:rPr>
        <w:t>socially relevant entity</w:t>
      </w:r>
      <w:r w:rsidR="00F514AF">
        <w:rPr>
          <w:rFonts w:ascii="Times New Roman" w:hAnsi="Times New Roman" w:cs="Times New Roman"/>
          <w:bCs/>
        </w:rPr>
        <w:t xml:space="preserve"> that is</w:t>
      </w:r>
      <w:r>
        <w:rPr>
          <w:rFonts w:ascii="Times New Roman" w:hAnsi="Times New Roman" w:cs="Times New Roman"/>
          <w:bCs/>
        </w:rPr>
        <w:t xml:space="preserve"> enabled to project manage social infrastructure projects, as well as collect the necessary fees with which to run its business in a financially sustainable manner.</w:t>
      </w:r>
      <w:r w:rsidR="00044147" w:rsidRPr="00044147">
        <w:rPr>
          <w:rFonts w:ascii="Times New Roman" w:hAnsi="Times New Roman" w:cs="Times New Roman"/>
        </w:rPr>
        <w:t xml:space="preserve"> </w:t>
      </w:r>
    </w:p>
    <w:p w14:paraId="18862F90" w14:textId="78CD1EF3" w:rsidR="000349CF" w:rsidRPr="001170E4" w:rsidRDefault="00F514AF" w:rsidP="000349CF">
      <w:pPr>
        <w:spacing w:line="360" w:lineRule="auto"/>
        <w:ind w:left="851" w:hanging="491"/>
        <w:jc w:val="both"/>
        <w:rPr>
          <w:rFonts w:ascii="Times New Roman" w:hAnsi="Times New Roman" w:cs="Times New Roman"/>
        </w:rPr>
      </w:pPr>
      <w:r>
        <w:rPr>
          <w:rFonts w:ascii="Times New Roman" w:hAnsi="Times New Roman" w:cs="Times New Roman"/>
        </w:rPr>
        <w:t>9.1.4. t</w:t>
      </w:r>
      <w:r w:rsidR="00044147">
        <w:rPr>
          <w:rFonts w:ascii="Times New Roman" w:hAnsi="Times New Roman" w:cs="Times New Roman"/>
        </w:rPr>
        <w:t>he DPW with the PMTE to report and present to the Committ</w:t>
      </w:r>
      <w:r w:rsidR="003A2107">
        <w:rPr>
          <w:rFonts w:ascii="Times New Roman" w:hAnsi="Times New Roman" w:cs="Times New Roman"/>
        </w:rPr>
        <w:t>ee on data</w:t>
      </w:r>
      <w:r w:rsidR="00044147">
        <w:rPr>
          <w:rFonts w:ascii="Times New Roman" w:hAnsi="Times New Roman" w:cs="Times New Roman"/>
        </w:rPr>
        <w:t xml:space="preserve"> showing how large contractors are sub-contracting 30% of business to emerging black contractors in the construction industry</w:t>
      </w:r>
      <w:r>
        <w:rPr>
          <w:rFonts w:ascii="Times New Roman" w:hAnsi="Times New Roman" w:cs="Times New Roman"/>
        </w:rPr>
        <w:t xml:space="preserve">, </w:t>
      </w:r>
      <w:r w:rsidR="00044147">
        <w:rPr>
          <w:rFonts w:ascii="Times New Roman" w:hAnsi="Times New Roman" w:cs="Times New Roman"/>
        </w:rPr>
        <w:t xml:space="preserve"> and on the status of payments of registered invoices within 30 days. The report and presentation to include regulatory steps that the DPW as policy leader developed and concrete steps</w:t>
      </w:r>
      <w:r>
        <w:rPr>
          <w:rFonts w:ascii="Times New Roman" w:hAnsi="Times New Roman" w:cs="Times New Roman"/>
        </w:rPr>
        <w:t xml:space="preserve"> that</w:t>
      </w:r>
      <w:r w:rsidR="00044147">
        <w:rPr>
          <w:rFonts w:ascii="Times New Roman" w:hAnsi="Times New Roman" w:cs="Times New Roman"/>
        </w:rPr>
        <w:t xml:space="preserve"> the administration has taken to ensure that this policy is effectively implemented.</w:t>
      </w:r>
    </w:p>
    <w:p w14:paraId="2F4CCF70" w14:textId="38168583" w:rsidR="00284DA7" w:rsidRDefault="00BB1EE2" w:rsidP="00E96104">
      <w:pPr>
        <w:spacing w:line="360" w:lineRule="auto"/>
        <w:ind w:left="426" w:hanging="426"/>
        <w:jc w:val="both"/>
        <w:rPr>
          <w:rFonts w:ascii="Times New Roman" w:hAnsi="Times New Roman" w:cs="Times New Roman"/>
          <w:color w:val="001F00"/>
        </w:rPr>
      </w:pPr>
      <w:r w:rsidRPr="001170E4">
        <w:rPr>
          <w:rFonts w:ascii="Times New Roman" w:hAnsi="Times New Roman" w:cs="Times New Roman"/>
        </w:rPr>
        <w:t>9.</w:t>
      </w:r>
      <w:r w:rsidR="00433753">
        <w:rPr>
          <w:rFonts w:ascii="Times New Roman" w:hAnsi="Times New Roman" w:cs="Times New Roman"/>
          <w:color w:val="001F00"/>
        </w:rPr>
        <w:t>2</w:t>
      </w:r>
      <w:r w:rsidRPr="001170E4">
        <w:rPr>
          <w:rFonts w:ascii="Times New Roman" w:hAnsi="Times New Roman" w:cs="Times New Roman"/>
          <w:color w:val="001F00"/>
        </w:rPr>
        <w:t>.</w:t>
      </w:r>
      <w:r w:rsidR="003D6F0A">
        <w:rPr>
          <w:rFonts w:ascii="Times New Roman" w:hAnsi="Times New Roman" w:cs="Times New Roman"/>
          <w:color w:val="001F00"/>
        </w:rPr>
        <w:t xml:space="preserve"> The Department and the PMTE report on the escalation of appointing vacant management and property professionals in key branches such as key accounts management to professionalise the PMTE so that government properties are </w:t>
      </w:r>
      <w:r w:rsidR="00F514AF">
        <w:rPr>
          <w:rFonts w:ascii="Times New Roman" w:hAnsi="Times New Roman" w:cs="Times New Roman"/>
          <w:color w:val="001F00"/>
        </w:rPr>
        <w:t>well maintained</w:t>
      </w:r>
      <w:r w:rsidR="003D6F0A">
        <w:rPr>
          <w:rFonts w:ascii="Times New Roman" w:hAnsi="Times New Roman" w:cs="Times New Roman"/>
          <w:color w:val="001F00"/>
        </w:rPr>
        <w:t xml:space="preserve">. </w:t>
      </w:r>
    </w:p>
    <w:p w14:paraId="330764AF" w14:textId="69E2F9A9" w:rsidR="003D6F0A" w:rsidRDefault="00284DA7" w:rsidP="00E96104">
      <w:pPr>
        <w:spacing w:line="360" w:lineRule="auto"/>
        <w:ind w:left="426" w:hanging="426"/>
        <w:jc w:val="both"/>
        <w:rPr>
          <w:rFonts w:ascii="Times New Roman" w:hAnsi="Times New Roman" w:cs="Times New Roman"/>
          <w:color w:val="001F00"/>
        </w:rPr>
      </w:pPr>
      <w:r>
        <w:rPr>
          <w:rFonts w:ascii="Times New Roman" w:hAnsi="Times New Roman" w:cs="Times New Roman"/>
        </w:rPr>
        <w:t>9.</w:t>
      </w:r>
      <w:r>
        <w:rPr>
          <w:rFonts w:ascii="Times New Roman" w:hAnsi="Times New Roman" w:cs="Times New Roman"/>
          <w:lang w:val="en-US"/>
        </w:rPr>
        <w:t>3. The PMTE to report on the key responsibility to</w:t>
      </w:r>
      <w:r w:rsidR="009B3E53">
        <w:rPr>
          <w:rFonts w:ascii="Times New Roman" w:hAnsi="Times New Roman" w:cs="Times New Roman"/>
          <w:lang w:val="en-US"/>
        </w:rPr>
        <w:t xml:space="preserve"> develop </w:t>
      </w:r>
      <w:r w:rsidR="009B3E53" w:rsidRPr="00F22359">
        <w:rPr>
          <w:rFonts w:ascii="Times New Roman" w:hAnsi="Times New Roman" w:cs="Times New Roman"/>
          <w:lang w:val="en-US"/>
        </w:rPr>
        <w:t>Infrastructure Programme Implementation Plans (IPIPs), User Asset Management</w:t>
      </w:r>
      <w:r w:rsidR="00F514AF">
        <w:rPr>
          <w:rFonts w:ascii="Times New Roman" w:hAnsi="Times New Roman" w:cs="Times New Roman"/>
          <w:lang w:val="en-US"/>
        </w:rPr>
        <w:t>,</w:t>
      </w:r>
      <w:r w:rsidR="009B3E53" w:rsidRPr="00F22359">
        <w:rPr>
          <w:rFonts w:ascii="Times New Roman" w:hAnsi="Times New Roman" w:cs="Times New Roman"/>
          <w:lang w:val="en-US"/>
        </w:rPr>
        <w:t xml:space="preserve"> and Client Asset Management planning </w:t>
      </w:r>
      <w:r w:rsidR="009B3E53" w:rsidRPr="00F22359">
        <w:rPr>
          <w:rFonts w:ascii="Times New Roman" w:hAnsi="Times New Roman" w:cs="Times New Roman"/>
          <w:lang w:val="en-US"/>
        </w:rPr>
        <w:lastRenderedPageBreak/>
        <w:t xml:space="preserve">tools </w:t>
      </w:r>
      <w:r w:rsidR="009B3E53">
        <w:rPr>
          <w:rFonts w:ascii="Times New Roman" w:hAnsi="Times New Roman" w:cs="Times New Roman"/>
          <w:lang w:val="en-US"/>
        </w:rPr>
        <w:t>in cooperation with</w:t>
      </w:r>
      <w:r w:rsidR="009B3E53" w:rsidRPr="00F22359">
        <w:rPr>
          <w:rFonts w:ascii="Times New Roman" w:hAnsi="Times New Roman" w:cs="Times New Roman"/>
          <w:lang w:val="en-US"/>
        </w:rPr>
        <w:t xml:space="preserve"> client</w:t>
      </w:r>
      <w:r w:rsidR="009B3E53">
        <w:rPr>
          <w:rFonts w:ascii="Times New Roman" w:hAnsi="Times New Roman" w:cs="Times New Roman"/>
          <w:lang w:val="en-US"/>
        </w:rPr>
        <w:t xml:space="preserve"> departments and, where relevant,</w:t>
      </w:r>
      <w:r w:rsidR="009B3E53" w:rsidRPr="00F22359">
        <w:rPr>
          <w:rFonts w:ascii="Times New Roman" w:hAnsi="Times New Roman" w:cs="Times New Roman"/>
          <w:lang w:val="en-US"/>
        </w:rPr>
        <w:t xml:space="preserve"> </w:t>
      </w:r>
      <w:r w:rsidR="009B3E53">
        <w:rPr>
          <w:rFonts w:ascii="Times New Roman" w:hAnsi="Times New Roman" w:cs="Times New Roman"/>
          <w:lang w:val="en-US"/>
        </w:rPr>
        <w:t xml:space="preserve">provincial departments, and </w:t>
      </w:r>
      <w:r w:rsidR="009B3E53" w:rsidRPr="00F22359">
        <w:rPr>
          <w:rFonts w:ascii="Times New Roman" w:hAnsi="Times New Roman" w:cs="Times New Roman"/>
          <w:lang w:val="en-US"/>
        </w:rPr>
        <w:t>municipalities</w:t>
      </w:r>
      <w:r w:rsidR="009B3E53">
        <w:rPr>
          <w:rFonts w:ascii="Times New Roman" w:hAnsi="Times New Roman" w:cs="Times New Roman"/>
          <w:lang w:val="en-US"/>
        </w:rPr>
        <w:t>.</w:t>
      </w:r>
    </w:p>
    <w:p w14:paraId="17D65D2A" w14:textId="34CC1E0A" w:rsidR="00E92D00" w:rsidRDefault="00284DA7" w:rsidP="00F514AF">
      <w:pPr>
        <w:spacing w:line="360" w:lineRule="auto"/>
        <w:ind w:left="426" w:hanging="426"/>
        <w:jc w:val="both"/>
        <w:rPr>
          <w:rFonts w:ascii="Times New Roman" w:hAnsi="Times New Roman" w:cs="Times New Roman"/>
        </w:rPr>
      </w:pPr>
      <w:r>
        <w:rPr>
          <w:rFonts w:ascii="Times New Roman" w:hAnsi="Times New Roman" w:cs="Times New Roman"/>
          <w:color w:val="001F00"/>
        </w:rPr>
        <w:t>9.4</w:t>
      </w:r>
      <w:r w:rsidR="003D6F0A">
        <w:rPr>
          <w:rFonts w:ascii="Times New Roman" w:hAnsi="Times New Roman" w:cs="Times New Roman"/>
          <w:color w:val="001F00"/>
        </w:rPr>
        <w:t xml:space="preserve">. </w:t>
      </w:r>
      <w:r w:rsidR="00E92D00" w:rsidRPr="001170E4">
        <w:rPr>
          <w:rFonts w:ascii="Times New Roman" w:hAnsi="Times New Roman" w:cs="Times New Roman"/>
        </w:rPr>
        <w:t xml:space="preserve">The Department to present to the Committee by </w:t>
      </w:r>
      <w:r w:rsidR="00E92D00">
        <w:rPr>
          <w:rFonts w:ascii="Times New Roman" w:hAnsi="Times New Roman" w:cs="Times New Roman"/>
        </w:rPr>
        <w:t>September</w:t>
      </w:r>
      <w:r w:rsidR="00E92D00" w:rsidRPr="001170E4">
        <w:rPr>
          <w:rFonts w:ascii="Times New Roman" w:hAnsi="Times New Roman" w:cs="Times New Roman"/>
        </w:rPr>
        <w:t xml:space="preserve"> 2018 on the Talent Pipeline Strategy to address the vacancy rate </w:t>
      </w:r>
      <w:r w:rsidR="00E92D00">
        <w:rPr>
          <w:rFonts w:ascii="Times New Roman" w:hAnsi="Times New Roman" w:cs="Times New Roman"/>
        </w:rPr>
        <w:t>that appears in the reports to the Committee to address</w:t>
      </w:r>
      <w:r w:rsidR="00E92D00" w:rsidRPr="001170E4">
        <w:rPr>
          <w:rFonts w:ascii="Times New Roman" w:hAnsi="Times New Roman" w:cs="Times New Roman"/>
        </w:rPr>
        <w:t xml:space="preserve"> the shortage of critical skills in the Department</w:t>
      </w:r>
      <w:r w:rsidR="00F514AF">
        <w:rPr>
          <w:rFonts w:ascii="Times New Roman" w:hAnsi="Times New Roman" w:cs="Times New Roman"/>
        </w:rPr>
        <w:t>,</w:t>
      </w:r>
      <w:r w:rsidR="00E92D00" w:rsidRPr="001170E4">
        <w:rPr>
          <w:rFonts w:ascii="Times New Roman" w:hAnsi="Times New Roman" w:cs="Times New Roman"/>
        </w:rPr>
        <w:t xml:space="preserve"> </w:t>
      </w:r>
      <w:r w:rsidR="00F514AF">
        <w:rPr>
          <w:rFonts w:ascii="Times New Roman" w:hAnsi="Times New Roman" w:cs="Times New Roman"/>
        </w:rPr>
        <w:t>PMTE</w:t>
      </w:r>
      <w:r w:rsidR="00F514AF" w:rsidRPr="00F514AF">
        <w:rPr>
          <w:rFonts w:ascii="Times New Roman" w:hAnsi="Times New Roman" w:cs="Times New Roman"/>
        </w:rPr>
        <w:t xml:space="preserve"> </w:t>
      </w:r>
      <w:r w:rsidR="00F514AF" w:rsidRPr="001170E4">
        <w:rPr>
          <w:rFonts w:ascii="Times New Roman" w:hAnsi="Times New Roman" w:cs="Times New Roman"/>
        </w:rPr>
        <w:t>and the</w:t>
      </w:r>
      <w:r w:rsidR="00F514AF">
        <w:rPr>
          <w:rFonts w:ascii="Times New Roman" w:hAnsi="Times New Roman" w:cs="Times New Roman"/>
        </w:rPr>
        <w:t xml:space="preserve"> Public Works entities.</w:t>
      </w:r>
    </w:p>
    <w:p w14:paraId="70D20212" w14:textId="46C6D353" w:rsidR="00954086" w:rsidRPr="00E92D00" w:rsidRDefault="00E92D00" w:rsidP="00E92D00">
      <w:pPr>
        <w:spacing w:line="360" w:lineRule="auto"/>
        <w:ind w:left="426" w:hanging="426"/>
        <w:jc w:val="both"/>
        <w:rPr>
          <w:rFonts w:ascii="Times New Roman" w:hAnsi="Times New Roman" w:cs="Times New Roman"/>
          <w:color w:val="001F00"/>
        </w:rPr>
      </w:pPr>
      <w:r>
        <w:rPr>
          <w:rFonts w:ascii="Times New Roman" w:hAnsi="Times New Roman" w:cs="Times New Roman"/>
          <w:color w:val="001F00"/>
        </w:rPr>
        <w:t>9.</w:t>
      </w:r>
      <w:r w:rsidR="00284DA7">
        <w:rPr>
          <w:rFonts w:ascii="Times New Roman" w:hAnsi="Times New Roman" w:cs="Times New Roman"/>
          <w:shd w:val="clear" w:color="auto" w:fill="FFFFFF" w:themeFill="background1"/>
        </w:rPr>
        <w:t>5</w:t>
      </w:r>
      <w:r>
        <w:rPr>
          <w:rFonts w:ascii="Times New Roman" w:hAnsi="Times New Roman" w:cs="Times New Roman"/>
          <w:shd w:val="clear" w:color="auto" w:fill="FFFFFF" w:themeFill="background1"/>
        </w:rPr>
        <w:t xml:space="preserve">. </w:t>
      </w:r>
      <w:r w:rsidR="00BB1EE2" w:rsidRPr="001170E4">
        <w:rPr>
          <w:rFonts w:ascii="Times New Roman" w:hAnsi="Times New Roman" w:cs="Times New Roman"/>
          <w:shd w:val="clear" w:color="auto" w:fill="FFFFFF" w:themeFill="background1"/>
        </w:rPr>
        <w:t xml:space="preserve">The </w:t>
      </w:r>
      <w:r w:rsidR="00433753">
        <w:rPr>
          <w:rFonts w:ascii="Times New Roman" w:hAnsi="Times New Roman" w:cs="Times New Roman"/>
          <w:shd w:val="clear" w:color="auto" w:fill="FFFFFF" w:themeFill="background1"/>
        </w:rPr>
        <w:t xml:space="preserve">Department, CBE and CIDB </w:t>
      </w:r>
      <w:r w:rsidR="003B62CF">
        <w:rPr>
          <w:rFonts w:ascii="Times New Roman" w:hAnsi="Times New Roman" w:cs="Times New Roman"/>
          <w:shd w:val="clear" w:color="auto" w:fill="FFFFFF" w:themeFill="background1"/>
        </w:rPr>
        <w:t>to present to the Committee</w:t>
      </w:r>
      <w:r w:rsidR="00BB1EE2" w:rsidRPr="001170E4">
        <w:rPr>
          <w:rFonts w:ascii="Times New Roman" w:hAnsi="Times New Roman" w:cs="Times New Roman"/>
          <w:shd w:val="clear" w:color="auto" w:fill="FFFFFF" w:themeFill="background1"/>
        </w:rPr>
        <w:t xml:space="preserve"> on progress with </w:t>
      </w:r>
      <w:r w:rsidR="003B62CF">
        <w:rPr>
          <w:rFonts w:ascii="Times New Roman" w:hAnsi="Times New Roman" w:cs="Times New Roman"/>
          <w:shd w:val="clear" w:color="auto" w:fill="FFFFFF" w:themeFill="background1"/>
        </w:rPr>
        <w:t>its plans</w:t>
      </w:r>
      <w:r w:rsidR="00BB1EE2" w:rsidRPr="001170E4">
        <w:rPr>
          <w:rFonts w:ascii="Times New Roman" w:hAnsi="Times New Roman" w:cs="Times New Roman"/>
          <w:shd w:val="clear" w:color="auto" w:fill="FFFFFF" w:themeFill="background1"/>
        </w:rPr>
        <w:t xml:space="preserve"> to consolidate, develop and manage the built environment skills development pipeline with State and non-State stakeholders; </w:t>
      </w:r>
      <w:r w:rsidR="00966165">
        <w:rPr>
          <w:rFonts w:ascii="Times New Roman" w:hAnsi="Times New Roman" w:cs="Times New Roman"/>
          <w:shd w:val="clear" w:color="auto" w:fill="FFFFFF" w:themeFill="background1"/>
        </w:rPr>
        <w:t xml:space="preserve">and </w:t>
      </w:r>
      <w:r w:rsidR="00BB1EE2" w:rsidRPr="001170E4">
        <w:rPr>
          <w:rFonts w:ascii="Times New Roman" w:hAnsi="Times New Roman" w:cs="Times New Roman"/>
          <w:shd w:val="clear" w:color="auto" w:fill="FFFFFF" w:themeFill="background1"/>
        </w:rPr>
        <w:t>to provide detail on the establishment of the Professional Service Branch within the Department to increase its institutional capacity</w:t>
      </w:r>
      <w:r w:rsidR="00966165">
        <w:rPr>
          <w:rFonts w:ascii="Times New Roman" w:hAnsi="Times New Roman" w:cs="Times New Roman"/>
          <w:shd w:val="clear" w:color="auto" w:fill="FFFFFF" w:themeFill="background1"/>
        </w:rPr>
        <w:t>.</w:t>
      </w:r>
    </w:p>
    <w:p w14:paraId="43A64D92" w14:textId="3EA33911" w:rsidR="00BB1EE2" w:rsidRDefault="00BB1EE2" w:rsidP="00E96104">
      <w:pPr>
        <w:spacing w:line="360" w:lineRule="auto"/>
        <w:ind w:left="426" w:hanging="426"/>
        <w:jc w:val="both"/>
        <w:rPr>
          <w:rFonts w:ascii="Times New Roman" w:hAnsi="Times New Roman" w:cs="Times New Roman"/>
        </w:rPr>
      </w:pPr>
      <w:r w:rsidRPr="001170E4">
        <w:rPr>
          <w:rFonts w:ascii="Times New Roman" w:hAnsi="Times New Roman" w:cs="Times New Roman"/>
        </w:rPr>
        <w:t>9.</w:t>
      </w:r>
      <w:r w:rsidR="00284DA7">
        <w:rPr>
          <w:rFonts w:ascii="Times New Roman" w:hAnsi="Times New Roman" w:cs="Times New Roman"/>
        </w:rPr>
        <w:t>6</w:t>
      </w:r>
      <w:r w:rsidRPr="001170E4">
        <w:rPr>
          <w:rFonts w:ascii="Times New Roman" w:hAnsi="Times New Roman" w:cs="Times New Roman"/>
          <w:color w:val="001F00"/>
        </w:rPr>
        <w:t xml:space="preserve">. The IDT and the EPWP programme head </w:t>
      </w:r>
      <w:r w:rsidR="006F760E">
        <w:rPr>
          <w:rFonts w:ascii="Times New Roman" w:hAnsi="Times New Roman" w:cs="Times New Roman"/>
          <w:color w:val="001F00"/>
        </w:rPr>
        <w:t xml:space="preserve">to </w:t>
      </w:r>
      <w:r w:rsidRPr="001170E4">
        <w:rPr>
          <w:rFonts w:ascii="Times New Roman" w:hAnsi="Times New Roman" w:cs="Times New Roman"/>
          <w:color w:val="001F00"/>
        </w:rPr>
        <w:t>provide a comprehensive presentation to the Committee in the third term of 201</w:t>
      </w:r>
      <w:r w:rsidR="00D6638A">
        <w:rPr>
          <w:rFonts w:ascii="Times New Roman" w:hAnsi="Times New Roman" w:cs="Times New Roman"/>
          <w:color w:val="001F00"/>
        </w:rPr>
        <w:t>8</w:t>
      </w:r>
      <w:r w:rsidRPr="001170E4">
        <w:rPr>
          <w:rFonts w:ascii="Times New Roman" w:hAnsi="Times New Roman" w:cs="Times New Roman"/>
          <w:color w:val="001F00"/>
        </w:rPr>
        <w:t xml:space="preserve"> on all matters related to the </w:t>
      </w:r>
      <w:r w:rsidRPr="001170E4">
        <w:rPr>
          <w:rFonts w:ascii="Times New Roman" w:hAnsi="Times New Roman" w:cs="Times New Roman"/>
        </w:rPr>
        <w:t>Memorandum of Agreement according to which the EPWP Data Management Centre is being run under the auspices of the IDT. The presentation should show the impact of this fun</w:t>
      </w:r>
      <w:r w:rsidR="00F514AF">
        <w:rPr>
          <w:rFonts w:ascii="Times New Roman" w:hAnsi="Times New Roman" w:cs="Times New Roman"/>
        </w:rPr>
        <w:t>ction to enhance the coordination</w:t>
      </w:r>
      <w:r w:rsidRPr="001170E4">
        <w:rPr>
          <w:rFonts w:ascii="Times New Roman" w:hAnsi="Times New Roman" w:cs="Times New Roman"/>
        </w:rPr>
        <w:t xml:space="preserve"> of implementation, funding and reporting of participating bodies and stakeholders across the three spheres of Government.</w:t>
      </w:r>
    </w:p>
    <w:p w14:paraId="5DFABC91" w14:textId="4DEC8E8E" w:rsidR="00E96104" w:rsidRDefault="00284DA7" w:rsidP="00E96104">
      <w:pPr>
        <w:shd w:val="clear" w:color="auto" w:fill="FFFFFF" w:themeFill="background1"/>
        <w:spacing w:after="0" w:line="360" w:lineRule="auto"/>
        <w:ind w:left="426" w:hanging="426"/>
        <w:jc w:val="both"/>
        <w:rPr>
          <w:rFonts w:ascii="Times New Roman" w:hAnsi="Times New Roman" w:cs="Times New Roman"/>
        </w:rPr>
      </w:pPr>
      <w:r>
        <w:rPr>
          <w:rFonts w:ascii="Times New Roman" w:hAnsi="Times New Roman" w:cs="Times New Roman"/>
        </w:rPr>
        <w:t>9.7</w:t>
      </w:r>
      <w:r w:rsidR="00BB1EE2" w:rsidRPr="001170E4">
        <w:rPr>
          <w:rFonts w:ascii="Times New Roman" w:hAnsi="Times New Roman" w:cs="Times New Roman"/>
        </w:rPr>
        <w:t xml:space="preserve">. The IDT to present to the Committee the relevant details of how </w:t>
      </w:r>
      <w:r w:rsidR="00966165">
        <w:rPr>
          <w:rFonts w:ascii="Times New Roman" w:hAnsi="Times New Roman" w:cs="Times New Roman"/>
        </w:rPr>
        <w:t>it planned to collect</w:t>
      </w:r>
      <w:r w:rsidR="00BB1EE2" w:rsidRPr="001170E4">
        <w:rPr>
          <w:rFonts w:ascii="Times New Roman" w:hAnsi="Times New Roman" w:cs="Times New Roman"/>
        </w:rPr>
        <w:t xml:space="preserve"> increases in </w:t>
      </w:r>
      <w:r w:rsidR="00966165">
        <w:rPr>
          <w:rFonts w:ascii="Times New Roman" w:hAnsi="Times New Roman" w:cs="Times New Roman"/>
        </w:rPr>
        <w:t>its management fees from client departments at national</w:t>
      </w:r>
      <w:r w:rsidR="009B2281">
        <w:rPr>
          <w:rFonts w:ascii="Times New Roman" w:hAnsi="Times New Roman" w:cs="Times New Roman"/>
        </w:rPr>
        <w:t xml:space="preserve"> and</w:t>
      </w:r>
      <w:r w:rsidR="00966165">
        <w:rPr>
          <w:rFonts w:ascii="Times New Roman" w:hAnsi="Times New Roman" w:cs="Times New Roman"/>
        </w:rPr>
        <w:t xml:space="preserve"> provincial </w:t>
      </w:r>
      <w:r w:rsidR="00F14C75">
        <w:rPr>
          <w:rFonts w:ascii="Times New Roman" w:hAnsi="Times New Roman" w:cs="Times New Roman"/>
        </w:rPr>
        <w:t>spheres</w:t>
      </w:r>
      <w:r w:rsidR="009B2281">
        <w:rPr>
          <w:rFonts w:ascii="Times New Roman" w:hAnsi="Times New Roman" w:cs="Times New Roman"/>
        </w:rPr>
        <w:t xml:space="preserve"> </w:t>
      </w:r>
      <w:r w:rsidR="00966165">
        <w:rPr>
          <w:rFonts w:ascii="Times New Roman" w:hAnsi="Times New Roman" w:cs="Times New Roman"/>
        </w:rPr>
        <w:t xml:space="preserve">and </w:t>
      </w:r>
      <w:r w:rsidR="009B2281">
        <w:rPr>
          <w:rFonts w:ascii="Times New Roman" w:hAnsi="Times New Roman" w:cs="Times New Roman"/>
        </w:rPr>
        <w:t>municipalities</w:t>
      </w:r>
      <w:r w:rsidR="00036FCF">
        <w:rPr>
          <w:rFonts w:ascii="Times New Roman" w:hAnsi="Times New Roman" w:cs="Times New Roman"/>
        </w:rPr>
        <w:t>.</w:t>
      </w:r>
      <w:r w:rsidR="00E96104">
        <w:rPr>
          <w:rFonts w:ascii="Times New Roman" w:hAnsi="Times New Roman" w:cs="Times New Roman"/>
        </w:rPr>
        <w:t xml:space="preserve"> </w:t>
      </w:r>
    </w:p>
    <w:p w14:paraId="6092FD5F" w14:textId="7F72CA56" w:rsidR="00A567C1" w:rsidRDefault="003D6F0A" w:rsidP="00E96104">
      <w:pPr>
        <w:shd w:val="clear" w:color="auto" w:fill="FFFFFF" w:themeFill="background1"/>
        <w:spacing w:after="0" w:line="360" w:lineRule="auto"/>
        <w:ind w:left="426" w:hanging="426"/>
        <w:jc w:val="both"/>
        <w:rPr>
          <w:rFonts w:ascii="Times New Roman" w:hAnsi="Times New Roman" w:cs="Times New Roman"/>
        </w:rPr>
      </w:pPr>
      <w:r>
        <w:rPr>
          <w:rFonts w:ascii="Times New Roman" w:hAnsi="Times New Roman" w:cs="Times New Roman"/>
        </w:rPr>
        <w:t>9.</w:t>
      </w:r>
      <w:r w:rsidR="00284DA7">
        <w:rPr>
          <w:rFonts w:ascii="Times New Roman" w:hAnsi="Times New Roman" w:cs="Times New Roman"/>
        </w:rPr>
        <w:t>8</w:t>
      </w:r>
      <w:r w:rsidR="00A567C1">
        <w:rPr>
          <w:rFonts w:ascii="Times New Roman" w:hAnsi="Times New Roman" w:cs="Times New Roman"/>
        </w:rPr>
        <w:t xml:space="preserve">. </w:t>
      </w:r>
      <w:r w:rsidR="00324067">
        <w:rPr>
          <w:rFonts w:ascii="Times New Roman" w:hAnsi="Times New Roman" w:cs="Times New Roman"/>
        </w:rPr>
        <w:t xml:space="preserve">The PMTE to present to the Committee on progress with the </w:t>
      </w:r>
      <w:r w:rsidR="00F11AB1">
        <w:rPr>
          <w:rFonts w:ascii="Times New Roman" w:hAnsi="Times New Roman" w:cs="Times New Roman"/>
        </w:rPr>
        <w:t>Planning and Precinct D</w:t>
      </w:r>
      <w:r w:rsidR="00324067">
        <w:rPr>
          <w:rFonts w:ascii="Times New Roman" w:hAnsi="Times New Roman" w:cs="Times New Roman"/>
        </w:rPr>
        <w:t>evelopment</w:t>
      </w:r>
      <w:r w:rsidR="00F14C75">
        <w:rPr>
          <w:rFonts w:ascii="Times New Roman" w:hAnsi="Times New Roman" w:cs="Times New Roman"/>
        </w:rPr>
        <w:t xml:space="preserve"> </w:t>
      </w:r>
      <w:r w:rsidR="00F11AB1">
        <w:rPr>
          <w:rFonts w:ascii="Times New Roman" w:hAnsi="Times New Roman" w:cs="Times New Roman"/>
        </w:rPr>
        <w:t>Services sub-</w:t>
      </w:r>
      <w:r w:rsidR="00F14C75">
        <w:rPr>
          <w:rFonts w:ascii="Times New Roman" w:hAnsi="Times New Roman" w:cs="Times New Roman"/>
        </w:rPr>
        <w:t>programme</w:t>
      </w:r>
      <w:r w:rsidR="00324067">
        <w:rPr>
          <w:rFonts w:ascii="Times New Roman" w:hAnsi="Times New Roman" w:cs="Times New Roman"/>
        </w:rPr>
        <w:t xml:space="preserve"> </w:t>
      </w:r>
      <w:r w:rsidR="00F11AB1">
        <w:rPr>
          <w:rFonts w:ascii="Times New Roman" w:hAnsi="Times New Roman" w:cs="Times New Roman"/>
        </w:rPr>
        <w:t xml:space="preserve">that drives rural precinct development. The presentation to show </w:t>
      </w:r>
      <w:r w:rsidR="00D13704">
        <w:rPr>
          <w:rFonts w:ascii="Times New Roman" w:hAnsi="Times New Roman" w:cs="Times New Roman"/>
        </w:rPr>
        <w:t>efforts to</w:t>
      </w:r>
      <w:r w:rsidR="00324067">
        <w:rPr>
          <w:rFonts w:ascii="Times New Roman" w:hAnsi="Times New Roman" w:cs="Times New Roman"/>
        </w:rPr>
        <w:t xml:space="preserve"> address spatial imbalances and under development that remain part of rural towns</w:t>
      </w:r>
      <w:r w:rsidR="00093D68">
        <w:rPr>
          <w:rFonts w:ascii="Times New Roman" w:hAnsi="Times New Roman" w:cs="Times New Roman"/>
        </w:rPr>
        <w:t xml:space="preserve"> and villages</w:t>
      </w:r>
      <w:r w:rsidR="00324067">
        <w:rPr>
          <w:rFonts w:ascii="Times New Roman" w:hAnsi="Times New Roman" w:cs="Times New Roman"/>
        </w:rPr>
        <w:t>.</w:t>
      </w:r>
    </w:p>
    <w:p w14:paraId="19DA0C3E" w14:textId="6AACAC50" w:rsidR="00324067" w:rsidRDefault="003D6F0A" w:rsidP="00E96104">
      <w:pPr>
        <w:shd w:val="clear" w:color="auto" w:fill="FFFFFF" w:themeFill="background1"/>
        <w:spacing w:after="0" w:line="360" w:lineRule="auto"/>
        <w:ind w:left="426" w:hanging="426"/>
        <w:jc w:val="both"/>
        <w:rPr>
          <w:rFonts w:ascii="Times New Roman" w:hAnsi="Times New Roman" w:cs="Times New Roman"/>
        </w:rPr>
      </w:pPr>
      <w:r>
        <w:rPr>
          <w:rFonts w:ascii="Times New Roman" w:hAnsi="Times New Roman" w:cs="Times New Roman"/>
        </w:rPr>
        <w:t>9.</w:t>
      </w:r>
      <w:r w:rsidR="00284DA7">
        <w:rPr>
          <w:rFonts w:ascii="Times New Roman" w:hAnsi="Times New Roman" w:cs="Times New Roman"/>
        </w:rPr>
        <w:t>9</w:t>
      </w:r>
      <w:r w:rsidR="00324067">
        <w:rPr>
          <w:rFonts w:ascii="Times New Roman" w:hAnsi="Times New Roman" w:cs="Times New Roman"/>
        </w:rPr>
        <w:t>. The PMTE</w:t>
      </w:r>
      <w:r w:rsidR="0081691C">
        <w:rPr>
          <w:rFonts w:ascii="Times New Roman" w:hAnsi="Times New Roman" w:cs="Times New Roman"/>
        </w:rPr>
        <w:t>, with</w:t>
      </w:r>
      <w:r w:rsidR="00324067">
        <w:rPr>
          <w:rFonts w:ascii="Times New Roman" w:hAnsi="Times New Roman" w:cs="Times New Roman"/>
        </w:rPr>
        <w:t xml:space="preserve"> DPW</w:t>
      </w:r>
      <w:r w:rsidR="0081691C">
        <w:rPr>
          <w:rFonts w:ascii="Times New Roman" w:hAnsi="Times New Roman" w:cs="Times New Roman"/>
        </w:rPr>
        <w:t xml:space="preserve"> </w:t>
      </w:r>
      <w:r w:rsidR="00324067">
        <w:rPr>
          <w:rFonts w:ascii="Times New Roman" w:hAnsi="Times New Roman" w:cs="Times New Roman"/>
        </w:rPr>
        <w:t xml:space="preserve">to present on progress with small harbour development in provinces of the Eastern Cape, KwaZulu-Natal, and </w:t>
      </w:r>
      <w:r w:rsidR="00F14C75">
        <w:rPr>
          <w:rFonts w:ascii="Times New Roman" w:hAnsi="Times New Roman" w:cs="Times New Roman"/>
        </w:rPr>
        <w:t xml:space="preserve">the </w:t>
      </w:r>
      <w:r w:rsidR="00324067">
        <w:rPr>
          <w:rFonts w:ascii="Times New Roman" w:hAnsi="Times New Roman" w:cs="Times New Roman"/>
        </w:rPr>
        <w:t xml:space="preserve">Northern Cape with an emphasis on </w:t>
      </w:r>
      <w:r w:rsidR="0081691C">
        <w:rPr>
          <w:rFonts w:ascii="Times New Roman" w:hAnsi="Times New Roman" w:cs="Times New Roman"/>
        </w:rPr>
        <w:t xml:space="preserve">unlocking </w:t>
      </w:r>
      <w:r w:rsidR="00324067">
        <w:rPr>
          <w:rFonts w:ascii="Times New Roman" w:hAnsi="Times New Roman" w:cs="Times New Roman"/>
        </w:rPr>
        <w:t xml:space="preserve">economic </w:t>
      </w:r>
      <w:r w:rsidR="0081691C">
        <w:rPr>
          <w:rFonts w:ascii="Times New Roman" w:hAnsi="Times New Roman" w:cs="Times New Roman"/>
        </w:rPr>
        <w:t>opportunities for the rural poor</w:t>
      </w:r>
      <w:r w:rsidR="00324067">
        <w:rPr>
          <w:rFonts w:ascii="Times New Roman" w:hAnsi="Times New Roman" w:cs="Times New Roman"/>
        </w:rPr>
        <w:t xml:space="preserve"> through, amongst other</w:t>
      </w:r>
      <w:r w:rsidR="005F6405">
        <w:rPr>
          <w:rFonts w:ascii="Times New Roman" w:hAnsi="Times New Roman" w:cs="Times New Roman"/>
        </w:rPr>
        <w:t xml:space="preserve"> programme</w:t>
      </w:r>
      <w:r w:rsidR="00324067">
        <w:rPr>
          <w:rFonts w:ascii="Times New Roman" w:hAnsi="Times New Roman" w:cs="Times New Roman"/>
        </w:rPr>
        <w:t>s, Operation Phakisa.</w:t>
      </w:r>
    </w:p>
    <w:p w14:paraId="181E1012" w14:textId="600BC379" w:rsidR="00CF273F" w:rsidRDefault="0081691C" w:rsidP="00853836">
      <w:pPr>
        <w:shd w:val="clear" w:color="auto" w:fill="FFFFFF" w:themeFill="background1"/>
        <w:spacing w:after="0" w:line="360" w:lineRule="auto"/>
        <w:ind w:left="426" w:hanging="426"/>
        <w:jc w:val="both"/>
        <w:rPr>
          <w:rFonts w:ascii="Times New Roman" w:hAnsi="Times New Roman" w:cs="Times New Roman"/>
        </w:rPr>
      </w:pPr>
      <w:r>
        <w:rPr>
          <w:rFonts w:ascii="Times New Roman" w:hAnsi="Times New Roman" w:cs="Times New Roman"/>
        </w:rPr>
        <w:t>9.</w:t>
      </w:r>
      <w:r w:rsidR="00284DA7">
        <w:rPr>
          <w:rFonts w:ascii="Times New Roman" w:hAnsi="Times New Roman" w:cs="Times New Roman"/>
        </w:rPr>
        <w:t>10</w:t>
      </w:r>
      <w:r>
        <w:rPr>
          <w:rFonts w:ascii="Times New Roman" w:hAnsi="Times New Roman" w:cs="Times New Roman"/>
        </w:rPr>
        <w:t xml:space="preserve">. </w:t>
      </w:r>
      <w:r w:rsidR="00FF16FF">
        <w:rPr>
          <w:rFonts w:ascii="Times New Roman" w:hAnsi="Times New Roman" w:cs="Times New Roman"/>
        </w:rPr>
        <w:t>The CIDB to do a progress report on its efforts to fight corruption with emphasis on collusion by cartels in the construction industry that hamper the growth of emerging black-owned contractors.</w:t>
      </w:r>
    </w:p>
    <w:p w14:paraId="5CD548DB" w14:textId="4099F035" w:rsidR="00780301" w:rsidRDefault="003D6F0A" w:rsidP="00044147">
      <w:pPr>
        <w:shd w:val="clear" w:color="auto" w:fill="FFFFFF" w:themeFill="background1"/>
        <w:spacing w:after="0" w:line="360" w:lineRule="auto"/>
        <w:ind w:left="426" w:hanging="426"/>
        <w:jc w:val="both"/>
        <w:rPr>
          <w:rFonts w:ascii="Times New Roman" w:hAnsi="Times New Roman" w:cs="Times New Roman"/>
        </w:rPr>
      </w:pPr>
      <w:r>
        <w:rPr>
          <w:rFonts w:ascii="Times New Roman" w:hAnsi="Times New Roman" w:cs="Times New Roman"/>
        </w:rPr>
        <w:t>9.1</w:t>
      </w:r>
      <w:r w:rsidR="00284DA7">
        <w:rPr>
          <w:rFonts w:ascii="Times New Roman" w:hAnsi="Times New Roman" w:cs="Times New Roman"/>
        </w:rPr>
        <w:t>1</w:t>
      </w:r>
      <w:r w:rsidR="00FF16FF">
        <w:rPr>
          <w:rFonts w:ascii="Times New Roman" w:hAnsi="Times New Roman" w:cs="Times New Roman"/>
        </w:rPr>
        <w:t xml:space="preserve">. </w:t>
      </w:r>
      <w:r w:rsidR="00780301">
        <w:rPr>
          <w:rFonts w:ascii="Times New Roman" w:hAnsi="Times New Roman" w:cs="Times New Roman"/>
        </w:rPr>
        <w:t xml:space="preserve">The DPW and PMTE to provide regular updates on the Immovable Asset Register to report to the Committee </w:t>
      </w:r>
      <w:r w:rsidR="00780301" w:rsidRPr="000F6F88">
        <w:rPr>
          <w:rFonts w:ascii="Times New Roman" w:hAnsi="Times New Roman" w:cs="Times New Roman"/>
          <w:lang w:val="en-US"/>
        </w:rPr>
        <w:t>on whether and how the register was going to be effectivel</w:t>
      </w:r>
      <w:r w:rsidR="00780301">
        <w:rPr>
          <w:rFonts w:ascii="Times New Roman" w:hAnsi="Times New Roman" w:cs="Times New Roman"/>
          <w:lang w:val="en-US"/>
        </w:rPr>
        <w:t xml:space="preserve">y updated to make </w:t>
      </w:r>
      <w:r w:rsidR="00780301" w:rsidRPr="000F6F88">
        <w:rPr>
          <w:rFonts w:ascii="Times New Roman" w:hAnsi="Times New Roman" w:cs="Times New Roman"/>
          <w:lang w:val="en-US"/>
        </w:rPr>
        <w:t xml:space="preserve">land </w:t>
      </w:r>
      <w:r w:rsidR="00780301">
        <w:rPr>
          <w:rFonts w:ascii="Times New Roman" w:hAnsi="Times New Roman" w:cs="Times New Roman"/>
          <w:lang w:val="en-US"/>
        </w:rPr>
        <w:t xml:space="preserve">available </w:t>
      </w:r>
      <w:r w:rsidR="00780301" w:rsidRPr="000F6F88">
        <w:rPr>
          <w:rFonts w:ascii="Times New Roman" w:hAnsi="Times New Roman" w:cs="Times New Roman"/>
          <w:lang w:val="en-US"/>
        </w:rPr>
        <w:t>for other target</w:t>
      </w:r>
      <w:r w:rsidR="00780301">
        <w:rPr>
          <w:rFonts w:ascii="Times New Roman" w:hAnsi="Times New Roman" w:cs="Times New Roman"/>
          <w:lang w:val="en-US"/>
        </w:rPr>
        <w:t>ed outcomes</w:t>
      </w:r>
      <w:r w:rsidR="00780301" w:rsidRPr="000F6F88">
        <w:rPr>
          <w:rFonts w:ascii="Times New Roman" w:hAnsi="Times New Roman" w:cs="Times New Roman"/>
          <w:lang w:val="en-US"/>
        </w:rPr>
        <w:t xml:space="preserve"> of government </w:t>
      </w:r>
      <w:r w:rsidR="00F14C75">
        <w:rPr>
          <w:rFonts w:ascii="Times New Roman" w:hAnsi="Times New Roman" w:cs="Times New Roman"/>
          <w:lang w:val="en-US"/>
        </w:rPr>
        <w:t xml:space="preserve">programmes in the sectors of </w:t>
      </w:r>
      <w:r w:rsidR="00780301" w:rsidRPr="000F6F88">
        <w:rPr>
          <w:rFonts w:ascii="Times New Roman" w:hAnsi="Times New Roman" w:cs="Times New Roman"/>
          <w:lang w:val="en-US"/>
        </w:rPr>
        <w:t xml:space="preserve">transport, housing, </w:t>
      </w:r>
      <w:r w:rsidR="00F14C75">
        <w:rPr>
          <w:rFonts w:ascii="Times New Roman" w:hAnsi="Times New Roman" w:cs="Times New Roman"/>
          <w:lang w:val="en-US"/>
        </w:rPr>
        <w:t>health, security , and schooling was</w:t>
      </w:r>
      <w:r w:rsidR="00780301" w:rsidRPr="000F6F88">
        <w:rPr>
          <w:rFonts w:ascii="Times New Roman" w:hAnsi="Times New Roman" w:cs="Times New Roman"/>
          <w:lang w:val="en-US"/>
        </w:rPr>
        <w:t xml:space="preserve"> not sufficiently addressed</w:t>
      </w:r>
      <w:r w:rsidR="00436E38">
        <w:rPr>
          <w:rFonts w:ascii="Times New Roman" w:hAnsi="Times New Roman" w:cs="Times New Roman"/>
        </w:rPr>
        <w:t>.</w:t>
      </w:r>
    </w:p>
    <w:p w14:paraId="1A33EFD5" w14:textId="43BF3352" w:rsidR="00D130D4" w:rsidRDefault="00436E38" w:rsidP="000971BD">
      <w:pPr>
        <w:shd w:val="clear" w:color="auto" w:fill="FFFFFF" w:themeFill="background1"/>
        <w:spacing w:after="0" w:line="360" w:lineRule="auto"/>
        <w:ind w:left="426" w:hanging="426"/>
        <w:jc w:val="both"/>
        <w:rPr>
          <w:rFonts w:ascii="Times New Roman" w:hAnsi="Times New Roman" w:cs="Times New Roman"/>
        </w:rPr>
      </w:pPr>
      <w:r>
        <w:rPr>
          <w:rFonts w:ascii="Times New Roman" w:hAnsi="Times New Roman" w:cs="Times New Roman"/>
        </w:rPr>
        <w:t>9.1</w:t>
      </w:r>
      <w:r w:rsidR="008B4D04">
        <w:rPr>
          <w:rFonts w:ascii="Times New Roman" w:hAnsi="Times New Roman" w:cs="Times New Roman"/>
        </w:rPr>
        <w:t>2</w:t>
      </w:r>
      <w:r>
        <w:rPr>
          <w:rFonts w:ascii="Times New Roman" w:hAnsi="Times New Roman" w:cs="Times New Roman"/>
        </w:rPr>
        <w:t xml:space="preserve">. </w:t>
      </w:r>
      <w:r w:rsidR="00284DA7">
        <w:rPr>
          <w:rFonts w:ascii="Times New Roman" w:hAnsi="Times New Roman" w:cs="Times New Roman"/>
        </w:rPr>
        <w:t xml:space="preserve">The DPW to provide update reports </w:t>
      </w:r>
      <w:r w:rsidR="00F0336A">
        <w:rPr>
          <w:rFonts w:ascii="Times New Roman" w:hAnsi="Times New Roman" w:cs="Times New Roman"/>
        </w:rPr>
        <w:t xml:space="preserve">on </w:t>
      </w:r>
      <w:r w:rsidR="00097860">
        <w:rPr>
          <w:rFonts w:ascii="Times New Roman" w:hAnsi="Times New Roman" w:cs="Times New Roman"/>
        </w:rPr>
        <w:t xml:space="preserve">leadership stability </w:t>
      </w:r>
      <w:r w:rsidR="00F0336A">
        <w:rPr>
          <w:rFonts w:ascii="Times New Roman" w:hAnsi="Times New Roman" w:cs="Times New Roman"/>
        </w:rPr>
        <w:t>and</w:t>
      </w:r>
      <w:r w:rsidR="00284DA7">
        <w:rPr>
          <w:rFonts w:ascii="Times New Roman" w:hAnsi="Times New Roman" w:cs="Times New Roman"/>
        </w:rPr>
        <w:t xml:space="preserve"> outcomes of the work of the Governance Risk and Compliance Branch in</w:t>
      </w:r>
      <w:r w:rsidR="00284DA7" w:rsidRPr="006936A1">
        <w:rPr>
          <w:rFonts w:ascii="Times New Roman" w:hAnsi="Times New Roman" w:cs="Times New Roman"/>
        </w:rPr>
        <w:t xml:space="preserve"> </w:t>
      </w:r>
      <w:r w:rsidR="00284DA7">
        <w:rPr>
          <w:rFonts w:ascii="Times New Roman" w:hAnsi="Times New Roman" w:cs="Times New Roman"/>
        </w:rPr>
        <w:t xml:space="preserve">addressing </w:t>
      </w:r>
      <w:r w:rsidR="00284DA7" w:rsidRPr="006936A1">
        <w:rPr>
          <w:rFonts w:ascii="Times New Roman" w:hAnsi="Times New Roman" w:cs="Times New Roman"/>
        </w:rPr>
        <w:t xml:space="preserve">corruption in the department’s dealings with the private construction industry and </w:t>
      </w:r>
      <w:r w:rsidR="00284DA7">
        <w:rPr>
          <w:rFonts w:ascii="Times New Roman" w:hAnsi="Times New Roman" w:cs="Times New Roman"/>
        </w:rPr>
        <w:t xml:space="preserve">the </w:t>
      </w:r>
      <w:r w:rsidR="00284DA7" w:rsidRPr="006936A1">
        <w:rPr>
          <w:rFonts w:ascii="Times New Roman" w:hAnsi="Times New Roman" w:cs="Times New Roman"/>
        </w:rPr>
        <w:t>built environment.</w:t>
      </w:r>
    </w:p>
    <w:p w14:paraId="23573702" w14:textId="77777777" w:rsidR="00581634" w:rsidRDefault="000C47AB" w:rsidP="00581634">
      <w:pPr>
        <w:spacing w:line="360" w:lineRule="auto"/>
        <w:ind w:left="426" w:hanging="426"/>
        <w:jc w:val="both"/>
        <w:rPr>
          <w:rFonts w:ascii="Times New Roman" w:hAnsi="Times New Roman"/>
        </w:rPr>
      </w:pPr>
      <w:r>
        <w:rPr>
          <w:rFonts w:ascii="Times New Roman" w:hAnsi="Times New Roman" w:cs="Times New Roman"/>
        </w:rPr>
        <w:t xml:space="preserve">9.13. </w:t>
      </w:r>
      <w:r w:rsidR="00581634">
        <w:rPr>
          <w:rFonts w:ascii="Times New Roman" w:hAnsi="Times New Roman" w:cs="Times New Roman"/>
        </w:rPr>
        <w:t>The DPW’s</w:t>
      </w:r>
      <w:r w:rsidR="00581634">
        <w:rPr>
          <w:rFonts w:ascii="Times New Roman" w:hAnsi="Times New Roman"/>
        </w:rPr>
        <w:t xml:space="preserve"> EPWP branch to report to the Committee on efforts through which it:</w:t>
      </w:r>
    </w:p>
    <w:p w14:paraId="47D9E8A2" w14:textId="4631FA69" w:rsidR="00581634" w:rsidRDefault="00581634" w:rsidP="00581634">
      <w:pPr>
        <w:spacing w:line="360" w:lineRule="auto"/>
        <w:ind w:left="993" w:hanging="567"/>
        <w:jc w:val="both"/>
        <w:rPr>
          <w:rFonts w:ascii="Times New Roman" w:hAnsi="Times New Roman"/>
        </w:rPr>
      </w:pPr>
      <w:r>
        <w:rPr>
          <w:rFonts w:ascii="Times New Roman" w:hAnsi="Times New Roman"/>
        </w:rPr>
        <w:lastRenderedPageBreak/>
        <w:t>9.13.1 creates employment opportunities for the marginalised communities and assists other departments, provincial departments and municipalities to create jobs;</w:t>
      </w:r>
    </w:p>
    <w:p w14:paraId="0AFCE17F" w14:textId="5ED7DBCD" w:rsidR="004B51A5" w:rsidRDefault="00581634" w:rsidP="00F14C75">
      <w:pPr>
        <w:spacing w:line="360" w:lineRule="auto"/>
        <w:ind w:left="993" w:hanging="567"/>
        <w:jc w:val="both"/>
        <w:rPr>
          <w:rFonts w:ascii="Times New Roman" w:hAnsi="Times New Roman"/>
        </w:rPr>
      </w:pPr>
      <w:r>
        <w:rPr>
          <w:rFonts w:ascii="Times New Roman" w:hAnsi="Times New Roman"/>
        </w:rPr>
        <w:t xml:space="preserve">9.13.2. intergovernmental efforts through which the training component of the programme is strengthened with the relevant </w:t>
      </w:r>
      <w:r w:rsidR="00F14C75">
        <w:rPr>
          <w:rFonts w:ascii="Times New Roman" w:hAnsi="Times New Roman"/>
        </w:rPr>
        <w:t>SETAs</w:t>
      </w:r>
      <w:r>
        <w:rPr>
          <w:rFonts w:ascii="Times New Roman" w:hAnsi="Times New Roman"/>
        </w:rPr>
        <w:t>, the Further Education and Training</w:t>
      </w:r>
      <w:r w:rsidR="00F14C75">
        <w:rPr>
          <w:rFonts w:ascii="Times New Roman" w:hAnsi="Times New Roman"/>
        </w:rPr>
        <w:t xml:space="preserve"> sector</w:t>
      </w:r>
      <w:r>
        <w:rPr>
          <w:rFonts w:ascii="Times New Roman" w:hAnsi="Times New Roman"/>
        </w:rPr>
        <w:t>,</w:t>
      </w:r>
      <w:r w:rsidR="00F14C75">
        <w:rPr>
          <w:rFonts w:ascii="Times New Roman" w:hAnsi="Times New Roman"/>
        </w:rPr>
        <w:t xml:space="preserve"> and the private industry.</w:t>
      </w:r>
    </w:p>
    <w:p w14:paraId="535AEBEB" w14:textId="77777777" w:rsidR="00D13704" w:rsidRDefault="00D13704" w:rsidP="004B51A5">
      <w:pPr>
        <w:spacing w:line="360" w:lineRule="auto"/>
        <w:ind w:left="993" w:hanging="567"/>
        <w:jc w:val="both"/>
        <w:rPr>
          <w:rFonts w:ascii="Times New Roman" w:hAnsi="Times New Roman"/>
        </w:rPr>
      </w:pPr>
    </w:p>
    <w:p w14:paraId="77210168" w14:textId="5913456A" w:rsidR="005B5D5D" w:rsidRDefault="004B51A5" w:rsidP="004B51A5">
      <w:pPr>
        <w:spacing w:line="360" w:lineRule="auto"/>
        <w:ind w:left="993" w:hanging="567"/>
        <w:jc w:val="both"/>
        <w:rPr>
          <w:rFonts w:ascii="Times New Roman" w:hAnsi="Times New Roman" w:cs="Times New Roman"/>
        </w:rPr>
      </w:pPr>
      <w:r>
        <w:rPr>
          <w:rFonts w:ascii="Times New Roman" w:hAnsi="Times New Roman"/>
        </w:rPr>
        <w:t>Report to be considered.</w:t>
      </w:r>
    </w:p>
    <w:p w14:paraId="47E302B0" w14:textId="77777777" w:rsidR="004B51A5" w:rsidRDefault="004B51A5" w:rsidP="004B51A5">
      <w:pPr>
        <w:spacing w:line="360" w:lineRule="auto"/>
        <w:ind w:left="993" w:hanging="567"/>
        <w:jc w:val="both"/>
        <w:rPr>
          <w:rFonts w:ascii="Times New Roman" w:hAnsi="Times New Roman" w:cs="Times New Roman"/>
        </w:rPr>
      </w:pPr>
    </w:p>
    <w:sectPr w:rsidR="004B51A5" w:rsidSect="00937D86">
      <w:footerReference w:type="default" r:id="rId10"/>
      <w:pgSz w:w="11906" w:h="16838"/>
      <w:pgMar w:top="1440" w:right="1440"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12EBE" w16cid:durableId="1E95F3D0"/>
  <w16cid:commentId w16cid:paraId="70CAD0AA" w16cid:durableId="1E95F3D1"/>
  <w16cid:commentId w16cid:paraId="2FB3F8F4" w16cid:durableId="1E95F3D2"/>
  <w16cid:commentId w16cid:paraId="29A517D8" w16cid:durableId="1E95F3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A3100" w14:textId="77777777" w:rsidR="00C94BCB" w:rsidRDefault="00C94BCB" w:rsidP="00BB1EE2">
      <w:pPr>
        <w:spacing w:after="0" w:line="240" w:lineRule="auto"/>
      </w:pPr>
      <w:r>
        <w:separator/>
      </w:r>
    </w:p>
  </w:endnote>
  <w:endnote w:type="continuationSeparator" w:id="0">
    <w:p w14:paraId="33082D31" w14:textId="77777777" w:rsidR="00C94BCB" w:rsidRDefault="00C94BCB" w:rsidP="00BB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05467"/>
      <w:docPartObj>
        <w:docPartGallery w:val="Page Numbers (Bottom of Page)"/>
        <w:docPartUnique/>
      </w:docPartObj>
    </w:sdtPr>
    <w:sdtEndPr>
      <w:rPr>
        <w:noProof/>
      </w:rPr>
    </w:sdtEndPr>
    <w:sdtContent>
      <w:p w14:paraId="4FF68AC3" w14:textId="77ECC7FE" w:rsidR="004B51A5" w:rsidRDefault="004B51A5">
        <w:pPr>
          <w:pStyle w:val="Footer"/>
          <w:jc w:val="right"/>
        </w:pPr>
        <w:r>
          <w:fldChar w:fldCharType="begin"/>
        </w:r>
        <w:r>
          <w:instrText xml:space="preserve"> PAGE   \* MERGEFORMAT </w:instrText>
        </w:r>
        <w:r>
          <w:fldChar w:fldCharType="separate"/>
        </w:r>
        <w:r w:rsidR="008D429D">
          <w:rPr>
            <w:noProof/>
          </w:rPr>
          <w:t>1</w:t>
        </w:r>
        <w:r>
          <w:rPr>
            <w:noProof/>
          </w:rPr>
          <w:fldChar w:fldCharType="end"/>
        </w:r>
      </w:p>
    </w:sdtContent>
  </w:sdt>
  <w:p w14:paraId="40363128" w14:textId="77777777" w:rsidR="004B51A5" w:rsidRDefault="004B5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E0FF1" w14:textId="77777777" w:rsidR="00C94BCB" w:rsidRDefault="00C94BCB" w:rsidP="00BB1EE2">
      <w:pPr>
        <w:spacing w:after="0" w:line="240" w:lineRule="auto"/>
      </w:pPr>
      <w:r>
        <w:separator/>
      </w:r>
    </w:p>
  </w:footnote>
  <w:footnote w:type="continuationSeparator" w:id="0">
    <w:p w14:paraId="6FAFA018" w14:textId="77777777" w:rsidR="00C94BCB" w:rsidRDefault="00C94BCB" w:rsidP="00BB1EE2">
      <w:pPr>
        <w:spacing w:after="0" w:line="240" w:lineRule="auto"/>
      </w:pPr>
      <w:r>
        <w:continuationSeparator/>
      </w:r>
    </w:p>
  </w:footnote>
  <w:footnote w:id="1">
    <w:p w14:paraId="06D10B3F" w14:textId="77777777" w:rsidR="004B51A5" w:rsidRPr="00EB0E84" w:rsidRDefault="004B51A5">
      <w:pPr>
        <w:pStyle w:val="FootnoteText"/>
        <w:rPr>
          <w:lang w:val="en-ZA"/>
        </w:rPr>
      </w:pPr>
      <w:r>
        <w:rPr>
          <w:rStyle w:val="FootnoteReference"/>
        </w:rPr>
        <w:footnoteRef/>
      </w:r>
      <w:r>
        <w:t xml:space="preserve"> The operationalisation of the PMTE is a key deliverable of the five-year term 2014-2019. It is a strategy to ensure increased functionality of the Department of Public Works. The specific section dealing with the PMTE explains in further detail that its operationalisation was as a government component and not a legislated entity scheduled under the Public Finance Management Act (No. 1 of 1999). </w:t>
      </w:r>
    </w:p>
  </w:footnote>
  <w:footnote w:id="2">
    <w:p w14:paraId="1CA93379" w14:textId="77777777" w:rsidR="004B51A5" w:rsidRPr="003C6D26" w:rsidRDefault="004B51A5" w:rsidP="00BB1EE2">
      <w:pPr>
        <w:pStyle w:val="FootnoteText"/>
        <w:spacing w:line="240" w:lineRule="exact"/>
        <w:jc w:val="both"/>
        <w:rPr>
          <w:lang w:val="en-GB"/>
        </w:rPr>
      </w:pPr>
      <w:r w:rsidRPr="003C6D26">
        <w:rPr>
          <w:rStyle w:val="FootnoteReference"/>
          <w:lang w:val="en-GB"/>
        </w:rPr>
        <w:footnoteRef/>
      </w:r>
      <w:r w:rsidRPr="003C6D26">
        <w:rPr>
          <w:lang w:val="en-GB"/>
        </w:rPr>
        <w:t xml:space="preserve"> National Planning Commission (2012), p. 15.</w:t>
      </w:r>
    </w:p>
  </w:footnote>
  <w:footnote w:id="3">
    <w:p w14:paraId="22287CA7" w14:textId="77777777" w:rsidR="004B51A5" w:rsidRPr="003C6D26" w:rsidRDefault="004B51A5" w:rsidP="00BB1EE2">
      <w:pPr>
        <w:pStyle w:val="FootnoteText"/>
        <w:spacing w:line="240" w:lineRule="exact"/>
        <w:jc w:val="both"/>
        <w:rPr>
          <w:lang w:val="en-GB"/>
        </w:rPr>
      </w:pPr>
      <w:r w:rsidRPr="003C6D26">
        <w:rPr>
          <w:rStyle w:val="FootnoteReference"/>
          <w:lang w:val="en-GB"/>
        </w:rPr>
        <w:footnoteRef/>
      </w:r>
      <w:r w:rsidRPr="003C6D26">
        <w:rPr>
          <w:lang w:val="en-GB"/>
        </w:rPr>
        <w:t xml:space="preserve"> National Planning Commission (2012), p. 360.</w:t>
      </w:r>
    </w:p>
  </w:footnote>
  <w:footnote w:id="4">
    <w:p w14:paraId="0642E864" w14:textId="0C337AB6" w:rsidR="004B51A5" w:rsidRPr="00F300D2" w:rsidRDefault="004B51A5">
      <w:pPr>
        <w:pStyle w:val="FootnoteText"/>
        <w:rPr>
          <w:lang w:val="en-ZA"/>
        </w:rPr>
      </w:pPr>
      <w:r>
        <w:rPr>
          <w:rStyle w:val="FootnoteReference"/>
        </w:rPr>
        <w:footnoteRef/>
      </w:r>
      <w:r>
        <w:t xml:space="preserve"> State of the Nation Address, </w:t>
      </w:r>
      <w:r>
        <w:rPr>
          <w:lang w:val="en-ZA"/>
        </w:rPr>
        <w:t>Ramaphosa, C. (2018).</w:t>
      </w:r>
    </w:p>
  </w:footnote>
  <w:footnote w:id="5">
    <w:p w14:paraId="4FD9F003" w14:textId="77777777" w:rsidR="004B51A5" w:rsidRPr="00592625" w:rsidRDefault="004B51A5">
      <w:pPr>
        <w:pStyle w:val="FootnoteText"/>
        <w:rPr>
          <w:lang w:val="en-ZA"/>
        </w:rPr>
      </w:pPr>
      <w:r>
        <w:rPr>
          <w:rStyle w:val="FootnoteReference"/>
        </w:rPr>
        <w:footnoteRef/>
      </w:r>
      <w:r>
        <w:t xml:space="preserve"> Ibid.</w:t>
      </w:r>
    </w:p>
  </w:footnote>
  <w:footnote w:id="6">
    <w:p w14:paraId="76D978F4" w14:textId="77777777" w:rsidR="004B51A5" w:rsidRPr="00F300D2" w:rsidRDefault="004B51A5">
      <w:pPr>
        <w:pStyle w:val="FootnoteText"/>
        <w:rPr>
          <w:lang w:val="en-ZA"/>
        </w:rPr>
      </w:pPr>
      <w:r>
        <w:rPr>
          <w:rStyle w:val="FootnoteReference"/>
        </w:rPr>
        <w:footnoteRef/>
      </w:r>
      <w:r>
        <w:t xml:space="preserve"> </w:t>
      </w:r>
      <w:r>
        <w:rPr>
          <w:lang w:val="en-ZA"/>
        </w:rPr>
        <w:t>Ibid.</w:t>
      </w:r>
    </w:p>
  </w:footnote>
  <w:footnote w:id="7">
    <w:p w14:paraId="10022EFE" w14:textId="77777777" w:rsidR="004B51A5" w:rsidRPr="003C6D26" w:rsidRDefault="004B51A5" w:rsidP="0072730A">
      <w:pPr>
        <w:pStyle w:val="FootnoteText"/>
        <w:spacing w:line="240" w:lineRule="exact"/>
        <w:jc w:val="both"/>
        <w:rPr>
          <w:lang w:val="en-GB"/>
        </w:rPr>
      </w:pPr>
      <w:r w:rsidRPr="003C6D26">
        <w:rPr>
          <w:rStyle w:val="FootnoteReference"/>
        </w:rPr>
        <w:footnoteRef/>
      </w:r>
      <w:r w:rsidRPr="003C6D26">
        <w:t xml:space="preserve"> </w:t>
      </w:r>
      <w:r w:rsidRPr="003C6D26">
        <w:rPr>
          <w:lang w:val="en-GB"/>
        </w:rPr>
        <w:t>UNDP (2015).</w:t>
      </w:r>
    </w:p>
  </w:footnote>
  <w:footnote w:id="8">
    <w:p w14:paraId="3ED16D9C" w14:textId="77777777" w:rsidR="004B51A5" w:rsidRPr="009E5F2C" w:rsidRDefault="004B51A5" w:rsidP="00BB1EE2">
      <w:pPr>
        <w:pStyle w:val="FootnoteText"/>
        <w:spacing w:line="240" w:lineRule="exact"/>
        <w:jc w:val="both"/>
        <w:rPr>
          <w:sz w:val="18"/>
          <w:szCs w:val="18"/>
          <w:lang w:val="en-GB"/>
        </w:rPr>
      </w:pPr>
      <w:r w:rsidRPr="009E5F2C">
        <w:rPr>
          <w:rStyle w:val="FootnoteReference"/>
          <w:sz w:val="18"/>
          <w:szCs w:val="18"/>
          <w:lang w:val="en-GB"/>
        </w:rPr>
        <w:footnoteRef/>
      </w:r>
      <w:r w:rsidRPr="009E5F2C">
        <w:rPr>
          <w:sz w:val="18"/>
          <w:szCs w:val="18"/>
          <w:lang w:val="en-GB"/>
        </w:rPr>
        <w:t xml:space="preserve"> The PMTE was operationalised in the 2015/16 financial year.</w:t>
      </w:r>
    </w:p>
  </w:footnote>
  <w:footnote w:id="9">
    <w:p w14:paraId="0366E160" w14:textId="77777777" w:rsidR="004B51A5" w:rsidRPr="009E5F2C" w:rsidRDefault="004B51A5" w:rsidP="00BB1EE2">
      <w:pPr>
        <w:pStyle w:val="FootnoteText"/>
        <w:spacing w:line="240" w:lineRule="exact"/>
        <w:jc w:val="both"/>
        <w:rPr>
          <w:sz w:val="18"/>
          <w:szCs w:val="18"/>
          <w:lang w:val="en-GB"/>
        </w:rPr>
      </w:pPr>
      <w:r w:rsidRPr="009E5F2C">
        <w:rPr>
          <w:rStyle w:val="FootnoteReference"/>
          <w:sz w:val="18"/>
          <w:szCs w:val="18"/>
          <w:lang w:val="en-GB"/>
        </w:rPr>
        <w:footnoteRef/>
      </w:r>
      <w:r w:rsidRPr="009E5F2C">
        <w:rPr>
          <w:sz w:val="18"/>
          <w:szCs w:val="18"/>
          <w:lang w:val="en-GB"/>
        </w:rPr>
        <w:t xml:space="preserve"> Department of Public Works (2014), p. 43. </w:t>
      </w:r>
    </w:p>
  </w:footnote>
  <w:footnote w:id="10">
    <w:p w14:paraId="1CE0E257" w14:textId="77777777" w:rsidR="004B51A5" w:rsidRPr="009E5F2C" w:rsidRDefault="004B51A5" w:rsidP="00BB1EE2">
      <w:pPr>
        <w:pStyle w:val="FootnoteText"/>
        <w:spacing w:line="240" w:lineRule="exact"/>
        <w:jc w:val="both"/>
        <w:rPr>
          <w:sz w:val="18"/>
          <w:szCs w:val="18"/>
          <w:lang w:val="en-GB"/>
        </w:rPr>
      </w:pPr>
      <w:r w:rsidRPr="009E5F2C">
        <w:rPr>
          <w:rStyle w:val="FootnoteReference"/>
          <w:sz w:val="18"/>
          <w:szCs w:val="18"/>
          <w:lang w:val="en-GB"/>
        </w:rPr>
        <w:footnoteRef/>
      </w:r>
      <w:r w:rsidRPr="009E5F2C">
        <w:rPr>
          <w:sz w:val="18"/>
          <w:szCs w:val="18"/>
          <w:lang w:val="en-GB"/>
        </w:rPr>
        <w:t xml:space="preserve"> Department of Public Works (2014), p. 43. The Department regulates the construction industry and built environment through the Construction Industry Development Board Act (No. 38 of 2000), the Council for the Built Environment Act (No. 43 of 2000) and the six Professional Council Acts that regulate the six Built Environment Professions.</w:t>
      </w:r>
    </w:p>
  </w:footnote>
  <w:footnote w:id="11">
    <w:p w14:paraId="7A57DB80" w14:textId="77777777" w:rsidR="004B51A5" w:rsidRPr="003C6D26" w:rsidRDefault="004B51A5" w:rsidP="00B5112E">
      <w:pPr>
        <w:pStyle w:val="FootnoteText"/>
        <w:spacing w:line="240" w:lineRule="exact"/>
        <w:jc w:val="both"/>
        <w:rPr>
          <w:lang w:val="en-GB"/>
        </w:rPr>
      </w:pPr>
      <w:r w:rsidRPr="003C6D26">
        <w:rPr>
          <w:rStyle w:val="FootnoteReference"/>
          <w:lang w:val="en-GB"/>
        </w:rPr>
        <w:footnoteRef/>
      </w:r>
      <w:r w:rsidRPr="003C6D26">
        <w:rPr>
          <w:lang w:val="en-GB"/>
        </w:rPr>
        <w:t xml:space="preserve"> National Treasury (2018), p. 218.</w:t>
      </w:r>
    </w:p>
  </w:footnote>
  <w:footnote w:id="12">
    <w:p w14:paraId="178CAAAC" w14:textId="77777777" w:rsidR="004B51A5" w:rsidRPr="00CC18DD" w:rsidRDefault="004B51A5" w:rsidP="00694384">
      <w:pPr>
        <w:pStyle w:val="FootnoteText"/>
        <w:rPr>
          <w:rFonts w:ascii="Arial" w:hAnsi="Arial" w:cs="Arial"/>
          <w:lang w:val="en-GB"/>
        </w:rPr>
      </w:pPr>
      <w:r w:rsidRPr="00CC18DD">
        <w:rPr>
          <w:rStyle w:val="FootnoteReference"/>
          <w:rFonts w:ascii="Arial" w:hAnsi="Arial" w:cs="Arial"/>
          <w:lang w:val="en-GB"/>
        </w:rPr>
        <w:footnoteRef/>
      </w:r>
      <w:r w:rsidRPr="00CC18DD">
        <w:rPr>
          <w:rFonts w:ascii="Arial" w:hAnsi="Arial" w:cs="Arial"/>
          <w:lang w:val="en-GB"/>
        </w:rPr>
        <w:t xml:space="preserve"> National Treasury (2018), p. 219.</w:t>
      </w:r>
    </w:p>
  </w:footnote>
  <w:footnote w:id="13">
    <w:p w14:paraId="0A7C54FD" w14:textId="77777777" w:rsidR="004B51A5" w:rsidRPr="00B353C2" w:rsidRDefault="004B51A5" w:rsidP="00B353C2">
      <w:pPr>
        <w:pStyle w:val="FootnoteText"/>
        <w:spacing w:line="240" w:lineRule="exact"/>
        <w:jc w:val="both"/>
        <w:rPr>
          <w:lang w:val="en-GB"/>
        </w:rPr>
      </w:pPr>
      <w:r w:rsidRPr="00B353C2">
        <w:rPr>
          <w:rStyle w:val="FootnoteReference"/>
          <w:lang w:val="en-GB"/>
        </w:rPr>
        <w:footnoteRef/>
      </w:r>
      <w:r w:rsidRPr="00B353C2">
        <w:rPr>
          <w:lang w:val="en-GB"/>
        </w:rPr>
        <w:t xml:space="preserve"> Department of Public Works (2018), pp. 75-81.</w:t>
      </w:r>
    </w:p>
  </w:footnote>
  <w:footnote w:id="14">
    <w:p w14:paraId="5ED532D8" w14:textId="77777777" w:rsidR="004B51A5" w:rsidRPr="003C6D26" w:rsidRDefault="004B51A5" w:rsidP="00BB1EE2">
      <w:pPr>
        <w:pStyle w:val="FootnoteText"/>
        <w:spacing w:line="240" w:lineRule="exact"/>
        <w:jc w:val="both"/>
        <w:rPr>
          <w:lang w:val="en-GB"/>
        </w:rPr>
      </w:pPr>
      <w:r w:rsidRPr="003C6D26">
        <w:rPr>
          <w:rStyle w:val="FootnoteReference"/>
        </w:rPr>
        <w:footnoteRef/>
      </w:r>
      <w:r w:rsidRPr="003C6D26">
        <w:t xml:space="preserve"> </w:t>
      </w:r>
      <w:r w:rsidRPr="003C6D26">
        <w:rPr>
          <w:lang w:val="en-GB"/>
        </w:rPr>
        <w:t>National Treasury (2017), p. 205.</w:t>
      </w:r>
    </w:p>
  </w:footnote>
  <w:footnote w:id="15">
    <w:p w14:paraId="340C6681" w14:textId="77777777" w:rsidR="004B51A5" w:rsidRPr="003C6D26" w:rsidRDefault="004B51A5" w:rsidP="00BB1EE2">
      <w:pPr>
        <w:pStyle w:val="FootnoteText"/>
        <w:spacing w:line="240" w:lineRule="exact"/>
        <w:jc w:val="both"/>
        <w:rPr>
          <w:lang w:val="en-GB"/>
        </w:rPr>
      </w:pPr>
      <w:r w:rsidRPr="003C6D26">
        <w:rPr>
          <w:rStyle w:val="FootnoteReference"/>
        </w:rPr>
        <w:footnoteRef/>
      </w:r>
      <w:r w:rsidRPr="003C6D26">
        <w:t xml:space="preserve"> </w:t>
      </w:r>
      <w:r w:rsidRPr="003C6D26">
        <w:rPr>
          <w:lang w:val="en-GB"/>
        </w:rPr>
        <w:t>National Treasury (2017), p. 204.</w:t>
      </w:r>
    </w:p>
  </w:footnote>
  <w:footnote w:id="16">
    <w:p w14:paraId="5AC53B21" w14:textId="77777777" w:rsidR="004B51A5" w:rsidRPr="00CC18DD" w:rsidRDefault="004B51A5" w:rsidP="001170E4">
      <w:pPr>
        <w:pStyle w:val="FootnoteText"/>
        <w:spacing w:line="240" w:lineRule="exact"/>
        <w:jc w:val="both"/>
        <w:rPr>
          <w:rFonts w:ascii="Arial" w:hAnsi="Arial" w:cs="Arial"/>
          <w:lang w:val="en-GB"/>
        </w:rPr>
      </w:pPr>
      <w:r w:rsidRPr="003C6D26">
        <w:rPr>
          <w:rStyle w:val="FootnoteReference"/>
          <w:lang w:val="en-GB"/>
        </w:rPr>
        <w:footnoteRef/>
      </w:r>
      <w:r w:rsidRPr="003C6D26">
        <w:rPr>
          <w:lang w:val="en-GB"/>
        </w:rPr>
        <w:t xml:space="preserve"> National Treasury (2018), p. 220.</w:t>
      </w:r>
    </w:p>
  </w:footnote>
  <w:footnote w:id="17">
    <w:p w14:paraId="5B7A39C7" w14:textId="77777777" w:rsidR="004B51A5" w:rsidRPr="003C6D26" w:rsidRDefault="004B51A5" w:rsidP="001170E4">
      <w:pPr>
        <w:pStyle w:val="FootnoteText"/>
        <w:rPr>
          <w:lang w:val="en-GB"/>
        </w:rPr>
      </w:pPr>
      <w:r w:rsidRPr="003C6D26">
        <w:rPr>
          <w:rStyle w:val="FootnoteReference"/>
          <w:lang w:val="en-GB"/>
        </w:rPr>
        <w:footnoteRef/>
      </w:r>
      <w:r w:rsidRPr="003C6D26">
        <w:rPr>
          <w:lang w:val="en-GB"/>
        </w:rPr>
        <w:t xml:space="preserve"> National Treasury (2018), p. 213. It should be noted that the Professional Services sub-programme is a new addition under Programme 2. The sub-programme receives an allocation of R81.7 million over the medium term, of which R37.1 million is for Compensation of Employees; R28 million for Goods and Services and R15.9</w:t>
      </w:r>
      <w:r>
        <w:rPr>
          <w:lang w:val="en-GB"/>
        </w:rPr>
        <w:t xml:space="preserve"> </w:t>
      </w:r>
      <w:r w:rsidRPr="003C6D26">
        <w:rPr>
          <w:lang w:val="en-GB"/>
        </w:rPr>
        <w:t xml:space="preserve">million towards Transfers to Households for Non-Employees Bursaries. </w:t>
      </w:r>
    </w:p>
  </w:footnote>
  <w:footnote w:id="18">
    <w:p w14:paraId="7B076A7F" w14:textId="77777777" w:rsidR="004B51A5" w:rsidRPr="003C6D26" w:rsidRDefault="004B51A5" w:rsidP="001170E4">
      <w:pPr>
        <w:pStyle w:val="FootnoteText"/>
        <w:spacing w:line="240" w:lineRule="exact"/>
        <w:jc w:val="both"/>
        <w:rPr>
          <w:lang w:val="en-GB"/>
        </w:rPr>
      </w:pPr>
      <w:r w:rsidRPr="003C6D26">
        <w:rPr>
          <w:rStyle w:val="FootnoteReference"/>
          <w:lang w:val="en-GB"/>
        </w:rPr>
        <w:footnoteRef/>
      </w:r>
      <w:r w:rsidRPr="003C6D26">
        <w:rPr>
          <w:lang w:val="en-GB"/>
        </w:rPr>
        <w:t xml:space="preserve"> National Treasury (2018), p. 220.</w:t>
      </w:r>
    </w:p>
  </w:footnote>
  <w:footnote w:id="19">
    <w:p w14:paraId="668D76DB" w14:textId="77777777" w:rsidR="004B51A5" w:rsidRPr="003C6D26" w:rsidRDefault="004B51A5" w:rsidP="001170E4">
      <w:pPr>
        <w:pStyle w:val="FootnoteText"/>
        <w:spacing w:line="240" w:lineRule="exact"/>
        <w:jc w:val="both"/>
        <w:rPr>
          <w:lang w:val="en-GB"/>
        </w:rPr>
      </w:pPr>
      <w:r w:rsidRPr="003C6D26">
        <w:rPr>
          <w:rStyle w:val="FootnoteReference"/>
          <w:lang w:val="en-GB"/>
        </w:rPr>
        <w:footnoteRef/>
      </w:r>
      <w:r w:rsidRPr="003C6D26">
        <w:rPr>
          <w:lang w:val="en-GB"/>
        </w:rPr>
        <w:t xml:space="preserve"> </w:t>
      </w:r>
      <w:r w:rsidRPr="003C6D26">
        <w:rPr>
          <w:rStyle w:val="FootnoteReference"/>
          <w:lang w:val="en-GB"/>
        </w:rPr>
        <w:footnoteRef/>
      </w:r>
      <w:r w:rsidRPr="003C6D26">
        <w:rPr>
          <w:lang w:val="en-GB"/>
        </w:rPr>
        <w:t xml:space="preserve"> National Treasury (2018), pp. 211 &amp; 219-220.</w:t>
      </w:r>
    </w:p>
  </w:footnote>
  <w:footnote w:id="20">
    <w:p w14:paraId="5C159EFA" w14:textId="77777777" w:rsidR="004B51A5" w:rsidRPr="003C6D26" w:rsidRDefault="004B51A5" w:rsidP="001170E4">
      <w:pPr>
        <w:pStyle w:val="FootnoteText"/>
        <w:spacing w:line="240" w:lineRule="exact"/>
        <w:jc w:val="both"/>
        <w:rPr>
          <w:lang w:val="en-GB"/>
        </w:rPr>
      </w:pPr>
      <w:r w:rsidRPr="003C6D26">
        <w:rPr>
          <w:rStyle w:val="FootnoteReference"/>
          <w:lang w:val="en-GB"/>
        </w:rPr>
        <w:footnoteRef/>
      </w:r>
      <w:r w:rsidRPr="003C6D26">
        <w:rPr>
          <w:lang w:val="en-GB"/>
        </w:rPr>
        <w:t xml:space="preserve"> National Treasury (2018), p. 222.   </w:t>
      </w:r>
    </w:p>
  </w:footnote>
  <w:footnote w:id="21">
    <w:p w14:paraId="4480BA7B" w14:textId="77777777" w:rsidR="004B51A5" w:rsidRPr="003C6D26" w:rsidRDefault="004B51A5" w:rsidP="001170E4">
      <w:pPr>
        <w:pStyle w:val="FootnoteText"/>
        <w:spacing w:line="240" w:lineRule="exact"/>
        <w:jc w:val="both"/>
        <w:rPr>
          <w:lang w:val="en-GB"/>
        </w:rPr>
      </w:pPr>
      <w:r w:rsidRPr="003C6D26">
        <w:rPr>
          <w:rStyle w:val="FootnoteReference"/>
          <w:lang w:val="en-GB"/>
        </w:rPr>
        <w:footnoteRef/>
      </w:r>
      <w:r w:rsidRPr="003C6D26">
        <w:rPr>
          <w:lang w:val="en-GB"/>
        </w:rPr>
        <w:t xml:space="preserve"> National Treasury (2018), p.222.   </w:t>
      </w:r>
    </w:p>
  </w:footnote>
  <w:footnote w:id="22">
    <w:p w14:paraId="197EDC79" w14:textId="77777777" w:rsidR="004B51A5" w:rsidRPr="003C6D26" w:rsidRDefault="004B51A5" w:rsidP="001170E4">
      <w:pPr>
        <w:pStyle w:val="FootnoteText"/>
        <w:spacing w:line="240" w:lineRule="exact"/>
        <w:jc w:val="both"/>
        <w:rPr>
          <w:lang w:val="en-GB"/>
        </w:rPr>
      </w:pPr>
      <w:r w:rsidRPr="003C6D26">
        <w:rPr>
          <w:rStyle w:val="FootnoteReference"/>
          <w:lang w:val="en-GB"/>
        </w:rPr>
        <w:footnoteRef/>
      </w:r>
      <w:r w:rsidRPr="003C6D26">
        <w:rPr>
          <w:lang w:val="en-GB"/>
        </w:rPr>
        <w:t xml:space="preserve"> National Treasury (2018), p. 222.   </w:t>
      </w:r>
    </w:p>
  </w:footnote>
  <w:footnote w:id="23">
    <w:p w14:paraId="32DCD4FD" w14:textId="77777777" w:rsidR="004B51A5" w:rsidRPr="003C6D26" w:rsidRDefault="004B51A5" w:rsidP="001170E4">
      <w:pPr>
        <w:pStyle w:val="FootnoteText"/>
        <w:rPr>
          <w:lang w:val="en-GB"/>
        </w:rPr>
      </w:pPr>
      <w:r w:rsidRPr="003C6D26">
        <w:rPr>
          <w:rStyle w:val="FootnoteReference"/>
          <w:lang w:val="en-GB"/>
        </w:rPr>
        <w:footnoteRef/>
      </w:r>
      <w:r w:rsidRPr="003C6D26">
        <w:rPr>
          <w:lang w:val="en-GB"/>
        </w:rPr>
        <w:t xml:space="preserve"> National Treasury (2018), p. 221.   </w:t>
      </w:r>
    </w:p>
  </w:footnote>
  <w:footnote w:id="24">
    <w:p w14:paraId="5CE3CF3E" w14:textId="77777777" w:rsidR="004B51A5" w:rsidRPr="003C6D26" w:rsidRDefault="004B51A5" w:rsidP="001170E4">
      <w:pPr>
        <w:pStyle w:val="FootnoteText"/>
        <w:spacing w:line="240" w:lineRule="exact"/>
        <w:jc w:val="both"/>
        <w:rPr>
          <w:lang w:val="en-GB"/>
        </w:rPr>
      </w:pPr>
      <w:r w:rsidRPr="003C6D26">
        <w:rPr>
          <w:rStyle w:val="FootnoteReference"/>
          <w:lang w:val="en-GB"/>
        </w:rPr>
        <w:footnoteRef/>
      </w:r>
      <w:r w:rsidRPr="003C6D26">
        <w:rPr>
          <w:lang w:val="en-GB"/>
        </w:rPr>
        <w:t xml:space="preserve"> </w:t>
      </w:r>
      <w:r w:rsidRPr="003C6D26">
        <w:rPr>
          <w:i/>
          <w:lang w:val="en-GB"/>
        </w:rPr>
        <w:t xml:space="preserve"> </w:t>
      </w:r>
      <w:r w:rsidRPr="003C6D26">
        <w:rPr>
          <w:lang w:val="en-GB"/>
        </w:rPr>
        <w:t xml:space="preserve">National Treasury (2018), p. 211.   </w:t>
      </w:r>
    </w:p>
  </w:footnote>
  <w:footnote w:id="25">
    <w:p w14:paraId="2A92557E" w14:textId="77777777" w:rsidR="004B51A5" w:rsidRPr="003C6D26" w:rsidRDefault="004B51A5" w:rsidP="00BB1EE2">
      <w:pPr>
        <w:spacing w:line="240" w:lineRule="exact"/>
        <w:rPr>
          <w:rFonts w:ascii="Times New Roman" w:hAnsi="Times New Roman" w:cs="Times New Roman"/>
          <w:sz w:val="20"/>
          <w:szCs w:val="20"/>
        </w:rPr>
      </w:pPr>
      <w:r w:rsidRPr="003C6D26">
        <w:rPr>
          <w:rStyle w:val="FootnoteReference"/>
          <w:rFonts w:ascii="Times New Roman" w:hAnsi="Times New Roman" w:cs="Times New Roman"/>
          <w:sz w:val="20"/>
          <w:szCs w:val="20"/>
        </w:rPr>
        <w:footnoteRef/>
      </w:r>
      <w:r w:rsidRPr="003C6D26">
        <w:rPr>
          <w:rFonts w:ascii="Times New Roman" w:hAnsi="Times New Roman" w:cs="Times New Roman"/>
          <w:sz w:val="20"/>
          <w:szCs w:val="20"/>
        </w:rPr>
        <w:t xml:space="preserve"> This programme was known as </w:t>
      </w:r>
      <w:r w:rsidRPr="003C6D26">
        <w:rPr>
          <w:rFonts w:ascii="Times New Roman" w:hAnsi="Times New Roman" w:cs="Times New Roman"/>
          <w:bCs/>
          <w:sz w:val="20"/>
          <w:szCs w:val="20"/>
        </w:rPr>
        <w:t>Property and Construction Industry Policy Regulation which promoted the growth and transformation of the construction and property industries, and uniformity and best practice in construction, and immovable asset management in the public sector.</w:t>
      </w:r>
    </w:p>
  </w:footnote>
  <w:footnote w:id="26">
    <w:p w14:paraId="4AE67FB1" w14:textId="77777777" w:rsidR="004B51A5" w:rsidRPr="003C6D26" w:rsidRDefault="004B51A5" w:rsidP="001170E4">
      <w:pPr>
        <w:pStyle w:val="FootnoteText"/>
        <w:spacing w:line="240" w:lineRule="exact"/>
        <w:jc w:val="both"/>
        <w:rPr>
          <w:lang w:val="en-GB"/>
        </w:rPr>
      </w:pPr>
      <w:r w:rsidRPr="003C6D26">
        <w:rPr>
          <w:rStyle w:val="FootnoteReference"/>
          <w:lang w:val="en-GB"/>
        </w:rPr>
        <w:footnoteRef/>
      </w:r>
      <w:r w:rsidRPr="003C6D26">
        <w:rPr>
          <w:lang w:val="en-GB"/>
        </w:rPr>
        <w:t xml:space="preserve"> National Treasury (2018), p. 223.</w:t>
      </w:r>
    </w:p>
  </w:footnote>
  <w:footnote w:id="27">
    <w:p w14:paraId="07BD76A1" w14:textId="77777777" w:rsidR="004B51A5" w:rsidRPr="003C6D26" w:rsidRDefault="004B51A5" w:rsidP="001170E4">
      <w:pPr>
        <w:spacing w:line="240" w:lineRule="exact"/>
        <w:rPr>
          <w:rFonts w:cs="Arial"/>
          <w:sz w:val="20"/>
          <w:szCs w:val="20"/>
        </w:rPr>
      </w:pPr>
      <w:r w:rsidRPr="003C6D26">
        <w:rPr>
          <w:rStyle w:val="FootnoteReference"/>
          <w:rFonts w:ascii="Times New Roman" w:hAnsi="Times New Roman" w:cs="Times New Roman"/>
          <w:sz w:val="20"/>
          <w:szCs w:val="20"/>
        </w:rPr>
        <w:footnoteRef/>
      </w:r>
      <w:r w:rsidRPr="003C6D26">
        <w:rPr>
          <w:rFonts w:ascii="Times New Roman" w:hAnsi="Times New Roman" w:cs="Times New Roman"/>
          <w:sz w:val="20"/>
          <w:szCs w:val="20"/>
        </w:rPr>
        <w:t xml:space="preserve"> Previously, up until 2009/10 the two programmes: Construction Industry Development Programme and the Property Industry Development Programme) fell under Programme 3, but have since been renamed as of the 2014/15 financial.</w:t>
      </w:r>
      <w:r w:rsidRPr="003C6D26">
        <w:rPr>
          <w:rFonts w:cs="Arial"/>
          <w:sz w:val="20"/>
          <w:szCs w:val="20"/>
        </w:rPr>
        <w:t xml:space="preserve"> </w:t>
      </w:r>
    </w:p>
  </w:footnote>
  <w:footnote w:id="28">
    <w:p w14:paraId="0A7CC35A" w14:textId="77777777" w:rsidR="004B51A5" w:rsidRPr="001170E4" w:rsidRDefault="004B51A5" w:rsidP="00CD7836">
      <w:pPr>
        <w:pStyle w:val="FootnoteText"/>
        <w:spacing w:line="240" w:lineRule="exact"/>
        <w:jc w:val="both"/>
        <w:rPr>
          <w:lang w:val="en-GB"/>
        </w:rPr>
      </w:pPr>
      <w:r w:rsidRPr="001170E4">
        <w:rPr>
          <w:rStyle w:val="FootnoteReference"/>
          <w:lang w:val="en-GB"/>
        </w:rPr>
        <w:footnoteRef/>
      </w:r>
      <w:r w:rsidRPr="001170E4">
        <w:rPr>
          <w:lang w:val="en-GB"/>
        </w:rPr>
        <w:t xml:space="preserve"> National Treasury (2018), p. 224.</w:t>
      </w:r>
    </w:p>
  </w:footnote>
  <w:footnote w:id="29">
    <w:p w14:paraId="6F5F0465" w14:textId="77777777" w:rsidR="004B51A5" w:rsidRPr="001170E4" w:rsidRDefault="004B51A5" w:rsidP="001170E4">
      <w:pPr>
        <w:pStyle w:val="FootnoteText"/>
        <w:spacing w:line="240" w:lineRule="exact"/>
        <w:jc w:val="both"/>
        <w:rPr>
          <w:lang w:val="en-GB"/>
        </w:rPr>
      </w:pPr>
      <w:r w:rsidRPr="001170E4">
        <w:rPr>
          <w:rStyle w:val="FootnoteReference"/>
          <w:lang w:val="en-GB"/>
        </w:rPr>
        <w:footnoteRef/>
      </w:r>
      <w:r w:rsidRPr="001170E4">
        <w:rPr>
          <w:lang w:val="en-GB"/>
        </w:rPr>
        <w:t xml:space="preserve"> National Treasury (2015), p. 193. This payment is made to the Commonwealth War Graves Commission of which South Africa is a me</w:t>
      </w:r>
      <w:r>
        <w:rPr>
          <w:lang w:val="en-GB"/>
        </w:rPr>
        <w:t>mber. It is comprised of six</w:t>
      </w:r>
      <w:r w:rsidRPr="001170E4">
        <w:rPr>
          <w:lang w:val="en-GB"/>
        </w:rPr>
        <w:t xml:space="preserve"> member countries: Australia</w:t>
      </w:r>
      <w:r>
        <w:rPr>
          <w:lang w:val="en-GB"/>
        </w:rPr>
        <w:t>, Canada, India, New Zealand,</w:t>
      </w:r>
      <w:r w:rsidRPr="001170E4">
        <w:rPr>
          <w:lang w:val="en-GB"/>
        </w:rPr>
        <w:t xml:space="preserve"> South Africa and the United Kingdom.    </w:t>
      </w:r>
    </w:p>
  </w:footnote>
  <w:footnote w:id="30">
    <w:p w14:paraId="2B389971" w14:textId="77777777" w:rsidR="004B51A5" w:rsidRPr="001170E4" w:rsidRDefault="004B51A5" w:rsidP="001170E4">
      <w:pPr>
        <w:pStyle w:val="FootnoteText"/>
        <w:spacing w:line="240" w:lineRule="exact"/>
        <w:jc w:val="both"/>
        <w:rPr>
          <w:lang w:val="en-GB"/>
        </w:rPr>
      </w:pPr>
      <w:r w:rsidRPr="001170E4">
        <w:rPr>
          <w:rStyle w:val="FootnoteReference"/>
          <w:lang w:val="en-GB"/>
        </w:rPr>
        <w:footnoteRef/>
      </w:r>
      <w:r w:rsidRPr="001170E4">
        <w:rPr>
          <w:lang w:val="en-GB"/>
        </w:rPr>
        <w:t xml:space="preserve"> National Treasury (2018), p. 224.</w:t>
      </w:r>
    </w:p>
  </w:footnote>
  <w:footnote w:id="31">
    <w:p w14:paraId="35635C8B" w14:textId="77777777" w:rsidR="004B51A5" w:rsidRPr="001170E4" w:rsidRDefault="004B51A5" w:rsidP="001170E4">
      <w:pPr>
        <w:pStyle w:val="FootnoteText"/>
        <w:rPr>
          <w:lang w:val="en-GB"/>
        </w:rPr>
      </w:pPr>
      <w:r w:rsidRPr="001170E4">
        <w:rPr>
          <w:rStyle w:val="FootnoteReference"/>
          <w:lang w:val="en-GB"/>
        </w:rPr>
        <w:footnoteRef/>
      </w:r>
      <w:r w:rsidRPr="001170E4">
        <w:rPr>
          <w:lang w:val="en-GB"/>
        </w:rPr>
        <w:t xml:space="preserve"> National Treasury (2018), p. 224.</w:t>
      </w:r>
    </w:p>
  </w:footnote>
  <w:footnote w:id="32">
    <w:p w14:paraId="3FE207D4" w14:textId="77777777" w:rsidR="004B51A5" w:rsidRPr="001170E4" w:rsidRDefault="004B51A5" w:rsidP="001170E4">
      <w:pPr>
        <w:pStyle w:val="FootnoteText"/>
        <w:spacing w:line="240" w:lineRule="exact"/>
        <w:jc w:val="both"/>
        <w:rPr>
          <w:lang w:val="en-GB"/>
        </w:rPr>
      </w:pPr>
      <w:r w:rsidRPr="001170E4">
        <w:rPr>
          <w:rStyle w:val="FootnoteReference"/>
          <w:lang w:val="en-GB"/>
        </w:rPr>
        <w:footnoteRef/>
      </w:r>
      <w:r w:rsidRPr="001170E4">
        <w:rPr>
          <w:lang w:val="en-GB"/>
        </w:rPr>
        <w:t xml:space="preserve"> National Treasury (2018), p. 223.</w:t>
      </w:r>
    </w:p>
  </w:footnote>
  <w:footnote w:id="33">
    <w:p w14:paraId="5D5326DB" w14:textId="77777777" w:rsidR="004B51A5" w:rsidRPr="003C6D26" w:rsidRDefault="004B51A5" w:rsidP="001170E4">
      <w:pPr>
        <w:pStyle w:val="FootnoteText"/>
        <w:spacing w:line="240" w:lineRule="exact"/>
        <w:jc w:val="both"/>
        <w:rPr>
          <w:lang w:val="en-GB"/>
        </w:rPr>
      </w:pPr>
      <w:r w:rsidRPr="003C6D26">
        <w:rPr>
          <w:rStyle w:val="FootnoteReference"/>
          <w:lang w:val="en-GB"/>
        </w:rPr>
        <w:footnoteRef/>
      </w:r>
      <w:r w:rsidRPr="003C6D26">
        <w:rPr>
          <w:lang w:val="en-GB"/>
        </w:rPr>
        <w:t xml:space="preserve"> Department of Public Works (2018), p. 106.</w:t>
      </w:r>
    </w:p>
  </w:footnote>
  <w:footnote w:id="34">
    <w:p w14:paraId="5A068D67" w14:textId="77777777" w:rsidR="004B51A5" w:rsidRPr="003C6D26" w:rsidRDefault="004B51A5" w:rsidP="00BB1EE2">
      <w:pPr>
        <w:spacing w:line="240" w:lineRule="exact"/>
        <w:rPr>
          <w:rFonts w:ascii="Times New Roman" w:hAnsi="Times New Roman" w:cs="Times New Roman"/>
          <w:sz w:val="20"/>
          <w:szCs w:val="20"/>
        </w:rPr>
      </w:pPr>
      <w:r w:rsidRPr="003C6D26">
        <w:rPr>
          <w:rStyle w:val="FootnoteReference"/>
          <w:rFonts w:ascii="Times New Roman" w:hAnsi="Times New Roman" w:cs="Times New Roman"/>
          <w:sz w:val="20"/>
          <w:szCs w:val="20"/>
        </w:rPr>
        <w:footnoteRef/>
      </w:r>
      <w:r w:rsidRPr="003C6D26">
        <w:rPr>
          <w:rFonts w:ascii="Times New Roman" w:hAnsi="Times New Roman" w:cs="Times New Roman"/>
          <w:sz w:val="20"/>
          <w:szCs w:val="20"/>
        </w:rPr>
        <w:t xml:space="preserve"> This programme was known as </w:t>
      </w:r>
      <w:r w:rsidRPr="003C6D26">
        <w:rPr>
          <w:rFonts w:ascii="Times New Roman" w:hAnsi="Times New Roman" w:cs="Times New Roman"/>
          <w:bCs/>
          <w:sz w:val="20"/>
          <w:szCs w:val="20"/>
        </w:rPr>
        <w:t>Auxiliary and Associated Services and sought to fund various services, including: compensation for losses on the Government-assisted housing scheme; assistance to organisations for the preservation of national memorials; and meeting protocol responsibilities for State functions.</w:t>
      </w:r>
    </w:p>
  </w:footnote>
  <w:footnote w:id="35">
    <w:p w14:paraId="486B8D32" w14:textId="77777777" w:rsidR="004B51A5" w:rsidRPr="003C6D26" w:rsidRDefault="004B51A5" w:rsidP="001170E4">
      <w:pPr>
        <w:pStyle w:val="FootnoteText"/>
        <w:spacing w:line="240" w:lineRule="exact"/>
        <w:jc w:val="both"/>
        <w:rPr>
          <w:lang w:val="en-GB"/>
        </w:rPr>
      </w:pPr>
      <w:r w:rsidRPr="003C6D26">
        <w:rPr>
          <w:rStyle w:val="FootnoteReference"/>
          <w:lang w:val="en-GB"/>
        </w:rPr>
        <w:footnoteRef/>
      </w:r>
      <w:r w:rsidRPr="003C6D26">
        <w:rPr>
          <w:lang w:val="en-GB"/>
        </w:rPr>
        <w:t xml:space="preserve"> National Treasury (2018), p. 225.</w:t>
      </w:r>
    </w:p>
  </w:footnote>
  <w:footnote w:id="36">
    <w:p w14:paraId="61149CC4" w14:textId="77777777" w:rsidR="004B51A5" w:rsidRPr="003C6D26" w:rsidRDefault="004B51A5" w:rsidP="001170E4">
      <w:pPr>
        <w:pStyle w:val="FootnoteText"/>
        <w:rPr>
          <w:lang w:val="en-GB"/>
        </w:rPr>
      </w:pPr>
      <w:r w:rsidRPr="003C6D26">
        <w:rPr>
          <w:rStyle w:val="FootnoteReference"/>
          <w:lang w:val="en-GB"/>
        </w:rPr>
        <w:footnoteRef/>
      </w:r>
      <w:r w:rsidRPr="003C6D26">
        <w:rPr>
          <w:lang w:val="en-GB"/>
        </w:rPr>
        <w:t xml:space="preserve"> National Treasury (2018), p. 225.</w:t>
      </w:r>
    </w:p>
  </w:footnote>
  <w:footnote w:id="37">
    <w:p w14:paraId="6ECEF0BA" w14:textId="77777777" w:rsidR="004B51A5" w:rsidRPr="003C6D26" w:rsidRDefault="004B51A5" w:rsidP="00A45758">
      <w:pPr>
        <w:pStyle w:val="FootnoteText"/>
        <w:spacing w:line="240" w:lineRule="exact"/>
        <w:jc w:val="both"/>
        <w:rPr>
          <w:lang w:val="en-GB"/>
        </w:rPr>
      </w:pPr>
      <w:r w:rsidRPr="003C6D26">
        <w:rPr>
          <w:rStyle w:val="FootnoteReference"/>
          <w:lang w:val="en-GB"/>
        </w:rPr>
        <w:footnoteRef/>
      </w:r>
      <w:r w:rsidRPr="003C6D26">
        <w:rPr>
          <w:lang w:val="en-GB"/>
        </w:rPr>
        <w:t xml:space="preserve"> Department of Public Works (2018), p. 62.  </w:t>
      </w:r>
    </w:p>
  </w:footnote>
  <w:footnote w:id="38">
    <w:p w14:paraId="13F6147F" w14:textId="77777777" w:rsidR="004B51A5" w:rsidRPr="003C6D26" w:rsidRDefault="004B51A5" w:rsidP="001170E4">
      <w:pPr>
        <w:pStyle w:val="FootnoteText"/>
        <w:rPr>
          <w:lang w:val="en-GB"/>
        </w:rPr>
      </w:pPr>
      <w:r w:rsidRPr="003C6D26">
        <w:rPr>
          <w:rStyle w:val="FootnoteReference"/>
          <w:lang w:val="en-GB"/>
        </w:rPr>
        <w:footnoteRef/>
      </w:r>
      <w:r w:rsidRPr="003C6D26">
        <w:rPr>
          <w:lang w:val="en-GB"/>
        </w:rPr>
        <w:t xml:space="preserve"> Department of Public Works (2018), p. 62.  </w:t>
      </w:r>
    </w:p>
  </w:footnote>
  <w:footnote w:id="39">
    <w:p w14:paraId="627D089A" w14:textId="77777777" w:rsidR="004B51A5" w:rsidRPr="003C6D26" w:rsidRDefault="004B51A5" w:rsidP="00770A0D">
      <w:pPr>
        <w:pStyle w:val="FootnoteText"/>
        <w:spacing w:line="240" w:lineRule="exact"/>
        <w:jc w:val="both"/>
      </w:pPr>
      <w:r w:rsidRPr="003C6D26">
        <w:rPr>
          <w:rStyle w:val="FootnoteReference"/>
        </w:rPr>
        <w:footnoteRef/>
      </w:r>
      <w:r w:rsidRPr="003C6D26">
        <w:t xml:space="preserve"> Department of Public Works (2016), p. 325.</w:t>
      </w:r>
    </w:p>
  </w:footnote>
  <w:footnote w:id="40">
    <w:p w14:paraId="71BFEC2F" w14:textId="77777777" w:rsidR="004B51A5" w:rsidRPr="003C6D26" w:rsidRDefault="004B51A5" w:rsidP="009F026C">
      <w:pPr>
        <w:pStyle w:val="FootnoteText"/>
        <w:rPr>
          <w:lang w:val="en-GB"/>
        </w:rPr>
      </w:pPr>
      <w:r w:rsidRPr="003C6D26">
        <w:rPr>
          <w:rStyle w:val="FootnoteReference"/>
          <w:lang w:val="en-GB"/>
        </w:rPr>
        <w:footnoteRef/>
      </w:r>
      <w:r w:rsidRPr="003C6D26">
        <w:rPr>
          <w:lang w:val="en-GB"/>
        </w:rPr>
        <w:t xml:space="preserve"> Department of Public Works (2013).</w:t>
      </w:r>
    </w:p>
  </w:footnote>
  <w:footnote w:id="41">
    <w:p w14:paraId="6AD4CB05" w14:textId="77777777" w:rsidR="004B51A5" w:rsidRPr="003A7C1A" w:rsidRDefault="004B51A5" w:rsidP="003A7C1A">
      <w:pPr>
        <w:pStyle w:val="FootnoteText"/>
        <w:rPr>
          <w:lang w:val="en-ZA"/>
        </w:rPr>
      </w:pPr>
      <w:r>
        <w:rPr>
          <w:rStyle w:val="FootnoteReference"/>
        </w:rPr>
        <w:footnoteRef/>
      </w:r>
      <w:r>
        <w:t xml:space="preserve"> </w:t>
      </w:r>
      <w:r w:rsidRPr="009F026C">
        <w:t>The PMTE has three years from the date of transfer to measure all assets and liabilities transferred in terms of GRAP 105 and Directive 2.</w:t>
      </w:r>
    </w:p>
  </w:footnote>
  <w:footnote w:id="42">
    <w:p w14:paraId="007D7A14" w14:textId="77777777" w:rsidR="004B51A5" w:rsidRPr="003C6D26" w:rsidRDefault="004B51A5" w:rsidP="004F3C80">
      <w:pPr>
        <w:pStyle w:val="FootnoteText"/>
        <w:spacing w:line="240" w:lineRule="exact"/>
        <w:jc w:val="both"/>
        <w:rPr>
          <w:lang w:val="en-GB"/>
        </w:rPr>
      </w:pPr>
      <w:r w:rsidRPr="003C6D26">
        <w:rPr>
          <w:rStyle w:val="FootnoteReference"/>
          <w:rFonts w:eastAsia="Calibri"/>
          <w:lang w:val="en-GB"/>
        </w:rPr>
        <w:footnoteRef/>
      </w:r>
      <w:r w:rsidRPr="003C6D26">
        <w:rPr>
          <w:lang w:val="en-GB"/>
        </w:rPr>
        <w:t xml:space="preserve"> National Treasury (2018), p. 228.</w:t>
      </w:r>
    </w:p>
  </w:footnote>
  <w:footnote w:id="43">
    <w:p w14:paraId="68C0FD19" w14:textId="77777777" w:rsidR="004B51A5" w:rsidRPr="003C6D26" w:rsidRDefault="004B51A5" w:rsidP="00BB1EE2">
      <w:pPr>
        <w:pStyle w:val="FootnoteText"/>
        <w:spacing w:line="240" w:lineRule="exact"/>
        <w:jc w:val="both"/>
      </w:pPr>
      <w:r w:rsidRPr="003C6D26">
        <w:rPr>
          <w:rStyle w:val="FootnoteReference"/>
          <w:rFonts w:eastAsia="Calibri"/>
        </w:rPr>
        <w:footnoteRef/>
      </w:r>
      <w:r w:rsidRPr="003C6D26">
        <w:t xml:space="preserve"> PMTE (201</w:t>
      </w:r>
      <w:r>
        <w:t>8</w:t>
      </w:r>
      <w:r w:rsidRPr="003C6D26">
        <w:t>), pp. 9</w:t>
      </w:r>
      <w:r>
        <w:t>2-93</w:t>
      </w:r>
      <w:r w:rsidRPr="003C6D26">
        <w:t>.</w:t>
      </w:r>
    </w:p>
  </w:footnote>
  <w:footnote w:id="44">
    <w:p w14:paraId="4EBA8BE3" w14:textId="77777777" w:rsidR="004B51A5" w:rsidRPr="003C6D26" w:rsidRDefault="004B51A5" w:rsidP="00BB1EE2">
      <w:pPr>
        <w:pStyle w:val="FootnoteText"/>
        <w:spacing w:line="240" w:lineRule="exact"/>
        <w:jc w:val="both"/>
        <w:rPr>
          <w:lang w:val="en-ZA"/>
        </w:rPr>
      </w:pPr>
      <w:r w:rsidRPr="003C6D26">
        <w:rPr>
          <w:rStyle w:val="FootnoteReference"/>
        </w:rPr>
        <w:footnoteRef/>
      </w:r>
      <w:r w:rsidRPr="003C6D26">
        <w:t xml:space="preserve"> </w:t>
      </w:r>
      <w:r w:rsidRPr="003C6D26">
        <w:rPr>
          <w:lang w:val="en-ZA"/>
        </w:rPr>
        <w:t>PMTE (2017), p. 44.</w:t>
      </w:r>
    </w:p>
  </w:footnote>
  <w:footnote w:id="45">
    <w:p w14:paraId="659566AB" w14:textId="77777777" w:rsidR="004B51A5" w:rsidRPr="00C54B61" w:rsidRDefault="004B51A5" w:rsidP="003C6D26">
      <w:pPr>
        <w:pStyle w:val="FootnoteText"/>
        <w:spacing w:line="240" w:lineRule="exact"/>
        <w:jc w:val="both"/>
        <w:rPr>
          <w:lang w:val="en-GB"/>
        </w:rPr>
      </w:pPr>
      <w:r w:rsidRPr="00C54B61">
        <w:rPr>
          <w:rStyle w:val="FootnoteReference"/>
          <w:rFonts w:eastAsia="Calibri"/>
          <w:lang w:val="en-GB"/>
        </w:rPr>
        <w:footnoteRef/>
      </w:r>
      <w:r w:rsidRPr="00C54B61">
        <w:rPr>
          <w:lang w:val="en-GB"/>
        </w:rPr>
        <w:t xml:space="preserve"> National Treasury (2018), p. 228.</w:t>
      </w:r>
    </w:p>
  </w:footnote>
  <w:footnote w:id="46">
    <w:p w14:paraId="2F909AD8" w14:textId="77777777" w:rsidR="004B51A5" w:rsidRPr="00C54B61" w:rsidRDefault="004B51A5" w:rsidP="003C6D26">
      <w:pPr>
        <w:pStyle w:val="FootnoteText"/>
        <w:spacing w:line="240" w:lineRule="exact"/>
        <w:jc w:val="both"/>
        <w:rPr>
          <w:lang w:val="en-GB"/>
        </w:rPr>
      </w:pPr>
      <w:r w:rsidRPr="00C54B61">
        <w:rPr>
          <w:rStyle w:val="FootnoteReference"/>
          <w:lang w:val="en-GB"/>
        </w:rPr>
        <w:footnoteRef/>
      </w:r>
      <w:r w:rsidRPr="00C54B61">
        <w:rPr>
          <w:lang w:val="en-GB"/>
        </w:rPr>
        <w:t xml:space="preserve"> PMTE (2018), p. 98.</w:t>
      </w:r>
    </w:p>
  </w:footnote>
  <w:footnote w:id="47">
    <w:p w14:paraId="59911973" w14:textId="77777777" w:rsidR="004B51A5" w:rsidRPr="00C54B61" w:rsidRDefault="004B51A5" w:rsidP="003C6D26">
      <w:pPr>
        <w:pStyle w:val="FootnoteText"/>
        <w:spacing w:line="240" w:lineRule="exact"/>
        <w:jc w:val="both"/>
        <w:rPr>
          <w:lang w:val="en-GB"/>
        </w:rPr>
      </w:pPr>
      <w:r w:rsidRPr="00C54B61">
        <w:rPr>
          <w:rStyle w:val="FootnoteReference"/>
          <w:lang w:val="en-GB"/>
        </w:rPr>
        <w:footnoteRef/>
      </w:r>
      <w:r w:rsidRPr="00C54B61">
        <w:rPr>
          <w:lang w:val="en-GB"/>
        </w:rPr>
        <w:t xml:space="preserve"> PMTE (2018), pp. 89-99.</w:t>
      </w:r>
    </w:p>
  </w:footnote>
  <w:footnote w:id="48">
    <w:p w14:paraId="2E8A2779" w14:textId="77777777" w:rsidR="004B51A5" w:rsidRPr="00C54B61" w:rsidRDefault="004B51A5" w:rsidP="00BD573D">
      <w:pPr>
        <w:pStyle w:val="FootnoteText"/>
        <w:spacing w:line="240" w:lineRule="exact"/>
        <w:jc w:val="both"/>
        <w:rPr>
          <w:lang w:val="en-GB"/>
        </w:rPr>
      </w:pPr>
      <w:r w:rsidRPr="00C54B61">
        <w:rPr>
          <w:rStyle w:val="FootnoteReference"/>
          <w:rFonts w:eastAsia="Calibri"/>
          <w:lang w:val="en-GB"/>
        </w:rPr>
        <w:footnoteRef/>
      </w:r>
      <w:r w:rsidRPr="00C54B61">
        <w:rPr>
          <w:lang w:val="en-GB"/>
        </w:rPr>
        <w:t xml:space="preserve"> PMTE (2018), pp. 103-104.</w:t>
      </w:r>
    </w:p>
  </w:footnote>
  <w:footnote w:id="49">
    <w:p w14:paraId="05190682" w14:textId="77777777" w:rsidR="004B51A5" w:rsidRPr="00C54B61" w:rsidRDefault="004B51A5" w:rsidP="00020E4F">
      <w:pPr>
        <w:pStyle w:val="FootnoteText"/>
        <w:spacing w:line="240" w:lineRule="exact"/>
        <w:jc w:val="both"/>
        <w:rPr>
          <w:lang w:val="en-GB"/>
        </w:rPr>
      </w:pPr>
      <w:r w:rsidRPr="00C54B61">
        <w:rPr>
          <w:rStyle w:val="FootnoteReference"/>
          <w:rFonts w:eastAsia="Calibri"/>
          <w:lang w:val="en-GB"/>
        </w:rPr>
        <w:footnoteRef/>
      </w:r>
      <w:r w:rsidRPr="00C54B61">
        <w:rPr>
          <w:lang w:val="en-GB"/>
        </w:rPr>
        <w:t xml:space="preserve"> PMTE (2018), pp. 108-110.</w:t>
      </w:r>
    </w:p>
  </w:footnote>
  <w:footnote w:id="50">
    <w:p w14:paraId="2C1B4986" w14:textId="77777777" w:rsidR="004B51A5" w:rsidRPr="00C54B61" w:rsidRDefault="004B51A5" w:rsidP="004820B3">
      <w:pPr>
        <w:pStyle w:val="FootnoteText"/>
        <w:spacing w:line="240" w:lineRule="exact"/>
        <w:jc w:val="both"/>
        <w:rPr>
          <w:lang w:val="en-GB"/>
        </w:rPr>
      </w:pPr>
      <w:r w:rsidRPr="00C54B61">
        <w:rPr>
          <w:rStyle w:val="FootnoteReference"/>
          <w:rFonts w:eastAsia="Calibri"/>
          <w:lang w:val="en-GB"/>
        </w:rPr>
        <w:footnoteRef/>
      </w:r>
      <w:r w:rsidRPr="00C54B61">
        <w:rPr>
          <w:lang w:val="en-GB"/>
        </w:rPr>
        <w:t xml:space="preserve"> PMTE (2018), pp. 114-115.</w:t>
      </w:r>
    </w:p>
  </w:footnote>
  <w:footnote w:id="51">
    <w:p w14:paraId="2DE0582C" w14:textId="77777777" w:rsidR="004B51A5" w:rsidRPr="00C54B61" w:rsidRDefault="004B51A5" w:rsidP="00EC7041">
      <w:pPr>
        <w:pStyle w:val="FootnoteText"/>
        <w:spacing w:line="240" w:lineRule="exact"/>
        <w:jc w:val="both"/>
        <w:rPr>
          <w:lang w:val="en-GB"/>
        </w:rPr>
      </w:pPr>
      <w:r w:rsidRPr="00C54B61">
        <w:rPr>
          <w:rStyle w:val="FootnoteReference"/>
          <w:rFonts w:eastAsia="Calibri"/>
          <w:lang w:val="en-GB"/>
        </w:rPr>
        <w:footnoteRef/>
      </w:r>
      <w:r w:rsidRPr="00C54B61">
        <w:rPr>
          <w:lang w:val="en-GB"/>
        </w:rPr>
        <w:t xml:space="preserve"> PMTE (2018), pp. 118 - 119.</w:t>
      </w:r>
    </w:p>
  </w:footnote>
  <w:footnote w:id="52">
    <w:p w14:paraId="12A35632" w14:textId="77777777" w:rsidR="004B51A5" w:rsidRPr="00C54B61" w:rsidRDefault="004B51A5" w:rsidP="00A83E93">
      <w:pPr>
        <w:pStyle w:val="FootnoteText"/>
        <w:rPr>
          <w:lang w:val="en-GB"/>
        </w:rPr>
      </w:pPr>
      <w:r w:rsidRPr="00C54B61">
        <w:rPr>
          <w:rStyle w:val="FootnoteReference"/>
          <w:lang w:val="en-GB"/>
        </w:rPr>
        <w:footnoteRef/>
      </w:r>
      <w:r w:rsidRPr="00C54B61">
        <w:rPr>
          <w:lang w:val="en-GB"/>
        </w:rPr>
        <w:t xml:space="preserve"> PMTE (2018), p. 72.</w:t>
      </w:r>
    </w:p>
  </w:footnote>
  <w:footnote w:id="53">
    <w:p w14:paraId="1F2E7736" w14:textId="77777777" w:rsidR="004B51A5" w:rsidRPr="00C54B61" w:rsidRDefault="004B51A5" w:rsidP="00A83E93">
      <w:pPr>
        <w:pStyle w:val="FootnoteText"/>
        <w:rPr>
          <w:lang w:val="en-GB"/>
        </w:rPr>
      </w:pPr>
      <w:r w:rsidRPr="00C54B61">
        <w:rPr>
          <w:rStyle w:val="FootnoteReference"/>
          <w:lang w:val="en-GB"/>
        </w:rPr>
        <w:footnoteRef/>
      </w:r>
      <w:r w:rsidRPr="00C54B61">
        <w:rPr>
          <w:lang w:val="en-GB"/>
        </w:rPr>
        <w:t xml:space="preserve"> PMTE (2018), p. 72.</w:t>
      </w:r>
      <w:r>
        <w:rPr>
          <w:lang w:val="en-GB"/>
        </w:rPr>
        <w:t xml:space="preserve"> The other User Departments are</w:t>
      </w:r>
      <w:r w:rsidRPr="00C54B61">
        <w:rPr>
          <w:lang w:val="en-GB"/>
        </w:rPr>
        <w:t xml:space="preserve"> </w:t>
      </w:r>
      <w:r>
        <w:rPr>
          <w:lang w:val="en-GB"/>
        </w:rPr>
        <w:t xml:space="preserve">the Departments of </w:t>
      </w:r>
      <w:r w:rsidRPr="00C54B61">
        <w:rPr>
          <w:lang w:val="en-GB"/>
        </w:rPr>
        <w:t>Defence</w:t>
      </w:r>
      <w:r>
        <w:rPr>
          <w:lang w:val="en-GB"/>
        </w:rPr>
        <w:t>,</w:t>
      </w:r>
      <w:r w:rsidRPr="00C54B61">
        <w:rPr>
          <w:lang w:val="en-GB"/>
        </w:rPr>
        <w:t xml:space="preserve"> Justice and Constitut</w:t>
      </w:r>
      <w:r>
        <w:rPr>
          <w:lang w:val="en-GB"/>
        </w:rPr>
        <w:t>ional Development, Correctional Services, National School of Government,</w:t>
      </w:r>
      <w:r w:rsidRPr="00C54B61">
        <w:rPr>
          <w:lang w:val="en-GB"/>
        </w:rPr>
        <w:t xml:space="preserve"> Labour and Environmental Affairs.</w:t>
      </w:r>
    </w:p>
  </w:footnote>
  <w:footnote w:id="54">
    <w:p w14:paraId="54A00B30" w14:textId="77777777" w:rsidR="004B51A5" w:rsidRPr="00C54B61" w:rsidRDefault="004B51A5" w:rsidP="00A83E93">
      <w:pPr>
        <w:pStyle w:val="FootnoteText"/>
        <w:rPr>
          <w:lang w:val="en-GB"/>
        </w:rPr>
      </w:pPr>
      <w:r w:rsidRPr="00C54B61">
        <w:rPr>
          <w:rStyle w:val="FootnoteReference"/>
          <w:lang w:val="en-GB"/>
        </w:rPr>
        <w:footnoteRef/>
      </w:r>
      <w:r w:rsidRPr="00C54B61">
        <w:rPr>
          <w:lang w:val="en-GB"/>
        </w:rPr>
        <w:t xml:space="preserve"> PMTE (2018), p. 72. The User Departments requiring new-leased accommodation include</w:t>
      </w:r>
      <w:r>
        <w:rPr>
          <w:lang w:val="en-GB"/>
        </w:rPr>
        <w:t xml:space="preserve"> the SAPS,</w:t>
      </w:r>
      <w:r w:rsidRPr="00C54B61">
        <w:rPr>
          <w:lang w:val="en-GB"/>
        </w:rPr>
        <w:t xml:space="preserve"> </w:t>
      </w:r>
      <w:r>
        <w:rPr>
          <w:lang w:val="en-GB"/>
        </w:rPr>
        <w:t xml:space="preserve">Departments of </w:t>
      </w:r>
      <w:r w:rsidRPr="00C54B61">
        <w:rPr>
          <w:lang w:val="en-GB"/>
        </w:rPr>
        <w:t>Ru</w:t>
      </w:r>
      <w:r>
        <w:rPr>
          <w:lang w:val="en-GB"/>
        </w:rPr>
        <w:t>ral Development and Land Reform,</w:t>
      </w:r>
      <w:r w:rsidRPr="00C54B61">
        <w:rPr>
          <w:lang w:val="en-GB"/>
        </w:rPr>
        <w:t xml:space="preserve"> Health</w:t>
      </w:r>
      <w:r>
        <w:rPr>
          <w:lang w:val="en-GB"/>
        </w:rPr>
        <w:t>, Labour,</w:t>
      </w:r>
      <w:r w:rsidRPr="00C54B61">
        <w:rPr>
          <w:lang w:val="en-GB"/>
        </w:rPr>
        <w:t xml:space="preserve"> Home Affairs and Agriculture, Forestry and Fisheries.</w:t>
      </w:r>
    </w:p>
  </w:footnote>
  <w:footnote w:id="55">
    <w:p w14:paraId="1ADA0F99" w14:textId="77777777" w:rsidR="004B51A5" w:rsidRPr="00CC18DD" w:rsidRDefault="004B51A5" w:rsidP="00797E34">
      <w:pPr>
        <w:pStyle w:val="FootnoteText"/>
        <w:rPr>
          <w:rFonts w:ascii="Arial" w:hAnsi="Arial" w:cs="Arial"/>
          <w:lang w:val="en-GB"/>
        </w:rPr>
      </w:pPr>
      <w:r w:rsidRPr="00CC18DD">
        <w:rPr>
          <w:rStyle w:val="FootnoteReference"/>
          <w:rFonts w:ascii="Arial" w:hAnsi="Arial" w:cs="Arial"/>
          <w:lang w:val="en-GB"/>
        </w:rPr>
        <w:footnoteRef/>
      </w:r>
      <w:r w:rsidRPr="00CC18DD">
        <w:rPr>
          <w:rFonts w:ascii="Arial" w:hAnsi="Arial" w:cs="Arial"/>
          <w:lang w:val="en-GB"/>
        </w:rPr>
        <w:t xml:space="preserve"> PMTE (2018), p. 126.</w:t>
      </w:r>
    </w:p>
  </w:footnote>
  <w:footnote w:id="56">
    <w:p w14:paraId="3A952E49" w14:textId="77777777" w:rsidR="004B51A5" w:rsidRPr="00C54B61" w:rsidRDefault="004B51A5" w:rsidP="00845897">
      <w:pPr>
        <w:pStyle w:val="FootnoteText"/>
        <w:spacing w:line="240" w:lineRule="exact"/>
        <w:jc w:val="both"/>
        <w:rPr>
          <w:lang w:val="en-GB"/>
        </w:rPr>
      </w:pPr>
      <w:r w:rsidRPr="00C54B61">
        <w:rPr>
          <w:rStyle w:val="FootnoteReference"/>
          <w:lang w:val="en-GB"/>
        </w:rPr>
        <w:footnoteRef/>
      </w:r>
      <w:r w:rsidRPr="00C54B61">
        <w:rPr>
          <w:lang w:val="en-GB"/>
        </w:rPr>
        <w:t xml:space="preserve"> PMTE (2018), p. 81.</w:t>
      </w:r>
    </w:p>
  </w:footnote>
  <w:footnote w:id="57">
    <w:p w14:paraId="081D67DC" w14:textId="1518BC3C" w:rsidR="004B51A5" w:rsidRPr="00091DAB" w:rsidRDefault="004B51A5" w:rsidP="00845897">
      <w:pPr>
        <w:pStyle w:val="FootnoteText"/>
        <w:rPr>
          <w:lang w:val="en-GB"/>
        </w:rPr>
      </w:pPr>
      <w:r w:rsidRPr="00091DAB">
        <w:rPr>
          <w:rStyle w:val="FootnoteReference"/>
          <w:lang w:val="en-GB"/>
        </w:rPr>
        <w:footnoteRef/>
      </w:r>
      <w:r w:rsidRPr="00091DAB">
        <w:rPr>
          <w:lang w:val="en-GB"/>
        </w:rPr>
        <w:t xml:space="preserve"> PMTE (2018), p. 81. The Capacity Building Programmes include: Facilities Management</w:t>
      </w:r>
      <w:r>
        <w:rPr>
          <w:lang w:val="en-GB"/>
        </w:rPr>
        <w:t>,</w:t>
      </w:r>
      <w:r w:rsidRPr="00091DAB">
        <w:rPr>
          <w:lang w:val="en-GB"/>
        </w:rPr>
        <w:t xml:space="preserve"> Property Management</w:t>
      </w:r>
      <w:r>
        <w:rPr>
          <w:lang w:val="en-GB"/>
        </w:rPr>
        <w:t>,</w:t>
      </w:r>
      <w:r w:rsidRPr="00091DAB">
        <w:rPr>
          <w:lang w:val="en-GB"/>
        </w:rPr>
        <w:t xml:space="preserve"> Construction Management</w:t>
      </w:r>
      <w:r>
        <w:rPr>
          <w:lang w:val="en-GB"/>
        </w:rPr>
        <w:t>,</w:t>
      </w:r>
      <w:r w:rsidRPr="00091DAB">
        <w:rPr>
          <w:lang w:val="en-GB"/>
        </w:rPr>
        <w:t xml:space="preserve"> Certificates for Co</w:t>
      </w:r>
      <w:r>
        <w:rPr>
          <w:lang w:val="en-GB"/>
        </w:rPr>
        <w:t>mmercial Property Practitioners,</w:t>
      </w:r>
      <w:r w:rsidRPr="00091DAB">
        <w:rPr>
          <w:lang w:val="en-GB"/>
        </w:rPr>
        <w:t xml:space="preserve"> and Property Development. </w:t>
      </w:r>
    </w:p>
  </w:footnote>
  <w:footnote w:id="58">
    <w:p w14:paraId="6B262562" w14:textId="77777777" w:rsidR="004B51A5" w:rsidRPr="00091DAB" w:rsidRDefault="004B51A5" w:rsidP="00845897">
      <w:pPr>
        <w:pStyle w:val="FootnoteText"/>
        <w:spacing w:line="240" w:lineRule="exact"/>
        <w:jc w:val="both"/>
        <w:rPr>
          <w:lang w:val="en-GB"/>
        </w:rPr>
      </w:pPr>
      <w:r w:rsidRPr="00091DAB">
        <w:rPr>
          <w:rStyle w:val="FootnoteReference"/>
          <w:lang w:val="en-GB"/>
        </w:rPr>
        <w:footnoteRef/>
      </w:r>
      <w:r w:rsidRPr="00091DAB">
        <w:rPr>
          <w:lang w:val="en-GB"/>
        </w:rPr>
        <w:t xml:space="preserve"> PMTE (2018), p. 81.</w:t>
      </w:r>
    </w:p>
  </w:footnote>
  <w:footnote w:id="59">
    <w:p w14:paraId="3174FEDD" w14:textId="77777777" w:rsidR="004B51A5" w:rsidRPr="00091DAB" w:rsidRDefault="004B51A5" w:rsidP="00845897">
      <w:pPr>
        <w:pStyle w:val="FootnoteText"/>
        <w:rPr>
          <w:lang w:val="en-GB"/>
        </w:rPr>
      </w:pPr>
      <w:r w:rsidRPr="00091DAB">
        <w:rPr>
          <w:rStyle w:val="FootnoteReference"/>
          <w:lang w:val="en-GB"/>
        </w:rPr>
        <w:footnoteRef/>
      </w:r>
      <w:r w:rsidRPr="00091DAB">
        <w:rPr>
          <w:lang w:val="en-GB"/>
        </w:rPr>
        <w:t xml:space="preserve"> PMTE (2018), p. 81.</w:t>
      </w:r>
    </w:p>
  </w:footnote>
  <w:footnote w:id="60">
    <w:p w14:paraId="70622B3D" w14:textId="77777777" w:rsidR="004B51A5" w:rsidRPr="00CE3C38" w:rsidRDefault="004B51A5" w:rsidP="00BB1EE2">
      <w:pPr>
        <w:pStyle w:val="FootnoteText"/>
        <w:rPr>
          <w:sz w:val="18"/>
          <w:szCs w:val="18"/>
        </w:rPr>
      </w:pPr>
      <w:r w:rsidRPr="00CE3C38">
        <w:rPr>
          <w:rStyle w:val="FootnoteReference"/>
          <w:sz w:val="18"/>
          <w:szCs w:val="18"/>
        </w:rPr>
        <w:footnoteRef/>
      </w:r>
      <w:r w:rsidRPr="00CE3C38">
        <w:rPr>
          <w:sz w:val="18"/>
          <w:szCs w:val="18"/>
        </w:rPr>
        <w:t xml:space="preserve"> Agrément SA (2017), p. ii.</w:t>
      </w:r>
    </w:p>
  </w:footnote>
  <w:footnote w:id="61">
    <w:p w14:paraId="0121C3E4" w14:textId="77777777" w:rsidR="004B51A5" w:rsidRPr="00E40272" w:rsidRDefault="004B51A5" w:rsidP="00BB1EE2">
      <w:pPr>
        <w:pStyle w:val="FootnoteText"/>
        <w:rPr>
          <w:sz w:val="18"/>
          <w:szCs w:val="18"/>
        </w:rPr>
      </w:pPr>
      <w:r w:rsidRPr="00E40272">
        <w:rPr>
          <w:rStyle w:val="FootnoteReference"/>
          <w:sz w:val="18"/>
          <w:szCs w:val="18"/>
        </w:rPr>
        <w:footnoteRef/>
      </w:r>
      <w:r w:rsidRPr="00E40272">
        <w:rPr>
          <w:sz w:val="18"/>
          <w:szCs w:val="18"/>
        </w:rPr>
        <w:t xml:space="preserve"> </w:t>
      </w:r>
      <w:r w:rsidRPr="00CE3C38">
        <w:rPr>
          <w:sz w:val="18"/>
          <w:szCs w:val="18"/>
        </w:rPr>
        <w:t>Agrément SA (2017), p</w:t>
      </w:r>
      <w:r w:rsidRPr="00E40272">
        <w:rPr>
          <w:sz w:val="18"/>
          <w:szCs w:val="18"/>
        </w:rPr>
        <w:t>. 8.</w:t>
      </w:r>
    </w:p>
  </w:footnote>
  <w:footnote w:id="62">
    <w:p w14:paraId="0764B7B5" w14:textId="77777777" w:rsidR="004B51A5" w:rsidRPr="00E40272" w:rsidRDefault="004B51A5" w:rsidP="00BB1EE2">
      <w:pPr>
        <w:pStyle w:val="FootnoteText"/>
        <w:rPr>
          <w:sz w:val="18"/>
          <w:szCs w:val="18"/>
        </w:rPr>
      </w:pPr>
      <w:r w:rsidRPr="00CE3C38">
        <w:rPr>
          <w:rStyle w:val="FootnoteReference"/>
          <w:sz w:val="18"/>
          <w:szCs w:val="18"/>
        </w:rPr>
        <w:footnoteRef/>
      </w:r>
      <w:r w:rsidRPr="00CE3C38">
        <w:rPr>
          <w:sz w:val="18"/>
          <w:szCs w:val="18"/>
        </w:rPr>
        <w:t xml:space="preserve"> Agrément SA (2017), p</w:t>
      </w:r>
      <w:r w:rsidRPr="00E40272">
        <w:rPr>
          <w:sz w:val="18"/>
          <w:szCs w:val="18"/>
        </w:rPr>
        <w:t>p. 18-19.</w:t>
      </w:r>
    </w:p>
  </w:footnote>
  <w:footnote w:id="63">
    <w:p w14:paraId="3DE83EDF" w14:textId="77777777" w:rsidR="004B51A5" w:rsidRPr="00050BC8" w:rsidRDefault="004B51A5" w:rsidP="00BB1EE2">
      <w:pPr>
        <w:pStyle w:val="FootnoteText"/>
        <w:rPr>
          <w:sz w:val="18"/>
          <w:szCs w:val="18"/>
          <w:lang w:val="en-GB"/>
        </w:rPr>
      </w:pPr>
      <w:r w:rsidRPr="00050BC8">
        <w:rPr>
          <w:rStyle w:val="FootnoteReference"/>
          <w:sz w:val="18"/>
          <w:szCs w:val="18"/>
        </w:rPr>
        <w:footnoteRef/>
      </w:r>
      <w:r w:rsidRPr="00050BC8">
        <w:rPr>
          <w:sz w:val="18"/>
          <w:szCs w:val="18"/>
        </w:rPr>
        <w:t xml:space="preserve"> </w:t>
      </w:r>
      <w:r w:rsidRPr="00050BC8">
        <w:rPr>
          <w:sz w:val="18"/>
          <w:szCs w:val="18"/>
          <w:lang w:val="fr-FR"/>
        </w:rPr>
        <w:t>Agrément SA, (2017), p. 11.</w:t>
      </w:r>
    </w:p>
  </w:footnote>
  <w:footnote w:id="64">
    <w:p w14:paraId="11C0C51F" w14:textId="77777777" w:rsidR="004B51A5" w:rsidRPr="00050BC8" w:rsidRDefault="004B51A5" w:rsidP="00BB1EE2">
      <w:pPr>
        <w:pStyle w:val="FootnoteText"/>
        <w:rPr>
          <w:sz w:val="18"/>
          <w:szCs w:val="18"/>
        </w:rPr>
      </w:pPr>
      <w:r w:rsidRPr="00050BC8">
        <w:rPr>
          <w:rStyle w:val="FootnoteReference"/>
          <w:sz w:val="18"/>
          <w:szCs w:val="18"/>
        </w:rPr>
        <w:footnoteRef/>
      </w:r>
      <w:r w:rsidRPr="00050BC8">
        <w:rPr>
          <w:sz w:val="18"/>
          <w:szCs w:val="18"/>
        </w:rPr>
        <w:t xml:space="preserve"> </w:t>
      </w:r>
      <w:r w:rsidRPr="00050BC8">
        <w:rPr>
          <w:sz w:val="18"/>
          <w:szCs w:val="18"/>
          <w:lang w:val="fr-FR"/>
        </w:rPr>
        <w:t xml:space="preserve">Agrément SA, (2017), p. 30. The </w:t>
      </w:r>
      <w:r w:rsidRPr="00050BC8">
        <w:rPr>
          <w:sz w:val="18"/>
          <w:szCs w:val="18"/>
        </w:rPr>
        <w:t>South African Bureau of Standards (SABS) is a statutory body established in terms of the Standards Act (No. 29 of 2008). It is the national institute for the promotion and maintenance of standardisation and quality in connection with commodities and the rendering of services.</w:t>
      </w:r>
    </w:p>
  </w:footnote>
  <w:footnote w:id="65">
    <w:p w14:paraId="2B56F8CD" w14:textId="77777777" w:rsidR="004B51A5" w:rsidRPr="00050BC8" w:rsidRDefault="004B51A5" w:rsidP="00BB1EE2">
      <w:pPr>
        <w:snapToGrid w:val="0"/>
        <w:spacing w:line="240" w:lineRule="exact"/>
        <w:rPr>
          <w:rFonts w:ascii="Times New Roman" w:hAnsi="Times New Roman" w:cs="Times New Roman"/>
          <w:sz w:val="18"/>
        </w:rPr>
      </w:pPr>
      <w:r w:rsidRPr="00050BC8">
        <w:rPr>
          <w:rFonts w:ascii="Times New Roman" w:hAnsi="Times New Roman" w:cs="Times New Roman"/>
          <w:sz w:val="18"/>
          <w:vertAlign w:val="superscript"/>
        </w:rPr>
        <w:footnoteRef/>
      </w:r>
      <w:r w:rsidRPr="00050BC8">
        <w:rPr>
          <w:rFonts w:ascii="Times New Roman" w:hAnsi="Times New Roman" w:cs="Times New Roman"/>
          <w:sz w:val="18"/>
          <w:vertAlign w:val="superscript"/>
        </w:rPr>
        <w:t xml:space="preserve">  </w:t>
      </w:r>
      <w:r w:rsidRPr="00050BC8">
        <w:rPr>
          <w:rFonts w:ascii="Times New Roman" w:hAnsi="Times New Roman" w:cs="Times New Roman"/>
          <w:sz w:val="18"/>
        </w:rPr>
        <w:t xml:space="preserve"> Agrément SA, (2015), pp.13-14. Agrément South Africa is one of 23 member organisations from 22 countries across the global market that is internationally affiliated through its membership of the World Federation of Technical Assessment Organisations (WFTAO). These member countries include: Australia, Brazil, the Czech Republic, Canada, Denmark, Finland, France, Germany, Hungary, Ireland, Israel, Japan, New Zealand, Norway, Poland, Portugal, Romania, the Russian Federation, Spain, United Kingdom and the United States.  </w:t>
      </w:r>
    </w:p>
  </w:footnote>
  <w:footnote w:id="66">
    <w:p w14:paraId="42938F56" w14:textId="77777777" w:rsidR="004B51A5" w:rsidRPr="00050BC8" w:rsidRDefault="004B51A5" w:rsidP="00BB1EE2">
      <w:pPr>
        <w:snapToGrid w:val="0"/>
        <w:spacing w:line="240" w:lineRule="exact"/>
        <w:rPr>
          <w:rFonts w:ascii="Times New Roman" w:hAnsi="Times New Roman" w:cs="Times New Roman"/>
          <w:sz w:val="18"/>
        </w:rPr>
      </w:pPr>
      <w:r w:rsidRPr="00050BC8">
        <w:rPr>
          <w:rFonts w:ascii="Times New Roman" w:hAnsi="Times New Roman" w:cs="Times New Roman"/>
          <w:sz w:val="18"/>
          <w:vertAlign w:val="superscript"/>
        </w:rPr>
        <w:footnoteRef/>
      </w:r>
      <w:r w:rsidRPr="00050BC8">
        <w:rPr>
          <w:rFonts w:ascii="Times New Roman" w:hAnsi="Times New Roman" w:cs="Times New Roman"/>
          <w:sz w:val="18"/>
          <w:vertAlign w:val="superscript"/>
        </w:rPr>
        <w:t xml:space="preserve">  </w:t>
      </w:r>
      <w:r w:rsidRPr="00050BC8">
        <w:rPr>
          <w:rFonts w:ascii="Times New Roman" w:hAnsi="Times New Roman" w:cs="Times New Roman"/>
          <w:sz w:val="18"/>
        </w:rPr>
        <w:t xml:space="preserve"> Agrément SA, (2015), p. 10. The World Federation of Technical Assessment Organisations is comprised of “officially recognized bodies active in the field of technical assessments for construction products and systems.” </w:t>
      </w:r>
    </w:p>
  </w:footnote>
  <w:footnote w:id="67">
    <w:p w14:paraId="31EEBF4B" w14:textId="77777777" w:rsidR="004B51A5" w:rsidRPr="00E40272" w:rsidRDefault="004B51A5" w:rsidP="00BB1EE2">
      <w:pPr>
        <w:snapToGrid w:val="0"/>
        <w:rPr>
          <w:sz w:val="18"/>
        </w:rPr>
      </w:pPr>
      <w:r w:rsidRPr="00CE3C38">
        <w:rPr>
          <w:sz w:val="18"/>
          <w:vertAlign w:val="superscript"/>
        </w:rPr>
        <w:footnoteRef/>
      </w:r>
      <w:r w:rsidRPr="00CE3C38">
        <w:rPr>
          <w:sz w:val="18"/>
          <w:vertAlign w:val="superscript"/>
        </w:rPr>
        <w:t xml:space="preserve">  </w:t>
      </w:r>
      <w:r w:rsidRPr="00CE3C38">
        <w:rPr>
          <w:sz w:val="18"/>
        </w:rPr>
        <w:t xml:space="preserve"> Agrément SA (2015), p. 9.</w:t>
      </w:r>
    </w:p>
  </w:footnote>
  <w:footnote w:id="68">
    <w:p w14:paraId="2F2D6D0D" w14:textId="77777777" w:rsidR="004B51A5" w:rsidRPr="00E40272" w:rsidRDefault="004B51A5" w:rsidP="00BB1EE2">
      <w:pPr>
        <w:pStyle w:val="FootnoteText"/>
        <w:rPr>
          <w:sz w:val="18"/>
          <w:szCs w:val="18"/>
        </w:rPr>
      </w:pPr>
      <w:r w:rsidRPr="00CE3C38">
        <w:rPr>
          <w:rStyle w:val="FootnoteReference"/>
          <w:sz w:val="18"/>
          <w:szCs w:val="18"/>
        </w:rPr>
        <w:footnoteRef/>
      </w:r>
      <w:r w:rsidRPr="00CE3C38">
        <w:rPr>
          <w:sz w:val="18"/>
          <w:szCs w:val="18"/>
        </w:rPr>
        <w:t xml:space="preserve"> </w:t>
      </w:r>
      <w:r>
        <w:rPr>
          <w:sz w:val="18"/>
          <w:szCs w:val="18"/>
        </w:rPr>
        <w:t xml:space="preserve">Table taken from slide 29 of </w:t>
      </w:r>
      <w:r>
        <w:rPr>
          <w:sz w:val="18"/>
          <w:szCs w:val="18"/>
          <w:lang w:val="fr-FR"/>
        </w:rPr>
        <w:t>Agrément SA’s presentation on the 2018/19 APP</w:t>
      </w:r>
      <w:r w:rsidRPr="00E40272">
        <w:rPr>
          <w:sz w:val="18"/>
          <w:szCs w:val="18"/>
          <w:lang w:val="fr-FR"/>
        </w:rPr>
        <w:t>.</w:t>
      </w:r>
    </w:p>
  </w:footnote>
  <w:footnote w:id="69">
    <w:p w14:paraId="7CBD462A" w14:textId="77777777" w:rsidR="004B51A5" w:rsidRPr="00E40272" w:rsidRDefault="004B51A5" w:rsidP="00BB1EE2">
      <w:pPr>
        <w:pStyle w:val="FootnoteText"/>
        <w:rPr>
          <w:sz w:val="18"/>
          <w:szCs w:val="18"/>
        </w:rPr>
      </w:pPr>
      <w:r w:rsidRPr="00E40272">
        <w:rPr>
          <w:rStyle w:val="FootnoteReference"/>
          <w:sz w:val="18"/>
          <w:szCs w:val="18"/>
        </w:rPr>
        <w:footnoteRef/>
      </w:r>
      <w:r w:rsidRPr="00E40272">
        <w:rPr>
          <w:sz w:val="18"/>
          <w:szCs w:val="18"/>
        </w:rPr>
        <w:t xml:space="preserve"> </w:t>
      </w:r>
      <w:r w:rsidRPr="00CE3C38">
        <w:rPr>
          <w:sz w:val="18"/>
          <w:szCs w:val="18"/>
          <w:lang w:val="fr-FR"/>
        </w:rPr>
        <w:t>Agrément SA, (2017), p. 55</w:t>
      </w:r>
      <w:r w:rsidRPr="00E40272">
        <w:rPr>
          <w:sz w:val="18"/>
          <w:szCs w:val="18"/>
          <w:lang w:val="fr-FR"/>
        </w:rPr>
        <w:t>.</w:t>
      </w:r>
    </w:p>
  </w:footnote>
  <w:footnote w:id="70">
    <w:p w14:paraId="0439AD2D" w14:textId="77777777" w:rsidR="004B51A5" w:rsidRPr="000E4806" w:rsidRDefault="004B51A5" w:rsidP="00BB1EE2">
      <w:pPr>
        <w:pStyle w:val="FootnoteText"/>
        <w:rPr>
          <w:lang w:val="en-ZA"/>
        </w:rPr>
      </w:pPr>
      <w:r>
        <w:rPr>
          <w:rStyle w:val="FootnoteReference"/>
        </w:rPr>
        <w:footnoteRef/>
      </w:r>
      <w:r>
        <w:t xml:space="preserve"> </w:t>
      </w:r>
      <w:r w:rsidRPr="000E4806">
        <w:t>http://www.gov.za/sites/www.gov.za/files/PICC_Final.pdf</w:t>
      </w:r>
    </w:p>
  </w:footnote>
  <w:footnote w:id="71">
    <w:p w14:paraId="33B54AD3" w14:textId="77777777" w:rsidR="004B51A5" w:rsidRPr="00F42014" w:rsidRDefault="004B51A5" w:rsidP="00BB1EE2">
      <w:pPr>
        <w:pStyle w:val="FootnoteText"/>
        <w:rPr>
          <w:lang w:val="en-ZA"/>
        </w:rPr>
      </w:pPr>
      <w:r>
        <w:rPr>
          <w:rStyle w:val="FootnoteReference"/>
        </w:rPr>
        <w:footnoteRef/>
      </w:r>
      <w:r>
        <w:t xml:space="preserve"> </w:t>
      </w:r>
      <w:r w:rsidRPr="00F42014">
        <w:t>http://www.publicworks.gov.za/PDFs/Speeches/Minister/Launch_for_SIP_13.pdf</w:t>
      </w:r>
    </w:p>
  </w:footnote>
  <w:footnote w:id="72">
    <w:p w14:paraId="4D045253" w14:textId="77777777" w:rsidR="004B51A5" w:rsidRDefault="004B51A5" w:rsidP="00BB1EE2">
      <w:pPr>
        <w:pStyle w:val="FootnoteText"/>
      </w:pPr>
      <w:r>
        <w:rPr>
          <w:rStyle w:val="FootnoteReference"/>
        </w:rPr>
        <w:footnoteRef/>
      </w:r>
      <w:r>
        <w:t xml:space="preserve"> </w:t>
      </w:r>
      <w:r w:rsidRPr="009E66D3">
        <w:rPr>
          <w:sz w:val="18"/>
          <w:szCs w:val="18"/>
          <w:lang w:val="en-GB"/>
        </w:rPr>
        <w:t xml:space="preserve">IDT (2017), p. </w:t>
      </w:r>
      <w:r>
        <w:rPr>
          <w:sz w:val="18"/>
          <w:szCs w:val="18"/>
          <w:lang w:val="en-GB"/>
        </w:rPr>
        <w:t>16</w:t>
      </w:r>
      <w:r w:rsidRPr="009E66D3">
        <w:rPr>
          <w:sz w:val="18"/>
          <w:szCs w:val="18"/>
          <w:lang w:val="en-GB"/>
        </w:rPr>
        <w:t>.</w:t>
      </w:r>
    </w:p>
  </w:footnote>
  <w:footnote w:id="73">
    <w:p w14:paraId="2B1533CF" w14:textId="40DEE873" w:rsidR="004B51A5" w:rsidRPr="00BE70AA" w:rsidRDefault="004B51A5">
      <w:pPr>
        <w:pStyle w:val="FootnoteText"/>
        <w:rPr>
          <w:lang w:val="en-ZA"/>
        </w:rPr>
      </w:pPr>
      <w:r>
        <w:rPr>
          <w:rStyle w:val="FootnoteReference"/>
        </w:rPr>
        <w:footnoteRef/>
      </w:r>
      <w:r>
        <w:t xml:space="preserve"> </w:t>
      </w:r>
      <w:r>
        <w:rPr>
          <w:lang w:val="en-ZA"/>
        </w:rPr>
        <w:t>Amounts in this and the following table are in million rands.</w:t>
      </w:r>
    </w:p>
  </w:footnote>
  <w:footnote w:id="74">
    <w:p w14:paraId="39D7138B" w14:textId="77777777" w:rsidR="004B51A5" w:rsidRPr="009E66D3" w:rsidRDefault="004B51A5" w:rsidP="00143442">
      <w:pPr>
        <w:pStyle w:val="FootnoteText"/>
        <w:rPr>
          <w:sz w:val="18"/>
          <w:szCs w:val="18"/>
        </w:rPr>
      </w:pPr>
      <w:r w:rsidRPr="009E66D3">
        <w:rPr>
          <w:rStyle w:val="FootnoteReference"/>
          <w:sz w:val="18"/>
          <w:szCs w:val="18"/>
        </w:rPr>
        <w:footnoteRef/>
      </w:r>
      <w:r w:rsidRPr="009E66D3">
        <w:rPr>
          <w:sz w:val="18"/>
          <w:szCs w:val="18"/>
        </w:rPr>
        <w:t xml:space="preserve"> IDT (201</w:t>
      </w:r>
      <w:r>
        <w:rPr>
          <w:sz w:val="18"/>
          <w:szCs w:val="18"/>
        </w:rPr>
        <w:t>8</w:t>
      </w:r>
      <w:r w:rsidRPr="009E66D3">
        <w:rPr>
          <w:sz w:val="18"/>
          <w:szCs w:val="18"/>
        </w:rPr>
        <w:t xml:space="preserve">), p. </w:t>
      </w:r>
      <w:r>
        <w:rPr>
          <w:sz w:val="18"/>
          <w:szCs w:val="18"/>
        </w:rPr>
        <w:t>50</w:t>
      </w:r>
      <w:r w:rsidRPr="009E66D3">
        <w:rPr>
          <w:sz w:val="18"/>
          <w:szCs w:val="18"/>
        </w:rPr>
        <w:t>.</w:t>
      </w:r>
    </w:p>
  </w:footnote>
  <w:footnote w:id="75">
    <w:p w14:paraId="0B1589BA" w14:textId="77777777" w:rsidR="004B51A5" w:rsidRPr="009E66D3" w:rsidRDefault="004B51A5" w:rsidP="00BB1EE2">
      <w:pPr>
        <w:pStyle w:val="FootnoteText"/>
        <w:rPr>
          <w:sz w:val="18"/>
          <w:szCs w:val="18"/>
          <w:lang w:val="en-GB"/>
        </w:rPr>
      </w:pPr>
      <w:r w:rsidRPr="009E66D3">
        <w:rPr>
          <w:rStyle w:val="FootnoteReference"/>
          <w:sz w:val="18"/>
          <w:szCs w:val="18"/>
        </w:rPr>
        <w:footnoteRef/>
      </w:r>
      <w:r w:rsidRPr="009E66D3">
        <w:rPr>
          <w:sz w:val="18"/>
          <w:szCs w:val="18"/>
        </w:rPr>
        <w:t xml:space="preserve"> </w:t>
      </w:r>
      <w:r w:rsidRPr="009E66D3">
        <w:rPr>
          <w:sz w:val="18"/>
          <w:szCs w:val="18"/>
          <w:lang w:val="en-GB"/>
        </w:rPr>
        <w:t>IDT (2017), p. 9.</w:t>
      </w:r>
    </w:p>
  </w:footnote>
  <w:footnote w:id="76">
    <w:p w14:paraId="703F2870" w14:textId="6E74F189" w:rsidR="004B51A5" w:rsidRPr="00BD114D" w:rsidRDefault="004B51A5">
      <w:pPr>
        <w:pStyle w:val="FootnoteText"/>
        <w:rPr>
          <w:lang w:val="en-GB"/>
        </w:rPr>
      </w:pPr>
      <w:r>
        <w:rPr>
          <w:rStyle w:val="FootnoteReference"/>
        </w:rPr>
        <w:footnoteRef/>
      </w:r>
      <w:r>
        <w:t xml:space="preserve"> </w:t>
      </w:r>
      <w:r>
        <w:rPr>
          <w:lang w:val="en-GB"/>
        </w:rPr>
        <w:t>CIDB (2018), p. 75.</w:t>
      </w:r>
    </w:p>
  </w:footnote>
  <w:footnote w:id="77">
    <w:p w14:paraId="545149F5" w14:textId="77777777" w:rsidR="004B51A5" w:rsidRPr="00996395" w:rsidRDefault="004B51A5" w:rsidP="00BB1EE2">
      <w:pPr>
        <w:rPr>
          <w:rFonts w:ascii="Times New Roman" w:hAnsi="Times New Roman" w:cs="Times New Roman"/>
          <w:sz w:val="20"/>
          <w:szCs w:val="20"/>
        </w:rPr>
      </w:pPr>
      <w:r w:rsidRPr="00996395">
        <w:rPr>
          <w:rStyle w:val="FootnoteReference"/>
          <w:rFonts w:ascii="Times New Roman" w:hAnsi="Times New Roman" w:cs="Times New Roman"/>
          <w:sz w:val="20"/>
          <w:szCs w:val="20"/>
        </w:rPr>
        <w:footnoteRef/>
      </w:r>
      <w:r w:rsidRPr="00996395">
        <w:rPr>
          <w:rFonts w:ascii="Times New Roman" w:hAnsi="Times New Roman" w:cs="Times New Roman"/>
          <w:sz w:val="20"/>
          <w:szCs w:val="20"/>
        </w:rPr>
        <w:t xml:space="preserve"> CBE (2015), p. 10. Through the Act, the CBE is tasked with regulating and governing the following six Built Environment Professions: Architects, Engineers, Landscape Architects, Quantity Surveyors, Project and Construction Managers and Property Valuers, through the six Professional Councils that were also enacted through legislation. </w:t>
      </w:r>
    </w:p>
  </w:footnote>
  <w:footnote w:id="78">
    <w:p w14:paraId="6257E770" w14:textId="27015012" w:rsidR="004B51A5" w:rsidRPr="00BD114D" w:rsidRDefault="004B51A5">
      <w:pPr>
        <w:pStyle w:val="FootnoteText"/>
        <w:rPr>
          <w:lang w:val="en-ZA"/>
        </w:rPr>
      </w:pPr>
      <w:r>
        <w:rPr>
          <w:rStyle w:val="FootnoteReference"/>
        </w:rPr>
        <w:footnoteRef/>
      </w:r>
      <w:r>
        <w:t xml:space="preserve"> </w:t>
      </w:r>
      <w:r w:rsidRPr="00BD114D">
        <w:rPr>
          <w:sz w:val="22"/>
          <w:szCs w:val="22"/>
        </w:rPr>
        <w:t xml:space="preserve">Note that the BEPC has now been changed to </w:t>
      </w:r>
      <w:r w:rsidRPr="002B37BC">
        <w:rPr>
          <w:sz w:val="22"/>
          <w:szCs w:val="22"/>
          <w:lang w:val="en-GB"/>
        </w:rPr>
        <w:t>Councils for the Built Environment Professions (CBEP)</w:t>
      </w:r>
      <w:r>
        <w:rPr>
          <w:sz w:val="22"/>
          <w:szCs w:val="22"/>
          <w:lang w:val="en-GB"/>
        </w:rPr>
        <w:t xml:space="preserve"> in the </w:t>
      </w:r>
      <w:r w:rsidRPr="00BD114D">
        <w:rPr>
          <w:sz w:val="22"/>
          <w:szCs w:val="22"/>
        </w:rPr>
        <w:t xml:space="preserve">2018/19 APP </w:t>
      </w:r>
    </w:p>
  </w:footnote>
  <w:footnote w:id="79">
    <w:p w14:paraId="4D8F2E58" w14:textId="77777777" w:rsidR="004B51A5" w:rsidRPr="00996395" w:rsidRDefault="004B51A5" w:rsidP="00BB1EE2">
      <w:pPr>
        <w:pStyle w:val="FootnoteText"/>
      </w:pPr>
      <w:r w:rsidRPr="00996395">
        <w:rPr>
          <w:rStyle w:val="FootnoteReference"/>
        </w:rPr>
        <w:footnoteRef/>
      </w:r>
      <w:r w:rsidRPr="00996395">
        <w:t xml:space="preserve"> CBE (2015), p. 19.</w:t>
      </w:r>
    </w:p>
  </w:footnote>
  <w:footnote w:id="80">
    <w:p w14:paraId="08F1C6DB" w14:textId="77777777" w:rsidR="004B51A5" w:rsidRPr="000150C1" w:rsidRDefault="004B51A5" w:rsidP="00BB1EE2">
      <w:pPr>
        <w:pStyle w:val="FootnoteText"/>
        <w:rPr>
          <w:sz w:val="16"/>
          <w:szCs w:val="16"/>
        </w:rPr>
      </w:pPr>
      <w:r w:rsidRPr="000150C1">
        <w:rPr>
          <w:rStyle w:val="FootnoteReference"/>
          <w:sz w:val="16"/>
          <w:szCs w:val="16"/>
        </w:rPr>
        <w:footnoteRef/>
      </w:r>
      <w:r w:rsidRPr="000150C1">
        <w:rPr>
          <w:sz w:val="16"/>
          <w:szCs w:val="16"/>
        </w:rPr>
        <w:t xml:space="preserve"> CBE (2015), p. 12. </w:t>
      </w:r>
    </w:p>
  </w:footnote>
  <w:footnote w:id="81">
    <w:p w14:paraId="3E666DB7"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(2014), p. 49. </w:t>
      </w:r>
    </w:p>
  </w:footnote>
  <w:footnote w:id="82">
    <w:p w14:paraId="7A8BDB1F"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(2015), p. 61.</w:t>
      </w:r>
    </w:p>
  </w:footnote>
  <w:footnote w:id="83">
    <w:p w14:paraId="626225B4"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(2017), p. 25.</w:t>
      </w:r>
    </w:p>
  </w:footnote>
  <w:footnote w:id="84">
    <w:p w14:paraId="6A4D4487"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46.</w:t>
      </w:r>
    </w:p>
  </w:footnote>
  <w:footnote w:id="85">
    <w:p w14:paraId="314ADC97" w14:textId="77777777" w:rsidR="004B51A5" w:rsidRPr="000B42F3" w:rsidRDefault="004B51A5" w:rsidP="00B258A1">
      <w:pPr>
        <w:pStyle w:val="FootnoteText"/>
        <w:rPr>
          <w:lang w:val="en-GB"/>
        </w:rPr>
      </w:pPr>
      <w:r>
        <w:rPr>
          <w:rStyle w:val="FootnoteReference"/>
        </w:rPr>
        <w:footnoteRef/>
      </w:r>
      <w:r>
        <w:t xml:space="preserve"> </w:t>
      </w:r>
      <w:r w:rsidRPr="00106740">
        <w:rPr>
          <w:rFonts w:cs="Arial"/>
          <w:sz w:val="18"/>
          <w:szCs w:val="18"/>
        </w:rPr>
        <w:t xml:space="preserve">CBE (2018), p. </w:t>
      </w:r>
      <w:r>
        <w:rPr>
          <w:rFonts w:cs="Arial"/>
          <w:sz w:val="18"/>
          <w:szCs w:val="18"/>
        </w:rPr>
        <w:t>3 &amp; 6</w:t>
      </w:r>
      <w:r w:rsidRPr="00106740">
        <w:rPr>
          <w:rFonts w:cs="Arial"/>
          <w:sz w:val="18"/>
          <w:szCs w:val="18"/>
        </w:rPr>
        <w:t>6.</w:t>
      </w:r>
    </w:p>
  </w:footnote>
  <w:footnote w:id="86">
    <w:p w14:paraId="1FFD55C3"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43.</w:t>
      </w:r>
    </w:p>
  </w:footnote>
  <w:footnote w:id="87">
    <w:p w14:paraId="54CFE990" w14:textId="77777777" w:rsidR="004B51A5" w:rsidRPr="000B42F3" w:rsidRDefault="004B51A5" w:rsidP="00B258A1">
      <w:pPr>
        <w:pStyle w:val="FootnoteText"/>
        <w:rPr>
          <w:lang w:val="en-GB"/>
        </w:rPr>
      </w:pPr>
      <w:r>
        <w:rPr>
          <w:rStyle w:val="FootnoteReference"/>
        </w:rPr>
        <w:footnoteRef/>
      </w:r>
      <w:r>
        <w:t xml:space="preserve"> </w:t>
      </w:r>
      <w:r w:rsidRPr="00106740">
        <w:rPr>
          <w:rFonts w:cs="Arial"/>
          <w:sz w:val="18"/>
          <w:szCs w:val="18"/>
        </w:rPr>
        <w:t>CBE (2018), p. 47.</w:t>
      </w:r>
    </w:p>
  </w:footnote>
  <w:footnote w:id="88">
    <w:p w14:paraId="47401D57"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47.</w:t>
      </w:r>
    </w:p>
  </w:footnote>
  <w:footnote w:id="89">
    <w:p w14:paraId="01B27F41"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50.</w:t>
      </w:r>
    </w:p>
  </w:footnote>
  <w:footnote w:id="90">
    <w:p w14:paraId="37C8A2A0"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CBEP – Council for Built Environment Professions.</w:t>
      </w:r>
    </w:p>
  </w:footnote>
  <w:footnote w:id="91">
    <w:p w14:paraId="2713AEF1"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53.</w:t>
      </w:r>
    </w:p>
  </w:footnote>
  <w:footnote w:id="92">
    <w:p w14:paraId="392B23BA"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42.</w:t>
      </w:r>
    </w:p>
  </w:footnote>
  <w:footnote w:id="93">
    <w:p w14:paraId="470657AF"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52.</w:t>
      </w:r>
    </w:p>
  </w:footnote>
  <w:footnote w:id="94">
    <w:p w14:paraId="595EA87E"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58. </w:t>
      </w:r>
    </w:p>
  </w:footnote>
  <w:footnote w:id="95">
    <w:p w14:paraId="1F72D466" w14:textId="77777777" w:rsidR="004B51A5" w:rsidRPr="00106740" w:rsidRDefault="004B51A5" w:rsidP="00B258A1">
      <w:pPr>
        <w:pStyle w:val="FootnoteText"/>
        <w:rPr>
          <w:rFonts w:cs="Arial"/>
          <w:sz w:val="18"/>
          <w:szCs w:val="18"/>
          <w:lang w:val="en-GB"/>
        </w:rPr>
      </w:pPr>
      <w:r w:rsidRPr="00106740">
        <w:rPr>
          <w:rStyle w:val="FootnoteReference"/>
          <w:rFonts w:cs="Arial"/>
          <w:sz w:val="18"/>
          <w:szCs w:val="18"/>
        </w:rPr>
        <w:footnoteRef/>
      </w:r>
      <w:r w:rsidRPr="00106740">
        <w:rPr>
          <w:rFonts w:cs="Arial"/>
          <w:sz w:val="18"/>
          <w:szCs w:val="18"/>
        </w:rPr>
        <w:t xml:space="preserve"> CBE (2018), p. 42.</w:t>
      </w:r>
    </w:p>
  </w:footnote>
  <w:footnote w:id="96">
    <w:p w14:paraId="134B12BE" w14:textId="77777777" w:rsidR="004B51A5" w:rsidRPr="00106740" w:rsidRDefault="004B51A5" w:rsidP="00B258A1">
      <w:pPr>
        <w:pStyle w:val="FootnoteText"/>
        <w:rPr>
          <w:rFonts w:cs="Arial"/>
          <w:sz w:val="18"/>
          <w:szCs w:val="18"/>
          <w:lang w:val="en-GB"/>
        </w:rPr>
      </w:pPr>
      <w:r w:rsidRPr="00106740">
        <w:rPr>
          <w:rStyle w:val="FootnoteReference"/>
          <w:rFonts w:cs="Arial"/>
          <w:sz w:val="18"/>
          <w:szCs w:val="18"/>
        </w:rPr>
        <w:footnoteRef/>
      </w:r>
      <w:r w:rsidRPr="00106740">
        <w:rPr>
          <w:rFonts w:cs="Arial"/>
          <w:sz w:val="18"/>
          <w:szCs w:val="18"/>
        </w:rPr>
        <w:t xml:space="preserve"> CBE (2018), p. 60.</w:t>
      </w:r>
    </w:p>
  </w:footnote>
  <w:footnote w:id="97">
    <w:p w14:paraId="421AB3A7" w14:textId="77777777" w:rsidR="004B51A5" w:rsidRPr="00106740" w:rsidRDefault="004B51A5" w:rsidP="00B258A1">
      <w:pPr>
        <w:pStyle w:val="FootnoteText"/>
        <w:rPr>
          <w:rFonts w:cs="Arial"/>
          <w:sz w:val="18"/>
          <w:szCs w:val="18"/>
          <w:lang w:val="en-GB"/>
        </w:rPr>
      </w:pPr>
      <w:r w:rsidRPr="00106740">
        <w:rPr>
          <w:rStyle w:val="FootnoteReference"/>
          <w:rFonts w:cs="Arial"/>
          <w:sz w:val="18"/>
          <w:szCs w:val="18"/>
        </w:rPr>
        <w:footnoteRef/>
      </w:r>
      <w:r w:rsidRPr="00106740">
        <w:rPr>
          <w:rFonts w:cs="Arial"/>
          <w:sz w:val="18"/>
          <w:szCs w:val="18"/>
        </w:rPr>
        <w:t xml:space="preserve"> </w:t>
      </w:r>
      <w:r>
        <w:rPr>
          <w:rFonts w:cs="Arial"/>
          <w:sz w:val="18"/>
          <w:szCs w:val="18"/>
        </w:rPr>
        <w:t xml:space="preserve">Note that the acronym for Programme 4 has been changed from </w:t>
      </w:r>
      <w:r w:rsidRPr="00921723">
        <w:rPr>
          <w:rFonts w:cs="Arial"/>
          <w:sz w:val="18"/>
          <w:szCs w:val="18"/>
          <w:lang w:val="en-GB"/>
        </w:rPr>
        <w:t>Built Environment Professional Councils (BEPC), to Councils for the Built Environment Professions.</w:t>
      </w:r>
    </w:p>
  </w:footnote>
  <w:footnote w:id="98">
    <w:p w14:paraId="156AE317"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66.</w:t>
      </w:r>
    </w:p>
  </w:footnote>
  <w:footnote w:id="99">
    <w:p w14:paraId="40969F87"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42.</w:t>
      </w:r>
    </w:p>
  </w:footnote>
  <w:footnote w:id="100">
    <w:p w14:paraId="6D72E464" w14:textId="77777777" w:rsidR="004B51A5" w:rsidRPr="00106740" w:rsidRDefault="004B51A5" w:rsidP="00B258A1">
      <w:pPr>
        <w:pStyle w:val="FootnoteText"/>
        <w:rPr>
          <w:rFonts w:cs="Arial"/>
          <w:sz w:val="18"/>
          <w:szCs w:val="18"/>
          <w:lang w:val="en-GB"/>
        </w:rPr>
      </w:pPr>
      <w:r w:rsidRPr="00106740">
        <w:rPr>
          <w:rStyle w:val="FootnoteReference"/>
          <w:rFonts w:cs="Arial"/>
          <w:sz w:val="18"/>
          <w:szCs w:val="18"/>
        </w:rPr>
        <w:footnoteRef/>
      </w:r>
      <w:r w:rsidRPr="00106740">
        <w:rPr>
          <w:rFonts w:cs="Arial"/>
          <w:sz w:val="18"/>
          <w:szCs w:val="18"/>
        </w:rPr>
        <w:t xml:space="preserve"> CBE (2018), p. 66.</w:t>
      </w:r>
    </w:p>
  </w:footnote>
  <w:footnote w:id="101">
    <w:p w14:paraId="6BB0D52C"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IDT (2018), p. 69.</w:t>
      </w:r>
    </w:p>
  </w:footnote>
  <w:footnote w:id="102">
    <w:p w14:paraId="79EEFB22" w14:textId="77777777" w:rsidR="004B51A5" w:rsidRPr="000150C1" w:rsidRDefault="004B51A5" w:rsidP="00B258A1">
      <w:pPr>
        <w:pStyle w:val="FootnoteText"/>
        <w:rPr>
          <w:sz w:val="16"/>
          <w:szCs w:val="16"/>
          <w:lang w:val="en-GB"/>
        </w:rPr>
      </w:pPr>
      <w:r w:rsidRPr="000150C1">
        <w:rPr>
          <w:rStyle w:val="FootnoteReference"/>
          <w:sz w:val="16"/>
          <w:szCs w:val="16"/>
        </w:rPr>
        <w:footnoteRef/>
      </w:r>
      <w:r w:rsidRPr="000150C1">
        <w:rPr>
          <w:sz w:val="16"/>
          <w:szCs w:val="16"/>
        </w:rPr>
        <w:t xml:space="preserve"> </w:t>
      </w:r>
      <w:r w:rsidRPr="000150C1">
        <w:rPr>
          <w:sz w:val="16"/>
          <w:szCs w:val="16"/>
          <w:lang w:val="en-GB"/>
        </w:rPr>
        <w:t>Continuous Professional Development.</w:t>
      </w:r>
    </w:p>
  </w:footnote>
  <w:footnote w:id="103">
    <w:p w14:paraId="602534D2" w14:textId="77777777" w:rsidR="004B51A5" w:rsidRPr="000150C1" w:rsidRDefault="004B51A5" w:rsidP="00B258A1">
      <w:pPr>
        <w:pStyle w:val="FootnoteText"/>
        <w:rPr>
          <w:sz w:val="16"/>
          <w:szCs w:val="16"/>
          <w:lang w:val="en-GB"/>
        </w:rPr>
      </w:pPr>
      <w:r w:rsidRPr="000150C1">
        <w:rPr>
          <w:rStyle w:val="FootnoteReference"/>
          <w:sz w:val="16"/>
          <w:szCs w:val="16"/>
        </w:rPr>
        <w:footnoteRef/>
      </w:r>
      <w:r w:rsidRPr="000150C1">
        <w:rPr>
          <w:sz w:val="16"/>
          <w:szCs w:val="16"/>
        </w:rPr>
        <w:t xml:space="preserve"> </w:t>
      </w:r>
      <w:r w:rsidRPr="000150C1">
        <w:rPr>
          <w:sz w:val="16"/>
          <w:szCs w:val="16"/>
          <w:lang w:val="en-GB"/>
        </w:rPr>
        <w:t>Infrastructure Delivery Management System.</w:t>
      </w:r>
    </w:p>
  </w:footnote>
  <w:footnote w:id="104">
    <w:p w14:paraId="0E6844AB"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42.</w:t>
      </w:r>
    </w:p>
  </w:footnote>
  <w:footnote w:id="105">
    <w:p w14:paraId="511F0892" w14:textId="77777777" w:rsidR="004B51A5" w:rsidRPr="00106740" w:rsidRDefault="004B51A5" w:rsidP="00B258A1">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74.</w:t>
      </w:r>
    </w:p>
  </w:footnote>
  <w:footnote w:id="106">
    <w:p w14:paraId="2E98A893" w14:textId="77777777" w:rsidR="004B51A5" w:rsidRPr="00106740" w:rsidRDefault="004B51A5" w:rsidP="003E2533">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43.</w:t>
      </w:r>
    </w:p>
  </w:footnote>
  <w:footnote w:id="107">
    <w:p w14:paraId="3187D995" w14:textId="77777777" w:rsidR="004B51A5" w:rsidRPr="000150C1" w:rsidRDefault="004B51A5" w:rsidP="00BB1EE2">
      <w:pPr>
        <w:pStyle w:val="FootnoteText"/>
        <w:rPr>
          <w:sz w:val="16"/>
          <w:szCs w:val="16"/>
        </w:rPr>
      </w:pPr>
      <w:r w:rsidRPr="000150C1">
        <w:rPr>
          <w:rStyle w:val="FootnoteReference"/>
          <w:sz w:val="16"/>
          <w:szCs w:val="16"/>
        </w:rPr>
        <w:footnoteRef/>
      </w:r>
      <w:r w:rsidRPr="000150C1">
        <w:rPr>
          <w:sz w:val="16"/>
          <w:szCs w:val="16"/>
        </w:rPr>
        <w:t xml:space="preserve"> CBE (2017), p. 29.</w:t>
      </w:r>
    </w:p>
  </w:footnote>
  <w:footnote w:id="108">
    <w:p w14:paraId="43B2FC39" w14:textId="77777777" w:rsidR="004B51A5" w:rsidRPr="00106740" w:rsidRDefault="004B51A5" w:rsidP="003479E6">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42.</w:t>
      </w:r>
    </w:p>
  </w:footnote>
  <w:footnote w:id="109">
    <w:p w14:paraId="44830168" w14:textId="77777777" w:rsidR="004B51A5" w:rsidRPr="000150C1" w:rsidRDefault="004B51A5" w:rsidP="00BB1EE2">
      <w:pPr>
        <w:pStyle w:val="FootnoteText"/>
        <w:rPr>
          <w:sz w:val="16"/>
          <w:szCs w:val="16"/>
        </w:rPr>
      </w:pPr>
      <w:r w:rsidRPr="000150C1">
        <w:rPr>
          <w:rStyle w:val="FootnoteReference"/>
          <w:sz w:val="16"/>
          <w:szCs w:val="16"/>
        </w:rPr>
        <w:footnoteRef/>
      </w:r>
      <w:r w:rsidRPr="000150C1">
        <w:rPr>
          <w:sz w:val="16"/>
          <w:szCs w:val="16"/>
        </w:rPr>
        <w:t xml:space="preserve"> CBE (2017), p. 30.</w:t>
      </w:r>
    </w:p>
  </w:footnote>
  <w:footnote w:id="110">
    <w:p w14:paraId="70D9BF6E" w14:textId="77777777" w:rsidR="004B51A5" w:rsidRPr="00106740" w:rsidRDefault="004B51A5" w:rsidP="00B30948">
      <w:pPr>
        <w:pStyle w:val="FootnoteText"/>
        <w:rPr>
          <w:rFonts w:cs="Arial"/>
          <w:sz w:val="18"/>
          <w:szCs w:val="18"/>
          <w:lang w:val="en-GB"/>
        </w:rPr>
      </w:pPr>
      <w:r w:rsidRPr="00106740">
        <w:rPr>
          <w:rStyle w:val="FootnoteReference"/>
          <w:rFonts w:cs="Arial"/>
          <w:sz w:val="18"/>
          <w:szCs w:val="18"/>
        </w:rPr>
        <w:footnoteRef/>
      </w:r>
      <w:r w:rsidRPr="00106740">
        <w:rPr>
          <w:rFonts w:cs="Arial"/>
          <w:sz w:val="18"/>
          <w:szCs w:val="18"/>
        </w:rPr>
        <w:t xml:space="preserve"> CBE (2018), p. 42.</w:t>
      </w:r>
    </w:p>
  </w:footnote>
  <w:footnote w:id="111">
    <w:p w14:paraId="6C91D831" w14:textId="77777777" w:rsidR="004B51A5" w:rsidRPr="000150C1" w:rsidRDefault="004B51A5" w:rsidP="00BB1EE2">
      <w:pPr>
        <w:pStyle w:val="FootnoteText"/>
        <w:rPr>
          <w:sz w:val="16"/>
          <w:szCs w:val="16"/>
          <w:lang w:val="en-GB"/>
        </w:rPr>
      </w:pPr>
      <w:r w:rsidRPr="000150C1">
        <w:rPr>
          <w:rStyle w:val="FootnoteReference"/>
          <w:sz w:val="16"/>
          <w:szCs w:val="16"/>
        </w:rPr>
        <w:footnoteRef/>
      </w:r>
      <w:r w:rsidRPr="000150C1">
        <w:rPr>
          <w:sz w:val="16"/>
          <w:szCs w:val="16"/>
        </w:rPr>
        <w:t xml:space="preserve"> CBE (2017), p. 31.</w:t>
      </w:r>
    </w:p>
  </w:footnote>
  <w:footnote w:id="112">
    <w:p w14:paraId="321FCC1C" w14:textId="77777777" w:rsidR="004B51A5" w:rsidRPr="000150C1" w:rsidRDefault="004B51A5" w:rsidP="00BB1EE2">
      <w:pPr>
        <w:pStyle w:val="FootnoteText"/>
        <w:rPr>
          <w:sz w:val="16"/>
          <w:szCs w:val="16"/>
          <w:lang w:val="en-GB"/>
        </w:rPr>
      </w:pPr>
      <w:r w:rsidRPr="000150C1">
        <w:rPr>
          <w:rStyle w:val="FootnoteReference"/>
          <w:sz w:val="16"/>
          <w:szCs w:val="16"/>
        </w:rPr>
        <w:footnoteRef/>
      </w:r>
      <w:r w:rsidRPr="000150C1">
        <w:rPr>
          <w:sz w:val="16"/>
          <w:szCs w:val="16"/>
        </w:rPr>
        <w:t xml:space="preserve"> </w:t>
      </w:r>
      <w:r w:rsidRPr="000150C1">
        <w:rPr>
          <w:sz w:val="16"/>
          <w:szCs w:val="16"/>
          <w:lang w:val="en-GB"/>
        </w:rPr>
        <w:t>Built Environment Professional Councils (BEPCs).</w:t>
      </w:r>
    </w:p>
  </w:footnote>
  <w:footnote w:id="113">
    <w:p w14:paraId="08E60ED7" w14:textId="77777777" w:rsidR="004B51A5" w:rsidRPr="000150C1" w:rsidRDefault="004B51A5" w:rsidP="00BB1EE2">
      <w:pPr>
        <w:pStyle w:val="FootnoteText"/>
        <w:rPr>
          <w:sz w:val="16"/>
          <w:szCs w:val="16"/>
        </w:rPr>
      </w:pPr>
      <w:r w:rsidRPr="000150C1">
        <w:rPr>
          <w:rStyle w:val="FootnoteReference"/>
          <w:sz w:val="16"/>
          <w:szCs w:val="16"/>
        </w:rPr>
        <w:footnoteRef/>
      </w:r>
      <w:r w:rsidRPr="000150C1">
        <w:rPr>
          <w:sz w:val="16"/>
          <w:szCs w:val="16"/>
        </w:rPr>
        <w:t xml:space="preserve"> CBE (2017), p. 47.</w:t>
      </w:r>
    </w:p>
  </w:footnote>
  <w:footnote w:id="114">
    <w:p w14:paraId="7CD3F836" w14:textId="77777777" w:rsidR="004B51A5" w:rsidRPr="00106740" w:rsidRDefault="004B51A5" w:rsidP="00B30948">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42.</w:t>
      </w:r>
    </w:p>
  </w:footnote>
  <w:footnote w:id="115">
    <w:p w14:paraId="6AE632F7" w14:textId="77777777" w:rsidR="004B51A5" w:rsidRPr="0031105D" w:rsidRDefault="004B51A5" w:rsidP="00BB1EE2">
      <w:pPr>
        <w:pStyle w:val="FootnoteText"/>
        <w:rPr>
          <w:lang w:val="en-GB"/>
        </w:rPr>
      </w:pPr>
      <w:r w:rsidRPr="0031105D">
        <w:rPr>
          <w:rStyle w:val="FootnoteReference"/>
        </w:rPr>
        <w:footnoteRef/>
      </w:r>
      <w:r w:rsidRPr="0031105D">
        <w:t xml:space="preserve"> CBE (2017), p. 33.</w:t>
      </w:r>
    </w:p>
  </w:footnote>
  <w:footnote w:id="116">
    <w:p w14:paraId="1C3E179B" w14:textId="77777777" w:rsidR="004B51A5" w:rsidRPr="0031105D" w:rsidRDefault="004B51A5" w:rsidP="00BB1EE2">
      <w:pPr>
        <w:pStyle w:val="FootnoteText"/>
        <w:rPr>
          <w:lang w:val="en-GB"/>
        </w:rPr>
      </w:pPr>
      <w:r w:rsidRPr="0031105D">
        <w:rPr>
          <w:rStyle w:val="FootnoteReference"/>
        </w:rPr>
        <w:footnoteRef/>
      </w:r>
      <w:r w:rsidRPr="0031105D">
        <w:t xml:space="preserve"> </w:t>
      </w:r>
      <w:r w:rsidRPr="0031105D">
        <w:rPr>
          <w:lang w:val="en-GB"/>
        </w:rPr>
        <w:t>Continuous Professional Development.</w:t>
      </w:r>
    </w:p>
  </w:footnote>
  <w:footnote w:id="117">
    <w:p w14:paraId="151C621D" w14:textId="77777777" w:rsidR="004B51A5" w:rsidRPr="0031105D" w:rsidRDefault="004B51A5" w:rsidP="00BB1EE2">
      <w:pPr>
        <w:pStyle w:val="FootnoteText"/>
        <w:rPr>
          <w:lang w:val="en-GB"/>
        </w:rPr>
      </w:pPr>
      <w:r w:rsidRPr="0031105D">
        <w:rPr>
          <w:rStyle w:val="FootnoteReference"/>
        </w:rPr>
        <w:footnoteRef/>
      </w:r>
      <w:r w:rsidRPr="0031105D">
        <w:t xml:space="preserve"> </w:t>
      </w:r>
      <w:r w:rsidRPr="0031105D">
        <w:rPr>
          <w:lang w:val="en-GB"/>
        </w:rPr>
        <w:t>Infrastructure Delivery Management System.</w:t>
      </w:r>
    </w:p>
  </w:footnote>
  <w:footnote w:id="118">
    <w:p w14:paraId="7CECACFA" w14:textId="77777777" w:rsidR="004B51A5" w:rsidRPr="0031105D" w:rsidRDefault="004B51A5" w:rsidP="00FE1BB6">
      <w:pPr>
        <w:pStyle w:val="FootnoteText"/>
        <w:rPr>
          <w:rFonts w:cs="Arial"/>
        </w:rPr>
      </w:pPr>
      <w:r w:rsidRPr="0031105D">
        <w:rPr>
          <w:rStyle w:val="FootnoteReference"/>
          <w:rFonts w:cs="Arial"/>
        </w:rPr>
        <w:footnoteRef/>
      </w:r>
      <w:r w:rsidRPr="0031105D">
        <w:rPr>
          <w:rFonts w:cs="Arial"/>
        </w:rPr>
        <w:t xml:space="preserve"> CBE (2018), p. 42.</w:t>
      </w:r>
    </w:p>
  </w:footnote>
  <w:footnote w:id="119">
    <w:p w14:paraId="1EB4E6BD" w14:textId="77777777" w:rsidR="004B51A5" w:rsidRPr="0031105D" w:rsidRDefault="004B51A5" w:rsidP="00BB1EE2">
      <w:pPr>
        <w:pStyle w:val="FootnoteText"/>
        <w:rPr>
          <w:lang w:val="en-GB"/>
        </w:rPr>
      </w:pPr>
      <w:r w:rsidRPr="0031105D">
        <w:rPr>
          <w:rStyle w:val="FootnoteReference"/>
        </w:rPr>
        <w:footnoteRef/>
      </w:r>
      <w:r w:rsidRPr="0031105D">
        <w:t xml:space="preserve"> CBE (201</w:t>
      </w:r>
      <w:r>
        <w:t>8</w:t>
      </w:r>
      <w:r w:rsidRPr="0031105D">
        <w:t xml:space="preserve">), p. </w:t>
      </w:r>
      <w:r>
        <w:t>74</w:t>
      </w:r>
      <w:r w:rsidRPr="0031105D">
        <w:t>.</w:t>
      </w:r>
    </w:p>
  </w:footnote>
  <w:footnote w:id="120">
    <w:p w14:paraId="1D049423" w14:textId="77777777" w:rsidR="004B51A5" w:rsidRPr="0031105D" w:rsidRDefault="004B51A5" w:rsidP="00DD681D">
      <w:pPr>
        <w:pStyle w:val="FootnoteText"/>
        <w:rPr>
          <w:rFonts w:cs="Arial"/>
          <w:lang w:val="en-GB"/>
        </w:rPr>
      </w:pPr>
      <w:r w:rsidRPr="0031105D">
        <w:rPr>
          <w:rStyle w:val="FootnoteReference"/>
          <w:rFonts w:cs="Arial"/>
        </w:rPr>
        <w:footnoteRef/>
      </w:r>
      <w:r w:rsidRPr="0031105D">
        <w:rPr>
          <w:rFonts w:cs="Arial"/>
        </w:rPr>
        <w:t xml:space="preserve"> CBE (2018), p. 31.</w:t>
      </w:r>
    </w:p>
  </w:footnote>
  <w:footnote w:id="121">
    <w:p w14:paraId="53B3D463" w14:textId="77777777" w:rsidR="004B51A5" w:rsidRPr="0031105D" w:rsidRDefault="004B51A5" w:rsidP="00DD681D">
      <w:pPr>
        <w:pStyle w:val="FootnoteText"/>
        <w:rPr>
          <w:rFonts w:cs="Arial"/>
          <w:lang w:val="en-GB"/>
        </w:rPr>
      </w:pPr>
      <w:r w:rsidRPr="0031105D">
        <w:rPr>
          <w:rStyle w:val="FootnoteReference"/>
          <w:rFonts w:cs="Arial"/>
        </w:rPr>
        <w:footnoteRef/>
      </w:r>
      <w:r w:rsidRPr="0031105D">
        <w:rPr>
          <w:rFonts w:cs="Arial"/>
        </w:rPr>
        <w:t xml:space="preserve"> CBE (2018), p. 30.</w:t>
      </w:r>
    </w:p>
  </w:footnote>
  <w:footnote w:id="122">
    <w:p w14:paraId="34E7B35B" w14:textId="77777777" w:rsidR="004B51A5" w:rsidRPr="00106740" w:rsidRDefault="004B51A5" w:rsidP="00DD681D">
      <w:pPr>
        <w:pStyle w:val="FootnoteText"/>
        <w:rPr>
          <w:rFonts w:cs="Arial"/>
          <w:sz w:val="18"/>
          <w:szCs w:val="18"/>
        </w:rPr>
      </w:pPr>
      <w:r w:rsidRPr="0031105D">
        <w:rPr>
          <w:rStyle w:val="FootnoteReference"/>
          <w:rFonts w:cs="Arial"/>
        </w:rPr>
        <w:footnoteRef/>
      </w:r>
      <w:r w:rsidRPr="0031105D">
        <w:rPr>
          <w:rFonts w:cs="Arial"/>
        </w:rPr>
        <w:t xml:space="preserve"> CBE (2018), p. 29.</w:t>
      </w:r>
    </w:p>
  </w:footnote>
  <w:footnote w:id="123">
    <w:p w14:paraId="37D87849" w14:textId="77777777" w:rsidR="004B51A5" w:rsidRPr="00106740" w:rsidRDefault="004B51A5" w:rsidP="00DD681D">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28.</w:t>
      </w:r>
    </w:p>
  </w:footnote>
  <w:footnote w:id="124">
    <w:p w14:paraId="068B5447" w14:textId="77777777" w:rsidR="004B51A5" w:rsidRPr="00106740" w:rsidRDefault="004B51A5" w:rsidP="00DD681D">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25.</w:t>
      </w:r>
    </w:p>
  </w:footnote>
  <w:footnote w:id="125">
    <w:p w14:paraId="2A2CCD69" w14:textId="77777777" w:rsidR="004B51A5" w:rsidRPr="00106740" w:rsidRDefault="004B51A5" w:rsidP="00DD681D">
      <w:pPr>
        <w:pStyle w:val="FootnoteText"/>
        <w:rPr>
          <w:rFonts w:cs="Arial"/>
          <w:sz w:val="18"/>
          <w:szCs w:val="18"/>
          <w:lang w:val="en-GB"/>
        </w:rPr>
      </w:pPr>
      <w:r w:rsidRPr="00106740">
        <w:rPr>
          <w:rStyle w:val="FootnoteReference"/>
          <w:rFonts w:cs="Arial"/>
          <w:sz w:val="18"/>
          <w:szCs w:val="18"/>
        </w:rPr>
        <w:footnoteRef/>
      </w:r>
      <w:r w:rsidRPr="00106740">
        <w:rPr>
          <w:rFonts w:cs="Arial"/>
          <w:sz w:val="18"/>
          <w:szCs w:val="18"/>
        </w:rPr>
        <w:t xml:space="preserve"> CBE (2018), p. 43.</w:t>
      </w:r>
    </w:p>
  </w:footnote>
  <w:footnote w:id="126">
    <w:p w14:paraId="13D0EFAB" w14:textId="77777777" w:rsidR="004B51A5" w:rsidRPr="00106740" w:rsidRDefault="004B51A5" w:rsidP="00DD681D">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9.</w:t>
      </w:r>
    </w:p>
  </w:footnote>
  <w:footnote w:id="127">
    <w:p w14:paraId="51872147" w14:textId="77777777" w:rsidR="004B51A5" w:rsidRPr="00106740" w:rsidRDefault="004B51A5" w:rsidP="00DD681D">
      <w:pPr>
        <w:pStyle w:val="FootnoteText"/>
        <w:rPr>
          <w:rFonts w:cs="Arial"/>
          <w:sz w:val="18"/>
          <w:szCs w:val="18"/>
        </w:rPr>
      </w:pPr>
      <w:r w:rsidRPr="00106740">
        <w:rPr>
          <w:rStyle w:val="FootnoteReference"/>
          <w:rFonts w:cs="Arial"/>
          <w:sz w:val="18"/>
          <w:szCs w:val="18"/>
        </w:rPr>
        <w:footnoteRef/>
      </w:r>
      <w:r w:rsidRPr="00106740">
        <w:rPr>
          <w:rFonts w:cs="Arial"/>
          <w:sz w:val="18"/>
          <w:szCs w:val="18"/>
        </w:rPr>
        <w:t xml:space="preserve"> CBE (2018), p. 25.</w:t>
      </w:r>
    </w:p>
  </w:footnote>
  <w:footnote w:id="128">
    <w:p w14:paraId="48147670" w14:textId="77777777" w:rsidR="004B51A5" w:rsidRPr="00916CBC" w:rsidRDefault="004B51A5">
      <w:pPr>
        <w:pStyle w:val="FootnoteText"/>
        <w:rPr>
          <w:lang w:val="en-ZA"/>
        </w:rPr>
      </w:pPr>
      <w:r>
        <w:rPr>
          <w:rStyle w:val="FootnoteReference"/>
        </w:rPr>
        <w:footnoteRef/>
      </w:r>
      <w:r>
        <w:t xml:space="preserve"> </w:t>
      </w:r>
      <w:r>
        <w:rPr>
          <w:lang w:val="en-ZA"/>
        </w:rPr>
        <w:t>This was expressed in meetings and in the Committee’s Budgetary Review and Recommendation Report in 2017/18.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D9F05398"/>
    <w:lvl w:ilvl="0" w:tplc="1C090001">
      <w:start w:val="1"/>
      <w:numFmt w:val="bullet"/>
      <w:lvlText w:val=""/>
      <w:lvlJc w:val="left"/>
      <w:pPr>
        <w:ind w:left="360" w:hanging="360"/>
      </w:pPr>
      <w:rPr>
        <w:rFonts w:ascii="Symbol" w:hAnsi="Symbol" w:hint="default"/>
      </w:rPr>
    </w:lvl>
    <w:lvl w:ilvl="1" w:tplc="1C090003">
      <w:start w:val="1"/>
      <w:numFmt w:val="bullet"/>
      <w:lvlRestart w:val="0"/>
      <w:lvlText w:val="o"/>
      <w:lvlJc w:val="left"/>
      <w:pPr>
        <w:ind w:left="1080" w:hanging="360"/>
      </w:pPr>
      <w:rPr>
        <w:rFonts w:ascii="Courier New" w:hAnsi="Courier New" w:cs="Courier New" w:hint="default"/>
      </w:rPr>
    </w:lvl>
    <w:lvl w:ilvl="2" w:tplc="1C090005">
      <w:start w:val="1"/>
      <w:numFmt w:val="bullet"/>
      <w:lvlRestart w:val="0"/>
      <w:lvlText w:val=""/>
      <w:lvlJc w:val="left"/>
      <w:pPr>
        <w:ind w:left="1800" w:hanging="360"/>
      </w:pPr>
      <w:rPr>
        <w:rFonts w:ascii="Wingdings" w:hAnsi="Wingdings" w:hint="default"/>
      </w:rPr>
    </w:lvl>
    <w:lvl w:ilvl="3" w:tplc="1C090001">
      <w:start w:val="1"/>
      <w:numFmt w:val="bullet"/>
      <w:lvlRestart w:val="0"/>
      <w:lvlText w:val=""/>
      <w:lvlJc w:val="left"/>
      <w:pPr>
        <w:ind w:left="2520" w:hanging="360"/>
      </w:pPr>
      <w:rPr>
        <w:rFonts w:ascii="Symbol" w:hAnsi="Symbol" w:hint="default"/>
      </w:rPr>
    </w:lvl>
    <w:lvl w:ilvl="4" w:tplc="1C090003">
      <w:start w:val="1"/>
      <w:numFmt w:val="bullet"/>
      <w:lvlRestart w:val="0"/>
      <w:lvlText w:val="o"/>
      <w:lvlJc w:val="left"/>
      <w:pPr>
        <w:ind w:left="3240" w:hanging="360"/>
      </w:pPr>
      <w:rPr>
        <w:rFonts w:ascii="Courier New" w:hAnsi="Courier New" w:cs="Courier New" w:hint="default"/>
      </w:rPr>
    </w:lvl>
    <w:lvl w:ilvl="5" w:tplc="1C090005">
      <w:start w:val="1"/>
      <w:numFmt w:val="bullet"/>
      <w:lvlRestart w:val="0"/>
      <w:lvlText w:val=""/>
      <w:lvlJc w:val="left"/>
      <w:pPr>
        <w:ind w:left="3960" w:hanging="360"/>
      </w:pPr>
      <w:rPr>
        <w:rFonts w:ascii="Wingdings" w:hAnsi="Wingdings" w:hint="default"/>
      </w:rPr>
    </w:lvl>
    <w:lvl w:ilvl="6" w:tplc="1C090001">
      <w:start w:val="1"/>
      <w:numFmt w:val="bullet"/>
      <w:lvlRestart w:val="0"/>
      <w:lvlText w:val=""/>
      <w:lvlJc w:val="left"/>
      <w:pPr>
        <w:ind w:left="4680" w:hanging="360"/>
      </w:pPr>
      <w:rPr>
        <w:rFonts w:ascii="Symbol" w:hAnsi="Symbol" w:hint="default"/>
      </w:rPr>
    </w:lvl>
    <w:lvl w:ilvl="7" w:tplc="1C090003">
      <w:start w:val="1"/>
      <w:numFmt w:val="bullet"/>
      <w:lvlRestart w:val="0"/>
      <w:lvlText w:val="o"/>
      <w:lvlJc w:val="left"/>
      <w:pPr>
        <w:ind w:left="5400" w:hanging="360"/>
      </w:pPr>
      <w:rPr>
        <w:rFonts w:ascii="Courier New" w:hAnsi="Courier New" w:cs="Courier New" w:hint="default"/>
      </w:rPr>
    </w:lvl>
    <w:lvl w:ilvl="8" w:tplc="1C090005">
      <w:start w:val="1"/>
      <w:numFmt w:val="bullet"/>
      <w:lvlRestart w:val="0"/>
      <w:lvlText w:val=""/>
      <w:lvlJc w:val="left"/>
      <w:pPr>
        <w:ind w:left="6120" w:hanging="360"/>
      </w:pPr>
      <w:rPr>
        <w:rFonts w:ascii="Wingdings" w:hAnsi="Wingdings" w:hint="default"/>
      </w:rPr>
    </w:lvl>
  </w:abstractNum>
  <w:abstractNum w:abstractNumId="1">
    <w:nsid w:val="0000001E"/>
    <w:multiLevelType w:val="hybridMultilevel"/>
    <w:tmpl w:val="C39E119A"/>
    <w:lvl w:ilvl="0" w:tplc="1C090001">
      <w:start w:val="1"/>
      <w:numFmt w:val="bullet"/>
      <w:lvlText w:val=""/>
      <w:lvlJc w:val="left"/>
      <w:pPr>
        <w:ind w:left="360" w:hanging="360"/>
      </w:pPr>
      <w:rPr>
        <w:rFonts w:ascii="Symbol" w:hAnsi="Symbol" w:hint="default"/>
      </w:rPr>
    </w:lvl>
    <w:lvl w:ilvl="1" w:tplc="1C090003">
      <w:start w:val="1"/>
      <w:numFmt w:val="bullet"/>
      <w:lvlRestart w:val="0"/>
      <w:lvlText w:val="o"/>
      <w:lvlJc w:val="left"/>
      <w:pPr>
        <w:ind w:left="1080" w:hanging="360"/>
      </w:pPr>
      <w:rPr>
        <w:rFonts w:ascii="Courier New" w:hAnsi="Courier New" w:cs="Courier New" w:hint="default"/>
      </w:rPr>
    </w:lvl>
    <w:lvl w:ilvl="2" w:tplc="1C090005">
      <w:start w:val="1"/>
      <w:numFmt w:val="bullet"/>
      <w:lvlRestart w:val="0"/>
      <w:lvlText w:val=""/>
      <w:lvlJc w:val="left"/>
      <w:pPr>
        <w:ind w:left="1800" w:hanging="360"/>
      </w:pPr>
      <w:rPr>
        <w:rFonts w:ascii="Wingdings" w:hAnsi="Wingdings" w:hint="default"/>
      </w:rPr>
    </w:lvl>
    <w:lvl w:ilvl="3" w:tplc="1C090001">
      <w:start w:val="1"/>
      <w:numFmt w:val="bullet"/>
      <w:lvlRestart w:val="0"/>
      <w:lvlText w:val=""/>
      <w:lvlJc w:val="left"/>
      <w:pPr>
        <w:ind w:left="2520" w:hanging="360"/>
      </w:pPr>
      <w:rPr>
        <w:rFonts w:ascii="Symbol" w:hAnsi="Symbol" w:hint="default"/>
      </w:rPr>
    </w:lvl>
    <w:lvl w:ilvl="4" w:tplc="1C090003">
      <w:start w:val="1"/>
      <w:numFmt w:val="bullet"/>
      <w:lvlRestart w:val="0"/>
      <w:lvlText w:val="o"/>
      <w:lvlJc w:val="left"/>
      <w:pPr>
        <w:ind w:left="3240" w:hanging="360"/>
      </w:pPr>
      <w:rPr>
        <w:rFonts w:ascii="Courier New" w:hAnsi="Courier New" w:cs="Courier New" w:hint="default"/>
      </w:rPr>
    </w:lvl>
    <w:lvl w:ilvl="5" w:tplc="1C090005">
      <w:start w:val="1"/>
      <w:numFmt w:val="bullet"/>
      <w:lvlRestart w:val="0"/>
      <w:lvlText w:val=""/>
      <w:lvlJc w:val="left"/>
      <w:pPr>
        <w:ind w:left="3960" w:hanging="360"/>
      </w:pPr>
      <w:rPr>
        <w:rFonts w:ascii="Wingdings" w:hAnsi="Wingdings" w:hint="default"/>
      </w:rPr>
    </w:lvl>
    <w:lvl w:ilvl="6" w:tplc="1C090001">
      <w:start w:val="1"/>
      <w:numFmt w:val="bullet"/>
      <w:lvlRestart w:val="0"/>
      <w:lvlText w:val=""/>
      <w:lvlJc w:val="left"/>
      <w:pPr>
        <w:ind w:left="4680" w:hanging="360"/>
      </w:pPr>
      <w:rPr>
        <w:rFonts w:ascii="Symbol" w:hAnsi="Symbol" w:hint="default"/>
      </w:rPr>
    </w:lvl>
    <w:lvl w:ilvl="7" w:tplc="1C090003">
      <w:start w:val="1"/>
      <w:numFmt w:val="bullet"/>
      <w:lvlRestart w:val="0"/>
      <w:lvlText w:val="o"/>
      <w:lvlJc w:val="left"/>
      <w:pPr>
        <w:ind w:left="5400" w:hanging="360"/>
      </w:pPr>
      <w:rPr>
        <w:rFonts w:ascii="Courier New" w:hAnsi="Courier New" w:cs="Courier New" w:hint="default"/>
      </w:rPr>
    </w:lvl>
    <w:lvl w:ilvl="8" w:tplc="1C090005">
      <w:start w:val="1"/>
      <w:numFmt w:val="bullet"/>
      <w:lvlRestart w:val="0"/>
      <w:lvlText w:val=""/>
      <w:lvlJc w:val="left"/>
      <w:pPr>
        <w:ind w:left="6120" w:hanging="360"/>
      </w:pPr>
      <w:rPr>
        <w:rFonts w:ascii="Wingdings" w:hAnsi="Wingdings" w:hint="default"/>
      </w:rPr>
    </w:lvl>
  </w:abstractNum>
  <w:abstractNum w:abstractNumId="2">
    <w:nsid w:val="00000025"/>
    <w:multiLevelType w:val="hybridMultilevel"/>
    <w:tmpl w:val="939C6EC4"/>
    <w:lvl w:ilvl="0" w:tplc="1C090001">
      <w:start w:val="1"/>
      <w:numFmt w:val="bullet"/>
      <w:lvlText w:val=""/>
      <w:lvlJc w:val="left"/>
      <w:pPr>
        <w:ind w:left="720" w:hanging="360"/>
      </w:pPr>
      <w:rPr>
        <w:rFonts w:ascii="Symbol" w:hAnsi="Symbol" w:hint="default"/>
      </w:rPr>
    </w:lvl>
    <w:lvl w:ilvl="1" w:tplc="1C090003">
      <w:start w:val="1"/>
      <w:numFmt w:val="bullet"/>
      <w:lvlRestart w:val="0"/>
      <w:lvlText w:val="o"/>
      <w:lvlJc w:val="left"/>
      <w:pPr>
        <w:ind w:left="1440" w:hanging="360"/>
      </w:pPr>
      <w:rPr>
        <w:rFonts w:ascii="Courier New" w:hAnsi="Courier New" w:cs="Courier New" w:hint="default"/>
      </w:rPr>
    </w:lvl>
    <w:lvl w:ilvl="2" w:tplc="1C090005">
      <w:start w:val="1"/>
      <w:numFmt w:val="bullet"/>
      <w:lvlRestart w:val="0"/>
      <w:lvlText w:val=""/>
      <w:lvlJc w:val="left"/>
      <w:pPr>
        <w:ind w:left="2160" w:hanging="360"/>
      </w:pPr>
      <w:rPr>
        <w:rFonts w:ascii="Wingdings" w:hAnsi="Wingdings" w:hint="default"/>
      </w:rPr>
    </w:lvl>
    <w:lvl w:ilvl="3" w:tplc="1C090001">
      <w:start w:val="1"/>
      <w:numFmt w:val="bullet"/>
      <w:lvlRestart w:val="0"/>
      <w:lvlText w:val=""/>
      <w:lvlJc w:val="left"/>
      <w:pPr>
        <w:ind w:left="2880" w:hanging="360"/>
      </w:pPr>
      <w:rPr>
        <w:rFonts w:ascii="Symbol" w:hAnsi="Symbol" w:hint="default"/>
      </w:rPr>
    </w:lvl>
    <w:lvl w:ilvl="4" w:tplc="1C090003">
      <w:start w:val="1"/>
      <w:numFmt w:val="bullet"/>
      <w:lvlRestart w:val="0"/>
      <w:lvlText w:val="o"/>
      <w:lvlJc w:val="left"/>
      <w:pPr>
        <w:ind w:left="3600" w:hanging="360"/>
      </w:pPr>
      <w:rPr>
        <w:rFonts w:ascii="Courier New" w:hAnsi="Courier New" w:cs="Courier New" w:hint="default"/>
      </w:rPr>
    </w:lvl>
    <w:lvl w:ilvl="5" w:tplc="1C090005">
      <w:start w:val="1"/>
      <w:numFmt w:val="bullet"/>
      <w:lvlRestart w:val="0"/>
      <w:lvlText w:val=""/>
      <w:lvlJc w:val="left"/>
      <w:pPr>
        <w:ind w:left="4320" w:hanging="360"/>
      </w:pPr>
      <w:rPr>
        <w:rFonts w:ascii="Wingdings" w:hAnsi="Wingdings" w:hint="default"/>
      </w:rPr>
    </w:lvl>
    <w:lvl w:ilvl="6" w:tplc="1C090001">
      <w:start w:val="1"/>
      <w:numFmt w:val="bullet"/>
      <w:lvlRestart w:val="0"/>
      <w:lvlText w:val=""/>
      <w:lvlJc w:val="left"/>
      <w:pPr>
        <w:ind w:left="5040" w:hanging="360"/>
      </w:pPr>
      <w:rPr>
        <w:rFonts w:ascii="Symbol" w:hAnsi="Symbol" w:hint="default"/>
      </w:rPr>
    </w:lvl>
    <w:lvl w:ilvl="7" w:tplc="1C090003">
      <w:start w:val="1"/>
      <w:numFmt w:val="bullet"/>
      <w:lvlRestart w:val="0"/>
      <w:lvlText w:val="o"/>
      <w:lvlJc w:val="left"/>
      <w:pPr>
        <w:ind w:left="5760" w:hanging="360"/>
      </w:pPr>
      <w:rPr>
        <w:rFonts w:ascii="Courier New" w:hAnsi="Courier New" w:cs="Courier New" w:hint="default"/>
      </w:rPr>
    </w:lvl>
    <w:lvl w:ilvl="8" w:tplc="1C090005">
      <w:start w:val="1"/>
      <w:numFmt w:val="bullet"/>
      <w:lvlRestart w:val="0"/>
      <w:lvlText w:val=""/>
      <w:lvlJc w:val="left"/>
      <w:pPr>
        <w:ind w:left="6480" w:hanging="360"/>
      </w:pPr>
      <w:rPr>
        <w:rFonts w:ascii="Wingdings" w:hAnsi="Wingdings" w:hint="default"/>
      </w:rPr>
    </w:lvl>
  </w:abstractNum>
  <w:abstractNum w:abstractNumId="3">
    <w:nsid w:val="00000027"/>
    <w:multiLevelType w:val="hybridMultilevel"/>
    <w:tmpl w:val="495E2610"/>
    <w:lvl w:ilvl="0" w:tplc="1C090001">
      <w:start w:val="1"/>
      <w:numFmt w:val="bullet"/>
      <w:lvlText w:val=""/>
      <w:lvlJc w:val="left"/>
      <w:pPr>
        <w:ind w:left="360" w:hanging="360"/>
      </w:pPr>
      <w:rPr>
        <w:rFonts w:ascii="Symbol" w:hAnsi="Symbol" w:hint="default"/>
      </w:rPr>
    </w:lvl>
    <w:lvl w:ilvl="1" w:tplc="1C090003">
      <w:start w:val="1"/>
      <w:numFmt w:val="bullet"/>
      <w:lvlRestart w:val="0"/>
      <w:lvlText w:val="o"/>
      <w:lvlJc w:val="left"/>
      <w:pPr>
        <w:ind w:left="1080" w:hanging="360"/>
      </w:pPr>
      <w:rPr>
        <w:rFonts w:ascii="Courier New" w:hAnsi="Courier New" w:cs="Courier New" w:hint="default"/>
      </w:rPr>
    </w:lvl>
    <w:lvl w:ilvl="2" w:tplc="1C090005">
      <w:start w:val="1"/>
      <w:numFmt w:val="bullet"/>
      <w:lvlRestart w:val="0"/>
      <w:lvlText w:val=""/>
      <w:lvlJc w:val="left"/>
      <w:pPr>
        <w:ind w:left="1800" w:hanging="360"/>
      </w:pPr>
      <w:rPr>
        <w:rFonts w:ascii="Wingdings" w:hAnsi="Wingdings" w:hint="default"/>
      </w:rPr>
    </w:lvl>
    <w:lvl w:ilvl="3" w:tplc="1C090001">
      <w:start w:val="1"/>
      <w:numFmt w:val="bullet"/>
      <w:lvlRestart w:val="0"/>
      <w:lvlText w:val=""/>
      <w:lvlJc w:val="left"/>
      <w:pPr>
        <w:ind w:left="2520" w:hanging="360"/>
      </w:pPr>
      <w:rPr>
        <w:rFonts w:ascii="Symbol" w:hAnsi="Symbol" w:hint="default"/>
      </w:rPr>
    </w:lvl>
    <w:lvl w:ilvl="4" w:tplc="1C090003">
      <w:start w:val="1"/>
      <w:numFmt w:val="bullet"/>
      <w:lvlRestart w:val="0"/>
      <w:lvlText w:val="o"/>
      <w:lvlJc w:val="left"/>
      <w:pPr>
        <w:ind w:left="3240" w:hanging="360"/>
      </w:pPr>
      <w:rPr>
        <w:rFonts w:ascii="Courier New" w:hAnsi="Courier New" w:cs="Courier New" w:hint="default"/>
      </w:rPr>
    </w:lvl>
    <w:lvl w:ilvl="5" w:tplc="1C090005">
      <w:start w:val="1"/>
      <w:numFmt w:val="bullet"/>
      <w:lvlRestart w:val="0"/>
      <w:lvlText w:val=""/>
      <w:lvlJc w:val="left"/>
      <w:pPr>
        <w:ind w:left="3960" w:hanging="360"/>
      </w:pPr>
      <w:rPr>
        <w:rFonts w:ascii="Wingdings" w:hAnsi="Wingdings" w:hint="default"/>
      </w:rPr>
    </w:lvl>
    <w:lvl w:ilvl="6" w:tplc="1C090001">
      <w:start w:val="1"/>
      <w:numFmt w:val="bullet"/>
      <w:lvlRestart w:val="0"/>
      <w:lvlText w:val=""/>
      <w:lvlJc w:val="left"/>
      <w:pPr>
        <w:ind w:left="4680" w:hanging="360"/>
      </w:pPr>
      <w:rPr>
        <w:rFonts w:ascii="Symbol" w:hAnsi="Symbol" w:hint="default"/>
      </w:rPr>
    </w:lvl>
    <w:lvl w:ilvl="7" w:tplc="1C090003">
      <w:start w:val="1"/>
      <w:numFmt w:val="bullet"/>
      <w:lvlRestart w:val="0"/>
      <w:lvlText w:val="o"/>
      <w:lvlJc w:val="left"/>
      <w:pPr>
        <w:ind w:left="5400" w:hanging="360"/>
      </w:pPr>
      <w:rPr>
        <w:rFonts w:ascii="Courier New" w:hAnsi="Courier New" w:cs="Courier New" w:hint="default"/>
      </w:rPr>
    </w:lvl>
    <w:lvl w:ilvl="8" w:tplc="1C090005">
      <w:start w:val="1"/>
      <w:numFmt w:val="bullet"/>
      <w:lvlRestart w:val="0"/>
      <w:lvlText w:val=""/>
      <w:lvlJc w:val="left"/>
      <w:pPr>
        <w:ind w:left="6120" w:hanging="360"/>
      </w:pPr>
      <w:rPr>
        <w:rFonts w:ascii="Wingdings" w:hAnsi="Wingdings" w:hint="default"/>
      </w:rPr>
    </w:lvl>
  </w:abstractNum>
  <w:abstractNum w:abstractNumId="4">
    <w:nsid w:val="00000028"/>
    <w:multiLevelType w:val="hybridMultilevel"/>
    <w:tmpl w:val="3BFEF59E"/>
    <w:lvl w:ilvl="0" w:tplc="1C090001">
      <w:start w:val="1"/>
      <w:numFmt w:val="bullet"/>
      <w:lvlText w:val=""/>
      <w:lvlJc w:val="left"/>
      <w:pPr>
        <w:ind w:left="360" w:hanging="360"/>
      </w:pPr>
      <w:rPr>
        <w:rFonts w:ascii="Symbol" w:hAnsi="Symbol" w:hint="default"/>
      </w:rPr>
    </w:lvl>
    <w:lvl w:ilvl="1" w:tplc="1C090003">
      <w:start w:val="1"/>
      <w:numFmt w:val="bullet"/>
      <w:lvlRestart w:val="0"/>
      <w:lvlText w:val="o"/>
      <w:lvlJc w:val="left"/>
      <w:pPr>
        <w:ind w:left="1080" w:hanging="360"/>
      </w:pPr>
      <w:rPr>
        <w:rFonts w:ascii="Courier New" w:hAnsi="Courier New" w:cs="Courier New" w:hint="default"/>
      </w:rPr>
    </w:lvl>
    <w:lvl w:ilvl="2" w:tplc="1C090005">
      <w:start w:val="1"/>
      <w:numFmt w:val="bullet"/>
      <w:lvlRestart w:val="0"/>
      <w:lvlText w:val=""/>
      <w:lvlJc w:val="left"/>
      <w:pPr>
        <w:ind w:left="1800" w:hanging="360"/>
      </w:pPr>
      <w:rPr>
        <w:rFonts w:ascii="Wingdings" w:hAnsi="Wingdings" w:hint="default"/>
      </w:rPr>
    </w:lvl>
    <w:lvl w:ilvl="3" w:tplc="1C090001">
      <w:start w:val="1"/>
      <w:numFmt w:val="bullet"/>
      <w:lvlRestart w:val="0"/>
      <w:lvlText w:val=""/>
      <w:lvlJc w:val="left"/>
      <w:pPr>
        <w:ind w:left="2520" w:hanging="360"/>
      </w:pPr>
      <w:rPr>
        <w:rFonts w:ascii="Symbol" w:hAnsi="Symbol" w:hint="default"/>
      </w:rPr>
    </w:lvl>
    <w:lvl w:ilvl="4" w:tplc="1C090003">
      <w:start w:val="1"/>
      <w:numFmt w:val="bullet"/>
      <w:lvlRestart w:val="0"/>
      <w:lvlText w:val="o"/>
      <w:lvlJc w:val="left"/>
      <w:pPr>
        <w:ind w:left="3240" w:hanging="360"/>
      </w:pPr>
      <w:rPr>
        <w:rFonts w:ascii="Courier New" w:hAnsi="Courier New" w:cs="Courier New" w:hint="default"/>
      </w:rPr>
    </w:lvl>
    <w:lvl w:ilvl="5" w:tplc="1C090005">
      <w:start w:val="1"/>
      <w:numFmt w:val="bullet"/>
      <w:lvlRestart w:val="0"/>
      <w:lvlText w:val=""/>
      <w:lvlJc w:val="left"/>
      <w:pPr>
        <w:ind w:left="3960" w:hanging="360"/>
      </w:pPr>
      <w:rPr>
        <w:rFonts w:ascii="Wingdings" w:hAnsi="Wingdings" w:hint="default"/>
      </w:rPr>
    </w:lvl>
    <w:lvl w:ilvl="6" w:tplc="1C090001">
      <w:start w:val="1"/>
      <w:numFmt w:val="bullet"/>
      <w:lvlRestart w:val="0"/>
      <w:lvlText w:val=""/>
      <w:lvlJc w:val="left"/>
      <w:pPr>
        <w:ind w:left="4680" w:hanging="360"/>
      </w:pPr>
      <w:rPr>
        <w:rFonts w:ascii="Symbol" w:hAnsi="Symbol" w:hint="default"/>
      </w:rPr>
    </w:lvl>
    <w:lvl w:ilvl="7" w:tplc="1C090003">
      <w:start w:val="1"/>
      <w:numFmt w:val="bullet"/>
      <w:lvlRestart w:val="0"/>
      <w:lvlText w:val="o"/>
      <w:lvlJc w:val="left"/>
      <w:pPr>
        <w:ind w:left="5400" w:hanging="360"/>
      </w:pPr>
      <w:rPr>
        <w:rFonts w:ascii="Courier New" w:hAnsi="Courier New" w:cs="Courier New" w:hint="default"/>
      </w:rPr>
    </w:lvl>
    <w:lvl w:ilvl="8" w:tplc="1C090005">
      <w:start w:val="1"/>
      <w:numFmt w:val="bullet"/>
      <w:lvlRestart w:val="0"/>
      <w:lvlText w:val=""/>
      <w:lvlJc w:val="left"/>
      <w:pPr>
        <w:ind w:left="6120" w:hanging="360"/>
      </w:pPr>
      <w:rPr>
        <w:rFonts w:ascii="Wingdings" w:hAnsi="Wingdings" w:hint="default"/>
      </w:rPr>
    </w:lvl>
  </w:abstractNum>
  <w:abstractNum w:abstractNumId="5">
    <w:nsid w:val="00000029"/>
    <w:multiLevelType w:val="hybridMultilevel"/>
    <w:tmpl w:val="9CC22A6E"/>
    <w:lvl w:ilvl="0" w:tplc="1C090001">
      <w:start w:val="1"/>
      <w:numFmt w:val="bullet"/>
      <w:lvlText w:val=""/>
      <w:lvlJc w:val="left"/>
      <w:pPr>
        <w:ind w:left="720" w:hanging="360"/>
      </w:pPr>
      <w:rPr>
        <w:rFonts w:ascii="Symbol" w:hAnsi="Symbol" w:hint="default"/>
      </w:rPr>
    </w:lvl>
    <w:lvl w:ilvl="1" w:tplc="1C090003">
      <w:start w:val="1"/>
      <w:numFmt w:val="bullet"/>
      <w:lvlRestart w:val="0"/>
      <w:lvlText w:val="o"/>
      <w:lvlJc w:val="left"/>
      <w:pPr>
        <w:ind w:left="1440" w:hanging="360"/>
      </w:pPr>
      <w:rPr>
        <w:rFonts w:ascii="Courier New" w:hAnsi="Courier New" w:cs="Courier New" w:hint="default"/>
      </w:rPr>
    </w:lvl>
    <w:lvl w:ilvl="2" w:tplc="1C090005">
      <w:start w:val="1"/>
      <w:numFmt w:val="bullet"/>
      <w:lvlRestart w:val="0"/>
      <w:lvlText w:val=""/>
      <w:lvlJc w:val="left"/>
      <w:pPr>
        <w:ind w:left="2160" w:hanging="360"/>
      </w:pPr>
      <w:rPr>
        <w:rFonts w:ascii="Wingdings" w:hAnsi="Wingdings" w:hint="default"/>
      </w:rPr>
    </w:lvl>
    <w:lvl w:ilvl="3" w:tplc="1C090001">
      <w:start w:val="1"/>
      <w:numFmt w:val="bullet"/>
      <w:lvlRestart w:val="0"/>
      <w:lvlText w:val=""/>
      <w:lvlJc w:val="left"/>
      <w:pPr>
        <w:ind w:left="2880" w:hanging="360"/>
      </w:pPr>
      <w:rPr>
        <w:rFonts w:ascii="Symbol" w:hAnsi="Symbol" w:hint="default"/>
      </w:rPr>
    </w:lvl>
    <w:lvl w:ilvl="4" w:tplc="1C090003">
      <w:start w:val="1"/>
      <w:numFmt w:val="bullet"/>
      <w:lvlRestart w:val="0"/>
      <w:lvlText w:val="o"/>
      <w:lvlJc w:val="left"/>
      <w:pPr>
        <w:ind w:left="3600" w:hanging="360"/>
      </w:pPr>
      <w:rPr>
        <w:rFonts w:ascii="Courier New" w:hAnsi="Courier New" w:cs="Courier New" w:hint="default"/>
      </w:rPr>
    </w:lvl>
    <w:lvl w:ilvl="5" w:tplc="1C090005">
      <w:start w:val="1"/>
      <w:numFmt w:val="bullet"/>
      <w:lvlRestart w:val="0"/>
      <w:lvlText w:val=""/>
      <w:lvlJc w:val="left"/>
      <w:pPr>
        <w:ind w:left="4320" w:hanging="360"/>
      </w:pPr>
      <w:rPr>
        <w:rFonts w:ascii="Wingdings" w:hAnsi="Wingdings" w:hint="default"/>
      </w:rPr>
    </w:lvl>
    <w:lvl w:ilvl="6" w:tplc="1C090001">
      <w:start w:val="1"/>
      <w:numFmt w:val="bullet"/>
      <w:lvlRestart w:val="0"/>
      <w:lvlText w:val=""/>
      <w:lvlJc w:val="left"/>
      <w:pPr>
        <w:ind w:left="5040" w:hanging="360"/>
      </w:pPr>
      <w:rPr>
        <w:rFonts w:ascii="Symbol" w:hAnsi="Symbol" w:hint="default"/>
      </w:rPr>
    </w:lvl>
    <w:lvl w:ilvl="7" w:tplc="1C090003">
      <w:start w:val="1"/>
      <w:numFmt w:val="bullet"/>
      <w:lvlRestart w:val="0"/>
      <w:lvlText w:val="o"/>
      <w:lvlJc w:val="left"/>
      <w:pPr>
        <w:ind w:left="5760" w:hanging="360"/>
      </w:pPr>
      <w:rPr>
        <w:rFonts w:ascii="Courier New" w:hAnsi="Courier New" w:cs="Courier New" w:hint="default"/>
      </w:rPr>
    </w:lvl>
    <w:lvl w:ilvl="8" w:tplc="1C090005">
      <w:start w:val="1"/>
      <w:numFmt w:val="bullet"/>
      <w:lvlRestart w:val="0"/>
      <w:lvlText w:val=""/>
      <w:lvlJc w:val="left"/>
      <w:pPr>
        <w:ind w:left="6480" w:hanging="360"/>
      </w:pPr>
      <w:rPr>
        <w:rFonts w:ascii="Wingdings" w:hAnsi="Wingdings" w:hint="default"/>
      </w:rPr>
    </w:lvl>
  </w:abstractNum>
  <w:abstractNum w:abstractNumId="6">
    <w:nsid w:val="01610B75"/>
    <w:multiLevelType w:val="hybridMultilevel"/>
    <w:tmpl w:val="57501F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05C801D6"/>
    <w:multiLevelType w:val="hybridMultilevel"/>
    <w:tmpl w:val="229E54D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09396FE5"/>
    <w:multiLevelType w:val="hybridMultilevel"/>
    <w:tmpl w:val="DE3C45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0D3E3C18"/>
    <w:multiLevelType w:val="hybridMultilevel"/>
    <w:tmpl w:val="68B8C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C20044"/>
    <w:multiLevelType w:val="hybridMultilevel"/>
    <w:tmpl w:val="A18288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24C3082"/>
    <w:multiLevelType w:val="hybridMultilevel"/>
    <w:tmpl w:val="5E08E7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3FB2B0E"/>
    <w:multiLevelType w:val="hybridMultilevel"/>
    <w:tmpl w:val="E28A5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8A76B15"/>
    <w:multiLevelType w:val="hybridMultilevel"/>
    <w:tmpl w:val="9DE6F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E759E5"/>
    <w:multiLevelType w:val="hybridMultilevel"/>
    <w:tmpl w:val="BBD221E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1D090D56"/>
    <w:multiLevelType w:val="hybridMultilevel"/>
    <w:tmpl w:val="7C149F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E61394B"/>
    <w:multiLevelType w:val="hybridMultilevel"/>
    <w:tmpl w:val="5A12B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09473D3"/>
    <w:multiLevelType w:val="hybridMultilevel"/>
    <w:tmpl w:val="01DE08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23A5078"/>
    <w:multiLevelType w:val="hybridMultilevel"/>
    <w:tmpl w:val="949CB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2AB427C"/>
    <w:multiLevelType w:val="hybridMultilevel"/>
    <w:tmpl w:val="7F24F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6C935FA"/>
    <w:multiLevelType w:val="hybridMultilevel"/>
    <w:tmpl w:val="0B96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72C768C"/>
    <w:multiLevelType w:val="hybridMultilevel"/>
    <w:tmpl w:val="47D405F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2">
    <w:nsid w:val="27615F3C"/>
    <w:multiLevelType w:val="hybridMultilevel"/>
    <w:tmpl w:val="987A10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A04E77"/>
    <w:multiLevelType w:val="hybridMultilevel"/>
    <w:tmpl w:val="FD58A2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29CD64D7"/>
    <w:multiLevelType w:val="hybridMultilevel"/>
    <w:tmpl w:val="C6764F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2C847C03"/>
    <w:multiLevelType w:val="multilevel"/>
    <w:tmpl w:val="C7EAF5E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957660"/>
    <w:multiLevelType w:val="hybridMultilevel"/>
    <w:tmpl w:val="0548D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DA71AD4"/>
    <w:multiLevelType w:val="hybridMultilevel"/>
    <w:tmpl w:val="D13C8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04461DE"/>
    <w:multiLevelType w:val="hybridMultilevel"/>
    <w:tmpl w:val="81D0A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1A303E7"/>
    <w:multiLevelType w:val="hybridMultilevel"/>
    <w:tmpl w:val="C67E46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nsid w:val="3843176A"/>
    <w:multiLevelType w:val="hybridMultilevel"/>
    <w:tmpl w:val="06A8AC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392A4083"/>
    <w:multiLevelType w:val="hybridMultilevel"/>
    <w:tmpl w:val="266A1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394E2B36"/>
    <w:multiLevelType w:val="hybridMultilevel"/>
    <w:tmpl w:val="BED0DD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3C3924F0"/>
    <w:multiLevelType w:val="hybridMultilevel"/>
    <w:tmpl w:val="7BE0B4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3D43727B"/>
    <w:multiLevelType w:val="hybridMultilevel"/>
    <w:tmpl w:val="2FE49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00A09FD"/>
    <w:multiLevelType w:val="hybridMultilevel"/>
    <w:tmpl w:val="713C92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422140DA"/>
    <w:multiLevelType w:val="hybridMultilevel"/>
    <w:tmpl w:val="66262C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44257407"/>
    <w:multiLevelType w:val="hybridMultilevel"/>
    <w:tmpl w:val="0DA01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5C83E9E"/>
    <w:multiLevelType w:val="hybridMultilevel"/>
    <w:tmpl w:val="D2025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A0019A8"/>
    <w:multiLevelType w:val="hybridMultilevel"/>
    <w:tmpl w:val="085C2B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4BCC10C3"/>
    <w:multiLevelType w:val="hybridMultilevel"/>
    <w:tmpl w:val="7FF8DB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4C4A0A39"/>
    <w:multiLevelType w:val="hybridMultilevel"/>
    <w:tmpl w:val="1A3E2A36"/>
    <w:lvl w:ilvl="0" w:tplc="A45AA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4E8332D2"/>
    <w:multiLevelType w:val="hybridMultilevel"/>
    <w:tmpl w:val="997C9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8283C94"/>
    <w:multiLevelType w:val="hybridMultilevel"/>
    <w:tmpl w:val="8A125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906090F"/>
    <w:multiLevelType w:val="hybridMultilevel"/>
    <w:tmpl w:val="1B5E6D9E"/>
    <w:lvl w:ilvl="0" w:tplc="E0F81172">
      <w:start w:val="1"/>
      <w:numFmt w:val="decimal"/>
      <w:lvlText w:val="%1."/>
      <w:lvlJc w:val="left"/>
      <w:pPr>
        <w:ind w:left="644"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59991678"/>
    <w:multiLevelType w:val="hybridMultilevel"/>
    <w:tmpl w:val="40AC9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C09024E"/>
    <w:multiLevelType w:val="hybridMultilevel"/>
    <w:tmpl w:val="03F411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5C946296"/>
    <w:multiLevelType w:val="singleLevel"/>
    <w:tmpl w:val="00000000"/>
    <w:lvl w:ilvl="0">
      <w:start w:val="1"/>
      <w:numFmt w:val="bullet"/>
      <w:lvlText w:val="·"/>
      <w:lvlJc w:val="left"/>
      <w:pPr>
        <w:ind w:left="0" w:hanging="360"/>
      </w:pPr>
      <w:rPr>
        <w:rFonts w:ascii="Symbol" w:hAnsi="Symbol" w:hint="default"/>
        <w:w w:val="100"/>
      </w:rPr>
    </w:lvl>
  </w:abstractNum>
  <w:abstractNum w:abstractNumId="48">
    <w:nsid w:val="5C94629E"/>
    <w:multiLevelType w:val="singleLevel"/>
    <w:tmpl w:val="00000000"/>
    <w:lvl w:ilvl="0">
      <w:start w:val="1"/>
      <w:numFmt w:val="bullet"/>
      <w:lvlText w:val="·"/>
      <w:lvlJc w:val="left"/>
      <w:pPr>
        <w:ind w:left="-360" w:hanging="360"/>
      </w:pPr>
      <w:rPr>
        <w:rFonts w:ascii="Symbol" w:hAnsi="Symbol" w:hint="default"/>
        <w:w w:val="100"/>
      </w:rPr>
    </w:lvl>
  </w:abstractNum>
  <w:abstractNum w:abstractNumId="49">
    <w:nsid w:val="5E287DB4"/>
    <w:multiLevelType w:val="hybridMultilevel"/>
    <w:tmpl w:val="5E36B6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nsid w:val="5E2E44C7"/>
    <w:multiLevelType w:val="hybridMultilevel"/>
    <w:tmpl w:val="98B6F9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nsid w:val="5F9A5D19"/>
    <w:multiLevelType w:val="hybridMultilevel"/>
    <w:tmpl w:val="BC7089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nsid w:val="5FB621B7"/>
    <w:multiLevelType w:val="hybridMultilevel"/>
    <w:tmpl w:val="4B52E2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64027B2A"/>
    <w:multiLevelType w:val="hybridMultilevel"/>
    <w:tmpl w:val="AF420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64B23FFE"/>
    <w:multiLevelType w:val="hybridMultilevel"/>
    <w:tmpl w:val="89227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690C2DF9"/>
    <w:multiLevelType w:val="hybridMultilevel"/>
    <w:tmpl w:val="D21863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nsid w:val="6D5777F5"/>
    <w:multiLevelType w:val="hybridMultilevel"/>
    <w:tmpl w:val="A5C038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nsid w:val="779677C8"/>
    <w:multiLevelType w:val="hybridMultilevel"/>
    <w:tmpl w:val="2A16DD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8">
    <w:nsid w:val="7917376F"/>
    <w:multiLevelType w:val="hybridMultilevel"/>
    <w:tmpl w:val="A3EC0A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nsid w:val="7B63478D"/>
    <w:multiLevelType w:val="hybridMultilevel"/>
    <w:tmpl w:val="69C641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7BA66593"/>
    <w:multiLevelType w:val="hybridMultilevel"/>
    <w:tmpl w:val="F0E07C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7D99275C"/>
    <w:multiLevelType w:val="hybridMultilevel"/>
    <w:tmpl w:val="44CCD6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nsid w:val="7F9B2DD1"/>
    <w:multiLevelType w:val="hybridMultilevel"/>
    <w:tmpl w:val="C80AA2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nsid w:val="7FB05692"/>
    <w:multiLevelType w:val="hybridMultilevel"/>
    <w:tmpl w:val="AB00C5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6"/>
  </w:num>
  <w:num w:numId="2">
    <w:abstractNumId w:val="11"/>
  </w:num>
  <w:num w:numId="3">
    <w:abstractNumId w:val="50"/>
  </w:num>
  <w:num w:numId="4">
    <w:abstractNumId w:val="16"/>
  </w:num>
  <w:num w:numId="5">
    <w:abstractNumId w:val="63"/>
  </w:num>
  <w:num w:numId="6">
    <w:abstractNumId w:val="29"/>
  </w:num>
  <w:num w:numId="7">
    <w:abstractNumId w:val="28"/>
  </w:num>
  <w:num w:numId="8">
    <w:abstractNumId w:val="58"/>
  </w:num>
  <w:num w:numId="9">
    <w:abstractNumId w:val="35"/>
  </w:num>
  <w:num w:numId="10">
    <w:abstractNumId w:val="45"/>
  </w:num>
  <w:num w:numId="11">
    <w:abstractNumId w:val="32"/>
  </w:num>
  <w:num w:numId="12">
    <w:abstractNumId w:val="22"/>
  </w:num>
  <w:num w:numId="13">
    <w:abstractNumId w:val="61"/>
  </w:num>
  <w:num w:numId="14">
    <w:abstractNumId w:val="7"/>
  </w:num>
  <w:num w:numId="15">
    <w:abstractNumId w:val="56"/>
  </w:num>
  <w:num w:numId="16">
    <w:abstractNumId w:val="52"/>
  </w:num>
  <w:num w:numId="17">
    <w:abstractNumId w:val="55"/>
  </w:num>
  <w:num w:numId="18">
    <w:abstractNumId w:val="40"/>
  </w:num>
  <w:num w:numId="19">
    <w:abstractNumId w:val="51"/>
  </w:num>
  <w:num w:numId="20">
    <w:abstractNumId w:val="43"/>
  </w:num>
  <w:num w:numId="21">
    <w:abstractNumId w:val="37"/>
  </w:num>
  <w:num w:numId="22">
    <w:abstractNumId w:val="0"/>
  </w:num>
  <w:num w:numId="23">
    <w:abstractNumId w:val="1"/>
  </w:num>
  <w:num w:numId="24">
    <w:abstractNumId w:val="3"/>
  </w:num>
  <w:num w:numId="25">
    <w:abstractNumId w:val="2"/>
  </w:num>
  <w:num w:numId="26">
    <w:abstractNumId w:val="5"/>
  </w:num>
  <w:num w:numId="27">
    <w:abstractNumId w:val="4"/>
  </w:num>
  <w:num w:numId="28">
    <w:abstractNumId w:val="36"/>
  </w:num>
  <w:num w:numId="29">
    <w:abstractNumId w:val="24"/>
  </w:num>
  <w:num w:numId="30">
    <w:abstractNumId w:val="8"/>
  </w:num>
  <w:num w:numId="31">
    <w:abstractNumId w:val="42"/>
  </w:num>
  <w:num w:numId="32">
    <w:abstractNumId w:val="30"/>
  </w:num>
  <w:num w:numId="33">
    <w:abstractNumId w:val="14"/>
  </w:num>
  <w:num w:numId="34">
    <w:abstractNumId w:val="17"/>
  </w:num>
  <w:num w:numId="35">
    <w:abstractNumId w:val="23"/>
  </w:num>
  <w:num w:numId="36">
    <w:abstractNumId w:val="47"/>
  </w:num>
  <w:num w:numId="37">
    <w:abstractNumId w:val="48"/>
  </w:num>
  <w:num w:numId="38">
    <w:abstractNumId w:val="27"/>
  </w:num>
  <w:num w:numId="39">
    <w:abstractNumId w:val="59"/>
  </w:num>
  <w:num w:numId="40">
    <w:abstractNumId w:val="20"/>
  </w:num>
  <w:num w:numId="41">
    <w:abstractNumId w:val="41"/>
  </w:num>
  <w:num w:numId="42">
    <w:abstractNumId w:val="33"/>
  </w:num>
  <w:num w:numId="43">
    <w:abstractNumId w:val="15"/>
  </w:num>
  <w:num w:numId="44">
    <w:abstractNumId w:val="13"/>
  </w:num>
  <w:num w:numId="45">
    <w:abstractNumId w:val="38"/>
  </w:num>
  <w:num w:numId="46">
    <w:abstractNumId w:val="34"/>
  </w:num>
  <w:num w:numId="47">
    <w:abstractNumId w:val="60"/>
  </w:num>
  <w:num w:numId="48">
    <w:abstractNumId w:val="31"/>
  </w:num>
  <w:num w:numId="49">
    <w:abstractNumId w:val="21"/>
  </w:num>
  <w:num w:numId="50">
    <w:abstractNumId w:val="44"/>
  </w:num>
  <w:num w:numId="51">
    <w:abstractNumId w:val="19"/>
  </w:num>
  <w:num w:numId="52">
    <w:abstractNumId w:val="18"/>
  </w:num>
  <w:num w:numId="53">
    <w:abstractNumId w:val="62"/>
  </w:num>
  <w:num w:numId="54">
    <w:abstractNumId w:val="49"/>
  </w:num>
  <w:num w:numId="55">
    <w:abstractNumId w:val="57"/>
  </w:num>
  <w:num w:numId="56">
    <w:abstractNumId w:val="39"/>
  </w:num>
  <w:num w:numId="57">
    <w:abstractNumId w:val="9"/>
  </w:num>
  <w:num w:numId="58">
    <w:abstractNumId w:val="25"/>
  </w:num>
  <w:num w:numId="59">
    <w:abstractNumId w:val="53"/>
  </w:num>
  <w:num w:numId="60">
    <w:abstractNumId w:val="54"/>
  </w:num>
  <w:num w:numId="61">
    <w:abstractNumId w:val="6"/>
  </w:num>
  <w:num w:numId="62">
    <w:abstractNumId w:val="10"/>
  </w:num>
  <w:num w:numId="63">
    <w:abstractNumId w:val="26"/>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E2"/>
    <w:rsid w:val="0000258B"/>
    <w:rsid w:val="00006F34"/>
    <w:rsid w:val="0001107D"/>
    <w:rsid w:val="00020A94"/>
    <w:rsid w:val="00020B85"/>
    <w:rsid w:val="00020E4F"/>
    <w:rsid w:val="00021C26"/>
    <w:rsid w:val="000237E4"/>
    <w:rsid w:val="0002603D"/>
    <w:rsid w:val="000349CF"/>
    <w:rsid w:val="00036FCF"/>
    <w:rsid w:val="00037538"/>
    <w:rsid w:val="0004015E"/>
    <w:rsid w:val="00044147"/>
    <w:rsid w:val="0005122E"/>
    <w:rsid w:val="00051D18"/>
    <w:rsid w:val="000525A9"/>
    <w:rsid w:val="000571B0"/>
    <w:rsid w:val="000642D4"/>
    <w:rsid w:val="000717B3"/>
    <w:rsid w:val="000717E1"/>
    <w:rsid w:val="00072CD9"/>
    <w:rsid w:val="00073247"/>
    <w:rsid w:val="00074A3A"/>
    <w:rsid w:val="0008458C"/>
    <w:rsid w:val="00091DAB"/>
    <w:rsid w:val="00093D68"/>
    <w:rsid w:val="000971BD"/>
    <w:rsid w:val="00097860"/>
    <w:rsid w:val="000B0A74"/>
    <w:rsid w:val="000B16D1"/>
    <w:rsid w:val="000B2BFD"/>
    <w:rsid w:val="000C47AB"/>
    <w:rsid w:val="000D1209"/>
    <w:rsid w:val="000D2E41"/>
    <w:rsid w:val="000E31DE"/>
    <w:rsid w:val="000F6F88"/>
    <w:rsid w:val="00115D04"/>
    <w:rsid w:val="001170E4"/>
    <w:rsid w:val="00125AB3"/>
    <w:rsid w:val="00126DC5"/>
    <w:rsid w:val="0013691B"/>
    <w:rsid w:val="00140031"/>
    <w:rsid w:val="0014071A"/>
    <w:rsid w:val="001420A3"/>
    <w:rsid w:val="00143099"/>
    <w:rsid w:val="00143442"/>
    <w:rsid w:val="00157478"/>
    <w:rsid w:val="0016328A"/>
    <w:rsid w:val="001870D4"/>
    <w:rsid w:val="001928A3"/>
    <w:rsid w:val="001C1EDD"/>
    <w:rsid w:val="001E1124"/>
    <w:rsid w:val="001F13A1"/>
    <w:rsid w:val="001F3E27"/>
    <w:rsid w:val="001F4AEA"/>
    <w:rsid w:val="00203748"/>
    <w:rsid w:val="00204AE5"/>
    <w:rsid w:val="00210F26"/>
    <w:rsid w:val="00220931"/>
    <w:rsid w:val="002234FD"/>
    <w:rsid w:val="002330C6"/>
    <w:rsid w:val="0024180D"/>
    <w:rsid w:val="002519A9"/>
    <w:rsid w:val="00274667"/>
    <w:rsid w:val="00284087"/>
    <w:rsid w:val="00284DA7"/>
    <w:rsid w:val="00290343"/>
    <w:rsid w:val="00292DE1"/>
    <w:rsid w:val="00293CA9"/>
    <w:rsid w:val="00294AF6"/>
    <w:rsid w:val="002B37BC"/>
    <w:rsid w:val="002C4777"/>
    <w:rsid w:val="002D1BCD"/>
    <w:rsid w:val="002E0B27"/>
    <w:rsid w:val="002E2332"/>
    <w:rsid w:val="002F0EC2"/>
    <w:rsid w:val="002F695E"/>
    <w:rsid w:val="00300553"/>
    <w:rsid w:val="00300EF1"/>
    <w:rsid w:val="0031105D"/>
    <w:rsid w:val="00315712"/>
    <w:rsid w:val="00320FAA"/>
    <w:rsid w:val="003226D2"/>
    <w:rsid w:val="00324067"/>
    <w:rsid w:val="0033116C"/>
    <w:rsid w:val="003403DC"/>
    <w:rsid w:val="003479E6"/>
    <w:rsid w:val="003601E1"/>
    <w:rsid w:val="003654BA"/>
    <w:rsid w:val="00370147"/>
    <w:rsid w:val="0037320C"/>
    <w:rsid w:val="003916C5"/>
    <w:rsid w:val="003A2107"/>
    <w:rsid w:val="003A7C1A"/>
    <w:rsid w:val="003B558B"/>
    <w:rsid w:val="003B62CF"/>
    <w:rsid w:val="003C1AB6"/>
    <w:rsid w:val="003C237A"/>
    <w:rsid w:val="003C5E76"/>
    <w:rsid w:val="003C6D26"/>
    <w:rsid w:val="003D6F0A"/>
    <w:rsid w:val="003E2533"/>
    <w:rsid w:val="003F033E"/>
    <w:rsid w:val="003F14CF"/>
    <w:rsid w:val="003F459A"/>
    <w:rsid w:val="003F6CF3"/>
    <w:rsid w:val="00414708"/>
    <w:rsid w:val="00414B47"/>
    <w:rsid w:val="00417431"/>
    <w:rsid w:val="00433753"/>
    <w:rsid w:val="00435601"/>
    <w:rsid w:val="00436D6F"/>
    <w:rsid w:val="00436E38"/>
    <w:rsid w:val="00443E2E"/>
    <w:rsid w:val="00446DD3"/>
    <w:rsid w:val="00446FEF"/>
    <w:rsid w:val="0045439C"/>
    <w:rsid w:val="0045512D"/>
    <w:rsid w:val="00473B2C"/>
    <w:rsid w:val="00475651"/>
    <w:rsid w:val="0047702C"/>
    <w:rsid w:val="004820A5"/>
    <w:rsid w:val="004820B3"/>
    <w:rsid w:val="0048391C"/>
    <w:rsid w:val="00493152"/>
    <w:rsid w:val="004A685E"/>
    <w:rsid w:val="004B45C3"/>
    <w:rsid w:val="004B51A5"/>
    <w:rsid w:val="004C5747"/>
    <w:rsid w:val="004D0DEC"/>
    <w:rsid w:val="004D5654"/>
    <w:rsid w:val="004D5EBA"/>
    <w:rsid w:val="004E15CF"/>
    <w:rsid w:val="004E548D"/>
    <w:rsid w:val="004E5A34"/>
    <w:rsid w:val="004F3C80"/>
    <w:rsid w:val="004F6B33"/>
    <w:rsid w:val="004F6E0C"/>
    <w:rsid w:val="004F7F1D"/>
    <w:rsid w:val="00507BDF"/>
    <w:rsid w:val="00513DD1"/>
    <w:rsid w:val="00517919"/>
    <w:rsid w:val="0052595D"/>
    <w:rsid w:val="005262BF"/>
    <w:rsid w:val="0053081D"/>
    <w:rsid w:val="005511DD"/>
    <w:rsid w:val="00552E61"/>
    <w:rsid w:val="005568A6"/>
    <w:rsid w:val="00561EAE"/>
    <w:rsid w:val="00567482"/>
    <w:rsid w:val="00571C5B"/>
    <w:rsid w:val="00572924"/>
    <w:rsid w:val="005774C7"/>
    <w:rsid w:val="00581634"/>
    <w:rsid w:val="005862A7"/>
    <w:rsid w:val="00587E2E"/>
    <w:rsid w:val="00590479"/>
    <w:rsid w:val="00590D59"/>
    <w:rsid w:val="005916E1"/>
    <w:rsid w:val="00592625"/>
    <w:rsid w:val="005B1119"/>
    <w:rsid w:val="005B15DD"/>
    <w:rsid w:val="005B161D"/>
    <w:rsid w:val="005B5D5D"/>
    <w:rsid w:val="005D7CED"/>
    <w:rsid w:val="005E548F"/>
    <w:rsid w:val="005F0F2A"/>
    <w:rsid w:val="005F6405"/>
    <w:rsid w:val="00612D96"/>
    <w:rsid w:val="00617C67"/>
    <w:rsid w:val="00617FE1"/>
    <w:rsid w:val="0063096B"/>
    <w:rsid w:val="00636E80"/>
    <w:rsid w:val="0064329D"/>
    <w:rsid w:val="00655307"/>
    <w:rsid w:val="00660C59"/>
    <w:rsid w:val="00661101"/>
    <w:rsid w:val="00663E09"/>
    <w:rsid w:val="00665697"/>
    <w:rsid w:val="006861E2"/>
    <w:rsid w:val="0069221D"/>
    <w:rsid w:val="006933FD"/>
    <w:rsid w:val="006936A1"/>
    <w:rsid w:val="00694384"/>
    <w:rsid w:val="006A609E"/>
    <w:rsid w:val="006B7C0D"/>
    <w:rsid w:val="006C0753"/>
    <w:rsid w:val="006C66EA"/>
    <w:rsid w:val="006C698D"/>
    <w:rsid w:val="006D792C"/>
    <w:rsid w:val="006F2A7A"/>
    <w:rsid w:val="006F760E"/>
    <w:rsid w:val="0070305B"/>
    <w:rsid w:val="007078F8"/>
    <w:rsid w:val="00714013"/>
    <w:rsid w:val="0071454D"/>
    <w:rsid w:val="00716EDB"/>
    <w:rsid w:val="00720CE7"/>
    <w:rsid w:val="00722195"/>
    <w:rsid w:val="0072730A"/>
    <w:rsid w:val="007375E4"/>
    <w:rsid w:val="00740C66"/>
    <w:rsid w:val="00743496"/>
    <w:rsid w:val="007461B8"/>
    <w:rsid w:val="00746449"/>
    <w:rsid w:val="00763051"/>
    <w:rsid w:val="00770A0D"/>
    <w:rsid w:val="0077203D"/>
    <w:rsid w:val="00775E1F"/>
    <w:rsid w:val="00777C14"/>
    <w:rsid w:val="00780301"/>
    <w:rsid w:val="00781A24"/>
    <w:rsid w:val="00785A0B"/>
    <w:rsid w:val="00794008"/>
    <w:rsid w:val="00797E34"/>
    <w:rsid w:val="007A0802"/>
    <w:rsid w:val="007A61A3"/>
    <w:rsid w:val="007B00BC"/>
    <w:rsid w:val="007B24A1"/>
    <w:rsid w:val="007B71F3"/>
    <w:rsid w:val="007C30BC"/>
    <w:rsid w:val="007D3747"/>
    <w:rsid w:val="007D3D2E"/>
    <w:rsid w:val="007E524E"/>
    <w:rsid w:val="007F044A"/>
    <w:rsid w:val="007F5A60"/>
    <w:rsid w:val="008100DC"/>
    <w:rsid w:val="00810E0F"/>
    <w:rsid w:val="00813EE6"/>
    <w:rsid w:val="00815E92"/>
    <w:rsid w:val="0081691C"/>
    <w:rsid w:val="00825584"/>
    <w:rsid w:val="00831A33"/>
    <w:rsid w:val="00832C3B"/>
    <w:rsid w:val="008345BE"/>
    <w:rsid w:val="00836934"/>
    <w:rsid w:val="00845897"/>
    <w:rsid w:val="0085024C"/>
    <w:rsid w:val="00853836"/>
    <w:rsid w:val="00861BBB"/>
    <w:rsid w:val="00865070"/>
    <w:rsid w:val="00875CC2"/>
    <w:rsid w:val="0088245F"/>
    <w:rsid w:val="00883424"/>
    <w:rsid w:val="00886878"/>
    <w:rsid w:val="00890AD4"/>
    <w:rsid w:val="00896EFF"/>
    <w:rsid w:val="00897BAB"/>
    <w:rsid w:val="008A1209"/>
    <w:rsid w:val="008A4AA5"/>
    <w:rsid w:val="008A7DE0"/>
    <w:rsid w:val="008B4498"/>
    <w:rsid w:val="008B4D04"/>
    <w:rsid w:val="008B660D"/>
    <w:rsid w:val="008B7B2C"/>
    <w:rsid w:val="008D429D"/>
    <w:rsid w:val="008D5FF0"/>
    <w:rsid w:val="008E5CB5"/>
    <w:rsid w:val="008F52D9"/>
    <w:rsid w:val="0090083D"/>
    <w:rsid w:val="00900894"/>
    <w:rsid w:val="00900EBB"/>
    <w:rsid w:val="009016A9"/>
    <w:rsid w:val="00913E13"/>
    <w:rsid w:val="009140BE"/>
    <w:rsid w:val="00914183"/>
    <w:rsid w:val="0091607D"/>
    <w:rsid w:val="00916C53"/>
    <w:rsid w:val="00916CBC"/>
    <w:rsid w:val="00921F20"/>
    <w:rsid w:val="009226DA"/>
    <w:rsid w:val="00932539"/>
    <w:rsid w:val="0093642E"/>
    <w:rsid w:val="00937D86"/>
    <w:rsid w:val="00941954"/>
    <w:rsid w:val="00947FA5"/>
    <w:rsid w:val="00954086"/>
    <w:rsid w:val="009553F1"/>
    <w:rsid w:val="00960E5B"/>
    <w:rsid w:val="009659D0"/>
    <w:rsid w:val="0096613D"/>
    <w:rsid w:val="00966165"/>
    <w:rsid w:val="0098153B"/>
    <w:rsid w:val="00996395"/>
    <w:rsid w:val="009A0B59"/>
    <w:rsid w:val="009A2F7B"/>
    <w:rsid w:val="009B2281"/>
    <w:rsid w:val="009B3E53"/>
    <w:rsid w:val="009C580D"/>
    <w:rsid w:val="009D62D9"/>
    <w:rsid w:val="009E2F1A"/>
    <w:rsid w:val="009E522E"/>
    <w:rsid w:val="009E5916"/>
    <w:rsid w:val="009E68BE"/>
    <w:rsid w:val="009F026C"/>
    <w:rsid w:val="00A04A40"/>
    <w:rsid w:val="00A10BFA"/>
    <w:rsid w:val="00A17054"/>
    <w:rsid w:val="00A1780D"/>
    <w:rsid w:val="00A2797D"/>
    <w:rsid w:val="00A32636"/>
    <w:rsid w:val="00A35E65"/>
    <w:rsid w:val="00A37D11"/>
    <w:rsid w:val="00A416B9"/>
    <w:rsid w:val="00A4190D"/>
    <w:rsid w:val="00A441EB"/>
    <w:rsid w:val="00A44FDD"/>
    <w:rsid w:val="00A455F5"/>
    <w:rsid w:val="00A45758"/>
    <w:rsid w:val="00A46F16"/>
    <w:rsid w:val="00A567C1"/>
    <w:rsid w:val="00A57B65"/>
    <w:rsid w:val="00A713DE"/>
    <w:rsid w:val="00A76A15"/>
    <w:rsid w:val="00A83E93"/>
    <w:rsid w:val="00A844EA"/>
    <w:rsid w:val="00A86E0A"/>
    <w:rsid w:val="00A9066A"/>
    <w:rsid w:val="00A928F2"/>
    <w:rsid w:val="00A93269"/>
    <w:rsid w:val="00A95600"/>
    <w:rsid w:val="00A95765"/>
    <w:rsid w:val="00AA341C"/>
    <w:rsid w:val="00AA6347"/>
    <w:rsid w:val="00AA7F3B"/>
    <w:rsid w:val="00AC4763"/>
    <w:rsid w:val="00AF121E"/>
    <w:rsid w:val="00AF4893"/>
    <w:rsid w:val="00B10D70"/>
    <w:rsid w:val="00B13A92"/>
    <w:rsid w:val="00B16A39"/>
    <w:rsid w:val="00B17E33"/>
    <w:rsid w:val="00B20DA9"/>
    <w:rsid w:val="00B258A1"/>
    <w:rsid w:val="00B30948"/>
    <w:rsid w:val="00B3219D"/>
    <w:rsid w:val="00B339AF"/>
    <w:rsid w:val="00B353C2"/>
    <w:rsid w:val="00B41D07"/>
    <w:rsid w:val="00B5112E"/>
    <w:rsid w:val="00B5152F"/>
    <w:rsid w:val="00B51FD6"/>
    <w:rsid w:val="00B659EB"/>
    <w:rsid w:val="00B80989"/>
    <w:rsid w:val="00B8709E"/>
    <w:rsid w:val="00BB1EE2"/>
    <w:rsid w:val="00BC3C70"/>
    <w:rsid w:val="00BD114D"/>
    <w:rsid w:val="00BD13BF"/>
    <w:rsid w:val="00BD573D"/>
    <w:rsid w:val="00BD6DAF"/>
    <w:rsid w:val="00BE3DDD"/>
    <w:rsid w:val="00BE70AA"/>
    <w:rsid w:val="00BF25E8"/>
    <w:rsid w:val="00BF2ECF"/>
    <w:rsid w:val="00BF4D59"/>
    <w:rsid w:val="00C0061E"/>
    <w:rsid w:val="00C01256"/>
    <w:rsid w:val="00C025B2"/>
    <w:rsid w:val="00C11373"/>
    <w:rsid w:val="00C20385"/>
    <w:rsid w:val="00C2311B"/>
    <w:rsid w:val="00C548D2"/>
    <w:rsid w:val="00C54B61"/>
    <w:rsid w:val="00C673F4"/>
    <w:rsid w:val="00C86005"/>
    <w:rsid w:val="00C90832"/>
    <w:rsid w:val="00C91C9F"/>
    <w:rsid w:val="00C94BCB"/>
    <w:rsid w:val="00CA2D05"/>
    <w:rsid w:val="00CA735C"/>
    <w:rsid w:val="00CB0C1D"/>
    <w:rsid w:val="00CB23A2"/>
    <w:rsid w:val="00CD7836"/>
    <w:rsid w:val="00CE1CB4"/>
    <w:rsid w:val="00CF273F"/>
    <w:rsid w:val="00CF7BF5"/>
    <w:rsid w:val="00D01814"/>
    <w:rsid w:val="00D06177"/>
    <w:rsid w:val="00D0739C"/>
    <w:rsid w:val="00D130D4"/>
    <w:rsid w:val="00D13704"/>
    <w:rsid w:val="00D14433"/>
    <w:rsid w:val="00D14D95"/>
    <w:rsid w:val="00D31193"/>
    <w:rsid w:val="00D3543B"/>
    <w:rsid w:val="00D42741"/>
    <w:rsid w:val="00D428A9"/>
    <w:rsid w:val="00D51780"/>
    <w:rsid w:val="00D60A59"/>
    <w:rsid w:val="00D60FFA"/>
    <w:rsid w:val="00D61782"/>
    <w:rsid w:val="00D6638A"/>
    <w:rsid w:val="00D67CE5"/>
    <w:rsid w:val="00D67E51"/>
    <w:rsid w:val="00D736B5"/>
    <w:rsid w:val="00D85B02"/>
    <w:rsid w:val="00D92EC4"/>
    <w:rsid w:val="00D93F88"/>
    <w:rsid w:val="00D95E75"/>
    <w:rsid w:val="00DA2732"/>
    <w:rsid w:val="00DA7127"/>
    <w:rsid w:val="00DB42A3"/>
    <w:rsid w:val="00DC4411"/>
    <w:rsid w:val="00DC6D9A"/>
    <w:rsid w:val="00DC7583"/>
    <w:rsid w:val="00DD19DD"/>
    <w:rsid w:val="00DD29A4"/>
    <w:rsid w:val="00DD4315"/>
    <w:rsid w:val="00DD681D"/>
    <w:rsid w:val="00DE0CD0"/>
    <w:rsid w:val="00DE3535"/>
    <w:rsid w:val="00DF5D8D"/>
    <w:rsid w:val="00E00F6B"/>
    <w:rsid w:val="00E011D3"/>
    <w:rsid w:val="00E136EF"/>
    <w:rsid w:val="00E22357"/>
    <w:rsid w:val="00E273E6"/>
    <w:rsid w:val="00E40FCE"/>
    <w:rsid w:val="00E53379"/>
    <w:rsid w:val="00E92D00"/>
    <w:rsid w:val="00E96104"/>
    <w:rsid w:val="00EA42BC"/>
    <w:rsid w:val="00EA52E1"/>
    <w:rsid w:val="00EB0E84"/>
    <w:rsid w:val="00EB301C"/>
    <w:rsid w:val="00EB4CB6"/>
    <w:rsid w:val="00EC265A"/>
    <w:rsid w:val="00EC682B"/>
    <w:rsid w:val="00EC7041"/>
    <w:rsid w:val="00ED2E99"/>
    <w:rsid w:val="00ED4AC7"/>
    <w:rsid w:val="00ED5278"/>
    <w:rsid w:val="00EE1497"/>
    <w:rsid w:val="00EF06D5"/>
    <w:rsid w:val="00EF3666"/>
    <w:rsid w:val="00F00114"/>
    <w:rsid w:val="00F0336A"/>
    <w:rsid w:val="00F11AB1"/>
    <w:rsid w:val="00F126F4"/>
    <w:rsid w:val="00F13983"/>
    <w:rsid w:val="00F14C75"/>
    <w:rsid w:val="00F14D1C"/>
    <w:rsid w:val="00F22359"/>
    <w:rsid w:val="00F27AF7"/>
    <w:rsid w:val="00F300D2"/>
    <w:rsid w:val="00F3116E"/>
    <w:rsid w:val="00F32210"/>
    <w:rsid w:val="00F322D5"/>
    <w:rsid w:val="00F43489"/>
    <w:rsid w:val="00F43FE8"/>
    <w:rsid w:val="00F47097"/>
    <w:rsid w:val="00F514AF"/>
    <w:rsid w:val="00F52A25"/>
    <w:rsid w:val="00F54542"/>
    <w:rsid w:val="00F62B4D"/>
    <w:rsid w:val="00F67ADE"/>
    <w:rsid w:val="00F72F11"/>
    <w:rsid w:val="00F75E48"/>
    <w:rsid w:val="00F77F21"/>
    <w:rsid w:val="00F81522"/>
    <w:rsid w:val="00F966B7"/>
    <w:rsid w:val="00FB534D"/>
    <w:rsid w:val="00FC3B90"/>
    <w:rsid w:val="00FC40A8"/>
    <w:rsid w:val="00FE12FE"/>
    <w:rsid w:val="00FE1BB6"/>
    <w:rsid w:val="00FF16FF"/>
    <w:rsid w:val="00FF3B94"/>
    <w:rsid w:val="00FF4F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6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E2"/>
  </w:style>
  <w:style w:type="paragraph" w:styleId="Heading1">
    <w:name w:val="heading 1"/>
    <w:aliases w:val="Heading 1 RU Title"/>
    <w:basedOn w:val="Normal"/>
    <w:next w:val="Normal"/>
    <w:link w:val="Heading1Char"/>
    <w:uiPriority w:val="9"/>
    <w:qFormat/>
    <w:rsid w:val="00BB1EE2"/>
    <w:pPr>
      <w:keepNext/>
      <w:keepLines/>
      <w:spacing w:before="240" w:after="0" w:line="280" w:lineRule="exact"/>
      <w:jc w:val="both"/>
      <w:outlineLvl w:val="0"/>
    </w:pPr>
    <w:rPr>
      <w:rFonts w:ascii="Arial" w:eastAsia="Times New Roman" w:hAnsi="Arial" w:cs="Times New Roman"/>
      <w:b/>
      <w:caps/>
      <w:color w:val="538135"/>
      <w:szCs w:val="32"/>
      <w:lang w:val="en-GB"/>
    </w:rPr>
  </w:style>
  <w:style w:type="paragraph" w:styleId="Heading2">
    <w:name w:val="heading 2"/>
    <w:aliases w:val="Heading 2 SH1RU"/>
    <w:basedOn w:val="Normal"/>
    <w:next w:val="Normal"/>
    <w:link w:val="Heading2Char"/>
    <w:uiPriority w:val="9"/>
    <w:unhideWhenUsed/>
    <w:qFormat/>
    <w:rsid w:val="00BB1EE2"/>
    <w:pPr>
      <w:keepNext/>
      <w:keepLines/>
      <w:spacing w:before="40" w:after="0" w:line="280" w:lineRule="exact"/>
      <w:outlineLvl w:val="1"/>
    </w:pPr>
    <w:rPr>
      <w:rFonts w:ascii="Arial" w:eastAsia="Times New Roman" w:hAnsi="Arial" w:cs="Times New Roman"/>
      <w:b/>
      <w:color w:val="538135"/>
      <w:szCs w:val="26"/>
      <w:lang w:val="en-GB"/>
    </w:rPr>
  </w:style>
  <w:style w:type="paragraph" w:styleId="Heading3">
    <w:name w:val="heading 3"/>
    <w:aliases w:val="Heading 3 RUSH2"/>
    <w:basedOn w:val="Normal"/>
    <w:next w:val="Normal"/>
    <w:link w:val="Heading3Char"/>
    <w:uiPriority w:val="9"/>
    <w:unhideWhenUsed/>
    <w:qFormat/>
    <w:rsid w:val="00BB1EE2"/>
    <w:pPr>
      <w:keepNext/>
      <w:keepLines/>
      <w:spacing w:after="0" w:line="280" w:lineRule="exact"/>
      <w:jc w:val="both"/>
      <w:outlineLvl w:val="2"/>
    </w:pPr>
    <w:rPr>
      <w:rFonts w:ascii="Arial" w:eastAsia="Times New Roman" w:hAnsi="Arial" w:cs="Times New Roman"/>
      <w:b/>
      <w:i/>
      <w:color w:val="53813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RU Title Char"/>
    <w:basedOn w:val="DefaultParagraphFont"/>
    <w:link w:val="Heading1"/>
    <w:uiPriority w:val="9"/>
    <w:rsid w:val="00BB1EE2"/>
    <w:rPr>
      <w:rFonts w:ascii="Arial" w:eastAsia="Times New Roman" w:hAnsi="Arial" w:cs="Times New Roman"/>
      <w:b/>
      <w:caps/>
      <w:color w:val="538135"/>
      <w:szCs w:val="32"/>
      <w:lang w:val="en-GB"/>
    </w:rPr>
  </w:style>
  <w:style w:type="character" w:customStyle="1" w:styleId="Heading2Char">
    <w:name w:val="Heading 2 Char"/>
    <w:aliases w:val="Heading 2 SH1RU Char"/>
    <w:basedOn w:val="DefaultParagraphFont"/>
    <w:link w:val="Heading2"/>
    <w:uiPriority w:val="9"/>
    <w:rsid w:val="00BB1EE2"/>
    <w:rPr>
      <w:rFonts w:ascii="Arial" w:eastAsia="Times New Roman" w:hAnsi="Arial" w:cs="Times New Roman"/>
      <w:b/>
      <w:color w:val="538135"/>
      <w:szCs w:val="26"/>
      <w:lang w:val="en-GB"/>
    </w:rPr>
  </w:style>
  <w:style w:type="character" w:customStyle="1" w:styleId="Heading3Char">
    <w:name w:val="Heading 3 Char"/>
    <w:aliases w:val="Heading 3 RUSH2 Char"/>
    <w:basedOn w:val="DefaultParagraphFont"/>
    <w:link w:val="Heading3"/>
    <w:uiPriority w:val="9"/>
    <w:rsid w:val="00BB1EE2"/>
    <w:rPr>
      <w:rFonts w:ascii="Arial" w:eastAsia="Times New Roman" w:hAnsi="Arial" w:cs="Times New Roman"/>
      <w:b/>
      <w:i/>
      <w:color w:val="538135"/>
      <w:szCs w:val="24"/>
      <w:lang w:val="en-GB"/>
    </w:rPr>
  </w:style>
  <w:style w:type="paragraph" w:styleId="ListParagraph">
    <w:name w:val="List Paragraph"/>
    <w:basedOn w:val="Normal"/>
    <w:link w:val="ListParagraphChar"/>
    <w:uiPriority w:val="34"/>
    <w:qFormat/>
    <w:rsid w:val="00BB1EE2"/>
    <w:pPr>
      <w:spacing w:after="0" w:line="280" w:lineRule="exact"/>
      <w:ind w:left="720"/>
      <w:contextualSpacing/>
      <w:jc w:val="both"/>
    </w:pPr>
    <w:rPr>
      <w:rFonts w:ascii="Arial" w:eastAsia="Calibri" w:hAnsi="Arial" w:cs="Times New Roman"/>
      <w:lang w:val="en-GB"/>
    </w:rPr>
  </w:style>
  <w:style w:type="character" w:customStyle="1" w:styleId="ListParagraphChar">
    <w:name w:val="List Paragraph Char"/>
    <w:link w:val="ListParagraph"/>
    <w:uiPriority w:val="34"/>
    <w:locked/>
    <w:rsid w:val="00BB1EE2"/>
    <w:rPr>
      <w:rFonts w:ascii="Arial" w:eastAsia="Calibri" w:hAnsi="Arial" w:cs="Times New Roman"/>
      <w:lang w:val="en-GB"/>
    </w:rPr>
  </w:style>
  <w:style w:type="paragraph" w:styleId="FootnoteText">
    <w:name w:val="footnote text"/>
    <w:aliases w:val="Footnote Text Char1,Footnote Text Char Char,fn Char"/>
    <w:basedOn w:val="Normal"/>
    <w:link w:val="FootnoteTextChar"/>
    <w:rsid w:val="00BB1EE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fn Char Char"/>
    <w:basedOn w:val="DefaultParagraphFont"/>
    <w:link w:val="FootnoteText"/>
    <w:rsid w:val="00BB1EE2"/>
    <w:rPr>
      <w:rFonts w:ascii="Times New Roman" w:eastAsia="Times New Roman" w:hAnsi="Times New Roman" w:cs="Times New Roman"/>
      <w:sz w:val="20"/>
      <w:szCs w:val="20"/>
      <w:lang w:val="en-US"/>
    </w:rPr>
  </w:style>
  <w:style w:type="character" w:styleId="FootnoteReference">
    <w:name w:val="footnote reference"/>
    <w:rsid w:val="00BB1EE2"/>
    <w:rPr>
      <w:vertAlign w:val="superscript"/>
    </w:rPr>
  </w:style>
  <w:style w:type="paragraph" w:customStyle="1" w:styleId="Normalbold">
    <w:name w:val="Normal bold"/>
    <w:basedOn w:val="Normal"/>
    <w:rsid w:val="00BB1EE2"/>
    <w:pPr>
      <w:spacing w:after="0" w:line="280" w:lineRule="exact"/>
      <w:jc w:val="both"/>
    </w:pPr>
    <w:rPr>
      <w:rFonts w:ascii="Arial" w:eastAsia="Times New Roman" w:hAnsi="Arial" w:cs="Times New Roman"/>
      <w:b/>
      <w:color w:val="000000"/>
      <w:spacing w:val="6"/>
      <w:szCs w:val="18"/>
      <w:lang w:val="en-GB" w:eastAsia="en-GB"/>
    </w:rPr>
  </w:style>
  <w:style w:type="paragraph" w:customStyle="1" w:styleId="Default">
    <w:name w:val="Default"/>
    <w:rsid w:val="00BB1EE2"/>
    <w:pPr>
      <w:autoSpaceDE w:val="0"/>
      <w:autoSpaceDN w:val="0"/>
      <w:adjustRightInd w:val="0"/>
      <w:spacing w:after="0" w:line="240" w:lineRule="auto"/>
    </w:pPr>
    <w:rPr>
      <w:rFonts w:ascii="Verdana" w:eastAsia="Calibri" w:hAnsi="Verdana" w:cs="Verdana"/>
      <w:color w:val="000000"/>
      <w:sz w:val="24"/>
      <w:szCs w:val="24"/>
      <w:lang w:eastAsia="en-ZA"/>
    </w:rPr>
  </w:style>
  <w:style w:type="paragraph" w:styleId="Header">
    <w:name w:val="header"/>
    <w:basedOn w:val="Normal"/>
    <w:link w:val="HeaderChar"/>
    <w:unhideWhenUsed/>
    <w:rsid w:val="00BB1EE2"/>
    <w:pPr>
      <w:tabs>
        <w:tab w:val="center" w:pos="4513"/>
        <w:tab w:val="right" w:pos="9026"/>
      </w:tabs>
      <w:spacing w:after="0" w:line="240" w:lineRule="auto"/>
    </w:pPr>
  </w:style>
  <w:style w:type="character" w:customStyle="1" w:styleId="HeaderChar">
    <w:name w:val="Header Char"/>
    <w:basedOn w:val="DefaultParagraphFont"/>
    <w:link w:val="Header"/>
    <w:rsid w:val="00BB1EE2"/>
  </w:style>
  <w:style w:type="paragraph" w:styleId="Footer">
    <w:name w:val="footer"/>
    <w:basedOn w:val="Normal"/>
    <w:link w:val="FooterChar"/>
    <w:unhideWhenUsed/>
    <w:rsid w:val="00BB1EE2"/>
    <w:pPr>
      <w:tabs>
        <w:tab w:val="center" w:pos="4513"/>
        <w:tab w:val="right" w:pos="9026"/>
      </w:tabs>
      <w:spacing w:after="0" w:line="240" w:lineRule="auto"/>
    </w:pPr>
  </w:style>
  <w:style w:type="character" w:customStyle="1" w:styleId="FooterChar">
    <w:name w:val="Footer Char"/>
    <w:basedOn w:val="DefaultParagraphFont"/>
    <w:link w:val="Footer"/>
    <w:rsid w:val="00BB1EE2"/>
  </w:style>
  <w:style w:type="paragraph" w:customStyle="1" w:styleId="NormalUpper">
    <w:name w:val="Normal Upper"/>
    <w:basedOn w:val="Normal"/>
    <w:rsid w:val="00BB1EE2"/>
    <w:pPr>
      <w:spacing w:after="0" w:line="280" w:lineRule="exact"/>
      <w:jc w:val="both"/>
    </w:pPr>
    <w:rPr>
      <w:rFonts w:ascii="Arial" w:eastAsia="Times New Roman" w:hAnsi="Arial" w:cs="Times New Roman"/>
      <w:caps/>
      <w:color w:val="000000"/>
      <w:spacing w:val="6"/>
      <w:szCs w:val="18"/>
      <w:lang w:val="en-GB" w:eastAsia="en-GB"/>
    </w:rPr>
  </w:style>
  <w:style w:type="paragraph" w:customStyle="1" w:styleId="NormalUpperbold">
    <w:name w:val="Normal Upper bold"/>
    <w:basedOn w:val="Normal"/>
    <w:rsid w:val="00BB1EE2"/>
    <w:pPr>
      <w:spacing w:after="0" w:line="280" w:lineRule="exact"/>
      <w:jc w:val="both"/>
    </w:pPr>
    <w:rPr>
      <w:rFonts w:ascii="Arial" w:eastAsia="Times New Roman" w:hAnsi="Arial" w:cs="Times New Roman"/>
      <w:b/>
      <w:caps/>
      <w:color w:val="000000"/>
      <w:spacing w:val="6"/>
      <w:szCs w:val="18"/>
      <w:lang w:val="en-GB" w:eastAsia="en-GB"/>
    </w:rPr>
  </w:style>
  <w:style w:type="paragraph" w:customStyle="1" w:styleId="Footerbold">
    <w:name w:val="Footer bold"/>
    <w:basedOn w:val="Footer"/>
    <w:link w:val="FooterboldChar"/>
    <w:rsid w:val="00BB1EE2"/>
    <w:pPr>
      <w:tabs>
        <w:tab w:val="clear" w:pos="4513"/>
        <w:tab w:val="clear" w:pos="9026"/>
      </w:tabs>
      <w:spacing w:line="280" w:lineRule="exact"/>
      <w:jc w:val="both"/>
    </w:pPr>
    <w:rPr>
      <w:rFonts w:ascii="Arial" w:eastAsia="Times New Roman" w:hAnsi="Arial" w:cs="Times New Roman"/>
      <w:b/>
      <w:spacing w:val="6"/>
      <w:sz w:val="14"/>
      <w:szCs w:val="14"/>
      <w:lang w:val="en-GB" w:eastAsia="en-GB"/>
    </w:rPr>
  </w:style>
  <w:style w:type="character" w:customStyle="1" w:styleId="FooterboldChar">
    <w:name w:val="Footer bold Char"/>
    <w:link w:val="Footerbold"/>
    <w:rsid w:val="00BB1EE2"/>
    <w:rPr>
      <w:rFonts w:ascii="Arial" w:eastAsia="Times New Roman" w:hAnsi="Arial" w:cs="Times New Roman"/>
      <w:b/>
      <w:spacing w:val="6"/>
      <w:sz w:val="14"/>
      <w:szCs w:val="14"/>
      <w:lang w:val="en-GB" w:eastAsia="en-GB"/>
    </w:rPr>
  </w:style>
  <w:style w:type="character" w:styleId="PageNumber">
    <w:name w:val="page number"/>
    <w:basedOn w:val="DefaultParagraphFont"/>
    <w:rsid w:val="00BB1EE2"/>
  </w:style>
  <w:style w:type="table" w:styleId="TableGrid">
    <w:name w:val="Table Grid"/>
    <w:basedOn w:val="TableNormal"/>
    <w:rsid w:val="00BB1EE2"/>
    <w:pPr>
      <w:spacing w:after="0" w:line="240" w:lineRule="auto"/>
    </w:pPr>
    <w:rPr>
      <w:rFonts w:ascii="Arial" w:eastAsia="Times New Roman" w:hAnsi="Arial"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BB1EE2"/>
    <w:pPr>
      <w:spacing w:after="0" w:line="280" w:lineRule="exact"/>
      <w:jc w:val="right"/>
    </w:pPr>
    <w:rPr>
      <w:rFonts w:ascii="Arial" w:eastAsia="Times New Roman" w:hAnsi="Arial" w:cs="Times New Roman"/>
      <w:color w:val="000000"/>
      <w:spacing w:val="6"/>
      <w:szCs w:val="18"/>
      <w:lang w:val="en-GB" w:eastAsia="en-GB"/>
    </w:rPr>
  </w:style>
  <w:style w:type="paragraph" w:customStyle="1" w:styleId="NormalCenter">
    <w:name w:val="Normal Center"/>
    <w:basedOn w:val="Normal"/>
    <w:rsid w:val="00BB1EE2"/>
    <w:pPr>
      <w:spacing w:after="0" w:line="280" w:lineRule="exact"/>
      <w:jc w:val="center"/>
    </w:pPr>
    <w:rPr>
      <w:rFonts w:ascii="Arial" w:eastAsia="Times New Roman" w:hAnsi="Arial" w:cs="Times New Roman"/>
      <w:color w:val="000000"/>
      <w:spacing w:val="6"/>
      <w:szCs w:val="18"/>
      <w:lang w:val="en-GB" w:eastAsia="en-GB"/>
    </w:rPr>
  </w:style>
  <w:style w:type="paragraph" w:customStyle="1" w:styleId="NormalBoldCenter">
    <w:name w:val="Normal Bold Center"/>
    <w:basedOn w:val="NormalCenter"/>
    <w:rsid w:val="00BB1EE2"/>
    <w:rPr>
      <w:b/>
    </w:rPr>
  </w:style>
  <w:style w:type="paragraph" w:customStyle="1" w:styleId="Spacer">
    <w:name w:val="Spacer"/>
    <w:basedOn w:val="Normal"/>
    <w:rsid w:val="00BB1EE2"/>
    <w:pPr>
      <w:spacing w:after="0" w:line="280" w:lineRule="exact"/>
      <w:jc w:val="both"/>
    </w:pPr>
    <w:rPr>
      <w:rFonts w:ascii="Arial" w:eastAsia="Times New Roman" w:hAnsi="Arial" w:cs="Times New Roman"/>
      <w:color w:val="000000"/>
      <w:spacing w:val="6"/>
      <w:sz w:val="2"/>
      <w:szCs w:val="18"/>
      <w:lang w:val="en-GB" w:eastAsia="en-GB"/>
    </w:rPr>
  </w:style>
  <w:style w:type="paragraph" w:customStyle="1" w:styleId="Normalboldwhite">
    <w:name w:val="Normal bold white"/>
    <w:basedOn w:val="Normalbold"/>
    <w:rsid w:val="00BB1EE2"/>
    <w:rPr>
      <w:color w:val="FFFFFF"/>
      <w:lang w:val="en-US"/>
    </w:rPr>
  </w:style>
  <w:style w:type="character" w:styleId="Strong">
    <w:name w:val="Strong"/>
    <w:uiPriority w:val="22"/>
    <w:qFormat/>
    <w:rsid w:val="00BB1EE2"/>
    <w:rPr>
      <w:b/>
      <w:bCs/>
    </w:rPr>
  </w:style>
  <w:style w:type="paragraph" w:styleId="TOC1">
    <w:name w:val="toc 1"/>
    <w:basedOn w:val="Normal"/>
    <w:next w:val="Normal"/>
    <w:autoRedefine/>
    <w:uiPriority w:val="39"/>
    <w:rsid w:val="00BB1EE2"/>
    <w:pPr>
      <w:spacing w:after="0" w:line="280" w:lineRule="exact"/>
      <w:jc w:val="both"/>
    </w:pPr>
    <w:rPr>
      <w:rFonts w:ascii="Arial" w:eastAsia="Times New Roman" w:hAnsi="Arial" w:cs="Times New Roman"/>
      <w:color w:val="000000"/>
      <w:spacing w:val="6"/>
      <w:szCs w:val="18"/>
      <w:lang w:val="en-GB" w:eastAsia="en-GB"/>
    </w:rPr>
  </w:style>
  <w:style w:type="paragraph" w:styleId="TOC2">
    <w:name w:val="toc 2"/>
    <w:basedOn w:val="Normal"/>
    <w:next w:val="Normal"/>
    <w:autoRedefine/>
    <w:uiPriority w:val="39"/>
    <w:rsid w:val="00BB1EE2"/>
    <w:pPr>
      <w:spacing w:after="0" w:line="280" w:lineRule="exact"/>
      <w:ind w:left="220"/>
      <w:jc w:val="both"/>
    </w:pPr>
    <w:rPr>
      <w:rFonts w:ascii="Arial" w:eastAsia="Times New Roman" w:hAnsi="Arial" w:cs="Times New Roman"/>
      <w:color w:val="000000"/>
      <w:spacing w:val="6"/>
      <w:szCs w:val="18"/>
      <w:lang w:val="en-GB" w:eastAsia="en-GB"/>
    </w:rPr>
  </w:style>
  <w:style w:type="paragraph" w:styleId="TOC3">
    <w:name w:val="toc 3"/>
    <w:basedOn w:val="Normal"/>
    <w:next w:val="Normal"/>
    <w:autoRedefine/>
    <w:uiPriority w:val="39"/>
    <w:rsid w:val="00BB1EE2"/>
    <w:pPr>
      <w:spacing w:after="0" w:line="280" w:lineRule="exact"/>
      <w:ind w:left="440"/>
      <w:jc w:val="both"/>
    </w:pPr>
    <w:rPr>
      <w:rFonts w:ascii="Arial" w:eastAsia="Times New Roman" w:hAnsi="Arial" w:cs="Times New Roman"/>
      <w:color w:val="000000"/>
      <w:spacing w:val="6"/>
      <w:szCs w:val="18"/>
      <w:lang w:val="en-GB" w:eastAsia="en-GB"/>
    </w:rPr>
  </w:style>
  <w:style w:type="character" w:styleId="Hyperlink">
    <w:name w:val="Hyperlink"/>
    <w:uiPriority w:val="99"/>
    <w:unhideWhenUsed/>
    <w:rsid w:val="00BB1EE2"/>
    <w:rPr>
      <w:color w:val="0000FF"/>
      <w:u w:val="single"/>
    </w:rPr>
  </w:style>
  <w:style w:type="paragraph" w:styleId="Title">
    <w:name w:val="Title"/>
    <w:aliases w:val="Title RU Overall"/>
    <w:basedOn w:val="Normal"/>
    <w:next w:val="Normal"/>
    <w:link w:val="TitleChar"/>
    <w:qFormat/>
    <w:rsid w:val="00BB1EE2"/>
    <w:pPr>
      <w:spacing w:before="240" w:after="60" w:line="280" w:lineRule="exact"/>
      <w:jc w:val="both"/>
      <w:outlineLvl w:val="0"/>
    </w:pPr>
    <w:rPr>
      <w:rFonts w:ascii="Arial" w:eastAsia="Times New Roman" w:hAnsi="Arial" w:cs="Times New Roman"/>
      <w:b/>
      <w:bCs/>
      <w:color w:val="000000"/>
      <w:spacing w:val="6"/>
      <w:kern w:val="28"/>
      <w:sz w:val="24"/>
      <w:szCs w:val="32"/>
      <w:lang w:val="en-GB" w:eastAsia="en-GB"/>
    </w:rPr>
  </w:style>
  <w:style w:type="character" w:customStyle="1" w:styleId="TitleChar">
    <w:name w:val="Title Char"/>
    <w:aliases w:val="Title RU Overall Char"/>
    <w:basedOn w:val="DefaultParagraphFont"/>
    <w:link w:val="Title"/>
    <w:rsid w:val="00BB1EE2"/>
    <w:rPr>
      <w:rFonts w:ascii="Arial" w:eastAsia="Times New Roman" w:hAnsi="Arial" w:cs="Times New Roman"/>
      <w:b/>
      <w:bCs/>
      <w:color w:val="000000"/>
      <w:spacing w:val="6"/>
      <w:kern w:val="28"/>
      <w:sz w:val="24"/>
      <w:szCs w:val="32"/>
      <w:lang w:val="en-GB" w:eastAsia="en-GB"/>
    </w:rPr>
  </w:style>
  <w:style w:type="paragraph" w:styleId="BalloonText">
    <w:name w:val="Balloon Text"/>
    <w:basedOn w:val="Normal"/>
    <w:link w:val="BalloonTextChar"/>
    <w:rsid w:val="00BB1EE2"/>
    <w:pPr>
      <w:spacing w:after="0" w:line="240" w:lineRule="auto"/>
      <w:jc w:val="both"/>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rsid w:val="00BB1EE2"/>
    <w:rPr>
      <w:rFonts w:ascii="Segoe UI" w:eastAsia="Times New Roman" w:hAnsi="Segoe UI" w:cs="Segoe UI"/>
      <w:color w:val="000000"/>
      <w:spacing w:val="6"/>
      <w:sz w:val="18"/>
      <w:szCs w:val="18"/>
      <w:lang w:val="en-GB" w:eastAsia="en-GB"/>
    </w:rPr>
  </w:style>
  <w:style w:type="character" w:styleId="CommentReference">
    <w:name w:val="annotation reference"/>
    <w:rsid w:val="00BB1EE2"/>
    <w:rPr>
      <w:sz w:val="16"/>
      <w:szCs w:val="16"/>
    </w:rPr>
  </w:style>
  <w:style w:type="paragraph" w:styleId="CommentText">
    <w:name w:val="annotation text"/>
    <w:basedOn w:val="Normal"/>
    <w:link w:val="CommentTextChar"/>
    <w:rsid w:val="00BB1EE2"/>
    <w:pPr>
      <w:spacing w:after="0" w:line="240" w:lineRule="auto"/>
      <w:jc w:val="both"/>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rsid w:val="00BB1EE2"/>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rsid w:val="00BB1EE2"/>
    <w:rPr>
      <w:b/>
      <w:bCs/>
    </w:rPr>
  </w:style>
  <w:style w:type="character" w:customStyle="1" w:styleId="CommentSubjectChar">
    <w:name w:val="Comment Subject Char"/>
    <w:basedOn w:val="CommentTextChar"/>
    <w:link w:val="CommentSubject"/>
    <w:rsid w:val="00BB1EE2"/>
    <w:rPr>
      <w:rFonts w:ascii="Arial" w:eastAsia="Times New Roman" w:hAnsi="Arial" w:cs="Times New Roman"/>
      <w:b/>
      <w:bCs/>
      <w:color w:val="000000"/>
      <w:spacing w:val="6"/>
      <w:sz w:val="20"/>
      <w:szCs w:val="20"/>
      <w:lang w:val="en-GB" w:eastAsia="en-GB"/>
    </w:rPr>
  </w:style>
  <w:style w:type="paragraph" w:styleId="BodyText">
    <w:name w:val="Body Text"/>
    <w:basedOn w:val="Normal"/>
    <w:link w:val="BodyTextChar"/>
    <w:unhideWhenUsed/>
    <w:rsid w:val="00BB1EE2"/>
    <w:pPr>
      <w:spacing w:after="0" w:line="280" w:lineRule="exact"/>
      <w:jc w:val="both"/>
    </w:pPr>
    <w:rPr>
      <w:rFonts w:ascii="Arial" w:eastAsia="Times New Roman" w:hAnsi="Arial" w:cs="Times New Roman"/>
      <w:color w:val="000000"/>
      <w:spacing w:val="6"/>
      <w:sz w:val="24"/>
      <w:szCs w:val="18"/>
      <w:lang w:val="x-none" w:eastAsia="en-GB"/>
    </w:rPr>
  </w:style>
  <w:style w:type="character" w:customStyle="1" w:styleId="BodyTextChar">
    <w:name w:val="Body Text Char"/>
    <w:basedOn w:val="DefaultParagraphFont"/>
    <w:link w:val="BodyText"/>
    <w:rsid w:val="00BB1EE2"/>
    <w:rPr>
      <w:rFonts w:ascii="Arial" w:eastAsia="Times New Roman" w:hAnsi="Arial" w:cs="Times New Roman"/>
      <w:color w:val="000000"/>
      <w:spacing w:val="6"/>
      <w:sz w:val="24"/>
      <w:szCs w:val="18"/>
      <w:lang w:val="x-none" w:eastAsia="en-GB"/>
    </w:rPr>
  </w:style>
  <w:style w:type="paragraph" w:styleId="NormalWeb">
    <w:name w:val="Normal (Web)"/>
    <w:basedOn w:val="Normal"/>
    <w:uiPriority w:val="99"/>
    <w:unhideWhenUsed/>
    <w:rsid w:val="00BB1EE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ntenna">
    <w:name w:val="antenna"/>
    <w:basedOn w:val="DefaultParagraphFont"/>
    <w:rsid w:val="00665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E2"/>
  </w:style>
  <w:style w:type="paragraph" w:styleId="Heading1">
    <w:name w:val="heading 1"/>
    <w:aliases w:val="Heading 1 RU Title"/>
    <w:basedOn w:val="Normal"/>
    <w:next w:val="Normal"/>
    <w:link w:val="Heading1Char"/>
    <w:uiPriority w:val="9"/>
    <w:qFormat/>
    <w:rsid w:val="00BB1EE2"/>
    <w:pPr>
      <w:keepNext/>
      <w:keepLines/>
      <w:spacing w:before="240" w:after="0" w:line="280" w:lineRule="exact"/>
      <w:jc w:val="both"/>
      <w:outlineLvl w:val="0"/>
    </w:pPr>
    <w:rPr>
      <w:rFonts w:ascii="Arial" w:eastAsia="Times New Roman" w:hAnsi="Arial" w:cs="Times New Roman"/>
      <w:b/>
      <w:caps/>
      <w:color w:val="538135"/>
      <w:szCs w:val="32"/>
      <w:lang w:val="en-GB"/>
    </w:rPr>
  </w:style>
  <w:style w:type="paragraph" w:styleId="Heading2">
    <w:name w:val="heading 2"/>
    <w:aliases w:val="Heading 2 SH1RU"/>
    <w:basedOn w:val="Normal"/>
    <w:next w:val="Normal"/>
    <w:link w:val="Heading2Char"/>
    <w:uiPriority w:val="9"/>
    <w:unhideWhenUsed/>
    <w:qFormat/>
    <w:rsid w:val="00BB1EE2"/>
    <w:pPr>
      <w:keepNext/>
      <w:keepLines/>
      <w:spacing w:before="40" w:after="0" w:line="280" w:lineRule="exact"/>
      <w:outlineLvl w:val="1"/>
    </w:pPr>
    <w:rPr>
      <w:rFonts w:ascii="Arial" w:eastAsia="Times New Roman" w:hAnsi="Arial" w:cs="Times New Roman"/>
      <w:b/>
      <w:color w:val="538135"/>
      <w:szCs w:val="26"/>
      <w:lang w:val="en-GB"/>
    </w:rPr>
  </w:style>
  <w:style w:type="paragraph" w:styleId="Heading3">
    <w:name w:val="heading 3"/>
    <w:aliases w:val="Heading 3 RUSH2"/>
    <w:basedOn w:val="Normal"/>
    <w:next w:val="Normal"/>
    <w:link w:val="Heading3Char"/>
    <w:uiPriority w:val="9"/>
    <w:unhideWhenUsed/>
    <w:qFormat/>
    <w:rsid w:val="00BB1EE2"/>
    <w:pPr>
      <w:keepNext/>
      <w:keepLines/>
      <w:spacing w:after="0" w:line="280" w:lineRule="exact"/>
      <w:jc w:val="both"/>
      <w:outlineLvl w:val="2"/>
    </w:pPr>
    <w:rPr>
      <w:rFonts w:ascii="Arial" w:eastAsia="Times New Roman" w:hAnsi="Arial" w:cs="Times New Roman"/>
      <w:b/>
      <w:i/>
      <w:color w:val="53813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RU Title Char"/>
    <w:basedOn w:val="DefaultParagraphFont"/>
    <w:link w:val="Heading1"/>
    <w:uiPriority w:val="9"/>
    <w:rsid w:val="00BB1EE2"/>
    <w:rPr>
      <w:rFonts w:ascii="Arial" w:eastAsia="Times New Roman" w:hAnsi="Arial" w:cs="Times New Roman"/>
      <w:b/>
      <w:caps/>
      <w:color w:val="538135"/>
      <w:szCs w:val="32"/>
      <w:lang w:val="en-GB"/>
    </w:rPr>
  </w:style>
  <w:style w:type="character" w:customStyle="1" w:styleId="Heading2Char">
    <w:name w:val="Heading 2 Char"/>
    <w:aliases w:val="Heading 2 SH1RU Char"/>
    <w:basedOn w:val="DefaultParagraphFont"/>
    <w:link w:val="Heading2"/>
    <w:uiPriority w:val="9"/>
    <w:rsid w:val="00BB1EE2"/>
    <w:rPr>
      <w:rFonts w:ascii="Arial" w:eastAsia="Times New Roman" w:hAnsi="Arial" w:cs="Times New Roman"/>
      <w:b/>
      <w:color w:val="538135"/>
      <w:szCs w:val="26"/>
      <w:lang w:val="en-GB"/>
    </w:rPr>
  </w:style>
  <w:style w:type="character" w:customStyle="1" w:styleId="Heading3Char">
    <w:name w:val="Heading 3 Char"/>
    <w:aliases w:val="Heading 3 RUSH2 Char"/>
    <w:basedOn w:val="DefaultParagraphFont"/>
    <w:link w:val="Heading3"/>
    <w:uiPriority w:val="9"/>
    <w:rsid w:val="00BB1EE2"/>
    <w:rPr>
      <w:rFonts w:ascii="Arial" w:eastAsia="Times New Roman" w:hAnsi="Arial" w:cs="Times New Roman"/>
      <w:b/>
      <w:i/>
      <w:color w:val="538135"/>
      <w:szCs w:val="24"/>
      <w:lang w:val="en-GB"/>
    </w:rPr>
  </w:style>
  <w:style w:type="paragraph" w:styleId="ListParagraph">
    <w:name w:val="List Paragraph"/>
    <w:basedOn w:val="Normal"/>
    <w:link w:val="ListParagraphChar"/>
    <w:uiPriority w:val="34"/>
    <w:qFormat/>
    <w:rsid w:val="00BB1EE2"/>
    <w:pPr>
      <w:spacing w:after="0" w:line="280" w:lineRule="exact"/>
      <w:ind w:left="720"/>
      <w:contextualSpacing/>
      <w:jc w:val="both"/>
    </w:pPr>
    <w:rPr>
      <w:rFonts w:ascii="Arial" w:eastAsia="Calibri" w:hAnsi="Arial" w:cs="Times New Roman"/>
      <w:lang w:val="en-GB"/>
    </w:rPr>
  </w:style>
  <w:style w:type="character" w:customStyle="1" w:styleId="ListParagraphChar">
    <w:name w:val="List Paragraph Char"/>
    <w:link w:val="ListParagraph"/>
    <w:uiPriority w:val="34"/>
    <w:locked/>
    <w:rsid w:val="00BB1EE2"/>
    <w:rPr>
      <w:rFonts w:ascii="Arial" w:eastAsia="Calibri" w:hAnsi="Arial" w:cs="Times New Roman"/>
      <w:lang w:val="en-GB"/>
    </w:rPr>
  </w:style>
  <w:style w:type="paragraph" w:styleId="FootnoteText">
    <w:name w:val="footnote text"/>
    <w:aliases w:val="Footnote Text Char1,Footnote Text Char Char,fn Char"/>
    <w:basedOn w:val="Normal"/>
    <w:link w:val="FootnoteTextChar"/>
    <w:rsid w:val="00BB1EE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fn Char Char"/>
    <w:basedOn w:val="DefaultParagraphFont"/>
    <w:link w:val="FootnoteText"/>
    <w:rsid w:val="00BB1EE2"/>
    <w:rPr>
      <w:rFonts w:ascii="Times New Roman" w:eastAsia="Times New Roman" w:hAnsi="Times New Roman" w:cs="Times New Roman"/>
      <w:sz w:val="20"/>
      <w:szCs w:val="20"/>
      <w:lang w:val="en-US"/>
    </w:rPr>
  </w:style>
  <w:style w:type="character" w:styleId="FootnoteReference">
    <w:name w:val="footnote reference"/>
    <w:rsid w:val="00BB1EE2"/>
    <w:rPr>
      <w:vertAlign w:val="superscript"/>
    </w:rPr>
  </w:style>
  <w:style w:type="paragraph" w:customStyle="1" w:styleId="Normalbold">
    <w:name w:val="Normal bold"/>
    <w:basedOn w:val="Normal"/>
    <w:rsid w:val="00BB1EE2"/>
    <w:pPr>
      <w:spacing w:after="0" w:line="280" w:lineRule="exact"/>
      <w:jc w:val="both"/>
    </w:pPr>
    <w:rPr>
      <w:rFonts w:ascii="Arial" w:eastAsia="Times New Roman" w:hAnsi="Arial" w:cs="Times New Roman"/>
      <w:b/>
      <w:color w:val="000000"/>
      <w:spacing w:val="6"/>
      <w:szCs w:val="18"/>
      <w:lang w:val="en-GB" w:eastAsia="en-GB"/>
    </w:rPr>
  </w:style>
  <w:style w:type="paragraph" w:customStyle="1" w:styleId="Default">
    <w:name w:val="Default"/>
    <w:rsid w:val="00BB1EE2"/>
    <w:pPr>
      <w:autoSpaceDE w:val="0"/>
      <w:autoSpaceDN w:val="0"/>
      <w:adjustRightInd w:val="0"/>
      <w:spacing w:after="0" w:line="240" w:lineRule="auto"/>
    </w:pPr>
    <w:rPr>
      <w:rFonts w:ascii="Verdana" w:eastAsia="Calibri" w:hAnsi="Verdana" w:cs="Verdana"/>
      <w:color w:val="000000"/>
      <w:sz w:val="24"/>
      <w:szCs w:val="24"/>
      <w:lang w:eastAsia="en-ZA"/>
    </w:rPr>
  </w:style>
  <w:style w:type="paragraph" w:styleId="Header">
    <w:name w:val="header"/>
    <w:basedOn w:val="Normal"/>
    <w:link w:val="HeaderChar"/>
    <w:unhideWhenUsed/>
    <w:rsid w:val="00BB1EE2"/>
    <w:pPr>
      <w:tabs>
        <w:tab w:val="center" w:pos="4513"/>
        <w:tab w:val="right" w:pos="9026"/>
      </w:tabs>
      <w:spacing w:after="0" w:line="240" w:lineRule="auto"/>
    </w:pPr>
  </w:style>
  <w:style w:type="character" w:customStyle="1" w:styleId="HeaderChar">
    <w:name w:val="Header Char"/>
    <w:basedOn w:val="DefaultParagraphFont"/>
    <w:link w:val="Header"/>
    <w:rsid w:val="00BB1EE2"/>
  </w:style>
  <w:style w:type="paragraph" w:styleId="Footer">
    <w:name w:val="footer"/>
    <w:basedOn w:val="Normal"/>
    <w:link w:val="FooterChar"/>
    <w:unhideWhenUsed/>
    <w:rsid w:val="00BB1EE2"/>
    <w:pPr>
      <w:tabs>
        <w:tab w:val="center" w:pos="4513"/>
        <w:tab w:val="right" w:pos="9026"/>
      </w:tabs>
      <w:spacing w:after="0" w:line="240" w:lineRule="auto"/>
    </w:pPr>
  </w:style>
  <w:style w:type="character" w:customStyle="1" w:styleId="FooterChar">
    <w:name w:val="Footer Char"/>
    <w:basedOn w:val="DefaultParagraphFont"/>
    <w:link w:val="Footer"/>
    <w:rsid w:val="00BB1EE2"/>
  </w:style>
  <w:style w:type="paragraph" w:customStyle="1" w:styleId="NormalUpper">
    <w:name w:val="Normal Upper"/>
    <w:basedOn w:val="Normal"/>
    <w:rsid w:val="00BB1EE2"/>
    <w:pPr>
      <w:spacing w:after="0" w:line="280" w:lineRule="exact"/>
      <w:jc w:val="both"/>
    </w:pPr>
    <w:rPr>
      <w:rFonts w:ascii="Arial" w:eastAsia="Times New Roman" w:hAnsi="Arial" w:cs="Times New Roman"/>
      <w:caps/>
      <w:color w:val="000000"/>
      <w:spacing w:val="6"/>
      <w:szCs w:val="18"/>
      <w:lang w:val="en-GB" w:eastAsia="en-GB"/>
    </w:rPr>
  </w:style>
  <w:style w:type="paragraph" w:customStyle="1" w:styleId="NormalUpperbold">
    <w:name w:val="Normal Upper bold"/>
    <w:basedOn w:val="Normal"/>
    <w:rsid w:val="00BB1EE2"/>
    <w:pPr>
      <w:spacing w:after="0" w:line="280" w:lineRule="exact"/>
      <w:jc w:val="both"/>
    </w:pPr>
    <w:rPr>
      <w:rFonts w:ascii="Arial" w:eastAsia="Times New Roman" w:hAnsi="Arial" w:cs="Times New Roman"/>
      <w:b/>
      <w:caps/>
      <w:color w:val="000000"/>
      <w:spacing w:val="6"/>
      <w:szCs w:val="18"/>
      <w:lang w:val="en-GB" w:eastAsia="en-GB"/>
    </w:rPr>
  </w:style>
  <w:style w:type="paragraph" w:customStyle="1" w:styleId="Footerbold">
    <w:name w:val="Footer bold"/>
    <w:basedOn w:val="Footer"/>
    <w:link w:val="FooterboldChar"/>
    <w:rsid w:val="00BB1EE2"/>
    <w:pPr>
      <w:tabs>
        <w:tab w:val="clear" w:pos="4513"/>
        <w:tab w:val="clear" w:pos="9026"/>
      </w:tabs>
      <w:spacing w:line="280" w:lineRule="exact"/>
      <w:jc w:val="both"/>
    </w:pPr>
    <w:rPr>
      <w:rFonts w:ascii="Arial" w:eastAsia="Times New Roman" w:hAnsi="Arial" w:cs="Times New Roman"/>
      <w:b/>
      <w:spacing w:val="6"/>
      <w:sz w:val="14"/>
      <w:szCs w:val="14"/>
      <w:lang w:val="en-GB" w:eastAsia="en-GB"/>
    </w:rPr>
  </w:style>
  <w:style w:type="character" w:customStyle="1" w:styleId="FooterboldChar">
    <w:name w:val="Footer bold Char"/>
    <w:link w:val="Footerbold"/>
    <w:rsid w:val="00BB1EE2"/>
    <w:rPr>
      <w:rFonts w:ascii="Arial" w:eastAsia="Times New Roman" w:hAnsi="Arial" w:cs="Times New Roman"/>
      <w:b/>
      <w:spacing w:val="6"/>
      <w:sz w:val="14"/>
      <w:szCs w:val="14"/>
      <w:lang w:val="en-GB" w:eastAsia="en-GB"/>
    </w:rPr>
  </w:style>
  <w:style w:type="character" w:styleId="PageNumber">
    <w:name w:val="page number"/>
    <w:basedOn w:val="DefaultParagraphFont"/>
    <w:rsid w:val="00BB1EE2"/>
  </w:style>
  <w:style w:type="table" w:styleId="TableGrid">
    <w:name w:val="Table Grid"/>
    <w:basedOn w:val="TableNormal"/>
    <w:rsid w:val="00BB1EE2"/>
    <w:pPr>
      <w:spacing w:after="0" w:line="240" w:lineRule="auto"/>
    </w:pPr>
    <w:rPr>
      <w:rFonts w:ascii="Arial" w:eastAsia="Times New Roman" w:hAnsi="Arial"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BB1EE2"/>
    <w:pPr>
      <w:spacing w:after="0" w:line="280" w:lineRule="exact"/>
      <w:jc w:val="right"/>
    </w:pPr>
    <w:rPr>
      <w:rFonts w:ascii="Arial" w:eastAsia="Times New Roman" w:hAnsi="Arial" w:cs="Times New Roman"/>
      <w:color w:val="000000"/>
      <w:spacing w:val="6"/>
      <w:szCs w:val="18"/>
      <w:lang w:val="en-GB" w:eastAsia="en-GB"/>
    </w:rPr>
  </w:style>
  <w:style w:type="paragraph" w:customStyle="1" w:styleId="NormalCenter">
    <w:name w:val="Normal Center"/>
    <w:basedOn w:val="Normal"/>
    <w:rsid w:val="00BB1EE2"/>
    <w:pPr>
      <w:spacing w:after="0" w:line="280" w:lineRule="exact"/>
      <w:jc w:val="center"/>
    </w:pPr>
    <w:rPr>
      <w:rFonts w:ascii="Arial" w:eastAsia="Times New Roman" w:hAnsi="Arial" w:cs="Times New Roman"/>
      <w:color w:val="000000"/>
      <w:spacing w:val="6"/>
      <w:szCs w:val="18"/>
      <w:lang w:val="en-GB" w:eastAsia="en-GB"/>
    </w:rPr>
  </w:style>
  <w:style w:type="paragraph" w:customStyle="1" w:styleId="NormalBoldCenter">
    <w:name w:val="Normal Bold Center"/>
    <w:basedOn w:val="NormalCenter"/>
    <w:rsid w:val="00BB1EE2"/>
    <w:rPr>
      <w:b/>
    </w:rPr>
  </w:style>
  <w:style w:type="paragraph" w:customStyle="1" w:styleId="Spacer">
    <w:name w:val="Spacer"/>
    <w:basedOn w:val="Normal"/>
    <w:rsid w:val="00BB1EE2"/>
    <w:pPr>
      <w:spacing w:after="0" w:line="280" w:lineRule="exact"/>
      <w:jc w:val="both"/>
    </w:pPr>
    <w:rPr>
      <w:rFonts w:ascii="Arial" w:eastAsia="Times New Roman" w:hAnsi="Arial" w:cs="Times New Roman"/>
      <w:color w:val="000000"/>
      <w:spacing w:val="6"/>
      <w:sz w:val="2"/>
      <w:szCs w:val="18"/>
      <w:lang w:val="en-GB" w:eastAsia="en-GB"/>
    </w:rPr>
  </w:style>
  <w:style w:type="paragraph" w:customStyle="1" w:styleId="Normalboldwhite">
    <w:name w:val="Normal bold white"/>
    <w:basedOn w:val="Normalbold"/>
    <w:rsid w:val="00BB1EE2"/>
    <w:rPr>
      <w:color w:val="FFFFFF"/>
      <w:lang w:val="en-US"/>
    </w:rPr>
  </w:style>
  <w:style w:type="character" w:styleId="Strong">
    <w:name w:val="Strong"/>
    <w:uiPriority w:val="22"/>
    <w:qFormat/>
    <w:rsid w:val="00BB1EE2"/>
    <w:rPr>
      <w:b/>
      <w:bCs/>
    </w:rPr>
  </w:style>
  <w:style w:type="paragraph" w:styleId="TOC1">
    <w:name w:val="toc 1"/>
    <w:basedOn w:val="Normal"/>
    <w:next w:val="Normal"/>
    <w:autoRedefine/>
    <w:uiPriority w:val="39"/>
    <w:rsid w:val="00BB1EE2"/>
    <w:pPr>
      <w:spacing w:after="0" w:line="280" w:lineRule="exact"/>
      <w:jc w:val="both"/>
    </w:pPr>
    <w:rPr>
      <w:rFonts w:ascii="Arial" w:eastAsia="Times New Roman" w:hAnsi="Arial" w:cs="Times New Roman"/>
      <w:color w:val="000000"/>
      <w:spacing w:val="6"/>
      <w:szCs w:val="18"/>
      <w:lang w:val="en-GB" w:eastAsia="en-GB"/>
    </w:rPr>
  </w:style>
  <w:style w:type="paragraph" w:styleId="TOC2">
    <w:name w:val="toc 2"/>
    <w:basedOn w:val="Normal"/>
    <w:next w:val="Normal"/>
    <w:autoRedefine/>
    <w:uiPriority w:val="39"/>
    <w:rsid w:val="00BB1EE2"/>
    <w:pPr>
      <w:spacing w:after="0" w:line="280" w:lineRule="exact"/>
      <w:ind w:left="220"/>
      <w:jc w:val="both"/>
    </w:pPr>
    <w:rPr>
      <w:rFonts w:ascii="Arial" w:eastAsia="Times New Roman" w:hAnsi="Arial" w:cs="Times New Roman"/>
      <w:color w:val="000000"/>
      <w:spacing w:val="6"/>
      <w:szCs w:val="18"/>
      <w:lang w:val="en-GB" w:eastAsia="en-GB"/>
    </w:rPr>
  </w:style>
  <w:style w:type="paragraph" w:styleId="TOC3">
    <w:name w:val="toc 3"/>
    <w:basedOn w:val="Normal"/>
    <w:next w:val="Normal"/>
    <w:autoRedefine/>
    <w:uiPriority w:val="39"/>
    <w:rsid w:val="00BB1EE2"/>
    <w:pPr>
      <w:spacing w:after="0" w:line="280" w:lineRule="exact"/>
      <w:ind w:left="440"/>
      <w:jc w:val="both"/>
    </w:pPr>
    <w:rPr>
      <w:rFonts w:ascii="Arial" w:eastAsia="Times New Roman" w:hAnsi="Arial" w:cs="Times New Roman"/>
      <w:color w:val="000000"/>
      <w:spacing w:val="6"/>
      <w:szCs w:val="18"/>
      <w:lang w:val="en-GB" w:eastAsia="en-GB"/>
    </w:rPr>
  </w:style>
  <w:style w:type="character" w:styleId="Hyperlink">
    <w:name w:val="Hyperlink"/>
    <w:uiPriority w:val="99"/>
    <w:unhideWhenUsed/>
    <w:rsid w:val="00BB1EE2"/>
    <w:rPr>
      <w:color w:val="0000FF"/>
      <w:u w:val="single"/>
    </w:rPr>
  </w:style>
  <w:style w:type="paragraph" w:styleId="Title">
    <w:name w:val="Title"/>
    <w:aliases w:val="Title RU Overall"/>
    <w:basedOn w:val="Normal"/>
    <w:next w:val="Normal"/>
    <w:link w:val="TitleChar"/>
    <w:qFormat/>
    <w:rsid w:val="00BB1EE2"/>
    <w:pPr>
      <w:spacing w:before="240" w:after="60" w:line="280" w:lineRule="exact"/>
      <w:jc w:val="both"/>
      <w:outlineLvl w:val="0"/>
    </w:pPr>
    <w:rPr>
      <w:rFonts w:ascii="Arial" w:eastAsia="Times New Roman" w:hAnsi="Arial" w:cs="Times New Roman"/>
      <w:b/>
      <w:bCs/>
      <w:color w:val="000000"/>
      <w:spacing w:val="6"/>
      <w:kern w:val="28"/>
      <w:sz w:val="24"/>
      <w:szCs w:val="32"/>
      <w:lang w:val="en-GB" w:eastAsia="en-GB"/>
    </w:rPr>
  </w:style>
  <w:style w:type="character" w:customStyle="1" w:styleId="TitleChar">
    <w:name w:val="Title Char"/>
    <w:aliases w:val="Title RU Overall Char"/>
    <w:basedOn w:val="DefaultParagraphFont"/>
    <w:link w:val="Title"/>
    <w:rsid w:val="00BB1EE2"/>
    <w:rPr>
      <w:rFonts w:ascii="Arial" w:eastAsia="Times New Roman" w:hAnsi="Arial" w:cs="Times New Roman"/>
      <w:b/>
      <w:bCs/>
      <w:color w:val="000000"/>
      <w:spacing w:val="6"/>
      <w:kern w:val="28"/>
      <w:sz w:val="24"/>
      <w:szCs w:val="32"/>
      <w:lang w:val="en-GB" w:eastAsia="en-GB"/>
    </w:rPr>
  </w:style>
  <w:style w:type="paragraph" w:styleId="BalloonText">
    <w:name w:val="Balloon Text"/>
    <w:basedOn w:val="Normal"/>
    <w:link w:val="BalloonTextChar"/>
    <w:rsid w:val="00BB1EE2"/>
    <w:pPr>
      <w:spacing w:after="0" w:line="240" w:lineRule="auto"/>
      <w:jc w:val="both"/>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rsid w:val="00BB1EE2"/>
    <w:rPr>
      <w:rFonts w:ascii="Segoe UI" w:eastAsia="Times New Roman" w:hAnsi="Segoe UI" w:cs="Segoe UI"/>
      <w:color w:val="000000"/>
      <w:spacing w:val="6"/>
      <w:sz w:val="18"/>
      <w:szCs w:val="18"/>
      <w:lang w:val="en-GB" w:eastAsia="en-GB"/>
    </w:rPr>
  </w:style>
  <w:style w:type="character" w:styleId="CommentReference">
    <w:name w:val="annotation reference"/>
    <w:rsid w:val="00BB1EE2"/>
    <w:rPr>
      <w:sz w:val="16"/>
      <w:szCs w:val="16"/>
    </w:rPr>
  </w:style>
  <w:style w:type="paragraph" w:styleId="CommentText">
    <w:name w:val="annotation text"/>
    <w:basedOn w:val="Normal"/>
    <w:link w:val="CommentTextChar"/>
    <w:rsid w:val="00BB1EE2"/>
    <w:pPr>
      <w:spacing w:after="0" w:line="240" w:lineRule="auto"/>
      <w:jc w:val="both"/>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rsid w:val="00BB1EE2"/>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rsid w:val="00BB1EE2"/>
    <w:rPr>
      <w:b/>
      <w:bCs/>
    </w:rPr>
  </w:style>
  <w:style w:type="character" w:customStyle="1" w:styleId="CommentSubjectChar">
    <w:name w:val="Comment Subject Char"/>
    <w:basedOn w:val="CommentTextChar"/>
    <w:link w:val="CommentSubject"/>
    <w:rsid w:val="00BB1EE2"/>
    <w:rPr>
      <w:rFonts w:ascii="Arial" w:eastAsia="Times New Roman" w:hAnsi="Arial" w:cs="Times New Roman"/>
      <w:b/>
      <w:bCs/>
      <w:color w:val="000000"/>
      <w:spacing w:val="6"/>
      <w:sz w:val="20"/>
      <w:szCs w:val="20"/>
      <w:lang w:val="en-GB" w:eastAsia="en-GB"/>
    </w:rPr>
  </w:style>
  <w:style w:type="paragraph" w:styleId="BodyText">
    <w:name w:val="Body Text"/>
    <w:basedOn w:val="Normal"/>
    <w:link w:val="BodyTextChar"/>
    <w:unhideWhenUsed/>
    <w:rsid w:val="00BB1EE2"/>
    <w:pPr>
      <w:spacing w:after="0" w:line="280" w:lineRule="exact"/>
      <w:jc w:val="both"/>
    </w:pPr>
    <w:rPr>
      <w:rFonts w:ascii="Arial" w:eastAsia="Times New Roman" w:hAnsi="Arial" w:cs="Times New Roman"/>
      <w:color w:val="000000"/>
      <w:spacing w:val="6"/>
      <w:sz w:val="24"/>
      <w:szCs w:val="18"/>
      <w:lang w:val="x-none" w:eastAsia="en-GB"/>
    </w:rPr>
  </w:style>
  <w:style w:type="character" w:customStyle="1" w:styleId="BodyTextChar">
    <w:name w:val="Body Text Char"/>
    <w:basedOn w:val="DefaultParagraphFont"/>
    <w:link w:val="BodyText"/>
    <w:rsid w:val="00BB1EE2"/>
    <w:rPr>
      <w:rFonts w:ascii="Arial" w:eastAsia="Times New Roman" w:hAnsi="Arial" w:cs="Times New Roman"/>
      <w:color w:val="000000"/>
      <w:spacing w:val="6"/>
      <w:sz w:val="24"/>
      <w:szCs w:val="18"/>
      <w:lang w:val="x-none" w:eastAsia="en-GB"/>
    </w:rPr>
  </w:style>
  <w:style w:type="paragraph" w:styleId="NormalWeb">
    <w:name w:val="Normal (Web)"/>
    <w:basedOn w:val="Normal"/>
    <w:uiPriority w:val="99"/>
    <w:unhideWhenUsed/>
    <w:rsid w:val="00BB1EE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ntenna">
    <w:name w:val="antenna"/>
    <w:basedOn w:val="DefaultParagraphFont"/>
    <w:rsid w:val="0066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742">
      <w:bodyDiv w:val="1"/>
      <w:marLeft w:val="0"/>
      <w:marRight w:val="0"/>
      <w:marTop w:val="0"/>
      <w:marBottom w:val="0"/>
      <w:divBdr>
        <w:top w:val="none" w:sz="0" w:space="0" w:color="auto"/>
        <w:left w:val="none" w:sz="0" w:space="0" w:color="auto"/>
        <w:bottom w:val="none" w:sz="0" w:space="0" w:color="auto"/>
        <w:right w:val="none" w:sz="0" w:space="0" w:color="auto"/>
      </w:divBdr>
      <w:divsChild>
        <w:div w:id="1507402444">
          <w:marLeft w:val="547"/>
          <w:marRight w:val="0"/>
          <w:marTop w:val="80"/>
          <w:marBottom w:val="80"/>
          <w:divBdr>
            <w:top w:val="none" w:sz="0" w:space="0" w:color="auto"/>
            <w:left w:val="none" w:sz="0" w:space="0" w:color="auto"/>
            <w:bottom w:val="none" w:sz="0" w:space="0" w:color="auto"/>
            <w:right w:val="none" w:sz="0" w:space="0" w:color="auto"/>
          </w:divBdr>
        </w:div>
      </w:divsChild>
    </w:div>
    <w:div w:id="338851011">
      <w:bodyDiv w:val="1"/>
      <w:marLeft w:val="0"/>
      <w:marRight w:val="0"/>
      <w:marTop w:val="0"/>
      <w:marBottom w:val="0"/>
      <w:divBdr>
        <w:top w:val="none" w:sz="0" w:space="0" w:color="auto"/>
        <w:left w:val="none" w:sz="0" w:space="0" w:color="auto"/>
        <w:bottom w:val="none" w:sz="0" w:space="0" w:color="auto"/>
        <w:right w:val="none" w:sz="0" w:space="0" w:color="auto"/>
      </w:divBdr>
    </w:div>
    <w:div w:id="441657667">
      <w:bodyDiv w:val="1"/>
      <w:marLeft w:val="0"/>
      <w:marRight w:val="0"/>
      <w:marTop w:val="0"/>
      <w:marBottom w:val="0"/>
      <w:divBdr>
        <w:top w:val="none" w:sz="0" w:space="0" w:color="auto"/>
        <w:left w:val="none" w:sz="0" w:space="0" w:color="auto"/>
        <w:bottom w:val="none" w:sz="0" w:space="0" w:color="auto"/>
        <w:right w:val="none" w:sz="0" w:space="0" w:color="auto"/>
      </w:divBdr>
      <w:divsChild>
        <w:div w:id="415513101">
          <w:marLeft w:val="547"/>
          <w:marRight w:val="0"/>
          <w:marTop w:val="0"/>
          <w:marBottom w:val="0"/>
          <w:divBdr>
            <w:top w:val="none" w:sz="0" w:space="0" w:color="auto"/>
            <w:left w:val="none" w:sz="0" w:space="0" w:color="auto"/>
            <w:bottom w:val="none" w:sz="0" w:space="0" w:color="auto"/>
            <w:right w:val="none" w:sz="0" w:space="0" w:color="auto"/>
          </w:divBdr>
        </w:div>
        <w:div w:id="1379747643">
          <w:marLeft w:val="547"/>
          <w:marRight w:val="0"/>
          <w:marTop w:val="0"/>
          <w:marBottom w:val="0"/>
          <w:divBdr>
            <w:top w:val="none" w:sz="0" w:space="0" w:color="auto"/>
            <w:left w:val="none" w:sz="0" w:space="0" w:color="auto"/>
            <w:bottom w:val="none" w:sz="0" w:space="0" w:color="auto"/>
            <w:right w:val="none" w:sz="0" w:space="0" w:color="auto"/>
          </w:divBdr>
        </w:div>
        <w:div w:id="1420446776">
          <w:marLeft w:val="547"/>
          <w:marRight w:val="0"/>
          <w:marTop w:val="100"/>
          <w:marBottom w:val="0"/>
          <w:divBdr>
            <w:top w:val="none" w:sz="0" w:space="0" w:color="auto"/>
            <w:left w:val="none" w:sz="0" w:space="0" w:color="auto"/>
            <w:bottom w:val="none" w:sz="0" w:space="0" w:color="auto"/>
            <w:right w:val="none" w:sz="0" w:space="0" w:color="auto"/>
          </w:divBdr>
        </w:div>
        <w:div w:id="1760444891">
          <w:marLeft w:val="547"/>
          <w:marRight w:val="0"/>
          <w:marTop w:val="0"/>
          <w:marBottom w:val="200"/>
          <w:divBdr>
            <w:top w:val="none" w:sz="0" w:space="0" w:color="auto"/>
            <w:left w:val="none" w:sz="0" w:space="0" w:color="auto"/>
            <w:bottom w:val="none" w:sz="0" w:space="0" w:color="auto"/>
            <w:right w:val="none" w:sz="0" w:space="0" w:color="auto"/>
          </w:divBdr>
        </w:div>
      </w:divsChild>
    </w:div>
    <w:div w:id="577137776">
      <w:bodyDiv w:val="1"/>
      <w:marLeft w:val="0"/>
      <w:marRight w:val="0"/>
      <w:marTop w:val="0"/>
      <w:marBottom w:val="0"/>
      <w:divBdr>
        <w:top w:val="none" w:sz="0" w:space="0" w:color="auto"/>
        <w:left w:val="none" w:sz="0" w:space="0" w:color="auto"/>
        <w:bottom w:val="none" w:sz="0" w:space="0" w:color="auto"/>
        <w:right w:val="none" w:sz="0" w:space="0" w:color="auto"/>
      </w:divBdr>
    </w:div>
    <w:div w:id="663902293">
      <w:bodyDiv w:val="1"/>
      <w:marLeft w:val="0"/>
      <w:marRight w:val="0"/>
      <w:marTop w:val="0"/>
      <w:marBottom w:val="0"/>
      <w:divBdr>
        <w:top w:val="none" w:sz="0" w:space="0" w:color="auto"/>
        <w:left w:val="none" w:sz="0" w:space="0" w:color="auto"/>
        <w:bottom w:val="none" w:sz="0" w:space="0" w:color="auto"/>
        <w:right w:val="none" w:sz="0" w:space="0" w:color="auto"/>
      </w:divBdr>
      <w:divsChild>
        <w:div w:id="964192561">
          <w:marLeft w:val="1267"/>
          <w:marRight w:val="0"/>
          <w:marTop w:val="100"/>
          <w:marBottom w:val="0"/>
          <w:divBdr>
            <w:top w:val="none" w:sz="0" w:space="0" w:color="auto"/>
            <w:left w:val="none" w:sz="0" w:space="0" w:color="auto"/>
            <w:bottom w:val="none" w:sz="0" w:space="0" w:color="auto"/>
            <w:right w:val="none" w:sz="0" w:space="0" w:color="auto"/>
          </w:divBdr>
        </w:div>
        <w:div w:id="994070041">
          <w:marLeft w:val="1267"/>
          <w:marRight w:val="0"/>
          <w:marTop w:val="0"/>
          <w:marBottom w:val="200"/>
          <w:divBdr>
            <w:top w:val="none" w:sz="0" w:space="0" w:color="auto"/>
            <w:left w:val="none" w:sz="0" w:space="0" w:color="auto"/>
            <w:bottom w:val="none" w:sz="0" w:space="0" w:color="auto"/>
            <w:right w:val="none" w:sz="0" w:space="0" w:color="auto"/>
          </w:divBdr>
        </w:div>
        <w:div w:id="1909684746">
          <w:marLeft w:val="1267"/>
          <w:marRight w:val="0"/>
          <w:marTop w:val="0"/>
          <w:marBottom w:val="0"/>
          <w:divBdr>
            <w:top w:val="none" w:sz="0" w:space="0" w:color="auto"/>
            <w:left w:val="none" w:sz="0" w:space="0" w:color="auto"/>
            <w:bottom w:val="none" w:sz="0" w:space="0" w:color="auto"/>
            <w:right w:val="none" w:sz="0" w:space="0" w:color="auto"/>
          </w:divBdr>
        </w:div>
      </w:divsChild>
    </w:div>
    <w:div w:id="692338107">
      <w:bodyDiv w:val="1"/>
      <w:marLeft w:val="0"/>
      <w:marRight w:val="0"/>
      <w:marTop w:val="0"/>
      <w:marBottom w:val="0"/>
      <w:divBdr>
        <w:top w:val="none" w:sz="0" w:space="0" w:color="auto"/>
        <w:left w:val="none" w:sz="0" w:space="0" w:color="auto"/>
        <w:bottom w:val="none" w:sz="0" w:space="0" w:color="auto"/>
        <w:right w:val="none" w:sz="0" w:space="0" w:color="auto"/>
      </w:divBdr>
      <w:divsChild>
        <w:div w:id="401024951">
          <w:marLeft w:val="1267"/>
          <w:marRight w:val="0"/>
          <w:marTop w:val="0"/>
          <w:marBottom w:val="200"/>
          <w:divBdr>
            <w:top w:val="none" w:sz="0" w:space="0" w:color="auto"/>
            <w:left w:val="none" w:sz="0" w:space="0" w:color="auto"/>
            <w:bottom w:val="none" w:sz="0" w:space="0" w:color="auto"/>
            <w:right w:val="none" w:sz="0" w:space="0" w:color="auto"/>
          </w:divBdr>
        </w:div>
        <w:div w:id="1124083499">
          <w:marLeft w:val="1267"/>
          <w:marRight w:val="0"/>
          <w:marTop w:val="100"/>
          <w:marBottom w:val="0"/>
          <w:divBdr>
            <w:top w:val="none" w:sz="0" w:space="0" w:color="auto"/>
            <w:left w:val="none" w:sz="0" w:space="0" w:color="auto"/>
            <w:bottom w:val="none" w:sz="0" w:space="0" w:color="auto"/>
            <w:right w:val="none" w:sz="0" w:space="0" w:color="auto"/>
          </w:divBdr>
        </w:div>
      </w:divsChild>
    </w:div>
    <w:div w:id="941493891">
      <w:bodyDiv w:val="1"/>
      <w:marLeft w:val="0"/>
      <w:marRight w:val="0"/>
      <w:marTop w:val="0"/>
      <w:marBottom w:val="0"/>
      <w:divBdr>
        <w:top w:val="none" w:sz="0" w:space="0" w:color="auto"/>
        <w:left w:val="none" w:sz="0" w:space="0" w:color="auto"/>
        <w:bottom w:val="none" w:sz="0" w:space="0" w:color="auto"/>
        <w:right w:val="none" w:sz="0" w:space="0" w:color="auto"/>
      </w:divBdr>
    </w:div>
    <w:div w:id="1492451558">
      <w:bodyDiv w:val="1"/>
      <w:marLeft w:val="0"/>
      <w:marRight w:val="0"/>
      <w:marTop w:val="0"/>
      <w:marBottom w:val="0"/>
      <w:divBdr>
        <w:top w:val="none" w:sz="0" w:space="0" w:color="auto"/>
        <w:left w:val="none" w:sz="0" w:space="0" w:color="auto"/>
        <w:bottom w:val="none" w:sz="0" w:space="0" w:color="auto"/>
        <w:right w:val="none" w:sz="0" w:space="0" w:color="auto"/>
      </w:divBdr>
      <w:divsChild>
        <w:div w:id="178351551">
          <w:marLeft w:val="547"/>
          <w:marRight w:val="0"/>
          <w:marTop w:val="0"/>
          <w:marBottom w:val="0"/>
          <w:divBdr>
            <w:top w:val="none" w:sz="0" w:space="0" w:color="auto"/>
            <w:left w:val="none" w:sz="0" w:space="0" w:color="auto"/>
            <w:bottom w:val="none" w:sz="0" w:space="0" w:color="auto"/>
            <w:right w:val="none" w:sz="0" w:space="0" w:color="auto"/>
          </w:divBdr>
        </w:div>
        <w:div w:id="485123907">
          <w:marLeft w:val="547"/>
          <w:marRight w:val="0"/>
          <w:marTop w:val="0"/>
          <w:marBottom w:val="0"/>
          <w:divBdr>
            <w:top w:val="none" w:sz="0" w:space="0" w:color="auto"/>
            <w:left w:val="none" w:sz="0" w:space="0" w:color="auto"/>
            <w:bottom w:val="none" w:sz="0" w:space="0" w:color="auto"/>
            <w:right w:val="none" w:sz="0" w:space="0" w:color="auto"/>
          </w:divBdr>
        </w:div>
        <w:div w:id="711073806">
          <w:marLeft w:val="547"/>
          <w:marRight w:val="0"/>
          <w:marTop w:val="0"/>
          <w:marBottom w:val="0"/>
          <w:divBdr>
            <w:top w:val="none" w:sz="0" w:space="0" w:color="auto"/>
            <w:left w:val="none" w:sz="0" w:space="0" w:color="auto"/>
            <w:bottom w:val="none" w:sz="0" w:space="0" w:color="auto"/>
            <w:right w:val="none" w:sz="0" w:space="0" w:color="auto"/>
          </w:divBdr>
        </w:div>
        <w:div w:id="983660760">
          <w:marLeft w:val="547"/>
          <w:marRight w:val="0"/>
          <w:marTop w:val="0"/>
          <w:marBottom w:val="0"/>
          <w:divBdr>
            <w:top w:val="none" w:sz="0" w:space="0" w:color="auto"/>
            <w:left w:val="none" w:sz="0" w:space="0" w:color="auto"/>
            <w:bottom w:val="none" w:sz="0" w:space="0" w:color="auto"/>
            <w:right w:val="none" w:sz="0" w:space="0" w:color="auto"/>
          </w:divBdr>
        </w:div>
        <w:div w:id="992371051">
          <w:marLeft w:val="547"/>
          <w:marRight w:val="0"/>
          <w:marTop w:val="0"/>
          <w:marBottom w:val="0"/>
          <w:divBdr>
            <w:top w:val="none" w:sz="0" w:space="0" w:color="auto"/>
            <w:left w:val="none" w:sz="0" w:space="0" w:color="auto"/>
            <w:bottom w:val="none" w:sz="0" w:space="0" w:color="auto"/>
            <w:right w:val="none" w:sz="0" w:space="0" w:color="auto"/>
          </w:divBdr>
        </w:div>
        <w:div w:id="999188731">
          <w:marLeft w:val="547"/>
          <w:marRight w:val="0"/>
          <w:marTop w:val="0"/>
          <w:marBottom w:val="0"/>
          <w:divBdr>
            <w:top w:val="none" w:sz="0" w:space="0" w:color="auto"/>
            <w:left w:val="none" w:sz="0" w:space="0" w:color="auto"/>
            <w:bottom w:val="none" w:sz="0" w:space="0" w:color="auto"/>
            <w:right w:val="none" w:sz="0" w:space="0" w:color="auto"/>
          </w:divBdr>
        </w:div>
        <w:div w:id="1223836335">
          <w:marLeft w:val="547"/>
          <w:marRight w:val="0"/>
          <w:marTop w:val="0"/>
          <w:marBottom w:val="0"/>
          <w:divBdr>
            <w:top w:val="none" w:sz="0" w:space="0" w:color="auto"/>
            <w:left w:val="none" w:sz="0" w:space="0" w:color="auto"/>
            <w:bottom w:val="none" w:sz="0" w:space="0" w:color="auto"/>
            <w:right w:val="none" w:sz="0" w:space="0" w:color="auto"/>
          </w:divBdr>
        </w:div>
        <w:div w:id="1471946253">
          <w:marLeft w:val="547"/>
          <w:marRight w:val="0"/>
          <w:marTop w:val="100"/>
          <w:marBottom w:val="0"/>
          <w:divBdr>
            <w:top w:val="none" w:sz="0" w:space="0" w:color="auto"/>
            <w:left w:val="none" w:sz="0" w:space="0" w:color="auto"/>
            <w:bottom w:val="none" w:sz="0" w:space="0" w:color="auto"/>
            <w:right w:val="none" w:sz="0" w:space="0" w:color="auto"/>
          </w:divBdr>
        </w:div>
        <w:div w:id="1611739578">
          <w:marLeft w:val="547"/>
          <w:marRight w:val="0"/>
          <w:marTop w:val="0"/>
          <w:marBottom w:val="0"/>
          <w:divBdr>
            <w:top w:val="none" w:sz="0" w:space="0" w:color="auto"/>
            <w:left w:val="none" w:sz="0" w:space="0" w:color="auto"/>
            <w:bottom w:val="none" w:sz="0" w:space="0" w:color="auto"/>
            <w:right w:val="none" w:sz="0" w:space="0" w:color="auto"/>
          </w:divBdr>
        </w:div>
        <w:div w:id="1811822809">
          <w:marLeft w:val="547"/>
          <w:marRight w:val="0"/>
          <w:marTop w:val="0"/>
          <w:marBottom w:val="0"/>
          <w:divBdr>
            <w:top w:val="none" w:sz="0" w:space="0" w:color="auto"/>
            <w:left w:val="none" w:sz="0" w:space="0" w:color="auto"/>
            <w:bottom w:val="none" w:sz="0" w:space="0" w:color="auto"/>
            <w:right w:val="none" w:sz="0" w:space="0" w:color="auto"/>
          </w:divBdr>
        </w:div>
        <w:div w:id="1821001443">
          <w:marLeft w:val="547"/>
          <w:marRight w:val="0"/>
          <w:marTop w:val="0"/>
          <w:marBottom w:val="0"/>
          <w:divBdr>
            <w:top w:val="none" w:sz="0" w:space="0" w:color="auto"/>
            <w:left w:val="none" w:sz="0" w:space="0" w:color="auto"/>
            <w:bottom w:val="none" w:sz="0" w:space="0" w:color="auto"/>
            <w:right w:val="none" w:sz="0" w:space="0" w:color="auto"/>
          </w:divBdr>
        </w:div>
        <w:div w:id="2032414799">
          <w:marLeft w:val="547"/>
          <w:marRight w:val="0"/>
          <w:marTop w:val="0"/>
          <w:marBottom w:val="200"/>
          <w:divBdr>
            <w:top w:val="none" w:sz="0" w:space="0" w:color="auto"/>
            <w:left w:val="none" w:sz="0" w:space="0" w:color="auto"/>
            <w:bottom w:val="none" w:sz="0" w:space="0" w:color="auto"/>
            <w:right w:val="none" w:sz="0" w:space="0" w:color="auto"/>
          </w:divBdr>
        </w:div>
      </w:divsChild>
    </w:div>
    <w:div w:id="1663896039">
      <w:bodyDiv w:val="1"/>
      <w:marLeft w:val="0"/>
      <w:marRight w:val="0"/>
      <w:marTop w:val="0"/>
      <w:marBottom w:val="0"/>
      <w:divBdr>
        <w:top w:val="none" w:sz="0" w:space="0" w:color="auto"/>
        <w:left w:val="none" w:sz="0" w:space="0" w:color="auto"/>
        <w:bottom w:val="none" w:sz="0" w:space="0" w:color="auto"/>
        <w:right w:val="none" w:sz="0" w:space="0" w:color="auto"/>
      </w:divBdr>
      <w:divsChild>
        <w:div w:id="652417058">
          <w:marLeft w:val="547"/>
          <w:marRight w:val="0"/>
          <w:marTop w:val="120"/>
          <w:marBottom w:val="120"/>
          <w:divBdr>
            <w:top w:val="none" w:sz="0" w:space="0" w:color="auto"/>
            <w:left w:val="none" w:sz="0" w:space="0" w:color="auto"/>
            <w:bottom w:val="none" w:sz="0" w:space="0" w:color="auto"/>
            <w:right w:val="none" w:sz="0" w:space="0" w:color="auto"/>
          </w:divBdr>
        </w:div>
        <w:div w:id="884292765">
          <w:marLeft w:val="547"/>
          <w:marRight w:val="0"/>
          <w:marTop w:val="120"/>
          <w:marBottom w:val="120"/>
          <w:divBdr>
            <w:top w:val="none" w:sz="0" w:space="0" w:color="auto"/>
            <w:left w:val="none" w:sz="0" w:space="0" w:color="auto"/>
            <w:bottom w:val="none" w:sz="0" w:space="0" w:color="auto"/>
            <w:right w:val="none" w:sz="0" w:space="0" w:color="auto"/>
          </w:divBdr>
        </w:div>
      </w:divsChild>
    </w:div>
    <w:div w:id="19423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9A2E-BBEC-4F7A-9E92-AAB5A1DB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15825</Words>
  <Characters>90204</Characters>
  <Application>Microsoft Office Word</Application>
  <DocSecurity>4</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105818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Shuaib Denyssen</dc:creator>
  <cp:lastModifiedBy>Asanda</cp:lastModifiedBy>
  <cp:revision>2</cp:revision>
  <cp:lastPrinted>2018-05-08T10:52:00Z</cp:lastPrinted>
  <dcterms:created xsi:type="dcterms:W3CDTF">2018-05-10T09:27:00Z</dcterms:created>
  <dcterms:modified xsi:type="dcterms:W3CDTF">2018-05-10T09:27:00Z</dcterms:modified>
</cp:coreProperties>
</file>