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30B3" w14:textId="77777777" w:rsidR="001D67A0" w:rsidRDefault="001D67A0" w:rsidP="00754B02">
      <w:pPr>
        <w:spacing w:line="360" w:lineRule="auto"/>
        <w:rPr>
          <w:rFonts w:eastAsia="Times New Roman" w:cs="Arial"/>
          <w:b/>
          <w:sz w:val="24"/>
          <w:szCs w:val="24"/>
          <w:lang w:val="en-GB"/>
        </w:rPr>
      </w:pPr>
      <w:bookmarkStart w:id="0" w:name="_GoBack"/>
      <w:bookmarkEnd w:id="0"/>
    </w:p>
    <w:p w14:paraId="46DFE32C" w14:textId="77777777" w:rsidR="002D3515" w:rsidRPr="00F97759" w:rsidRDefault="00D67A56" w:rsidP="00F97759">
      <w:pPr>
        <w:spacing w:line="360" w:lineRule="auto"/>
        <w:rPr>
          <w:rFonts w:ascii="Times New Roman" w:eastAsia="Times New Roman" w:hAnsi="Times New Roman" w:cs="Times New Roman"/>
          <w:b/>
          <w:sz w:val="24"/>
          <w:szCs w:val="24"/>
          <w:lang w:val="en-GB"/>
        </w:rPr>
      </w:pPr>
      <w:r w:rsidRPr="00F97759">
        <w:rPr>
          <w:rFonts w:ascii="Times New Roman" w:eastAsia="Times New Roman" w:hAnsi="Times New Roman" w:cs="Times New Roman"/>
          <w:b/>
          <w:noProof/>
          <w:sz w:val="24"/>
          <w:szCs w:val="24"/>
          <w:lang w:eastAsia="en-ZA"/>
        </w:rPr>
        <w:drawing>
          <wp:anchor distT="0" distB="0" distL="114300" distR="114300" simplePos="0" relativeHeight="251671552" behindDoc="0" locked="0" layoutInCell="1" allowOverlap="1" wp14:anchorId="4562B900" wp14:editId="77601714">
            <wp:simplePos x="0" y="0"/>
            <wp:positionH relativeFrom="column">
              <wp:posOffset>7185660</wp:posOffset>
            </wp:positionH>
            <wp:positionV relativeFrom="paragraph">
              <wp:posOffset>95885</wp:posOffset>
            </wp:positionV>
            <wp:extent cx="2351405" cy="800100"/>
            <wp:effectExtent l="19050" t="0" r="0" b="0"/>
            <wp:wrapNone/>
            <wp:docPr id="2"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9"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sidR="001D2036">
        <w:rPr>
          <w:rFonts w:ascii="Times New Roman" w:eastAsia="Times New Roman" w:hAnsi="Times New Roman" w:cs="Times New Roman"/>
          <w:b/>
          <w:noProof/>
          <w:sz w:val="24"/>
          <w:szCs w:val="24"/>
          <w:lang w:eastAsia="en-ZA"/>
        </w:rPr>
        <w:t xml:space="preserve">5. </w:t>
      </w:r>
      <w:r w:rsidR="00A02125" w:rsidRPr="00F97759">
        <w:rPr>
          <w:rFonts w:ascii="Times New Roman" w:eastAsia="Times New Roman" w:hAnsi="Times New Roman" w:cs="Times New Roman"/>
          <w:b/>
          <w:sz w:val="24"/>
          <w:szCs w:val="24"/>
          <w:lang w:val="en-GB"/>
        </w:rPr>
        <w:t>RE</w:t>
      </w:r>
      <w:r w:rsidR="002D3515" w:rsidRPr="00F97759">
        <w:rPr>
          <w:rFonts w:ascii="Times New Roman" w:eastAsia="Times New Roman" w:hAnsi="Times New Roman" w:cs="Times New Roman"/>
          <w:b/>
          <w:sz w:val="24"/>
          <w:szCs w:val="24"/>
          <w:lang w:val="en-GB"/>
        </w:rPr>
        <w:t>PORT OF THE PORTFOLIO COMMITTEE ON COOPERATIVE GOVERNANCE AND TRADITIONAL AFFAIRS ON THE ANNUAL PERFORMANCE PLAN AND BUDGET VOTE 4 OF THE DEPARTMENT OF COOPERATIVE GOVERNANCE AND TRADITIONAL AFFAIRS</w:t>
      </w:r>
      <w:r w:rsidR="00A02125" w:rsidRPr="00F97759">
        <w:rPr>
          <w:rFonts w:ascii="Times New Roman" w:eastAsia="Times New Roman" w:hAnsi="Times New Roman" w:cs="Times New Roman"/>
          <w:b/>
          <w:sz w:val="24"/>
          <w:szCs w:val="24"/>
          <w:lang w:val="en-GB"/>
        </w:rPr>
        <w:t>,</w:t>
      </w:r>
      <w:r w:rsidR="002D3515" w:rsidRPr="00F97759">
        <w:rPr>
          <w:rFonts w:ascii="Times New Roman" w:eastAsia="Times New Roman" w:hAnsi="Times New Roman" w:cs="Times New Roman"/>
          <w:b/>
          <w:sz w:val="24"/>
          <w:szCs w:val="24"/>
          <w:lang w:val="en-GB"/>
        </w:rPr>
        <w:t xml:space="preserve"> DATED </w:t>
      </w:r>
      <w:r w:rsidR="0020586C" w:rsidRPr="00F97759">
        <w:rPr>
          <w:rFonts w:ascii="Times New Roman" w:eastAsia="Times New Roman" w:hAnsi="Times New Roman" w:cs="Times New Roman"/>
          <w:b/>
          <w:sz w:val="24"/>
          <w:szCs w:val="24"/>
          <w:lang w:val="en-GB"/>
        </w:rPr>
        <w:t>8 MAY 2018</w:t>
      </w:r>
    </w:p>
    <w:p w14:paraId="161AE5E8" w14:textId="77777777" w:rsidR="00A02125" w:rsidRPr="00F97759" w:rsidRDefault="00A02125" w:rsidP="00F97759">
      <w:pPr>
        <w:spacing w:line="360" w:lineRule="auto"/>
        <w:rPr>
          <w:rFonts w:ascii="Times New Roman" w:eastAsia="Times New Roman" w:hAnsi="Times New Roman" w:cs="Times New Roman"/>
          <w:b/>
          <w:sz w:val="24"/>
          <w:szCs w:val="24"/>
          <w:lang w:val="en-GB"/>
        </w:rPr>
      </w:pPr>
    </w:p>
    <w:p w14:paraId="20F2ABC2" w14:textId="77777777" w:rsidR="002D3515" w:rsidRPr="00F97759" w:rsidRDefault="002D3515" w:rsidP="00F97759">
      <w:pPr>
        <w:spacing w:line="360" w:lineRule="auto"/>
        <w:rPr>
          <w:rFonts w:ascii="Times New Roman" w:eastAsia="Times New Roman" w:hAnsi="Times New Roman" w:cs="Times New Roman"/>
          <w:sz w:val="24"/>
          <w:szCs w:val="24"/>
          <w:lang w:val="en-GB"/>
        </w:rPr>
      </w:pPr>
      <w:r w:rsidRPr="00F97759">
        <w:rPr>
          <w:rFonts w:ascii="Times New Roman" w:eastAsia="Times New Roman" w:hAnsi="Times New Roman" w:cs="Times New Roman"/>
          <w:sz w:val="24"/>
          <w:szCs w:val="24"/>
          <w:lang w:val="en-GB"/>
        </w:rPr>
        <w:t xml:space="preserve">The Portfolio Committee on Cooperative Governance and Traditional Affairs (the Committee), having met with the Department of Cooperative Governance and Traditional Affairs and </w:t>
      </w:r>
      <w:r w:rsidR="00A02125" w:rsidRPr="00F97759">
        <w:rPr>
          <w:rFonts w:ascii="Times New Roman" w:eastAsia="Times New Roman" w:hAnsi="Times New Roman" w:cs="Times New Roman"/>
          <w:sz w:val="24"/>
          <w:szCs w:val="24"/>
          <w:lang w:val="en-GB"/>
        </w:rPr>
        <w:t xml:space="preserve">the </w:t>
      </w:r>
      <w:r w:rsidRPr="00F97759">
        <w:rPr>
          <w:rFonts w:ascii="Times New Roman" w:eastAsia="Times New Roman" w:hAnsi="Times New Roman" w:cs="Times New Roman"/>
          <w:sz w:val="24"/>
          <w:szCs w:val="24"/>
          <w:lang w:val="en-GB"/>
        </w:rPr>
        <w:t xml:space="preserve">entities reporting to it, on their five-year Strategic Plan, Annual Performance Plans (APP) and Budget for </w:t>
      </w:r>
      <w:r w:rsidR="00CD0705" w:rsidRPr="00F97759">
        <w:rPr>
          <w:rFonts w:ascii="Times New Roman" w:eastAsia="Times New Roman" w:hAnsi="Times New Roman" w:cs="Times New Roman"/>
          <w:sz w:val="24"/>
          <w:szCs w:val="24"/>
          <w:lang w:val="en-GB"/>
        </w:rPr>
        <w:t>2018/19</w:t>
      </w:r>
      <w:r w:rsidRPr="00F97759">
        <w:rPr>
          <w:rFonts w:ascii="Times New Roman" w:eastAsia="Times New Roman" w:hAnsi="Times New Roman" w:cs="Times New Roman"/>
          <w:sz w:val="24"/>
          <w:szCs w:val="24"/>
          <w:lang w:val="en-GB"/>
        </w:rPr>
        <w:t xml:space="preserve"> financial year, reports as follows:</w:t>
      </w:r>
    </w:p>
    <w:p w14:paraId="18B3E6FA" w14:textId="77777777" w:rsidR="002D3515" w:rsidRPr="00F97759" w:rsidRDefault="002D3515" w:rsidP="00F97759">
      <w:pPr>
        <w:spacing w:line="360" w:lineRule="auto"/>
        <w:rPr>
          <w:rFonts w:ascii="Times New Roman" w:eastAsia="Times New Roman" w:hAnsi="Times New Roman" w:cs="Times New Roman"/>
          <w:b/>
          <w:sz w:val="24"/>
          <w:szCs w:val="24"/>
          <w:lang w:val="en-GB"/>
        </w:rPr>
      </w:pPr>
    </w:p>
    <w:p w14:paraId="48B0D2D2" w14:textId="77777777" w:rsidR="002D3515" w:rsidRPr="00F97759" w:rsidRDefault="002D3515" w:rsidP="00F97759">
      <w:pPr>
        <w:numPr>
          <w:ilvl w:val="0"/>
          <w:numId w:val="20"/>
        </w:numPr>
        <w:spacing w:after="160" w:line="360" w:lineRule="auto"/>
        <w:ind w:left="426"/>
        <w:rPr>
          <w:rFonts w:ascii="Times New Roman" w:eastAsia="Times New Roman" w:hAnsi="Times New Roman" w:cs="Times New Roman"/>
          <w:b/>
          <w:color w:val="000000"/>
          <w:spacing w:val="6"/>
          <w:sz w:val="24"/>
          <w:szCs w:val="24"/>
          <w:lang w:val="en-GB" w:eastAsia="en-GB"/>
        </w:rPr>
      </w:pPr>
      <w:r w:rsidRPr="00F97759">
        <w:rPr>
          <w:rFonts w:ascii="Times New Roman" w:eastAsia="Times New Roman" w:hAnsi="Times New Roman" w:cs="Times New Roman"/>
          <w:b/>
          <w:color w:val="000000"/>
          <w:spacing w:val="6"/>
          <w:sz w:val="24"/>
          <w:szCs w:val="24"/>
          <w:lang w:val="en-GB" w:eastAsia="en-GB"/>
        </w:rPr>
        <w:t>BACKGROUND</w:t>
      </w:r>
    </w:p>
    <w:p w14:paraId="42949F80" w14:textId="77777777" w:rsidR="00A02125" w:rsidRPr="00F97759" w:rsidRDefault="002D3515" w:rsidP="00F97759">
      <w:pPr>
        <w:spacing w:line="360" w:lineRule="auto"/>
        <w:ind w:left="66"/>
        <w:rPr>
          <w:rFonts w:ascii="Times New Roman" w:eastAsia="Times New Roman" w:hAnsi="Times New Roman" w:cs="Times New Roman"/>
          <w:color w:val="000000"/>
          <w:spacing w:val="6"/>
          <w:sz w:val="24"/>
          <w:szCs w:val="24"/>
          <w:lang w:val="en-GB" w:eastAsia="en-GB"/>
        </w:rPr>
      </w:pPr>
      <w:r w:rsidRPr="00F97759">
        <w:rPr>
          <w:rFonts w:ascii="Times New Roman" w:eastAsia="Times New Roman" w:hAnsi="Times New Roman" w:cs="Times New Roman"/>
          <w:color w:val="000000"/>
          <w:spacing w:val="6"/>
          <w:sz w:val="24"/>
          <w:szCs w:val="24"/>
          <w:lang w:val="en-GB" w:eastAsia="en-GB"/>
        </w:rPr>
        <w:t xml:space="preserve">In terms of section 55(2) of the Constitution of the Republic of South Africa, </w:t>
      </w:r>
      <w:r w:rsidR="00A02125" w:rsidRPr="00F97759">
        <w:rPr>
          <w:rFonts w:ascii="Times New Roman" w:eastAsia="Times New Roman" w:hAnsi="Times New Roman" w:cs="Times New Roman"/>
          <w:color w:val="000000"/>
          <w:spacing w:val="6"/>
          <w:sz w:val="24"/>
          <w:szCs w:val="24"/>
          <w:lang w:val="en-GB" w:eastAsia="en-GB"/>
        </w:rPr>
        <w:t>(</w:t>
      </w:r>
      <w:r w:rsidRPr="00F97759">
        <w:rPr>
          <w:rFonts w:ascii="Times New Roman" w:eastAsia="Times New Roman" w:hAnsi="Times New Roman" w:cs="Times New Roman"/>
          <w:color w:val="000000"/>
          <w:spacing w:val="6"/>
          <w:sz w:val="24"/>
          <w:szCs w:val="24"/>
          <w:lang w:val="en-GB" w:eastAsia="en-GB"/>
        </w:rPr>
        <w:t>Act 108 of 1996</w:t>
      </w:r>
      <w:r w:rsidR="00A02125" w:rsidRPr="00F97759">
        <w:rPr>
          <w:rFonts w:ascii="Times New Roman" w:eastAsia="Times New Roman" w:hAnsi="Times New Roman" w:cs="Times New Roman"/>
          <w:color w:val="000000"/>
          <w:spacing w:val="6"/>
          <w:sz w:val="24"/>
          <w:szCs w:val="24"/>
          <w:lang w:val="en-GB" w:eastAsia="en-GB"/>
        </w:rPr>
        <w:t>)</w:t>
      </w:r>
      <w:r w:rsidRPr="00F97759">
        <w:rPr>
          <w:rFonts w:ascii="Times New Roman" w:eastAsia="Times New Roman" w:hAnsi="Times New Roman" w:cs="Times New Roman"/>
          <w:color w:val="000000"/>
          <w:spacing w:val="6"/>
          <w:sz w:val="24"/>
          <w:szCs w:val="24"/>
          <w:lang w:val="en-GB" w:eastAsia="en-GB"/>
        </w:rPr>
        <w:t xml:space="preserve">, </w:t>
      </w:r>
      <w:r w:rsidR="00A02125" w:rsidRPr="00F97759">
        <w:rPr>
          <w:rFonts w:ascii="Times New Roman" w:eastAsia="Times New Roman" w:hAnsi="Times New Roman" w:cs="Times New Roman"/>
          <w:color w:val="000000"/>
          <w:spacing w:val="6"/>
          <w:sz w:val="24"/>
          <w:szCs w:val="24"/>
          <w:lang w:val="en-GB" w:eastAsia="en-GB"/>
        </w:rPr>
        <w:t xml:space="preserve">the </w:t>
      </w:r>
      <w:r w:rsidRPr="00F97759">
        <w:rPr>
          <w:rFonts w:ascii="Times New Roman" w:eastAsia="Times New Roman" w:hAnsi="Times New Roman" w:cs="Times New Roman"/>
          <w:color w:val="000000"/>
          <w:spacing w:val="6"/>
          <w:sz w:val="24"/>
          <w:szCs w:val="24"/>
          <w:lang w:val="en-GB" w:eastAsia="en-GB"/>
        </w:rPr>
        <w:t>National Assembly must provide for mechanisms: (a) to ensure that all executive organs of state in the national sphere of government are accountable to it; and (b) to maintain oversight of</w:t>
      </w:r>
      <w:r w:rsidR="00A02125" w:rsidRPr="00F97759">
        <w:rPr>
          <w:rFonts w:ascii="Times New Roman" w:eastAsia="Times New Roman" w:hAnsi="Times New Roman" w:cs="Times New Roman"/>
          <w:color w:val="000000"/>
          <w:spacing w:val="6"/>
          <w:sz w:val="24"/>
          <w:szCs w:val="24"/>
          <w:lang w:val="en-GB" w:eastAsia="en-GB"/>
        </w:rPr>
        <w:t xml:space="preserve"> – </w:t>
      </w:r>
    </w:p>
    <w:p w14:paraId="5AB7C9D7" w14:textId="77777777" w:rsidR="00A02125" w:rsidRPr="00F97759" w:rsidRDefault="00A02125" w:rsidP="00F97759">
      <w:pPr>
        <w:spacing w:line="360" w:lineRule="auto"/>
        <w:ind w:left="66"/>
        <w:rPr>
          <w:rFonts w:ascii="Times New Roman" w:eastAsia="Times New Roman" w:hAnsi="Times New Roman" w:cs="Times New Roman"/>
          <w:color w:val="000000"/>
          <w:spacing w:val="6"/>
          <w:sz w:val="24"/>
          <w:szCs w:val="24"/>
          <w:lang w:val="en-GB" w:eastAsia="en-GB"/>
        </w:rPr>
      </w:pPr>
    </w:p>
    <w:p w14:paraId="57C71CDD" w14:textId="77777777" w:rsidR="00A02125" w:rsidRPr="00F97759" w:rsidRDefault="002D3515" w:rsidP="00F97759">
      <w:pPr>
        <w:pStyle w:val="ListParagraph"/>
        <w:numPr>
          <w:ilvl w:val="0"/>
          <w:numId w:val="25"/>
        </w:numPr>
        <w:spacing w:line="360" w:lineRule="auto"/>
        <w:rPr>
          <w:rFonts w:ascii="Times New Roman" w:eastAsia="Times New Roman" w:hAnsi="Times New Roman" w:cs="Times New Roman"/>
          <w:color w:val="000000"/>
          <w:spacing w:val="6"/>
          <w:sz w:val="24"/>
          <w:szCs w:val="24"/>
          <w:lang w:val="en-GB" w:eastAsia="en-GB"/>
        </w:rPr>
      </w:pPr>
      <w:r w:rsidRPr="00F97759">
        <w:rPr>
          <w:rFonts w:ascii="Times New Roman" w:eastAsia="Times New Roman" w:hAnsi="Times New Roman" w:cs="Times New Roman"/>
          <w:color w:val="000000"/>
          <w:spacing w:val="6"/>
          <w:sz w:val="24"/>
          <w:szCs w:val="24"/>
          <w:lang w:val="en-GB" w:eastAsia="en-GB"/>
        </w:rPr>
        <w:t xml:space="preserve">the national executive authority, including the implementation of legislation; and </w:t>
      </w:r>
      <w:r w:rsidR="00A02125" w:rsidRPr="00F97759">
        <w:rPr>
          <w:rFonts w:ascii="Times New Roman" w:eastAsia="Times New Roman" w:hAnsi="Times New Roman" w:cs="Times New Roman"/>
          <w:color w:val="000000"/>
          <w:spacing w:val="6"/>
          <w:sz w:val="24"/>
          <w:szCs w:val="24"/>
          <w:lang w:val="en-GB" w:eastAsia="en-GB"/>
        </w:rPr>
        <w:t xml:space="preserve">      </w:t>
      </w:r>
    </w:p>
    <w:p w14:paraId="0CAB295F" w14:textId="77777777" w:rsidR="00A02125" w:rsidRPr="00F97759" w:rsidRDefault="002D3515" w:rsidP="00F97759">
      <w:pPr>
        <w:pStyle w:val="ListParagraph"/>
        <w:numPr>
          <w:ilvl w:val="0"/>
          <w:numId w:val="25"/>
        </w:numPr>
        <w:spacing w:line="360" w:lineRule="auto"/>
        <w:rPr>
          <w:rFonts w:ascii="Times New Roman" w:eastAsia="Times New Roman" w:hAnsi="Times New Roman" w:cs="Times New Roman"/>
          <w:color w:val="000000"/>
          <w:spacing w:val="6"/>
          <w:sz w:val="24"/>
          <w:szCs w:val="24"/>
          <w:lang w:val="en-GB" w:eastAsia="en-GB"/>
        </w:rPr>
      </w:pPr>
      <w:r w:rsidRPr="00F97759">
        <w:rPr>
          <w:rFonts w:ascii="Times New Roman" w:eastAsia="Times New Roman" w:hAnsi="Times New Roman" w:cs="Times New Roman"/>
          <w:color w:val="000000"/>
          <w:spacing w:val="6"/>
          <w:sz w:val="24"/>
          <w:szCs w:val="24"/>
          <w:lang w:val="en-GB" w:eastAsia="en-GB"/>
        </w:rPr>
        <w:t xml:space="preserve">any organ of state. </w:t>
      </w:r>
    </w:p>
    <w:p w14:paraId="1D5EE83F" w14:textId="77777777" w:rsidR="00A02125" w:rsidRPr="00F97759" w:rsidRDefault="00A02125" w:rsidP="00F97759">
      <w:pPr>
        <w:pStyle w:val="ListParagraph"/>
        <w:spacing w:line="360" w:lineRule="auto"/>
        <w:ind w:left="0"/>
        <w:rPr>
          <w:rFonts w:ascii="Times New Roman" w:eastAsia="Times New Roman" w:hAnsi="Times New Roman" w:cs="Times New Roman"/>
          <w:color w:val="000000"/>
          <w:spacing w:val="6"/>
          <w:sz w:val="24"/>
          <w:szCs w:val="24"/>
          <w:lang w:val="en-GB" w:eastAsia="en-GB"/>
        </w:rPr>
      </w:pPr>
    </w:p>
    <w:p w14:paraId="5D007E58" w14:textId="77777777" w:rsidR="002D3515" w:rsidRPr="00F97759" w:rsidRDefault="002D3515" w:rsidP="00F97759">
      <w:pPr>
        <w:spacing w:line="360" w:lineRule="auto"/>
        <w:ind w:left="66"/>
        <w:rPr>
          <w:rFonts w:ascii="Times New Roman" w:eastAsia="Times New Roman" w:hAnsi="Times New Roman" w:cs="Times New Roman"/>
          <w:color w:val="000000"/>
          <w:spacing w:val="6"/>
          <w:sz w:val="24"/>
          <w:szCs w:val="24"/>
          <w:lang w:val="en-GB" w:eastAsia="en-GB"/>
        </w:rPr>
      </w:pPr>
      <w:r w:rsidRPr="00F97759">
        <w:rPr>
          <w:rFonts w:ascii="Times New Roman" w:eastAsia="Times New Roman" w:hAnsi="Times New Roman" w:cs="Times New Roman"/>
          <w:color w:val="000000"/>
          <w:spacing w:val="6"/>
          <w:sz w:val="24"/>
          <w:szCs w:val="24"/>
          <w:lang w:val="en-GB" w:eastAsia="en-GB"/>
        </w:rPr>
        <w:t xml:space="preserve">The Money Bills Amendment Procedure and Related Matters Act, </w:t>
      </w:r>
      <w:r w:rsidR="00A02125" w:rsidRPr="00F97759">
        <w:rPr>
          <w:rFonts w:ascii="Times New Roman" w:eastAsia="Times New Roman" w:hAnsi="Times New Roman" w:cs="Times New Roman"/>
          <w:color w:val="000000"/>
          <w:spacing w:val="6"/>
          <w:sz w:val="24"/>
          <w:szCs w:val="24"/>
          <w:lang w:val="en-GB" w:eastAsia="en-GB"/>
        </w:rPr>
        <w:t xml:space="preserve">(Act 9 of 2009) </w:t>
      </w:r>
      <w:r w:rsidRPr="00F97759">
        <w:rPr>
          <w:rFonts w:ascii="Times New Roman" w:eastAsia="Times New Roman" w:hAnsi="Times New Roman" w:cs="Times New Roman"/>
          <w:color w:val="000000"/>
          <w:spacing w:val="6"/>
          <w:sz w:val="24"/>
          <w:szCs w:val="24"/>
          <w:lang w:val="en-GB" w:eastAsia="en-GB"/>
        </w:rPr>
        <w:t>vests powers in Parliament to reject or recommend budgets of national government departments. The Act further makes provision for the implementation of recommendations emanating from the Committee oversight.</w:t>
      </w:r>
    </w:p>
    <w:p w14:paraId="76FBDE6A" w14:textId="77777777" w:rsidR="002D3515" w:rsidRPr="00F97759" w:rsidRDefault="002D3515" w:rsidP="00F97759">
      <w:pPr>
        <w:spacing w:line="360" w:lineRule="auto"/>
        <w:ind w:left="66"/>
        <w:rPr>
          <w:rFonts w:ascii="Times New Roman" w:eastAsia="Times New Roman" w:hAnsi="Times New Roman" w:cs="Times New Roman"/>
          <w:color w:val="000000"/>
          <w:spacing w:val="6"/>
          <w:sz w:val="24"/>
          <w:szCs w:val="24"/>
          <w:lang w:val="en-GB" w:eastAsia="en-GB"/>
        </w:rPr>
      </w:pPr>
    </w:p>
    <w:p w14:paraId="379090A7" w14:textId="77777777" w:rsidR="002D3515" w:rsidRPr="00F97759" w:rsidRDefault="002D3515" w:rsidP="00F97759">
      <w:pPr>
        <w:spacing w:line="360" w:lineRule="auto"/>
        <w:ind w:left="66"/>
        <w:rPr>
          <w:rFonts w:ascii="Times New Roman" w:eastAsia="Times New Roman" w:hAnsi="Times New Roman" w:cs="Times New Roman"/>
          <w:color w:val="000000"/>
          <w:spacing w:val="6"/>
          <w:sz w:val="24"/>
          <w:szCs w:val="24"/>
          <w:lang w:val="en-GB" w:eastAsia="en-GB"/>
        </w:rPr>
      </w:pPr>
      <w:r w:rsidRPr="00F97759">
        <w:rPr>
          <w:rFonts w:ascii="Times New Roman" w:eastAsia="Times New Roman" w:hAnsi="Times New Roman" w:cs="Times New Roman"/>
          <w:color w:val="000000"/>
          <w:spacing w:val="6"/>
          <w:sz w:val="24"/>
          <w:szCs w:val="24"/>
          <w:lang w:val="en-GB" w:eastAsia="en-GB"/>
        </w:rPr>
        <w:t>The Committee exercises its mandate of oversight in line with the above-mentioned legislative framework over the Department of Cooperative Governance and Traditional Affairs (</w:t>
      </w:r>
      <w:proofErr w:type="spellStart"/>
      <w:r w:rsidRPr="00F97759">
        <w:rPr>
          <w:rFonts w:ascii="Times New Roman" w:eastAsia="Times New Roman" w:hAnsi="Times New Roman" w:cs="Times New Roman"/>
          <w:color w:val="000000"/>
          <w:spacing w:val="6"/>
          <w:sz w:val="24"/>
          <w:szCs w:val="24"/>
          <w:lang w:val="en-GB" w:eastAsia="en-GB"/>
        </w:rPr>
        <w:t>CoGTA</w:t>
      </w:r>
      <w:proofErr w:type="spellEnd"/>
      <w:r w:rsidRPr="00F97759">
        <w:rPr>
          <w:rFonts w:ascii="Times New Roman" w:eastAsia="Times New Roman" w:hAnsi="Times New Roman" w:cs="Times New Roman"/>
          <w:color w:val="000000"/>
          <w:spacing w:val="6"/>
          <w:sz w:val="24"/>
          <w:szCs w:val="24"/>
          <w:lang w:val="en-GB" w:eastAsia="en-GB"/>
        </w:rPr>
        <w:t>) and its entities, namely: the Municipal Demarcation Board (MDB); the Commission for the Promotion and Protection of the Rights of Cultural</w:t>
      </w:r>
      <w:r w:rsidR="00A02125" w:rsidRPr="00F97759">
        <w:rPr>
          <w:rFonts w:ascii="Times New Roman" w:eastAsia="Times New Roman" w:hAnsi="Times New Roman" w:cs="Times New Roman"/>
          <w:color w:val="000000"/>
          <w:spacing w:val="6"/>
          <w:sz w:val="24"/>
          <w:szCs w:val="24"/>
          <w:lang w:val="en-GB" w:eastAsia="en-GB"/>
        </w:rPr>
        <w:t>,</w:t>
      </w:r>
      <w:r w:rsidRPr="00F97759">
        <w:rPr>
          <w:rFonts w:ascii="Times New Roman" w:eastAsia="Times New Roman" w:hAnsi="Times New Roman" w:cs="Times New Roman"/>
          <w:color w:val="000000"/>
          <w:spacing w:val="6"/>
          <w:sz w:val="24"/>
          <w:szCs w:val="24"/>
          <w:lang w:val="en-GB" w:eastAsia="en-GB"/>
        </w:rPr>
        <w:t xml:space="preserve"> Religious and Linguistic Communities (CRL Rights Commission); the South African Local Government Association (SALGA); and the National House of Traditional Leaders (NHTL). The Committee met with the Department </w:t>
      </w:r>
      <w:r w:rsidR="00A02125" w:rsidRPr="00F97759">
        <w:rPr>
          <w:rFonts w:ascii="Times New Roman" w:eastAsia="Times New Roman" w:hAnsi="Times New Roman" w:cs="Times New Roman"/>
          <w:color w:val="000000"/>
          <w:spacing w:val="6"/>
          <w:sz w:val="24"/>
          <w:szCs w:val="24"/>
          <w:lang w:val="en-GB" w:eastAsia="en-GB"/>
        </w:rPr>
        <w:t>of</w:t>
      </w:r>
      <w:r w:rsidRPr="00F97759">
        <w:rPr>
          <w:rFonts w:ascii="Times New Roman" w:eastAsia="Times New Roman" w:hAnsi="Times New Roman" w:cs="Times New Roman"/>
          <w:color w:val="000000"/>
          <w:spacing w:val="6"/>
          <w:sz w:val="24"/>
          <w:szCs w:val="24"/>
          <w:lang w:val="en-GB" w:eastAsia="en-GB"/>
        </w:rPr>
        <w:t xml:space="preserve"> </w:t>
      </w:r>
      <w:proofErr w:type="spellStart"/>
      <w:r w:rsidRPr="00F97759">
        <w:rPr>
          <w:rFonts w:ascii="Times New Roman" w:eastAsia="Times New Roman" w:hAnsi="Times New Roman" w:cs="Times New Roman"/>
          <w:color w:val="000000"/>
          <w:spacing w:val="6"/>
          <w:sz w:val="24"/>
          <w:szCs w:val="24"/>
          <w:lang w:val="en-GB" w:eastAsia="en-GB"/>
        </w:rPr>
        <w:t>CoGTA</w:t>
      </w:r>
      <w:proofErr w:type="spellEnd"/>
      <w:r w:rsidRPr="00F97759">
        <w:rPr>
          <w:rFonts w:ascii="Times New Roman" w:eastAsia="Times New Roman" w:hAnsi="Times New Roman" w:cs="Times New Roman"/>
          <w:color w:val="000000"/>
          <w:spacing w:val="6"/>
          <w:sz w:val="24"/>
          <w:szCs w:val="24"/>
          <w:lang w:val="en-GB" w:eastAsia="en-GB"/>
        </w:rPr>
        <w:t xml:space="preserve"> on </w:t>
      </w:r>
      <w:r w:rsidR="00081E88" w:rsidRPr="00F97759">
        <w:rPr>
          <w:rFonts w:ascii="Times New Roman" w:eastAsia="Times New Roman" w:hAnsi="Times New Roman" w:cs="Times New Roman"/>
          <w:color w:val="000000"/>
          <w:spacing w:val="6"/>
          <w:sz w:val="24"/>
          <w:szCs w:val="24"/>
          <w:lang w:val="en-GB" w:eastAsia="en-GB"/>
        </w:rPr>
        <w:t>27 and 28 March</w:t>
      </w:r>
      <w:r w:rsidR="00A02125" w:rsidRPr="00F97759">
        <w:rPr>
          <w:rFonts w:ascii="Times New Roman" w:eastAsia="Times New Roman" w:hAnsi="Times New Roman" w:cs="Times New Roman"/>
          <w:color w:val="000000"/>
          <w:spacing w:val="6"/>
          <w:sz w:val="24"/>
          <w:szCs w:val="24"/>
          <w:lang w:val="en-GB" w:eastAsia="en-GB"/>
        </w:rPr>
        <w:t>,</w:t>
      </w:r>
      <w:r w:rsidRPr="00F97759">
        <w:rPr>
          <w:rFonts w:ascii="Times New Roman" w:eastAsia="Times New Roman" w:hAnsi="Times New Roman" w:cs="Times New Roman"/>
          <w:color w:val="000000"/>
          <w:spacing w:val="6"/>
          <w:sz w:val="24"/>
          <w:szCs w:val="24"/>
          <w:lang w:val="en-GB" w:eastAsia="en-GB"/>
        </w:rPr>
        <w:t xml:space="preserve"> to </w:t>
      </w:r>
      <w:r w:rsidRPr="00F97759">
        <w:rPr>
          <w:rFonts w:ascii="Times New Roman" w:eastAsia="Times New Roman" w:hAnsi="Times New Roman" w:cs="Times New Roman"/>
          <w:color w:val="000000"/>
          <w:spacing w:val="6"/>
          <w:sz w:val="24"/>
          <w:szCs w:val="24"/>
          <w:lang w:val="en-GB" w:eastAsia="en-GB"/>
        </w:rPr>
        <w:lastRenderedPageBreak/>
        <w:t>receive a briefing on the Strategic and Annual Performance Plans and the Budget</w:t>
      </w:r>
      <w:r w:rsidR="00A02125" w:rsidRPr="00F97759">
        <w:rPr>
          <w:rFonts w:ascii="Times New Roman" w:eastAsia="Times New Roman" w:hAnsi="Times New Roman" w:cs="Times New Roman"/>
          <w:color w:val="000000"/>
          <w:spacing w:val="6"/>
          <w:sz w:val="24"/>
          <w:szCs w:val="24"/>
          <w:lang w:val="en-GB" w:eastAsia="en-GB"/>
        </w:rPr>
        <w:t xml:space="preserve"> of the Department</w:t>
      </w:r>
      <w:r w:rsidR="00081E88" w:rsidRPr="00F97759">
        <w:rPr>
          <w:rFonts w:ascii="Times New Roman" w:eastAsia="Times New Roman" w:hAnsi="Times New Roman" w:cs="Times New Roman"/>
          <w:color w:val="000000"/>
          <w:spacing w:val="6"/>
          <w:sz w:val="24"/>
          <w:szCs w:val="24"/>
          <w:lang w:val="en-GB" w:eastAsia="en-GB"/>
        </w:rPr>
        <w:t>s and MISA</w:t>
      </w:r>
      <w:r w:rsidR="00FC5234" w:rsidRPr="00F97759">
        <w:rPr>
          <w:rFonts w:ascii="Times New Roman" w:eastAsia="Times New Roman" w:hAnsi="Times New Roman" w:cs="Times New Roman"/>
          <w:color w:val="000000"/>
          <w:spacing w:val="6"/>
          <w:sz w:val="24"/>
          <w:szCs w:val="24"/>
          <w:lang w:val="en-GB" w:eastAsia="en-GB"/>
        </w:rPr>
        <w:t xml:space="preserve">. </w:t>
      </w:r>
      <w:r w:rsidRPr="00F97759">
        <w:rPr>
          <w:rFonts w:ascii="Times New Roman" w:eastAsia="Times New Roman" w:hAnsi="Times New Roman" w:cs="Times New Roman"/>
          <w:color w:val="000000"/>
          <w:spacing w:val="6"/>
          <w:sz w:val="24"/>
          <w:szCs w:val="24"/>
          <w:lang w:val="en-GB" w:eastAsia="en-GB"/>
        </w:rPr>
        <w:t xml:space="preserve">The Committee also met with the </w:t>
      </w:r>
      <w:r w:rsidR="00FC5234" w:rsidRPr="00F97759">
        <w:rPr>
          <w:rFonts w:ascii="Times New Roman" w:eastAsia="Times New Roman" w:hAnsi="Times New Roman" w:cs="Times New Roman"/>
          <w:color w:val="000000"/>
          <w:spacing w:val="6"/>
          <w:sz w:val="24"/>
          <w:szCs w:val="24"/>
          <w:lang w:val="en-GB" w:eastAsia="en-GB"/>
        </w:rPr>
        <w:t xml:space="preserve">SALGA, </w:t>
      </w:r>
      <w:r w:rsidRPr="00F97759">
        <w:rPr>
          <w:rFonts w:ascii="Times New Roman" w:eastAsia="Times New Roman" w:hAnsi="Times New Roman" w:cs="Times New Roman"/>
          <w:color w:val="000000"/>
          <w:spacing w:val="6"/>
          <w:sz w:val="24"/>
          <w:szCs w:val="24"/>
          <w:lang w:val="en-GB" w:eastAsia="en-GB"/>
        </w:rPr>
        <w:t xml:space="preserve">CRL Rights Commission and MBD on </w:t>
      </w:r>
      <w:r w:rsidR="00081E88" w:rsidRPr="00F97759">
        <w:rPr>
          <w:rFonts w:ascii="Times New Roman" w:eastAsia="Times New Roman" w:hAnsi="Times New Roman" w:cs="Times New Roman"/>
          <w:color w:val="000000"/>
          <w:spacing w:val="6"/>
          <w:sz w:val="24"/>
          <w:szCs w:val="24"/>
          <w:lang w:val="en-GB" w:eastAsia="en-GB"/>
        </w:rPr>
        <w:t>17 and 18 April 2018</w:t>
      </w:r>
      <w:r w:rsidRPr="00F97759">
        <w:rPr>
          <w:rFonts w:ascii="Times New Roman" w:eastAsia="Times New Roman" w:hAnsi="Times New Roman" w:cs="Times New Roman"/>
          <w:color w:val="000000"/>
          <w:spacing w:val="6"/>
          <w:sz w:val="24"/>
          <w:szCs w:val="24"/>
          <w:lang w:val="en-GB" w:eastAsia="en-GB"/>
        </w:rPr>
        <w:t xml:space="preserve"> to receive a briefing on their Five-year Strategic Plan, APP and the</w:t>
      </w:r>
      <w:r w:rsidR="00A02125" w:rsidRPr="00F97759">
        <w:rPr>
          <w:rFonts w:ascii="Times New Roman" w:eastAsia="Times New Roman" w:hAnsi="Times New Roman" w:cs="Times New Roman"/>
          <w:color w:val="000000"/>
          <w:spacing w:val="6"/>
          <w:sz w:val="24"/>
          <w:szCs w:val="24"/>
          <w:lang w:val="en-GB" w:eastAsia="en-GB"/>
        </w:rPr>
        <w:t>ir</w:t>
      </w:r>
      <w:r w:rsidRPr="00F97759">
        <w:rPr>
          <w:rFonts w:ascii="Times New Roman" w:eastAsia="Times New Roman" w:hAnsi="Times New Roman" w:cs="Times New Roman"/>
          <w:color w:val="000000"/>
          <w:spacing w:val="6"/>
          <w:sz w:val="24"/>
          <w:szCs w:val="24"/>
          <w:lang w:val="en-GB" w:eastAsia="en-GB"/>
        </w:rPr>
        <w:t xml:space="preserve"> Budget. </w:t>
      </w:r>
    </w:p>
    <w:p w14:paraId="400A3228" w14:textId="77777777" w:rsidR="001D67A0" w:rsidRPr="00F97759" w:rsidRDefault="001D67A0" w:rsidP="00F97759">
      <w:pPr>
        <w:spacing w:line="360" w:lineRule="auto"/>
        <w:ind w:left="66"/>
        <w:rPr>
          <w:rFonts w:ascii="Times New Roman" w:eastAsia="Times New Roman" w:hAnsi="Times New Roman" w:cs="Times New Roman"/>
          <w:color w:val="000000"/>
          <w:spacing w:val="6"/>
          <w:sz w:val="24"/>
          <w:szCs w:val="24"/>
          <w:lang w:val="en-GB" w:eastAsia="en-GB"/>
        </w:rPr>
      </w:pPr>
    </w:p>
    <w:p w14:paraId="6232FA0D" w14:textId="77777777" w:rsidR="00B74B04" w:rsidRPr="00F97759" w:rsidRDefault="00B74B04" w:rsidP="00F97759">
      <w:pPr>
        <w:pStyle w:val="Heading1"/>
        <w:numPr>
          <w:ilvl w:val="0"/>
          <w:numId w:val="20"/>
        </w:numPr>
        <w:spacing w:line="360" w:lineRule="auto"/>
        <w:rPr>
          <w:rFonts w:ascii="Times New Roman" w:hAnsi="Times New Roman" w:cs="Times New Roman"/>
          <w:color w:val="auto"/>
          <w:sz w:val="24"/>
          <w:szCs w:val="24"/>
        </w:rPr>
      </w:pPr>
      <w:bookmarkStart w:id="1" w:name="_Toc477175313"/>
      <w:r w:rsidRPr="00F97759">
        <w:rPr>
          <w:rFonts w:ascii="Times New Roman" w:hAnsi="Times New Roman" w:cs="Times New Roman"/>
          <w:color w:val="auto"/>
          <w:sz w:val="24"/>
          <w:szCs w:val="24"/>
        </w:rPr>
        <w:t>DEPARTMENT OF COOPERATIVE GOVERNANCE</w:t>
      </w:r>
    </w:p>
    <w:p w14:paraId="58AFB68A" w14:textId="77777777" w:rsidR="00052B47" w:rsidRPr="00F97759" w:rsidRDefault="00727CDC" w:rsidP="00F97759">
      <w:pPr>
        <w:pStyle w:val="Heading1"/>
        <w:numPr>
          <w:ilvl w:val="1"/>
          <w:numId w:val="41"/>
        </w:numPr>
        <w:spacing w:line="360" w:lineRule="auto"/>
        <w:rPr>
          <w:rFonts w:ascii="Times New Roman" w:hAnsi="Times New Roman" w:cs="Times New Roman"/>
          <w:color w:val="auto"/>
          <w:sz w:val="24"/>
          <w:szCs w:val="24"/>
        </w:rPr>
      </w:pPr>
      <w:r w:rsidRPr="00F97759">
        <w:rPr>
          <w:rFonts w:ascii="Times New Roman" w:hAnsi="Times New Roman" w:cs="Times New Roman"/>
          <w:color w:val="auto"/>
          <w:sz w:val="24"/>
          <w:szCs w:val="24"/>
        </w:rPr>
        <w:t xml:space="preserve"> </w:t>
      </w:r>
      <w:r w:rsidR="00052B47" w:rsidRPr="00F97759">
        <w:rPr>
          <w:rFonts w:ascii="Times New Roman" w:hAnsi="Times New Roman" w:cs="Times New Roman"/>
          <w:color w:val="auto"/>
          <w:sz w:val="24"/>
          <w:szCs w:val="24"/>
        </w:rPr>
        <w:t xml:space="preserve">Overview of the </w:t>
      </w:r>
      <w:r w:rsidR="009F5447" w:rsidRPr="00F97759">
        <w:rPr>
          <w:rFonts w:ascii="Times New Roman" w:hAnsi="Times New Roman" w:cs="Times New Roman"/>
          <w:color w:val="auto"/>
          <w:sz w:val="24"/>
          <w:szCs w:val="24"/>
        </w:rPr>
        <w:t>2017/18</w:t>
      </w:r>
      <w:r w:rsidR="00052B47" w:rsidRPr="00F97759">
        <w:rPr>
          <w:rFonts w:ascii="Times New Roman" w:hAnsi="Times New Roman" w:cs="Times New Roman"/>
          <w:color w:val="auto"/>
          <w:sz w:val="24"/>
          <w:szCs w:val="24"/>
        </w:rPr>
        <w:t xml:space="preserve"> financial year</w:t>
      </w:r>
      <w:bookmarkEnd w:id="1"/>
    </w:p>
    <w:p w14:paraId="67FAA299" w14:textId="77777777" w:rsidR="00F33B4A" w:rsidRPr="00F97759" w:rsidRDefault="00081E88" w:rsidP="00F97759">
      <w:pPr>
        <w:pStyle w:val="ListParagraph"/>
        <w:numPr>
          <w:ilvl w:val="0"/>
          <w:numId w:val="26"/>
        </w:num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Through its Regional and Urban Development and Legislative Support Programme</w:t>
      </w:r>
      <w:r w:rsidR="009F5447" w:rsidRPr="00F97759">
        <w:rPr>
          <w:rFonts w:ascii="Times New Roman" w:hAnsi="Times New Roman" w:cs="Times New Roman"/>
          <w:sz w:val="24"/>
          <w:szCs w:val="24"/>
        </w:rPr>
        <w:t xml:space="preserve"> </w:t>
      </w:r>
      <w:r w:rsidRPr="00F97759">
        <w:rPr>
          <w:rFonts w:ascii="Times New Roman" w:hAnsi="Times New Roman" w:cs="Times New Roman"/>
          <w:sz w:val="24"/>
          <w:szCs w:val="24"/>
        </w:rPr>
        <w:t>(Programme 3), the Department envisaged continuing to facilitate the restructuring of</w:t>
      </w:r>
      <w:r w:rsidR="009F5447" w:rsidRPr="00F97759">
        <w:rPr>
          <w:rFonts w:ascii="Times New Roman" w:hAnsi="Times New Roman" w:cs="Times New Roman"/>
          <w:sz w:val="24"/>
          <w:szCs w:val="24"/>
        </w:rPr>
        <w:t xml:space="preserve"> </w:t>
      </w:r>
      <w:r w:rsidRPr="00F97759">
        <w:rPr>
          <w:rFonts w:ascii="Times New Roman" w:hAnsi="Times New Roman" w:cs="Times New Roman"/>
          <w:sz w:val="24"/>
          <w:szCs w:val="24"/>
        </w:rPr>
        <w:t>the municipal space economy through monitoring the implementation of the Integrated</w:t>
      </w:r>
      <w:r w:rsidR="00F33B4A" w:rsidRPr="00F97759">
        <w:rPr>
          <w:rFonts w:ascii="Times New Roman" w:hAnsi="Times New Roman" w:cs="Times New Roman"/>
          <w:sz w:val="24"/>
          <w:szCs w:val="24"/>
        </w:rPr>
        <w:t xml:space="preserve"> </w:t>
      </w:r>
      <w:r w:rsidRPr="00F97759">
        <w:rPr>
          <w:rFonts w:ascii="Times New Roman" w:hAnsi="Times New Roman" w:cs="Times New Roman"/>
          <w:sz w:val="24"/>
          <w:szCs w:val="24"/>
        </w:rPr>
        <w:t>Urban Development Framework (IUDF).</w:t>
      </w:r>
    </w:p>
    <w:p w14:paraId="153CB8F4" w14:textId="77777777" w:rsidR="00081E88" w:rsidRPr="00F97759" w:rsidRDefault="00081E88" w:rsidP="00F97759">
      <w:pPr>
        <w:pStyle w:val="ListParagraph"/>
        <w:numPr>
          <w:ilvl w:val="0"/>
          <w:numId w:val="26"/>
        </w:num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The Department of Cooperative Governance also envisaged continuing with the</w:t>
      </w:r>
      <w:r w:rsidR="009F5447" w:rsidRPr="00F97759">
        <w:rPr>
          <w:rFonts w:ascii="Times New Roman" w:hAnsi="Times New Roman" w:cs="Times New Roman"/>
          <w:sz w:val="24"/>
          <w:szCs w:val="24"/>
        </w:rPr>
        <w:t xml:space="preserve"> </w:t>
      </w:r>
      <w:r w:rsidRPr="00F97759">
        <w:rPr>
          <w:rFonts w:ascii="Times New Roman" w:hAnsi="Times New Roman" w:cs="Times New Roman"/>
          <w:sz w:val="24"/>
          <w:szCs w:val="24"/>
        </w:rPr>
        <w:t>implementation of a specific revenue plan in 30 municipalities by the end of the</w:t>
      </w:r>
      <w:r w:rsidR="009F5447" w:rsidRPr="00F97759">
        <w:rPr>
          <w:rFonts w:ascii="Times New Roman" w:hAnsi="Times New Roman" w:cs="Times New Roman"/>
          <w:sz w:val="24"/>
          <w:szCs w:val="24"/>
        </w:rPr>
        <w:t xml:space="preserve"> </w:t>
      </w:r>
      <w:r w:rsidRPr="00F97759">
        <w:rPr>
          <w:rFonts w:ascii="Times New Roman" w:hAnsi="Times New Roman" w:cs="Times New Roman"/>
          <w:sz w:val="24"/>
          <w:szCs w:val="24"/>
        </w:rPr>
        <w:t>financial year.</w:t>
      </w:r>
    </w:p>
    <w:p w14:paraId="5590154C" w14:textId="77777777" w:rsidR="00081E88" w:rsidRPr="00F97759" w:rsidRDefault="00081E88" w:rsidP="00F97759">
      <w:pPr>
        <w:pStyle w:val="ListParagraph"/>
        <w:numPr>
          <w:ilvl w:val="0"/>
          <w:numId w:val="26"/>
        </w:num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The COGTA ministry further envisaged effecting amendments to the </w:t>
      </w:r>
      <w:r w:rsidRPr="00F97759">
        <w:rPr>
          <w:rFonts w:ascii="Times New Roman" w:hAnsi="Times New Roman" w:cs="Times New Roman"/>
          <w:i/>
          <w:iCs/>
          <w:sz w:val="24"/>
          <w:szCs w:val="24"/>
        </w:rPr>
        <w:t>Municipal</w:t>
      </w:r>
      <w:r w:rsidR="009F5447" w:rsidRPr="00F97759">
        <w:rPr>
          <w:rFonts w:ascii="Times New Roman" w:hAnsi="Times New Roman" w:cs="Times New Roman"/>
          <w:i/>
          <w:iCs/>
          <w:sz w:val="24"/>
          <w:szCs w:val="24"/>
        </w:rPr>
        <w:t xml:space="preserve"> </w:t>
      </w:r>
      <w:r w:rsidRPr="00F97759">
        <w:rPr>
          <w:rFonts w:ascii="Times New Roman" w:hAnsi="Times New Roman" w:cs="Times New Roman"/>
          <w:i/>
          <w:iCs/>
          <w:sz w:val="24"/>
          <w:szCs w:val="24"/>
        </w:rPr>
        <w:t xml:space="preserve">Structures Act (Act No. 177 of 1998) </w:t>
      </w:r>
      <w:r w:rsidRPr="00F97759">
        <w:rPr>
          <w:rFonts w:ascii="Times New Roman" w:hAnsi="Times New Roman" w:cs="Times New Roman"/>
          <w:sz w:val="24"/>
          <w:szCs w:val="24"/>
        </w:rPr>
        <w:t xml:space="preserve">and the </w:t>
      </w:r>
      <w:r w:rsidRPr="00F97759">
        <w:rPr>
          <w:rFonts w:ascii="Times New Roman" w:hAnsi="Times New Roman" w:cs="Times New Roman"/>
          <w:i/>
          <w:iCs/>
          <w:sz w:val="24"/>
          <w:szCs w:val="24"/>
        </w:rPr>
        <w:t>Municipal Systems Act (Act no.32 of</w:t>
      </w:r>
      <w:r w:rsidR="009F5447" w:rsidRPr="00F97759">
        <w:rPr>
          <w:rFonts w:ascii="Times New Roman" w:hAnsi="Times New Roman" w:cs="Times New Roman"/>
          <w:i/>
          <w:iCs/>
          <w:sz w:val="24"/>
          <w:szCs w:val="24"/>
        </w:rPr>
        <w:t xml:space="preserve"> </w:t>
      </w:r>
      <w:r w:rsidRPr="00F97759">
        <w:rPr>
          <w:rFonts w:ascii="Times New Roman" w:hAnsi="Times New Roman" w:cs="Times New Roman"/>
          <w:i/>
          <w:iCs/>
          <w:sz w:val="24"/>
          <w:szCs w:val="24"/>
        </w:rPr>
        <w:t xml:space="preserve">2000). </w:t>
      </w:r>
      <w:r w:rsidRPr="00F97759">
        <w:rPr>
          <w:rFonts w:ascii="Times New Roman" w:hAnsi="Times New Roman" w:cs="Times New Roman"/>
          <w:sz w:val="24"/>
          <w:szCs w:val="24"/>
        </w:rPr>
        <w:t>These amendments are still outstanding.</w:t>
      </w:r>
    </w:p>
    <w:p w14:paraId="138DE858" w14:textId="77777777" w:rsidR="00081E88" w:rsidRPr="00F97759" w:rsidRDefault="00081E88" w:rsidP="00F97759">
      <w:pPr>
        <w:pStyle w:val="ListParagraph"/>
        <w:numPr>
          <w:ilvl w:val="0"/>
          <w:numId w:val="26"/>
        </w:num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The Department also introduce</w:t>
      </w:r>
      <w:r w:rsidR="00CD0705" w:rsidRPr="00F97759">
        <w:rPr>
          <w:rFonts w:ascii="Times New Roman" w:hAnsi="Times New Roman" w:cs="Times New Roman"/>
          <w:sz w:val="24"/>
          <w:szCs w:val="24"/>
        </w:rPr>
        <w:t>d</w:t>
      </w:r>
      <w:r w:rsidRPr="00F97759">
        <w:rPr>
          <w:rFonts w:ascii="Times New Roman" w:hAnsi="Times New Roman" w:cs="Times New Roman"/>
          <w:sz w:val="24"/>
          <w:szCs w:val="24"/>
        </w:rPr>
        <w:t xml:space="preserve"> the Customary Initiation Bill to regulate the</w:t>
      </w:r>
      <w:r w:rsidR="00F33B4A" w:rsidRPr="00F97759">
        <w:rPr>
          <w:rFonts w:ascii="Times New Roman" w:hAnsi="Times New Roman" w:cs="Times New Roman"/>
          <w:sz w:val="24"/>
          <w:szCs w:val="24"/>
        </w:rPr>
        <w:t xml:space="preserve"> </w:t>
      </w:r>
      <w:r w:rsidRPr="00F97759">
        <w:rPr>
          <w:rFonts w:ascii="Times New Roman" w:hAnsi="Times New Roman" w:cs="Times New Roman"/>
          <w:sz w:val="24"/>
          <w:szCs w:val="24"/>
        </w:rPr>
        <w:t>cultural initiation practice in order to reduce the number of fatalities emanating from</w:t>
      </w:r>
      <w:r w:rsidR="00F33B4A" w:rsidRPr="00F97759">
        <w:rPr>
          <w:rFonts w:ascii="Times New Roman" w:hAnsi="Times New Roman" w:cs="Times New Roman"/>
          <w:sz w:val="24"/>
          <w:szCs w:val="24"/>
        </w:rPr>
        <w:t xml:space="preserve"> </w:t>
      </w:r>
      <w:r w:rsidRPr="00F97759">
        <w:rPr>
          <w:rFonts w:ascii="Times New Roman" w:hAnsi="Times New Roman" w:cs="Times New Roman"/>
          <w:sz w:val="24"/>
          <w:szCs w:val="24"/>
        </w:rPr>
        <w:t xml:space="preserve">the practice. The Department successfully introduced to Parliament amendments to the </w:t>
      </w:r>
      <w:r w:rsidRPr="00F97759">
        <w:rPr>
          <w:rFonts w:ascii="Times New Roman" w:hAnsi="Times New Roman" w:cs="Times New Roman"/>
          <w:i/>
          <w:iCs/>
          <w:sz w:val="24"/>
          <w:szCs w:val="24"/>
        </w:rPr>
        <w:t>Traditional</w:t>
      </w:r>
      <w:r w:rsidR="00F33B4A" w:rsidRPr="00F97759">
        <w:rPr>
          <w:rFonts w:ascii="Times New Roman" w:hAnsi="Times New Roman" w:cs="Times New Roman"/>
          <w:i/>
          <w:iCs/>
          <w:sz w:val="24"/>
          <w:szCs w:val="24"/>
        </w:rPr>
        <w:t xml:space="preserve"> </w:t>
      </w:r>
      <w:r w:rsidRPr="00F97759">
        <w:rPr>
          <w:rFonts w:ascii="Times New Roman" w:hAnsi="Times New Roman" w:cs="Times New Roman"/>
          <w:i/>
          <w:iCs/>
          <w:sz w:val="24"/>
          <w:szCs w:val="24"/>
        </w:rPr>
        <w:t>Leadership and Governance Framework Act (Act No. 41 of 2003).</w:t>
      </w:r>
    </w:p>
    <w:p w14:paraId="46172261" w14:textId="77777777" w:rsidR="00052B47" w:rsidRPr="00F97759" w:rsidRDefault="00624DC0" w:rsidP="00F97759">
      <w:pPr>
        <w:pStyle w:val="Heading1"/>
        <w:numPr>
          <w:ilvl w:val="1"/>
          <w:numId w:val="41"/>
        </w:numPr>
        <w:spacing w:line="360" w:lineRule="auto"/>
        <w:rPr>
          <w:rFonts w:ascii="Times New Roman" w:hAnsi="Times New Roman" w:cs="Times New Roman"/>
          <w:color w:val="auto"/>
          <w:sz w:val="24"/>
          <w:szCs w:val="24"/>
        </w:rPr>
      </w:pPr>
      <w:bookmarkStart w:id="2" w:name="_Toc477175314"/>
      <w:r w:rsidRPr="00F97759">
        <w:rPr>
          <w:rFonts w:ascii="Times New Roman" w:hAnsi="Times New Roman" w:cs="Times New Roman"/>
          <w:color w:val="auto"/>
          <w:sz w:val="24"/>
          <w:szCs w:val="24"/>
        </w:rPr>
        <w:t xml:space="preserve"> </w:t>
      </w:r>
      <w:r w:rsidR="00727CDC" w:rsidRPr="00F97759">
        <w:rPr>
          <w:rFonts w:ascii="Times New Roman" w:hAnsi="Times New Roman" w:cs="Times New Roman"/>
          <w:color w:val="auto"/>
          <w:sz w:val="24"/>
          <w:szCs w:val="24"/>
        </w:rPr>
        <w:t xml:space="preserve"> </w:t>
      </w:r>
      <w:r w:rsidR="00052B47" w:rsidRPr="00F97759">
        <w:rPr>
          <w:rFonts w:ascii="Times New Roman" w:hAnsi="Times New Roman" w:cs="Times New Roman"/>
          <w:color w:val="auto"/>
          <w:sz w:val="24"/>
          <w:szCs w:val="24"/>
        </w:rPr>
        <w:t xml:space="preserve">Policy Priorities for </w:t>
      </w:r>
      <w:bookmarkEnd w:id="2"/>
      <w:r w:rsidR="009F5447" w:rsidRPr="00F97759">
        <w:rPr>
          <w:rFonts w:ascii="Times New Roman" w:hAnsi="Times New Roman" w:cs="Times New Roman"/>
          <w:color w:val="auto"/>
          <w:sz w:val="24"/>
          <w:szCs w:val="24"/>
        </w:rPr>
        <w:t>2018/19</w:t>
      </w:r>
    </w:p>
    <w:p w14:paraId="008EB5BD" w14:textId="77777777" w:rsidR="00F33B4A" w:rsidRPr="00F97759" w:rsidRDefault="00F33B4A" w:rsidP="00F97759">
      <w:p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The Department contributes to outcome 9 (responsive, accountable, effective and efficient</w:t>
      </w:r>
      <w:r w:rsidR="00727CDC" w:rsidRPr="00F97759">
        <w:rPr>
          <w:rFonts w:ascii="Times New Roman" w:hAnsi="Times New Roman" w:cs="Times New Roman"/>
          <w:sz w:val="24"/>
          <w:szCs w:val="24"/>
        </w:rPr>
        <w:t xml:space="preserve"> </w:t>
      </w:r>
      <w:r w:rsidRPr="00F97759">
        <w:rPr>
          <w:rFonts w:ascii="Times New Roman" w:hAnsi="Times New Roman" w:cs="Times New Roman"/>
          <w:sz w:val="24"/>
          <w:szCs w:val="24"/>
        </w:rPr>
        <w:t>local government system) of government’s medium-term strategic framework, which gives</w:t>
      </w:r>
      <w:r w:rsidR="00727CDC" w:rsidRPr="00F97759">
        <w:rPr>
          <w:rFonts w:ascii="Times New Roman" w:hAnsi="Times New Roman" w:cs="Times New Roman"/>
          <w:sz w:val="24"/>
          <w:szCs w:val="24"/>
        </w:rPr>
        <w:t xml:space="preserve"> </w:t>
      </w:r>
      <w:r w:rsidRPr="00F97759">
        <w:rPr>
          <w:rFonts w:ascii="Times New Roman" w:hAnsi="Times New Roman" w:cs="Times New Roman"/>
          <w:sz w:val="24"/>
          <w:szCs w:val="24"/>
        </w:rPr>
        <w:t>expression to the National Development Plan’s (NDP) vi</w:t>
      </w:r>
      <w:r w:rsidR="00727CDC" w:rsidRPr="00F97759">
        <w:rPr>
          <w:rFonts w:ascii="Times New Roman" w:hAnsi="Times New Roman" w:cs="Times New Roman"/>
          <w:sz w:val="24"/>
          <w:szCs w:val="24"/>
        </w:rPr>
        <w:t xml:space="preserve">sion for building a capable and </w:t>
      </w:r>
      <w:r w:rsidRPr="00F97759">
        <w:rPr>
          <w:rFonts w:ascii="Times New Roman" w:hAnsi="Times New Roman" w:cs="Times New Roman"/>
          <w:sz w:val="24"/>
          <w:szCs w:val="24"/>
        </w:rPr>
        <w:t>developmental state through interdepartmental coordination and strengthening local</w:t>
      </w:r>
      <w:r w:rsidR="00727CDC" w:rsidRPr="00F97759">
        <w:rPr>
          <w:rFonts w:ascii="Times New Roman" w:hAnsi="Times New Roman" w:cs="Times New Roman"/>
          <w:sz w:val="24"/>
          <w:szCs w:val="24"/>
        </w:rPr>
        <w:t xml:space="preserve"> </w:t>
      </w:r>
      <w:r w:rsidRPr="00F97759">
        <w:rPr>
          <w:rFonts w:ascii="Times New Roman" w:hAnsi="Times New Roman" w:cs="Times New Roman"/>
          <w:sz w:val="24"/>
          <w:szCs w:val="24"/>
        </w:rPr>
        <w:t>government. In this regard, the Department will prioritise:</w:t>
      </w:r>
    </w:p>
    <w:p w14:paraId="7DDEC69C" w14:textId="77777777" w:rsidR="00F33B4A" w:rsidRPr="00F97759" w:rsidRDefault="00F33B4A" w:rsidP="00F97759">
      <w:pPr>
        <w:pStyle w:val="ListParagraph"/>
        <w:autoSpaceDE w:val="0"/>
        <w:autoSpaceDN w:val="0"/>
        <w:adjustRightInd w:val="0"/>
        <w:spacing w:line="360" w:lineRule="auto"/>
        <w:ind w:left="360"/>
        <w:rPr>
          <w:rFonts w:ascii="Times New Roman" w:eastAsia="SymbolMT" w:hAnsi="Times New Roman" w:cs="Times New Roman"/>
          <w:sz w:val="24"/>
          <w:szCs w:val="24"/>
        </w:rPr>
      </w:pPr>
    </w:p>
    <w:p w14:paraId="66763C4B" w14:textId="77777777" w:rsidR="00F33B4A" w:rsidRPr="00F97759" w:rsidRDefault="00F33B4A" w:rsidP="00F97759">
      <w:pPr>
        <w:pStyle w:val="ListParagraph"/>
        <w:numPr>
          <w:ilvl w:val="0"/>
          <w:numId w:val="27"/>
        </w:num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Investment in skills development in municipalities.</w:t>
      </w:r>
    </w:p>
    <w:p w14:paraId="60F3E4BB" w14:textId="77777777" w:rsidR="00F33B4A" w:rsidRPr="00F97759" w:rsidRDefault="00F33B4A" w:rsidP="00F97759">
      <w:pPr>
        <w:pStyle w:val="ListParagraph"/>
        <w:numPr>
          <w:ilvl w:val="0"/>
          <w:numId w:val="27"/>
        </w:num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Providing infrastructure planning, delivery, operation and maintenance, infrastructure management, financial management and resolve governance and </w:t>
      </w:r>
      <w:r w:rsidRPr="00F97759">
        <w:rPr>
          <w:rFonts w:ascii="Times New Roman" w:hAnsi="Times New Roman" w:cs="Times New Roman"/>
          <w:sz w:val="24"/>
          <w:szCs w:val="24"/>
        </w:rPr>
        <w:lastRenderedPageBreak/>
        <w:t>administration issues in the 27 priority district municipalities, as well as in the 55 municipalities diagnosed as distressed or dysfunctional.</w:t>
      </w:r>
    </w:p>
    <w:p w14:paraId="079AD1D3" w14:textId="77777777" w:rsidR="00F33B4A" w:rsidRPr="00F97759" w:rsidRDefault="00F33B4A" w:rsidP="00F97759">
      <w:pPr>
        <w:pStyle w:val="ListParagraph"/>
        <w:numPr>
          <w:ilvl w:val="0"/>
          <w:numId w:val="27"/>
        </w:numPr>
        <w:autoSpaceDE w:val="0"/>
        <w:autoSpaceDN w:val="0"/>
        <w:adjustRightInd w:val="0"/>
        <w:spacing w:line="360" w:lineRule="auto"/>
        <w:rPr>
          <w:rFonts w:ascii="Times New Roman" w:hAnsi="Times New Roman" w:cs="Times New Roman"/>
          <w:sz w:val="24"/>
          <w:szCs w:val="24"/>
        </w:rPr>
      </w:pPr>
      <w:r w:rsidRPr="00F97759">
        <w:rPr>
          <w:rFonts w:ascii="Times New Roman" w:hAnsi="Times New Roman" w:cs="Times New Roman"/>
          <w:sz w:val="24"/>
          <w:szCs w:val="24"/>
        </w:rPr>
        <w:t>Improving water conservation and water demand management in municipalities in order to curb non-revenue water losses in view of the difficult situation South Africa is facing as a water scarce country.</w:t>
      </w:r>
    </w:p>
    <w:p w14:paraId="597030BE" w14:textId="77777777" w:rsidR="00052B47" w:rsidRPr="00F97759" w:rsidRDefault="00F33B4A" w:rsidP="00F97759">
      <w:pPr>
        <w:pStyle w:val="ListParagraph"/>
        <w:numPr>
          <w:ilvl w:val="0"/>
          <w:numId w:val="27"/>
        </w:numPr>
        <w:autoSpaceDE w:val="0"/>
        <w:autoSpaceDN w:val="0"/>
        <w:adjustRightInd w:val="0"/>
        <w:spacing w:line="360" w:lineRule="auto"/>
        <w:rPr>
          <w:rFonts w:ascii="Times New Roman" w:hAnsi="Times New Roman" w:cs="Times New Roman"/>
          <w:b/>
          <w:bCs/>
          <w:sz w:val="24"/>
          <w:szCs w:val="24"/>
        </w:rPr>
      </w:pPr>
      <w:r w:rsidRPr="00F97759">
        <w:rPr>
          <w:rFonts w:ascii="Times New Roman" w:hAnsi="Times New Roman" w:cs="Times New Roman"/>
          <w:sz w:val="24"/>
          <w:szCs w:val="24"/>
        </w:rPr>
        <w:t>Coordinating multi-sectoral intervention measures to address the drought situation in all affected provinces.</w:t>
      </w:r>
    </w:p>
    <w:p w14:paraId="400ABF7E" w14:textId="77777777" w:rsidR="00052B47" w:rsidRDefault="00727CDC" w:rsidP="00F97759">
      <w:pPr>
        <w:pStyle w:val="Heading1"/>
        <w:numPr>
          <w:ilvl w:val="1"/>
          <w:numId w:val="41"/>
        </w:numPr>
        <w:spacing w:line="360" w:lineRule="auto"/>
        <w:rPr>
          <w:rFonts w:ascii="Times New Roman" w:hAnsi="Times New Roman" w:cs="Times New Roman"/>
          <w:color w:val="auto"/>
          <w:sz w:val="24"/>
          <w:szCs w:val="24"/>
        </w:rPr>
      </w:pPr>
      <w:bookmarkStart w:id="3" w:name="_Toc477175315"/>
      <w:r w:rsidRPr="00F97759">
        <w:rPr>
          <w:rFonts w:ascii="Times New Roman" w:hAnsi="Times New Roman" w:cs="Times New Roman"/>
          <w:color w:val="auto"/>
          <w:sz w:val="24"/>
          <w:szCs w:val="24"/>
        </w:rPr>
        <w:t xml:space="preserve"> </w:t>
      </w:r>
      <w:r w:rsidR="00052B47" w:rsidRPr="00F97759">
        <w:rPr>
          <w:rFonts w:ascii="Times New Roman" w:hAnsi="Times New Roman" w:cs="Times New Roman"/>
          <w:color w:val="auto"/>
          <w:sz w:val="24"/>
          <w:szCs w:val="24"/>
        </w:rPr>
        <w:t>Budget Analysis</w:t>
      </w:r>
      <w:bookmarkEnd w:id="3"/>
      <w:r w:rsidR="008647E3" w:rsidRPr="00F97759">
        <w:rPr>
          <w:rFonts w:ascii="Times New Roman" w:hAnsi="Times New Roman" w:cs="Times New Roman"/>
          <w:color w:val="auto"/>
          <w:sz w:val="24"/>
          <w:szCs w:val="24"/>
        </w:rPr>
        <w:t xml:space="preserve"> </w:t>
      </w:r>
    </w:p>
    <w:p w14:paraId="77610FC6" w14:textId="77777777" w:rsidR="00F97759" w:rsidRPr="00F97759" w:rsidRDefault="00F97759" w:rsidP="00F97759"/>
    <w:tbl>
      <w:tblPr>
        <w:tblStyle w:val="GridTable1Light"/>
        <w:tblW w:w="9016" w:type="dxa"/>
        <w:tblLook w:val="04A0" w:firstRow="1" w:lastRow="0" w:firstColumn="1" w:lastColumn="0" w:noHBand="0" w:noVBand="1"/>
      </w:tblPr>
      <w:tblGrid>
        <w:gridCol w:w="2275"/>
        <w:gridCol w:w="1003"/>
        <w:gridCol w:w="1003"/>
        <w:gridCol w:w="1135"/>
        <w:gridCol w:w="982"/>
        <w:gridCol w:w="1326"/>
        <w:gridCol w:w="1326"/>
      </w:tblGrid>
      <w:tr w:rsidR="00257116" w:rsidRPr="00F97759" w14:paraId="02BA6484" w14:textId="77777777" w:rsidTr="00F97759">
        <w:trPr>
          <w:cnfStyle w:val="100000000000" w:firstRow="1" w:lastRow="0" w:firstColumn="0" w:lastColumn="0" w:oddVBand="0" w:evenVBand="0" w:oddHBand="0"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2275" w:type="dxa"/>
            <w:noWrap/>
            <w:hideMark/>
          </w:tcPr>
          <w:p w14:paraId="61A71850" w14:textId="77777777" w:rsidR="00257116" w:rsidRPr="00F97759" w:rsidRDefault="00257116" w:rsidP="00F97759">
            <w:pPr>
              <w:spacing w:line="360" w:lineRule="auto"/>
              <w:rPr>
                <w:rFonts w:ascii="Times New Roman" w:eastAsia="Times New Roman" w:hAnsi="Times New Roman" w:cs="Times New Roman"/>
                <w:b w:val="0"/>
                <w:bCs w:val="0"/>
                <w:sz w:val="24"/>
                <w:szCs w:val="24"/>
                <w:lang w:eastAsia="en-ZA"/>
              </w:rPr>
            </w:pPr>
            <w:r w:rsidRPr="00F97759">
              <w:rPr>
                <w:rFonts w:ascii="Times New Roman" w:eastAsia="Times New Roman" w:hAnsi="Times New Roman" w:cs="Times New Roman"/>
                <w:b w:val="0"/>
                <w:bCs w:val="0"/>
                <w:sz w:val="24"/>
                <w:szCs w:val="24"/>
                <w:lang w:eastAsia="en-ZA"/>
              </w:rPr>
              <w:t>Programme</w:t>
            </w:r>
          </w:p>
        </w:tc>
        <w:tc>
          <w:tcPr>
            <w:tcW w:w="1972" w:type="dxa"/>
            <w:gridSpan w:val="2"/>
            <w:hideMark/>
          </w:tcPr>
          <w:p w14:paraId="625C98CA" w14:textId="77777777" w:rsidR="00257116" w:rsidRPr="00F97759" w:rsidRDefault="00257116" w:rsidP="00F9775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ZA"/>
              </w:rPr>
            </w:pPr>
            <w:r w:rsidRPr="00F97759">
              <w:rPr>
                <w:rFonts w:ascii="Times New Roman" w:eastAsia="Times New Roman" w:hAnsi="Times New Roman" w:cs="Times New Roman"/>
                <w:b w:val="0"/>
                <w:bCs w:val="0"/>
                <w:sz w:val="24"/>
                <w:szCs w:val="24"/>
                <w:lang w:eastAsia="en-ZA"/>
              </w:rPr>
              <w:t>Budget</w:t>
            </w:r>
          </w:p>
        </w:tc>
        <w:tc>
          <w:tcPr>
            <w:tcW w:w="1135" w:type="dxa"/>
            <w:hideMark/>
          </w:tcPr>
          <w:p w14:paraId="155E7486" w14:textId="77777777" w:rsidR="00257116" w:rsidRPr="00F97759" w:rsidRDefault="00257116" w:rsidP="00F9775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ZA"/>
              </w:rPr>
            </w:pPr>
            <w:r w:rsidRPr="00F97759">
              <w:rPr>
                <w:rFonts w:ascii="Times New Roman" w:eastAsia="Times New Roman" w:hAnsi="Times New Roman" w:cs="Times New Roman"/>
                <w:b w:val="0"/>
                <w:bCs w:val="0"/>
                <w:sz w:val="24"/>
                <w:szCs w:val="24"/>
                <w:lang w:eastAsia="en-ZA"/>
              </w:rPr>
              <w:t>Nominal Rand change</w:t>
            </w:r>
          </w:p>
        </w:tc>
        <w:tc>
          <w:tcPr>
            <w:tcW w:w="982" w:type="dxa"/>
            <w:hideMark/>
          </w:tcPr>
          <w:p w14:paraId="63A8E4D0" w14:textId="77777777" w:rsidR="00257116" w:rsidRPr="00F97759" w:rsidRDefault="00257116" w:rsidP="00F9775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ZA"/>
              </w:rPr>
            </w:pPr>
            <w:r w:rsidRPr="00F97759">
              <w:rPr>
                <w:rFonts w:ascii="Times New Roman" w:eastAsia="Times New Roman" w:hAnsi="Times New Roman" w:cs="Times New Roman"/>
                <w:b w:val="0"/>
                <w:bCs w:val="0"/>
                <w:sz w:val="24"/>
                <w:szCs w:val="24"/>
                <w:lang w:eastAsia="en-ZA"/>
              </w:rPr>
              <w:t>Real Rand change</w:t>
            </w:r>
          </w:p>
        </w:tc>
        <w:tc>
          <w:tcPr>
            <w:tcW w:w="1326" w:type="dxa"/>
            <w:hideMark/>
          </w:tcPr>
          <w:p w14:paraId="615ED8E0" w14:textId="77777777" w:rsidR="00257116" w:rsidRPr="00F97759" w:rsidRDefault="00257116" w:rsidP="00F9775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ZA"/>
              </w:rPr>
            </w:pPr>
            <w:r w:rsidRPr="00F97759">
              <w:rPr>
                <w:rFonts w:ascii="Times New Roman" w:eastAsia="Times New Roman" w:hAnsi="Times New Roman" w:cs="Times New Roman"/>
                <w:b w:val="0"/>
                <w:bCs w:val="0"/>
                <w:sz w:val="24"/>
                <w:szCs w:val="24"/>
                <w:lang w:eastAsia="en-ZA"/>
              </w:rPr>
              <w:t>Nominal % change</w:t>
            </w:r>
          </w:p>
        </w:tc>
        <w:tc>
          <w:tcPr>
            <w:tcW w:w="1326" w:type="dxa"/>
            <w:hideMark/>
          </w:tcPr>
          <w:p w14:paraId="0EB2F700" w14:textId="77777777" w:rsidR="00257116" w:rsidRPr="00F97759" w:rsidRDefault="00257116" w:rsidP="00F9775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ZA"/>
              </w:rPr>
            </w:pPr>
            <w:r w:rsidRPr="00F97759">
              <w:rPr>
                <w:rFonts w:ascii="Times New Roman" w:eastAsia="Times New Roman" w:hAnsi="Times New Roman" w:cs="Times New Roman"/>
                <w:b w:val="0"/>
                <w:bCs w:val="0"/>
                <w:sz w:val="24"/>
                <w:szCs w:val="24"/>
                <w:lang w:eastAsia="en-ZA"/>
              </w:rPr>
              <w:t>Real % change</w:t>
            </w:r>
          </w:p>
        </w:tc>
      </w:tr>
      <w:tr w:rsidR="00257116" w:rsidRPr="00F97759" w14:paraId="09E94BDF" w14:textId="77777777" w:rsidTr="00F97759">
        <w:trPr>
          <w:trHeight w:val="255"/>
        </w:trPr>
        <w:tc>
          <w:tcPr>
            <w:cnfStyle w:val="001000000000" w:firstRow="0" w:lastRow="0" w:firstColumn="1" w:lastColumn="0" w:oddVBand="0" w:evenVBand="0" w:oddHBand="0" w:evenHBand="0" w:firstRowFirstColumn="0" w:firstRowLastColumn="0" w:lastRowFirstColumn="0" w:lastRowLastColumn="0"/>
            <w:tcW w:w="2275" w:type="dxa"/>
            <w:noWrap/>
            <w:hideMark/>
          </w:tcPr>
          <w:p w14:paraId="43AEC13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986" w:type="dxa"/>
            <w:noWrap/>
            <w:hideMark/>
          </w:tcPr>
          <w:p w14:paraId="22365936"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986" w:type="dxa"/>
            <w:noWrap/>
            <w:hideMark/>
          </w:tcPr>
          <w:p w14:paraId="1A092005"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117" w:type="dxa"/>
            <w:gridSpan w:val="2"/>
            <w:noWrap/>
            <w:hideMark/>
          </w:tcPr>
          <w:p w14:paraId="6B1E2A85"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652" w:type="dxa"/>
            <w:gridSpan w:val="2"/>
            <w:noWrap/>
            <w:hideMark/>
          </w:tcPr>
          <w:p w14:paraId="7F520DD3"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257116" w:rsidRPr="00F97759" w14:paraId="2D149A2B" w14:textId="77777777" w:rsidTr="00F97759">
        <w:trPr>
          <w:trHeight w:val="255"/>
        </w:trPr>
        <w:tc>
          <w:tcPr>
            <w:cnfStyle w:val="001000000000" w:firstRow="0" w:lastRow="0" w:firstColumn="1" w:lastColumn="0" w:oddVBand="0" w:evenVBand="0" w:oddHBand="0" w:evenHBand="0" w:firstRowFirstColumn="0" w:firstRowLastColumn="0" w:lastRowFirstColumn="0" w:lastRowLastColumn="0"/>
            <w:tcW w:w="2275" w:type="dxa"/>
            <w:hideMark/>
          </w:tcPr>
          <w:p w14:paraId="561052F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1: Administration</w:t>
            </w:r>
          </w:p>
        </w:tc>
        <w:tc>
          <w:tcPr>
            <w:tcW w:w="986" w:type="dxa"/>
            <w:noWrap/>
            <w:hideMark/>
          </w:tcPr>
          <w:p w14:paraId="4B4CE830"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244,3</w:t>
            </w:r>
          </w:p>
        </w:tc>
        <w:tc>
          <w:tcPr>
            <w:tcW w:w="986" w:type="dxa"/>
            <w:noWrap/>
            <w:hideMark/>
          </w:tcPr>
          <w:p w14:paraId="60745453"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258,6</w:t>
            </w:r>
          </w:p>
        </w:tc>
        <w:tc>
          <w:tcPr>
            <w:tcW w:w="1135" w:type="dxa"/>
            <w:noWrap/>
            <w:hideMark/>
          </w:tcPr>
          <w:p w14:paraId="69D3DAA7"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14,3</w:t>
            </w:r>
          </w:p>
        </w:tc>
        <w:tc>
          <w:tcPr>
            <w:tcW w:w="982" w:type="dxa"/>
            <w:noWrap/>
            <w:hideMark/>
          </w:tcPr>
          <w:p w14:paraId="7F782516"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0,8</w:t>
            </w:r>
          </w:p>
        </w:tc>
        <w:tc>
          <w:tcPr>
            <w:tcW w:w="1326" w:type="dxa"/>
            <w:noWrap/>
            <w:hideMark/>
          </w:tcPr>
          <w:p w14:paraId="3F33B6D3"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5,85 per cent</w:t>
            </w:r>
          </w:p>
        </w:tc>
        <w:tc>
          <w:tcPr>
            <w:tcW w:w="1326" w:type="dxa"/>
            <w:noWrap/>
            <w:hideMark/>
          </w:tcPr>
          <w:p w14:paraId="3DF9A3FB"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0,34 per cent</w:t>
            </w:r>
          </w:p>
        </w:tc>
      </w:tr>
      <w:tr w:rsidR="00257116" w:rsidRPr="00F97759" w14:paraId="3CCD65C6" w14:textId="77777777" w:rsidTr="00F97759">
        <w:trPr>
          <w:trHeight w:val="675"/>
        </w:trPr>
        <w:tc>
          <w:tcPr>
            <w:cnfStyle w:val="001000000000" w:firstRow="0" w:lastRow="0" w:firstColumn="1" w:lastColumn="0" w:oddVBand="0" w:evenVBand="0" w:oddHBand="0" w:evenHBand="0" w:firstRowFirstColumn="0" w:firstRowLastColumn="0" w:lastRowFirstColumn="0" w:lastRowLastColumn="0"/>
            <w:tcW w:w="2275" w:type="dxa"/>
            <w:hideMark/>
          </w:tcPr>
          <w:p w14:paraId="0A6B302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2: Regional and Urban Development and Legislative Support</w:t>
            </w:r>
          </w:p>
        </w:tc>
        <w:tc>
          <w:tcPr>
            <w:tcW w:w="986" w:type="dxa"/>
            <w:noWrap/>
            <w:hideMark/>
          </w:tcPr>
          <w:p w14:paraId="4D22008F"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248,6</w:t>
            </w:r>
          </w:p>
        </w:tc>
        <w:tc>
          <w:tcPr>
            <w:tcW w:w="986" w:type="dxa"/>
            <w:noWrap/>
            <w:hideMark/>
          </w:tcPr>
          <w:p w14:paraId="2C7C4BFC"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103,5</w:t>
            </w:r>
          </w:p>
        </w:tc>
        <w:tc>
          <w:tcPr>
            <w:tcW w:w="1135" w:type="dxa"/>
            <w:noWrap/>
            <w:hideMark/>
          </w:tcPr>
          <w:p w14:paraId="377BDAD0"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145,1</w:t>
            </w:r>
          </w:p>
        </w:tc>
        <w:tc>
          <w:tcPr>
            <w:tcW w:w="982" w:type="dxa"/>
            <w:noWrap/>
            <w:hideMark/>
          </w:tcPr>
          <w:p w14:paraId="2586365B"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150,5</w:t>
            </w:r>
          </w:p>
        </w:tc>
        <w:tc>
          <w:tcPr>
            <w:tcW w:w="1326" w:type="dxa"/>
            <w:noWrap/>
            <w:hideMark/>
          </w:tcPr>
          <w:p w14:paraId="28DFFDE7"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-58,37 per cent</w:t>
            </w:r>
          </w:p>
        </w:tc>
        <w:tc>
          <w:tcPr>
            <w:tcW w:w="1326" w:type="dxa"/>
            <w:noWrap/>
            <w:hideMark/>
          </w:tcPr>
          <w:p w14:paraId="341C4D47"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-60,54 per cent</w:t>
            </w:r>
          </w:p>
        </w:tc>
      </w:tr>
      <w:tr w:rsidR="00257116" w:rsidRPr="00F97759" w14:paraId="684D81AF" w14:textId="77777777" w:rsidTr="00F97759">
        <w:trPr>
          <w:trHeight w:val="450"/>
        </w:trPr>
        <w:tc>
          <w:tcPr>
            <w:cnfStyle w:val="001000000000" w:firstRow="0" w:lastRow="0" w:firstColumn="1" w:lastColumn="0" w:oddVBand="0" w:evenVBand="0" w:oddHBand="0" w:evenHBand="0" w:firstRowFirstColumn="0" w:firstRowLastColumn="0" w:lastRowFirstColumn="0" w:lastRowLastColumn="0"/>
            <w:tcW w:w="2275" w:type="dxa"/>
            <w:hideMark/>
          </w:tcPr>
          <w:p w14:paraId="2EC633A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3: Institutional Development</w:t>
            </w:r>
          </w:p>
        </w:tc>
        <w:tc>
          <w:tcPr>
            <w:tcW w:w="986" w:type="dxa"/>
            <w:noWrap/>
            <w:hideMark/>
          </w:tcPr>
          <w:p w14:paraId="04B73AAD"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57 373,1</w:t>
            </w:r>
          </w:p>
        </w:tc>
        <w:tc>
          <w:tcPr>
            <w:tcW w:w="986" w:type="dxa"/>
            <w:noWrap/>
            <w:hideMark/>
          </w:tcPr>
          <w:p w14:paraId="04529F25"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63 111,5</w:t>
            </w:r>
          </w:p>
        </w:tc>
        <w:tc>
          <w:tcPr>
            <w:tcW w:w="1135" w:type="dxa"/>
            <w:noWrap/>
            <w:hideMark/>
          </w:tcPr>
          <w:p w14:paraId="70B00CEE"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5 738,4</w:t>
            </w:r>
          </w:p>
        </w:tc>
        <w:tc>
          <w:tcPr>
            <w:tcW w:w="982" w:type="dxa"/>
            <w:noWrap/>
            <w:hideMark/>
          </w:tcPr>
          <w:p w14:paraId="2CECF309"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2 448,2</w:t>
            </w:r>
          </w:p>
        </w:tc>
        <w:tc>
          <w:tcPr>
            <w:tcW w:w="1326" w:type="dxa"/>
            <w:noWrap/>
            <w:hideMark/>
          </w:tcPr>
          <w:p w14:paraId="19345B64"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10,00 per cent</w:t>
            </w:r>
          </w:p>
        </w:tc>
        <w:tc>
          <w:tcPr>
            <w:tcW w:w="1326" w:type="dxa"/>
            <w:noWrap/>
            <w:hideMark/>
          </w:tcPr>
          <w:p w14:paraId="08A2CADF"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4,27 per cent</w:t>
            </w:r>
          </w:p>
        </w:tc>
      </w:tr>
      <w:tr w:rsidR="00257116" w:rsidRPr="00F97759" w14:paraId="7A8F92EA" w14:textId="77777777" w:rsidTr="00F97759">
        <w:trPr>
          <w:trHeight w:val="450"/>
        </w:trPr>
        <w:tc>
          <w:tcPr>
            <w:cnfStyle w:val="001000000000" w:firstRow="0" w:lastRow="0" w:firstColumn="1" w:lastColumn="0" w:oddVBand="0" w:evenVBand="0" w:oddHBand="0" w:evenHBand="0" w:firstRowFirstColumn="0" w:firstRowLastColumn="0" w:lastRowFirstColumn="0" w:lastRowLastColumn="0"/>
            <w:tcW w:w="2275" w:type="dxa"/>
            <w:hideMark/>
          </w:tcPr>
          <w:p w14:paraId="00750B0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4: National Disaster Management Centre</w:t>
            </w:r>
          </w:p>
        </w:tc>
        <w:tc>
          <w:tcPr>
            <w:tcW w:w="986" w:type="dxa"/>
            <w:noWrap/>
            <w:hideMark/>
          </w:tcPr>
          <w:p w14:paraId="25345645"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548,1</w:t>
            </w:r>
          </w:p>
        </w:tc>
        <w:tc>
          <w:tcPr>
            <w:tcW w:w="986" w:type="dxa"/>
            <w:noWrap/>
            <w:hideMark/>
          </w:tcPr>
          <w:p w14:paraId="63DE6949"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592,2</w:t>
            </w:r>
          </w:p>
        </w:tc>
        <w:tc>
          <w:tcPr>
            <w:tcW w:w="1135" w:type="dxa"/>
            <w:noWrap/>
            <w:hideMark/>
          </w:tcPr>
          <w:p w14:paraId="667A0127"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44,1</w:t>
            </w:r>
          </w:p>
        </w:tc>
        <w:tc>
          <w:tcPr>
            <w:tcW w:w="982" w:type="dxa"/>
            <w:noWrap/>
            <w:hideMark/>
          </w:tcPr>
          <w:p w14:paraId="718B1F6A"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13,2</w:t>
            </w:r>
          </w:p>
        </w:tc>
        <w:tc>
          <w:tcPr>
            <w:tcW w:w="1326" w:type="dxa"/>
            <w:noWrap/>
            <w:hideMark/>
          </w:tcPr>
          <w:p w14:paraId="01411515"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8,05 per cent</w:t>
            </w:r>
          </w:p>
        </w:tc>
        <w:tc>
          <w:tcPr>
            <w:tcW w:w="1326" w:type="dxa"/>
            <w:noWrap/>
            <w:hideMark/>
          </w:tcPr>
          <w:p w14:paraId="38D26593"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2,41 per cent</w:t>
            </w:r>
          </w:p>
        </w:tc>
      </w:tr>
      <w:tr w:rsidR="00257116" w:rsidRPr="00F97759" w14:paraId="7F50BDBC" w14:textId="77777777" w:rsidTr="00F97759">
        <w:trPr>
          <w:trHeight w:val="675"/>
        </w:trPr>
        <w:tc>
          <w:tcPr>
            <w:cnfStyle w:val="001000000000" w:firstRow="0" w:lastRow="0" w:firstColumn="1" w:lastColumn="0" w:oddVBand="0" w:evenVBand="0" w:oddHBand="0" w:evenHBand="0" w:firstRowFirstColumn="0" w:firstRowLastColumn="0" w:lastRowFirstColumn="0" w:lastRowLastColumn="0"/>
            <w:tcW w:w="2275" w:type="dxa"/>
            <w:hideMark/>
          </w:tcPr>
          <w:p w14:paraId="7104107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5: Local Government Support and Intervention</w:t>
            </w:r>
          </w:p>
        </w:tc>
        <w:tc>
          <w:tcPr>
            <w:tcW w:w="986" w:type="dxa"/>
            <w:noWrap/>
            <w:hideMark/>
          </w:tcPr>
          <w:p w14:paraId="43F9AAC8"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16 409,8</w:t>
            </w:r>
          </w:p>
        </w:tc>
        <w:tc>
          <w:tcPr>
            <w:tcW w:w="986" w:type="dxa"/>
            <w:noWrap/>
            <w:hideMark/>
          </w:tcPr>
          <w:p w14:paraId="5C19A1FB"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15 716,2</w:t>
            </w:r>
          </w:p>
        </w:tc>
        <w:tc>
          <w:tcPr>
            <w:tcW w:w="1135" w:type="dxa"/>
            <w:noWrap/>
            <w:hideMark/>
          </w:tcPr>
          <w:p w14:paraId="5E680687"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693,6</w:t>
            </w:r>
          </w:p>
        </w:tc>
        <w:tc>
          <w:tcPr>
            <w:tcW w:w="982" w:type="dxa"/>
            <w:noWrap/>
            <w:hideMark/>
          </w:tcPr>
          <w:p w14:paraId="57CF5BE8"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- 1 512,9</w:t>
            </w:r>
          </w:p>
        </w:tc>
        <w:tc>
          <w:tcPr>
            <w:tcW w:w="1326" w:type="dxa"/>
            <w:noWrap/>
            <w:hideMark/>
          </w:tcPr>
          <w:p w14:paraId="4905BE94"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-4,23 per cent</w:t>
            </w:r>
          </w:p>
        </w:tc>
        <w:tc>
          <w:tcPr>
            <w:tcW w:w="1326" w:type="dxa"/>
            <w:noWrap/>
            <w:hideMark/>
          </w:tcPr>
          <w:p w14:paraId="7C6D11CC"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-9,22 per cent</w:t>
            </w:r>
          </w:p>
        </w:tc>
      </w:tr>
      <w:tr w:rsidR="00257116" w:rsidRPr="00F97759" w14:paraId="68F03492" w14:textId="77777777" w:rsidTr="00F97759">
        <w:trPr>
          <w:trHeight w:val="450"/>
        </w:trPr>
        <w:tc>
          <w:tcPr>
            <w:cnfStyle w:val="001000000000" w:firstRow="0" w:lastRow="0" w:firstColumn="1" w:lastColumn="0" w:oddVBand="0" w:evenVBand="0" w:oddHBand="0" w:evenHBand="0" w:firstRowFirstColumn="0" w:firstRowLastColumn="0" w:lastRowFirstColumn="0" w:lastRowLastColumn="0"/>
            <w:tcW w:w="2275" w:type="dxa"/>
            <w:hideMark/>
          </w:tcPr>
          <w:p w14:paraId="578BD49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Programme 6: Community Work </w:t>
            </w:r>
            <w:r w:rsidRPr="00F97759">
              <w:rPr>
                <w:rFonts w:ascii="Times New Roman" w:eastAsia="Times New Roman" w:hAnsi="Times New Roman" w:cs="Times New Roman"/>
                <w:sz w:val="24"/>
                <w:szCs w:val="24"/>
                <w:lang w:eastAsia="en-ZA"/>
              </w:rPr>
              <w:lastRenderedPageBreak/>
              <w:t>Programme</w:t>
            </w:r>
          </w:p>
        </w:tc>
        <w:tc>
          <w:tcPr>
            <w:tcW w:w="986" w:type="dxa"/>
            <w:noWrap/>
            <w:hideMark/>
          </w:tcPr>
          <w:p w14:paraId="2A67E2CD"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 xml:space="preserve"> 3 640,1</w:t>
            </w:r>
          </w:p>
        </w:tc>
        <w:tc>
          <w:tcPr>
            <w:tcW w:w="986" w:type="dxa"/>
            <w:noWrap/>
            <w:hideMark/>
          </w:tcPr>
          <w:p w14:paraId="6E74978E"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3 869,9</w:t>
            </w:r>
          </w:p>
        </w:tc>
        <w:tc>
          <w:tcPr>
            <w:tcW w:w="1135" w:type="dxa"/>
            <w:noWrap/>
            <w:hideMark/>
          </w:tcPr>
          <w:p w14:paraId="09E70E90"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229,8</w:t>
            </w:r>
          </w:p>
        </w:tc>
        <w:tc>
          <w:tcPr>
            <w:tcW w:w="982" w:type="dxa"/>
            <w:noWrap/>
            <w:hideMark/>
          </w:tcPr>
          <w:p w14:paraId="0026540D"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28,1</w:t>
            </w:r>
          </w:p>
        </w:tc>
        <w:tc>
          <w:tcPr>
            <w:tcW w:w="1326" w:type="dxa"/>
            <w:noWrap/>
            <w:hideMark/>
          </w:tcPr>
          <w:p w14:paraId="597330DE"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6,31 per cent</w:t>
            </w:r>
          </w:p>
        </w:tc>
        <w:tc>
          <w:tcPr>
            <w:tcW w:w="1326" w:type="dxa"/>
            <w:noWrap/>
            <w:hideMark/>
          </w:tcPr>
          <w:p w14:paraId="33268CB1"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0,77 per cent</w:t>
            </w:r>
          </w:p>
        </w:tc>
      </w:tr>
      <w:tr w:rsidR="00257116" w:rsidRPr="00F97759" w14:paraId="47BC4D8F" w14:textId="77777777" w:rsidTr="00F97759">
        <w:trPr>
          <w:trHeight w:val="270"/>
        </w:trPr>
        <w:tc>
          <w:tcPr>
            <w:cnfStyle w:val="001000000000" w:firstRow="0" w:lastRow="0" w:firstColumn="1" w:lastColumn="0" w:oddVBand="0" w:evenVBand="0" w:oddHBand="0" w:evenHBand="0" w:firstRowFirstColumn="0" w:firstRowLastColumn="0" w:lastRowFirstColumn="0" w:lastRowLastColumn="0"/>
            <w:tcW w:w="2275" w:type="dxa"/>
            <w:noWrap/>
            <w:hideMark/>
          </w:tcPr>
          <w:p w14:paraId="621DAFCF" w14:textId="77777777" w:rsidR="00257116" w:rsidRPr="00F97759" w:rsidRDefault="00257116" w:rsidP="00F97759">
            <w:pPr>
              <w:spacing w:line="360" w:lineRule="auto"/>
              <w:rPr>
                <w:rFonts w:ascii="Times New Roman" w:eastAsia="Times New Roman" w:hAnsi="Times New Roman" w:cs="Times New Roman"/>
                <w:b w:val="0"/>
                <w:bCs w:val="0"/>
                <w:sz w:val="24"/>
                <w:szCs w:val="24"/>
                <w:lang w:eastAsia="en-ZA"/>
              </w:rPr>
            </w:pPr>
            <w:r w:rsidRPr="00F97759">
              <w:rPr>
                <w:rFonts w:ascii="Times New Roman" w:eastAsia="Times New Roman" w:hAnsi="Times New Roman" w:cs="Times New Roman"/>
                <w:b w:val="0"/>
                <w:bCs w:val="0"/>
                <w:sz w:val="24"/>
                <w:szCs w:val="24"/>
                <w:lang w:eastAsia="en-ZA"/>
              </w:rPr>
              <w:lastRenderedPageBreak/>
              <w:t>TOTAL</w:t>
            </w:r>
          </w:p>
        </w:tc>
        <w:tc>
          <w:tcPr>
            <w:tcW w:w="986" w:type="dxa"/>
            <w:noWrap/>
            <w:hideMark/>
          </w:tcPr>
          <w:p w14:paraId="27EE922F"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78 464,0</w:t>
            </w:r>
          </w:p>
        </w:tc>
        <w:tc>
          <w:tcPr>
            <w:tcW w:w="986" w:type="dxa"/>
            <w:noWrap/>
            <w:hideMark/>
          </w:tcPr>
          <w:p w14:paraId="066AE3D4"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83 651,9</w:t>
            </w:r>
          </w:p>
        </w:tc>
        <w:tc>
          <w:tcPr>
            <w:tcW w:w="1135" w:type="dxa"/>
            <w:noWrap/>
            <w:hideMark/>
          </w:tcPr>
          <w:p w14:paraId="4DB2EBD2"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5 187,9</w:t>
            </w:r>
          </w:p>
        </w:tc>
        <w:tc>
          <w:tcPr>
            <w:tcW w:w="982" w:type="dxa"/>
            <w:noWrap/>
            <w:hideMark/>
          </w:tcPr>
          <w:p w14:paraId="640DACC8"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826,9</w:t>
            </w:r>
          </w:p>
        </w:tc>
        <w:tc>
          <w:tcPr>
            <w:tcW w:w="1326" w:type="dxa"/>
            <w:noWrap/>
            <w:hideMark/>
          </w:tcPr>
          <w:p w14:paraId="7BAA5828"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6,61 per cent</w:t>
            </w:r>
          </w:p>
        </w:tc>
        <w:tc>
          <w:tcPr>
            <w:tcW w:w="1326" w:type="dxa"/>
            <w:noWrap/>
            <w:hideMark/>
          </w:tcPr>
          <w:p w14:paraId="5104FF20" w14:textId="77777777" w:rsidR="00257116" w:rsidRPr="00F97759" w:rsidRDefault="00257116" w:rsidP="00F977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1,05 per cent</w:t>
            </w:r>
          </w:p>
        </w:tc>
      </w:tr>
    </w:tbl>
    <w:p w14:paraId="1DF8461C" w14:textId="77777777" w:rsidR="00257116" w:rsidRPr="00F97759" w:rsidRDefault="00257116" w:rsidP="00F97759">
      <w:pPr>
        <w:spacing w:line="360" w:lineRule="auto"/>
        <w:rPr>
          <w:rFonts w:ascii="Times New Roman" w:hAnsi="Times New Roman" w:cs="Times New Roman"/>
          <w:sz w:val="24"/>
          <w:szCs w:val="24"/>
        </w:rPr>
      </w:pPr>
    </w:p>
    <w:p w14:paraId="58A66DDF"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The Table above indicates that the annual budget of the Department of Cooperative Governance and Traditional Affairs for the 2018/19 financial year increases by approximately one percent in real terms – from 78.4 billion in 2017/18 to R83.6 billion in 2018/19. As the Graph below illustrates, Programme 3: Institutional Development, which receives an additional</w:t>
      </w:r>
      <w:r w:rsidR="00727CDC" w:rsidRPr="00F97759">
        <w:rPr>
          <w:rFonts w:ascii="Times New Roman" w:hAnsi="Times New Roman" w:cs="Times New Roman"/>
          <w:sz w:val="24"/>
          <w:szCs w:val="24"/>
        </w:rPr>
        <w:t xml:space="preserve"> </w:t>
      </w:r>
      <w:r w:rsidRPr="00F97759">
        <w:rPr>
          <w:rFonts w:ascii="Times New Roman" w:hAnsi="Times New Roman" w:cs="Times New Roman"/>
          <w:sz w:val="24"/>
          <w:szCs w:val="24"/>
        </w:rPr>
        <w:t xml:space="preserve">R2.4 billion for the Local Government Equitable Share (LGES), largely accounts for the Department’s overall increase. </w:t>
      </w:r>
    </w:p>
    <w:p w14:paraId="03D1EBB7" w14:textId="77777777" w:rsidR="00B8617D" w:rsidRPr="00F97759" w:rsidRDefault="00B8617D" w:rsidP="00F97759">
      <w:pPr>
        <w:spacing w:line="360" w:lineRule="auto"/>
        <w:rPr>
          <w:rFonts w:ascii="Times New Roman" w:hAnsi="Times New Roman" w:cs="Times New Roman"/>
          <w:sz w:val="24"/>
          <w:szCs w:val="24"/>
        </w:rPr>
      </w:pPr>
    </w:p>
    <w:p w14:paraId="274C8DF2"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73600" behindDoc="0" locked="0" layoutInCell="1" allowOverlap="1" wp14:anchorId="3C62518D" wp14:editId="22DF6EA8">
            <wp:simplePos x="0" y="0"/>
            <wp:positionH relativeFrom="margin">
              <wp:align>left</wp:align>
            </wp:positionH>
            <wp:positionV relativeFrom="paragraph">
              <wp:posOffset>34493</wp:posOffset>
            </wp:positionV>
            <wp:extent cx="5677535" cy="2768168"/>
            <wp:effectExtent l="0" t="0" r="18415" b="1333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EEE34D0" w14:textId="77777777" w:rsidR="00257116" w:rsidRPr="00F97759" w:rsidRDefault="00257116" w:rsidP="00F97759">
      <w:pPr>
        <w:spacing w:line="360" w:lineRule="auto"/>
        <w:rPr>
          <w:rFonts w:ascii="Times New Roman" w:hAnsi="Times New Roman" w:cs="Times New Roman"/>
          <w:sz w:val="24"/>
          <w:szCs w:val="24"/>
        </w:rPr>
      </w:pPr>
    </w:p>
    <w:p w14:paraId="536CD65E" w14:textId="77777777" w:rsidR="00257116" w:rsidRPr="00F97759" w:rsidRDefault="00257116" w:rsidP="00F97759">
      <w:pPr>
        <w:spacing w:line="360" w:lineRule="auto"/>
        <w:rPr>
          <w:rFonts w:ascii="Times New Roman" w:hAnsi="Times New Roman" w:cs="Times New Roman"/>
          <w:sz w:val="24"/>
          <w:szCs w:val="24"/>
        </w:rPr>
      </w:pPr>
    </w:p>
    <w:p w14:paraId="1168C6F1" w14:textId="77777777" w:rsidR="00257116" w:rsidRPr="00F97759" w:rsidRDefault="00257116" w:rsidP="00F97759">
      <w:pPr>
        <w:spacing w:line="360" w:lineRule="auto"/>
        <w:rPr>
          <w:rFonts w:ascii="Times New Roman" w:hAnsi="Times New Roman" w:cs="Times New Roman"/>
          <w:sz w:val="24"/>
          <w:szCs w:val="24"/>
        </w:rPr>
      </w:pPr>
    </w:p>
    <w:p w14:paraId="7BA4C983" w14:textId="77777777" w:rsidR="00257116" w:rsidRPr="00F97759" w:rsidRDefault="00257116" w:rsidP="00F97759">
      <w:pPr>
        <w:spacing w:line="360" w:lineRule="auto"/>
        <w:rPr>
          <w:rFonts w:ascii="Times New Roman" w:hAnsi="Times New Roman" w:cs="Times New Roman"/>
          <w:sz w:val="24"/>
          <w:szCs w:val="24"/>
        </w:rPr>
      </w:pPr>
    </w:p>
    <w:p w14:paraId="7BD3AF1B" w14:textId="77777777" w:rsidR="00257116" w:rsidRPr="00F97759" w:rsidRDefault="00257116" w:rsidP="00F97759">
      <w:pPr>
        <w:spacing w:line="360" w:lineRule="auto"/>
        <w:rPr>
          <w:rFonts w:ascii="Times New Roman" w:hAnsi="Times New Roman" w:cs="Times New Roman"/>
          <w:sz w:val="24"/>
          <w:szCs w:val="24"/>
        </w:rPr>
      </w:pPr>
    </w:p>
    <w:p w14:paraId="02F19D37" w14:textId="77777777" w:rsidR="00257116" w:rsidRPr="00F97759" w:rsidRDefault="00257116" w:rsidP="00F97759">
      <w:pPr>
        <w:spacing w:line="360" w:lineRule="auto"/>
        <w:rPr>
          <w:rFonts w:ascii="Times New Roman" w:hAnsi="Times New Roman" w:cs="Times New Roman"/>
          <w:sz w:val="24"/>
          <w:szCs w:val="24"/>
        </w:rPr>
      </w:pPr>
    </w:p>
    <w:p w14:paraId="0A290AF2" w14:textId="77777777" w:rsidR="00257116" w:rsidRPr="00F97759" w:rsidRDefault="00257116" w:rsidP="00F97759">
      <w:pPr>
        <w:spacing w:line="360" w:lineRule="auto"/>
        <w:rPr>
          <w:rFonts w:ascii="Times New Roman" w:hAnsi="Times New Roman" w:cs="Times New Roman"/>
          <w:sz w:val="24"/>
          <w:szCs w:val="24"/>
        </w:rPr>
      </w:pPr>
    </w:p>
    <w:p w14:paraId="63958FB9" w14:textId="77777777" w:rsidR="00257116" w:rsidRPr="00F97759" w:rsidRDefault="00257116" w:rsidP="00F97759">
      <w:pPr>
        <w:spacing w:line="360" w:lineRule="auto"/>
        <w:rPr>
          <w:rFonts w:ascii="Times New Roman" w:hAnsi="Times New Roman" w:cs="Times New Roman"/>
          <w:sz w:val="24"/>
          <w:szCs w:val="24"/>
        </w:rPr>
      </w:pPr>
    </w:p>
    <w:p w14:paraId="7BB7AAAC" w14:textId="77777777" w:rsidR="00257116" w:rsidRPr="00F97759" w:rsidRDefault="00257116" w:rsidP="00F97759">
      <w:pPr>
        <w:spacing w:line="360" w:lineRule="auto"/>
        <w:rPr>
          <w:rFonts w:ascii="Times New Roman" w:hAnsi="Times New Roman" w:cs="Times New Roman"/>
          <w:sz w:val="24"/>
          <w:szCs w:val="24"/>
        </w:rPr>
      </w:pPr>
    </w:p>
    <w:p w14:paraId="501B90C7" w14:textId="77777777" w:rsidR="00257116" w:rsidRPr="00F97759" w:rsidRDefault="00257116" w:rsidP="00F97759">
      <w:pPr>
        <w:spacing w:line="360" w:lineRule="auto"/>
        <w:rPr>
          <w:rFonts w:ascii="Times New Roman" w:hAnsi="Times New Roman" w:cs="Times New Roman"/>
          <w:sz w:val="24"/>
          <w:szCs w:val="24"/>
        </w:rPr>
      </w:pPr>
    </w:p>
    <w:p w14:paraId="4C8E0BB7" w14:textId="77777777" w:rsidR="00257116" w:rsidRPr="00F97759" w:rsidRDefault="00257116" w:rsidP="00F97759">
      <w:pPr>
        <w:spacing w:line="360" w:lineRule="auto"/>
        <w:rPr>
          <w:rFonts w:ascii="Times New Roman" w:hAnsi="Times New Roman" w:cs="Times New Roman"/>
          <w:bCs/>
          <w:sz w:val="24"/>
          <w:szCs w:val="24"/>
        </w:rPr>
      </w:pPr>
      <w:r w:rsidRPr="00F97759">
        <w:rPr>
          <w:rFonts w:ascii="Times New Roman" w:hAnsi="Times New Roman" w:cs="Times New Roman"/>
          <w:bCs/>
          <w:sz w:val="24"/>
          <w:szCs w:val="24"/>
        </w:rPr>
        <w:t>Although Budget 2018 allocates an additional R2.4 billion to the LGES, thus increasing it from R57 billion in 2017/18 to R62 billion in 2018/19, the reality is that in 2018/19 government will spend more on interest payments than on transfers to local government. Since 2011/12, interest payments have grown faster than allocations to national, provincial or local government, crowding out space for increasing productive expenditure.</w:t>
      </w:r>
      <w:r w:rsidRPr="00F97759">
        <w:rPr>
          <w:rFonts w:ascii="Times New Roman" w:hAnsi="Times New Roman" w:cs="Times New Roman"/>
          <w:bCs/>
          <w:sz w:val="24"/>
          <w:szCs w:val="24"/>
          <w:vertAlign w:val="superscript"/>
        </w:rPr>
        <w:footnoteReference w:id="1"/>
      </w:r>
      <w:r w:rsidRPr="00F97759">
        <w:rPr>
          <w:rFonts w:ascii="Times New Roman" w:hAnsi="Times New Roman" w:cs="Times New Roman"/>
          <w:bCs/>
          <w:sz w:val="24"/>
          <w:szCs w:val="24"/>
        </w:rPr>
        <w:t xml:space="preserve"> </w:t>
      </w:r>
    </w:p>
    <w:p w14:paraId="00645B21" w14:textId="77777777" w:rsidR="009F5447" w:rsidRDefault="009F5447" w:rsidP="00F97759">
      <w:pPr>
        <w:spacing w:line="360" w:lineRule="auto"/>
        <w:rPr>
          <w:rFonts w:ascii="Times New Roman" w:hAnsi="Times New Roman" w:cs="Times New Roman"/>
          <w:bCs/>
          <w:sz w:val="24"/>
          <w:szCs w:val="24"/>
        </w:rPr>
      </w:pPr>
    </w:p>
    <w:p w14:paraId="2508A6D4" w14:textId="77777777" w:rsidR="00F97759" w:rsidRDefault="00F97759" w:rsidP="00F97759">
      <w:pPr>
        <w:spacing w:line="360" w:lineRule="auto"/>
        <w:rPr>
          <w:rFonts w:ascii="Times New Roman" w:hAnsi="Times New Roman" w:cs="Times New Roman"/>
          <w:bCs/>
          <w:sz w:val="24"/>
          <w:szCs w:val="24"/>
        </w:rPr>
      </w:pPr>
    </w:p>
    <w:p w14:paraId="57F4E271" w14:textId="77777777" w:rsidR="00F97759" w:rsidRDefault="00F97759" w:rsidP="00F97759">
      <w:pPr>
        <w:spacing w:line="360" w:lineRule="auto"/>
        <w:rPr>
          <w:rFonts w:ascii="Times New Roman" w:hAnsi="Times New Roman" w:cs="Times New Roman"/>
          <w:bCs/>
          <w:sz w:val="24"/>
          <w:szCs w:val="24"/>
        </w:rPr>
      </w:pPr>
    </w:p>
    <w:p w14:paraId="689FDF97" w14:textId="77777777" w:rsidR="00F97759" w:rsidRPr="00F97759" w:rsidRDefault="00F97759" w:rsidP="00F97759">
      <w:pPr>
        <w:spacing w:line="360" w:lineRule="auto"/>
        <w:rPr>
          <w:rFonts w:ascii="Times New Roman" w:hAnsi="Times New Roman" w:cs="Times New Roman"/>
          <w:bCs/>
          <w:sz w:val="24"/>
          <w:szCs w:val="24"/>
        </w:rPr>
      </w:pPr>
    </w:p>
    <w:p w14:paraId="58519C30" w14:textId="77777777" w:rsidR="00257116" w:rsidRPr="00F97759" w:rsidRDefault="00624DC0" w:rsidP="00F97759">
      <w:pPr>
        <w:keepNext/>
        <w:keepLines/>
        <w:spacing w:before="40" w:line="360" w:lineRule="auto"/>
        <w:ind w:firstLine="720"/>
        <w:outlineLvl w:val="1"/>
        <w:rPr>
          <w:rFonts w:ascii="Times New Roman" w:eastAsiaTheme="majorEastAsia" w:hAnsi="Times New Roman" w:cs="Times New Roman"/>
          <w:b/>
          <w:sz w:val="24"/>
          <w:szCs w:val="24"/>
        </w:rPr>
      </w:pPr>
      <w:bookmarkStart w:id="4" w:name="_Toc509840531"/>
      <w:r w:rsidRPr="00F97759">
        <w:rPr>
          <w:rFonts w:ascii="Times New Roman" w:eastAsiaTheme="majorEastAsia" w:hAnsi="Times New Roman" w:cs="Times New Roman"/>
          <w:b/>
          <w:sz w:val="24"/>
          <w:szCs w:val="24"/>
        </w:rPr>
        <w:lastRenderedPageBreak/>
        <w:t>2.3.1</w:t>
      </w:r>
      <w:r w:rsidR="001D67A0" w:rsidRPr="00F97759">
        <w:rPr>
          <w:rFonts w:ascii="Times New Roman" w:eastAsiaTheme="majorEastAsia" w:hAnsi="Times New Roman" w:cs="Times New Roman"/>
          <w:b/>
          <w:sz w:val="24"/>
          <w:szCs w:val="24"/>
        </w:rPr>
        <w:t xml:space="preserve"> </w:t>
      </w:r>
      <w:r w:rsidR="00257116" w:rsidRPr="00F97759">
        <w:rPr>
          <w:rFonts w:ascii="Times New Roman" w:eastAsiaTheme="majorEastAsia" w:hAnsi="Times New Roman" w:cs="Times New Roman"/>
          <w:b/>
          <w:sz w:val="24"/>
          <w:szCs w:val="24"/>
        </w:rPr>
        <w:t>Programme 1: Administration</w:t>
      </w:r>
      <w:bookmarkEnd w:id="4"/>
    </w:p>
    <w:tbl>
      <w:tblPr>
        <w:tblStyle w:val="TableGrid2"/>
        <w:tblW w:w="9016" w:type="dxa"/>
        <w:tblLook w:val="04A0" w:firstRow="1" w:lastRow="0" w:firstColumn="1" w:lastColumn="0" w:noHBand="0" w:noVBand="1"/>
      </w:tblPr>
      <w:tblGrid>
        <w:gridCol w:w="2235"/>
        <w:gridCol w:w="1027"/>
        <w:gridCol w:w="1027"/>
        <w:gridCol w:w="1117"/>
        <w:gridCol w:w="1002"/>
        <w:gridCol w:w="1304"/>
        <w:gridCol w:w="1304"/>
      </w:tblGrid>
      <w:tr w:rsidR="00257116" w:rsidRPr="00F97759" w14:paraId="72A1A6E9" w14:textId="77777777" w:rsidTr="009F5447">
        <w:trPr>
          <w:trHeight w:val="780"/>
        </w:trPr>
        <w:tc>
          <w:tcPr>
            <w:tcW w:w="2235" w:type="dxa"/>
            <w:noWrap/>
            <w:hideMark/>
          </w:tcPr>
          <w:p w14:paraId="4DE1D2B3"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Sub-Programme</w:t>
            </w:r>
          </w:p>
        </w:tc>
        <w:tc>
          <w:tcPr>
            <w:tcW w:w="2054" w:type="dxa"/>
            <w:gridSpan w:val="2"/>
            <w:hideMark/>
          </w:tcPr>
          <w:p w14:paraId="6B5D0121"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17" w:type="dxa"/>
            <w:hideMark/>
          </w:tcPr>
          <w:p w14:paraId="6A01429A"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1002" w:type="dxa"/>
            <w:hideMark/>
          </w:tcPr>
          <w:p w14:paraId="4D64F246"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04" w:type="dxa"/>
            <w:hideMark/>
          </w:tcPr>
          <w:p w14:paraId="34AF4996"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04" w:type="dxa"/>
            <w:hideMark/>
          </w:tcPr>
          <w:p w14:paraId="43A6D762"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257116" w:rsidRPr="00F97759" w14:paraId="123A83C0" w14:textId="77777777" w:rsidTr="009F5447">
        <w:trPr>
          <w:trHeight w:val="255"/>
        </w:trPr>
        <w:tc>
          <w:tcPr>
            <w:tcW w:w="2235" w:type="dxa"/>
            <w:noWrap/>
            <w:hideMark/>
          </w:tcPr>
          <w:p w14:paraId="3E8D307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1027" w:type="dxa"/>
            <w:noWrap/>
            <w:hideMark/>
          </w:tcPr>
          <w:p w14:paraId="4988BD10"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1027" w:type="dxa"/>
            <w:noWrap/>
            <w:hideMark/>
          </w:tcPr>
          <w:p w14:paraId="1DC9F05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119" w:type="dxa"/>
            <w:gridSpan w:val="2"/>
            <w:noWrap/>
            <w:hideMark/>
          </w:tcPr>
          <w:p w14:paraId="67173304"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608" w:type="dxa"/>
            <w:gridSpan w:val="2"/>
            <w:noWrap/>
            <w:hideMark/>
          </w:tcPr>
          <w:p w14:paraId="000D1DBD"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257116" w:rsidRPr="00F97759" w14:paraId="24131B97" w14:textId="77777777" w:rsidTr="009F5447">
        <w:trPr>
          <w:trHeight w:val="450"/>
        </w:trPr>
        <w:tc>
          <w:tcPr>
            <w:tcW w:w="2235" w:type="dxa"/>
            <w:hideMark/>
          </w:tcPr>
          <w:p w14:paraId="69DD170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 Administration</w:t>
            </w:r>
          </w:p>
        </w:tc>
        <w:tc>
          <w:tcPr>
            <w:tcW w:w="1027" w:type="dxa"/>
            <w:noWrap/>
            <w:hideMark/>
          </w:tcPr>
          <w:p w14:paraId="61C9F4A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26,7</w:t>
            </w:r>
          </w:p>
        </w:tc>
        <w:tc>
          <w:tcPr>
            <w:tcW w:w="1027" w:type="dxa"/>
            <w:noWrap/>
            <w:hideMark/>
          </w:tcPr>
          <w:p w14:paraId="1BBAA0E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29,4</w:t>
            </w:r>
          </w:p>
        </w:tc>
        <w:tc>
          <w:tcPr>
            <w:tcW w:w="1117" w:type="dxa"/>
            <w:noWrap/>
            <w:hideMark/>
          </w:tcPr>
          <w:p w14:paraId="61BA89C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2,7</w:t>
            </w:r>
          </w:p>
        </w:tc>
        <w:tc>
          <w:tcPr>
            <w:tcW w:w="1002" w:type="dxa"/>
            <w:noWrap/>
            <w:hideMark/>
          </w:tcPr>
          <w:p w14:paraId="4C44F11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w:t>
            </w:r>
          </w:p>
        </w:tc>
        <w:tc>
          <w:tcPr>
            <w:tcW w:w="1304" w:type="dxa"/>
            <w:noWrap/>
            <w:hideMark/>
          </w:tcPr>
          <w:p w14:paraId="0BE29A2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10,11 per cent</w:t>
            </w:r>
          </w:p>
        </w:tc>
        <w:tc>
          <w:tcPr>
            <w:tcW w:w="1304" w:type="dxa"/>
            <w:noWrap/>
            <w:hideMark/>
          </w:tcPr>
          <w:p w14:paraId="0F3FF7D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4,37 per cent</w:t>
            </w:r>
          </w:p>
        </w:tc>
      </w:tr>
      <w:tr w:rsidR="00257116" w:rsidRPr="00F97759" w14:paraId="1E9C1D29" w14:textId="77777777" w:rsidTr="009F5447">
        <w:trPr>
          <w:trHeight w:val="450"/>
        </w:trPr>
        <w:tc>
          <w:tcPr>
            <w:tcW w:w="2235" w:type="dxa"/>
            <w:hideMark/>
          </w:tcPr>
          <w:p w14:paraId="0C1643B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2: Management</w:t>
            </w:r>
          </w:p>
        </w:tc>
        <w:tc>
          <w:tcPr>
            <w:tcW w:w="1027" w:type="dxa"/>
            <w:noWrap/>
            <w:hideMark/>
          </w:tcPr>
          <w:p w14:paraId="4D300DA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18,3</w:t>
            </w:r>
          </w:p>
        </w:tc>
        <w:tc>
          <w:tcPr>
            <w:tcW w:w="1027" w:type="dxa"/>
            <w:noWrap/>
            <w:hideMark/>
          </w:tcPr>
          <w:p w14:paraId="4789BC6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18,4</w:t>
            </w:r>
          </w:p>
        </w:tc>
        <w:tc>
          <w:tcPr>
            <w:tcW w:w="1117" w:type="dxa"/>
            <w:noWrap/>
            <w:hideMark/>
          </w:tcPr>
          <w:p w14:paraId="0A0CABD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0,1</w:t>
            </w:r>
          </w:p>
        </w:tc>
        <w:tc>
          <w:tcPr>
            <w:tcW w:w="1002" w:type="dxa"/>
            <w:noWrap/>
            <w:hideMark/>
          </w:tcPr>
          <w:p w14:paraId="2329C98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0,9</w:t>
            </w:r>
          </w:p>
        </w:tc>
        <w:tc>
          <w:tcPr>
            <w:tcW w:w="1304" w:type="dxa"/>
            <w:noWrap/>
            <w:hideMark/>
          </w:tcPr>
          <w:p w14:paraId="1523FE4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0,55 per cent</w:t>
            </w:r>
          </w:p>
        </w:tc>
        <w:tc>
          <w:tcPr>
            <w:tcW w:w="1304" w:type="dxa"/>
            <w:noWrap/>
            <w:hideMark/>
          </w:tcPr>
          <w:p w14:paraId="20DECE4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-4,70 per cent</w:t>
            </w:r>
          </w:p>
        </w:tc>
      </w:tr>
      <w:tr w:rsidR="00257116" w:rsidRPr="00F97759" w14:paraId="166D764A" w14:textId="77777777" w:rsidTr="009F5447">
        <w:trPr>
          <w:trHeight w:val="450"/>
        </w:trPr>
        <w:tc>
          <w:tcPr>
            <w:tcW w:w="2235" w:type="dxa"/>
            <w:hideMark/>
          </w:tcPr>
          <w:p w14:paraId="66177D8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3: Corporate Services</w:t>
            </w:r>
          </w:p>
        </w:tc>
        <w:tc>
          <w:tcPr>
            <w:tcW w:w="1027" w:type="dxa"/>
            <w:noWrap/>
            <w:hideMark/>
          </w:tcPr>
          <w:p w14:paraId="2E381A8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104,9</w:t>
            </w:r>
          </w:p>
        </w:tc>
        <w:tc>
          <w:tcPr>
            <w:tcW w:w="1027" w:type="dxa"/>
            <w:noWrap/>
            <w:hideMark/>
          </w:tcPr>
          <w:p w14:paraId="395FAA5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113,5</w:t>
            </w:r>
          </w:p>
        </w:tc>
        <w:tc>
          <w:tcPr>
            <w:tcW w:w="1117" w:type="dxa"/>
            <w:noWrap/>
            <w:hideMark/>
          </w:tcPr>
          <w:p w14:paraId="261726B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8,6</w:t>
            </w:r>
          </w:p>
        </w:tc>
        <w:tc>
          <w:tcPr>
            <w:tcW w:w="1002" w:type="dxa"/>
            <w:noWrap/>
            <w:hideMark/>
          </w:tcPr>
          <w:p w14:paraId="613458F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2,7</w:t>
            </w:r>
          </w:p>
        </w:tc>
        <w:tc>
          <w:tcPr>
            <w:tcW w:w="1304" w:type="dxa"/>
            <w:noWrap/>
            <w:hideMark/>
          </w:tcPr>
          <w:p w14:paraId="304722C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8,20 per cent</w:t>
            </w:r>
          </w:p>
        </w:tc>
        <w:tc>
          <w:tcPr>
            <w:tcW w:w="1304" w:type="dxa"/>
            <w:noWrap/>
            <w:hideMark/>
          </w:tcPr>
          <w:p w14:paraId="340DF49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2,56 per cent</w:t>
            </w:r>
          </w:p>
        </w:tc>
      </w:tr>
      <w:tr w:rsidR="00257116" w:rsidRPr="00F97759" w14:paraId="13EDDA32" w14:textId="77777777" w:rsidTr="009F5447">
        <w:trPr>
          <w:trHeight w:val="450"/>
        </w:trPr>
        <w:tc>
          <w:tcPr>
            <w:tcW w:w="2235" w:type="dxa"/>
            <w:hideMark/>
          </w:tcPr>
          <w:p w14:paraId="005FAD2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4: Financial Services</w:t>
            </w:r>
          </w:p>
        </w:tc>
        <w:tc>
          <w:tcPr>
            <w:tcW w:w="1027" w:type="dxa"/>
            <w:noWrap/>
            <w:hideMark/>
          </w:tcPr>
          <w:p w14:paraId="71829AD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36,4</w:t>
            </w:r>
          </w:p>
        </w:tc>
        <w:tc>
          <w:tcPr>
            <w:tcW w:w="1027" w:type="dxa"/>
            <w:noWrap/>
            <w:hideMark/>
          </w:tcPr>
          <w:p w14:paraId="3A7A221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40,6</w:t>
            </w:r>
          </w:p>
        </w:tc>
        <w:tc>
          <w:tcPr>
            <w:tcW w:w="1117" w:type="dxa"/>
            <w:noWrap/>
            <w:hideMark/>
          </w:tcPr>
          <w:p w14:paraId="7A7B80D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4,2</w:t>
            </w:r>
          </w:p>
        </w:tc>
        <w:tc>
          <w:tcPr>
            <w:tcW w:w="1002" w:type="dxa"/>
            <w:noWrap/>
            <w:hideMark/>
          </w:tcPr>
          <w:p w14:paraId="6F0A647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2,1</w:t>
            </w:r>
          </w:p>
        </w:tc>
        <w:tc>
          <w:tcPr>
            <w:tcW w:w="1304" w:type="dxa"/>
            <w:noWrap/>
            <w:hideMark/>
          </w:tcPr>
          <w:p w14:paraId="7CBCF11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11,54 per cent</w:t>
            </w:r>
          </w:p>
        </w:tc>
        <w:tc>
          <w:tcPr>
            <w:tcW w:w="1304" w:type="dxa"/>
            <w:noWrap/>
            <w:hideMark/>
          </w:tcPr>
          <w:p w14:paraId="7779BA5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5,72 per cent</w:t>
            </w:r>
          </w:p>
        </w:tc>
      </w:tr>
      <w:tr w:rsidR="00257116" w:rsidRPr="00F97759" w14:paraId="67E890F1" w14:textId="77777777" w:rsidTr="009F5447">
        <w:trPr>
          <w:trHeight w:val="450"/>
        </w:trPr>
        <w:tc>
          <w:tcPr>
            <w:tcW w:w="2235" w:type="dxa"/>
            <w:hideMark/>
          </w:tcPr>
          <w:p w14:paraId="26D8742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5: Internal Audit and Risk Management</w:t>
            </w:r>
          </w:p>
        </w:tc>
        <w:tc>
          <w:tcPr>
            <w:tcW w:w="1027" w:type="dxa"/>
            <w:noWrap/>
            <w:hideMark/>
          </w:tcPr>
          <w:p w14:paraId="58EBBFC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16,5</w:t>
            </w:r>
          </w:p>
        </w:tc>
        <w:tc>
          <w:tcPr>
            <w:tcW w:w="1027" w:type="dxa"/>
            <w:noWrap/>
            <w:hideMark/>
          </w:tcPr>
          <w:p w14:paraId="6729DC9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13,6</w:t>
            </w:r>
          </w:p>
        </w:tc>
        <w:tc>
          <w:tcPr>
            <w:tcW w:w="1117" w:type="dxa"/>
            <w:noWrap/>
            <w:hideMark/>
          </w:tcPr>
          <w:p w14:paraId="4C003A6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2,9</w:t>
            </w:r>
          </w:p>
        </w:tc>
        <w:tc>
          <w:tcPr>
            <w:tcW w:w="1002" w:type="dxa"/>
            <w:noWrap/>
            <w:hideMark/>
          </w:tcPr>
          <w:p w14:paraId="3FCDB8C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3,6</w:t>
            </w:r>
          </w:p>
        </w:tc>
        <w:tc>
          <w:tcPr>
            <w:tcW w:w="1304" w:type="dxa"/>
            <w:noWrap/>
            <w:hideMark/>
          </w:tcPr>
          <w:p w14:paraId="5236234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-17,58 per cent</w:t>
            </w:r>
          </w:p>
        </w:tc>
        <w:tc>
          <w:tcPr>
            <w:tcW w:w="1304" w:type="dxa"/>
            <w:noWrap/>
            <w:hideMark/>
          </w:tcPr>
          <w:p w14:paraId="01F3253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-21,87 per cent</w:t>
            </w:r>
          </w:p>
        </w:tc>
      </w:tr>
      <w:tr w:rsidR="00257116" w:rsidRPr="00F97759" w14:paraId="3225A543" w14:textId="77777777" w:rsidTr="009F5447">
        <w:trPr>
          <w:trHeight w:val="450"/>
        </w:trPr>
        <w:tc>
          <w:tcPr>
            <w:tcW w:w="2235" w:type="dxa"/>
            <w:hideMark/>
          </w:tcPr>
          <w:p w14:paraId="600D4A1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6: Office Accommodation</w:t>
            </w:r>
          </w:p>
        </w:tc>
        <w:tc>
          <w:tcPr>
            <w:tcW w:w="1027" w:type="dxa"/>
            <w:noWrap/>
            <w:hideMark/>
          </w:tcPr>
          <w:p w14:paraId="78E02B5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41,6</w:t>
            </w:r>
          </w:p>
        </w:tc>
        <w:tc>
          <w:tcPr>
            <w:tcW w:w="1027" w:type="dxa"/>
            <w:noWrap/>
            <w:hideMark/>
          </w:tcPr>
          <w:p w14:paraId="4AEBCAC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43,0</w:t>
            </w:r>
          </w:p>
        </w:tc>
        <w:tc>
          <w:tcPr>
            <w:tcW w:w="1117" w:type="dxa"/>
            <w:noWrap/>
            <w:hideMark/>
          </w:tcPr>
          <w:p w14:paraId="52CE044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1,4</w:t>
            </w:r>
          </w:p>
        </w:tc>
        <w:tc>
          <w:tcPr>
            <w:tcW w:w="1002" w:type="dxa"/>
            <w:noWrap/>
            <w:hideMark/>
          </w:tcPr>
          <w:p w14:paraId="44874AD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0,8</w:t>
            </w:r>
          </w:p>
        </w:tc>
        <w:tc>
          <w:tcPr>
            <w:tcW w:w="1304" w:type="dxa"/>
            <w:noWrap/>
            <w:hideMark/>
          </w:tcPr>
          <w:p w14:paraId="15502B8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3,37 per cent</w:t>
            </w:r>
          </w:p>
        </w:tc>
        <w:tc>
          <w:tcPr>
            <w:tcW w:w="1304" w:type="dxa"/>
            <w:noWrap/>
            <w:hideMark/>
          </w:tcPr>
          <w:p w14:paraId="3FA182D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-2,02 per cent</w:t>
            </w:r>
          </w:p>
        </w:tc>
      </w:tr>
      <w:tr w:rsidR="00257116" w:rsidRPr="00F97759" w14:paraId="1543B6A2" w14:textId="77777777" w:rsidTr="009F5447">
        <w:trPr>
          <w:trHeight w:val="270"/>
        </w:trPr>
        <w:tc>
          <w:tcPr>
            <w:tcW w:w="2235" w:type="dxa"/>
            <w:noWrap/>
            <w:hideMark/>
          </w:tcPr>
          <w:p w14:paraId="6941BA6D"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1027" w:type="dxa"/>
            <w:noWrap/>
            <w:hideMark/>
          </w:tcPr>
          <w:p w14:paraId="1999E58E"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244,4</w:t>
            </w:r>
          </w:p>
        </w:tc>
        <w:tc>
          <w:tcPr>
            <w:tcW w:w="1027" w:type="dxa"/>
            <w:noWrap/>
            <w:hideMark/>
          </w:tcPr>
          <w:p w14:paraId="40083906"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258,5</w:t>
            </w:r>
          </w:p>
        </w:tc>
        <w:tc>
          <w:tcPr>
            <w:tcW w:w="1117" w:type="dxa"/>
            <w:noWrap/>
            <w:hideMark/>
          </w:tcPr>
          <w:p w14:paraId="16807D1D"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14,1</w:t>
            </w:r>
          </w:p>
        </w:tc>
        <w:tc>
          <w:tcPr>
            <w:tcW w:w="1002" w:type="dxa"/>
            <w:noWrap/>
            <w:hideMark/>
          </w:tcPr>
          <w:p w14:paraId="5A4C8485"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0,6</w:t>
            </w:r>
          </w:p>
        </w:tc>
        <w:tc>
          <w:tcPr>
            <w:tcW w:w="1304" w:type="dxa"/>
            <w:noWrap/>
            <w:hideMark/>
          </w:tcPr>
          <w:p w14:paraId="4484CAFE"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5,77 per cent</w:t>
            </w:r>
          </w:p>
        </w:tc>
        <w:tc>
          <w:tcPr>
            <w:tcW w:w="1304" w:type="dxa"/>
            <w:noWrap/>
            <w:hideMark/>
          </w:tcPr>
          <w:p w14:paraId="356C4299"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0,26 per cent</w:t>
            </w:r>
          </w:p>
        </w:tc>
      </w:tr>
    </w:tbl>
    <w:p w14:paraId="61C23087" w14:textId="77777777" w:rsidR="00B8617D" w:rsidRPr="00F97759" w:rsidRDefault="00B8617D" w:rsidP="00F97759">
      <w:pPr>
        <w:tabs>
          <w:tab w:val="left" w:pos="1152"/>
        </w:tabs>
        <w:spacing w:line="360" w:lineRule="auto"/>
        <w:rPr>
          <w:rFonts w:ascii="Times New Roman" w:hAnsi="Times New Roman" w:cs="Times New Roman"/>
          <w:sz w:val="24"/>
          <w:szCs w:val="24"/>
        </w:rPr>
      </w:pPr>
    </w:p>
    <w:p w14:paraId="71CC966A" w14:textId="77777777" w:rsidR="00257116" w:rsidRPr="00F97759" w:rsidRDefault="00257116" w:rsidP="00F97759">
      <w:pPr>
        <w:tabs>
          <w:tab w:val="left" w:pos="1152"/>
        </w:tabs>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As the Table above indicates, the allocation to Programme 1: Administration, which provides strategic leadership, management and support services to the Department, increases by 0.6 percent. Accounting for this increase, as the Graph below indicates, are sub-programmes 1, 3 and 4, which receive real increases of R1.2 million, R2.7 million, and R2.1 million respectively. There are no significant issues raised in respect of this Programme. </w:t>
      </w:r>
    </w:p>
    <w:p w14:paraId="50B34583" w14:textId="77777777" w:rsidR="00257116" w:rsidRPr="00F97759" w:rsidRDefault="00257116" w:rsidP="00F97759">
      <w:pPr>
        <w:tabs>
          <w:tab w:val="left" w:pos="1712"/>
        </w:tabs>
        <w:spacing w:line="360" w:lineRule="auto"/>
        <w:rPr>
          <w:rFonts w:ascii="Times New Roman" w:hAnsi="Times New Roman" w:cs="Times New Roman"/>
          <w:sz w:val="24"/>
          <w:szCs w:val="24"/>
        </w:rPr>
      </w:pPr>
    </w:p>
    <w:p w14:paraId="087E86BD"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7903B375"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1E08958E"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4A5E1A6A"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17282655"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7A534BD7"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68916373" w14:textId="77777777" w:rsidR="00257116" w:rsidRPr="00F97759" w:rsidRDefault="00F97759" w:rsidP="00F97759">
      <w:pPr>
        <w:tabs>
          <w:tab w:val="left" w:pos="1152"/>
        </w:tabs>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lastRenderedPageBreak/>
        <w:drawing>
          <wp:anchor distT="0" distB="0" distL="114300" distR="114300" simplePos="0" relativeHeight="251675648" behindDoc="0" locked="0" layoutInCell="1" allowOverlap="1" wp14:anchorId="70A4F41A" wp14:editId="033577D2">
            <wp:simplePos x="0" y="0"/>
            <wp:positionH relativeFrom="margin">
              <wp:posOffset>73660</wp:posOffset>
            </wp:positionH>
            <wp:positionV relativeFrom="paragraph">
              <wp:posOffset>3175</wp:posOffset>
            </wp:positionV>
            <wp:extent cx="5731510" cy="3382645"/>
            <wp:effectExtent l="0" t="0" r="2540" b="825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CA125CB" w14:textId="77777777" w:rsidR="00B8617D" w:rsidRPr="00F97759" w:rsidRDefault="00B8617D" w:rsidP="00F97759">
      <w:pPr>
        <w:tabs>
          <w:tab w:val="left" w:pos="1152"/>
        </w:tabs>
        <w:spacing w:line="360" w:lineRule="auto"/>
        <w:rPr>
          <w:rFonts w:ascii="Times New Roman" w:hAnsi="Times New Roman" w:cs="Times New Roman"/>
          <w:sz w:val="24"/>
          <w:szCs w:val="24"/>
        </w:rPr>
      </w:pPr>
    </w:p>
    <w:p w14:paraId="3D33AF9E" w14:textId="77777777" w:rsidR="00B8617D" w:rsidRPr="00F97759" w:rsidRDefault="00B8617D" w:rsidP="00F97759">
      <w:pPr>
        <w:tabs>
          <w:tab w:val="left" w:pos="1152"/>
        </w:tabs>
        <w:spacing w:line="360" w:lineRule="auto"/>
        <w:rPr>
          <w:rFonts w:ascii="Times New Roman" w:hAnsi="Times New Roman" w:cs="Times New Roman"/>
          <w:sz w:val="24"/>
          <w:szCs w:val="24"/>
        </w:rPr>
      </w:pPr>
    </w:p>
    <w:p w14:paraId="02E51632" w14:textId="77777777" w:rsidR="00B8617D" w:rsidRPr="00F97759" w:rsidRDefault="00B8617D" w:rsidP="00F97759">
      <w:pPr>
        <w:tabs>
          <w:tab w:val="left" w:pos="1152"/>
        </w:tabs>
        <w:spacing w:line="360" w:lineRule="auto"/>
        <w:rPr>
          <w:rFonts w:ascii="Times New Roman" w:hAnsi="Times New Roman" w:cs="Times New Roman"/>
          <w:sz w:val="24"/>
          <w:szCs w:val="24"/>
        </w:rPr>
      </w:pPr>
    </w:p>
    <w:p w14:paraId="29912ED1" w14:textId="77777777" w:rsidR="00B8617D" w:rsidRPr="00F97759" w:rsidRDefault="00B8617D" w:rsidP="00F97759">
      <w:pPr>
        <w:tabs>
          <w:tab w:val="left" w:pos="1152"/>
        </w:tabs>
        <w:spacing w:line="360" w:lineRule="auto"/>
        <w:rPr>
          <w:rFonts w:ascii="Times New Roman" w:hAnsi="Times New Roman" w:cs="Times New Roman"/>
          <w:sz w:val="24"/>
          <w:szCs w:val="24"/>
        </w:rPr>
      </w:pPr>
    </w:p>
    <w:p w14:paraId="41BDD9AD" w14:textId="77777777" w:rsidR="00B8617D" w:rsidRPr="00F97759" w:rsidRDefault="00B8617D" w:rsidP="00F97759">
      <w:pPr>
        <w:tabs>
          <w:tab w:val="left" w:pos="1152"/>
        </w:tabs>
        <w:spacing w:line="360" w:lineRule="auto"/>
        <w:rPr>
          <w:rFonts w:ascii="Times New Roman" w:hAnsi="Times New Roman" w:cs="Times New Roman"/>
          <w:sz w:val="24"/>
          <w:szCs w:val="24"/>
        </w:rPr>
      </w:pPr>
    </w:p>
    <w:p w14:paraId="2B5492D9" w14:textId="77777777" w:rsidR="001D67A0" w:rsidRPr="00F97759" w:rsidRDefault="001D67A0" w:rsidP="00F97759">
      <w:pPr>
        <w:tabs>
          <w:tab w:val="left" w:pos="1152"/>
        </w:tabs>
        <w:spacing w:line="360" w:lineRule="auto"/>
        <w:rPr>
          <w:rFonts w:ascii="Times New Roman" w:hAnsi="Times New Roman" w:cs="Times New Roman"/>
          <w:sz w:val="24"/>
          <w:szCs w:val="24"/>
        </w:rPr>
      </w:pPr>
    </w:p>
    <w:p w14:paraId="66924FDE" w14:textId="77777777" w:rsidR="001D67A0" w:rsidRDefault="001D67A0" w:rsidP="00F97759">
      <w:pPr>
        <w:tabs>
          <w:tab w:val="left" w:pos="1152"/>
        </w:tabs>
        <w:spacing w:line="360" w:lineRule="auto"/>
        <w:rPr>
          <w:rFonts w:ascii="Times New Roman" w:hAnsi="Times New Roman" w:cs="Times New Roman"/>
          <w:sz w:val="24"/>
          <w:szCs w:val="24"/>
        </w:rPr>
      </w:pPr>
    </w:p>
    <w:p w14:paraId="160EEAF7" w14:textId="77777777" w:rsidR="00F97759" w:rsidRDefault="00F97759" w:rsidP="00F97759">
      <w:pPr>
        <w:tabs>
          <w:tab w:val="left" w:pos="1152"/>
        </w:tabs>
        <w:spacing w:line="360" w:lineRule="auto"/>
        <w:rPr>
          <w:rFonts w:ascii="Times New Roman" w:hAnsi="Times New Roman" w:cs="Times New Roman"/>
          <w:sz w:val="24"/>
          <w:szCs w:val="24"/>
        </w:rPr>
      </w:pPr>
    </w:p>
    <w:p w14:paraId="5558CE1C" w14:textId="77777777" w:rsidR="00F97759" w:rsidRDefault="00F97759" w:rsidP="00F97759">
      <w:pPr>
        <w:tabs>
          <w:tab w:val="left" w:pos="1152"/>
        </w:tabs>
        <w:spacing w:line="360" w:lineRule="auto"/>
        <w:rPr>
          <w:rFonts w:ascii="Times New Roman" w:hAnsi="Times New Roman" w:cs="Times New Roman"/>
          <w:sz w:val="24"/>
          <w:szCs w:val="24"/>
        </w:rPr>
      </w:pPr>
    </w:p>
    <w:p w14:paraId="4AE7F3D8" w14:textId="77777777" w:rsidR="00F97759" w:rsidRDefault="00F97759" w:rsidP="00F97759">
      <w:pPr>
        <w:tabs>
          <w:tab w:val="left" w:pos="1152"/>
        </w:tabs>
        <w:spacing w:line="360" w:lineRule="auto"/>
        <w:rPr>
          <w:rFonts w:ascii="Times New Roman" w:hAnsi="Times New Roman" w:cs="Times New Roman"/>
          <w:sz w:val="24"/>
          <w:szCs w:val="24"/>
        </w:rPr>
      </w:pPr>
    </w:p>
    <w:p w14:paraId="3F827FFC" w14:textId="77777777" w:rsidR="00F97759" w:rsidRDefault="00F97759" w:rsidP="00F97759">
      <w:pPr>
        <w:tabs>
          <w:tab w:val="left" w:pos="1152"/>
        </w:tabs>
        <w:spacing w:line="360" w:lineRule="auto"/>
        <w:rPr>
          <w:rFonts w:ascii="Times New Roman" w:hAnsi="Times New Roman" w:cs="Times New Roman"/>
          <w:sz w:val="24"/>
          <w:szCs w:val="24"/>
        </w:rPr>
      </w:pPr>
    </w:p>
    <w:p w14:paraId="0C74AA36" w14:textId="77777777" w:rsidR="00F97759" w:rsidRDefault="00F97759" w:rsidP="00F97759">
      <w:pPr>
        <w:tabs>
          <w:tab w:val="left" w:pos="1152"/>
        </w:tabs>
        <w:spacing w:line="360" w:lineRule="auto"/>
        <w:rPr>
          <w:rFonts w:ascii="Times New Roman" w:hAnsi="Times New Roman" w:cs="Times New Roman"/>
          <w:sz w:val="24"/>
          <w:szCs w:val="24"/>
        </w:rPr>
      </w:pPr>
    </w:p>
    <w:p w14:paraId="72B28DEA" w14:textId="77777777" w:rsidR="00F97759" w:rsidRDefault="00F97759" w:rsidP="00F97759">
      <w:pPr>
        <w:tabs>
          <w:tab w:val="left" w:pos="1152"/>
        </w:tabs>
        <w:spacing w:line="360" w:lineRule="auto"/>
        <w:rPr>
          <w:rFonts w:ascii="Times New Roman" w:hAnsi="Times New Roman" w:cs="Times New Roman"/>
          <w:sz w:val="24"/>
          <w:szCs w:val="24"/>
        </w:rPr>
      </w:pPr>
    </w:p>
    <w:p w14:paraId="46FB41F8" w14:textId="77777777" w:rsidR="00257116" w:rsidRPr="00F97759" w:rsidRDefault="00624DC0" w:rsidP="00F97759">
      <w:pPr>
        <w:keepNext/>
        <w:keepLines/>
        <w:spacing w:before="40" w:line="360" w:lineRule="auto"/>
        <w:ind w:left="792"/>
        <w:outlineLvl w:val="1"/>
        <w:rPr>
          <w:rFonts w:ascii="Times New Roman" w:eastAsiaTheme="majorEastAsia" w:hAnsi="Times New Roman" w:cs="Times New Roman"/>
          <w:b/>
          <w:sz w:val="24"/>
          <w:szCs w:val="24"/>
        </w:rPr>
      </w:pPr>
      <w:bookmarkStart w:id="5" w:name="_Toc509840532"/>
      <w:r w:rsidRPr="00F97759">
        <w:rPr>
          <w:rFonts w:ascii="Times New Roman" w:eastAsiaTheme="majorEastAsia" w:hAnsi="Times New Roman" w:cs="Times New Roman"/>
          <w:b/>
          <w:sz w:val="24"/>
          <w:szCs w:val="24"/>
        </w:rPr>
        <w:t>2.3.2 Programme</w:t>
      </w:r>
      <w:r w:rsidR="00257116" w:rsidRPr="00F97759">
        <w:rPr>
          <w:rFonts w:ascii="Times New Roman" w:eastAsiaTheme="majorEastAsia" w:hAnsi="Times New Roman" w:cs="Times New Roman"/>
          <w:b/>
          <w:sz w:val="24"/>
          <w:szCs w:val="24"/>
        </w:rPr>
        <w:t xml:space="preserve"> 2: Regional and Urban Development and Legislative Support</w:t>
      </w:r>
      <w:bookmarkEnd w:id="5"/>
    </w:p>
    <w:p w14:paraId="301E9997" w14:textId="77777777" w:rsidR="00257116" w:rsidRPr="00F97759" w:rsidRDefault="00257116" w:rsidP="00F97759">
      <w:pPr>
        <w:spacing w:line="360" w:lineRule="auto"/>
        <w:ind w:firstLine="720"/>
        <w:rPr>
          <w:rFonts w:ascii="Times New Roman" w:hAnsi="Times New Roman" w:cs="Times New Roman"/>
          <w:sz w:val="24"/>
          <w:szCs w:val="24"/>
        </w:rPr>
      </w:pPr>
    </w:p>
    <w:tbl>
      <w:tblPr>
        <w:tblStyle w:val="TableGrid4"/>
        <w:tblW w:w="9016" w:type="dxa"/>
        <w:tblLook w:val="04A0" w:firstRow="1" w:lastRow="0" w:firstColumn="1" w:lastColumn="0" w:noHBand="0" w:noVBand="1"/>
      </w:tblPr>
      <w:tblGrid>
        <w:gridCol w:w="2285"/>
        <w:gridCol w:w="1003"/>
        <w:gridCol w:w="1003"/>
        <w:gridCol w:w="1140"/>
        <w:gridCol w:w="987"/>
        <w:gridCol w:w="1332"/>
        <w:gridCol w:w="1332"/>
      </w:tblGrid>
      <w:tr w:rsidR="00257116" w:rsidRPr="00F97759" w14:paraId="429CEF8C" w14:textId="77777777" w:rsidTr="00F97759">
        <w:trPr>
          <w:trHeight w:val="780"/>
        </w:trPr>
        <w:tc>
          <w:tcPr>
            <w:tcW w:w="2285" w:type="dxa"/>
            <w:noWrap/>
            <w:hideMark/>
          </w:tcPr>
          <w:p w14:paraId="20F70F2C"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Sub-Programme</w:t>
            </w:r>
          </w:p>
        </w:tc>
        <w:tc>
          <w:tcPr>
            <w:tcW w:w="1940" w:type="dxa"/>
            <w:gridSpan w:val="2"/>
            <w:hideMark/>
          </w:tcPr>
          <w:p w14:paraId="410DD23E"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40" w:type="dxa"/>
            <w:hideMark/>
          </w:tcPr>
          <w:p w14:paraId="4A476466"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987" w:type="dxa"/>
            <w:hideMark/>
          </w:tcPr>
          <w:p w14:paraId="2FE368A9"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32" w:type="dxa"/>
            <w:hideMark/>
          </w:tcPr>
          <w:p w14:paraId="4232D96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32" w:type="dxa"/>
            <w:hideMark/>
          </w:tcPr>
          <w:p w14:paraId="33CC6073"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257116" w:rsidRPr="00F97759" w14:paraId="3483020E" w14:textId="77777777" w:rsidTr="00F97759">
        <w:trPr>
          <w:trHeight w:val="255"/>
        </w:trPr>
        <w:tc>
          <w:tcPr>
            <w:tcW w:w="2285" w:type="dxa"/>
            <w:noWrap/>
            <w:hideMark/>
          </w:tcPr>
          <w:p w14:paraId="199EAA8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970" w:type="dxa"/>
            <w:noWrap/>
            <w:hideMark/>
          </w:tcPr>
          <w:p w14:paraId="77018AC8"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970" w:type="dxa"/>
            <w:noWrap/>
            <w:hideMark/>
          </w:tcPr>
          <w:p w14:paraId="11361744"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127" w:type="dxa"/>
            <w:gridSpan w:val="2"/>
            <w:noWrap/>
            <w:hideMark/>
          </w:tcPr>
          <w:p w14:paraId="632741E0"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664" w:type="dxa"/>
            <w:gridSpan w:val="2"/>
            <w:noWrap/>
            <w:hideMark/>
          </w:tcPr>
          <w:p w14:paraId="741714B9"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257116" w:rsidRPr="00F97759" w14:paraId="7C4D0FD8" w14:textId="77777777" w:rsidTr="00F97759">
        <w:trPr>
          <w:trHeight w:val="900"/>
        </w:trPr>
        <w:tc>
          <w:tcPr>
            <w:tcW w:w="2285" w:type="dxa"/>
            <w:hideMark/>
          </w:tcPr>
          <w:p w14:paraId="20F2AEE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 Management: Regional and Urban Development and Legislative Support</w:t>
            </w:r>
          </w:p>
        </w:tc>
        <w:tc>
          <w:tcPr>
            <w:tcW w:w="970" w:type="dxa"/>
            <w:noWrap/>
            <w:hideMark/>
          </w:tcPr>
          <w:p w14:paraId="192B8E6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1,5</w:t>
            </w:r>
          </w:p>
        </w:tc>
        <w:tc>
          <w:tcPr>
            <w:tcW w:w="970" w:type="dxa"/>
            <w:noWrap/>
            <w:hideMark/>
          </w:tcPr>
          <w:p w14:paraId="37030D1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3,4</w:t>
            </w:r>
          </w:p>
        </w:tc>
        <w:tc>
          <w:tcPr>
            <w:tcW w:w="1140" w:type="dxa"/>
            <w:noWrap/>
            <w:hideMark/>
          </w:tcPr>
          <w:p w14:paraId="0B1AE98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1,9</w:t>
            </w:r>
          </w:p>
        </w:tc>
        <w:tc>
          <w:tcPr>
            <w:tcW w:w="987" w:type="dxa"/>
            <w:noWrap/>
            <w:hideMark/>
          </w:tcPr>
          <w:p w14:paraId="227CB6C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1,7</w:t>
            </w:r>
          </w:p>
        </w:tc>
        <w:tc>
          <w:tcPr>
            <w:tcW w:w="1332" w:type="dxa"/>
            <w:noWrap/>
            <w:hideMark/>
          </w:tcPr>
          <w:p w14:paraId="257CE3F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126,67 per cent</w:t>
            </w:r>
          </w:p>
        </w:tc>
        <w:tc>
          <w:tcPr>
            <w:tcW w:w="1332" w:type="dxa"/>
            <w:noWrap/>
            <w:hideMark/>
          </w:tcPr>
          <w:p w14:paraId="4342FF6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114,85 per cent</w:t>
            </w:r>
          </w:p>
        </w:tc>
      </w:tr>
      <w:tr w:rsidR="00257116" w:rsidRPr="00F97759" w14:paraId="52282C0E" w14:textId="77777777" w:rsidTr="00F97759">
        <w:trPr>
          <w:trHeight w:val="900"/>
        </w:trPr>
        <w:tc>
          <w:tcPr>
            <w:tcW w:w="2285" w:type="dxa"/>
            <w:hideMark/>
          </w:tcPr>
          <w:p w14:paraId="3365D43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2: Local Government Legislative Support and Institutional Establishment</w:t>
            </w:r>
          </w:p>
        </w:tc>
        <w:tc>
          <w:tcPr>
            <w:tcW w:w="970" w:type="dxa"/>
            <w:noWrap/>
            <w:hideMark/>
          </w:tcPr>
          <w:p w14:paraId="648B40D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3,4</w:t>
            </w:r>
          </w:p>
        </w:tc>
        <w:tc>
          <w:tcPr>
            <w:tcW w:w="970" w:type="dxa"/>
            <w:noWrap/>
            <w:hideMark/>
          </w:tcPr>
          <w:p w14:paraId="4D43191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6,3</w:t>
            </w:r>
          </w:p>
        </w:tc>
        <w:tc>
          <w:tcPr>
            <w:tcW w:w="1140" w:type="dxa"/>
            <w:noWrap/>
            <w:hideMark/>
          </w:tcPr>
          <w:p w14:paraId="2225C4B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2,9</w:t>
            </w:r>
          </w:p>
        </w:tc>
        <w:tc>
          <w:tcPr>
            <w:tcW w:w="987" w:type="dxa"/>
            <w:noWrap/>
            <w:hideMark/>
          </w:tcPr>
          <w:p w14:paraId="1DF99AD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w:t>
            </w:r>
          </w:p>
        </w:tc>
        <w:tc>
          <w:tcPr>
            <w:tcW w:w="1332" w:type="dxa"/>
            <w:noWrap/>
            <w:hideMark/>
          </w:tcPr>
          <w:p w14:paraId="0BB71B6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85,29 per cent</w:t>
            </w:r>
          </w:p>
        </w:tc>
        <w:tc>
          <w:tcPr>
            <w:tcW w:w="1332" w:type="dxa"/>
            <w:noWrap/>
            <w:hideMark/>
          </w:tcPr>
          <w:p w14:paraId="0AA40A3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75,63 per cent</w:t>
            </w:r>
          </w:p>
        </w:tc>
      </w:tr>
      <w:tr w:rsidR="00257116" w:rsidRPr="00F97759" w14:paraId="4C6D4BC9" w14:textId="77777777" w:rsidTr="00F97759">
        <w:trPr>
          <w:trHeight w:val="450"/>
        </w:trPr>
        <w:tc>
          <w:tcPr>
            <w:tcW w:w="2285" w:type="dxa"/>
            <w:hideMark/>
          </w:tcPr>
          <w:p w14:paraId="6A2EF3A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3: Urban Development Planning</w:t>
            </w:r>
          </w:p>
        </w:tc>
        <w:tc>
          <w:tcPr>
            <w:tcW w:w="970" w:type="dxa"/>
            <w:noWrap/>
            <w:hideMark/>
          </w:tcPr>
          <w:p w14:paraId="2645E3A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18,5</w:t>
            </w:r>
          </w:p>
        </w:tc>
        <w:tc>
          <w:tcPr>
            <w:tcW w:w="970" w:type="dxa"/>
            <w:noWrap/>
            <w:hideMark/>
          </w:tcPr>
          <w:p w14:paraId="623A2D1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10,6</w:t>
            </w:r>
          </w:p>
        </w:tc>
        <w:tc>
          <w:tcPr>
            <w:tcW w:w="1140" w:type="dxa"/>
            <w:noWrap/>
            <w:hideMark/>
          </w:tcPr>
          <w:p w14:paraId="6CDFCB0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7,9</w:t>
            </w:r>
          </w:p>
        </w:tc>
        <w:tc>
          <w:tcPr>
            <w:tcW w:w="987" w:type="dxa"/>
            <w:noWrap/>
            <w:hideMark/>
          </w:tcPr>
          <w:p w14:paraId="607BB96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8,5</w:t>
            </w:r>
          </w:p>
        </w:tc>
        <w:tc>
          <w:tcPr>
            <w:tcW w:w="1332" w:type="dxa"/>
            <w:noWrap/>
            <w:hideMark/>
          </w:tcPr>
          <w:p w14:paraId="0585A9A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-42,70 per cent</w:t>
            </w:r>
          </w:p>
        </w:tc>
        <w:tc>
          <w:tcPr>
            <w:tcW w:w="1332" w:type="dxa"/>
            <w:noWrap/>
            <w:hideMark/>
          </w:tcPr>
          <w:p w14:paraId="73CAF6D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-45,69 per cent</w:t>
            </w:r>
          </w:p>
        </w:tc>
      </w:tr>
      <w:tr w:rsidR="00257116" w:rsidRPr="00F97759" w14:paraId="32D0E24E" w14:textId="77777777" w:rsidTr="00F97759">
        <w:trPr>
          <w:trHeight w:val="450"/>
        </w:trPr>
        <w:tc>
          <w:tcPr>
            <w:tcW w:w="2285" w:type="dxa"/>
            <w:hideMark/>
          </w:tcPr>
          <w:p w14:paraId="18012D3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Sub-Programme 4: Spatial Planning Districts and Regions</w:t>
            </w:r>
          </w:p>
        </w:tc>
        <w:tc>
          <w:tcPr>
            <w:tcW w:w="970" w:type="dxa"/>
            <w:noWrap/>
            <w:hideMark/>
          </w:tcPr>
          <w:p w14:paraId="003096F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12,4</w:t>
            </w:r>
          </w:p>
        </w:tc>
        <w:tc>
          <w:tcPr>
            <w:tcW w:w="970" w:type="dxa"/>
            <w:noWrap/>
            <w:hideMark/>
          </w:tcPr>
          <w:p w14:paraId="631C182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11,5</w:t>
            </w:r>
          </w:p>
        </w:tc>
        <w:tc>
          <w:tcPr>
            <w:tcW w:w="1140" w:type="dxa"/>
            <w:noWrap/>
            <w:hideMark/>
          </w:tcPr>
          <w:p w14:paraId="47D6B61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0,9</w:t>
            </w:r>
          </w:p>
        </w:tc>
        <w:tc>
          <w:tcPr>
            <w:tcW w:w="987" w:type="dxa"/>
            <w:noWrap/>
            <w:hideMark/>
          </w:tcPr>
          <w:p w14:paraId="1315054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1,5</w:t>
            </w:r>
          </w:p>
        </w:tc>
        <w:tc>
          <w:tcPr>
            <w:tcW w:w="1332" w:type="dxa"/>
            <w:noWrap/>
            <w:hideMark/>
          </w:tcPr>
          <w:p w14:paraId="2879062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-7,26 per cent</w:t>
            </w:r>
          </w:p>
        </w:tc>
        <w:tc>
          <w:tcPr>
            <w:tcW w:w="1332" w:type="dxa"/>
            <w:noWrap/>
            <w:hideMark/>
          </w:tcPr>
          <w:p w14:paraId="45ED11C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-12,09 per cent</w:t>
            </w:r>
          </w:p>
        </w:tc>
      </w:tr>
      <w:tr w:rsidR="00257116" w:rsidRPr="00F97759" w14:paraId="2905C953" w14:textId="77777777" w:rsidTr="00F97759">
        <w:trPr>
          <w:trHeight w:val="675"/>
        </w:trPr>
        <w:tc>
          <w:tcPr>
            <w:tcW w:w="2285" w:type="dxa"/>
            <w:hideMark/>
          </w:tcPr>
          <w:p w14:paraId="1286955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5: Intergovernmental Policy and Practice</w:t>
            </w:r>
          </w:p>
        </w:tc>
        <w:tc>
          <w:tcPr>
            <w:tcW w:w="970" w:type="dxa"/>
            <w:noWrap/>
            <w:hideMark/>
          </w:tcPr>
          <w:p w14:paraId="501BFDA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8,3</w:t>
            </w:r>
          </w:p>
        </w:tc>
        <w:tc>
          <w:tcPr>
            <w:tcW w:w="970" w:type="dxa"/>
            <w:noWrap/>
            <w:hideMark/>
          </w:tcPr>
          <w:p w14:paraId="5CDDC6D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10,7</w:t>
            </w:r>
          </w:p>
        </w:tc>
        <w:tc>
          <w:tcPr>
            <w:tcW w:w="1140" w:type="dxa"/>
            <w:noWrap/>
            <w:hideMark/>
          </w:tcPr>
          <w:p w14:paraId="4322905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2,4</w:t>
            </w:r>
          </w:p>
        </w:tc>
        <w:tc>
          <w:tcPr>
            <w:tcW w:w="987" w:type="dxa"/>
            <w:noWrap/>
            <w:hideMark/>
          </w:tcPr>
          <w:p w14:paraId="2007DF6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1,8</w:t>
            </w:r>
          </w:p>
        </w:tc>
        <w:tc>
          <w:tcPr>
            <w:tcW w:w="1332" w:type="dxa"/>
            <w:noWrap/>
            <w:hideMark/>
          </w:tcPr>
          <w:p w14:paraId="69113F3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28,92 per cent</w:t>
            </w:r>
          </w:p>
        </w:tc>
        <w:tc>
          <w:tcPr>
            <w:tcW w:w="1332" w:type="dxa"/>
            <w:noWrap/>
            <w:hideMark/>
          </w:tcPr>
          <w:p w14:paraId="55B2020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22,19 per cent</w:t>
            </w:r>
          </w:p>
        </w:tc>
      </w:tr>
      <w:tr w:rsidR="00257116" w:rsidRPr="00F97759" w14:paraId="6AE42B26" w14:textId="77777777" w:rsidTr="00F97759">
        <w:trPr>
          <w:trHeight w:val="450"/>
        </w:trPr>
        <w:tc>
          <w:tcPr>
            <w:tcW w:w="2285" w:type="dxa"/>
            <w:hideMark/>
          </w:tcPr>
          <w:p w14:paraId="5E0940C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6: Municipal Demarcation Transition Grant</w:t>
            </w:r>
          </w:p>
        </w:tc>
        <w:tc>
          <w:tcPr>
            <w:tcW w:w="970" w:type="dxa"/>
            <w:noWrap/>
            <w:hideMark/>
          </w:tcPr>
          <w:p w14:paraId="2406108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139,7</w:t>
            </w:r>
          </w:p>
        </w:tc>
        <w:tc>
          <w:tcPr>
            <w:tcW w:w="970" w:type="dxa"/>
            <w:noWrap/>
            <w:hideMark/>
          </w:tcPr>
          <w:p w14:paraId="17B4811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140" w:type="dxa"/>
            <w:noWrap/>
            <w:hideMark/>
          </w:tcPr>
          <w:p w14:paraId="02C8B00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139,7</w:t>
            </w:r>
          </w:p>
        </w:tc>
        <w:tc>
          <w:tcPr>
            <w:tcW w:w="987" w:type="dxa"/>
            <w:noWrap/>
            <w:hideMark/>
          </w:tcPr>
          <w:p w14:paraId="681625F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1332" w:type="dxa"/>
            <w:noWrap/>
            <w:hideMark/>
          </w:tcPr>
          <w:p w14:paraId="34BAF5E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-100,00 per cent</w:t>
            </w:r>
          </w:p>
        </w:tc>
        <w:tc>
          <w:tcPr>
            <w:tcW w:w="1332" w:type="dxa"/>
            <w:noWrap/>
            <w:hideMark/>
          </w:tcPr>
          <w:p w14:paraId="037998B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r>
      <w:tr w:rsidR="00257116" w:rsidRPr="00F97759" w14:paraId="28090268" w14:textId="77777777" w:rsidTr="00F97759">
        <w:trPr>
          <w:trHeight w:val="450"/>
        </w:trPr>
        <w:tc>
          <w:tcPr>
            <w:tcW w:w="2285" w:type="dxa"/>
            <w:hideMark/>
          </w:tcPr>
          <w:p w14:paraId="4E58310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7: Municipal Demarcation Board</w:t>
            </w:r>
          </w:p>
        </w:tc>
        <w:tc>
          <w:tcPr>
            <w:tcW w:w="970" w:type="dxa"/>
            <w:noWrap/>
            <w:hideMark/>
          </w:tcPr>
          <w:p w14:paraId="285D229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57,6</w:t>
            </w:r>
          </w:p>
        </w:tc>
        <w:tc>
          <w:tcPr>
            <w:tcW w:w="970" w:type="dxa"/>
            <w:noWrap/>
            <w:hideMark/>
          </w:tcPr>
          <w:p w14:paraId="1806022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53,6</w:t>
            </w:r>
          </w:p>
        </w:tc>
        <w:tc>
          <w:tcPr>
            <w:tcW w:w="1140" w:type="dxa"/>
            <w:noWrap/>
            <w:hideMark/>
          </w:tcPr>
          <w:p w14:paraId="398C9A0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4,0</w:t>
            </w:r>
          </w:p>
        </w:tc>
        <w:tc>
          <w:tcPr>
            <w:tcW w:w="987" w:type="dxa"/>
            <w:noWrap/>
            <w:hideMark/>
          </w:tcPr>
          <w:p w14:paraId="61FF04C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6,8</w:t>
            </w:r>
          </w:p>
        </w:tc>
        <w:tc>
          <w:tcPr>
            <w:tcW w:w="1332" w:type="dxa"/>
            <w:noWrap/>
            <w:hideMark/>
          </w:tcPr>
          <w:p w14:paraId="0F66D2C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-6,94 per cent</w:t>
            </w:r>
          </w:p>
        </w:tc>
        <w:tc>
          <w:tcPr>
            <w:tcW w:w="1332" w:type="dxa"/>
            <w:noWrap/>
            <w:hideMark/>
          </w:tcPr>
          <w:p w14:paraId="76B20F7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-11,80 per cent</w:t>
            </w:r>
          </w:p>
        </w:tc>
      </w:tr>
      <w:tr w:rsidR="00257116" w:rsidRPr="00F97759" w14:paraId="37B09D71" w14:textId="77777777" w:rsidTr="00F97759">
        <w:trPr>
          <w:trHeight w:val="450"/>
        </w:trPr>
        <w:tc>
          <w:tcPr>
            <w:tcW w:w="2285" w:type="dxa"/>
            <w:hideMark/>
          </w:tcPr>
          <w:p w14:paraId="7CAE1B1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8: South African Cities Network</w:t>
            </w:r>
          </w:p>
        </w:tc>
        <w:tc>
          <w:tcPr>
            <w:tcW w:w="970" w:type="dxa"/>
            <w:noWrap/>
            <w:hideMark/>
          </w:tcPr>
          <w:p w14:paraId="3E51E38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7,0</w:t>
            </w:r>
          </w:p>
        </w:tc>
        <w:tc>
          <w:tcPr>
            <w:tcW w:w="970" w:type="dxa"/>
            <w:noWrap/>
            <w:hideMark/>
          </w:tcPr>
          <w:p w14:paraId="66925EE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7,4</w:t>
            </w:r>
          </w:p>
        </w:tc>
        <w:tc>
          <w:tcPr>
            <w:tcW w:w="1140" w:type="dxa"/>
            <w:noWrap/>
            <w:hideMark/>
          </w:tcPr>
          <w:p w14:paraId="18507C5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0,4</w:t>
            </w:r>
          </w:p>
        </w:tc>
        <w:tc>
          <w:tcPr>
            <w:tcW w:w="987" w:type="dxa"/>
            <w:noWrap/>
            <w:hideMark/>
          </w:tcPr>
          <w:p w14:paraId="62C00CE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332" w:type="dxa"/>
            <w:noWrap/>
            <w:hideMark/>
          </w:tcPr>
          <w:p w14:paraId="7CBC8D5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5,71 per cent</w:t>
            </w:r>
          </w:p>
        </w:tc>
        <w:tc>
          <w:tcPr>
            <w:tcW w:w="1332" w:type="dxa"/>
            <w:noWrap/>
            <w:hideMark/>
          </w:tcPr>
          <w:p w14:paraId="6887AAC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0,20 per cent</w:t>
            </w:r>
          </w:p>
        </w:tc>
      </w:tr>
      <w:tr w:rsidR="00257116" w:rsidRPr="00F97759" w14:paraId="2214F1C5" w14:textId="77777777" w:rsidTr="00F97759">
        <w:trPr>
          <w:trHeight w:val="270"/>
        </w:trPr>
        <w:tc>
          <w:tcPr>
            <w:tcW w:w="2285" w:type="dxa"/>
            <w:noWrap/>
            <w:hideMark/>
          </w:tcPr>
          <w:p w14:paraId="0D94D484"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970" w:type="dxa"/>
            <w:noWrap/>
            <w:hideMark/>
          </w:tcPr>
          <w:p w14:paraId="21A984FA"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248,4</w:t>
            </w:r>
          </w:p>
        </w:tc>
        <w:tc>
          <w:tcPr>
            <w:tcW w:w="970" w:type="dxa"/>
            <w:noWrap/>
            <w:hideMark/>
          </w:tcPr>
          <w:p w14:paraId="7F5F270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103,5</w:t>
            </w:r>
          </w:p>
        </w:tc>
        <w:tc>
          <w:tcPr>
            <w:tcW w:w="1140" w:type="dxa"/>
            <w:noWrap/>
            <w:hideMark/>
          </w:tcPr>
          <w:p w14:paraId="006A6C28"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144,9</w:t>
            </w:r>
          </w:p>
        </w:tc>
        <w:tc>
          <w:tcPr>
            <w:tcW w:w="987" w:type="dxa"/>
            <w:noWrap/>
            <w:hideMark/>
          </w:tcPr>
          <w:p w14:paraId="0DC3D7D5"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150,3</w:t>
            </w:r>
          </w:p>
        </w:tc>
        <w:tc>
          <w:tcPr>
            <w:tcW w:w="1332" w:type="dxa"/>
            <w:noWrap/>
            <w:hideMark/>
          </w:tcPr>
          <w:p w14:paraId="2D3BBAAE"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-58,33 per cent</w:t>
            </w:r>
          </w:p>
        </w:tc>
        <w:tc>
          <w:tcPr>
            <w:tcW w:w="1332" w:type="dxa"/>
            <w:noWrap/>
            <w:hideMark/>
          </w:tcPr>
          <w:p w14:paraId="6775824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-60,51 per cent</w:t>
            </w:r>
          </w:p>
        </w:tc>
      </w:tr>
    </w:tbl>
    <w:p w14:paraId="188BE54A" w14:textId="77777777" w:rsidR="00257116" w:rsidRPr="00F97759" w:rsidRDefault="00257116" w:rsidP="00F97759">
      <w:pPr>
        <w:spacing w:line="360" w:lineRule="auto"/>
        <w:rPr>
          <w:rFonts w:ascii="Times New Roman" w:hAnsi="Times New Roman" w:cs="Times New Roman"/>
          <w:sz w:val="24"/>
          <w:szCs w:val="24"/>
        </w:rPr>
      </w:pPr>
    </w:p>
    <w:p w14:paraId="49E80FBD"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As the Table above indicates, the allocation to Programme 2: Regional and Urban Development and Legislative Support, decreases by 60.5 percent in real terms. The Programme provides policy analysis towards improving local government and cooperative governance. The Graph below indicates that the decrease in allocation to the Programme mainly relates to the discontinuation of the Municipal Demarcation Transition Grant in sub-programme 6. The Municipal Systems Improvement Grant (sub-programme 9 under Programme 3) will make funds available for the completion of demarcation transition work. However, the 45.6 percent decrease in allocation to sub-programme 3 (Urban Development Planning) and 12 percent decrease in sub-programme 4 (Spatial Planning Districts and Regions) are concerning given Budget 2018’s emphasis on urban renewal and spatial transformation, and on how cities are the heart of the national economy.</w:t>
      </w:r>
    </w:p>
    <w:p w14:paraId="66B0A6EA" w14:textId="77777777" w:rsidR="00257116" w:rsidRPr="00F97759" w:rsidRDefault="00257116" w:rsidP="00F97759">
      <w:pPr>
        <w:spacing w:line="360" w:lineRule="auto"/>
        <w:rPr>
          <w:rFonts w:ascii="Times New Roman" w:hAnsi="Times New Roman" w:cs="Times New Roman"/>
          <w:sz w:val="24"/>
          <w:szCs w:val="24"/>
        </w:rPr>
      </w:pPr>
    </w:p>
    <w:p w14:paraId="2200565F"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77696" behindDoc="0" locked="0" layoutInCell="1" allowOverlap="1" wp14:anchorId="354255D5" wp14:editId="4CE39C1B">
            <wp:simplePos x="0" y="0"/>
            <wp:positionH relativeFrom="column">
              <wp:posOffset>268224</wp:posOffset>
            </wp:positionH>
            <wp:positionV relativeFrom="paragraph">
              <wp:posOffset>7112</wp:posOffset>
            </wp:positionV>
            <wp:extent cx="5778500" cy="3322320"/>
            <wp:effectExtent l="0" t="0" r="12700" b="1143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1FE3B8E" w14:textId="77777777" w:rsidR="00257116" w:rsidRPr="00F97759" w:rsidRDefault="00257116" w:rsidP="00F97759">
      <w:pPr>
        <w:spacing w:line="360" w:lineRule="auto"/>
        <w:rPr>
          <w:rFonts w:ascii="Times New Roman" w:hAnsi="Times New Roman" w:cs="Times New Roman"/>
          <w:sz w:val="24"/>
          <w:szCs w:val="24"/>
        </w:rPr>
      </w:pPr>
    </w:p>
    <w:p w14:paraId="113F5D2D" w14:textId="77777777" w:rsidR="00257116" w:rsidRPr="00F97759" w:rsidRDefault="00257116" w:rsidP="00F97759">
      <w:pPr>
        <w:spacing w:line="360" w:lineRule="auto"/>
        <w:rPr>
          <w:rFonts w:ascii="Times New Roman" w:hAnsi="Times New Roman" w:cs="Times New Roman"/>
          <w:sz w:val="24"/>
          <w:szCs w:val="24"/>
        </w:rPr>
      </w:pPr>
    </w:p>
    <w:p w14:paraId="46E64FBB" w14:textId="77777777" w:rsidR="00257116" w:rsidRPr="00F97759" w:rsidRDefault="00257116" w:rsidP="00F97759">
      <w:pPr>
        <w:spacing w:line="360" w:lineRule="auto"/>
        <w:rPr>
          <w:rFonts w:ascii="Times New Roman" w:hAnsi="Times New Roman" w:cs="Times New Roman"/>
          <w:sz w:val="24"/>
          <w:szCs w:val="24"/>
        </w:rPr>
      </w:pPr>
    </w:p>
    <w:p w14:paraId="0C8D9540" w14:textId="77777777" w:rsidR="00257116" w:rsidRPr="00F97759" w:rsidRDefault="00257116" w:rsidP="00F97759">
      <w:pPr>
        <w:spacing w:line="360" w:lineRule="auto"/>
        <w:rPr>
          <w:rFonts w:ascii="Times New Roman" w:hAnsi="Times New Roman" w:cs="Times New Roman"/>
          <w:sz w:val="24"/>
          <w:szCs w:val="24"/>
        </w:rPr>
      </w:pPr>
    </w:p>
    <w:p w14:paraId="2EA36356" w14:textId="77777777" w:rsidR="00257116" w:rsidRPr="00F97759" w:rsidRDefault="00257116" w:rsidP="00F97759">
      <w:pPr>
        <w:spacing w:line="360" w:lineRule="auto"/>
        <w:rPr>
          <w:rFonts w:ascii="Times New Roman" w:hAnsi="Times New Roman" w:cs="Times New Roman"/>
          <w:sz w:val="24"/>
          <w:szCs w:val="24"/>
        </w:rPr>
      </w:pPr>
    </w:p>
    <w:p w14:paraId="4D269EBA" w14:textId="77777777" w:rsidR="00257116" w:rsidRPr="00F97759" w:rsidRDefault="00257116" w:rsidP="00F97759">
      <w:pPr>
        <w:spacing w:line="360" w:lineRule="auto"/>
        <w:rPr>
          <w:rFonts w:ascii="Times New Roman" w:hAnsi="Times New Roman" w:cs="Times New Roman"/>
          <w:sz w:val="24"/>
          <w:szCs w:val="24"/>
        </w:rPr>
      </w:pPr>
    </w:p>
    <w:p w14:paraId="5DA42028" w14:textId="77777777" w:rsidR="00257116" w:rsidRPr="00F97759" w:rsidRDefault="00257116" w:rsidP="00F97759">
      <w:pPr>
        <w:spacing w:line="360" w:lineRule="auto"/>
        <w:rPr>
          <w:rFonts w:ascii="Times New Roman" w:hAnsi="Times New Roman" w:cs="Times New Roman"/>
          <w:sz w:val="24"/>
          <w:szCs w:val="24"/>
        </w:rPr>
      </w:pPr>
    </w:p>
    <w:p w14:paraId="7C728F85" w14:textId="77777777" w:rsidR="00257116" w:rsidRPr="00F97759" w:rsidRDefault="00257116" w:rsidP="00F97759">
      <w:pPr>
        <w:spacing w:line="360" w:lineRule="auto"/>
        <w:rPr>
          <w:rFonts w:ascii="Times New Roman" w:hAnsi="Times New Roman" w:cs="Times New Roman"/>
          <w:sz w:val="24"/>
          <w:szCs w:val="24"/>
        </w:rPr>
      </w:pPr>
    </w:p>
    <w:p w14:paraId="51F8DE39" w14:textId="77777777" w:rsidR="00257116" w:rsidRPr="00F97759" w:rsidRDefault="00257116" w:rsidP="00F97759">
      <w:pPr>
        <w:spacing w:line="360" w:lineRule="auto"/>
        <w:rPr>
          <w:rFonts w:ascii="Times New Roman" w:hAnsi="Times New Roman" w:cs="Times New Roman"/>
          <w:sz w:val="24"/>
          <w:szCs w:val="24"/>
        </w:rPr>
      </w:pPr>
    </w:p>
    <w:p w14:paraId="537202C1" w14:textId="77777777" w:rsidR="00257116" w:rsidRPr="00F97759" w:rsidRDefault="00257116" w:rsidP="00F97759">
      <w:pPr>
        <w:spacing w:line="360" w:lineRule="auto"/>
        <w:rPr>
          <w:rFonts w:ascii="Times New Roman" w:hAnsi="Times New Roman" w:cs="Times New Roman"/>
          <w:sz w:val="24"/>
          <w:szCs w:val="24"/>
        </w:rPr>
      </w:pPr>
    </w:p>
    <w:p w14:paraId="57E07BFB" w14:textId="77777777" w:rsidR="00257116" w:rsidRPr="00F97759" w:rsidRDefault="00257116" w:rsidP="00F97759">
      <w:pPr>
        <w:spacing w:line="360" w:lineRule="auto"/>
        <w:rPr>
          <w:rFonts w:ascii="Times New Roman" w:hAnsi="Times New Roman" w:cs="Times New Roman"/>
          <w:sz w:val="24"/>
          <w:szCs w:val="24"/>
        </w:rPr>
      </w:pPr>
    </w:p>
    <w:p w14:paraId="5A012C2A" w14:textId="77777777" w:rsidR="00257116" w:rsidRPr="00F97759" w:rsidRDefault="00257116" w:rsidP="00F97759">
      <w:pPr>
        <w:spacing w:line="360" w:lineRule="auto"/>
        <w:rPr>
          <w:rFonts w:ascii="Times New Roman" w:hAnsi="Times New Roman" w:cs="Times New Roman"/>
          <w:sz w:val="24"/>
          <w:szCs w:val="24"/>
        </w:rPr>
      </w:pPr>
    </w:p>
    <w:p w14:paraId="7A083B3E" w14:textId="77777777" w:rsidR="00257116" w:rsidRPr="00F97759" w:rsidRDefault="00257116" w:rsidP="00F97759">
      <w:pPr>
        <w:spacing w:line="360" w:lineRule="auto"/>
        <w:rPr>
          <w:rFonts w:ascii="Times New Roman" w:hAnsi="Times New Roman" w:cs="Times New Roman"/>
          <w:sz w:val="24"/>
          <w:szCs w:val="24"/>
        </w:rPr>
      </w:pPr>
    </w:p>
    <w:p w14:paraId="28D5C09F" w14:textId="77777777" w:rsidR="00257116" w:rsidRPr="00F97759" w:rsidRDefault="00624DC0" w:rsidP="00F97759">
      <w:pPr>
        <w:keepNext/>
        <w:keepLines/>
        <w:spacing w:before="40" w:line="360" w:lineRule="auto"/>
        <w:ind w:firstLine="720"/>
        <w:outlineLvl w:val="1"/>
        <w:rPr>
          <w:rFonts w:ascii="Times New Roman" w:eastAsiaTheme="majorEastAsia" w:hAnsi="Times New Roman" w:cs="Times New Roman"/>
          <w:b/>
          <w:sz w:val="24"/>
          <w:szCs w:val="24"/>
        </w:rPr>
      </w:pPr>
      <w:bookmarkStart w:id="6" w:name="_Toc509840533"/>
      <w:r w:rsidRPr="00F97759">
        <w:rPr>
          <w:rFonts w:ascii="Times New Roman" w:eastAsiaTheme="majorEastAsia" w:hAnsi="Times New Roman" w:cs="Times New Roman"/>
          <w:b/>
          <w:sz w:val="24"/>
          <w:szCs w:val="24"/>
        </w:rPr>
        <w:t>2</w:t>
      </w:r>
      <w:r w:rsidR="009F5447" w:rsidRPr="00F97759">
        <w:rPr>
          <w:rFonts w:ascii="Times New Roman" w:eastAsiaTheme="majorEastAsia" w:hAnsi="Times New Roman" w:cs="Times New Roman"/>
          <w:b/>
          <w:sz w:val="24"/>
          <w:szCs w:val="24"/>
        </w:rPr>
        <w:t xml:space="preserve">.3.3 </w:t>
      </w:r>
      <w:r w:rsidR="00257116" w:rsidRPr="00F97759">
        <w:rPr>
          <w:rFonts w:ascii="Times New Roman" w:eastAsiaTheme="majorEastAsia" w:hAnsi="Times New Roman" w:cs="Times New Roman"/>
          <w:b/>
          <w:sz w:val="24"/>
          <w:szCs w:val="24"/>
        </w:rPr>
        <w:t>Programme 3: Institutional Development</w:t>
      </w:r>
      <w:bookmarkEnd w:id="6"/>
    </w:p>
    <w:tbl>
      <w:tblPr>
        <w:tblStyle w:val="TableGrid"/>
        <w:tblpPr w:leftFromText="180" w:rightFromText="180" w:vertAnchor="text" w:horzAnchor="margin" w:tblpY="247"/>
        <w:tblW w:w="8926" w:type="dxa"/>
        <w:tblLook w:val="04A0" w:firstRow="1" w:lastRow="0" w:firstColumn="1" w:lastColumn="0" w:noHBand="0" w:noVBand="1"/>
      </w:tblPr>
      <w:tblGrid>
        <w:gridCol w:w="2348"/>
        <w:gridCol w:w="993"/>
        <w:gridCol w:w="993"/>
        <w:gridCol w:w="1168"/>
        <w:gridCol w:w="1010"/>
        <w:gridCol w:w="1365"/>
        <w:gridCol w:w="1365"/>
      </w:tblGrid>
      <w:tr w:rsidR="00257116" w:rsidRPr="00F97759" w14:paraId="437FB4BE" w14:textId="77777777" w:rsidTr="00257116">
        <w:trPr>
          <w:trHeight w:val="780"/>
          <w:tblHeader/>
        </w:trPr>
        <w:tc>
          <w:tcPr>
            <w:tcW w:w="2376" w:type="dxa"/>
            <w:noWrap/>
            <w:hideMark/>
          </w:tcPr>
          <w:p w14:paraId="2B4B5A6C"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Programme</w:t>
            </w:r>
          </w:p>
        </w:tc>
        <w:tc>
          <w:tcPr>
            <w:tcW w:w="1590" w:type="dxa"/>
            <w:gridSpan w:val="2"/>
            <w:hideMark/>
          </w:tcPr>
          <w:p w14:paraId="04D89FBA"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80" w:type="dxa"/>
            <w:hideMark/>
          </w:tcPr>
          <w:p w14:paraId="057468C8"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1020" w:type="dxa"/>
            <w:hideMark/>
          </w:tcPr>
          <w:p w14:paraId="5DE47BB3"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80" w:type="dxa"/>
            <w:hideMark/>
          </w:tcPr>
          <w:p w14:paraId="216A60F7"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80" w:type="dxa"/>
            <w:hideMark/>
          </w:tcPr>
          <w:p w14:paraId="09169C88"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257116" w:rsidRPr="00F97759" w14:paraId="7A4FC529" w14:textId="77777777" w:rsidTr="00257116">
        <w:trPr>
          <w:trHeight w:val="255"/>
          <w:tblHeader/>
        </w:trPr>
        <w:tc>
          <w:tcPr>
            <w:tcW w:w="2376" w:type="dxa"/>
            <w:noWrap/>
            <w:hideMark/>
          </w:tcPr>
          <w:p w14:paraId="1545C4B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795" w:type="dxa"/>
            <w:noWrap/>
            <w:hideMark/>
          </w:tcPr>
          <w:p w14:paraId="3098D608"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795" w:type="dxa"/>
            <w:noWrap/>
            <w:hideMark/>
          </w:tcPr>
          <w:p w14:paraId="7257CF2A"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200" w:type="dxa"/>
            <w:gridSpan w:val="2"/>
            <w:noWrap/>
            <w:hideMark/>
          </w:tcPr>
          <w:p w14:paraId="2DB36B6E"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760" w:type="dxa"/>
            <w:gridSpan w:val="2"/>
            <w:noWrap/>
            <w:hideMark/>
          </w:tcPr>
          <w:p w14:paraId="572D2776"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257116" w:rsidRPr="00F97759" w14:paraId="265A684F" w14:textId="77777777" w:rsidTr="00257116">
        <w:trPr>
          <w:trHeight w:val="675"/>
        </w:trPr>
        <w:tc>
          <w:tcPr>
            <w:tcW w:w="2376" w:type="dxa"/>
            <w:hideMark/>
          </w:tcPr>
          <w:p w14:paraId="614BBA4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 Management - Institutional Development</w:t>
            </w:r>
          </w:p>
        </w:tc>
        <w:tc>
          <w:tcPr>
            <w:tcW w:w="795" w:type="dxa"/>
            <w:noWrap/>
            <w:hideMark/>
          </w:tcPr>
          <w:p w14:paraId="3136A79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w:t>
            </w:r>
          </w:p>
        </w:tc>
        <w:tc>
          <w:tcPr>
            <w:tcW w:w="795" w:type="dxa"/>
            <w:noWrap/>
            <w:hideMark/>
          </w:tcPr>
          <w:p w14:paraId="18C8054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3,5</w:t>
            </w:r>
          </w:p>
        </w:tc>
        <w:tc>
          <w:tcPr>
            <w:tcW w:w="1180" w:type="dxa"/>
            <w:noWrap/>
            <w:hideMark/>
          </w:tcPr>
          <w:p w14:paraId="4C7E475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0,9</w:t>
            </w:r>
          </w:p>
        </w:tc>
        <w:tc>
          <w:tcPr>
            <w:tcW w:w="1020" w:type="dxa"/>
            <w:noWrap/>
            <w:hideMark/>
          </w:tcPr>
          <w:p w14:paraId="238374F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0,7</w:t>
            </w:r>
          </w:p>
        </w:tc>
        <w:tc>
          <w:tcPr>
            <w:tcW w:w="1380" w:type="dxa"/>
            <w:noWrap/>
            <w:hideMark/>
          </w:tcPr>
          <w:p w14:paraId="052B604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34,62 per cent</w:t>
            </w:r>
          </w:p>
        </w:tc>
        <w:tc>
          <w:tcPr>
            <w:tcW w:w="1380" w:type="dxa"/>
            <w:noWrap/>
            <w:hideMark/>
          </w:tcPr>
          <w:p w14:paraId="6C196C3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27,60 per cent</w:t>
            </w:r>
          </w:p>
        </w:tc>
      </w:tr>
      <w:tr w:rsidR="00257116" w:rsidRPr="00F97759" w14:paraId="74C3769E" w14:textId="77777777" w:rsidTr="00257116">
        <w:trPr>
          <w:trHeight w:val="675"/>
        </w:trPr>
        <w:tc>
          <w:tcPr>
            <w:tcW w:w="2376" w:type="dxa"/>
            <w:hideMark/>
          </w:tcPr>
          <w:p w14:paraId="756053D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2: Municipal Human Resource Management Systems</w:t>
            </w:r>
          </w:p>
        </w:tc>
        <w:tc>
          <w:tcPr>
            <w:tcW w:w="795" w:type="dxa"/>
            <w:noWrap/>
            <w:hideMark/>
          </w:tcPr>
          <w:p w14:paraId="0B7C972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8,8</w:t>
            </w:r>
          </w:p>
        </w:tc>
        <w:tc>
          <w:tcPr>
            <w:tcW w:w="795" w:type="dxa"/>
            <w:noWrap/>
            <w:hideMark/>
          </w:tcPr>
          <w:p w14:paraId="45C064C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10,2</w:t>
            </w:r>
          </w:p>
        </w:tc>
        <w:tc>
          <w:tcPr>
            <w:tcW w:w="1180" w:type="dxa"/>
            <w:noWrap/>
            <w:hideMark/>
          </w:tcPr>
          <w:p w14:paraId="00E7E2F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1,4</w:t>
            </w:r>
          </w:p>
        </w:tc>
        <w:tc>
          <w:tcPr>
            <w:tcW w:w="1020" w:type="dxa"/>
            <w:noWrap/>
            <w:hideMark/>
          </w:tcPr>
          <w:p w14:paraId="5AFA028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0,9</w:t>
            </w:r>
          </w:p>
        </w:tc>
        <w:tc>
          <w:tcPr>
            <w:tcW w:w="1380" w:type="dxa"/>
            <w:noWrap/>
            <w:hideMark/>
          </w:tcPr>
          <w:p w14:paraId="4440D49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15,91 per cent</w:t>
            </w:r>
          </w:p>
        </w:tc>
        <w:tc>
          <w:tcPr>
            <w:tcW w:w="1380" w:type="dxa"/>
            <w:noWrap/>
            <w:hideMark/>
          </w:tcPr>
          <w:p w14:paraId="06292D8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9,87 per cent</w:t>
            </w:r>
          </w:p>
        </w:tc>
      </w:tr>
      <w:tr w:rsidR="00257116" w:rsidRPr="00F97759" w14:paraId="21C581C6" w14:textId="77777777" w:rsidTr="00257116">
        <w:trPr>
          <w:trHeight w:val="450"/>
        </w:trPr>
        <w:tc>
          <w:tcPr>
            <w:tcW w:w="2376" w:type="dxa"/>
            <w:hideMark/>
          </w:tcPr>
          <w:p w14:paraId="09AA738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3: Municipal Finance</w:t>
            </w:r>
          </w:p>
        </w:tc>
        <w:tc>
          <w:tcPr>
            <w:tcW w:w="795" w:type="dxa"/>
            <w:noWrap/>
            <w:hideMark/>
          </w:tcPr>
          <w:p w14:paraId="6B1FAE4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28,8</w:t>
            </w:r>
          </w:p>
        </w:tc>
        <w:tc>
          <w:tcPr>
            <w:tcW w:w="795" w:type="dxa"/>
            <w:noWrap/>
            <w:hideMark/>
          </w:tcPr>
          <w:p w14:paraId="396DD3A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33,1</w:t>
            </w:r>
          </w:p>
        </w:tc>
        <w:tc>
          <w:tcPr>
            <w:tcW w:w="1180" w:type="dxa"/>
            <w:noWrap/>
            <w:hideMark/>
          </w:tcPr>
          <w:p w14:paraId="455C887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4,3</w:t>
            </w:r>
          </w:p>
        </w:tc>
        <w:tc>
          <w:tcPr>
            <w:tcW w:w="1020" w:type="dxa"/>
            <w:noWrap/>
            <w:hideMark/>
          </w:tcPr>
          <w:p w14:paraId="09EB902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w:t>
            </w:r>
          </w:p>
        </w:tc>
        <w:tc>
          <w:tcPr>
            <w:tcW w:w="1380" w:type="dxa"/>
            <w:noWrap/>
            <w:hideMark/>
          </w:tcPr>
          <w:p w14:paraId="2D04E82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14,93 per cent</w:t>
            </w:r>
          </w:p>
        </w:tc>
        <w:tc>
          <w:tcPr>
            <w:tcW w:w="1380" w:type="dxa"/>
            <w:noWrap/>
            <w:hideMark/>
          </w:tcPr>
          <w:p w14:paraId="3049FEE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8,94 per cent</w:t>
            </w:r>
          </w:p>
        </w:tc>
      </w:tr>
      <w:tr w:rsidR="00257116" w:rsidRPr="00F97759" w14:paraId="16A00A8E" w14:textId="77777777" w:rsidTr="00257116">
        <w:trPr>
          <w:trHeight w:val="450"/>
        </w:trPr>
        <w:tc>
          <w:tcPr>
            <w:tcW w:w="2376" w:type="dxa"/>
            <w:hideMark/>
          </w:tcPr>
          <w:p w14:paraId="31103AD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4: Citizen Engagement</w:t>
            </w:r>
          </w:p>
        </w:tc>
        <w:tc>
          <w:tcPr>
            <w:tcW w:w="795" w:type="dxa"/>
            <w:noWrap/>
            <w:hideMark/>
          </w:tcPr>
          <w:p w14:paraId="56ADD62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7,9</w:t>
            </w:r>
          </w:p>
        </w:tc>
        <w:tc>
          <w:tcPr>
            <w:tcW w:w="795" w:type="dxa"/>
            <w:noWrap/>
            <w:hideMark/>
          </w:tcPr>
          <w:p w14:paraId="65FE12D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7,3</w:t>
            </w:r>
          </w:p>
        </w:tc>
        <w:tc>
          <w:tcPr>
            <w:tcW w:w="1180" w:type="dxa"/>
            <w:noWrap/>
            <w:hideMark/>
          </w:tcPr>
          <w:p w14:paraId="5F25155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0,6</w:t>
            </w:r>
          </w:p>
        </w:tc>
        <w:tc>
          <w:tcPr>
            <w:tcW w:w="1020" w:type="dxa"/>
            <w:noWrap/>
            <w:hideMark/>
          </w:tcPr>
          <w:p w14:paraId="2CB1CCD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1,0</w:t>
            </w:r>
          </w:p>
        </w:tc>
        <w:tc>
          <w:tcPr>
            <w:tcW w:w="1380" w:type="dxa"/>
            <w:noWrap/>
            <w:hideMark/>
          </w:tcPr>
          <w:p w14:paraId="3C0CC44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-7,59 per cent</w:t>
            </w:r>
          </w:p>
        </w:tc>
        <w:tc>
          <w:tcPr>
            <w:tcW w:w="1380" w:type="dxa"/>
            <w:noWrap/>
            <w:hideMark/>
          </w:tcPr>
          <w:p w14:paraId="50D1AB2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-12,41 per cent</w:t>
            </w:r>
          </w:p>
        </w:tc>
      </w:tr>
      <w:tr w:rsidR="00257116" w:rsidRPr="00F97759" w14:paraId="7F4D2B48" w14:textId="77777777" w:rsidTr="00257116">
        <w:trPr>
          <w:trHeight w:val="450"/>
        </w:trPr>
        <w:tc>
          <w:tcPr>
            <w:tcW w:w="2376" w:type="dxa"/>
            <w:hideMark/>
          </w:tcPr>
          <w:p w14:paraId="14C1A81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5: Anti-Corruption and Good Governance</w:t>
            </w:r>
          </w:p>
        </w:tc>
        <w:tc>
          <w:tcPr>
            <w:tcW w:w="795" w:type="dxa"/>
            <w:noWrap/>
            <w:hideMark/>
          </w:tcPr>
          <w:p w14:paraId="6459CD7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5,3</w:t>
            </w:r>
          </w:p>
        </w:tc>
        <w:tc>
          <w:tcPr>
            <w:tcW w:w="795" w:type="dxa"/>
            <w:noWrap/>
            <w:hideMark/>
          </w:tcPr>
          <w:p w14:paraId="642C7C5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5,5</w:t>
            </w:r>
          </w:p>
        </w:tc>
        <w:tc>
          <w:tcPr>
            <w:tcW w:w="1180" w:type="dxa"/>
            <w:noWrap/>
            <w:hideMark/>
          </w:tcPr>
          <w:p w14:paraId="19ABDAB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0,2</w:t>
            </w:r>
          </w:p>
        </w:tc>
        <w:tc>
          <w:tcPr>
            <w:tcW w:w="1020" w:type="dxa"/>
            <w:noWrap/>
            <w:hideMark/>
          </w:tcPr>
          <w:p w14:paraId="70F2A40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0,1</w:t>
            </w:r>
          </w:p>
        </w:tc>
        <w:tc>
          <w:tcPr>
            <w:tcW w:w="1380" w:type="dxa"/>
            <w:noWrap/>
            <w:hideMark/>
          </w:tcPr>
          <w:p w14:paraId="278A881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3,77 per cent</w:t>
            </w:r>
          </w:p>
        </w:tc>
        <w:tc>
          <w:tcPr>
            <w:tcW w:w="1380" w:type="dxa"/>
            <w:noWrap/>
            <w:hideMark/>
          </w:tcPr>
          <w:p w14:paraId="0892B59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-1,64 per cent</w:t>
            </w:r>
          </w:p>
        </w:tc>
      </w:tr>
      <w:tr w:rsidR="00257116" w:rsidRPr="00F97759" w14:paraId="27BB588A" w14:textId="77777777" w:rsidTr="00257116">
        <w:trPr>
          <w:trHeight w:val="450"/>
        </w:trPr>
        <w:tc>
          <w:tcPr>
            <w:tcW w:w="2376" w:type="dxa"/>
            <w:hideMark/>
          </w:tcPr>
          <w:p w14:paraId="4E8269A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Sub-Programme 6: </w:t>
            </w:r>
            <w:r w:rsidRPr="00F97759">
              <w:rPr>
                <w:rFonts w:ascii="Times New Roman" w:eastAsia="Times New Roman" w:hAnsi="Times New Roman" w:cs="Times New Roman"/>
                <w:sz w:val="24"/>
                <w:szCs w:val="24"/>
                <w:lang w:eastAsia="en-ZA"/>
              </w:rPr>
              <w:lastRenderedPageBreak/>
              <w:t>Municipal Property Rates</w:t>
            </w:r>
          </w:p>
        </w:tc>
        <w:tc>
          <w:tcPr>
            <w:tcW w:w="795" w:type="dxa"/>
            <w:noWrap/>
            <w:hideMark/>
          </w:tcPr>
          <w:p w14:paraId="7C1C3FA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 xml:space="preserve">  8,3</w:t>
            </w:r>
          </w:p>
        </w:tc>
        <w:tc>
          <w:tcPr>
            <w:tcW w:w="795" w:type="dxa"/>
            <w:noWrap/>
            <w:hideMark/>
          </w:tcPr>
          <w:p w14:paraId="62C2B98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12,0</w:t>
            </w:r>
          </w:p>
        </w:tc>
        <w:tc>
          <w:tcPr>
            <w:tcW w:w="1180" w:type="dxa"/>
            <w:noWrap/>
            <w:hideMark/>
          </w:tcPr>
          <w:p w14:paraId="6354D53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3,7</w:t>
            </w:r>
          </w:p>
        </w:tc>
        <w:tc>
          <w:tcPr>
            <w:tcW w:w="1020" w:type="dxa"/>
            <w:noWrap/>
            <w:hideMark/>
          </w:tcPr>
          <w:p w14:paraId="4885C43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3,1</w:t>
            </w:r>
          </w:p>
        </w:tc>
        <w:tc>
          <w:tcPr>
            <w:tcW w:w="1380" w:type="dxa"/>
            <w:noWrap/>
            <w:hideMark/>
          </w:tcPr>
          <w:p w14:paraId="4EC5C5F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44,58 per </w:t>
            </w:r>
            <w:r w:rsidRPr="00F97759">
              <w:rPr>
                <w:rFonts w:ascii="Times New Roman" w:eastAsia="Times New Roman" w:hAnsi="Times New Roman" w:cs="Times New Roman"/>
                <w:sz w:val="24"/>
                <w:szCs w:val="24"/>
                <w:lang w:eastAsia="en-ZA"/>
              </w:rPr>
              <w:lastRenderedPageBreak/>
              <w:t>cent</w:t>
            </w:r>
          </w:p>
        </w:tc>
        <w:tc>
          <w:tcPr>
            <w:tcW w:w="1380" w:type="dxa"/>
            <w:noWrap/>
            <w:hideMark/>
          </w:tcPr>
          <w:p w14:paraId="1447F62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 xml:space="preserve">37,04 per </w:t>
            </w:r>
            <w:r w:rsidRPr="00F97759">
              <w:rPr>
                <w:rFonts w:ascii="Times New Roman" w:eastAsia="Times New Roman" w:hAnsi="Times New Roman" w:cs="Times New Roman"/>
                <w:sz w:val="24"/>
                <w:szCs w:val="24"/>
                <w:lang w:eastAsia="en-ZA"/>
              </w:rPr>
              <w:lastRenderedPageBreak/>
              <w:t>cent</w:t>
            </w:r>
          </w:p>
        </w:tc>
      </w:tr>
      <w:tr w:rsidR="00257116" w:rsidRPr="00F97759" w14:paraId="2E2871FB" w14:textId="77777777" w:rsidTr="00257116">
        <w:trPr>
          <w:trHeight w:val="450"/>
        </w:trPr>
        <w:tc>
          <w:tcPr>
            <w:tcW w:w="2376" w:type="dxa"/>
            <w:hideMark/>
          </w:tcPr>
          <w:p w14:paraId="5940713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Sub-Programme 7: Local Government Equitable Share</w:t>
            </w:r>
          </w:p>
        </w:tc>
        <w:tc>
          <w:tcPr>
            <w:tcW w:w="795" w:type="dxa"/>
            <w:noWrap/>
            <w:hideMark/>
          </w:tcPr>
          <w:p w14:paraId="1843FE9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57 012,1</w:t>
            </w:r>
          </w:p>
        </w:tc>
        <w:tc>
          <w:tcPr>
            <w:tcW w:w="795" w:type="dxa"/>
            <w:noWrap/>
            <w:hideMark/>
          </w:tcPr>
          <w:p w14:paraId="038B5FE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62 731,8</w:t>
            </w:r>
          </w:p>
        </w:tc>
        <w:tc>
          <w:tcPr>
            <w:tcW w:w="1180" w:type="dxa"/>
            <w:noWrap/>
            <w:hideMark/>
          </w:tcPr>
          <w:p w14:paraId="14EB8B8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5 719,7</w:t>
            </w:r>
          </w:p>
        </w:tc>
        <w:tc>
          <w:tcPr>
            <w:tcW w:w="1020" w:type="dxa"/>
            <w:noWrap/>
            <w:hideMark/>
          </w:tcPr>
          <w:p w14:paraId="2B543C4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2 449,3</w:t>
            </w:r>
          </w:p>
        </w:tc>
        <w:tc>
          <w:tcPr>
            <w:tcW w:w="1380" w:type="dxa"/>
            <w:noWrap/>
            <w:hideMark/>
          </w:tcPr>
          <w:p w14:paraId="5999CDF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10,03 per cent</w:t>
            </w:r>
          </w:p>
        </w:tc>
        <w:tc>
          <w:tcPr>
            <w:tcW w:w="1380" w:type="dxa"/>
            <w:noWrap/>
            <w:hideMark/>
          </w:tcPr>
          <w:p w14:paraId="7C7EF92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4,30 per cent</w:t>
            </w:r>
          </w:p>
        </w:tc>
      </w:tr>
      <w:tr w:rsidR="00257116" w:rsidRPr="00F97759" w14:paraId="5ADEF20D" w14:textId="77777777" w:rsidTr="00257116">
        <w:trPr>
          <w:trHeight w:val="675"/>
        </w:trPr>
        <w:tc>
          <w:tcPr>
            <w:tcW w:w="2376" w:type="dxa"/>
            <w:hideMark/>
          </w:tcPr>
          <w:p w14:paraId="60A981E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8: South African Local Government Association</w:t>
            </w:r>
          </w:p>
        </w:tc>
        <w:tc>
          <w:tcPr>
            <w:tcW w:w="795" w:type="dxa"/>
            <w:noWrap/>
            <w:hideMark/>
          </w:tcPr>
          <w:p w14:paraId="61EA2F7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31,3</w:t>
            </w:r>
          </w:p>
        </w:tc>
        <w:tc>
          <w:tcPr>
            <w:tcW w:w="795" w:type="dxa"/>
            <w:noWrap/>
            <w:hideMark/>
          </w:tcPr>
          <w:p w14:paraId="702C0EA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33,1</w:t>
            </w:r>
          </w:p>
        </w:tc>
        <w:tc>
          <w:tcPr>
            <w:tcW w:w="1180" w:type="dxa"/>
            <w:noWrap/>
            <w:hideMark/>
          </w:tcPr>
          <w:p w14:paraId="653ABA0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1,8</w:t>
            </w:r>
          </w:p>
        </w:tc>
        <w:tc>
          <w:tcPr>
            <w:tcW w:w="1020" w:type="dxa"/>
            <w:noWrap/>
            <w:hideMark/>
          </w:tcPr>
          <w:p w14:paraId="18FFF34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0,1</w:t>
            </w:r>
          </w:p>
        </w:tc>
        <w:tc>
          <w:tcPr>
            <w:tcW w:w="1380" w:type="dxa"/>
            <w:noWrap/>
            <w:hideMark/>
          </w:tcPr>
          <w:p w14:paraId="2E24452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5,75 per cent</w:t>
            </w:r>
          </w:p>
        </w:tc>
        <w:tc>
          <w:tcPr>
            <w:tcW w:w="1380" w:type="dxa"/>
            <w:noWrap/>
            <w:hideMark/>
          </w:tcPr>
          <w:p w14:paraId="407EC88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0,24 per cent</w:t>
            </w:r>
          </w:p>
        </w:tc>
      </w:tr>
      <w:tr w:rsidR="00257116" w:rsidRPr="00F97759" w14:paraId="34A89999" w14:textId="77777777" w:rsidTr="00257116">
        <w:trPr>
          <w:trHeight w:val="450"/>
        </w:trPr>
        <w:tc>
          <w:tcPr>
            <w:tcW w:w="2376" w:type="dxa"/>
            <w:hideMark/>
          </w:tcPr>
          <w:p w14:paraId="35F8B9D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9: Municipal Systems Improvement Grant</w:t>
            </w:r>
          </w:p>
        </w:tc>
        <w:tc>
          <w:tcPr>
            <w:tcW w:w="795" w:type="dxa"/>
            <w:noWrap/>
            <w:hideMark/>
          </w:tcPr>
          <w:p w14:paraId="21FEFE4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103,2</w:t>
            </w:r>
          </w:p>
        </w:tc>
        <w:tc>
          <w:tcPr>
            <w:tcW w:w="795" w:type="dxa"/>
            <w:noWrap/>
            <w:hideMark/>
          </w:tcPr>
          <w:p w14:paraId="4E6E672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115,1</w:t>
            </w:r>
          </w:p>
        </w:tc>
        <w:tc>
          <w:tcPr>
            <w:tcW w:w="1180" w:type="dxa"/>
            <w:noWrap/>
            <w:hideMark/>
          </w:tcPr>
          <w:p w14:paraId="7C77155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11,9</w:t>
            </w:r>
          </w:p>
        </w:tc>
        <w:tc>
          <w:tcPr>
            <w:tcW w:w="1020" w:type="dxa"/>
            <w:noWrap/>
            <w:hideMark/>
          </w:tcPr>
          <w:p w14:paraId="7F7A4E7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5,9</w:t>
            </w:r>
          </w:p>
        </w:tc>
        <w:tc>
          <w:tcPr>
            <w:tcW w:w="1380" w:type="dxa"/>
            <w:noWrap/>
            <w:hideMark/>
          </w:tcPr>
          <w:p w14:paraId="1222384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11,53 per cent</w:t>
            </w:r>
          </w:p>
        </w:tc>
        <w:tc>
          <w:tcPr>
            <w:tcW w:w="1380" w:type="dxa"/>
            <w:noWrap/>
            <w:hideMark/>
          </w:tcPr>
          <w:p w14:paraId="45D5C30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5,72 per cent</w:t>
            </w:r>
          </w:p>
        </w:tc>
      </w:tr>
      <w:tr w:rsidR="00257116" w:rsidRPr="00F97759" w14:paraId="01805F49" w14:textId="77777777" w:rsidTr="00257116">
        <w:trPr>
          <w:trHeight w:val="450"/>
        </w:trPr>
        <w:tc>
          <w:tcPr>
            <w:tcW w:w="2376" w:type="dxa"/>
            <w:hideMark/>
          </w:tcPr>
          <w:p w14:paraId="43194E2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10: Department of Traditional Affairs</w:t>
            </w:r>
          </w:p>
        </w:tc>
        <w:tc>
          <w:tcPr>
            <w:tcW w:w="795" w:type="dxa"/>
            <w:noWrap/>
            <w:hideMark/>
          </w:tcPr>
          <w:p w14:paraId="3CD9457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152,5</w:t>
            </w:r>
          </w:p>
        </w:tc>
        <w:tc>
          <w:tcPr>
            <w:tcW w:w="795" w:type="dxa"/>
            <w:noWrap/>
            <w:hideMark/>
          </w:tcPr>
          <w:p w14:paraId="764B427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153,3</w:t>
            </w:r>
          </w:p>
        </w:tc>
        <w:tc>
          <w:tcPr>
            <w:tcW w:w="1180" w:type="dxa"/>
            <w:noWrap/>
            <w:hideMark/>
          </w:tcPr>
          <w:p w14:paraId="4040E32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0,8</w:t>
            </w:r>
          </w:p>
        </w:tc>
        <w:tc>
          <w:tcPr>
            <w:tcW w:w="1020" w:type="dxa"/>
            <w:noWrap/>
            <w:hideMark/>
          </w:tcPr>
          <w:p w14:paraId="14585EE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7,2</w:t>
            </w:r>
          </w:p>
        </w:tc>
        <w:tc>
          <w:tcPr>
            <w:tcW w:w="1380" w:type="dxa"/>
            <w:noWrap/>
            <w:hideMark/>
          </w:tcPr>
          <w:p w14:paraId="1D3DEC8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0,52 per cent</w:t>
            </w:r>
          </w:p>
        </w:tc>
        <w:tc>
          <w:tcPr>
            <w:tcW w:w="1380" w:type="dxa"/>
            <w:noWrap/>
            <w:hideMark/>
          </w:tcPr>
          <w:p w14:paraId="6BA7053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-4,72 per cent</w:t>
            </w:r>
          </w:p>
        </w:tc>
      </w:tr>
      <w:tr w:rsidR="00257116" w:rsidRPr="00F97759" w14:paraId="7B916271" w14:textId="77777777" w:rsidTr="00257116">
        <w:trPr>
          <w:trHeight w:val="675"/>
        </w:trPr>
        <w:tc>
          <w:tcPr>
            <w:tcW w:w="2376" w:type="dxa"/>
            <w:hideMark/>
          </w:tcPr>
          <w:p w14:paraId="34D4257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11: United Cities and Local Government of Africa</w:t>
            </w:r>
          </w:p>
        </w:tc>
        <w:tc>
          <w:tcPr>
            <w:tcW w:w="795" w:type="dxa"/>
            <w:noWrap/>
            <w:hideMark/>
          </w:tcPr>
          <w:p w14:paraId="49AF58E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12,2</w:t>
            </w:r>
          </w:p>
        </w:tc>
        <w:tc>
          <w:tcPr>
            <w:tcW w:w="795" w:type="dxa"/>
            <w:noWrap/>
            <w:hideMark/>
          </w:tcPr>
          <w:p w14:paraId="66F233C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6,8</w:t>
            </w:r>
          </w:p>
        </w:tc>
        <w:tc>
          <w:tcPr>
            <w:tcW w:w="1180" w:type="dxa"/>
            <w:noWrap/>
            <w:hideMark/>
          </w:tcPr>
          <w:p w14:paraId="74B92EB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5,4</w:t>
            </w:r>
          </w:p>
        </w:tc>
        <w:tc>
          <w:tcPr>
            <w:tcW w:w="1020" w:type="dxa"/>
            <w:noWrap/>
            <w:hideMark/>
          </w:tcPr>
          <w:p w14:paraId="7F41D8A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5,8</w:t>
            </w:r>
          </w:p>
        </w:tc>
        <w:tc>
          <w:tcPr>
            <w:tcW w:w="1380" w:type="dxa"/>
            <w:noWrap/>
            <w:hideMark/>
          </w:tcPr>
          <w:p w14:paraId="1C21651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-44,26 per cent</w:t>
            </w:r>
          </w:p>
        </w:tc>
        <w:tc>
          <w:tcPr>
            <w:tcW w:w="1380" w:type="dxa"/>
            <w:noWrap/>
            <w:hideMark/>
          </w:tcPr>
          <w:p w14:paraId="48302F3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-47,17 per cent</w:t>
            </w:r>
          </w:p>
        </w:tc>
      </w:tr>
      <w:tr w:rsidR="00257116" w:rsidRPr="00F97759" w14:paraId="6126F3D1" w14:textId="77777777" w:rsidTr="00257116">
        <w:trPr>
          <w:trHeight w:val="255"/>
        </w:trPr>
        <w:tc>
          <w:tcPr>
            <w:tcW w:w="2376" w:type="dxa"/>
            <w:noWrap/>
            <w:hideMark/>
          </w:tcPr>
          <w:p w14:paraId="137A921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795" w:type="dxa"/>
            <w:noWrap/>
            <w:hideMark/>
          </w:tcPr>
          <w:p w14:paraId="6043851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795" w:type="dxa"/>
            <w:noWrap/>
            <w:hideMark/>
          </w:tcPr>
          <w:p w14:paraId="1955FCE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1180" w:type="dxa"/>
            <w:noWrap/>
            <w:hideMark/>
          </w:tcPr>
          <w:p w14:paraId="12D313B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1020" w:type="dxa"/>
            <w:noWrap/>
            <w:hideMark/>
          </w:tcPr>
          <w:p w14:paraId="46A7198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1380" w:type="dxa"/>
            <w:noWrap/>
            <w:hideMark/>
          </w:tcPr>
          <w:p w14:paraId="138A708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1380" w:type="dxa"/>
            <w:noWrap/>
            <w:hideMark/>
          </w:tcPr>
          <w:p w14:paraId="410B14B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r>
      <w:tr w:rsidR="00257116" w:rsidRPr="00F97759" w14:paraId="0F6ED557" w14:textId="77777777" w:rsidTr="00257116">
        <w:trPr>
          <w:trHeight w:val="270"/>
        </w:trPr>
        <w:tc>
          <w:tcPr>
            <w:tcW w:w="2376" w:type="dxa"/>
            <w:noWrap/>
            <w:hideMark/>
          </w:tcPr>
          <w:p w14:paraId="2E64875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795" w:type="dxa"/>
            <w:noWrap/>
            <w:hideMark/>
          </w:tcPr>
          <w:p w14:paraId="61AA174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57 373,0</w:t>
            </w:r>
          </w:p>
        </w:tc>
        <w:tc>
          <w:tcPr>
            <w:tcW w:w="795" w:type="dxa"/>
            <w:noWrap/>
            <w:hideMark/>
          </w:tcPr>
          <w:p w14:paraId="554D1CB2"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63 111,7</w:t>
            </w:r>
          </w:p>
        </w:tc>
        <w:tc>
          <w:tcPr>
            <w:tcW w:w="1180" w:type="dxa"/>
            <w:noWrap/>
            <w:hideMark/>
          </w:tcPr>
          <w:p w14:paraId="0A52C131"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5 738,7</w:t>
            </w:r>
          </w:p>
        </w:tc>
        <w:tc>
          <w:tcPr>
            <w:tcW w:w="1020" w:type="dxa"/>
            <w:noWrap/>
            <w:hideMark/>
          </w:tcPr>
          <w:p w14:paraId="23CA3730"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2 448,5</w:t>
            </w:r>
          </w:p>
        </w:tc>
        <w:tc>
          <w:tcPr>
            <w:tcW w:w="1380" w:type="dxa"/>
            <w:noWrap/>
            <w:hideMark/>
          </w:tcPr>
          <w:p w14:paraId="1FB403BB"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10,00 per cent</w:t>
            </w:r>
          </w:p>
        </w:tc>
        <w:tc>
          <w:tcPr>
            <w:tcW w:w="1380" w:type="dxa"/>
            <w:noWrap/>
            <w:hideMark/>
          </w:tcPr>
          <w:p w14:paraId="57FFE7DC"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4,27 per cent</w:t>
            </w:r>
          </w:p>
        </w:tc>
      </w:tr>
    </w:tbl>
    <w:p w14:paraId="29FB2C18" w14:textId="77777777" w:rsidR="00257116" w:rsidRPr="00F97759" w:rsidRDefault="00257116" w:rsidP="00F97759">
      <w:pPr>
        <w:tabs>
          <w:tab w:val="left" w:pos="1481"/>
        </w:tabs>
        <w:spacing w:line="360" w:lineRule="auto"/>
        <w:rPr>
          <w:rFonts w:ascii="Times New Roman" w:hAnsi="Times New Roman" w:cs="Times New Roman"/>
          <w:sz w:val="24"/>
          <w:szCs w:val="24"/>
        </w:rPr>
      </w:pPr>
    </w:p>
    <w:p w14:paraId="23D7651E"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As indicated in the Table above, allocation to Programme 3 (Institutional Development) increases by 4.2 percent in 2018/19. The Graph below indicates that the increase mainly relates to the R2.4 billion increase in sub-programme 7 (Local Government Equitable Share). The Programme seeks to build institutional resilience in the local government system. While the R2.4 billion increase in the LGES is welcome, there is a concern that personnel spending may be crowding out the service delivery impact of higher LGES allocations</w:t>
      </w:r>
      <w:r w:rsidRPr="00F97759">
        <w:rPr>
          <w:rFonts w:ascii="Times New Roman" w:hAnsi="Times New Roman" w:cs="Times New Roman"/>
          <w:b/>
          <w:sz w:val="24"/>
          <w:szCs w:val="24"/>
        </w:rPr>
        <w:t xml:space="preserve">. </w:t>
      </w:r>
      <w:r w:rsidRPr="00F97759">
        <w:rPr>
          <w:rFonts w:ascii="Times New Roman" w:hAnsi="Times New Roman" w:cs="Times New Roman"/>
          <w:sz w:val="24"/>
          <w:szCs w:val="24"/>
        </w:rPr>
        <w:t xml:space="preserve">Using a sample of 11 rural municipalities that received higher transfers because of the new LGES formula, which is significantly more redistributive towards poorer and rural municipalities, National Treasury found that over the period 2012/13 to 2015/16, increased personnel spending absorbed a large share of the higher transfers. Staff numbers remained unchanged over the </w:t>
      </w:r>
      <w:r w:rsidRPr="00F97759">
        <w:rPr>
          <w:rFonts w:ascii="Times New Roman" w:hAnsi="Times New Roman" w:cs="Times New Roman"/>
          <w:sz w:val="24"/>
          <w:szCs w:val="24"/>
        </w:rPr>
        <w:lastRenderedPageBreak/>
        <w:t>same period, implying that the increased spending resulted mainly from significantly higher wages for existing posts.</w:t>
      </w:r>
      <w:r w:rsidRPr="00F97759">
        <w:rPr>
          <w:rStyle w:val="FootnoteReference"/>
          <w:rFonts w:ascii="Times New Roman" w:hAnsi="Times New Roman" w:cs="Times New Roman"/>
          <w:sz w:val="24"/>
          <w:szCs w:val="24"/>
        </w:rPr>
        <w:footnoteReference w:id="2"/>
      </w:r>
    </w:p>
    <w:p w14:paraId="194F05EB"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83840" behindDoc="0" locked="0" layoutInCell="1" allowOverlap="1" wp14:anchorId="52E88C7A" wp14:editId="3E6207E7">
            <wp:simplePos x="0" y="0"/>
            <wp:positionH relativeFrom="column">
              <wp:posOffset>40943</wp:posOffset>
            </wp:positionH>
            <wp:positionV relativeFrom="paragraph">
              <wp:posOffset>116566</wp:posOffset>
            </wp:positionV>
            <wp:extent cx="5731510" cy="2763672"/>
            <wp:effectExtent l="0" t="0" r="2540" b="1778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07A2CFEE" w14:textId="77777777" w:rsidR="00257116" w:rsidRPr="00F97759" w:rsidRDefault="00257116" w:rsidP="00F97759">
      <w:pPr>
        <w:spacing w:line="360" w:lineRule="auto"/>
        <w:rPr>
          <w:rFonts w:ascii="Times New Roman" w:hAnsi="Times New Roman" w:cs="Times New Roman"/>
          <w:sz w:val="24"/>
          <w:szCs w:val="24"/>
        </w:rPr>
      </w:pPr>
    </w:p>
    <w:p w14:paraId="0C0FA2D9" w14:textId="77777777" w:rsidR="00257116" w:rsidRPr="00F97759" w:rsidRDefault="00257116" w:rsidP="00F97759">
      <w:pPr>
        <w:spacing w:line="360" w:lineRule="auto"/>
        <w:rPr>
          <w:rFonts w:ascii="Times New Roman" w:hAnsi="Times New Roman" w:cs="Times New Roman"/>
          <w:sz w:val="24"/>
          <w:szCs w:val="24"/>
        </w:rPr>
      </w:pPr>
    </w:p>
    <w:p w14:paraId="4EE719F3" w14:textId="77777777" w:rsidR="00257116" w:rsidRPr="00F97759" w:rsidRDefault="00257116" w:rsidP="00F97759">
      <w:pPr>
        <w:spacing w:line="360" w:lineRule="auto"/>
        <w:rPr>
          <w:rFonts w:ascii="Times New Roman" w:hAnsi="Times New Roman" w:cs="Times New Roman"/>
          <w:sz w:val="24"/>
          <w:szCs w:val="24"/>
        </w:rPr>
      </w:pPr>
    </w:p>
    <w:p w14:paraId="12DB652F" w14:textId="77777777" w:rsidR="00257116" w:rsidRPr="00F97759" w:rsidRDefault="00257116" w:rsidP="00F97759">
      <w:pPr>
        <w:spacing w:line="360" w:lineRule="auto"/>
        <w:rPr>
          <w:rFonts w:ascii="Times New Roman" w:hAnsi="Times New Roman" w:cs="Times New Roman"/>
          <w:sz w:val="24"/>
          <w:szCs w:val="24"/>
        </w:rPr>
      </w:pPr>
    </w:p>
    <w:p w14:paraId="05C570C1" w14:textId="77777777" w:rsidR="00257116" w:rsidRPr="00F97759" w:rsidRDefault="00257116" w:rsidP="00F97759">
      <w:pPr>
        <w:spacing w:line="360" w:lineRule="auto"/>
        <w:rPr>
          <w:rFonts w:ascii="Times New Roman" w:hAnsi="Times New Roman" w:cs="Times New Roman"/>
          <w:sz w:val="24"/>
          <w:szCs w:val="24"/>
        </w:rPr>
      </w:pPr>
    </w:p>
    <w:p w14:paraId="028343D4" w14:textId="77777777" w:rsidR="00257116" w:rsidRPr="00F97759" w:rsidRDefault="00257116" w:rsidP="00F97759">
      <w:pPr>
        <w:spacing w:line="360" w:lineRule="auto"/>
        <w:rPr>
          <w:rFonts w:ascii="Times New Roman" w:hAnsi="Times New Roman" w:cs="Times New Roman"/>
          <w:sz w:val="24"/>
          <w:szCs w:val="24"/>
        </w:rPr>
      </w:pPr>
    </w:p>
    <w:p w14:paraId="00CDD9D6" w14:textId="77777777" w:rsidR="00257116" w:rsidRPr="00F97759" w:rsidRDefault="00257116" w:rsidP="00F97759">
      <w:pPr>
        <w:spacing w:line="360" w:lineRule="auto"/>
        <w:rPr>
          <w:rFonts w:ascii="Times New Roman" w:hAnsi="Times New Roman" w:cs="Times New Roman"/>
          <w:sz w:val="24"/>
          <w:szCs w:val="24"/>
        </w:rPr>
      </w:pPr>
    </w:p>
    <w:p w14:paraId="742A9499" w14:textId="77777777" w:rsidR="00257116" w:rsidRPr="00F97759" w:rsidRDefault="00257116" w:rsidP="00F97759">
      <w:pPr>
        <w:spacing w:line="360" w:lineRule="auto"/>
        <w:rPr>
          <w:rFonts w:ascii="Times New Roman" w:hAnsi="Times New Roman" w:cs="Times New Roman"/>
          <w:sz w:val="24"/>
          <w:szCs w:val="24"/>
        </w:rPr>
      </w:pPr>
    </w:p>
    <w:p w14:paraId="2093A8B7" w14:textId="77777777" w:rsidR="00257116" w:rsidRPr="00F97759" w:rsidRDefault="00257116" w:rsidP="00F97759">
      <w:pPr>
        <w:spacing w:line="360" w:lineRule="auto"/>
        <w:rPr>
          <w:rFonts w:ascii="Times New Roman" w:hAnsi="Times New Roman" w:cs="Times New Roman"/>
          <w:sz w:val="24"/>
          <w:szCs w:val="24"/>
        </w:rPr>
      </w:pPr>
    </w:p>
    <w:p w14:paraId="5BBC33F2" w14:textId="77777777" w:rsidR="00257116" w:rsidRPr="00F97759" w:rsidRDefault="00257116" w:rsidP="00F97759">
      <w:pPr>
        <w:pStyle w:val="Heading2"/>
        <w:spacing w:line="360" w:lineRule="auto"/>
        <w:ind w:left="792"/>
        <w:jc w:val="both"/>
        <w:rPr>
          <w:rFonts w:ascii="Times New Roman" w:hAnsi="Times New Roman" w:cs="Times New Roman"/>
          <w:color w:val="auto"/>
          <w:sz w:val="24"/>
          <w:szCs w:val="24"/>
        </w:rPr>
      </w:pPr>
      <w:bookmarkStart w:id="7" w:name="_Toc509840534"/>
      <w:r w:rsidRPr="00F97759">
        <w:rPr>
          <w:rFonts w:ascii="Times New Roman" w:hAnsi="Times New Roman" w:cs="Times New Roman"/>
          <w:color w:val="auto"/>
          <w:sz w:val="24"/>
          <w:szCs w:val="24"/>
        </w:rPr>
        <w:t>Programme 4: National Disaster Management Centre</w:t>
      </w:r>
      <w:bookmarkEnd w:id="7"/>
    </w:p>
    <w:p w14:paraId="5E219EFB"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4ADCFBBE" w14:textId="77777777" w:rsidR="000C11DE" w:rsidRPr="00F97759" w:rsidRDefault="00624DC0" w:rsidP="00F97759">
      <w:pPr>
        <w:keepNext/>
        <w:keepLines/>
        <w:spacing w:before="40" w:line="360" w:lineRule="auto"/>
        <w:ind w:firstLine="720"/>
        <w:outlineLvl w:val="1"/>
        <w:rPr>
          <w:rFonts w:ascii="Times New Roman" w:eastAsiaTheme="majorEastAsia" w:hAnsi="Times New Roman" w:cs="Times New Roman"/>
          <w:b/>
          <w:sz w:val="24"/>
          <w:szCs w:val="24"/>
        </w:rPr>
      </w:pPr>
      <w:r w:rsidRPr="00F97759">
        <w:rPr>
          <w:rFonts w:ascii="Times New Roman" w:eastAsiaTheme="majorEastAsia" w:hAnsi="Times New Roman" w:cs="Times New Roman"/>
          <w:b/>
          <w:sz w:val="24"/>
          <w:szCs w:val="24"/>
        </w:rPr>
        <w:t>2</w:t>
      </w:r>
      <w:r w:rsidR="000C11DE" w:rsidRPr="00F97759">
        <w:rPr>
          <w:rFonts w:ascii="Times New Roman" w:eastAsiaTheme="majorEastAsia" w:hAnsi="Times New Roman" w:cs="Times New Roman"/>
          <w:b/>
          <w:sz w:val="24"/>
          <w:szCs w:val="24"/>
        </w:rPr>
        <w:t>.3.4 Programme 4: National Disaster Management Centre</w:t>
      </w:r>
    </w:p>
    <w:p w14:paraId="1AB28BD5" w14:textId="77777777" w:rsidR="00F97759" w:rsidRDefault="00F97759" w:rsidP="00F97759">
      <w:pPr>
        <w:spacing w:line="360" w:lineRule="auto"/>
        <w:rPr>
          <w:rFonts w:ascii="Times New Roman" w:hAnsi="Times New Roman" w:cs="Times New Roman"/>
          <w:sz w:val="24"/>
          <w:szCs w:val="24"/>
        </w:rPr>
      </w:pPr>
    </w:p>
    <w:p w14:paraId="4EAB1BC2"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As the Table below indicates, allocation to the National Disaster Management Centre (NDMC), which promotes an integrated and coordinated system of disaster prevention, mitigation and risk management, increases by 2.4 percent or R13.3 million in real terms during the 2018/19 financial year.</w:t>
      </w:r>
    </w:p>
    <w:p w14:paraId="1554AFDB" w14:textId="77777777" w:rsidR="00257116" w:rsidRPr="00F97759" w:rsidRDefault="00257116" w:rsidP="00F97759">
      <w:pPr>
        <w:spacing w:line="360" w:lineRule="auto"/>
        <w:rPr>
          <w:rFonts w:ascii="Times New Roman" w:hAnsi="Times New Roman" w:cs="Times New Roman"/>
          <w:sz w:val="24"/>
          <w:szCs w:val="24"/>
        </w:rPr>
      </w:pPr>
    </w:p>
    <w:tbl>
      <w:tblPr>
        <w:tblStyle w:val="TableGrid"/>
        <w:tblW w:w="9016" w:type="dxa"/>
        <w:tblLook w:val="04A0" w:firstRow="1" w:lastRow="0" w:firstColumn="1" w:lastColumn="0" w:noHBand="0" w:noVBand="1"/>
      </w:tblPr>
      <w:tblGrid>
        <w:gridCol w:w="2285"/>
        <w:gridCol w:w="1003"/>
        <w:gridCol w:w="1003"/>
        <w:gridCol w:w="1140"/>
        <w:gridCol w:w="987"/>
        <w:gridCol w:w="1332"/>
        <w:gridCol w:w="1332"/>
      </w:tblGrid>
      <w:tr w:rsidR="00257116" w:rsidRPr="00F97759" w14:paraId="04D330D2" w14:textId="77777777" w:rsidTr="00F97759">
        <w:trPr>
          <w:trHeight w:val="780"/>
        </w:trPr>
        <w:tc>
          <w:tcPr>
            <w:tcW w:w="2285" w:type="dxa"/>
            <w:noWrap/>
            <w:hideMark/>
          </w:tcPr>
          <w:p w14:paraId="6CEB17E2"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Programme</w:t>
            </w:r>
          </w:p>
        </w:tc>
        <w:tc>
          <w:tcPr>
            <w:tcW w:w="1940" w:type="dxa"/>
            <w:gridSpan w:val="2"/>
            <w:hideMark/>
          </w:tcPr>
          <w:p w14:paraId="12002334"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40" w:type="dxa"/>
            <w:hideMark/>
          </w:tcPr>
          <w:p w14:paraId="2A533D29"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987" w:type="dxa"/>
            <w:hideMark/>
          </w:tcPr>
          <w:p w14:paraId="565E1B5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32" w:type="dxa"/>
            <w:hideMark/>
          </w:tcPr>
          <w:p w14:paraId="734CDE4E"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32" w:type="dxa"/>
            <w:hideMark/>
          </w:tcPr>
          <w:p w14:paraId="66F94B86"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257116" w:rsidRPr="00F97759" w14:paraId="03189109" w14:textId="77777777" w:rsidTr="00F97759">
        <w:trPr>
          <w:trHeight w:val="255"/>
        </w:trPr>
        <w:tc>
          <w:tcPr>
            <w:tcW w:w="2285" w:type="dxa"/>
            <w:noWrap/>
            <w:hideMark/>
          </w:tcPr>
          <w:p w14:paraId="3504934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970" w:type="dxa"/>
            <w:noWrap/>
            <w:hideMark/>
          </w:tcPr>
          <w:p w14:paraId="0B93AE7E"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970" w:type="dxa"/>
            <w:noWrap/>
            <w:hideMark/>
          </w:tcPr>
          <w:p w14:paraId="3B99D01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127" w:type="dxa"/>
            <w:gridSpan w:val="2"/>
            <w:noWrap/>
            <w:hideMark/>
          </w:tcPr>
          <w:p w14:paraId="16D1FF85"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664" w:type="dxa"/>
            <w:gridSpan w:val="2"/>
            <w:noWrap/>
            <w:hideMark/>
          </w:tcPr>
          <w:p w14:paraId="11444505"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257116" w:rsidRPr="00F97759" w14:paraId="237B1581" w14:textId="77777777" w:rsidTr="00F97759">
        <w:trPr>
          <w:trHeight w:val="675"/>
        </w:trPr>
        <w:tc>
          <w:tcPr>
            <w:tcW w:w="2285" w:type="dxa"/>
            <w:hideMark/>
          </w:tcPr>
          <w:p w14:paraId="6080ACE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 Management: Head of National Disaster Management Centre</w:t>
            </w:r>
          </w:p>
        </w:tc>
        <w:tc>
          <w:tcPr>
            <w:tcW w:w="970" w:type="dxa"/>
            <w:noWrap/>
            <w:hideMark/>
          </w:tcPr>
          <w:p w14:paraId="43771C2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3,7</w:t>
            </w:r>
          </w:p>
        </w:tc>
        <w:tc>
          <w:tcPr>
            <w:tcW w:w="970" w:type="dxa"/>
            <w:noWrap/>
            <w:hideMark/>
          </w:tcPr>
          <w:p w14:paraId="4B80C28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3,8</w:t>
            </w:r>
          </w:p>
        </w:tc>
        <w:tc>
          <w:tcPr>
            <w:tcW w:w="1140" w:type="dxa"/>
            <w:noWrap/>
            <w:hideMark/>
          </w:tcPr>
          <w:p w14:paraId="25B3F9F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0,1</w:t>
            </w:r>
          </w:p>
        </w:tc>
        <w:tc>
          <w:tcPr>
            <w:tcW w:w="987" w:type="dxa"/>
            <w:noWrap/>
            <w:hideMark/>
          </w:tcPr>
          <w:p w14:paraId="0488ECF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0,1</w:t>
            </w:r>
          </w:p>
        </w:tc>
        <w:tc>
          <w:tcPr>
            <w:tcW w:w="1332" w:type="dxa"/>
            <w:noWrap/>
            <w:hideMark/>
          </w:tcPr>
          <w:p w14:paraId="13F7AC14"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2,70 per cent</w:t>
            </w:r>
          </w:p>
        </w:tc>
        <w:tc>
          <w:tcPr>
            <w:tcW w:w="1332" w:type="dxa"/>
            <w:noWrap/>
            <w:hideMark/>
          </w:tcPr>
          <w:p w14:paraId="1F9147C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-2,65 per cent</w:t>
            </w:r>
          </w:p>
        </w:tc>
      </w:tr>
      <w:tr w:rsidR="00257116" w:rsidRPr="00F97759" w14:paraId="73377E0D" w14:textId="77777777" w:rsidTr="00F97759">
        <w:trPr>
          <w:trHeight w:val="675"/>
        </w:trPr>
        <w:tc>
          <w:tcPr>
            <w:tcW w:w="2285" w:type="dxa"/>
            <w:hideMark/>
          </w:tcPr>
          <w:p w14:paraId="43F4AD8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Sub-Programme 2: Disaster Risk Reduction, Capacity </w:t>
            </w:r>
            <w:r w:rsidRPr="00F97759">
              <w:rPr>
                <w:rFonts w:ascii="Times New Roman" w:eastAsia="Times New Roman" w:hAnsi="Times New Roman" w:cs="Times New Roman"/>
                <w:sz w:val="24"/>
                <w:szCs w:val="24"/>
                <w:lang w:eastAsia="en-ZA"/>
              </w:rPr>
              <w:lastRenderedPageBreak/>
              <w:t>Building and Intervention</w:t>
            </w:r>
          </w:p>
        </w:tc>
        <w:tc>
          <w:tcPr>
            <w:tcW w:w="970" w:type="dxa"/>
            <w:noWrap/>
            <w:hideMark/>
          </w:tcPr>
          <w:p w14:paraId="1CB2390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 xml:space="preserve">  53,4</w:t>
            </w:r>
          </w:p>
        </w:tc>
        <w:tc>
          <w:tcPr>
            <w:tcW w:w="970" w:type="dxa"/>
            <w:noWrap/>
            <w:hideMark/>
          </w:tcPr>
          <w:p w14:paraId="7C42E70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52,9</w:t>
            </w:r>
          </w:p>
        </w:tc>
        <w:tc>
          <w:tcPr>
            <w:tcW w:w="1140" w:type="dxa"/>
            <w:noWrap/>
            <w:hideMark/>
          </w:tcPr>
          <w:p w14:paraId="2DA70DA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0,5</w:t>
            </w:r>
          </w:p>
        </w:tc>
        <w:tc>
          <w:tcPr>
            <w:tcW w:w="987" w:type="dxa"/>
            <w:noWrap/>
            <w:hideMark/>
          </w:tcPr>
          <w:p w14:paraId="7CC3AC6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3,3</w:t>
            </w:r>
          </w:p>
        </w:tc>
        <w:tc>
          <w:tcPr>
            <w:tcW w:w="1332" w:type="dxa"/>
            <w:noWrap/>
            <w:hideMark/>
          </w:tcPr>
          <w:p w14:paraId="79B9414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-0,94 per cent</w:t>
            </w:r>
          </w:p>
        </w:tc>
        <w:tc>
          <w:tcPr>
            <w:tcW w:w="1332" w:type="dxa"/>
            <w:noWrap/>
            <w:hideMark/>
          </w:tcPr>
          <w:p w14:paraId="530B4A8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-6,10 per cent</w:t>
            </w:r>
          </w:p>
        </w:tc>
      </w:tr>
      <w:tr w:rsidR="00257116" w:rsidRPr="00F97759" w14:paraId="3188C965" w14:textId="77777777" w:rsidTr="00F97759">
        <w:trPr>
          <w:trHeight w:val="450"/>
        </w:trPr>
        <w:tc>
          <w:tcPr>
            <w:tcW w:w="2285" w:type="dxa"/>
            <w:hideMark/>
          </w:tcPr>
          <w:p w14:paraId="32EBA47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Sub-Programme 3: Legislation and Policy Management</w:t>
            </w:r>
          </w:p>
        </w:tc>
        <w:tc>
          <w:tcPr>
            <w:tcW w:w="970" w:type="dxa"/>
            <w:noWrap/>
            <w:hideMark/>
          </w:tcPr>
          <w:p w14:paraId="1511713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6,0</w:t>
            </w:r>
          </w:p>
        </w:tc>
        <w:tc>
          <w:tcPr>
            <w:tcW w:w="970" w:type="dxa"/>
            <w:noWrap/>
            <w:hideMark/>
          </w:tcPr>
          <w:p w14:paraId="59318B8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6,4</w:t>
            </w:r>
          </w:p>
        </w:tc>
        <w:tc>
          <w:tcPr>
            <w:tcW w:w="1140" w:type="dxa"/>
            <w:noWrap/>
            <w:hideMark/>
          </w:tcPr>
          <w:p w14:paraId="5CC34CA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0,4</w:t>
            </w:r>
          </w:p>
        </w:tc>
        <w:tc>
          <w:tcPr>
            <w:tcW w:w="987" w:type="dxa"/>
            <w:noWrap/>
            <w:hideMark/>
          </w:tcPr>
          <w:p w14:paraId="4B6097D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0,1</w:t>
            </w:r>
          </w:p>
        </w:tc>
        <w:tc>
          <w:tcPr>
            <w:tcW w:w="1332" w:type="dxa"/>
            <w:noWrap/>
            <w:hideMark/>
          </w:tcPr>
          <w:p w14:paraId="53AE89B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6,67 per cent</w:t>
            </w:r>
          </w:p>
          <w:p w14:paraId="69E5430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p w14:paraId="1B49942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p w14:paraId="70C5548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p>
        </w:tc>
        <w:tc>
          <w:tcPr>
            <w:tcW w:w="1332" w:type="dxa"/>
            <w:noWrap/>
            <w:hideMark/>
          </w:tcPr>
          <w:p w14:paraId="5D48163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1,11 per cent</w:t>
            </w:r>
          </w:p>
        </w:tc>
      </w:tr>
      <w:tr w:rsidR="00257116" w:rsidRPr="00F97759" w14:paraId="318913B6" w14:textId="77777777" w:rsidTr="00F97759">
        <w:trPr>
          <w:trHeight w:val="1125"/>
        </w:trPr>
        <w:tc>
          <w:tcPr>
            <w:tcW w:w="2285" w:type="dxa"/>
            <w:hideMark/>
          </w:tcPr>
          <w:p w14:paraId="67A2EED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4: Integrated Provincial Disaster Management Support, Monitoring and Evaluation Systems</w:t>
            </w:r>
          </w:p>
        </w:tc>
        <w:tc>
          <w:tcPr>
            <w:tcW w:w="970" w:type="dxa"/>
            <w:noWrap/>
            <w:hideMark/>
          </w:tcPr>
          <w:p w14:paraId="70B2D04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4,3</w:t>
            </w:r>
          </w:p>
        </w:tc>
        <w:tc>
          <w:tcPr>
            <w:tcW w:w="970" w:type="dxa"/>
            <w:noWrap/>
            <w:hideMark/>
          </w:tcPr>
          <w:p w14:paraId="16ED29E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4,5</w:t>
            </w:r>
          </w:p>
        </w:tc>
        <w:tc>
          <w:tcPr>
            <w:tcW w:w="1140" w:type="dxa"/>
            <w:noWrap/>
            <w:hideMark/>
          </w:tcPr>
          <w:p w14:paraId="236C80C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0,2</w:t>
            </w:r>
          </w:p>
        </w:tc>
        <w:tc>
          <w:tcPr>
            <w:tcW w:w="987" w:type="dxa"/>
            <w:noWrap/>
            <w:hideMark/>
          </w:tcPr>
          <w:p w14:paraId="1494CBD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332" w:type="dxa"/>
            <w:noWrap/>
            <w:hideMark/>
          </w:tcPr>
          <w:p w14:paraId="2B5D2C3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4,65 per cent</w:t>
            </w:r>
          </w:p>
        </w:tc>
        <w:tc>
          <w:tcPr>
            <w:tcW w:w="1332" w:type="dxa"/>
            <w:noWrap/>
            <w:hideMark/>
          </w:tcPr>
          <w:p w14:paraId="3075C81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-0,80 per cent</w:t>
            </w:r>
          </w:p>
        </w:tc>
      </w:tr>
      <w:tr w:rsidR="00257116" w:rsidRPr="00F97759" w14:paraId="186E707C" w14:textId="77777777" w:rsidTr="00F97759">
        <w:trPr>
          <w:trHeight w:val="255"/>
        </w:trPr>
        <w:tc>
          <w:tcPr>
            <w:tcW w:w="2285" w:type="dxa"/>
            <w:hideMark/>
          </w:tcPr>
          <w:p w14:paraId="72C5F74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5: Fire Services</w:t>
            </w:r>
          </w:p>
        </w:tc>
        <w:tc>
          <w:tcPr>
            <w:tcW w:w="970" w:type="dxa"/>
            <w:noWrap/>
            <w:hideMark/>
          </w:tcPr>
          <w:p w14:paraId="2FACF1B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3,4</w:t>
            </w:r>
          </w:p>
        </w:tc>
        <w:tc>
          <w:tcPr>
            <w:tcW w:w="970" w:type="dxa"/>
            <w:noWrap/>
            <w:hideMark/>
          </w:tcPr>
          <w:p w14:paraId="18C1712B"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3,5</w:t>
            </w:r>
          </w:p>
        </w:tc>
        <w:tc>
          <w:tcPr>
            <w:tcW w:w="1140" w:type="dxa"/>
            <w:noWrap/>
            <w:hideMark/>
          </w:tcPr>
          <w:p w14:paraId="501F2BE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0,1</w:t>
            </w:r>
          </w:p>
        </w:tc>
        <w:tc>
          <w:tcPr>
            <w:tcW w:w="987" w:type="dxa"/>
            <w:noWrap/>
            <w:hideMark/>
          </w:tcPr>
          <w:p w14:paraId="56E3257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0,1</w:t>
            </w:r>
          </w:p>
        </w:tc>
        <w:tc>
          <w:tcPr>
            <w:tcW w:w="1332" w:type="dxa"/>
            <w:noWrap/>
            <w:hideMark/>
          </w:tcPr>
          <w:p w14:paraId="6322029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2,94 per cent</w:t>
            </w:r>
          </w:p>
        </w:tc>
        <w:tc>
          <w:tcPr>
            <w:tcW w:w="1332" w:type="dxa"/>
            <w:noWrap/>
            <w:hideMark/>
          </w:tcPr>
          <w:p w14:paraId="2AC9BD43"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-2,43 per cent</w:t>
            </w:r>
          </w:p>
        </w:tc>
      </w:tr>
      <w:tr w:rsidR="00257116" w:rsidRPr="00F97759" w14:paraId="46B85187" w14:textId="77777777" w:rsidTr="00F97759">
        <w:trPr>
          <w:trHeight w:val="900"/>
        </w:trPr>
        <w:tc>
          <w:tcPr>
            <w:tcW w:w="2285" w:type="dxa"/>
            <w:hideMark/>
          </w:tcPr>
          <w:p w14:paraId="5FDE00E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6: Information Technology, Intelligence and Information Management Systems</w:t>
            </w:r>
          </w:p>
        </w:tc>
        <w:tc>
          <w:tcPr>
            <w:tcW w:w="970" w:type="dxa"/>
            <w:noWrap/>
            <w:hideMark/>
          </w:tcPr>
          <w:p w14:paraId="62D5EFDD"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27,5</w:t>
            </w:r>
          </w:p>
        </w:tc>
        <w:tc>
          <w:tcPr>
            <w:tcW w:w="970" w:type="dxa"/>
            <w:noWrap/>
            <w:hideMark/>
          </w:tcPr>
          <w:p w14:paraId="445FEFD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27,0</w:t>
            </w:r>
          </w:p>
        </w:tc>
        <w:tc>
          <w:tcPr>
            <w:tcW w:w="1140" w:type="dxa"/>
            <w:noWrap/>
            <w:hideMark/>
          </w:tcPr>
          <w:p w14:paraId="2F80DCE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0,5</w:t>
            </w:r>
          </w:p>
        </w:tc>
        <w:tc>
          <w:tcPr>
            <w:tcW w:w="987" w:type="dxa"/>
            <w:noWrap/>
            <w:hideMark/>
          </w:tcPr>
          <w:p w14:paraId="7DA8576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1,9</w:t>
            </w:r>
          </w:p>
        </w:tc>
        <w:tc>
          <w:tcPr>
            <w:tcW w:w="1332" w:type="dxa"/>
            <w:noWrap/>
            <w:hideMark/>
          </w:tcPr>
          <w:p w14:paraId="3E2EB695"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-1,82 per cent</w:t>
            </w:r>
          </w:p>
        </w:tc>
        <w:tc>
          <w:tcPr>
            <w:tcW w:w="1332" w:type="dxa"/>
            <w:noWrap/>
            <w:hideMark/>
          </w:tcPr>
          <w:p w14:paraId="211F3EC8"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-6,94 per cent</w:t>
            </w:r>
          </w:p>
        </w:tc>
      </w:tr>
      <w:tr w:rsidR="00257116" w:rsidRPr="00F97759" w14:paraId="44A5B981" w14:textId="77777777" w:rsidTr="00F97759">
        <w:trPr>
          <w:trHeight w:val="450"/>
        </w:trPr>
        <w:tc>
          <w:tcPr>
            <w:tcW w:w="2285" w:type="dxa"/>
            <w:hideMark/>
          </w:tcPr>
          <w:p w14:paraId="281C7DD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7: Disaster Relief Grant</w:t>
            </w:r>
          </w:p>
        </w:tc>
        <w:tc>
          <w:tcPr>
            <w:tcW w:w="970" w:type="dxa"/>
            <w:noWrap/>
            <w:hideMark/>
          </w:tcPr>
          <w:p w14:paraId="681453C1"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423,7</w:t>
            </w:r>
          </w:p>
        </w:tc>
        <w:tc>
          <w:tcPr>
            <w:tcW w:w="970" w:type="dxa"/>
            <w:noWrap/>
            <w:hideMark/>
          </w:tcPr>
          <w:p w14:paraId="6EDE0B39"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472,9</w:t>
            </w:r>
          </w:p>
        </w:tc>
        <w:tc>
          <w:tcPr>
            <w:tcW w:w="1140" w:type="dxa"/>
            <w:noWrap/>
            <w:hideMark/>
          </w:tcPr>
          <w:p w14:paraId="57616A1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49,2</w:t>
            </w:r>
          </w:p>
        </w:tc>
        <w:tc>
          <w:tcPr>
            <w:tcW w:w="987" w:type="dxa"/>
            <w:noWrap/>
            <w:hideMark/>
          </w:tcPr>
          <w:p w14:paraId="4F2ED86E"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24,5</w:t>
            </w:r>
          </w:p>
        </w:tc>
        <w:tc>
          <w:tcPr>
            <w:tcW w:w="1332" w:type="dxa"/>
            <w:noWrap/>
            <w:hideMark/>
          </w:tcPr>
          <w:p w14:paraId="5331CE06"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11,61 per cent</w:t>
            </w:r>
          </w:p>
        </w:tc>
        <w:tc>
          <w:tcPr>
            <w:tcW w:w="1332" w:type="dxa"/>
            <w:noWrap/>
            <w:hideMark/>
          </w:tcPr>
          <w:p w14:paraId="38B9A2C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5,79 per cent</w:t>
            </w:r>
          </w:p>
        </w:tc>
      </w:tr>
      <w:tr w:rsidR="00257116" w:rsidRPr="00F97759" w14:paraId="45CD581E" w14:textId="77777777" w:rsidTr="00F97759">
        <w:trPr>
          <w:trHeight w:val="450"/>
        </w:trPr>
        <w:tc>
          <w:tcPr>
            <w:tcW w:w="2285" w:type="dxa"/>
            <w:hideMark/>
          </w:tcPr>
          <w:p w14:paraId="24CA5937"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8: Municipal Disaster Recovery Grant</w:t>
            </w:r>
          </w:p>
        </w:tc>
        <w:tc>
          <w:tcPr>
            <w:tcW w:w="970" w:type="dxa"/>
            <w:noWrap/>
            <w:hideMark/>
          </w:tcPr>
          <w:p w14:paraId="01CD542C"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26,1</w:t>
            </w:r>
          </w:p>
        </w:tc>
        <w:tc>
          <w:tcPr>
            <w:tcW w:w="970" w:type="dxa"/>
            <w:noWrap/>
            <w:hideMark/>
          </w:tcPr>
          <w:p w14:paraId="3D22D082"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21,3</w:t>
            </w:r>
          </w:p>
        </w:tc>
        <w:tc>
          <w:tcPr>
            <w:tcW w:w="1140" w:type="dxa"/>
            <w:noWrap/>
            <w:hideMark/>
          </w:tcPr>
          <w:p w14:paraId="7BA5F1BA"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4,8</w:t>
            </w:r>
          </w:p>
        </w:tc>
        <w:tc>
          <w:tcPr>
            <w:tcW w:w="987" w:type="dxa"/>
            <w:noWrap/>
            <w:hideMark/>
          </w:tcPr>
          <w:p w14:paraId="28376FF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5,9</w:t>
            </w:r>
          </w:p>
        </w:tc>
        <w:tc>
          <w:tcPr>
            <w:tcW w:w="1332" w:type="dxa"/>
            <w:noWrap/>
            <w:hideMark/>
          </w:tcPr>
          <w:p w14:paraId="71D05430"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-18,39 per cent</w:t>
            </w:r>
          </w:p>
        </w:tc>
        <w:tc>
          <w:tcPr>
            <w:tcW w:w="1332" w:type="dxa"/>
            <w:noWrap/>
            <w:hideMark/>
          </w:tcPr>
          <w:p w14:paraId="603AAB5F" w14:textId="77777777" w:rsidR="00257116" w:rsidRPr="00F97759" w:rsidRDefault="00257116"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-22,65 per cent</w:t>
            </w:r>
          </w:p>
        </w:tc>
      </w:tr>
      <w:tr w:rsidR="00257116" w:rsidRPr="00F97759" w14:paraId="4A7750E3" w14:textId="77777777" w:rsidTr="00F97759">
        <w:trPr>
          <w:trHeight w:val="270"/>
        </w:trPr>
        <w:tc>
          <w:tcPr>
            <w:tcW w:w="2285" w:type="dxa"/>
            <w:noWrap/>
            <w:hideMark/>
          </w:tcPr>
          <w:p w14:paraId="71BA535B"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970" w:type="dxa"/>
            <w:noWrap/>
            <w:hideMark/>
          </w:tcPr>
          <w:p w14:paraId="141CCFCF"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548,1</w:t>
            </w:r>
          </w:p>
        </w:tc>
        <w:tc>
          <w:tcPr>
            <w:tcW w:w="970" w:type="dxa"/>
            <w:noWrap/>
            <w:hideMark/>
          </w:tcPr>
          <w:p w14:paraId="305CF485"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592,3</w:t>
            </w:r>
          </w:p>
        </w:tc>
        <w:tc>
          <w:tcPr>
            <w:tcW w:w="1140" w:type="dxa"/>
            <w:noWrap/>
            <w:hideMark/>
          </w:tcPr>
          <w:p w14:paraId="791D4E42"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44,2</w:t>
            </w:r>
          </w:p>
        </w:tc>
        <w:tc>
          <w:tcPr>
            <w:tcW w:w="987" w:type="dxa"/>
            <w:noWrap/>
            <w:hideMark/>
          </w:tcPr>
          <w:p w14:paraId="74501FCD"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13,3</w:t>
            </w:r>
          </w:p>
        </w:tc>
        <w:tc>
          <w:tcPr>
            <w:tcW w:w="1332" w:type="dxa"/>
            <w:noWrap/>
            <w:hideMark/>
          </w:tcPr>
          <w:p w14:paraId="40E0F5FB"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8,06 per cent</w:t>
            </w:r>
          </w:p>
        </w:tc>
        <w:tc>
          <w:tcPr>
            <w:tcW w:w="1332" w:type="dxa"/>
            <w:noWrap/>
            <w:hideMark/>
          </w:tcPr>
          <w:p w14:paraId="1149776D" w14:textId="77777777" w:rsidR="00257116" w:rsidRPr="00F97759" w:rsidRDefault="00257116"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2,43 per cent</w:t>
            </w:r>
          </w:p>
        </w:tc>
      </w:tr>
    </w:tbl>
    <w:p w14:paraId="5E66E875" w14:textId="77777777" w:rsidR="00257116" w:rsidRPr="00F97759" w:rsidRDefault="00257116" w:rsidP="00F97759">
      <w:pPr>
        <w:spacing w:line="360" w:lineRule="auto"/>
        <w:rPr>
          <w:rFonts w:ascii="Times New Roman" w:hAnsi="Times New Roman" w:cs="Times New Roman"/>
          <w:sz w:val="24"/>
          <w:szCs w:val="24"/>
        </w:rPr>
      </w:pPr>
    </w:p>
    <w:p w14:paraId="2CF0C219" w14:textId="77777777" w:rsidR="00257116" w:rsidRPr="00F97759" w:rsidRDefault="00257116"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The Graph below indicates that the bulk of National Disaster Management Centre’s (NDMC) budget is concentrated on sub-programme 7, which disburses the Disaster Relief Grant (DRG). The DRG receives an additional R24.5 million in 2018/19 in recognition of the fact </w:t>
      </w:r>
      <w:r w:rsidRPr="00F97759">
        <w:rPr>
          <w:rFonts w:ascii="Times New Roman" w:hAnsi="Times New Roman" w:cs="Times New Roman"/>
          <w:sz w:val="24"/>
          <w:szCs w:val="24"/>
        </w:rPr>
        <w:lastRenderedPageBreak/>
        <w:t xml:space="preserve">that disaster in South Africa - and drought in particular - shows no signs of abatement in provinces such as the Western Cape, Eastern Cape and the Northern Cape. On 22 March 2018, the Minister of Cooperative Governance Traditional Affairs, Dr </w:t>
      </w:r>
      <w:proofErr w:type="spellStart"/>
      <w:r w:rsidRPr="00F97759">
        <w:rPr>
          <w:rFonts w:ascii="Times New Roman" w:hAnsi="Times New Roman" w:cs="Times New Roman"/>
          <w:sz w:val="24"/>
          <w:szCs w:val="24"/>
        </w:rPr>
        <w:t>Zweli</w:t>
      </w:r>
      <w:proofErr w:type="spellEnd"/>
      <w:r w:rsidRPr="00F97759">
        <w:rPr>
          <w:rFonts w:ascii="Times New Roman" w:hAnsi="Times New Roman" w:cs="Times New Roman"/>
          <w:sz w:val="24"/>
          <w:szCs w:val="24"/>
        </w:rPr>
        <w:t xml:space="preserve"> </w:t>
      </w:r>
      <w:proofErr w:type="spellStart"/>
      <w:r w:rsidRPr="00F97759">
        <w:rPr>
          <w:rFonts w:ascii="Times New Roman" w:hAnsi="Times New Roman" w:cs="Times New Roman"/>
          <w:sz w:val="24"/>
          <w:szCs w:val="24"/>
        </w:rPr>
        <w:t>Mkhize</w:t>
      </w:r>
      <w:proofErr w:type="spellEnd"/>
      <w:r w:rsidRPr="00F97759">
        <w:rPr>
          <w:rFonts w:ascii="Times New Roman" w:hAnsi="Times New Roman" w:cs="Times New Roman"/>
          <w:sz w:val="24"/>
          <w:szCs w:val="24"/>
        </w:rPr>
        <w:t>, announced that Government has made available, from the DRG, a total amount of R433.5 million as immediate disaster relief funding for drought within the affected provinces.</w:t>
      </w:r>
      <w:r w:rsidRPr="00F97759">
        <w:rPr>
          <w:rStyle w:val="FootnoteReference"/>
          <w:rFonts w:ascii="Times New Roman" w:hAnsi="Times New Roman" w:cs="Times New Roman"/>
          <w:sz w:val="24"/>
          <w:szCs w:val="24"/>
        </w:rPr>
        <w:footnoteReference w:id="3"/>
      </w:r>
    </w:p>
    <w:p w14:paraId="2B52FAA5" w14:textId="77777777" w:rsidR="000C11DE" w:rsidRPr="00F97759" w:rsidRDefault="000C11DE" w:rsidP="00F97759">
      <w:pPr>
        <w:spacing w:line="360" w:lineRule="auto"/>
        <w:rPr>
          <w:rFonts w:ascii="Times New Roman" w:hAnsi="Times New Roman" w:cs="Times New Roman"/>
          <w:sz w:val="24"/>
          <w:szCs w:val="24"/>
        </w:rPr>
      </w:pPr>
    </w:p>
    <w:p w14:paraId="2966634F" w14:textId="77777777" w:rsidR="00257116" w:rsidRPr="00F97759" w:rsidRDefault="00727CDC" w:rsidP="00F97759">
      <w:pPr>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85888" behindDoc="0" locked="0" layoutInCell="1" allowOverlap="1" wp14:anchorId="51D5EBC1" wp14:editId="16C225DB">
            <wp:simplePos x="0" y="0"/>
            <wp:positionH relativeFrom="column">
              <wp:posOffset>0</wp:posOffset>
            </wp:positionH>
            <wp:positionV relativeFrom="paragraph">
              <wp:posOffset>-93752</wp:posOffset>
            </wp:positionV>
            <wp:extent cx="5731510" cy="3084394"/>
            <wp:effectExtent l="0" t="0" r="2540" b="190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57FC9F98" w14:textId="77777777" w:rsidR="00257116" w:rsidRPr="00F97759" w:rsidRDefault="00257116" w:rsidP="00F97759">
      <w:pPr>
        <w:spacing w:line="360" w:lineRule="auto"/>
        <w:rPr>
          <w:rFonts w:ascii="Times New Roman" w:hAnsi="Times New Roman" w:cs="Times New Roman"/>
          <w:sz w:val="24"/>
          <w:szCs w:val="24"/>
        </w:rPr>
      </w:pPr>
    </w:p>
    <w:p w14:paraId="11837884" w14:textId="77777777" w:rsidR="00257116" w:rsidRPr="00F97759" w:rsidRDefault="00257116" w:rsidP="00F97759">
      <w:pPr>
        <w:spacing w:line="360" w:lineRule="auto"/>
        <w:rPr>
          <w:rFonts w:ascii="Times New Roman" w:hAnsi="Times New Roman" w:cs="Times New Roman"/>
          <w:sz w:val="24"/>
          <w:szCs w:val="24"/>
        </w:rPr>
      </w:pPr>
    </w:p>
    <w:p w14:paraId="7BB321D0" w14:textId="77777777" w:rsidR="00257116" w:rsidRPr="00F97759" w:rsidRDefault="00257116" w:rsidP="00F97759">
      <w:pPr>
        <w:spacing w:line="360" w:lineRule="auto"/>
        <w:rPr>
          <w:rFonts w:ascii="Times New Roman" w:hAnsi="Times New Roman" w:cs="Times New Roman"/>
          <w:sz w:val="24"/>
          <w:szCs w:val="24"/>
        </w:rPr>
      </w:pPr>
    </w:p>
    <w:p w14:paraId="22251BCE" w14:textId="77777777" w:rsidR="00257116" w:rsidRPr="00F97759" w:rsidRDefault="00257116" w:rsidP="00F97759">
      <w:pPr>
        <w:spacing w:line="360" w:lineRule="auto"/>
        <w:rPr>
          <w:rFonts w:ascii="Times New Roman" w:hAnsi="Times New Roman" w:cs="Times New Roman"/>
          <w:sz w:val="24"/>
          <w:szCs w:val="24"/>
        </w:rPr>
      </w:pPr>
    </w:p>
    <w:p w14:paraId="04A86F67" w14:textId="77777777" w:rsidR="00257116" w:rsidRPr="00F97759" w:rsidRDefault="00257116" w:rsidP="00F97759">
      <w:pPr>
        <w:spacing w:line="360" w:lineRule="auto"/>
        <w:rPr>
          <w:rFonts w:ascii="Times New Roman" w:hAnsi="Times New Roman" w:cs="Times New Roman"/>
          <w:sz w:val="24"/>
          <w:szCs w:val="24"/>
        </w:rPr>
      </w:pPr>
    </w:p>
    <w:p w14:paraId="4CC6736C" w14:textId="77777777" w:rsidR="00257116" w:rsidRPr="00F97759" w:rsidRDefault="00257116" w:rsidP="00F97759">
      <w:pPr>
        <w:spacing w:line="360" w:lineRule="auto"/>
        <w:rPr>
          <w:rFonts w:ascii="Times New Roman" w:hAnsi="Times New Roman" w:cs="Times New Roman"/>
          <w:sz w:val="24"/>
          <w:szCs w:val="24"/>
        </w:rPr>
      </w:pPr>
    </w:p>
    <w:p w14:paraId="7446C821" w14:textId="77777777" w:rsidR="00257116" w:rsidRPr="00F97759" w:rsidRDefault="00257116" w:rsidP="00F97759">
      <w:pPr>
        <w:spacing w:line="360" w:lineRule="auto"/>
        <w:rPr>
          <w:rFonts w:ascii="Times New Roman" w:hAnsi="Times New Roman" w:cs="Times New Roman"/>
          <w:sz w:val="24"/>
          <w:szCs w:val="24"/>
        </w:rPr>
      </w:pPr>
    </w:p>
    <w:p w14:paraId="5A788848" w14:textId="77777777" w:rsidR="00257116" w:rsidRPr="00F97759" w:rsidRDefault="00257116" w:rsidP="00F97759">
      <w:pPr>
        <w:spacing w:line="360" w:lineRule="auto"/>
        <w:rPr>
          <w:rFonts w:ascii="Times New Roman" w:hAnsi="Times New Roman" w:cs="Times New Roman"/>
          <w:sz w:val="24"/>
          <w:szCs w:val="24"/>
        </w:rPr>
      </w:pPr>
    </w:p>
    <w:p w14:paraId="5D111A61" w14:textId="77777777" w:rsidR="00257116" w:rsidRPr="00F97759" w:rsidRDefault="00257116" w:rsidP="00F97759">
      <w:pPr>
        <w:spacing w:line="360" w:lineRule="auto"/>
        <w:rPr>
          <w:rFonts w:ascii="Times New Roman" w:hAnsi="Times New Roman" w:cs="Times New Roman"/>
          <w:sz w:val="24"/>
          <w:szCs w:val="24"/>
        </w:rPr>
      </w:pPr>
    </w:p>
    <w:p w14:paraId="742DEE7A" w14:textId="77777777" w:rsidR="00257116" w:rsidRPr="00F97759" w:rsidRDefault="00257116" w:rsidP="00F97759">
      <w:pPr>
        <w:spacing w:line="360" w:lineRule="auto"/>
        <w:rPr>
          <w:rFonts w:ascii="Times New Roman" w:hAnsi="Times New Roman" w:cs="Times New Roman"/>
          <w:sz w:val="24"/>
          <w:szCs w:val="24"/>
        </w:rPr>
      </w:pPr>
    </w:p>
    <w:p w14:paraId="2122A619" w14:textId="77777777" w:rsidR="00257116" w:rsidRPr="00F97759" w:rsidRDefault="00257116" w:rsidP="00F97759">
      <w:pPr>
        <w:spacing w:line="360" w:lineRule="auto"/>
        <w:rPr>
          <w:rFonts w:ascii="Times New Roman" w:hAnsi="Times New Roman" w:cs="Times New Roman"/>
          <w:sz w:val="24"/>
          <w:szCs w:val="24"/>
        </w:rPr>
      </w:pPr>
    </w:p>
    <w:p w14:paraId="494AD696" w14:textId="77777777" w:rsidR="00257116" w:rsidRPr="00F97759" w:rsidRDefault="00257116" w:rsidP="00F97759">
      <w:pPr>
        <w:tabs>
          <w:tab w:val="left" w:pos="1152"/>
        </w:tabs>
        <w:spacing w:line="360" w:lineRule="auto"/>
        <w:rPr>
          <w:rFonts w:ascii="Times New Roman" w:hAnsi="Times New Roman" w:cs="Times New Roman"/>
          <w:sz w:val="24"/>
          <w:szCs w:val="24"/>
        </w:rPr>
      </w:pPr>
    </w:p>
    <w:p w14:paraId="57171999" w14:textId="77777777" w:rsidR="00A929CE" w:rsidRPr="00F97759" w:rsidRDefault="00624DC0" w:rsidP="00F97759">
      <w:pPr>
        <w:pStyle w:val="Heading2"/>
        <w:spacing w:line="360" w:lineRule="auto"/>
        <w:ind w:left="792"/>
        <w:jc w:val="both"/>
        <w:rPr>
          <w:rFonts w:ascii="Times New Roman" w:hAnsi="Times New Roman" w:cs="Times New Roman"/>
          <w:sz w:val="24"/>
          <w:szCs w:val="24"/>
        </w:rPr>
      </w:pPr>
      <w:bookmarkStart w:id="8" w:name="_Toc509840535"/>
      <w:r w:rsidRPr="00F97759">
        <w:rPr>
          <w:rFonts w:ascii="Times New Roman" w:hAnsi="Times New Roman" w:cs="Times New Roman"/>
          <w:color w:val="auto"/>
          <w:sz w:val="24"/>
          <w:szCs w:val="24"/>
        </w:rPr>
        <w:t xml:space="preserve">2.3.5 </w:t>
      </w:r>
      <w:r w:rsidR="00A929CE" w:rsidRPr="00F97759">
        <w:rPr>
          <w:rFonts w:ascii="Times New Roman" w:hAnsi="Times New Roman" w:cs="Times New Roman"/>
          <w:color w:val="auto"/>
          <w:sz w:val="24"/>
          <w:szCs w:val="24"/>
        </w:rPr>
        <w:t>Programme 5: Local Government Support and Intervention Management</w:t>
      </w:r>
      <w:bookmarkEnd w:id="8"/>
      <w:r w:rsidR="00A929CE" w:rsidRPr="00F97759">
        <w:rPr>
          <w:rFonts w:ascii="Times New Roman" w:hAnsi="Times New Roman" w:cs="Times New Roman"/>
          <w:color w:val="auto"/>
          <w:sz w:val="24"/>
          <w:szCs w:val="24"/>
        </w:rPr>
        <w:t xml:space="preserve"> </w:t>
      </w:r>
    </w:p>
    <w:p w14:paraId="2C3DEC02" w14:textId="77777777" w:rsidR="00A929CE" w:rsidRPr="00F97759" w:rsidRDefault="00A929CE" w:rsidP="00F97759">
      <w:pPr>
        <w:spacing w:line="360" w:lineRule="auto"/>
        <w:rPr>
          <w:rFonts w:ascii="Times New Roman" w:hAnsi="Times New Roman" w:cs="Times New Roman"/>
          <w:sz w:val="24"/>
          <w:szCs w:val="24"/>
        </w:rPr>
      </w:pPr>
    </w:p>
    <w:tbl>
      <w:tblPr>
        <w:tblStyle w:val="TableGrid"/>
        <w:tblW w:w="8920" w:type="dxa"/>
        <w:tblLook w:val="04A0" w:firstRow="1" w:lastRow="0" w:firstColumn="1" w:lastColumn="0" w:noHBand="0" w:noVBand="1"/>
      </w:tblPr>
      <w:tblGrid>
        <w:gridCol w:w="2348"/>
        <w:gridCol w:w="993"/>
        <w:gridCol w:w="993"/>
        <w:gridCol w:w="1168"/>
        <w:gridCol w:w="1010"/>
        <w:gridCol w:w="1365"/>
        <w:gridCol w:w="1365"/>
      </w:tblGrid>
      <w:tr w:rsidR="00A929CE" w:rsidRPr="00F97759" w14:paraId="7F0B8028" w14:textId="77777777" w:rsidTr="00727CDC">
        <w:trPr>
          <w:trHeight w:val="780"/>
        </w:trPr>
        <w:tc>
          <w:tcPr>
            <w:tcW w:w="2376" w:type="dxa"/>
            <w:noWrap/>
            <w:hideMark/>
          </w:tcPr>
          <w:p w14:paraId="5E93D201"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Programme</w:t>
            </w:r>
          </w:p>
        </w:tc>
        <w:tc>
          <w:tcPr>
            <w:tcW w:w="1584" w:type="dxa"/>
            <w:gridSpan w:val="2"/>
            <w:hideMark/>
          </w:tcPr>
          <w:p w14:paraId="67EC62ED"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80" w:type="dxa"/>
            <w:hideMark/>
          </w:tcPr>
          <w:p w14:paraId="729C13E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1020" w:type="dxa"/>
            <w:hideMark/>
          </w:tcPr>
          <w:p w14:paraId="68B3B39E"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80" w:type="dxa"/>
            <w:hideMark/>
          </w:tcPr>
          <w:p w14:paraId="50FEB19A"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80" w:type="dxa"/>
            <w:hideMark/>
          </w:tcPr>
          <w:p w14:paraId="55F04ECA"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A929CE" w:rsidRPr="00F97759" w14:paraId="6E6409BB" w14:textId="77777777" w:rsidTr="00727CDC">
        <w:trPr>
          <w:trHeight w:val="255"/>
        </w:trPr>
        <w:tc>
          <w:tcPr>
            <w:tcW w:w="2376" w:type="dxa"/>
            <w:noWrap/>
            <w:hideMark/>
          </w:tcPr>
          <w:p w14:paraId="77408A7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792" w:type="dxa"/>
            <w:noWrap/>
            <w:hideMark/>
          </w:tcPr>
          <w:p w14:paraId="020E0FAB"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792" w:type="dxa"/>
            <w:noWrap/>
            <w:hideMark/>
          </w:tcPr>
          <w:p w14:paraId="707BCB64"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200" w:type="dxa"/>
            <w:gridSpan w:val="2"/>
            <w:noWrap/>
            <w:hideMark/>
          </w:tcPr>
          <w:p w14:paraId="5836A4FA"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760" w:type="dxa"/>
            <w:gridSpan w:val="2"/>
            <w:noWrap/>
            <w:hideMark/>
          </w:tcPr>
          <w:p w14:paraId="43640015"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A929CE" w:rsidRPr="00F97759" w14:paraId="17FF6981" w14:textId="77777777" w:rsidTr="00727CDC">
        <w:trPr>
          <w:trHeight w:val="900"/>
        </w:trPr>
        <w:tc>
          <w:tcPr>
            <w:tcW w:w="2376" w:type="dxa"/>
            <w:hideMark/>
          </w:tcPr>
          <w:p w14:paraId="0ED63E8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 Management: Local Government Support and Interventions</w:t>
            </w:r>
          </w:p>
        </w:tc>
        <w:tc>
          <w:tcPr>
            <w:tcW w:w="792" w:type="dxa"/>
            <w:noWrap/>
            <w:hideMark/>
          </w:tcPr>
          <w:p w14:paraId="4C2A653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3,3</w:t>
            </w:r>
          </w:p>
        </w:tc>
        <w:tc>
          <w:tcPr>
            <w:tcW w:w="792" w:type="dxa"/>
            <w:noWrap/>
            <w:hideMark/>
          </w:tcPr>
          <w:p w14:paraId="1178C49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3,5</w:t>
            </w:r>
          </w:p>
        </w:tc>
        <w:tc>
          <w:tcPr>
            <w:tcW w:w="1180" w:type="dxa"/>
            <w:noWrap/>
            <w:hideMark/>
          </w:tcPr>
          <w:p w14:paraId="611AD31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0,2</w:t>
            </w:r>
          </w:p>
        </w:tc>
        <w:tc>
          <w:tcPr>
            <w:tcW w:w="1020" w:type="dxa"/>
            <w:noWrap/>
            <w:hideMark/>
          </w:tcPr>
          <w:p w14:paraId="5D21B57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380" w:type="dxa"/>
            <w:noWrap/>
            <w:hideMark/>
          </w:tcPr>
          <w:p w14:paraId="713C277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6,06 per cent</w:t>
            </w:r>
          </w:p>
        </w:tc>
        <w:tc>
          <w:tcPr>
            <w:tcW w:w="1380" w:type="dxa"/>
            <w:noWrap/>
            <w:hideMark/>
          </w:tcPr>
          <w:p w14:paraId="2BC3F79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0,53 per cent</w:t>
            </w:r>
          </w:p>
        </w:tc>
      </w:tr>
      <w:tr w:rsidR="00A929CE" w:rsidRPr="00F97759" w14:paraId="311E930E" w14:textId="77777777" w:rsidTr="00727CDC">
        <w:trPr>
          <w:trHeight w:val="450"/>
        </w:trPr>
        <w:tc>
          <w:tcPr>
            <w:tcW w:w="2376" w:type="dxa"/>
            <w:hideMark/>
          </w:tcPr>
          <w:p w14:paraId="3C7F2C1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Sub-Programme 2: Municipal </w:t>
            </w:r>
            <w:r w:rsidRPr="00F97759">
              <w:rPr>
                <w:rFonts w:ascii="Times New Roman" w:eastAsia="Times New Roman" w:hAnsi="Times New Roman" w:cs="Times New Roman"/>
                <w:sz w:val="24"/>
                <w:szCs w:val="24"/>
                <w:lang w:eastAsia="en-ZA"/>
              </w:rPr>
              <w:lastRenderedPageBreak/>
              <w:t>Performance Monitoring</w:t>
            </w:r>
          </w:p>
        </w:tc>
        <w:tc>
          <w:tcPr>
            <w:tcW w:w="792" w:type="dxa"/>
            <w:noWrap/>
            <w:hideMark/>
          </w:tcPr>
          <w:p w14:paraId="75CA567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 xml:space="preserve">  58,8</w:t>
            </w:r>
          </w:p>
        </w:tc>
        <w:tc>
          <w:tcPr>
            <w:tcW w:w="792" w:type="dxa"/>
            <w:noWrap/>
            <w:hideMark/>
          </w:tcPr>
          <w:p w14:paraId="6E64590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11,1</w:t>
            </w:r>
          </w:p>
        </w:tc>
        <w:tc>
          <w:tcPr>
            <w:tcW w:w="1180" w:type="dxa"/>
            <w:noWrap/>
            <w:hideMark/>
          </w:tcPr>
          <w:p w14:paraId="1AB8C2D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47,7</w:t>
            </w:r>
          </w:p>
        </w:tc>
        <w:tc>
          <w:tcPr>
            <w:tcW w:w="1020" w:type="dxa"/>
            <w:noWrap/>
            <w:hideMark/>
          </w:tcPr>
          <w:p w14:paraId="3D18068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48,3</w:t>
            </w:r>
          </w:p>
        </w:tc>
        <w:tc>
          <w:tcPr>
            <w:tcW w:w="1380" w:type="dxa"/>
            <w:noWrap/>
            <w:hideMark/>
          </w:tcPr>
          <w:p w14:paraId="5DBF410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-81,12 per cent</w:t>
            </w:r>
          </w:p>
        </w:tc>
        <w:tc>
          <w:tcPr>
            <w:tcW w:w="1380" w:type="dxa"/>
            <w:noWrap/>
            <w:hideMark/>
          </w:tcPr>
          <w:p w14:paraId="0D2DCD0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-82,11 per cent</w:t>
            </w:r>
          </w:p>
        </w:tc>
      </w:tr>
      <w:tr w:rsidR="00A929CE" w:rsidRPr="00F97759" w14:paraId="642BEB8F" w14:textId="77777777" w:rsidTr="00727CDC">
        <w:trPr>
          <w:trHeight w:val="675"/>
        </w:trPr>
        <w:tc>
          <w:tcPr>
            <w:tcW w:w="2376" w:type="dxa"/>
            <w:hideMark/>
          </w:tcPr>
          <w:p w14:paraId="7CFC44F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Sub-Programme 3: Local Government Improvement Programme</w:t>
            </w:r>
          </w:p>
        </w:tc>
        <w:tc>
          <w:tcPr>
            <w:tcW w:w="792" w:type="dxa"/>
            <w:noWrap/>
            <w:hideMark/>
          </w:tcPr>
          <w:p w14:paraId="74EDCEF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26,5</w:t>
            </w:r>
          </w:p>
        </w:tc>
        <w:tc>
          <w:tcPr>
            <w:tcW w:w="792" w:type="dxa"/>
            <w:noWrap/>
            <w:hideMark/>
          </w:tcPr>
          <w:p w14:paraId="622A4FB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26,0</w:t>
            </w:r>
          </w:p>
        </w:tc>
        <w:tc>
          <w:tcPr>
            <w:tcW w:w="1180" w:type="dxa"/>
            <w:noWrap/>
            <w:hideMark/>
          </w:tcPr>
          <w:p w14:paraId="0C412C4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0,5</w:t>
            </w:r>
          </w:p>
        </w:tc>
        <w:tc>
          <w:tcPr>
            <w:tcW w:w="1020" w:type="dxa"/>
            <w:noWrap/>
            <w:hideMark/>
          </w:tcPr>
          <w:p w14:paraId="3B4C3885"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1,9</w:t>
            </w:r>
          </w:p>
        </w:tc>
        <w:tc>
          <w:tcPr>
            <w:tcW w:w="1380" w:type="dxa"/>
            <w:noWrap/>
            <w:hideMark/>
          </w:tcPr>
          <w:p w14:paraId="76211DE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-1,89 per cent</w:t>
            </w:r>
          </w:p>
        </w:tc>
        <w:tc>
          <w:tcPr>
            <w:tcW w:w="1380" w:type="dxa"/>
            <w:noWrap/>
            <w:hideMark/>
          </w:tcPr>
          <w:p w14:paraId="6F853415"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-7,00 per cent</w:t>
            </w:r>
          </w:p>
        </w:tc>
      </w:tr>
      <w:tr w:rsidR="00A929CE" w:rsidRPr="00F97759" w14:paraId="69A24586" w14:textId="77777777" w:rsidTr="00727CDC">
        <w:trPr>
          <w:trHeight w:val="450"/>
        </w:trPr>
        <w:tc>
          <w:tcPr>
            <w:tcW w:w="2376" w:type="dxa"/>
            <w:hideMark/>
          </w:tcPr>
          <w:p w14:paraId="03F8B66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4: Litigation and Interventions</w:t>
            </w:r>
          </w:p>
        </w:tc>
        <w:tc>
          <w:tcPr>
            <w:tcW w:w="792" w:type="dxa"/>
            <w:noWrap/>
            <w:hideMark/>
          </w:tcPr>
          <w:p w14:paraId="77794A2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12,4</w:t>
            </w:r>
          </w:p>
        </w:tc>
        <w:tc>
          <w:tcPr>
            <w:tcW w:w="792" w:type="dxa"/>
            <w:noWrap/>
            <w:hideMark/>
          </w:tcPr>
          <w:p w14:paraId="031EACB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8,0</w:t>
            </w:r>
          </w:p>
        </w:tc>
        <w:tc>
          <w:tcPr>
            <w:tcW w:w="1180" w:type="dxa"/>
            <w:noWrap/>
            <w:hideMark/>
          </w:tcPr>
          <w:p w14:paraId="4AD577C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4,4</w:t>
            </w:r>
          </w:p>
        </w:tc>
        <w:tc>
          <w:tcPr>
            <w:tcW w:w="1020" w:type="dxa"/>
            <w:noWrap/>
            <w:hideMark/>
          </w:tcPr>
          <w:p w14:paraId="7A619C3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4,8</w:t>
            </w:r>
          </w:p>
        </w:tc>
        <w:tc>
          <w:tcPr>
            <w:tcW w:w="1380" w:type="dxa"/>
            <w:noWrap/>
            <w:hideMark/>
          </w:tcPr>
          <w:p w14:paraId="0DB3937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-35,48 per cent</w:t>
            </w:r>
          </w:p>
        </w:tc>
        <w:tc>
          <w:tcPr>
            <w:tcW w:w="1380" w:type="dxa"/>
            <w:noWrap/>
            <w:hideMark/>
          </w:tcPr>
          <w:p w14:paraId="3D2C5AC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-38,85 per cent</w:t>
            </w:r>
          </w:p>
        </w:tc>
      </w:tr>
      <w:tr w:rsidR="00A929CE" w:rsidRPr="00F97759" w14:paraId="2CA29759" w14:textId="77777777" w:rsidTr="00727CDC">
        <w:trPr>
          <w:trHeight w:val="450"/>
        </w:trPr>
        <w:tc>
          <w:tcPr>
            <w:tcW w:w="2376" w:type="dxa"/>
            <w:hideMark/>
          </w:tcPr>
          <w:p w14:paraId="1152145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5: Municipal Infrastructure Administration</w:t>
            </w:r>
          </w:p>
        </w:tc>
        <w:tc>
          <w:tcPr>
            <w:tcW w:w="792" w:type="dxa"/>
            <w:noWrap/>
            <w:hideMark/>
          </w:tcPr>
          <w:p w14:paraId="14E37F0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36,1</w:t>
            </w:r>
          </w:p>
        </w:tc>
        <w:tc>
          <w:tcPr>
            <w:tcW w:w="792" w:type="dxa"/>
            <w:noWrap/>
            <w:hideMark/>
          </w:tcPr>
          <w:p w14:paraId="768D5AE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37,4</w:t>
            </w:r>
          </w:p>
        </w:tc>
        <w:tc>
          <w:tcPr>
            <w:tcW w:w="1180" w:type="dxa"/>
            <w:noWrap/>
            <w:hideMark/>
          </w:tcPr>
          <w:p w14:paraId="27E5399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1,3</w:t>
            </w:r>
          </w:p>
        </w:tc>
        <w:tc>
          <w:tcPr>
            <w:tcW w:w="1020" w:type="dxa"/>
            <w:noWrap/>
            <w:hideMark/>
          </w:tcPr>
          <w:p w14:paraId="1FDE4E0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0,6</w:t>
            </w:r>
          </w:p>
        </w:tc>
        <w:tc>
          <w:tcPr>
            <w:tcW w:w="1380" w:type="dxa"/>
            <w:noWrap/>
            <w:hideMark/>
          </w:tcPr>
          <w:p w14:paraId="2E6396D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3,60 per cent</w:t>
            </w:r>
          </w:p>
        </w:tc>
        <w:tc>
          <w:tcPr>
            <w:tcW w:w="1380" w:type="dxa"/>
            <w:noWrap/>
            <w:hideMark/>
          </w:tcPr>
          <w:p w14:paraId="3D9F8AF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-1,80 per cent</w:t>
            </w:r>
          </w:p>
        </w:tc>
      </w:tr>
      <w:tr w:rsidR="00A929CE" w:rsidRPr="00F97759" w14:paraId="3FFA9447" w14:textId="77777777" w:rsidTr="00727CDC">
        <w:trPr>
          <w:trHeight w:val="450"/>
        </w:trPr>
        <w:tc>
          <w:tcPr>
            <w:tcW w:w="2376" w:type="dxa"/>
            <w:hideMark/>
          </w:tcPr>
          <w:p w14:paraId="7494E99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6: Municipal Infrastructure Grant</w:t>
            </w:r>
          </w:p>
        </w:tc>
        <w:tc>
          <w:tcPr>
            <w:tcW w:w="792" w:type="dxa"/>
            <w:noWrap/>
            <w:hideMark/>
          </w:tcPr>
          <w:p w14:paraId="0FD2A29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15 891,3</w:t>
            </w:r>
          </w:p>
        </w:tc>
        <w:tc>
          <w:tcPr>
            <w:tcW w:w="792" w:type="dxa"/>
            <w:noWrap/>
            <w:hideMark/>
          </w:tcPr>
          <w:p w14:paraId="1EB47F8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15 287,7</w:t>
            </w:r>
          </w:p>
        </w:tc>
        <w:tc>
          <w:tcPr>
            <w:tcW w:w="1180" w:type="dxa"/>
            <w:noWrap/>
            <w:hideMark/>
          </w:tcPr>
          <w:p w14:paraId="0D8E385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603,6</w:t>
            </w:r>
          </w:p>
        </w:tc>
        <w:tc>
          <w:tcPr>
            <w:tcW w:w="1020" w:type="dxa"/>
            <w:noWrap/>
            <w:hideMark/>
          </w:tcPr>
          <w:p w14:paraId="2415101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- 1 400,6</w:t>
            </w:r>
          </w:p>
        </w:tc>
        <w:tc>
          <w:tcPr>
            <w:tcW w:w="1380" w:type="dxa"/>
            <w:noWrap/>
            <w:hideMark/>
          </w:tcPr>
          <w:p w14:paraId="5717270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-3,80 per cent</w:t>
            </w:r>
          </w:p>
        </w:tc>
        <w:tc>
          <w:tcPr>
            <w:tcW w:w="1380" w:type="dxa"/>
            <w:noWrap/>
            <w:hideMark/>
          </w:tcPr>
          <w:p w14:paraId="2E42491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-8,81 per cent</w:t>
            </w:r>
          </w:p>
        </w:tc>
      </w:tr>
      <w:tr w:rsidR="00A929CE" w:rsidRPr="00F97759" w14:paraId="34A6BB3C" w14:textId="77777777" w:rsidTr="00727CDC">
        <w:trPr>
          <w:trHeight w:val="450"/>
        </w:trPr>
        <w:tc>
          <w:tcPr>
            <w:tcW w:w="2376" w:type="dxa"/>
            <w:hideMark/>
          </w:tcPr>
          <w:p w14:paraId="0B1745F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7: Municipal Infrastructure Support Agent</w:t>
            </w:r>
          </w:p>
        </w:tc>
        <w:tc>
          <w:tcPr>
            <w:tcW w:w="792" w:type="dxa"/>
            <w:noWrap/>
            <w:hideMark/>
          </w:tcPr>
          <w:p w14:paraId="16E46E0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381,5</w:t>
            </w:r>
          </w:p>
        </w:tc>
        <w:tc>
          <w:tcPr>
            <w:tcW w:w="792" w:type="dxa"/>
            <w:noWrap/>
            <w:hideMark/>
          </w:tcPr>
          <w:p w14:paraId="545DACB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342,5</w:t>
            </w:r>
          </w:p>
        </w:tc>
        <w:tc>
          <w:tcPr>
            <w:tcW w:w="1180" w:type="dxa"/>
            <w:noWrap/>
            <w:hideMark/>
          </w:tcPr>
          <w:p w14:paraId="28B83F8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39,0</w:t>
            </w:r>
          </w:p>
        </w:tc>
        <w:tc>
          <w:tcPr>
            <w:tcW w:w="1020" w:type="dxa"/>
            <w:noWrap/>
            <w:hideMark/>
          </w:tcPr>
          <w:p w14:paraId="3F69DD5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56,9</w:t>
            </w:r>
          </w:p>
        </w:tc>
        <w:tc>
          <w:tcPr>
            <w:tcW w:w="1380" w:type="dxa"/>
            <w:noWrap/>
            <w:hideMark/>
          </w:tcPr>
          <w:p w14:paraId="5B5DD88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-10,22 per cent</w:t>
            </w:r>
          </w:p>
        </w:tc>
        <w:tc>
          <w:tcPr>
            <w:tcW w:w="1380" w:type="dxa"/>
            <w:noWrap/>
            <w:hideMark/>
          </w:tcPr>
          <w:p w14:paraId="3A499A0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-14,90 per cent</w:t>
            </w:r>
          </w:p>
        </w:tc>
      </w:tr>
      <w:tr w:rsidR="00A929CE" w:rsidRPr="00F97759" w14:paraId="64745AB3" w14:textId="77777777" w:rsidTr="00727CDC">
        <w:trPr>
          <w:trHeight w:val="255"/>
        </w:trPr>
        <w:tc>
          <w:tcPr>
            <w:tcW w:w="2376" w:type="dxa"/>
            <w:noWrap/>
            <w:hideMark/>
          </w:tcPr>
          <w:p w14:paraId="7B69CB9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792" w:type="dxa"/>
            <w:noWrap/>
            <w:hideMark/>
          </w:tcPr>
          <w:p w14:paraId="24B3E45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792" w:type="dxa"/>
            <w:noWrap/>
            <w:hideMark/>
          </w:tcPr>
          <w:p w14:paraId="244C26A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180" w:type="dxa"/>
            <w:noWrap/>
            <w:hideMark/>
          </w:tcPr>
          <w:p w14:paraId="1873222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20" w:type="dxa"/>
            <w:noWrap/>
            <w:hideMark/>
          </w:tcPr>
          <w:p w14:paraId="13F2952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80" w:type="dxa"/>
            <w:noWrap/>
            <w:hideMark/>
          </w:tcPr>
          <w:p w14:paraId="5C4FCDB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80" w:type="dxa"/>
            <w:noWrap/>
            <w:hideMark/>
          </w:tcPr>
          <w:p w14:paraId="7C94685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r>
      <w:tr w:rsidR="00A929CE" w:rsidRPr="00F97759" w14:paraId="4AFABA17" w14:textId="77777777" w:rsidTr="00727CDC">
        <w:trPr>
          <w:trHeight w:val="270"/>
        </w:trPr>
        <w:tc>
          <w:tcPr>
            <w:tcW w:w="2376" w:type="dxa"/>
            <w:noWrap/>
            <w:hideMark/>
          </w:tcPr>
          <w:p w14:paraId="5EC877BE"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792" w:type="dxa"/>
            <w:noWrap/>
            <w:hideMark/>
          </w:tcPr>
          <w:p w14:paraId="4BA6916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16 409,9</w:t>
            </w:r>
          </w:p>
        </w:tc>
        <w:tc>
          <w:tcPr>
            <w:tcW w:w="792" w:type="dxa"/>
            <w:noWrap/>
            <w:hideMark/>
          </w:tcPr>
          <w:p w14:paraId="502442E1"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15 716,2</w:t>
            </w:r>
          </w:p>
        </w:tc>
        <w:tc>
          <w:tcPr>
            <w:tcW w:w="1180" w:type="dxa"/>
            <w:noWrap/>
            <w:hideMark/>
          </w:tcPr>
          <w:p w14:paraId="1A26894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693,7</w:t>
            </w:r>
          </w:p>
        </w:tc>
        <w:tc>
          <w:tcPr>
            <w:tcW w:w="1020" w:type="dxa"/>
            <w:noWrap/>
            <w:hideMark/>
          </w:tcPr>
          <w:p w14:paraId="536C627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- 1 513,0</w:t>
            </w:r>
          </w:p>
        </w:tc>
        <w:tc>
          <w:tcPr>
            <w:tcW w:w="1380" w:type="dxa"/>
            <w:noWrap/>
            <w:hideMark/>
          </w:tcPr>
          <w:p w14:paraId="00099578"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-4,23 per cent</w:t>
            </w:r>
          </w:p>
        </w:tc>
        <w:tc>
          <w:tcPr>
            <w:tcW w:w="1380" w:type="dxa"/>
            <w:noWrap/>
            <w:hideMark/>
          </w:tcPr>
          <w:p w14:paraId="0AB7DF35"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-9,22 per cent</w:t>
            </w:r>
          </w:p>
        </w:tc>
      </w:tr>
    </w:tbl>
    <w:p w14:paraId="0FC1D094" w14:textId="77777777" w:rsidR="00A929CE" w:rsidRPr="00F97759" w:rsidRDefault="00A929CE" w:rsidP="00F97759">
      <w:pPr>
        <w:spacing w:line="360" w:lineRule="auto"/>
        <w:rPr>
          <w:rFonts w:ascii="Times New Roman" w:hAnsi="Times New Roman" w:cs="Times New Roman"/>
          <w:sz w:val="24"/>
          <w:szCs w:val="24"/>
        </w:rPr>
      </w:pPr>
    </w:p>
    <w:p w14:paraId="196B8553" w14:textId="77777777" w:rsidR="00A929CE" w:rsidRPr="00F97759" w:rsidRDefault="00A929CE" w:rsidP="00F97759">
      <w:pPr>
        <w:spacing w:line="360" w:lineRule="auto"/>
        <w:rPr>
          <w:rFonts w:ascii="Times New Roman" w:hAnsi="Times New Roman" w:cs="Times New Roman"/>
          <w:bCs/>
          <w:sz w:val="24"/>
          <w:szCs w:val="24"/>
        </w:rPr>
      </w:pPr>
      <w:r w:rsidRPr="00F97759">
        <w:rPr>
          <w:rFonts w:ascii="Times New Roman" w:hAnsi="Times New Roman" w:cs="Times New Roman"/>
          <w:bCs/>
          <w:sz w:val="24"/>
          <w:szCs w:val="24"/>
        </w:rPr>
        <w:t>Budget 2018 includes proposals to reduce conditional infrastructure grants of provincial and local government by R28 billion over the medium term. Consequently, the Municipal Infrastructure Grant (MIG), which constitutes the bulk of the budget allocation in Programme 5, is subject to a spending cut of approximately 9 percent in 2018/19. Government expects t</w:t>
      </w:r>
      <w:r w:rsidRPr="00F97759">
        <w:rPr>
          <w:rFonts w:ascii="Times New Roman" w:hAnsi="Times New Roman" w:cs="Times New Roman"/>
          <w:sz w:val="24"/>
          <w:szCs w:val="24"/>
        </w:rPr>
        <w:t>he structure of the formula used to allocate this grant to reduce the impact of reductions on smaller municipalities. The Financial and Fiscal Commission (FFC) has cautioned that the proposed reductions on key infrastructure grants would be self-defeating if infrastructure deteriorates and becomes inadequate for the continued provision of basic services.</w:t>
      </w:r>
      <w:r w:rsidRPr="00F97759">
        <w:rPr>
          <w:rStyle w:val="FootnoteReference"/>
          <w:rFonts w:ascii="Times New Roman" w:hAnsi="Times New Roman" w:cs="Times New Roman"/>
          <w:sz w:val="24"/>
          <w:szCs w:val="24"/>
        </w:rPr>
        <w:footnoteReference w:id="4"/>
      </w:r>
      <w:r w:rsidRPr="00F97759">
        <w:rPr>
          <w:rFonts w:ascii="Times New Roman" w:hAnsi="Times New Roman" w:cs="Times New Roman"/>
          <w:sz w:val="24"/>
          <w:szCs w:val="24"/>
        </w:rPr>
        <w:t xml:space="preserve"> In this </w:t>
      </w:r>
      <w:r w:rsidRPr="00F97759">
        <w:rPr>
          <w:rFonts w:ascii="Times New Roman" w:hAnsi="Times New Roman" w:cs="Times New Roman"/>
          <w:sz w:val="24"/>
          <w:szCs w:val="24"/>
        </w:rPr>
        <w:lastRenderedPageBreak/>
        <w:t>regard, the FFC has advised that government design a plan to reprioritise infrastructure funding in the coming years as a matter of urgency.</w:t>
      </w:r>
    </w:p>
    <w:p w14:paraId="4CE68689" w14:textId="77777777" w:rsidR="00A929CE" w:rsidRPr="00F97759" w:rsidRDefault="00A929CE" w:rsidP="00F97759">
      <w:pPr>
        <w:spacing w:line="360" w:lineRule="auto"/>
        <w:rPr>
          <w:rFonts w:ascii="Times New Roman" w:hAnsi="Times New Roman" w:cs="Times New Roman"/>
          <w:sz w:val="24"/>
          <w:szCs w:val="24"/>
        </w:rPr>
      </w:pPr>
    </w:p>
    <w:p w14:paraId="42C41740" w14:textId="77777777" w:rsidR="00A929CE" w:rsidRPr="00F97759" w:rsidRDefault="00A929CE" w:rsidP="00F97759">
      <w:pPr>
        <w:spacing w:line="360" w:lineRule="auto"/>
        <w:rPr>
          <w:rFonts w:ascii="Times New Roman" w:hAnsi="Times New Roman" w:cs="Times New Roman"/>
          <w:sz w:val="24"/>
          <w:szCs w:val="24"/>
        </w:rPr>
      </w:pPr>
    </w:p>
    <w:p w14:paraId="77BCD826" w14:textId="77777777" w:rsidR="00A929CE" w:rsidRPr="00F97759" w:rsidRDefault="00A929CE" w:rsidP="00F97759">
      <w:pPr>
        <w:spacing w:line="360" w:lineRule="auto"/>
        <w:rPr>
          <w:rFonts w:ascii="Times New Roman" w:hAnsi="Times New Roman" w:cs="Times New Roman"/>
          <w:sz w:val="24"/>
          <w:szCs w:val="24"/>
        </w:rPr>
      </w:pPr>
    </w:p>
    <w:p w14:paraId="22BD2B35" w14:textId="77777777" w:rsidR="00A929CE" w:rsidRPr="00F97759" w:rsidRDefault="00A929CE" w:rsidP="00F97759">
      <w:pPr>
        <w:spacing w:line="360" w:lineRule="auto"/>
        <w:rPr>
          <w:rFonts w:ascii="Times New Roman" w:hAnsi="Times New Roman" w:cs="Times New Roman"/>
          <w:sz w:val="24"/>
          <w:szCs w:val="24"/>
        </w:rPr>
      </w:pPr>
    </w:p>
    <w:p w14:paraId="4E2F5E67" w14:textId="77777777" w:rsidR="00A929CE" w:rsidRPr="00F97759" w:rsidRDefault="00A929CE" w:rsidP="00F97759">
      <w:pPr>
        <w:spacing w:line="360" w:lineRule="auto"/>
        <w:rPr>
          <w:rFonts w:ascii="Times New Roman" w:hAnsi="Times New Roman" w:cs="Times New Roman"/>
          <w:sz w:val="24"/>
          <w:szCs w:val="24"/>
        </w:rPr>
      </w:pPr>
    </w:p>
    <w:p w14:paraId="0A458092" w14:textId="77777777" w:rsidR="00A929CE" w:rsidRPr="00F97759" w:rsidRDefault="00A929CE" w:rsidP="00F97759">
      <w:pPr>
        <w:spacing w:line="360" w:lineRule="auto"/>
        <w:rPr>
          <w:rFonts w:ascii="Times New Roman" w:hAnsi="Times New Roman" w:cs="Times New Roman"/>
          <w:sz w:val="24"/>
          <w:szCs w:val="24"/>
        </w:rPr>
      </w:pPr>
    </w:p>
    <w:p w14:paraId="27620AC7" w14:textId="77777777" w:rsidR="00A929CE" w:rsidRPr="00F97759" w:rsidRDefault="00A929CE" w:rsidP="00F97759">
      <w:pPr>
        <w:spacing w:line="360" w:lineRule="auto"/>
        <w:rPr>
          <w:rFonts w:ascii="Times New Roman" w:hAnsi="Times New Roman" w:cs="Times New Roman"/>
          <w:sz w:val="24"/>
          <w:szCs w:val="24"/>
        </w:rPr>
      </w:pPr>
    </w:p>
    <w:p w14:paraId="77442E6F" w14:textId="77777777" w:rsidR="00A929CE" w:rsidRPr="00F97759" w:rsidRDefault="00A929CE" w:rsidP="00F97759">
      <w:pPr>
        <w:spacing w:line="360" w:lineRule="auto"/>
        <w:rPr>
          <w:rFonts w:ascii="Times New Roman" w:hAnsi="Times New Roman" w:cs="Times New Roman"/>
          <w:sz w:val="24"/>
          <w:szCs w:val="24"/>
        </w:rPr>
      </w:pPr>
    </w:p>
    <w:p w14:paraId="0DB656BB" w14:textId="77777777" w:rsidR="00A929CE" w:rsidRPr="00F97759" w:rsidRDefault="00A929CE" w:rsidP="00F97759">
      <w:pPr>
        <w:spacing w:line="360" w:lineRule="auto"/>
        <w:rPr>
          <w:rFonts w:ascii="Times New Roman" w:hAnsi="Times New Roman" w:cs="Times New Roman"/>
          <w:sz w:val="24"/>
          <w:szCs w:val="24"/>
        </w:rPr>
      </w:pPr>
    </w:p>
    <w:p w14:paraId="272A07E5" w14:textId="77777777" w:rsidR="00A929CE" w:rsidRPr="00F97759" w:rsidRDefault="00A929CE" w:rsidP="00F97759">
      <w:pPr>
        <w:spacing w:line="360" w:lineRule="auto"/>
        <w:rPr>
          <w:rFonts w:ascii="Times New Roman" w:hAnsi="Times New Roman" w:cs="Times New Roman"/>
          <w:sz w:val="24"/>
          <w:szCs w:val="24"/>
        </w:rPr>
      </w:pPr>
    </w:p>
    <w:p w14:paraId="127DAC5E" w14:textId="77777777" w:rsidR="00A929CE" w:rsidRPr="00F97759" w:rsidRDefault="00A929CE" w:rsidP="00F97759">
      <w:pPr>
        <w:spacing w:line="360" w:lineRule="auto"/>
        <w:rPr>
          <w:rFonts w:ascii="Times New Roman" w:hAnsi="Times New Roman" w:cs="Times New Roman"/>
          <w:sz w:val="24"/>
          <w:szCs w:val="24"/>
        </w:rPr>
      </w:pPr>
    </w:p>
    <w:p w14:paraId="7A4A5342" w14:textId="77777777" w:rsidR="00A929CE" w:rsidRPr="00F97759" w:rsidRDefault="00A929CE" w:rsidP="00F97759">
      <w:pPr>
        <w:spacing w:line="360" w:lineRule="auto"/>
        <w:rPr>
          <w:rFonts w:ascii="Times New Roman" w:hAnsi="Times New Roman" w:cs="Times New Roman"/>
          <w:sz w:val="24"/>
          <w:szCs w:val="24"/>
        </w:rPr>
      </w:pPr>
    </w:p>
    <w:p w14:paraId="10690543" w14:textId="77777777" w:rsidR="00A929CE" w:rsidRPr="00F97759" w:rsidRDefault="00A929CE" w:rsidP="00F97759">
      <w:pPr>
        <w:spacing w:line="360" w:lineRule="auto"/>
        <w:rPr>
          <w:rFonts w:ascii="Times New Roman" w:hAnsi="Times New Roman" w:cs="Times New Roman"/>
          <w:sz w:val="24"/>
          <w:szCs w:val="24"/>
        </w:rPr>
      </w:pPr>
    </w:p>
    <w:p w14:paraId="27FB9F9A" w14:textId="77777777" w:rsidR="00A929CE" w:rsidRPr="00F97759" w:rsidRDefault="00A929CE" w:rsidP="00F97759">
      <w:pPr>
        <w:tabs>
          <w:tab w:val="right" w:pos="9026"/>
        </w:tabs>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87936" behindDoc="0" locked="0" layoutInCell="1" allowOverlap="1" wp14:anchorId="3132F4C3" wp14:editId="0AE4AB25">
            <wp:simplePos x="0" y="0"/>
            <wp:positionH relativeFrom="column">
              <wp:posOffset>0</wp:posOffset>
            </wp:positionH>
            <wp:positionV relativeFrom="paragraph">
              <wp:posOffset>-3246144</wp:posOffset>
            </wp:positionV>
            <wp:extent cx="5731510" cy="3382645"/>
            <wp:effectExtent l="0" t="0" r="2540" b="825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F97759">
        <w:rPr>
          <w:rFonts w:ascii="Times New Roman" w:hAnsi="Times New Roman" w:cs="Times New Roman"/>
          <w:sz w:val="24"/>
          <w:szCs w:val="24"/>
        </w:rPr>
        <w:tab/>
      </w:r>
    </w:p>
    <w:p w14:paraId="7B269CA0" w14:textId="77777777" w:rsidR="00A929CE" w:rsidRPr="00F97759" w:rsidRDefault="00A929CE" w:rsidP="00F97759">
      <w:pPr>
        <w:tabs>
          <w:tab w:val="right" w:pos="9026"/>
        </w:tabs>
        <w:spacing w:line="360" w:lineRule="auto"/>
        <w:rPr>
          <w:rFonts w:ascii="Times New Roman" w:hAnsi="Times New Roman" w:cs="Times New Roman"/>
          <w:sz w:val="24"/>
          <w:szCs w:val="24"/>
        </w:rPr>
      </w:pPr>
    </w:p>
    <w:p w14:paraId="1353A37C" w14:textId="77777777" w:rsidR="00A929CE" w:rsidRPr="00F97759" w:rsidRDefault="00624DC0" w:rsidP="00F97759">
      <w:pPr>
        <w:pStyle w:val="Heading2"/>
        <w:spacing w:line="360" w:lineRule="auto"/>
        <w:ind w:left="792"/>
        <w:jc w:val="both"/>
        <w:rPr>
          <w:rFonts w:ascii="Times New Roman" w:hAnsi="Times New Roman" w:cs="Times New Roman"/>
          <w:color w:val="auto"/>
          <w:sz w:val="24"/>
          <w:szCs w:val="24"/>
        </w:rPr>
      </w:pPr>
      <w:bookmarkStart w:id="9" w:name="_Toc509840536"/>
      <w:r w:rsidRPr="00F97759">
        <w:rPr>
          <w:rFonts w:ascii="Times New Roman" w:hAnsi="Times New Roman" w:cs="Times New Roman"/>
          <w:color w:val="auto"/>
          <w:sz w:val="24"/>
          <w:szCs w:val="24"/>
        </w:rPr>
        <w:t xml:space="preserve">2.3.6 </w:t>
      </w:r>
      <w:r w:rsidR="00A929CE" w:rsidRPr="00F97759">
        <w:rPr>
          <w:rFonts w:ascii="Times New Roman" w:hAnsi="Times New Roman" w:cs="Times New Roman"/>
          <w:color w:val="auto"/>
          <w:sz w:val="24"/>
          <w:szCs w:val="24"/>
        </w:rPr>
        <w:t>Programme 6: Community Work Programme</w:t>
      </w:r>
      <w:bookmarkEnd w:id="9"/>
    </w:p>
    <w:p w14:paraId="0AB37B2E" w14:textId="77777777" w:rsidR="00A929CE" w:rsidRPr="00F97759" w:rsidRDefault="00A929CE" w:rsidP="00F97759">
      <w:pPr>
        <w:spacing w:line="360" w:lineRule="auto"/>
        <w:rPr>
          <w:rFonts w:ascii="Times New Roman" w:hAnsi="Times New Roman" w:cs="Times New Roman"/>
          <w:sz w:val="24"/>
          <w:szCs w:val="24"/>
        </w:rPr>
      </w:pPr>
    </w:p>
    <w:p w14:paraId="228950DB" w14:textId="77777777" w:rsidR="00A929CE" w:rsidRPr="00F97759" w:rsidRDefault="00A929CE" w:rsidP="00F97759">
      <w:pPr>
        <w:spacing w:line="360" w:lineRule="auto"/>
        <w:rPr>
          <w:rFonts w:ascii="Times New Roman" w:hAnsi="Times New Roman" w:cs="Times New Roman"/>
          <w:bCs/>
          <w:sz w:val="24"/>
          <w:szCs w:val="24"/>
        </w:rPr>
      </w:pPr>
      <w:r w:rsidRPr="00F97759">
        <w:rPr>
          <w:rFonts w:ascii="Times New Roman" w:hAnsi="Times New Roman" w:cs="Times New Roman"/>
          <w:sz w:val="24"/>
          <w:szCs w:val="24"/>
        </w:rPr>
        <w:t xml:space="preserve">The Community Work Programme (CWP) seeks to respond to the structural nature of unemployment in South Africa to help address the paradox of an economy unable to absorb the labour of people willing to and able to work. It contributes to sub-outcome 5 (local public employment programmes expanded through the Community Work Programme) of </w:t>
      </w:r>
      <w:r w:rsidRPr="00F97759">
        <w:rPr>
          <w:rFonts w:ascii="Times New Roman" w:hAnsi="Times New Roman" w:cs="Times New Roman"/>
          <w:bCs/>
          <w:sz w:val="24"/>
          <w:szCs w:val="24"/>
        </w:rPr>
        <w:t>outcome 9 (responsive, accountable, effective and efficient local government system) of government’s medium-term strategic framework.</w:t>
      </w:r>
    </w:p>
    <w:p w14:paraId="08EF9D6E"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As the Table below indicates, the Programme receives an additional R28.1 million in 2018/19 – a real increase of 0.7 percent compared to the previous financial year.</w:t>
      </w:r>
    </w:p>
    <w:p w14:paraId="6B773D74" w14:textId="77777777" w:rsidR="00624DC0" w:rsidRPr="00F97759" w:rsidRDefault="00624DC0" w:rsidP="00F97759">
      <w:pPr>
        <w:spacing w:line="360" w:lineRule="auto"/>
        <w:rPr>
          <w:rFonts w:ascii="Times New Roman" w:hAnsi="Times New Roman" w:cs="Times New Roman"/>
          <w:sz w:val="24"/>
          <w:szCs w:val="24"/>
        </w:rPr>
      </w:pPr>
    </w:p>
    <w:tbl>
      <w:tblPr>
        <w:tblStyle w:val="TableGrid"/>
        <w:tblW w:w="9016" w:type="dxa"/>
        <w:tblLook w:val="04A0" w:firstRow="1" w:lastRow="0" w:firstColumn="1" w:lastColumn="0" w:noHBand="0" w:noVBand="1"/>
      </w:tblPr>
      <w:tblGrid>
        <w:gridCol w:w="2235"/>
        <w:gridCol w:w="1027"/>
        <w:gridCol w:w="1027"/>
        <w:gridCol w:w="1117"/>
        <w:gridCol w:w="1002"/>
        <w:gridCol w:w="1304"/>
        <w:gridCol w:w="1304"/>
      </w:tblGrid>
      <w:tr w:rsidR="00A929CE" w:rsidRPr="00F97759" w14:paraId="0AA2E35A" w14:textId="77777777" w:rsidTr="000C11DE">
        <w:trPr>
          <w:trHeight w:val="780"/>
        </w:trPr>
        <w:tc>
          <w:tcPr>
            <w:tcW w:w="2235" w:type="dxa"/>
            <w:noWrap/>
            <w:hideMark/>
          </w:tcPr>
          <w:p w14:paraId="587D89B1"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Programme</w:t>
            </w:r>
          </w:p>
        </w:tc>
        <w:tc>
          <w:tcPr>
            <w:tcW w:w="2054" w:type="dxa"/>
            <w:gridSpan w:val="2"/>
            <w:hideMark/>
          </w:tcPr>
          <w:p w14:paraId="6318438F"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17" w:type="dxa"/>
            <w:hideMark/>
          </w:tcPr>
          <w:p w14:paraId="34E4B33F"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1002" w:type="dxa"/>
            <w:hideMark/>
          </w:tcPr>
          <w:p w14:paraId="44BD39C0"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04" w:type="dxa"/>
            <w:hideMark/>
          </w:tcPr>
          <w:p w14:paraId="2A5D47A1"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04" w:type="dxa"/>
            <w:hideMark/>
          </w:tcPr>
          <w:p w14:paraId="5791ACE6"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A929CE" w:rsidRPr="00F97759" w14:paraId="0CD4145E" w14:textId="77777777" w:rsidTr="000C11DE">
        <w:trPr>
          <w:trHeight w:val="255"/>
        </w:trPr>
        <w:tc>
          <w:tcPr>
            <w:tcW w:w="2235" w:type="dxa"/>
            <w:noWrap/>
            <w:hideMark/>
          </w:tcPr>
          <w:p w14:paraId="25F8A77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R million</w:t>
            </w:r>
          </w:p>
        </w:tc>
        <w:tc>
          <w:tcPr>
            <w:tcW w:w="1027" w:type="dxa"/>
            <w:noWrap/>
            <w:hideMark/>
          </w:tcPr>
          <w:p w14:paraId="4F3D9423"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1027" w:type="dxa"/>
            <w:noWrap/>
            <w:hideMark/>
          </w:tcPr>
          <w:p w14:paraId="0868F1FD"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119" w:type="dxa"/>
            <w:gridSpan w:val="2"/>
            <w:noWrap/>
            <w:hideMark/>
          </w:tcPr>
          <w:p w14:paraId="3D182045"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608" w:type="dxa"/>
            <w:gridSpan w:val="2"/>
            <w:noWrap/>
            <w:hideMark/>
          </w:tcPr>
          <w:p w14:paraId="619ADB18"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A929CE" w:rsidRPr="00F97759" w14:paraId="1B64F5D7" w14:textId="77777777" w:rsidTr="000C11DE">
        <w:trPr>
          <w:trHeight w:val="675"/>
        </w:trPr>
        <w:tc>
          <w:tcPr>
            <w:tcW w:w="2235" w:type="dxa"/>
            <w:hideMark/>
          </w:tcPr>
          <w:p w14:paraId="3F1E1C2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 Management: Community Work Programme</w:t>
            </w:r>
          </w:p>
        </w:tc>
        <w:tc>
          <w:tcPr>
            <w:tcW w:w="1027" w:type="dxa"/>
            <w:noWrap/>
            <w:hideMark/>
          </w:tcPr>
          <w:p w14:paraId="012B2BB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3 587,2</w:t>
            </w:r>
          </w:p>
        </w:tc>
        <w:tc>
          <w:tcPr>
            <w:tcW w:w="1027" w:type="dxa"/>
            <w:noWrap/>
            <w:hideMark/>
          </w:tcPr>
          <w:p w14:paraId="70389E4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3 814,1</w:t>
            </w:r>
          </w:p>
        </w:tc>
        <w:tc>
          <w:tcPr>
            <w:tcW w:w="1117" w:type="dxa"/>
            <w:noWrap/>
            <w:hideMark/>
          </w:tcPr>
          <w:p w14:paraId="471D471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226,9</w:t>
            </w:r>
          </w:p>
        </w:tc>
        <w:tc>
          <w:tcPr>
            <w:tcW w:w="1002" w:type="dxa"/>
            <w:noWrap/>
            <w:hideMark/>
          </w:tcPr>
          <w:p w14:paraId="493C0F7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28,1</w:t>
            </w:r>
          </w:p>
        </w:tc>
        <w:tc>
          <w:tcPr>
            <w:tcW w:w="1304" w:type="dxa"/>
            <w:noWrap/>
            <w:hideMark/>
          </w:tcPr>
          <w:p w14:paraId="2029721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6,33 per cent</w:t>
            </w:r>
          </w:p>
        </w:tc>
        <w:tc>
          <w:tcPr>
            <w:tcW w:w="1304" w:type="dxa"/>
            <w:noWrap/>
            <w:hideMark/>
          </w:tcPr>
          <w:p w14:paraId="7109ADF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0,78 per cent</w:t>
            </w:r>
          </w:p>
        </w:tc>
      </w:tr>
      <w:tr w:rsidR="00A929CE" w:rsidRPr="00F97759" w14:paraId="7CB7CE5C" w14:textId="77777777" w:rsidTr="000C11DE">
        <w:trPr>
          <w:trHeight w:val="450"/>
        </w:trPr>
        <w:tc>
          <w:tcPr>
            <w:tcW w:w="2235" w:type="dxa"/>
            <w:hideMark/>
          </w:tcPr>
          <w:p w14:paraId="0B3809A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2: Programme Coordination</w:t>
            </w:r>
          </w:p>
        </w:tc>
        <w:tc>
          <w:tcPr>
            <w:tcW w:w="1027" w:type="dxa"/>
            <w:noWrap/>
            <w:hideMark/>
          </w:tcPr>
          <w:p w14:paraId="7FD72F9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40,4</w:t>
            </w:r>
          </w:p>
        </w:tc>
        <w:tc>
          <w:tcPr>
            <w:tcW w:w="1027" w:type="dxa"/>
            <w:noWrap/>
            <w:hideMark/>
          </w:tcPr>
          <w:p w14:paraId="7D4ACC7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42,6</w:t>
            </w:r>
          </w:p>
        </w:tc>
        <w:tc>
          <w:tcPr>
            <w:tcW w:w="1117" w:type="dxa"/>
            <w:noWrap/>
            <w:hideMark/>
          </w:tcPr>
          <w:p w14:paraId="3991D14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2,2</w:t>
            </w:r>
          </w:p>
        </w:tc>
        <w:tc>
          <w:tcPr>
            <w:tcW w:w="1002" w:type="dxa"/>
            <w:noWrap/>
            <w:hideMark/>
          </w:tcPr>
          <w:p w14:paraId="2A15B27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304" w:type="dxa"/>
            <w:noWrap/>
            <w:hideMark/>
          </w:tcPr>
          <w:p w14:paraId="1D6C186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5,45 per cent</w:t>
            </w:r>
          </w:p>
        </w:tc>
        <w:tc>
          <w:tcPr>
            <w:tcW w:w="1304" w:type="dxa"/>
            <w:noWrap/>
            <w:hideMark/>
          </w:tcPr>
          <w:p w14:paraId="56F128D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-0,05 per cent</w:t>
            </w:r>
          </w:p>
        </w:tc>
      </w:tr>
      <w:tr w:rsidR="00A929CE" w:rsidRPr="00F97759" w14:paraId="5C4B9D12" w14:textId="77777777" w:rsidTr="000C11DE">
        <w:trPr>
          <w:trHeight w:val="675"/>
        </w:trPr>
        <w:tc>
          <w:tcPr>
            <w:tcW w:w="2235" w:type="dxa"/>
            <w:hideMark/>
          </w:tcPr>
          <w:p w14:paraId="3274A9F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3: Partnerships, Norms, Standards and Innovation</w:t>
            </w:r>
          </w:p>
        </w:tc>
        <w:tc>
          <w:tcPr>
            <w:tcW w:w="1027" w:type="dxa"/>
            <w:noWrap/>
            <w:hideMark/>
          </w:tcPr>
          <w:p w14:paraId="40A93D0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12,5</w:t>
            </w:r>
          </w:p>
        </w:tc>
        <w:tc>
          <w:tcPr>
            <w:tcW w:w="1027" w:type="dxa"/>
            <w:noWrap/>
            <w:hideMark/>
          </w:tcPr>
          <w:p w14:paraId="3796F64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13,2</w:t>
            </w:r>
          </w:p>
        </w:tc>
        <w:tc>
          <w:tcPr>
            <w:tcW w:w="1117" w:type="dxa"/>
            <w:noWrap/>
            <w:hideMark/>
          </w:tcPr>
          <w:p w14:paraId="3572FF9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0,7</w:t>
            </w:r>
          </w:p>
        </w:tc>
        <w:tc>
          <w:tcPr>
            <w:tcW w:w="1002" w:type="dxa"/>
            <w:noWrap/>
            <w:hideMark/>
          </w:tcPr>
          <w:p w14:paraId="17C4697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304" w:type="dxa"/>
            <w:noWrap/>
            <w:hideMark/>
          </w:tcPr>
          <w:p w14:paraId="650E249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5,60 per cent</w:t>
            </w:r>
          </w:p>
        </w:tc>
        <w:tc>
          <w:tcPr>
            <w:tcW w:w="1304" w:type="dxa"/>
            <w:noWrap/>
            <w:hideMark/>
          </w:tcPr>
          <w:p w14:paraId="6A9E771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0,09 per cent</w:t>
            </w:r>
          </w:p>
        </w:tc>
      </w:tr>
      <w:tr w:rsidR="00A929CE" w:rsidRPr="00F97759" w14:paraId="0BF7F7B6" w14:textId="77777777" w:rsidTr="000C11DE">
        <w:trPr>
          <w:trHeight w:val="255"/>
        </w:trPr>
        <w:tc>
          <w:tcPr>
            <w:tcW w:w="2235" w:type="dxa"/>
            <w:noWrap/>
            <w:hideMark/>
          </w:tcPr>
          <w:p w14:paraId="5BD5B51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27" w:type="dxa"/>
            <w:noWrap/>
            <w:hideMark/>
          </w:tcPr>
          <w:p w14:paraId="30906535"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27" w:type="dxa"/>
            <w:noWrap/>
            <w:hideMark/>
          </w:tcPr>
          <w:p w14:paraId="2E876AC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117" w:type="dxa"/>
            <w:noWrap/>
            <w:hideMark/>
          </w:tcPr>
          <w:p w14:paraId="1C18744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02" w:type="dxa"/>
            <w:noWrap/>
            <w:hideMark/>
          </w:tcPr>
          <w:p w14:paraId="713126F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04" w:type="dxa"/>
            <w:noWrap/>
            <w:hideMark/>
          </w:tcPr>
          <w:p w14:paraId="05B1093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04" w:type="dxa"/>
            <w:noWrap/>
            <w:hideMark/>
          </w:tcPr>
          <w:p w14:paraId="73BBF02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r>
      <w:tr w:rsidR="00A929CE" w:rsidRPr="00F97759" w14:paraId="2E3F659D" w14:textId="77777777" w:rsidTr="000C11DE">
        <w:trPr>
          <w:trHeight w:val="270"/>
        </w:trPr>
        <w:tc>
          <w:tcPr>
            <w:tcW w:w="2235" w:type="dxa"/>
            <w:noWrap/>
            <w:hideMark/>
          </w:tcPr>
          <w:p w14:paraId="42E6ACCD"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1027" w:type="dxa"/>
            <w:noWrap/>
            <w:hideMark/>
          </w:tcPr>
          <w:p w14:paraId="26800A58"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3 640,1</w:t>
            </w:r>
          </w:p>
        </w:tc>
        <w:tc>
          <w:tcPr>
            <w:tcW w:w="1027" w:type="dxa"/>
            <w:noWrap/>
            <w:hideMark/>
          </w:tcPr>
          <w:p w14:paraId="19198B97"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3 869,9</w:t>
            </w:r>
          </w:p>
        </w:tc>
        <w:tc>
          <w:tcPr>
            <w:tcW w:w="1117" w:type="dxa"/>
            <w:noWrap/>
            <w:hideMark/>
          </w:tcPr>
          <w:p w14:paraId="040CED7C"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229,8</w:t>
            </w:r>
          </w:p>
        </w:tc>
        <w:tc>
          <w:tcPr>
            <w:tcW w:w="1002" w:type="dxa"/>
            <w:noWrap/>
            <w:hideMark/>
          </w:tcPr>
          <w:p w14:paraId="7EFF686A"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28,1</w:t>
            </w:r>
          </w:p>
        </w:tc>
        <w:tc>
          <w:tcPr>
            <w:tcW w:w="1304" w:type="dxa"/>
            <w:noWrap/>
            <w:hideMark/>
          </w:tcPr>
          <w:p w14:paraId="27559775"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6,31 per cent</w:t>
            </w:r>
          </w:p>
        </w:tc>
        <w:tc>
          <w:tcPr>
            <w:tcW w:w="1304" w:type="dxa"/>
            <w:noWrap/>
            <w:hideMark/>
          </w:tcPr>
          <w:p w14:paraId="19A01B2E"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0,77 per cent</w:t>
            </w:r>
          </w:p>
        </w:tc>
      </w:tr>
    </w:tbl>
    <w:p w14:paraId="512A10D3" w14:textId="77777777" w:rsidR="00257116" w:rsidRPr="00F97759" w:rsidRDefault="00257116" w:rsidP="00F97759">
      <w:pPr>
        <w:spacing w:line="360" w:lineRule="auto"/>
        <w:rPr>
          <w:rFonts w:ascii="Times New Roman" w:hAnsi="Times New Roman" w:cs="Times New Roman"/>
          <w:sz w:val="24"/>
          <w:szCs w:val="24"/>
        </w:rPr>
      </w:pPr>
    </w:p>
    <w:p w14:paraId="55D451DB"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The bulk of the expenditure in the Programme, as the Graph below illustrates, is concentrated on sub-programme 1 (Management: Community Work Programme). Research by the FFC indicates that spending on the Expanded Public Works Programme (EPWP) in general, and the CWP in particular, has had a significant positive effect on the total level of employment for metros, but not for other urban municipalities, namely secondary cities and large towns.</w:t>
      </w:r>
      <w:r w:rsidRPr="00F97759">
        <w:rPr>
          <w:rStyle w:val="FootnoteReference"/>
          <w:rFonts w:ascii="Times New Roman" w:hAnsi="Times New Roman" w:cs="Times New Roman"/>
          <w:sz w:val="24"/>
          <w:szCs w:val="24"/>
        </w:rPr>
        <w:footnoteReference w:id="5"/>
      </w:r>
      <w:r w:rsidRPr="00F97759">
        <w:rPr>
          <w:rFonts w:ascii="Times New Roman" w:hAnsi="Times New Roman" w:cs="Times New Roman"/>
          <w:sz w:val="24"/>
          <w:szCs w:val="24"/>
        </w:rPr>
        <w:t xml:space="preserve"> However, following persistent challenges around the CWP’s Implementing Agents, it is welcome that the Department will be introducing a new Non-Profit Organisation Transfer Model with effect from 01 April 2018. </w:t>
      </w:r>
    </w:p>
    <w:p w14:paraId="4D552B47" w14:textId="77777777" w:rsidR="00A929CE" w:rsidRPr="00F97759" w:rsidRDefault="00A929CE" w:rsidP="00F97759">
      <w:pPr>
        <w:spacing w:line="360" w:lineRule="auto"/>
        <w:rPr>
          <w:rFonts w:ascii="Times New Roman" w:hAnsi="Times New Roman" w:cs="Times New Roman"/>
          <w:sz w:val="24"/>
          <w:szCs w:val="24"/>
        </w:rPr>
      </w:pPr>
    </w:p>
    <w:p w14:paraId="576A3223" w14:textId="77777777" w:rsidR="00A929CE" w:rsidRPr="00F97759" w:rsidRDefault="00A929CE" w:rsidP="00F97759">
      <w:pPr>
        <w:spacing w:line="360" w:lineRule="auto"/>
        <w:rPr>
          <w:rFonts w:ascii="Times New Roman" w:hAnsi="Times New Roman" w:cs="Times New Roman"/>
          <w:sz w:val="24"/>
          <w:szCs w:val="24"/>
        </w:rPr>
      </w:pPr>
    </w:p>
    <w:p w14:paraId="20123F69" w14:textId="77777777" w:rsidR="00A929CE" w:rsidRPr="00F97759" w:rsidRDefault="001D67A0" w:rsidP="00F97759">
      <w:pPr>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89984" behindDoc="0" locked="0" layoutInCell="1" allowOverlap="1" wp14:anchorId="018656CE" wp14:editId="19BCBE55">
            <wp:simplePos x="0" y="0"/>
            <wp:positionH relativeFrom="column">
              <wp:posOffset>31750</wp:posOffset>
            </wp:positionH>
            <wp:positionV relativeFrom="paragraph">
              <wp:posOffset>-3810</wp:posOffset>
            </wp:positionV>
            <wp:extent cx="5731510" cy="3382645"/>
            <wp:effectExtent l="0" t="0" r="2540" b="8255"/>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771758B0" w14:textId="77777777" w:rsidR="00A929CE" w:rsidRPr="00F97759" w:rsidRDefault="00A929CE" w:rsidP="00F97759">
      <w:pPr>
        <w:spacing w:line="360" w:lineRule="auto"/>
        <w:rPr>
          <w:rFonts w:ascii="Times New Roman" w:hAnsi="Times New Roman" w:cs="Times New Roman"/>
          <w:sz w:val="24"/>
          <w:szCs w:val="24"/>
        </w:rPr>
      </w:pPr>
    </w:p>
    <w:p w14:paraId="55B244F5" w14:textId="77777777" w:rsidR="001D67A0" w:rsidRPr="00F97759" w:rsidRDefault="001D67A0" w:rsidP="00F97759">
      <w:pPr>
        <w:spacing w:line="360" w:lineRule="auto"/>
        <w:rPr>
          <w:rFonts w:ascii="Times New Roman" w:hAnsi="Times New Roman" w:cs="Times New Roman"/>
          <w:sz w:val="24"/>
          <w:szCs w:val="24"/>
        </w:rPr>
      </w:pPr>
    </w:p>
    <w:p w14:paraId="330C4FEF" w14:textId="77777777" w:rsidR="001D67A0" w:rsidRPr="00F97759" w:rsidRDefault="001D67A0" w:rsidP="00F97759">
      <w:pPr>
        <w:spacing w:line="360" w:lineRule="auto"/>
        <w:rPr>
          <w:rFonts w:ascii="Times New Roman" w:hAnsi="Times New Roman" w:cs="Times New Roman"/>
          <w:sz w:val="24"/>
          <w:szCs w:val="24"/>
        </w:rPr>
      </w:pPr>
    </w:p>
    <w:p w14:paraId="7A6350FF" w14:textId="77777777" w:rsidR="001D67A0" w:rsidRPr="00F97759" w:rsidRDefault="001D67A0" w:rsidP="00F97759">
      <w:pPr>
        <w:spacing w:line="360" w:lineRule="auto"/>
        <w:rPr>
          <w:rFonts w:ascii="Times New Roman" w:hAnsi="Times New Roman" w:cs="Times New Roman"/>
          <w:sz w:val="24"/>
          <w:szCs w:val="24"/>
        </w:rPr>
      </w:pPr>
    </w:p>
    <w:p w14:paraId="4F274A49" w14:textId="77777777" w:rsidR="001D67A0" w:rsidRPr="00F97759" w:rsidRDefault="001D67A0" w:rsidP="00F97759">
      <w:pPr>
        <w:spacing w:line="360" w:lineRule="auto"/>
        <w:rPr>
          <w:rFonts w:ascii="Times New Roman" w:hAnsi="Times New Roman" w:cs="Times New Roman"/>
          <w:sz w:val="24"/>
          <w:szCs w:val="24"/>
        </w:rPr>
      </w:pPr>
    </w:p>
    <w:p w14:paraId="3159B1E8" w14:textId="77777777" w:rsidR="001D67A0" w:rsidRPr="00F97759" w:rsidRDefault="001D67A0" w:rsidP="00F97759">
      <w:pPr>
        <w:spacing w:line="360" w:lineRule="auto"/>
        <w:rPr>
          <w:rFonts w:ascii="Times New Roman" w:hAnsi="Times New Roman" w:cs="Times New Roman"/>
          <w:sz w:val="24"/>
          <w:szCs w:val="24"/>
        </w:rPr>
      </w:pPr>
    </w:p>
    <w:p w14:paraId="590ACD86" w14:textId="77777777" w:rsidR="001D67A0" w:rsidRPr="00F97759" w:rsidRDefault="001D67A0" w:rsidP="00F97759">
      <w:pPr>
        <w:spacing w:line="360" w:lineRule="auto"/>
        <w:rPr>
          <w:rFonts w:ascii="Times New Roman" w:hAnsi="Times New Roman" w:cs="Times New Roman"/>
          <w:sz w:val="24"/>
          <w:szCs w:val="24"/>
        </w:rPr>
      </w:pPr>
    </w:p>
    <w:p w14:paraId="0E7B6905" w14:textId="77777777" w:rsidR="001D67A0" w:rsidRPr="00F97759" w:rsidRDefault="001D67A0" w:rsidP="00F97759">
      <w:pPr>
        <w:spacing w:line="360" w:lineRule="auto"/>
        <w:rPr>
          <w:rFonts w:ascii="Times New Roman" w:hAnsi="Times New Roman" w:cs="Times New Roman"/>
          <w:sz w:val="24"/>
          <w:szCs w:val="24"/>
        </w:rPr>
      </w:pPr>
    </w:p>
    <w:p w14:paraId="2F78A867" w14:textId="77777777" w:rsidR="001D67A0" w:rsidRPr="00F97759" w:rsidRDefault="001D67A0" w:rsidP="00F97759">
      <w:pPr>
        <w:spacing w:line="360" w:lineRule="auto"/>
        <w:rPr>
          <w:rFonts w:ascii="Times New Roman" w:hAnsi="Times New Roman" w:cs="Times New Roman"/>
          <w:sz w:val="24"/>
          <w:szCs w:val="24"/>
        </w:rPr>
      </w:pPr>
    </w:p>
    <w:p w14:paraId="42E14B1D" w14:textId="77777777" w:rsidR="001D67A0" w:rsidRPr="00F97759" w:rsidRDefault="001D67A0" w:rsidP="00F97759">
      <w:pPr>
        <w:spacing w:line="360" w:lineRule="auto"/>
        <w:rPr>
          <w:rFonts w:ascii="Times New Roman" w:hAnsi="Times New Roman" w:cs="Times New Roman"/>
          <w:sz w:val="24"/>
          <w:szCs w:val="24"/>
        </w:rPr>
      </w:pPr>
    </w:p>
    <w:p w14:paraId="580B6D41" w14:textId="77777777" w:rsidR="001D67A0" w:rsidRPr="00F97759" w:rsidRDefault="001D67A0" w:rsidP="00F97759">
      <w:pPr>
        <w:spacing w:line="360" w:lineRule="auto"/>
        <w:rPr>
          <w:rFonts w:ascii="Times New Roman" w:hAnsi="Times New Roman" w:cs="Times New Roman"/>
          <w:sz w:val="24"/>
          <w:szCs w:val="24"/>
        </w:rPr>
      </w:pPr>
    </w:p>
    <w:p w14:paraId="496B28A9" w14:textId="77777777" w:rsidR="001D67A0" w:rsidRPr="00F97759" w:rsidRDefault="001D67A0" w:rsidP="00F97759">
      <w:pPr>
        <w:spacing w:line="360" w:lineRule="auto"/>
        <w:rPr>
          <w:rFonts w:ascii="Times New Roman" w:hAnsi="Times New Roman" w:cs="Times New Roman"/>
          <w:sz w:val="24"/>
          <w:szCs w:val="24"/>
        </w:rPr>
      </w:pPr>
    </w:p>
    <w:p w14:paraId="2F03B144" w14:textId="77777777" w:rsidR="001D67A0" w:rsidRPr="00F97759" w:rsidRDefault="001D67A0" w:rsidP="00F97759">
      <w:pPr>
        <w:spacing w:line="360" w:lineRule="auto"/>
        <w:rPr>
          <w:rFonts w:ascii="Times New Roman" w:hAnsi="Times New Roman" w:cs="Times New Roman"/>
          <w:sz w:val="24"/>
          <w:szCs w:val="24"/>
        </w:rPr>
      </w:pPr>
    </w:p>
    <w:p w14:paraId="3BB43753" w14:textId="77777777" w:rsidR="00A929CE" w:rsidRPr="00F97759" w:rsidRDefault="00A929CE" w:rsidP="00F97759">
      <w:pPr>
        <w:spacing w:line="360" w:lineRule="auto"/>
        <w:rPr>
          <w:rFonts w:ascii="Times New Roman" w:hAnsi="Times New Roman" w:cs="Times New Roman"/>
          <w:sz w:val="24"/>
          <w:szCs w:val="24"/>
        </w:rPr>
      </w:pPr>
    </w:p>
    <w:p w14:paraId="0BBB38C8" w14:textId="77777777" w:rsidR="00257116" w:rsidRPr="00F97759" w:rsidRDefault="00B74B04" w:rsidP="00F97759">
      <w:pPr>
        <w:pStyle w:val="ListParagraph"/>
        <w:numPr>
          <w:ilvl w:val="0"/>
          <w:numId w:val="20"/>
        </w:numPr>
        <w:spacing w:line="360" w:lineRule="auto"/>
        <w:rPr>
          <w:rFonts w:ascii="Times New Roman" w:hAnsi="Times New Roman" w:cs="Times New Roman"/>
          <w:b/>
          <w:sz w:val="24"/>
          <w:szCs w:val="24"/>
        </w:rPr>
      </w:pPr>
      <w:r w:rsidRPr="00F97759">
        <w:rPr>
          <w:rFonts w:ascii="Times New Roman" w:hAnsi="Times New Roman" w:cs="Times New Roman"/>
          <w:b/>
          <w:sz w:val="24"/>
          <w:szCs w:val="24"/>
        </w:rPr>
        <w:t>DEPARTMENT OF TRADITIONAL AFFAIS</w:t>
      </w:r>
    </w:p>
    <w:p w14:paraId="287E0B07" w14:textId="77777777" w:rsidR="00A929CE" w:rsidRPr="00F97759" w:rsidRDefault="00A929CE" w:rsidP="00F97759">
      <w:pPr>
        <w:spacing w:line="360" w:lineRule="auto"/>
        <w:rPr>
          <w:rFonts w:ascii="Times New Roman" w:hAnsi="Times New Roman" w:cs="Times New Roman"/>
          <w:sz w:val="24"/>
          <w:szCs w:val="24"/>
        </w:rPr>
      </w:pPr>
    </w:p>
    <w:p w14:paraId="0679D221" w14:textId="77777777" w:rsidR="00A929CE" w:rsidRPr="00F97759" w:rsidRDefault="00624DC0" w:rsidP="00F97759">
      <w:pPr>
        <w:pStyle w:val="ListParagraph"/>
        <w:keepNext/>
        <w:keepLines/>
        <w:numPr>
          <w:ilvl w:val="1"/>
          <w:numId w:val="42"/>
        </w:numPr>
        <w:spacing w:before="240" w:line="360" w:lineRule="auto"/>
        <w:outlineLvl w:val="0"/>
        <w:rPr>
          <w:rFonts w:ascii="Times New Roman" w:eastAsiaTheme="majorEastAsia" w:hAnsi="Times New Roman" w:cs="Times New Roman"/>
          <w:b/>
          <w:caps/>
          <w:sz w:val="24"/>
          <w:szCs w:val="24"/>
        </w:rPr>
      </w:pPr>
      <w:bookmarkStart w:id="10" w:name="_Toc509840082"/>
      <w:r w:rsidRPr="00F97759">
        <w:rPr>
          <w:rFonts w:ascii="Times New Roman" w:eastAsiaTheme="majorEastAsia" w:hAnsi="Times New Roman" w:cs="Times New Roman"/>
          <w:b/>
          <w:caps/>
          <w:sz w:val="24"/>
          <w:szCs w:val="24"/>
        </w:rPr>
        <w:t xml:space="preserve"> </w:t>
      </w:r>
      <w:r w:rsidR="00A929CE" w:rsidRPr="00F97759">
        <w:rPr>
          <w:rFonts w:ascii="Times New Roman" w:eastAsiaTheme="majorEastAsia" w:hAnsi="Times New Roman" w:cs="Times New Roman"/>
          <w:b/>
          <w:caps/>
          <w:sz w:val="24"/>
          <w:szCs w:val="24"/>
        </w:rPr>
        <w:t>Overview of the 2017/18 financial year</w:t>
      </w:r>
      <w:bookmarkEnd w:id="10"/>
    </w:p>
    <w:p w14:paraId="0A7EF384" w14:textId="77777777" w:rsidR="00A929CE" w:rsidRPr="00F97759" w:rsidRDefault="00A929CE" w:rsidP="00F97759">
      <w:pPr>
        <w:spacing w:line="360" w:lineRule="auto"/>
        <w:rPr>
          <w:rFonts w:ascii="Times New Roman" w:hAnsi="Times New Roman" w:cs="Times New Roman"/>
          <w:bCs/>
          <w:sz w:val="24"/>
          <w:szCs w:val="24"/>
        </w:rPr>
      </w:pPr>
    </w:p>
    <w:p w14:paraId="4350B2EB" w14:textId="77777777" w:rsidR="00A929CE" w:rsidRPr="00F97759" w:rsidRDefault="00A929CE" w:rsidP="00F97759">
      <w:pPr>
        <w:spacing w:line="360" w:lineRule="auto"/>
        <w:rPr>
          <w:rFonts w:ascii="Times New Roman" w:hAnsi="Times New Roman" w:cs="Times New Roman"/>
          <w:bCs/>
          <w:sz w:val="24"/>
          <w:szCs w:val="24"/>
        </w:rPr>
      </w:pPr>
      <w:r w:rsidRPr="00F97759">
        <w:rPr>
          <w:rFonts w:ascii="Times New Roman" w:hAnsi="Times New Roman" w:cs="Times New Roman"/>
          <w:bCs/>
          <w:sz w:val="24"/>
          <w:szCs w:val="24"/>
        </w:rPr>
        <w:t xml:space="preserve">The 2017/18 financial year included the following highlights: </w:t>
      </w:r>
    </w:p>
    <w:p w14:paraId="09ECC268" w14:textId="77777777" w:rsidR="00A929CE" w:rsidRPr="00F97759" w:rsidRDefault="00A929CE" w:rsidP="00F97759">
      <w:pPr>
        <w:spacing w:line="360" w:lineRule="auto"/>
        <w:rPr>
          <w:rFonts w:ascii="Times New Roman" w:hAnsi="Times New Roman" w:cs="Times New Roman"/>
          <w:bCs/>
          <w:sz w:val="24"/>
          <w:szCs w:val="24"/>
        </w:rPr>
      </w:pPr>
    </w:p>
    <w:p w14:paraId="5AEACBDF" w14:textId="77777777" w:rsidR="00A929CE" w:rsidRPr="00F97759" w:rsidRDefault="00A929CE" w:rsidP="00F97759">
      <w:pPr>
        <w:numPr>
          <w:ilvl w:val="0"/>
          <w:numId w:val="34"/>
        </w:numPr>
        <w:spacing w:line="360" w:lineRule="auto"/>
        <w:contextualSpacing/>
        <w:rPr>
          <w:rFonts w:ascii="Times New Roman" w:hAnsi="Times New Roman" w:cs="Times New Roman"/>
          <w:bCs/>
          <w:sz w:val="24"/>
          <w:szCs w:val="24"/>
        </w:rPr>
      </w:pPr>
      <w:r w:rsidRPr="00F97759">
        <w:rPr>
          <w:rFonts w:ascii="Times New Roman" w:hAnsi="Times New Roman" w:cs="Times New Roman"/>
          <w:bCs/>
          <w:sz w:val="24"/>
          <w:szCs w:val="24"/>
        </w:rPr>
        <w:t>The successful reconstitution of all the seven Provincial House of Traditional Leaders for the 2017-2022 term.</w:t>
      </w:r>
    </w:p>
    <w:p w14:paraId="7C9C1DC6" w14:textId="77777777" w:rsidR="00A929CE" w:rsidRPr="00F97759" w:rsidRDefault="00A929CE" w:rsidP="00F97759">
      <w:pPr>
        <w:numPr>
          <w:ilvl w:val="0"/>
          <w:numId w:val="34"/>
        </w:numPr>
        <w:spacing w:line="360" w:lineRule="auto"/>
        <w:contextualSpacing/>
        <w:rPr>
          <w:rFonts w:ascii="Times New Roman" w:hAnsi="Times New Roman" w:cs="Times New Roman"/>
          <w:bCs/>
          <w:sz w:val="24"/>
          <w:szCs w:val="24"/>
        </w:rPr>
      </w:pPr>
      <w:r w:rsidRPr="00F97759">
        <w:rPr>
          <w:rFonts w:ascii="Times New Roman" w:hAnsi="Times New Roman" w:cs="Times New Roman"/>
          <w:bCs/>
          <w:sz w:val="24"/>
          <w:szCs w:val="24"/>
        </w:rPr>
        <w:t>The Department also expected to introduce the Customary Initiation Bill to regulate the cultural initiation practice in order to reduce the number of fatalities emanating from the practice. The introduction of this Bill to Parliament was still pending at the time of writing.</w:t>
      </w:r>
    </w:p>
    <w:p w14:paraId="0C2F2720" w14:textId="77777777" w:rsidR="00A929CE" w:rsidRPr="00F97759" w:rsidRDefault="00A929CE" w:rsidP="00F97759">
      <w:pPr>
        <w:numPr>
          <w:ilvl w:val="0"/>
          <w:numId w:val="34"/>
        </w:numPr>
        <w:spacing w:line="360" w:lineRule="auto"/>
        <w:contextualSpacing/>
        <w:rPr>
          <w:rFonts w:ascii="Times New Roman" w:hAnsi="Times New Roman" w:cs="Times New Roman"/>
          <w:bCs/>
          <w:sz w:val="24"/>
          <w:szCs w:val="24"/>
        </w:rPr>
      </w:pPr>
      <w:r w:rsidRPr="00F97759">
        <w:rPr>
          <w:rFonts w:ascii="Times New Roman" w:hAnsi="Times New Roman" w:cs="Times New Roman"/>
          <w:bCs/>
          <w:sz w:val="24"/>
          <w:szCs w:val="24"/>
        </w:rPr>
        <w:t xml:space="preserve">The Department successfully introduced to Parliament amendments to the </w:t>
      </w:r>
      <w:r w:rsidRPr="00F97759">
        <w:rPr>
          <w:rFonts w:ascii="Times New Roman" w:hAnsi="Times New Roman" w:cs="Times New Roman"/>
          <w:bCs/>
          <w:i/>
          <w:sz w:val="24"/>
          <w:szCs w:val="24"/>
        </w:rPr>
        <w:t>Traditional Leadership and Governance Framework Act (Act No. 41 of 2003)</w:t>
      </w:r>
    </w:p>
    <w:p w14:paraId="07FCA336" w14:textId="77777777" w:rsidR="00A929CE" w:rsidRPr="00F97759" w:rsidRDefault="00727CDC" w:rsidP="00F97759">
      <w:pPr>
        <w:pStyle w:val="ListParagraph"/>
        <w:keepNext/>
        <w:keepLines/>
        <w:numPr>
          <w:ilvl w:val="1"/>
          <w:numId w:val="42"/>
        </w:numPr>
        <w:spacing w:before="240" w:line="360" w:lineRule="auto"/>
        <w:outlineLvl w:val="0"/>
        <w:rPr>
          <w:rFonts w:ascii="Times New Roman" w:eastAsiaTheme="majorEastAsia" w:hAnsi="Times New Roman" w:cs="Times New Roman"/>
          <w:b/>
          <w:caps/>
          <w:sz w:val="24"/>
          <w:szCs w:val="24"/>
        </w:rPr>
      </w:pPr>
      <w:bookmarkStart w:id="11" w:name="_Toc509840083"/>
      <w:r w:rsidRPr="00F97759">
        <w:rPr>
          <w:rFonts w:ascii="Times New Roman" w:eastAsiaTheme="majorEastAsia" w:hAnsi="Times New Roman" w:cs="Times New Roman"/>
          <w:b/>
          <w:caps/>
          <w:sz w:val="24"/>
          <w:szCs w:val="24"/>
        </w:rPr>
        <w:t xml:space="preserve"> </w:t>
      </w:r>
      <w:r w:rsidR="00A929CE" w:rsidRPr="00F97759">
        <w:rPr>
          <w:rFonts w:ascii="Times New Roman" w:eastAsiaTheme="majorEastAsia" w:hAnsi="Times New Roman" w:cs="Times New Roman"/>
          <w:b/>
          <w:caps/>
          <w:sz w:val="24"/>
          <w:szCs w:val="24"/>
        </w:rPr>
        <w:t>Policy Priorities for 2018/19</w:t>
      </w:r>
      <w:bookmarkEnd w:id="11"/>
    </w:p>
    <w:p w14:paraId="020E0505"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The DTA contributes to outcome 14 (nation building and social cohesion) of government’s 2014-2019 medium-term strategic framework, which gives expression to the National Development Plan’s (NDP) vision of creating an inclusive rural </w:t>
      </w:r>
      <w:r w:rsidR="00727CDC" w:rsidRPr="00F97759">
        <w:rPr>
          <w:rFonts w:ascii="Times New Roman" w:hAnsi="Times New Roman" w:cs="Times New Roman"/>
          <w:sz w:val="24"/>
          <w:szCs w:val="24"/>
        </w:rPr>
        <w:t>economy and</w:t>
      </w:r>
      <w:r w:rsidRPr="00F97759">
        <w:rPr>
          <w:rFonts w:ascii="Times New Roman" w:hAnsi="Times New Roman" w:cs="Times New Roman"/>
          <w:sz w:val="24"/>
          <w:szCs w:val="24"/>
        </w:rPr>
        <w:t xml:space="preserve"> transforming society through a unified country. Its policy priorities in this regard include:</w:t>
      </w:r>
    </w:p>
    <w:p w14:paraId="6EE33F58" w14:textId="77777777" w:rsidR="00A929CE" w:rsidRPr="00F97759" w:rsidRDefault="00A929CE" w:rsidP="00F97759">
      <w:pPr>
        <w:numPr>
          <w:ilvl w:val="0"/>
          <w:numId w:val="35"/>
        </w:numPr>
        <w:spacing w:line="360" w:lineRule="auto"/>
        <w:contextualSpacing/>
        <w:rPr>
          <w:rFonts w:ascii="Times New Roman" w:hAnsi="Times New Roman" w:cs="Times New Roman"/>
          <w:sz w:val="24"/>
          <w:szCs w:val="24"/>
        </w:rPr>
      </w:pPr>
      <w:r w:rsidRPr="00F97759">
        <w:rPr>
          <w:rFonts w:ascii="Times New Roman" w:hAnsi="Times New Roman" w:cs="Times New Roman"/>
          <w:sz w:val="24"/>
          <w:szCs w:val="24"/>
        </w:rPr>
        <w:t>Strengthening of traditional leadership institutions;</w:t>
      </w:r>
    </w:p>
    <w:p w14:paraId="1F020B75" w14:textId="77777777" w:rsidR="00A929CE" w:rsidRPr="00F97759" w:rsidRDefault="00A929CE" w:rsidP="00F97759">
      <w:pPr>
        <w:numPr>
          <w:ilvl w:val="0"/>
          <w:numId w:val="35"/>
        </w:numPr>
        <w:spacing w:line="360" w:lineRule="auto"/>
        <w:contextualSpacing/>
        <w:rPr>
          <w:rFonts w:ascii="Times New Roman" w:hAnsi="Times New Roman" w:cs="Times New Roman"/>
          <w:sz w:val="24"/>
          <w:szCs w:val="24"/>
        </w:rPr>
      </w:pPr>
      <w:r w:rsidRPr="00F97759">
        <w:rPr>
          <w:rFonts w:ascii="Times New Roman" w:hAnsi="Times New Roman" w:cs="Times New Roman"/>
          <w:sz w:val="24"/>
          <w:szCs w:val="24"/>
        </w:rPr>
        <w:t>Transforming the sector through development of policies and legislation;</w:t>
      </w:r>
    </w:p>
    <w:p w14:paraId="2C7E550E" w14:textId="77777777" w:rsidR="00A929CE" w:rsidRPr="00F97759" w:rsidRDefault="00A929CE" w:rsidP="00F97759">
      <w:pPr>
        <w:numPr>
          <w:ilvl w:val="0"/>
          <w:numId w:val="35"/>
        </w:numPr>
        <w:spacing w:line="360" w:lineRule="auto"/>
        <w:contextualSpacing/>
        <w:rPr>
          <w:rFonts w:ascii="Times New Roman" w:hAnsi="Times New Roman" w:cs="Times New Roman"/>
          <w:sz w:val="24"/>
          <w:szCs w:val="24"/>
        </w:rPr>
      </w:pPr>
      <w:r w:rsidRPr="00F97759">
        <w:rPr>
          <w:rFonts w:ascii="Times New Roman" w:hAnsi="Times New Roman" w:cs="Times New Roman"/>
          <w:sz w:val="24"/>
          <w:szCs w:val="24"/>
        </w:rPr>
        <w:t>Fostering partnerships towards sustainable livelihoods in traditional communities;</w:t>
      </w:r>
    </w:p>
    <w:p w14:paraId="0591D3DB" w14:textId="77777777" w:rsidR="00A929CE" w:rsidRPr="00F97759" w:rsidRDefault="00A929CE" w:rsidP="00F97759">
      <w:pPr>
        <w:numPr>
          <w:ilvl w:val="0"/>
          <w:numId w:val="35"/>
        </w:numPr>
        <w:spacing w:line="360" w:lineRule="auto"/>
        <w:contextualSpacing/>
        <w:rPr>
          <w:rFonts w:ascii="Times New Roman" w:hAnsi="Times New Roman" w:cs="Times New Roman"/>
          <w:sz w:val="24"/>
          <w:szCs w:val="24"/>
        </w:rPr>
      </w:pPr>
      <w:r w:rsidRPr="00F97759">
        <w:rPr>
          <w:rFonts w:ascii="Times New Roman" w:hAnsi="Times New Roman" w:cs="Times New Roman"/>
          <w:sz w:val="24"/>
          <w:szCs w:val="24"/>
        </w:rPr>
        <w:t>Promoting the cultural and customary way of life in accordance with the Bill of Rights, and</w:t>
      </w:r>
    </w:p>
    <w:p w14:paraId="46791CE6" w14:textId="77777777" w:rsidR="00A929CE" w:rsidRPr="00F97759" w:rsidRDefault="00A929CE" w:rsidP="00F97759">
      <w:pPr>
        <w:numPr>
          <w:ilvl w:val="0"/>
          <w:numId w:val="35"/>
        </w:numPr>
        <w:spacing w:line="360" w:lineRule="auto"/>
        <w:contextualSpacing/>
        <w:rPr>
          <w:rFonts w:ascii="Times New Roman" w:hAnsi="Times New Roman" w:cs="Times New Roman"/>
          <w:sz w:val="24"/>
          <w:szCs w:val="24"/>
        </w:rPr>
      </w:pPr>
      <w:r w:rsidRPr="00F97759">
        <w:rPr>
          <w:rFonts w:ascii="Times New Roman" w:hAnsi="Times New Roman" w:cs="Times New Roman"/>
          <w:sz w:val="24"/>
          <w:szCs w:val="24"/>
        </w:rPr>
        <w:lastRenderedPageBreak/>
        <w:t>Promoting social cohesion and nation building.</w:t>
      </w:r>
    </w:p>
    <w:p w14:paraId="2F568111" w14:textId="77777777" w:rsidR="00A929CE" w:rsidRPr="00F97759" w:rsidRDefault="00727CDC" w:rsidP="00F97759">
      <w:pPr>
        <w:pStyle w:val="ListParagraph"/>
        <w:keepNext/>
        <w:keepLines/>
        <w:numPr>
          <w:ilvl w:val="1"/>
          <w:numId w:val="42"/>
        </w:numPr>
        <w:spacing w:before="240" w:line="360" w:lineRule="auto"/>
        <w:outlineLvl w:val="0"/>
        <w:rPr>
          <w:rFonts w:ascii="Times New Roman" w:eastAsiaTheme="majorEastAsia" w:hAnsi="Times New Roman" w:cs="Times New Roman"/>
          <w:b/>
          <w:caps/>
          <w:sz w:val="24"/>
          <w:szCs w:val="24"/>
        </w:rPr>
      </w:pPr>
      <w:bookmarkStart w:id="12" w:name="_Toc509840084"/>
      <w:r w:rsidRPr="00F97759">
        <w:rPr>
          <w:rFonts w:ascii="Times New Roman" w:eastAsiaTheme="majorEastAsia" w:hAnsi="Times New Roman" w:cs="Times New Roman"/>
          <w:b/>
          <w:caps/>
          <w:sz w:val="24"/>
          <w:szCs w:val="24"/>
        </w:rPr>
        <w:t xml:space="preserve"> </w:t>
      </w:r>
      <w:r w:rsidR="00A929CE" w:rsidRPr="00F97759">
        <w:rPr>
          <w:rFonts w:ascii="Times New Roman" w:eastAsiaTheme="majorEastAsia" w:hAnsi="Times New Roman" w:cs="Times New Roman"/>
          <w:b/>
          <w:caps/>
          <w:sz w:val="24"/>
          <w:szCs w:val="24"/>
        </w:rPr>
        <w:t>Budget Analysis</w:t>
      </w:r>
      <w:bookmarkEnd w:id="12"/>
    </w:p>
    <w:tbl>
      <w:tblPr>
        <w:tblStyle w:val="TableGrid7"/>
        <w:tblW w:w="9016" w:type="dxa"/>
        <w:tblLook w:val="04A0" w:firstRow="1" w:lastRow="0" w:firstColumn="1" w:lastColumn="0" w:noHBand="0" w:noVBand="1"/>
      </w:tblPr>
      <w:tblGrid>
        <w:gridCol w:w="2235"/>
        <w:gridCol w:w="1027"/>
        <w:gridCol w:w="1027"/>
        <w:gridCol w:w="1117"/>
        <w:gridCol w:w="1002"/>
        <w:gridCol w:w="1304"/>
        <w:gridCol w:w="1304"/>
      </w:tblGrid>
      <w:tr w:rsidR="00A929CE" w:rsidRPr="00F97759" w14:paraId="2D870B34" w14:textId="77777777" w:rsidTr="00727CDC">
        <w:trPr>
          <w:trHeight w:val="780"/>
        </w:trPr>
        <w:tc>
          <w:tcPr>
            <w:tcW w:w="2235" w:type="dxa"/>
            <w:noWrap/>
            <w:hideMark/>
          </w:tcPr>
          <w:p w14:paraId="24A23707"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Programme</w:t>
            </w:r>
          </w:p>
        </w:tc>
        <w:tc>
          <w:tcPr>
            <w:tcW w:w="2054" w:type="dxa"/>
            <w:gridSpan w:val="2"/>
            <w:hideMark/>
          </w:tcPr>
          <w:p w14:paraId="7E25D6D0"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17" w:type="dxa"/>
            <w:hideMark/>
          </w:tcPr>
          <w:p w14:paraId="0CAEF083"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1002" w:type="dxa"/>
            <w:hideMark/>
          </w:tcPr>
          <w:p w14:paraId="2E4D8A50"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04" w:type="dxa"/>
            <w:hideMark/>
          </w:tcPr>
          <w:p w14:paraId="6FBFE5CB"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04" w:type="dxa"/>
            <w:hideMark/>
          </w:tcPr>
          <w:p w14:paraId="2FDF889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A929CE" w:rsidRPr="00F97759" w14:paraId="67A40F68" w14:textId="77777777" w:rsidTr="00727CDC">
        <w:trPr>
          <w:trHeight w:val="255"/>
        </w:trPr>
        <w:tc>
          <w:tcPr>
            <w:tcW w:w="2235" w:type="dxa"/>
            <w:noWrap/>
            <w:hideMark/>
          </w:tcPr>
          <w:p w14:paraId="30C58C4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1027" w:type="dxa"/>
            <w:noWrap/>
            <w:hideMark/>
          </w:tcPr>
          <w:p w14:paraId="25A35716"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1027" w:type="dxa"/>
            <w:noWrap/>
            <w:hideMark/>
          </w:tcPr>
          <w:p w14:paraId="0650B1ED"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119" w:type="dxa"/>
            <w:gridSpan w:val="2"/>
            <w:noWrap/>
            <w:hideMark/>
          </w:tcPr>
          <w:p w14:paraId="60C676C9"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608" w:type="dxa"/>
            <w:gridSpan w:val="2"/>
            <w:noWrap/>
            <w:hideMark/>
          </w:tcPr>
          <w:p w14:paraId="38C7E4DF"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A929CE" w:rsidRPr="00F97759" w14:paraId="1D4A1ADF" w14:textId="77777777" w:rsidTr="00727CDC">
        <w:trPr>
          <w:trHeight w:val="255"/>
        </w:trPr>
        <w:tc>
          <w:tcPr>
            <w:tcW w:w="2235" w:type="dxa"/>
            <w:hideMark/>
          </w:tcPr>
          <w:p w14:paraId="1BF0052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1: Administration</w:t>
            </w:r>
          </w:p>
        </w:tc>
        <w:tc>
          <w:tcPr>
            <w:tcW w:w="1027" w:type="dxa"/>
            <w:noWrap/>
            <w:hideMark/>
          </w:tcPr>
          <w:p w14:paraId="6202E3D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43,3</w:t>
            </w:r>
          </w:p>
        </w:tc>
        <w:tc>
          <w:tcPr>
            <w:tcW w:w="1027" w:type="dxa"/>
            <w:noWrap/>
            <w:hideMark/>
          </w:tcPr>
          <w:p w14:paraId="23EA8E5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45,5</w:t>
            </w:r>
          </w:p>
        </w:tc>
        <w:tc>
          <w:tcPr>
            <w:tcW w:w="1117" w:type="dxa"/>
            <w:noWrap/>
            <w:hideMark/>
          </w:tcPr>
          <w:p w14:paraId="78624E2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2,2</w:t>
            </w:r>
          </w:p>
        </w:tc>
        <w:tc>
          <w:tcPr>
            <w:tcW w:w="1002" w:type="dxa"/>
            <w:noWrap/>
            <w:hideMark/>
          </w:tcPr>
          <w:p w14:paraId="6E5E209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0,2</w:t>
            </w:r>
          </w:p>
        </w:tc>
        <w:tc>
          <w:tcPr>
            <w:tcW w:w="1304" w:type="dxa"/>
            <w:noWrap/>
            <w:hideMark/>
          </w:tcPr>
          <w:p w14:paraId="2C16021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5,08 per cent</w:t>
            </w:r>
          </w:p>
        </w:tc>
        <w:tc>
          <w:tcPr>
            <w:tcW w:w="1304" w:type="dxa"/>
            <w:noWrap/>
            <w:hideMark/>
          </w:tcPr>
          <w:p w14:paraId="635A610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-0,40 per cent</w:t>
            </w:r>
          </w:p>
        </w:tc>
      </w:tr>
      <w:tr w:rsidR="00A929CE" w:rsidRPr="00F97759" w14:paraId="17307AA8" w14:textId="77777777" w:rsidTr="00727CDC">
        <w:trPr>
          <w:trHeight w:val="450"/>
        </w:trPr>
        <w:tc>
          <w:tcPr>
            <w:tcW w:w="2235" w:type="dxa"/>
            <w:hideMark/>
          </w:tcPr>
          <w:p w14:paraId="3EF5AD1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2:Research, Policy and Legislation</w:t>
            </w:r>
          </w:p>
        </w:tc>
        <w:tc>
          <w:tcPr>
            <w:tcW w:w="1027" w:type="dxa"/>
            <w:noWrap/>
            <w:hideMark/>
          </w:tcPr>
          <w:p w14:paraId="71FEEBA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16,6</w:t>
            </w:r>
          </w:p>
        </w:tc>
        <w:tc>
          <w:tcPr>
            <w:tcW w:w="1027" w:type="dxa"/>
            <w:noWrap/>
            <w:hideMark/>
          </w:tcPr>
          <w:p w14:paraId="5BA44A4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16,6</w:t>
            </w:r>
          </w:p>
        </w:tc>
        <w:tc>
          <w:tcPr>
            <w:tcW w:w="1117" w:type="dxa"/>
            <w:noWrap/>
            <w:hideMark/>
          </w:tcPr>
          <w:p w14:paraId="48C1639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002" w:type="dxa"/>
            <w:noWrap/>
            <w:hideMark/>
          </w:tcPr>
          <w:p w14:paraId="3E15CE9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0,9</w:t>
            </w:r>
          </w:p>
        </w:tc>
        <w:tc>
          <w:tcPr>
            <w:tcW w:w="1304" w:type="dxa"/>
            <w:noWrap/>
            <w:hideMark/>
          </w:tcPr>
          <w:p w14:paraId="65A2C4E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0,00 per cent</w:t>
            </w:r>
          </w:p>
        </w:tc>
        <w:tc>
          <w:tcPr>
            <w:tcW w:w="1304" w:type="dxa"/>
            <w:noWrap/>
            <w:hideMark/>
          </w:tcPr>
          <w:p w14:paraId="3067BFA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-5,21 per cent</w:t>
            </w:r>
          </w:p>
        </w:tc>
      </w:tr>
      <w:tr w:rsidR="00A929CE" w:rsidRPr="00F97759" w14:paraId="7DA19461" w14:textId="77777777" w:rsidTr="00727CDC">
        <w:trPr>
          <w:trHeight w:val="450"/>
        </w:trPr>
        <w:tc>
          <w:tcPr>
            <w:tcW w:w="2235" w:type="dxa"/>
            <w:hideMark/>
          </w:tcPr>
          <w:p w14:paraId="39DE44B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3: Institutional Support Coordination</w:t>
            </w:r>
          </w:p>
        </w:tc>
        <w:tc>
          <w:tcPr>
            <w:tcW w:w="1027" w:type="dxa"/>
            <w:noWrap/>
            <w:hideMark/>
          </w:tcPr>
          <w:p w14:paraId="1EFEF77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92,6</w:t>
            </w:r>
          </w:p>
        </w:tc>
        <w:tc>
          <w:tcPr>
            <w:tcW w:w="1027" w:type="dxa"/>
            <w:noWrap/>
            <w:hideMark/>
          </w:tcPr>
          <w:p w14:paraId="3668B26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91,1</w:t>
            </w:r>
          </w:p>
        </w:tc>
        <w:tc>
          <w:tcPr>
            <w:tcW w:w="1117" w:type="dxa"/>
            <w:noWrap/>
            <w:hideMark/>
          </w:tcPr>
          <w:p w14:paraId="698FE96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1,5</w:t>
            </w:r>
          </w:p>
        </w:tc>
        <w:tc>
          <w:tcPr>
            <w:tcW w:w="1002" w:type="dxa"/>
            <w:noWrap/>
            <w:hideMark/>
          </w:tcPr>
          <w:p w14:paraId="50FA477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6,2</w:t>
            </w:r>
          </w:p>
        </w:tc>
        <w:tc>
          <w:tcPr>
            <w:tcW w:w="1304" w:type="dxa"/>
            <w:noWrap/>
            <w:hideMark/>
          </w:tcPr>
          <w:p w14:paraId="2C95B19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-1,62 per cent</w:t>
            </w:r>
          </w:p>
        </w:tc>
        <w:tc>
          <w:tcPr>
            <w:tcW w:w="1304" w:type="dxa"/>
            <w:noWrap/>
            <w:hideMark/>
          </w:tcPr>
          <w:p w14:paraId="05CBFC7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-6,75 per cent</w:t>
            </w:r>
          </w:p>
        </w:tc>
      </w:tr>
      <w:tr w:rsidR="00A929CE" w:rsidRPr="00F97759" w14:paraId="184479F0" w14:textId="77777777" w:rsidTr="00727CDC">
        <w:trPr>
          <w:trHeight w:val="255"/>
        </w:trPr>
        <w:tc>
          <w:tcPr>
            <w:tcW w:w="2235" w:type="dxa"/>
            <w:noWrap/>
            <w:hideMark/>
          </w:tcPr>
          <w:p w14:paraId="3AC6590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27" w:type="dxa"/>
            <w:noWrap/>
            <w:hideMark/>
          </w:tcPr>
          <w:p w14:paraId="665345D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27" w:type="dxa"/>
            <w:noWrap/>
            <w:hideMark/>
          </w:tcPr>
          <w:p w14:paraId="23AAA465"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117" w:type="dxa"/>
            <w:noWrap/>
            <w:hideMark/>
          </w:tcPr>
          <w:p w14:paraId="64716A0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02" w:type="dxa"/>
            <w:noWrap/>
            <w:hideMark/>
          </w:tcPr>
          <w:p w14:paraId="6DFD058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04" w:type="dxa"/>
            <w:noWrap/>
            <w:hideMark/>
          </w:tcPr>
          <w:p w14:paraId="1ECAD3D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04" w:type="dxa"/>
            <w:noWrap/>
            <w:hideMark/>
          </w:tcPr>
          <w:p w14:paraId="662E461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r>
      <w:tr w:rsidR="00A929CE" w:rsidRPr="00F97759" w14:paraId="30FD7CDE" w14:textId="77777777" w:rsidTr="00727CDC">
        <w:trPr>
          <w:trHeight w:val="270"/>
        </w:trPr>
        <w:tc>
          <w:tcPr>
            <w:tcW w:w="2235" w:type="dxa"/>
            <w:noWrap/>
            <w:hideMark/>
          </w:tcPr>
          <w:p w14:paraId="1606B6E5"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1027" w:type="dxa"/>
            <w:noWrap/>
            <w:hideMark/>
          </w:tcPr>
          <w:p w14:paraId="1AA32657"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152,5</w:t>
            </w:r>
          </w:p>
        </w:tc>
        <w:tc>
          <w:tcPr>
            <w:tcW w:w="1027" w:type="dxa"/>
            <w:noWrap/>
            <w:hideMark/>
          </w:tcPr>
          <w:p w14:paraId="0002A576"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153,2</w:t>
            </w:r>
          </w:p>
        </w:tc>
        <w:tc>
          <w:tcPr>
            <w:tcW w:w="1117" w:type="dxa"/>
            <w:noWrap/>
            <w:hideMark/>
          </w:tcPr>
          <w:p w14:paraId="009248C8"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0,7</w:t>
            </w:r>
          </w:p>
        </w:tc>
        <w:tc>
          <w:tcPr>
            <w:tcW w:w="1002" w:type="dxa"/>
            <w:noWrap/>
            <w:hideMark/>
          </w:tcPr>
          <w:p w14:paraId="06FEDAE1"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7,3</w:t>
            </w:r>
          </w:p>
        </w:tc>
        <w:tc>
          <w:tcPr>
            <w:tcW w:w="1304" w:type="dxa"/>
            <w:noWrap/>
            <w:hideMark/>
          </w:tcPr>
          <w:p w14:paraId="7A1FB037"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0,46 per cent</w:t>
            </w:r>
          </w:p>
        </w:tc>
        <w:tc>
          <w:tcPr>
            <w:tcW w:w="1304" w:type="dxa"/>
            <w:noWrap/>
            <w:hideMark/>
          </w:tcPr>
          <w:p w14:paraId="2CB82F5B"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-4,78 per cent</w:t>
            </w:r>
          </w:p>
        </w:tc>
      </w:tr>
    </w:tbl>
    <w:p w14:paraId="07AC1D14" w14:textId="77777777" w:rsidR="00A929CE" w:rsidRPr="00F97759" w:rsidRDefault="00A929CE" w:rsidP="00F97759">
      <w:pPr>
        <w:spacing w:line="360" w:lineRule="auto"/>
        <w:rPr>
          <w:rFonts w:ascii="Times New Roman" w:hAnsi="Times New Roman" w:cs="Times New Roman"/>
          <w:sz w:val="24"/>
          <w:szCs w:val="24"/>
        </w:rPr>
      </w:pPr>
    </w:p>
    <w:p w14:paraId="70E4463B"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As indicated in the Table above, the allocated budget for the DTA in 2018/19 decreases by 4.7 percent in real terms compared to the previous financial year. The Graph below indicates that the bulk of the Department’s allocation is concentrated in Programme 3: Institutional Support Coordination, which transfers funds to the CRL Rights Commission and the National House of Traditional Leaders, as well as fund the legal costs around traditional leadership disputes and claims. There are no significant issues to raise in respect of Programmes 1 and 2. </w:t>
      </w:r>
    </w:p>
    <w:p w14:paraId="00672798" w14:textId="77777777" w:rsidR="00A929CE" w:rsidRPr="00F97759" w:rsidRDefault="00A929CE" w:rsidP="00F97759">
      <w:pPr>
        <w:spacing w:line="360" w:lineRule="auto"/>
        <w:rPr>
          <w:rFonts w:ascii="Times New Roman" w:hAnsi="Times New Roman" w:cs="Times New Roman"/>
          <w:sz w:val="24"/>
          <w:szCs w:val="24"/>
        </w:rPr>
      </w:pPr>
    </w:p>
    <w:p w14:paraId="1066A3E6" w14:textId="77777777" w:rsidR="00A929CE" w:rsidRPr="00F97759" w:rsidRDefault="00A929CE" w:rsidP="00F97759">
      <w:pPr>
        <w:spacing w:line="360" w:lineRule="auto"/>
        <w:rPr>
          <w:rFonts w:ascii="Times New Roman" w:hAnsi="Times New Roman" w:cs="Times New Roman"/>
          <w:sz w:val="24"/>
          <w:szCs w:val="24"/>
        </w:rPr>
      </w:pPr>
    </w:p>
    <w:p w14:paraId="4CAA7271" w14:textId="77777777" w:rsidR="00A929CE" w:rsidRPr="00F97759" w:rsidRDefault="001D67A0" w:rsidP="00F97759">
      <w:pPr>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92032" behindDoc="0" locked="0" layoutInCell="1" allowOverlap="1" wp14:anchorId="78DE7DC5" wp14:editId="0A8BF16F">
            <wp:simplePos x="0" y="0"/>
            <wp:positionH relativeFrom="margin">
              <wp:posOffset>147320</wp:posOffset>
            </wp:positionH>
            <wp:positionV relativeFrom="paragraph">
              <wp:posOffset>3810</wp:posOffset>
            </wp:positionV>
            <wp:extent cx="5731510" cy="3382645"/>
            <wp:effectExtent l="0" t="0" r="2540" b="8255"/>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41F530A0" w14:textId="77777777" w:rsidR="00A929CE" w:rsidRPr="00F97759" w:rsidRDefault="00A929CE" w:rsidP="00F97759">
      <w:pPr>
        <w:spacing w:line="360" w:lineRule="auto"/>
        <w:rPr>
          <w:rFonts w:ascii="Times New Roman" w:hAnsi="Times New Roman" w:cs="Times New Roman"/>
          <w:sz w:val="24"/>
          <w:szCs w:val="24"/>
        </w:rPr>
      </w:pPr>
    </w:p>
    <w:p w14:paraId="7657326E" w14:textId="77777777" w:rsidR="00A929CE" w:rsidRPr="00F97759" w:rsidRDefault="00A929CE" w:rsidP="00F97759">
      <w:pPr>
        <w:spacing w:line="360" w:lineRule="auto"/>
        <w:rPr>
          <w:rFonts w:ascii="Times New Roman" w:hAnsi="Times New Roman" w:cs="Times New Roman"/>
          <w:sz w:val="24"/>
          <w:szCs w:val="24"/>
        </w:rPr>
      </w:pPr>
    </w:p>
    <w:p w14:paraId="0A368AAB" w14:textId="77777777" w:rsidR="00A929CE" w:rsidRPr="00F97759" w:rsidRDefault="00A929CE" w:rsidP="00F97759">
      <w:pPr>
        <w:spacing w:line="360" w:lineRule="auto"/>
        <w:rPr>
          <w:rFonts w:ascii="Times New Roman" w:hAnsi="Times New Roman" w:cs="Times New Roman"/>
          <w:sz w:val="24"/>
          <w:szCs w:val="24"/>
        </w:rPr>
      </w:pPr>
    </w:p>
    <w:p w14:paraId="69727A64" w14:textId="77777777" w:rsidR="00A929CE" w:rsidRPr="00F97759" w:rsidRDefault="00A929CE" w:rsidP="00F97759">
      <w:pPr>
        <w:spacing w:line="360" w:lineRule="auto"/>
        <w:rPr>
          <w:rFonts w:ascii="Times New Roman" w:hAnsi="Times New Roman" w:cs="Times New Roman"/>
          <w:sz w:val="24"/>
          <w:szCs w:val="24"/>
        </w:rPr>
      </w:pPr>
    </w:p>
    <w:p w14:paraId="67CE37FA" w14:textId="77777777" w:rsidR="00A929CE" w:rsidRPr="00F97759" w:rsidRDefault="00A929CE" w:rsidP="00F97759">
      <w:pPr>
        <w:spacing w:line="360" w:lineRule="auto"/>
        <w:rPr>
          <w:rFonts w:ascii="Times New Roman" w:hAnsi="Times New Roman" w:cs="Times New Roman"/>
          <w:sz w:val="24"/>
          <w:szCs w:val="24"/>
        </w:rPr>
      </w:pPr>
    </w:p>
    <w:p w14:paraId="6D465001" w14:textId="77777777" w:rsidR="001D67A0" w:rsidRPr="00F97759" w:rsidRDefault="001D67A0" w:rsidP="00F97759">
      <w:pPr>
        <w:spacing w:line="360" w:lineRule="auto"/>
        <w:rPr>
          <w:rFonts w:ascii="Times New Roman" w:hAnsi="Times New Roman" w:cs="Times New Roman"/>
          <w:sz w:val="24"/>
          <w:szCs w:val="24"/>
        </w:rPr>
      </w:pPr>
    </w:p>
    <w:p w14:paraId="3D781C91" w14:textId="77777777" w:rsidR="001D67A0" w:rsidRPr="00F97759" w:rsidRDefault="001D67A0" w:rsidP="00F97759">
      <w:pPr>
        <w:spacing w:line="360" w:lineRule="auto"/>
        <w:rPr>
          <w:rFonts w:ascii="Times New Roman" w:hAnsi="Times New Roman" w:cs="Times New Roman"/>
          <w:sz w:val="24"/>
          <w:szCs w:val="24"/>
        </w:rPr>
      </w:pPr>
    </w:p>
    <w:p w14:paraId="43ECB739" w14:textId="77777777" w:rsidR="001D67A0" w:rsidRPr="00F97759" w:rsidRDefault="001D67A0" w:rsidP="00F97759">
      <w:pPr>
        <w:spacing w:line="360" w:lineRule="auto"/>
        <w:rPr>
          <w:rFonts w:ascii="Times New Roman" w:hAnsi="Times New Roman" w:cs="Times New Roman"/>
          <w:sz w:val="24"/>
          <w:szCs w:val="24"/>
        </w:rPr>
      </w:pPr>
    </w:p>
    <w:p w14:paraId="6B3DE9A9" w14:textId="77777777" w:rsidR="001D67A0" w:rsidRPr="00F97759" w:rsidRDefault="001D67A0" w:rsidP="00F97759">
      <w:pPr>
        <w:spacing w:line="360" w:lineRule="auto"/>
        <w:rPr>
          <w:rFonts w:ascii="Times New Roman" w:hAnsi="Times New Roman" w:cs="Times New Roman"/>
          <w:sz w:val="24"/>
          <w:szCs w:val="24"/>
        </w:rPr>
      </w:pPr>
    </w:p>
    <w:p w14:paraId="4139DE13" w14:textId="77777777" w:rsidR="001D67A0" w:rsidRPr="00F97759" w:rsidRDefault="001D67A0" w:rsidP="00F97759">
      <w:pPr>
        <w:spacing w:line="360" w:lineRule="auto"/>
        <w:rPr>
          <w:rFonts w:ascii="Times New Roman" w:hAnsi="Times New Roman" w:cs="Times New Roman"/>
          <w:sz w:val="24"/>
          <w:szCs w:val="24"/>
        </w:rPr>
      </w:pPr>
    </w:p>
    <w:p w14:paraId="6409451C" w14:textId="77777777" w:rsidR="001D67A0" w:rsidRPr="00F97759" w:rsidRDefault="001D67A0" w:rsidP="00F97759">
      <w:pPr>
        <w:spacing w:line="360" w:lineRule="auto"/>
        <w:rPr>
          <w:rFonts w:ascii="Times New Roman" w:hAnsi="Times New Roman" w:cs="Times New Roman"/>
          <w:sz w:val="24"/>
          <w:szCs w:val="24"/>
        </w:rPr>
      </w:pPr>
    </w:p>
    <w:p w14:paraId="52AD2494" w14:textId="77777777" w:rsidR="001D67A0" w:rsidRPr="00F97759" w:rsidRDefault="001D67A0" w:rsidP="00F97759">
      <w:pPr>
        <w:spacing w:line="360" w:lineRule="auto"/>
        <w:rPr>
          <w:rFonts w:ascii="Times New Roman" w:hAnsi="Times New Roman" w:cs="Times New Roman"/>
          <w:sz w:val="24"/>
          <w:szCs w:val="24"/>
        </w:rPr>
      </w:pPr>
    </w:p>
    <w:p w14:paraId="576120B3" w14:textId="77777777" w:rsidR="001D67A0" w:rsidRPr="00F97759" w:rsidRDefault="001D67A0" w:rsidP="00F97759">
      <w:pPr>
        <w:spacing w:line="360" w:lineRule="auto"/>
        <w:rPr>
          <w:rFonts w:ascii="Times New Roman" w:hAnsi="Times New Roman" w:cs="Times New Roman"/>
          <w:sz w:val="24"/>
          <w:szCs w:val="24"/>
        </w:rPr>
      </w:pPr>
    </w:p>
    <w:p w14:paraId="44305230" w14:textId="77777777" w:rsidR="00A929CE" w:rsidRPr="00F97759" w:rsidRDefault="00A929CE" w:rsidP="00F97759">
      <w:pPr>
        <w:keepNext/>
        <w:keepLines/>
        <w:spacing w:before="40" w:line="360" w:lineRule="auto"/>
        <w:ind w:left="720"/>
        <w:outlineLvl w:val="1"/>
        <w:rPr>
          <w:rFonts w:ascii="Times New Roman" w:eastAsiaTheme="majorEastAsia" w:hAnsi="Times New Roman" w:cs="Times New Roman"/>
          <w:b/>
          <w:sz w:val="24"/>
          <w:szCs w:val="24"/>
        </w:rPr>
      </w:pPr>
      <w:bookmarkStart w:id="13" w:name="_Toc509840085"/>
      <w:r w:rsidRPr="00F97759">
        <w:rPr>
          <w:rFonts w:ascii="Times New Roman" w:eastAsiaTheme="majorEastAsia" w:hAnsi="Times New Roman" w:cs="Times New Roman"/>
          <w:b/>
          <w:sz w:val="24"/>
          <w:szCs w:val="24"/>
        </w:rPr>
        <w:t>Programme 3: Institutional Support and Coordination</w:t>
      </w:r>
      <w:bookmarkEnd w:id="13"/>
    </w:p>
    <w:p w14:paraId="0CCDC924" w14:textId="77777777" w:rsidR="00A929CE" w:rsidRPr="00F97759" w:rsidRDefault="00A929CE" w:rsidP="00F97759">
      <w:pPr>
        <w:spacing w:line="360" w:lineRule="auto"/>
        <w:rPr>
          <w:rFonts w:ascii="Times New Roman" w:hAnsi="Times New Roman" w:cs="Times New Roman"/>
          <w:sz w:val="24"/>
          <w:szCs w:val="24"/>
        </w:rPr>
      </w:pPr>
    </w:p>
    <w:p w14:paraId="4DAA2B6A"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As noted earlier, Programme 3 constitutes the bulk of the Department’s budget allocation. The Table below indicates that the allocation to the Programme for 2018/19 decreases by 6.6 percent in real terms.</w:t>
      </w:r>
    </w:p>
    <w:p w14:paraId="14506A56" w14:textId="77777777" w:rsidR="00A929CE" w:rsidRPr="00F97759" w:rsidRDefault="00A929CE" w:rsidP="00F97759">
      <w:pPr>
        <w:spacing w:line="360" w:lineRule="auto"/>
        <w:rPr>
          <w:rFonts w:ascii="Times New Roman" w:hAnsi="Times New Roman" w:cs="Times New Roman"/>
          <w:sz w:val="24"/>
          <w:szCs w:val="24"/>
        </w:rPr>
      </w:pPr>
    </w:p>
    <w:tbl>
      <w:tblPr>
        <w:tblStyle w:val="TableGrid7"/>
        <w:tblW w:w="8920" w:type="dxa"/>
        <w:tblLook w:val="04A0" w:firstRow="1" w:lastRow="0" w:firstColumn="1" w:lastColumn="0" w:noHBand="0" w:noVBand="1"/>
      </w:tblPr>
      <w:tblGrid>
        <w:gridCol w:w="2348"/>
        <w:gridCol w:w="993"/>
        <w:gridCol w:w="993"/>
        <w:gridCol w:w="1168"/>
        <w:gridCol w:w="1010"/>
        <w:gridCol w:w="1365"/>
        <w:gridCol w:w="1365"/>
      </w:tblGrid>
      <w:tr w:rsidR="00A929CE" w:rsidRPr="00F97759" w14:paraId="691812B2" w14:textId="77777777" w:rsidTr="00727CDC">
        <w:trPr>
          <w:trHeight w:val="780"/>
        </w:trPr>
        <w:tc>
          <w:tcPr>
            <w:tcW w:w="2376" w:type="dxa"/>
            <w:noWrap/>
            <w:hideMark/>
          </w:tcPr>
          <w:p w14:paraId="6C0C1D23"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Programme</w:t>
            </w:r>
          </w:p>
        </w:tc>
        <w:tc>
          <w:tcPr>
            <w:tcW w:w="1584" w:type="dxa"/>
            <w:gridSpan w:val="2"/>
            <w:hideMark/>
          </w:tcPr>
          <w:p w14:paraId="27C6B4E3"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1180" w:type="dxa"/>
            <w:hideMark/>
          </w:tcPr>
          <w:p w14:paraId="0D1634F8"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1020" w:type="dxa"/>
            <w:hideMark/>
          </w:tcPr>
          <w:p w14:paraId="27FAD308"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1380" w:type="dxa"/>
            <w:hideMark/>
          </w:tcPr>
          <w:p w14:paraId="5C7E9194"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1380" w:type="dxa"/>
            <w:hideMark/>
          </w:tcPr>
          <w:p w14:paraId="7EA3B307"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A929CE" w:rsidRPr="00F97759" w14:paraId="02B6E6A6" w14:textId="77777777" w:rsidTr="00727CDC">
        <w:trPr>
          <w:trHeight w:val="255"/>
        </w:trPr>
        <w:tc>
          <w:tcPr>
            <w:tcW w:w="2376" w:type="dxa"/>
            <w:noWrap/>
            <w:hideMark/>
          </w:tcPr>
          <w:p w14:paraId="5B9219F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792" w:type="dxa"/>
            <w:noWrap/>
            <w:hideMark/>
          </w:tcPr>
          <w:p w14:paraId="0EFA263E"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792" w:type="dxa"/>
            <w:noWrap/>
            <w:hideMark/>
          </w:tcPr>
          <w:p w14:paraId="2D99DD6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2200" w:type="dxa"/>
            <w:gridSpan w:val="2"/>
            <w:noWrap/>
            <w:hideMark/>
          </w:tcPr>
          <w:p w14:paraId="02CECFAC"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2760" w:type="dxa"/>
            <w:gridSpan w:val="2"/>
            <w:noWrap/>
            <w:hideMark/>
          </w:tcPr>
          <w:p w14:paraId="5301AF8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A929CE" w:rsidRPr="00F97759" w14:paraId="3B539CA1" w14:textId="77777777" w:rsidTr="00727CDC">
        <w:trPr>
          <w:trHeight w:val="450"/>
        </w:trPr>
        <w:tc>
          <w:tcPr>
            <w:tcW w:w="2376" w:type="dxa"/>
            <w:hideMark/>
          </w:tcPr>
          <w:p w14:paraId="3DBB1F4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1: Management</w:t>
            </w:r>
          </w:p>
        </w:tc>
        <w:tc>
          <w:tcPr>
            <w:tcW w:w="792" w:type="dxa"/>
            <w:noWrap/>
            <w:hideMark/>
          </w:tcPr>
          <w:p w14:paraId="4EACEB9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1,7</w:t>
            </w:r>
          </w:p>
        </w:tc>
        <w:tc>
          <w:tcPr>
            <w:tcW w:w="792" w:type="dxa"/>
            <w:noWrap/>
            <w:hideMark/>
          </w:tcPr>
          <w:p w14:paraId="5AD72B8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1,8</w:t>
            </w:r>
          </w:p>
        </w:tc>
        <w:tc>
          <w:tcPr>
            <w:tcW w:w="1180" w:type="dxa"/>
            <w:noWrap/>
            <w:hideMark/>
          </w:tcPr>
          <w:p w14:paraId="0BAD461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0,1</w:t>
            </w:r>
          </w:p>
        </w:tc>
        <w:tc>
          <w:tcPr>
            <w:tcW w:w="1020" w:type="dxa"/>
            <w:noWrap/>
            <w:hideMark/>
          </w:tcPr>
          <w:p w14:paraId="1167943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1380" w:type="dxa"/>
            <w:noWrap/>
            <w:hideMark/>
          </w:tcPr>
          <w:p w14:paraId="4DAEA97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5,88 per cent</w:t>
            </w:r>
          </w:p>
        </w:tc>
        <w:tc>
          <w:tcPr>
            <w:tcW w:w="1380" w:type="dxa"/>
            <w:noWrap/>
            <w:hideMark/>
          </w:tcPr>
          <w:p w14:paraId="40A955F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0,36 per cent</w:t>
            </w:r>
          </w:p>
        </w:tc>
      </w:tr>
      <w:tr w:rsidR="00A929CE" w:rsidRPr="00F97759" w14:paraId="3F78CC3C" w14:textId="77777777" w:rsidTr="00727CDC">
        <w:trPr>
          <w:trHeight w:val="675"/>
        </w:trPr>
        <w:tc>
          <w:tcPr>
            <w:tcW w:w="2376" w:type="dxa"/>
            <w:hideMark/>
          </w:tcPr>
          <w:p w14:paraId="11AC934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2: Institutional Development and Capacity Building</w:t>
            </w:r>
          </w:p>
        </w:tc>
        <w:tc>
          <w:tcPr>
            <w:tcW w:w="792" w:type="dxa"/>
            <w:noWrap/>
            <w:hideMark/>
          </w:tcPr>
          <w:p w14:paraId="249B970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6,7</w:t>
            </w:r>
          </w:p>
        </w:tc>
        <w:tc>
          <w:tcPr>
            <w:tcW w:w="792" w:type="dxa"/>
            <w:noWrap/>
            <w:hideMark/>
          </w:tcPr>
          <w:p w14:paraId="7FFE189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7,3</w:t>
            </w:r>
          </w:p>
        </w:tc>
        <w:tc>
          <w:tcPr>
            <w:tcW w:w="1180" w:type="dxa"/>
            <w:noWrap/>
            <w:hideMark/>
          </w:tcPr>
          <w:p w14:paraId="520287B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0,6</w:t>
            </w:r>
          </w:p>
        </w:tc>
        <w:tc>
          <w:tcPr>
            <w:tcW w:w="1020" w:type="dxa"/>
            <w:noWrap/>
            <w:hideMark/>
          </w:tcPr>
          <w:p w14:paraId="461E35B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0,2</w:t>
            </w:r>
          </w:p>
        </w:tc>
        <w:tc>
          <w:tcPr>
            <w:tcW w:w="1380" w:type="dxa"/>
            <w:noWrap/>
            <w:hideMark/>
          </w:tcPr>
          <w:p w14:paraId="0FFEFE4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8,96 per cent</w:t>
            </w:r>
          </w:p>
        </w:tc>
        <w:tc>
          <w:tcPr>
            <w:tcW w:w="1380" w:type="dxa"/>
            <w:noWrap/>
            <w:hideMark/>
          </w:tcPr>
          <w:p w14:paraId="446DB2F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3,28 per cent</w:t>
            </w:r>
          </w:p>
        </w:tc>
      </w:tr>
      <w:tr w:rsidR="00A929CE" w:rsidRPr="00F97759" w14:paraId="5EB9B93D" w14:textId="77777777" w:rsidTr="00727CDC">
        <w:trPr>
          <w:trHeight w:val="675"/>
        </w:trPr>
        <w:tc>
          <w:tcPr>
            <w:tcW w:w="2376" w:type="dxa"/>
            <w:hideMark/>
          </w:tcPr>
          <w:p w14:paraId="183FED5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3: Intergovernmental Relations and Partnerships</w:t>
            </w:r>
          </w:p>
        </w:tc>
        <w:tc>
          <w:tcPr>
            <w:tcW w:w="792" w:type="dxa"/>
            <w:noWrap/>
            <w:hideMark/>
          </w:tcPr>
          <w:p w14:paraId="678110B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7,5</w:t>
            </w:r>
          </w:p>
        </w:tc>
        <w:tc>
          <w:tcPr>
            <w:tcW w:w="792" w:type="dxa"/>
            <w:noWrap/>
            <w:hideMark/>
          </w:tcPr>
          <w:p w14:paraId="5D6C700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8,3</w:t>
            </w:r>
          </w:p>
        </w:tc>
        <w:tc>
          <w:tcPr>
            <w:tcW w:w="1180" w:type="dxa"/>
            <w:noWrap/>
            <w:hideMark/>
          </w:tcPr>
          <w:p w14:paraId="241304C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0,8</w:t>
            </w:r>
          </w:p>
        </w:tc>
        <w:tc>
          <w:tcPr>
            <w:tcW w:w="1020" w:type="dxa"/>
            <w:noWrap/>
            <w:hideMark/>
          </w:tcPr>
          <w:p w14:paraId="08AA20C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0,4</w:t>
            </w:r>
          </w:p>
        </w:tc>
        <w:tc>
          <w:tcPr>
            <w:tcW w:w="1380" w:type="dxa"/>
            <w:noWrap/>
            <w:hideMark/>
          </w:tcPr>
          <w:p w14:paraId="01B842C5"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10,67 per cent</w:t>
            </w:r>
          </w:p>
        </w:tc>
        <w:tc>
          <w:tcPr>
            <w:tcW w:w="1380" w:type="dxa"/>
            <w:noWrap/>
            <w:hideMark/>
          </w:tcPr>
          <w:p w14:paraId="14E6363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4,90 per cent</w:t>
            </w:r>
          </w:p>
        </w:tc>
      </w:tr>
      <w:tr w:rsidR="00A929CE" w:rsidRPr="00F97759" w14:paraId="6368B468" w14:textId="77777777" w:rsidTr="00727CDC">
        <w:trPr>
          <w:trHeight w:val="450"/>
        </w:trPr>
        <w:tc>
          <w:tcPr>
            <w:tcW w:w="2376" w:type="dxa"/>
            <w:hideMark/>
          </w:tcPr>
          <w:p w14:paraId="160435E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Sub-Programme 4: National House of Traditional Leaders</w:t>
            </w:r>
          </w:p>
        </w:tc>
        <w:tc>
          <w:tcPr>
            <w:tcW w:w="792" w:type="dxa"/>
            <w:noWrap/>
            <w:hideMark/>
          </w:tcPr>
          <w:p w14:paraId="3A9573A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19,1</w:t>
            </w:r>
          </w:p>
        </w:tc>
        <w:tc>
          <w:tcPr>
            <w:tcW w:w="792" w:type="dxa"/>
            <w:noWrap/>
            <w:hideMark/>
          </w:tcPr>
          <w:p w14:paraId="1281B99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18,5</w:t>
            </w:r>
          </w:p>
        </w:tc>
        <w:tc>
          <w:tcPr>
            <w:tcW w:w="1180" w:type="dxa"/>
            <w:noWrap/>
            <w:hideMark/>
          </w:tcPr>
          <w:p w14:paraId="15BA728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0,6</w:t>
            </w:r>
          </w:p>
        </w:tc>
        <w:tc>
          <w:tcPr>
            <w:tcW w:w="1020" w:type="dxa"/>
            <w:noWrap/>
            <w:hideMark/>
          </w:tcPr>
          <w:p w14:paraId="2CC7C11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1,6</w:t>
            </w:r>
          </w:p>
        </w:tc>
        <w:tc>
          <w:tcPr>
            <w:tcW w:w="1380" w:type="dxa"/>
            <w:noWrap/>
            <w:hideMark/>
          </w:tcPr>
          <w:p w14:paraId="06475D5C"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-3,14 per cent</w:t>
            </w:r>
          </w:p>
        </w:tc>
        <w:tc>
          <w:tcPr>
            <w:tcW w:w="1380" w:type="dxa"/>
            <w:noWrap/>
            <w:hideMark/>
          </w:tcPr>
          <w:p w14:paraId="7AD5494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-8,19 per cent</w:t>
            </w:r>
          </w:p>
        </w:tc>
      </w:tr>
      <w:tr w:rsidR="00A929CE" w:rsidRPr="00F97759" w14:paraId="05D6A44D" w14:textId="77777777" w:rsidTr="00727CDC">
        <w:trPr>
          <w:trHeight w:val="1125"/>
        </w:trPr>
        <w:tc>
          <w:tcPr>
            <w:tcW w:w="2376" w:type="dxa"/>
            <w:hideMark/>
          </w:tcPr>
          <w:p w14:paraId="42DDD99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Sub-Programme 5: Commission for the Promotion and </w:t>
            </w:r>
            <w:r w:rsidRPr="00F97759">
              <w:rPr>
                <w:rFonts w:ascii="Times New Roman" w:eastAsia="Times New Roman" w:hAnsi="Times New Roman" w:cs="Times New Roman"/>
                <w:sz w:val="24"/>
                <w:szCs w:val="24"/>
                <w:lang w:eastAsia="en-ZA"/>
              </w:rPr>
              <w:lastRenderedPageBreak/>
              <w:t>Protection of the Rights of Cultural, Religious, and Linguistic Communities</w:t>
            </w:r>
          </w:p>
        </w:tc>
        <w:tc>
          <w:tcPr>
            <w:tcW w:w="792" w:type="dxa"/>
            <w:noWrap/>
            <w:hideMark/>
          </w:tcPr>
          <w:p w14:paraId="53F2421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 xml:space="preserve">  42,4</w:t>
            </w:r>
          </w:p>
        </w:tc>
        <w:tc>
          <w:tcPr>
            <w:tcW w:w="792" w:type="dxa"/>
            <w:noWrap/>
            <w:hideMark/>
          </w:tcPr>
          <w:p w14:paraId="0FDE2EF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42,8</w:t>
            </w:r>
          </w:p>
        </w:tc>
        <w:tc>
          <w:tcPr>
            <w:tcW w:w="1180" w:type="dxa"/>
            <w:noWrap/>
            <w:hideMark/>
          </w:tcPr>
          <w:p w14:paraId="59BCA5E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0,4</w:t>
            </w:r>
          </w:p>
        </w:tc>
        <w:tc>
          <w:tcPr>
            <w:tcW w:w="1020" w:type="dxa"/>
            <w:noWrap/>
            <w:hideMark/>
          </w:tcPr>
          <w:p w14:paraId="35365A0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1,8</w:t>
            </w:r>
          </w:p>
        </w:tc>
        <w:tc>
          <w:tcPr>
            <w:tcW w:w="1380" w:type="dxa"/>
            <w:noWrap/>
            <w:hideMark/>
          </w:tcPr>
          <w:p w14:paraId="01288BB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0,94 per cent</w:t>
            </w:r>
          </w:p>
        </w:tc>
        <w:tc>
          <w:tcPr>
            <w:tcW w:w="1380" w:type="dxa"/>
            <w:noWrap/>
            <w:hideMark/>
          </w:tcPr>
          <w:p w14:paraId="0B84EF2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-4,32 per cent</w:t>
            </w:r>
          </w:p>
        </w:tc>
      </w:tr>
      <w:tr w:rsidR="00A929CE" w:rsidRPr="00F97759" w14:paraId="53C84DF5" w14:textId="77777777" w:rsidTr="00727CDC">
        <w:trPr>
          <w:trHeight w:val="450"/>
        </w:trPr>
        <w:tc>
          <w:tcPr>
            <w:tcW w:w="2376" w:type="dxa"/>
            <w:hideMark/>
          </w:tcPr>
          <w:p w14:paraId="1669DEC0"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lastRenderedPageBreak/>
              <w:t>Sub-Programme 6: Disputes and Claims Resolutions</w:t>
            </w:r>
          </w:p>
        </w:tc>
        <w:tc>
          <w:tcPr>
            <w:tcW w:w="792" w:type="dxa"/>
            <w:noWrap/>
            <w:hideMark/>
          </w:tcPr>
          <w:p w14:paraId="7693337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15,1</w:t>
            </w:r>
          </w:p>
        </w:tc>
        <w:tc>
          <w:tcPr>
            <w:tcW w:w="792" w:type="dxa"/>
            <w:noWrap/>
            <w:hideMark/>
          </w:tcPr>
          <w:p w14:paraId="082B52C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12,4</w:t>
            </w:r>
          </w:p>
        </w:tc>
        <w:tc>
          <w:tcPr>
            <w:tcW w:w="1180" w:type="dxa"/>
            <w:noWrap/>
            <w:hideMark/>
          </w:tcPr>
          <w:p w14:paraId="0112C6F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2,7</w:t>
            </w:r>
          </w:p>
        </w:tc>
        <w:tc>
          <w:tcPr>
            <w:tcW w:w="1020" w:type="dxa"/>
            <w:noWrap/>
            <w:hideMark/>
          </w:tcPr>
          <w:p w14:paraId="4867366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3,3</w:t>
            </w:r>
          </w:p>
        </w:tc>
        <w:tc>
          <w:tcPr>
            <w:tcW w:w="1380" w:type="dxa"/>
            <w:noWrap/>
            <w:hideMark/>
          </w:tcPr>
          <w:p w14:paraId="3A9E5333"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-17,88 per cent</w:t>
            </w:r>
          </w:p>
        </w:tc>
        <w:tc>
          <w:tcPr>
            <w:tcW w:w="1380" w:type="dxa"/>
            <w:noWrap/>
            <w:hideMark/>
          </w:tcPr>
          <w:p w14:paraId="66EAABA9"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-22,16 per cent</w:t>
            </w:r>
          </w:p>
        </w:tc>
      </w:tr>
      <w:tr w:rsidR="00A929CE" w:rsidRPr="00F97759" w14:paraId="77B7A6A8" w14:textId="77777777" w:rsidTr="00727CDC">
        <w:trPr>
          <w:trHeight w:val="255"/>
        </w:trPr>
        <w:tc>
          <w:tcPr>
            <w:tcW w:w="2376" w:type="dxa"/>
            <w:noWrap/>
            <w:hideMark/>
          </w:tcPr>
          <w:p w14:paraId="4663887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792" w:type="dxa"/>
            <w:noWrap/>
            <w:hideMark/>
          </w:tcPr>
          <w:p w14:paraId="7378377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792" w:type="dxa"/>
            <w:noWrap/>
            <w:hideMark/>
          </w:tcPr>
          <w:p w14:paraId="65F4CD6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180" w:type="dxa"/>
            <w:noWrap/>
            <w:hideMark/>
          </w:tcPr>
          <w:p w14:paraId="7B7A093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020" w:type="dxa"/>
            <w:noWrap/>
            <w:hideMark/>
          </w:tcPr>
          <w:p w14:paraId="13C17B4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80" w:type="dxa"/>
            <w:noWrap/>
            <w:hideMark/>
          </w:tcPr>
          <w:p w14:paraId="00A2E7B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c>
          <w:tcPr>
            <w:tcW w:w="1380" w:type="dxa"/>
            <w:noWrap/>
            <w:hideMark/>
          </w:tcPr>
          <w:p w14:paraId="049F8B8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p>
        </w:tc>
      </w:tr>
      <w:tr w:rsidR="00A929CE" w:rsidRPr="00F97759" w14:paraId="3C423292" w14:textId="77777777" w:rsidTr="00727CDC">
        <w:trPr>
          <w:trHeight w:val="270"/>
        </w:trPr>
        <w:tc>
          <w:tcPr>
            <w:tcW w:w="2376" w:type="dxa"/>
            <w:noWrap/>
            <w:hideMark/>
          </w:tcPr>
          <w:p w14:paraId="5B817BB7"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792" w:type="dxa"/>
            <w:noWrap/>
            <w:hideMark/>
          </w:tcPr>
          <w:p w14:paraId="1173FFAA"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92,5</w:t>
            </w:r>
          </w:p>
        </w:tc>
        <w:tc>
          <w:tcPr>
            <w:tcW w:w="792" w:type="dxa"/>
            <w:noWrap/>
            <w:hideMark/>
          </w:tcPr>
          <w:p w14:paraId="2A23CA9E"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91,1</w:t>
            </w:r>
          </w:p>
        </w:tc>
        <w:tc>
          <w:tcPr>
            <w:tcW w:w="1180" w:type="dxa"/>
            <w:noWrap/>
            <w:hideMark/>
          </w:tcPr>
          <w:p w14:paraId="3A20C92B"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1,4</w:t>
            </w:r>
          </w:p>
        </w:tc>
        <w:tc>
          <w:tcPr>
            <w:tcW w:w="1020" w:type="dxa"/>
            <w:noWrap/>
            <w:hideMark/>
          </w:tcPr>
          <w:p w14:paraId="16D25230"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6,1</w:t>
            </w:r>
          </w:p>
        </w:tc>
        <w:tc>
          <w:tcPr>
            <w:tcW w:w="1380" w:type="dxa"/>
            <w:noWrap/>
            <w:hideMark/>
          </w:tcPr>
          <w:p w14:paraId="1DA7AD91"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-1,51 per cent</w:t>
            </w:r>
          </w:p>
        </w:tc>
        <w:tc>
          <w:tcPr>
            <w:tcW w:w="1380" w:type="dxa"/>
            <w:noWrap/>
            <w:hideMark/>
          </w:tcPr>
          <w:p w14:paraId="44BA5B0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-6,65 per cent</w:t>
            </w:r>
          </w:p>
        </w:tc>
      </w:tr>
    </w:tbl>
    <w:p w14:paraId="529AD285" w14:textId="77777777" w:rsidR="00A929CE" w:rsidRPr="00F97759" w:rsidRDefault="00A929CE" w:rsidP="00F97759">
      <w:pPr>
        <w:spacing w:line="360" w:lineRule="auto"/>
        <w:rPr>
          <w:rFonts w:ascii="Times New Roman" w:hAnsi="Times New Roman" w:cs="Times New Roman"/>
          <w:sz w:val="24"/>
          <w:szCs w:val="24"/>
        </w:rPr>
      </w:pPr>
    </w:p>
    <w:p w14:paraId="188B1D19"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The Graph below indicates that the transfer to the CRL Rights Commission constitutes the lion’s share of the Programme budget. However, the allocated to the Commission decreases by 4.3 percent in real terms, which is concerning given the Commission’s inability to fulfil its mandate, such as convening National Consultative Conferences. The allocation to sub-programme 6: Disputes and Claims Resolutions also decreases by 22 percent, which is inconsistent with the Department’s objective of reducing the number of traditional leadership disputes and claims over the medium term strategic framework period.</w:t>
      </w:r>
    </w:p>
    <w:p w14:paraId="2BE80753" w14:textId="77777777" w:rsidR="00A929CE" w:rsidRPr="00F97759" w:rsidRDefault="00A929CE" w:rsidP="00F97759">
      <w:pPr>
        <w:spacing w:line="360" w:lineRule="auto"/>
        <w:rPr>
          <w:rFonts w:ascii="Times New Roman" w:hAnsi="Times New Roman" w:cs="Times New Roman"/>
          <w:sz w:val="24"/>
          <w:szCs w:val="24"/>
        </w:rPr>
      </w:pPr>
    </w:p>
    <w:p w14:paraId="7F6DBA50" w14:textId="77777777" w:rsidR="00A929CE" w:rsidRPr="00F97759" w:rsidRDefault="00A929CE" w:rsidP="00F97759">
      <w:pPr>
        <w:spacing w:line="360" w:lineRule="auto"/>
        <w:rPr>
          <w:rFonts w:ascii="Times New Roman" w:hAnsi="Times New Roman" w:cs="Times New Roman"/>
          <w:sz w:val="24"/>
          <w:szCs w:val="24"/>
        </w:rPr>
      </w:pPr>
    </w:p>
    <w:p w14:paraId="2F9193FD" w14:textId="77777777" w:rsidR="00A929CE" w:rsidRPr="00F97759" w:rsidRDefault="00A929CE" w:rsidP="00F97759">
      <w:pPr>
        <w:spacing w:line="360" w:lineRule="auto"/>
        <w:rPr>
          <w:rFonts w:ascii="Times New Roman" w:hAnsi="Times New Roman" w:cs="Times New Roman"/>
          <w:sz w:val="24"/>
          <w:szCs w:val="24"/>
        </w:rPr>
      </w:pPr>
    </w:p>
    <w:p w14:paraId="7EE70D60" w14:textId="77777777" w:rsidR="00A929CE" w:rsidRPr="00F97759" w:rsidRDefault="00A929CE" w:rsidP="00F97759">
      <w:pPr>
        <w:spacing w:line="360" w:lineRule="auto"/>
        <w:rPr>
          <w:rFonts w:ascii="Times New Roman" w:hAnsi="Times New Roman" w:cs="Times New Roman"/>
          <w:sz w:val="24"/>
          <w:szCs w:val="24"/>
        </w:rPr>
      </w:pPr>
    </w:p>
    <w:p w14:paraId="00F90C1F" w14:textId="77777777" w:rsidR="00A929CE" w:rsidRPr="00F97759" w:rsidRDefault="00A929CE" w:rsidP="00F97759">
      <w:pPr>
        <w:spacing w:line="360" w:lineRule="auto"/>
        <w:rPr>
          <w:rFonts w:ascii="Times New Roman" w:hAnsi="Times New Roman" w:cs="Times New Roman"/>
          <w:sz w:val="24"/>
          <w:szCs w:val="24"/>
        </w:rPr>
      </w:pPr>
    </w:p>
    <w:p w14:paraId="6D52B8A2" w14:textId="77777777" w:rsidR="00A929CE" w:rsidRPr="00F97759" w:rsidRDefault="00A929CE" w:rsidP="00F97759">
      <w:pPr>
        <w:spacing w:line="360" w:lineRule="auto"/>
        <w:rPr>
          <w:rFonts w:ascii="Times New Roman" w:hAnsi="Times New Roman" w:cs="Times New Roman"/>
          <w:sz w:val="24"/>
          <w:szCs w:val="24"/>
        </w:rPr>
      </w:pPr>
    </w:p>
    <w:p w14:paraId="1982019C" w14:textId="77777777" w:rsidR="00A929CE" w:rsidRPr="00F97759" w:rsidRDefault="00A929CE" w:rsidP="00F97759">
      <w:pPr>
        <w:spacing w:line="360" w:lineRule="auto"/>
        <w:rPr>
          <w:rFonts w:ascii="Times New Roman" w:hAnsi="Times New Roman" w:cs="Times New Roman"/>
          <w:sz w:val="24"/>
          <w:szCs w:val="24"/>
        </w:rPr>
      </w:pPr>
    </w:p>
    <w:p w14:paraId="2B848C20" w14:textId="77777777" w:rsidR="00A929CE" w:rsidRPr="00F97759" w:rsidRDefault="00F97759" w:rsidP="00F97759">
      <w:pPr>
        <w:spacing w:line="360" w:lineRule="auto"/>
        <w:rPr>
          <w:rFonts w:ascii="Times New Roman" w:hAnsi="Times New Roman" w:cs="Times New Roman"/>
          <w:sz w:val="24"/>
          <w:szCs w:val="24"/>
        </w:rPr>
      </w:pPr>
      <w:r w:rsidRPr="00F97759">
        <w:rPr>
          <w:rFonts w:ascii="Times New Roman" w:hAnsi="Times New Roman" w:cs="Times New Roman"/>
          <w:noProof/>
          <w:sz w:val="24"/>
          <w:szCs w:val="24"/>
          <w:lang w:eastAsia="en-ZA"/>
        </w:rPr>
        <w:drawing>
          <wp:anchor distT="0" distB="0" distL="114300" distR="114300" simplePos="0" relativeHeight="251693056" behindDoc="0" locked="0" layoutInCell="1" allowOverlap="1" wp14:anchorId="35B9D8C3" wp14:editId="35BD757A">
            <wp:simplePos x="0" y="0"/>
            <wp:positionH relativeFrom="column">
              <wp:posOffset>-114300</wp:posOffset>
            </wp:positionH>
            <wp:positionV relativeFrom="paragraph">
              <wp:posOffset>132080</wp:posOffset>
            </wp:positionV>
            <wp:extent cx="5731510" cy="3382645"/>
            <wp:effectExtent l="0" t="0" r="2540" b="8255"/>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70061EC" w14:textId="77777777" w:rsidR="00A929CE" w:rsidRPr="00F97759" w:rsidRDefault="00A929CE" w:rsidP="00F97759">
      <w:pPr>
        <w:spacing w:line="360" w:lineRule="auto"/>
        <w:rPr>
          <w:rFonts w:ascii="Times New Roman" w:hAnsi="Times New Roman" w:cs="Times New Roman"/>
          <w:sz w:val="24"/>
          <w:szCs w:val="24"/>
        </w:rPr>
      </w:pPr>
    </w:p>
    <w:p w14:paraId="04B95A5A" w14:textId="77777777" w:rsidR="00A929CE" w:rsidRPr="00F97759" w:rsidRDefault="00A929CE" w:rsidP="00F97759">
      <w:pPr>
        <w:spacing w:line="360" w:lineRule="auto"/>
        <w:rPr>
          <w:rFonts w:ascii="Times New Roman" w:hAnsi="Times New Roman" w:cs="Times New Roman"/>
          <w:sz w:val="24"/>
          <w:szCs w:val="24"/>
        </w:rPr>
      </w:pPr>
    </w:p>
    <w:p w14:paraId="55CBEA56" w14:textId="77777777" w:rsidR="00A929CE" w:rsidRPr="00F97759" w:rsidRDefault="00A929CE" w:rsidP="00F97759">
      <w:pPr>
        <w:spacing w:line="360" w:lineRule="auto"/>
        <w:rPr>
          <w:rFonts w:ascii="Times New Roman" w:hAnsi="Times New Roman" w:cs="Times New Roman"/>
          <w:sz w:val="24"/>
          <w:szCs w:val="24"/>
        </w:rPr>
      </w:pPr>
    </w:p>
    <w:p w14:paraId="0AE9D590" w14:textId="77777777" w:rsidR="00A929CE" w:rsidRPr="00F97759" w:rsidRDefault="00A929CE" w:rsidP="00F97759">
      <w:pPr>
        <w:spacing w:line="360" w:lineRule="auto"/>
        <w:rPr>
          <w:rFonts w:ascii="Times New Roman" w:hAnsi="Times New Roman" w:cs="Times New Roman"/>
          <w:sz w:val="24"/>
          <w:szCs w:val="24"/>
        </w:rPr>
      </w:pPr>
    </w:p>
    <w:p w14:paraId="47B2B381" w14:textId="77777777" w:rsidR="00A929CE" w:rsidRPr="00F97759" w:rsidRDefault="00A929CE" w:rsidP="00F97759">
      <w:pPr>
        <w:spacing w:line="360" w:lineRule="auto"/>
        <w:rPr>
          <w:rFonts w:ascii="Times New Roman" w:hAnsi="Times New Roman" w:cs="Times New Roman"/>
          <w:sz w:val="24"/>
          <w:szCs w:val="24"/>
        </w:rPr>
      </w:pPr>
    </w:p>
    <w:p w14:paraId="2D9D2C90" w14:textId="77777777" w:rsidR="00A929CE" w:rsidRPr="00F97759" w:rsidRDefault="00A929CE" w:rsidP="00F97759">
      <w:pPr>
        <w:spacing w:line="360" w:lineRule="auto"/>
        <w:rPr>
          <w:rFonts w:ascii="Times New Roman" w:hAnsi="Times New Roman" w:cs="Times New Roman"/>
          <w:sz w:val="24"/>
          <w:szCs w:val="24"/>
        </w:rPr>
      </w:pPr>
    </w:p>
    <w:p w14:paraId="01C35BD8" w14:textId="77777777" w:rsidR="00A929CE" w:rsidRPr="00F97759" w:rsidRDefault="00A929CE" w:rsidP="00F97759">
      <w:pPr>
        <w:spacing w:line="360" w:lineRule="auto"/>
        <w:rPr>
          <w:rFonts w:ascii="Times New Roman" w:hAnsi="Times New Roman" w:cs="Times New Roman"/>
          <w:sz w:val="24"/>
          <w:szCs w:val="24"/>
        </w:rPr>
      </w:pPr>
    </w:p>
    <w:p w14:paraId="3EA7248B" w14:textId="77777777" w:rsidR="001D67A0" w:rsidRPr="00F97759" w:rsidRDefault="001D67A0" w:rsidP="00F97759">
      <w:pPr>
        <w:spacing w:line="360" w:lineRule="auto"/>
        <w:rPr>
          <w:rFonts w:ascii="Times New Roman" w:hAnsi="Times New Roman" w:cs="Times New Roman"/>
          <w:sz w:val="24"/>
          <w:szCs w:val="24"/>
        </w:rPr>
      </w:pPr>
    </w:p>
    <w:p w14:paraId="2D31AF62" w14:textId="77777777" w:rsidR="001D67A0" w:rsidRPr="00F97759" w:rsidRDefault="001D67A0" w:rsidP="00F97759">
      <w:pPr>
        <w:spacing w:line="360" w:lineRule="auto"/>
        <w:rPr>
          <w:rFonts w:ascii="Times New Roman" w:hAnsi="Times New Roman" w:cs="Times New Roman"/>
          <w:sz w:val="24"/>
          <w:szCs w:val="24"/>
        </w:rPr>
      </w:pPr>
    </w:p>
    <w:p w14:paraId="662206A2" w14:textId="77777777" w:rsidR="001D67A0" w:rsidRPr="00F97759" w:rsidRDefault="001D67A0" w:rsidP="00F97759">
      <w:pPr>
        <w:spacing w:line="360" w:lineRule="auto"/>
        <w:rPr>
          <w:rFonts w:ascii="Times New Roman" w:hAnsi="Times New Roman" w:cs="Times New Roman"/>
          <w:sz w:val="24"/>
          <w:szCs w:val="24"/>
        </w:rPr>
      </w:pPr>
    </w:p>
    <w:p w14:paraId="4265725B" w14:textId="77777777" w:rsidR="001D67A0" w:rsidRPr="00F97759" w:rsidRDefault="001D67A0" w:rsidP="00F97759">
      <w:pPr>
        <w:spacing w:line="360" w:lineRule="auto"/>
        <w:rPr>
          <w:rFonts w:ascii="Times New Roman" w:hAnsi="Times New Roman" w:cs="Times New Roman"/>
          <w:sz w:val="24"/>
          <w:szCs w:val="24"/>
        </w:rPr>
      </w:pPr>
    </w:p>
    <w:p w14:paraId="48E0F06A" w14:textId="77777777" w:rsidR="001D67A0" w:rsidRPr="00F97759" w:rsidRDefault="001D67A0" w:rsidP="00F97759">
      <w:pPr>
        <w:spacing w:line="360" w:lineRule="auto"/>
        <w:rPr>
          <w:rFonts w:ascii="Times New Roman" w:hAnsi="Times New Roman" w:cs="Times New Roman"/>
          <w:sz w:val="24"/>
          <w:szCs w:val="24"/>
        </w:rPr>
      </w:pPr>
    </w:p>
    <w:p w14:paraId="7873E6CD" w14:textId="77777777" w:rsidR="001D67A0" w:rsidRPr="00F97759" w:rsidRDefault="001D67A0" w:rsidP="00F97759">
      <w:pPr>
        <w:spacing w:line="360" w:lineRule="auto"/>
        <w:rPr>
          <w:rFonts w:ascii="Times New Roman" w:hAnsi="Times New Roman" w:cs="Times New Roman"/>
          <w:sz w:val="24"/>
          <w:szCs w:val="24"/>
        </w:rPr>
      </w:pPr>
    </w:p>
    <w:p w14:paraId="116A2D94" w14:textId="77777777" w:rsidR="001D67A0" w:rsidRPr="00F97759" w:rsidRDefault="001D67A0" w:rsidP="00F97759">
      <w:pPr>
        <w:spacing w:line="360" w:lineRule="auto"/>
        <w:rPr>
          <w:rFonts w:ascii="Times New Roman" w:hAnsi="Times New Roman" w:cs="Times New Roman"/>
          <w:sz w:val="24"/>
          <w:szCs w:val="24"/>
        </w:rPr>
      </w:pPr>
    </w:p>
    <w:p w14:paraId="316337D8" w14:textId="77777777" w:rsidR="00A929CE" w:rsidRPr="00F97759" w:rsidRDefault="00B74B04" w:rsidP="00F97759">
      <w:pPr>
        <w:pStyle w:val="ListParagraph"/>
        <w:numPr>
          <w:ilvl w:val="0"/>
          <w:numId w:val="42"/>
        </w:numPr>
        <w:spacing w:line="360" w:lineRule="auto"/>
        <w:rPr>
          <w:rFonts w:ascii="Times New Roman" w:hAnsi="Times New Roman" w:cs="Times New Roman"/>
          <w:b/>
          <w:sz w:val="24"/>
          <w:szCs w:val="24"/>
        </w:rPr>
      </w:pPr>
      <w:r w:rsidRPr="00F97759">
        <w:rPr>
          <w:rFonts w:ascii="Times New Roman" w:hAnsi="Times New Roman" w:cs="Times New Roman"/>
          <w:b/>
          <w:sz w:val="24"/>
          <w:szCs w:val="24"/>
        </w:rPr>
        <w:t>MUNICIPAL INFRASTRUCTURE SUPPORT AGENT (MISA)</w:t>
      </w:r>
    </w:p>
    <w:p w14:paraId="46623255" w14:textId="77777777" w:rsidR="00A929CE" w:rsidRPr="00F97759" w:rsidRDefault="00624DC0" w:rsidP="00F97759">
      <w:pPr>
        <w:keepNext/>
        <w:keepLines/>
        <w:spacing w:before="240" w:line="360" w:lineRule="auto"/>
        <w:ind w:left="360"/>
        <w:outlineLvl w:val="0"/>
        <w:rPr>
          <w:rFonts w:ascii="Times New Roman" w:eastAsiaTheme="majorEastAsia" w:hAnsi="Times New Roman" w:cs="Times New Roman"/>
          <w:b/>
          <w:caps/>
          <w:color w:val="538135" w:themeColor="accent6" w:themeShade="BF"/>
          <w:sz w:val="24"/>
          <w:szCs w:val="24"/>
        </w:rPr>
      </w:pPr>
      <w:bookmarkStart w:id="14" w:name="_Toc509840216"/>
      <w:r w:rsidRPr="00F97759">
        <w:rPr>
          <w:rFonts w:ascii="Times New Roman" w:eastAsiaTheme="majorEastAsia" w:hAnsi="Times New Roman" w:cs="Times New Roman"/>
          <w:b/>
          <w:caps/>
          <w:sz w:val="24"/>
          <w:szCs w:val="24"/>
        </w:rPr>
        <w:t>4</w:t>
      </w:r>
      <w:r w:rsidR="00B74B04" w:rsidRPr="00F97759">
        <w:rPr>
          <w:rFonts w:ascii="Times New Roman" w:eastAsiaTheme="majorEastAsia" w:hAnsi="Times New Roman" w:cs="Times New Roman"/>
          <w:b/>
          <w:caps/>
          <w:sz w:val="24"/>
          <w:szCs w:val="24"/>
        </w:rPr>
        <w:t xml:space="preserve">.1 </w:t>
      </w:r>
      <w:r w:rsidR="00A929CE" w:rsidRPr="00F97759">
        <w:rPr>
          <w:rFonts w:ascii="Times New Roman" w:eastAsiaTheme="majorEastAsia" w:hAnsi="Times New Roman" w:cs="Times New Roman"/>
          <w:b/>
          <w:caps/>
          <w:sz w:val="24"/>
          <w:szCs w:val="24"/>
        </w:rPr>
        <w:t>Overview of the 2017/18 financial year</w:t>
      </w:r>
      <w:bookmarkEnd w:id="14"/>
    </w:p>
    <w:p w14:paraId="4031D10D" w14:textId="77777777" w:rsidR="00A929CE" w:rsidRPr="00F97759" w:rsidRDefault="00A929CE" w:rsidP="00F97759">
      <w:pPr>
        <w:spacing w:line="360" w:lineRule="auto"/>
        <w:rPr>
          <w:rFonts w:ascii="Times New Roman" w:hAnsi="Times New Roman" w:cs="Times New Roman"/>
          <w:bCs/>
          <w:sz w:val="24"/>
          <w:szCs w:val="24"/>
        </w:rPr>
      </w:pPr>
    </w:p>
    <w:p w14:paraId="522DC852"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In the 2017/18 APP, MISA was upfront about the challenges it faced in fulfilling its core mandate of resolving the problem of technical incapacity in municipalities. For example: </w:t>
      </w:r>
    </w:p>
    <w:p w14:paraId="416AE182" w14:textId="77777777" w:rsidR="00A929CE" w:rsidRPr="00F97759" w:rsidRDefault="00A929CE" w:rsidP="00F97759">
      <w:pPr>
        <w:spacing w:line="360" w:lineRule="auto"/>
        <w:rPr>
          <w:rFonts w:ascii="Times New Roman" w:hAnsi="Times New Roman" w:cs="Times New Roman"/>
          <w:sz w:val="24"/>
          <w:szCs w:val="24"/>
        </w:rPr>
      </w:pPr>
    </w:p>
    <w:p w14:paraId="3C5A0B66" w14:textId="77777777" w:rsidR="00A929CE" w:rsidRPr="00F97759" w:rsidRDefault="00A929CE" w:rsidP="00F97759">
      <w:pPr>
        <w:numPr>
          <w:ilvl w:val="0"/>
          <w:numId w:val="37"/>
        </w:numPr>
        <w:spacing w:line="360" w:lineRule="auto"/>
        <w:contextualSpacing/>
        <w:rPr>
          <w:rFonts w:ascii="Times New Roman" w:eastAsia="+mn-ea" w:hAnsi="Times New Roman" w:cs="Times New Roman"/>
          <w:kern w:val="24"/>
          <w:sz w:val="24"/>
          <w:szCs w:val="24"/>
        </w:rPr>
      </w:pPr>
      <w:r w:rsidRPr="00F97759">
        <w:rPr>
          <w:rFonts w:ascii="Times New Roman" w:hAnsi="Times New Roman" w:cs="Times New Roman"/>
          <w:sz w:val="24"/>
          <w:szCs w:val="24"/>
        </w:rPr>
        <w:t xml:space="preserve">Inadequate internal capacity was constraining MISA’s efforts to accelerate delivery and extend its reach to a higher number of municipalities. </w:t>
      </w:r>
    </w:p>
    <w:p w14:paraId="6574135B" w14:textId="77777777" w:rsidR="00A929CE" w:rsidRPr="00F97759" w:rsidRDefault="00A929CE" w:rsidP="00F97759">
      <w:pPr>
        <w:numPr>
          <w:ilvl w:val="0"/>
          <w:numId w:val="37"/>
        </w:numPr>
        <w:spacing w:line="360" w:lineRule="auto"/>
        <w:contextualSpacing/>
        <w:rPr>
          <w:rFonts w:ascii="Times New Roman" w:eastAsia="+mn-ea" w:hAnsi="Times New Roman" w:cs="Times New Roman"/>
          <w:kern w:val="24"/>
          <w:sz w:val="24"/>
          <w:szCs w:val="24"/>
        </w:rPr>
      </w:pPr>
      <w:r w:rsidRPr="00F97759">
        <w:rPr>
          <w:rFonts w:ascii="Times New Roman" w:hAnsi="Times New Roman" w:cs="Times New Roman"/>
          <w:sz w:val="24"/>
          <w:szCs w:val="24"/>
        </w:rPr>
        <w:t xml:space="preserve">There were also difficulties around the redeployment of technical professionals to the 27 district municipalities prioritised for support, due to persisting capacity gaps in the municipalities that were receiving support. </w:t>
      </w:r>
    </w:p>
    <w:p w14:paraId="311778F4" w14:textId="77777777" w:rsidR="00A929CE" w:rsidRPr="00F97759" w:rsidRDefault="00A929CE" w:rsidP="00F97759">
      <w:pPr>
        <w:numPr>
          <w:ilvl w:val="0"/>
          <w:numId w:val="37"/>
        </w:numPr>
        <w:spacing w:line="360" w:lineRule="auto"/>
        <w:contextualSpacing/>
        <w:rPr>
          <w:rFonts w:ascii="Times New Roman" w:eastAsia="+mn-ea" w:hAnsi="Times New Roman" w:cs="Times New Roman"/>
          <w:kern w:val="24"/>
          <w:sz w:val="24"/>
          <w:szCs w:val="24"/>
        </w:rPr>
      </w:pPr>
      <w:r w:rsidRPr="00F97759">
        <w:rPr>
          <w:rFonts w:ascii="Times New Roman" w:hAnsi="Times New Roman" w:cs="Times New Roman"/>
          <w:sz w:val="24"/>
          <w:szCs w:val="24"/>
        </w:rPr>
        <w:t xml:space="preserve">There were further institutional challenges around the system of training and developing technical skills. </w:t>
      </w:r>
    </w:p>
    <w:p w14:paraId="6C87FBE2" w14:textId="77777777" w:rsidR="00A929CE" w:rsidRPr="00F97759" w:rsidRDefault="00A929CE" w:rsidP="00F97759">
      <w:pPr>
        <w:numPr>
          <w:ilvl w:val="0"/>
          <w:numId w:val="37"/>
        </w:numPr>
        <w:spacing w:line="360" w:lineRule="auto"/>
        <w:contextualSpacing/>
        <w:rPr>
          <w:rFonts w:ascii="Times New Roman" w:eastAsia="+mn-ea" w:hAnsi="Times New Roman" w:cs="Times New Roman"/>
          <w:kern w:val="24"/>
          <w:sz w:val="24"/>
          <w:szCs w:val="24"/>
        </w:rPr>
      </w:pPr>
      <w:r w:rsidRPr="00F97759">
        <w:rPr>
          <w:rFonts w:ascii="Times New Roman" w:hAnsi="Times New Roman" w:cs="Times New Roman"/>
          <w:sz w:val="24"/>
          <w:szCs w:val="24"/>
        </w:rPr>
        <w:t xml:space="preserve">Additional challenges included a </w:t>
      </w:r>
      <w:r w:rsidRPr="00F97759">
        <w:rPr>
          <w:rFonts w:ascii="Times New Roman" w:eastAsia="+mn-ea" w:hAnsi="Times New Roman" w:cs="Times New Roman"/>
          <w:kern w:val="24"/>
          <w:sz w:val="24"/>
          <w:szCs w:val="24"/>
        </w:rPr>
        <w:t xml:space="preserve">high turnover rate among skilled and experienced technical professionals in local government; </w:t>
      </w:r>
      <w:r w:rsidRPr="00F97759">
        <w:rPr>
          <w:rFonts w:ascii="Times New Roman" w:hAnsi="Times New Roman" w:cs="Times New Roman"/>
          <w:sz w:val="24"/>
          <w:szCs w:val="24"/>
        </w:rPr>
        <w:t xml:space="preserve">the </w:t>
      </w:r>
      <w:r w:rsidRPr="00F97759">
        <w:rPr>
          <w:rFonts w:ascii="Times New Roman" w:eastAsia="+mn-ea" w:hAnsi="Times New Roman" w:cs="Times New Roman"/>
          <w:kern w:val="24"/>
          <w:sz w:val="24"/>
          <w:szCs w:val="24"/>
        </w:rPr>
        <w:t>appointment of technical officials without requisite qualifications and/or experience by municipalities; and poor absorption and retention of graduates by municipalities after they complete their training with MISA support.</w:t>
      </w:r>
    </w:p>
    <w:p w14:paraId="37D705BD" w14:textId="77777777" w:rsidR="00A929CE" w:rsidRPr="00F97759" w:rsidRDefault="00A929CE" w:rsidP="00F97759">
      <w:pPr>
        <w:spacing w:line="360" w:lineRule="auto"/>
        <w:rPr>
          <w:rFonts w:ascii="Times New Roman" w:eastAsia="+mn-ea" w:hAnsi="Times New Roman" w:cs="Times New Roman"/>
          <w:kern w:val="24"/>
          <w:sz w:val="24"/>
          <w:szCs w:val="24"/>
        </w:rPr>
      </w:pPr>
    </w:p>
    <w:p w14:paraId="4F03E838" w14:textId="77777777" w:rsidR="00A929CE" w:rsidRPr="00F97759" w:rsidRDefault="00A929CE" w:rsidP="00F97759">
      <w:pPr>
        <w:spacing w:line="360" w:lineRule="auto"/>
        <w:rPr>
          <w:rFonts w:ascii="Times New Roman" w:hAnsi="Times New Roman" w:cs="Times New Roman"/>
          <w:b/>
          <w:bCs/>
          <w:sz w:val="24"/>
          <w:szCs w:val="24"/>
        </w:rPr>
      </w:pPr>
      <w:r w:rsidRPr="00F97759">
        <w:rPr>
          <w:rFonts w:ascii="Times New Roman" w:eastAsia="+mn-ea" w:hAnsi="Times New Roman" w:cs="Times New Roman"/>
          <w:kern w:val="24"/>
          <w:sz w:val="24"/>
          <w:szCs w:val="24"/>
        </w:rPr>
        <w:t xml:space="preserve">Despite these challenges, MISA continued with the process of addressing backlogs in the 27 priority districts identified in 2011. </w:t>
      </w:r>
    </w:p>
    <w:p w14:paraId="63F08DE6" w14:textId="77777777" w:rsidR="00A929CE" w:rsidRPr="00F97759" w:rsidRDefault="00624DC0" w:rsidP="00F97759">
      <w:pPr>
        <w:pStyle w:val="ListParagraph"/>
        <w:keepNext/>
        <w:keepLines/>
        <w:numPr>
          <w:ilvl w:val="1"/>
          <w:numId w:val="43"/>
        </w:numPr>
        <w:spacing w:before="240" w:line="360" w:lineRule="auto"/>
        <w:outlineLvl w:val="0"/>
        <w:rPr>
          <w:rFonts w:ascii="Times New Roman" w:eastAsiaTheme="majorEastAsia" w:hAnsi="Times New Roman" w:cs="Times New Roman"/>
          <w:b/>
          <w:caps/>
          <w:sz w:val="24"/>
          <w:szCs w:val="24"/>
        </w:rPr>
      </w:pPr>
      <w:bookmarkStart w:id="15" w:name="_Toc509840217"/>
      <w:r w:rsidRPr="00F97759">
        <w:rPr>
          <w:rFonts w:ascii="Times New Roman" w:eastAsiaTheme="majorEastAsia" w:hAnsi="Times New Roman" w:cs="Times New Roman"/>
          <w:b/>
          <w:caps/>
          <w:sz w:val="24"/>
          <w:szCs w:val="24"/>
        </w:rPr>
        <w:t xml:space="preserve"> </w:t>
      </w:r>
      <w:r w:rsidR="00727CDC" w:rsidRPr="00F97759">
        <w:rPr>
          <w:rFonts w:ascii="Times New Roman" w:eastAsiaTheme="majorEastAsia" w:hAnsi="Times New Roman" w:cs="Times New Roman"/>
          <w:b/>
          <w:caps/>
          <w:sz w:val="24"/>
          <w:szCs w:val="24"/>
        </w:rPr>
        <w:t xml:space="preserve"> </w:t>
      </w:r>
      <w:r w:rsidR="00A929CE" w:rsidRPr="00F97759">
        <w:rPr>
          <w:rFonts w:ascii="Times New Roman" w:eastAsiaTheme="majorEastAsia" w:hAnsi="Times New Roman" w:cs="Times New Roman"/>
          <w:b/>
          <w:caps/>
          <w:sz w:val="24"/>
          <w:szCs w:val="24"/>
        </w:rPr>
        <w:t>Policy Priorities for 2018/19</w:t>
      </w:r>
      <w:bookmarkEnd w:id="15"/>
    </w:p>
    <w:p w14:paraId="1E809D6E" w14:textId="77777777" w:rsidR="000C11DE" w:rsidRPr="00F97759" w:rsidRDefault="000C11DE" w:rsidP="00F97759">
      <w:pPr>
        <w:spacing w:line="360" w:lineRule="auto"/>
        <w:rPr>
          <w:rFonts w:ascii="Times New Roman" w:hAnsi="Times New Roman" w:cs="Times New Roman"/>
          <w:bCs/>
          <w:sz w:val="24"/>
          <w:szCs w:val="24"/>
        </w:rPr>
      </w:pPr>
    </w:p>
    <w:p w14:paraId="47243584" w14:textId="77777777" w:rsidR="00A929CE" w:rsidRPr="00F97759" w:rsidRDefault="00A929CE" w:rsidP="00F97759">
      <w:pPr>
        <w:spacing w:line="360" w:lineRule="auto"/>
        <w:rPr>
          <w:rFonts w:ascii="Times New Roman" w:hAnsi="Times New Roman" w:cs="Times New Roman"/>
          <w:bCs/>
          <w:sz w:val="24"/>
          <w:szCs w:val="24"/>
        </w:rPr>
      </w:pPr>
      <w:r w:rsidRPr="00F97759">
        <w:rPr>
          <w:rFonts w:ascii="Times New Roman" w:hAnsi="Times New Roman" w:cs="Times New Roman"/>
          <w:bCs/>
          <w:sz w:val="24"/>
          <w:szCs w:val="24"/>
        </w:rPr>
        <w:t>MISA contributes to outcome 9 (responsive, accountable, effective and efficient local government system) of government’s 2014-2019 medium-term strategic framework. For the 2018/19 financial year, the entity envisages the following:</w:t>
      </w:r>
    </w:p>
    <w:p w14:paraId="5325D767" w14:textId="77777777" w:rsidR="00A929CE" w:rsidRPr="00F97759" w:rsidRDefault="00A929CE" w:rsidP="00F97759">
      <w:pPr>
        <w:numPr>
          <w:ilvl w:val="0"/>
          <w:numId w:val="36"/>
        </w:numPr>
        <w:spacing w:line="360" w:lineRule="auto"/>
        <w:contextualSpacing/>
        <w:rPr>
          <w:rFonts w:ascii="Times New Roman" w:hAnsi="Times New Roman" w:cs="Times New Roman"/>
          <w:b/>
          <w:bCs/>
          <w:sz w:val="24"/>
          <w:szCs w:val="24"/>
        </w:rPr>
      </w:pPr>
      <w:r w:rsidRPr="00F97759">
        <w:rPr>
          <w:rFonts w:ascii="Times New Roman" w:hAnsi="Times New Roman" w:cs="Times New Roman"/>
          <w:bCs/>
          <w:sz w:val="24"/>
          <w:szCs w:val="24"/>
        </w:rPr>
        <w:lastRenderedPageBreak/>
        <w:t>Deploying 100 artisans and wastewater process controllers to needy municipalities at the beginning of March 2018.</w:t>
      </w:r>
      <w:r w:rsidRPr="00F97759">
        <w:rPr>
          <w:rFonts w:ascii="Times New Roman" w:hAnsi="Times New Roman" w:cs="Times New Roman"/>
          <w:bCs/>
          <w:sz w:val="24"/>
          <w:szCs w:val="24"/>
          <w:vertAlign w:val="superscript"/>
        </w:rPr>
        <w:footnoteReference w:id="6"/>
      </w:r>
    </w:p>
    <w:p w14:paraId="6DC56B13" w14:textId="77777777" w:rsidR="00A929CE" w:rsidRPr="00F97759" w:rsidRDefault="00A929CE" w:rsidP="00F97759">
      <w:pPr>
        <w:numPr>
          <w:ilvl w:val="0"/>
          <w:numId w:val="36"/>
        </w:numPr>
        <w:spacing w:line="360" w:lineRule="auto"/>
        <w:contextualSpacing/>
        <w:rPr>
          <w:rFonts w:ascii="Times New Roman" w:hAnsi="Times New Roman" w:cs="Times New Roman"/>
          <w:bCs/>
          <w:sz w:val="24"/>
          <w:szCs w:val="24"/>
        </w:rPr>
      </w:pPr>
      <w:r w:rsidRPr="00F97759">
        <w:rPr>
          <w:rFonts w:ascii="Times New Roman" w:hAnsi="Times New Roman" w:cs="Times New Roman"/>
          <w:bCs/>
          <w:sz w:val="24"/>
          <w:szCs w:val="24"/>
        </w:rPr>
        <w:t xml:space="preserve">Providing infrastructure planning, delivery, operation and maintenance, infrastructure management, financial management and resolve governance and administration issues in the 27 priority district municipalities, as well as in the 55 municipalities diagnosed as distressed or dysfunctional. </w:t>
      </w:r>
    </w:p>
    <w:p w14:paraId="49A99DE1" w14:textId="77777777" w:rsidR="00A929CE" w:rsidRPr="00F97759" w:rsidRDefault="00A929CE" w:rsidP="00F97759">
      <w:pPr>
        <w:numPr>
          <w:ilvl w:val="0"/>
          <w:numId w:val="36"/>
        </w:numPr>
        <w:spacing w:line="360" w:lineRule="auto"/>
        <w:contextualSpacing/>
        <w:rPr>
          <w:rFonts w:ascii="Times New Roman" w:hAnsi="Times New Roman" w:cs="Times New Roman"/>
          <w:bCs/>
          <w:sz w:val="24"/>
          <w:szCs w:val="24"/>
        </w:rPr>
      </w:pPr>
      <w:r w:rsidRPr="00F97759">
        <w:rPr>
          <w:rFonts w:ascii="Times New Roman" w:hAnsi="Times New Roman" w:cs="Times New Roman"/>
          <w:bCs/>
          <w:sz w:val="24"/>
          <w:szCs w:val="24"/>
        </w:rPr>
        <w:t>Improving water conservation and water demand management in municipalities in order to curb non-revenue water losses in view of the difficult situation South Africa is facing as a water scarce country.</w:t>
      </w:r>
    </w:p>
    <w:p w14:paraId="0B1AA2D3" w14:textId="77777777" w:rsidR="00A929CE" w:rsidRPr="00F97759" w:rsidRDefault="00A929CE" w:rsidP="00F97759">
      <w:pPr>
        <w:pStyle w:val="ListParagraph"/>
        <w:keepNext/>
        <w:keepLines/>
        <w:numPr>
          <w:ilvl w:val="1"/>
          <w:numId w:val="43"/>
        </w:numPr>
        <w:spacing w:before="240" w:line="360" w:lineRule="auto"/>
        <w:outlineLvl w:val="0"/>
        <w:rPr>
          <w:rFonts w:ascii="Times New Roman" w:eastAsiaTheme="majorEastAsia" w:hAnsi="Times New Roman" w:cs="Times New Roman"/>
          <w:b/>
          <w:caps/>
          <w:sz w:val="24"/>
          <w:szCs w:val="24"/>
        </w:rPr>
      </w:pPr>
      <w:bookmarkStart w:id="16" w:name="_Toc509840218"/>
      <w:r w:rsidRPr="00F97759">
        <w:rPr>
          <w:rFonts w:ascii="Times New Roman" w:eastAsiaTheme="majorEastAsia" w:hAnsi="Times New Roman" w:cs="Times New Roman"/>
          <w:b/>
          <w:caps/>
          <w:sz w:val="24"/>
          <w:szCs w:val="24"/>
        </w:rPr>
        <w:t>Budget Analysis</w:t>
      </w:r>
      <w:bookmarkEnd w:id="16"/>
    </w:p>
    <w:p w14:paraId="17E52337" w14:textId="77777777" w:rsidR="00A929CE" w:rsidRPr="00F97759" w:rsidRDefault="00A929CE" w:rsidP="00F97759">
      <w:pPr>
        <w:spacing w:line="360" w:lineRule="auto"/>
        <w:rPr>
          <w:rFonts w:ascii="Times New Roman" w:hAnsi="Times New Roman" w:cs="Times New Roman"/>
          <w:sz w:val="24"/>
          <w:szCs w:val="24"/>
        </w:rPr>
      </w:pPr>
    </w:p>
    <w:tbl>
      <w:tblPr>
        <w:tblStyle w:val="TableGrid8"/>
        <w:tblW w:w="0" w:type="auto"/>
        <w:tblLook w:val="04A0" w:firstRow="1" w:lastRow="0" w:firstColumn="1" w:lastColumn="0" w:noHBand="0" w:noVBand="1"/>
      </w:tblPr>
      <w:tblGrid>
        <w:gridCol w:w="1714"/>
        <w:gridCol w:w="1003"/>
        <w:gridCol w:w="1003"/>
        <w:gridCol w:w="1111"/>
        <w:gridCol w:w="948"/>
        <w:gridCol w:w="1734"/>
        <w:gridCol w:w="1729"/>
      </w:tblGrid>
      <w:tr w:rsidR="00A929CE" w:rsidRPr="00F97759" w14:paraId="7D947922" w14:textId="77777777" w:rsidTr="00727CDC">
        <w:trPr>
          <w:trHeight w:val="780"/>
        </w:trPr>
        <w:tc>
          <w:tcPr>
            <w:tcW w:w="0" w:type="auto"/>
            <w:noWrap/>
            <w:hideMark/>
          </w:tcPr>
          <w:p w14:paraId="4C84AF0D"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Programme</w:t>
            </w:r>
          </w:p>
        </w:tc>
        <w:tc>
          <w:tcPr>
            <w:tcW w:w="0" w:type="auto"/>
            <w:gridSpan w:val="2"/>
            <w:hideMark/>
          </w:tcPr>
          <w:p w14:paraId="193C56CC"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Budget</w:t>
            </w:r>
          </w:p>
        </w:tc>
        <w:tc>
          <w:tcPr>
            <w:tcW w:w="0" w:type="auto"/>
            <w:hideMark/>
          </w:tcPr>
          <w:p w14:paraId="3ADA981E"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Rand change</w:t>
            </w:r>
          </w:p>
        </w:tc>
        <w:tc>
          <w:tcPr>
            <w:tcW w:w="0" w:type="auto"/>
            <w:hideMark/>
          </w:tcPr>
          <w:p w14:paraId="6F0A7FBA"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Rand change</w:t>
            </w:r>
          </w:p>
        </w:tc>
        <w:tc>
          <w:tcPr>
            <w:tcW w:w="0" w:type="auto"/>
            <w:hideMark/>
          </w:tcPr>
          <w:p w14:paraId="00D2F1B1"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Nominal % change</w:t>
            </w:r>
          </w:p>
        </w:tc>
        <w:tc>
          <w:tcPr>
            <w:tcW w:w="0" w:type="auto"/>
            <w:hideMark/>
          </w:tcPr>
          <w:p w14:paraId="378ED52A"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Real % change</w:t>
            </w:r>
          </w:p>
        </w:tc>
      </w:tr>
      <w:tr w:rsidR="00A929CE" w:rsidRPr="00F97759" w14:paraId="589F4163" w14:textId="77777777" w:rsidTr="00727CDC">
        <w:trPr>
          <w:trHeight w:val="255"/>
        </w:trPr>
        <w:tc>
          <w:tcPr>
            <w:tcW w:w="0" w:type="auto"/>
            <w:noWrap/>
            <w:hideMark/>
          </w:tcPr>
          <w:p w14:paraId="43F80097"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R million</w:t>
            </w:r>
          </w:p>
        </w:tc>
        <w:tc>
          <w:tcPr>
            <w:tcW w:w="0" w:type="auto"/>
            <w:noWrap/>
            <w:hideMark/>
          </w:tcPr>
          <w:p w14:paraId="1C3B88C9"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2017/18</w:t>
            </w:r>
          </w:p>
        </w:tc>
        <w:tc>
          <w:tcPr>
            <w:tcW w:w="0" w:type="auto"/>
            <w:noWrap/>
            <w:hideMark/>
          </w:tcPr>
          <w:p w14:paraId="32FB3806"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2018/19</w:t>
            </w:r>
          </w:p>
        </w:tc>
        <w:tc>
          <w:tcPr>
            <w:tcW w:w="0" w:type="auto"/>
            <w:gridSpan w:val="2"/>
            <w:noWrap/>
            <w:hideMark/>
          </w:tcPr>
          <w:p w14:paraId="6AA11013"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c>
          <w:tcPr>
            <w:tcW w:w="0" w:type="auto"/>
            <w:gridSpan w:val="2"/>
            <w:noWrap/>
            <w:hideMark/>
          </w:tcPr>
          <w:p w14:paraId="3FF2973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2017/18-2018/19</w:t>
            </w:r>
          </w:p>
        </w:tc>
      </w:tr>
      <w:tr w:rsidR="00A929CE" w:rsidRPr="00F97759" w14:paraId="08B700EA" w14:textId="77777777" w:rsidTr="00727CDC">
        <w:trPr>
          <w:trHeight w:val="255"/>
        </w:trPr>
        <w:tc>
          <w:tcPr>
            <w:tcW w:w="0" w:type="auto"/>
            <w:hideMark/>
          </w:tcPr>
          <w:p w14:paraId="709C663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1: Administration</w:t>
            </w:r>
          </w:p>
        </w:tc>
        <w:tc>
          <w:tcPr>
            <w:tcW w:w="0" w:type="auto"/>
            <w:noWrap/>
            <w:hideMark/>
          </w:tcPr>
          <w:p w14:paraId="3B09C0A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60,3</w:t>
            </w:r>
          </w:p>
        </w:tc>
        <w:tc>
          <w:tcPr>
            <w:tcW w:w="0" w:type="auto"/>
            <w:noWrap/>
            <w:hideMark/>
          </w:tcPr>
          <w:p w14:paraId="003129A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67,9</w:t>
            </w:r>
          </w:p>
        </w:tc>
        <w:tc>
          <w:tcPr>
            <w:tcW w:w="0" w:type="auto"/>
            <w:noWrap/>
            <w:hideMark/>
          </w:tcPr>
          <w:p w14:paraId="7916C03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7,6</w:t>
            </w:r>
          </w:p>
        </w:tc>
        <w:tc>
          <w:tcPr>
            <w:tcW w:w="0" w:type="auto"/>
            <w:noWrap/>
            <w:hideMark/>
          </w:tcPr>
          <w:p w14:paraId="78D980DB"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4,0</w:t>
            </w:r>
          </w:p>
        </w:tc>
        <w:tc>
          <w:tcPr>
            <w:tcW w:w="0" w:type="auto"/>
            <w:noWrap/>
            <w:hideMark/>
          </w:tcPr>
          <w:p w14:paraId="4B314FA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12,54 per cent</w:t>
            </w:r>
          </w:p>
        </w:tc>
        <w:tc>
          <w:tcPr>
            <w:tcW w:w="0" w:type="auto"/>
            <w:noWrap/>
            <w:hideMark/>
          </w:tcPr>
          <w:p w14:paraId="3DC9FB35"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6,67 per cent</w:t>
            </w:r>
          </w:p>
        </w:tc>
      </w:tr>
      <w:tr w:rsidR="00A929CE" w:rsidRPr="00F97759" w14:paraId="4F7FFD32" w14:textId="77777777" w:rsidTr="00727CDC">
        <w:trPr>
          <w:trHeight w:val="450"/>
        </w:trPr>
        <w:tc>
          <w:tcPr>
            <w:tcW w:w="0" w:type="auto"/>
            <w:hideMark/>
          </w:tcPr>
          <w:p w14:paraId="6FAAD09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2: Technical Support Services</w:t>
            </w:r>
          </w:p>
        </w:tc>
        <w:tc>
          <w:tcPr>
            <w:tcW w:w="0" w:type="auto"/>
            <w:noWrap/>
            <w:hideMark/>
          </w:tcPr>
          <w:p w14:paraId="071245C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321,2</w:t>
            </w:r>
          </w:p>
        </w:tc>
        <w:tc>
          <w:tcPr>
            <w:tcW w:w="0" w:type="auto"/>
            <w:noWrap/>
            <w:hideMark/>
          </w:tcPr>
          <w:p w14:paraId="630B6085"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262,0</w:t>
            </w:r>
          </w:p>
        </w:tc>
        <w:tc>
          <w:tcPr>
            <w:tcW w:w="0" w:type="auto"/>
            <w:noWrap/>
            <w:hideMark/>
          </w:tcPr>
          <w:p w14:paraId="4682B2DF"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59,2</w:t>
            </w:r>
          </w:p>
        </w:tc>
        <w:tc>
          <w:tcPr>
            <w:tcW w:w="0" w:type="auto"/>
            <w:noWrap/>
            <w:hideMark/>
          </w:tcPr>
          <w:p w14:paraId="1F14E5B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72,8</w:t>
            </w:r>
          </w:p>
        </w:tc>
        <w:tc>
          <w:tcPr>
            <w:tcW w:w="0" w:type="auto"/>
            <w:noWrap/>
            <w:hideMark/>
          </w:tcPr>
          <w:p w14:paraId="7FBD42A4"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-18,42 per cent</w:t>
            </w:r>
          </w:p>
        </w:tc>
        <w:tc>
          <w:tcPr>
            <w:tcW w:w="0" w:type="auto"/>
            <w:noWrap/>
            <w:hideMark/>
          </w:tcPr>
          <w:p w14:paraId="1AB29161"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-22,68 per cent</w:t>
            </w:r>
          </w:p>
        </w:tc>
      </w:tr>
      <w:tr w:rsidR="00A929CE" w:rsidRPr="00F97759" w14:paraId="395438BF" w14:textId="77777777" w:rsidTr="00727CDC">
        <w:trPr>
          <w:trHeight w:val="450"/>
        </w:trPr>
        <w:tc>
          <w:tcPr>
            <w:tcW w:w="0" w:type="auto"/>
            <w:hideMark/>
          </w:tcPr>
          <w:p w14:paraId="7C214186"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Programme 3: Infrastructure Delivery Management Support</w:t>
            </w:r>
          </w:p>
        </w:tc>
        <w:tc>
          <w:tcPr>
            <w:tcW w:w="0" w:type="auto"/>
            <w:noWrap/>
            <w:hideMark/>
          </w:tcPr>
          <w:p w14:paraId="22DBB422"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0,0</w:t>
            </w:r>
          </w:p>
        </w:tc>
        <w:tc>
          <w:tcPr>
            <w:tcW w:w="0" w:type="auto"/>
            <w:noWrap/>
            <w:hideMark/>
          </w:tcPr>
          <w:p w14:paraId="619A38F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12,6</w:t>
            </w:r>
          </w:p>
        </w:tc>
        <w:tc>
          <w:tcPr>
            <w:tcW w:w="0" w:type="auto"/>
            <w:noWrap/>
            <w:hideMark/>
          </w:tcPr>
          <w:p w14:paraId="748859E8"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12,6</w:t>
            </w:r>
          </w:p>
        </w:tc>
        <w:tc>
          <w:tcPr>
            <w:tcW w:w="0" w:type="auto"/>
            <w:noWrap/>
            <w:hideMark/>
          </w:tcPr>
          <w:p w14:paraId="2DEE14FD"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11,9</w:t>
            </w:r>
          </w:p>
        </w:tc>
        <w:tc>
          <w:tcPr>
            <w:tcW w:w="0" w:type="auto"/>
            <w:noWrap/>
            <w:hideMark/>
          </w:tcPr>
          <w:p w14:paraId="21A8038E"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w:t>
            </w:r>
          </w:p>
        </w:tc>
        <w:tc>
          <w:tcPr>
            <w:tcW w:w="0" w:type="auto"/>
            <w:noWrap/>
            <w:hideMark/>
          </w:tcPr>
          <w:p w14:paraId="459D29AA" w14:textId="77777777" w:rsidR="00A929CE" w:rsidRPr="00F97759" w:rsidRDefault="00A929CE" w:rsidP="00F97759">
            <w:pPr>
              <w:spacing w:line="360" w:lineRule="auto"/>
              <w:rPr>
                <w:rFonts w:ascii="Times New Roman" w:eastAsia="Times New Roman" w:hAnsi="Times New Roman" w:cs="Times New Roman"/>
                <w:sz w:val="24"/>
                <w:szCs w:val="24"/>
                <w:lang w:eastAsia="en-ZA"/>
              </w:rPr>
            </w:pPr>
            <w:r w:rsidRPr="00F97759">
              <w:rPr>
                <w:rFonts w:ascii="Times New Roman" w:eastAsia="Times New Roman" w:hAnsi="Times New Roman" w:cs="Times New Roman"/>
                <w:sz w:val="24"/>
                <w:szCs w:val="24"/>
                <w:lang w:eastAsia="en-ZA"/>
              </w:rPr>
              <w:t xml:space="preserve">             -</w:t>
            </w:r>
          </w:p>
        </w:tc>
      </w:tr>
      <w:tr w:rsidR="00A929CE" w:rsidRPr="00F97759" w14:paraId="3914833A" w14:textId="77777777" w:rsidTr="00727CDC">
        <w:trPr>
          <w:trHeight w:val="270"/>
        </w:trPr>
        <w:tc>
          <w:tcPr>
            <w:tcW w:w="0" w:type="auto"/>
            <w:noWrap/>
            <w:hideMark/>
          </w:tcPr>
          <w:p w14:paraId="6F11D6FE"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TOTAL</w:t>
            </w:r>
          </w:p>
        </w:tc>
        <w:tc>
          <w:tcPr>
            <w:tcW w:w="0" w:type="auto"/>
            <w:noWrap/>
            <w:hideMark/>
          </w:tcPr>
          <w:p w14:paraId="1A71C5C9"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381,5</w:t>
            </w:r>
          </w:p>
        </w:tc>
        <w:tc>
          <w:tcPr>
            <w:tcW w:w="0" w:type="auto"/>
            <w:noWrap/>
            <w:hideMark/>
          </w:tcPr>
          <w:p w14:paraId="19BD7F1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xml:space="preserve">  342,5</w:t>
            </w:r>
          </w:p>
        </w:tc>
        <w:tc>
          <w:tcPr>
            <w:tcW w:w="0" w:type="auto"/>
            <w:noWrap/>
            <w:hideMark/>
          </w:tcPr>
          <w:p w14:paraId="15C0A138"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39,0</w:t>
            </w:r>
          </w:p>
        </w:tc>
        <w:tc>
          <w:tcPr>
            <w:tcW w:w="0" w:type="auto"/>
            <w:noWrap/>
            <w:hideMark/>
          </w:tcPr>
          <w:p w14:paraId="19F5A65B"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  56,9</w:t>
            </w:r>
          </w:p>
        </w:tc>
        <w:tc>
          <w:tcPr>
            <w:tcW w:w="0" w:type="auto"/>
            <w:noWrap/>
            <w:hideMark/>
          </w:tcPr>
          <w:p w14:paraId="7FFBAFB2"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-10,23 per cent</w:t>
            </w:r>
          </w:p>
        </w:tc>
        <w:tc>
          <w:tcPr>
            <w:tcW w:w="0" w:type="auto"/>
            <w:noWrap/>
            <w:hideMark/>
          </w:tcPr>
          <w:p w14:paraId="75903A2B" w14:textId="77777777" w:rsidR="00A929CE" w:rsidRPr="00F97759" w:rsidRDefault="00A929CE" w:rsidP="00F97759">
            <w:pPr>
              <w:spacing w:line="360" w:lineRule="auto"/>
              <w:rPr>
                <w:rFonts w:ascii="Times New Roman" w:eastAsia="Times New Roman" w:hAnsi="Times New Roman" w:cs="Times New Roman"/>
                <w:b/>
                <w:bCs/>
                <w:sz w:val="24"/>
                <w:szCs w:val="24"/>
                <w:lang w:eastAsia="en-ZA"/>
              </w:rPr>
            </w:pPr>
            <w:r w:rsidRPr="00F97759">
              <w:rPr>
                <w:rFonts w:ascii="Times New Roman" w:eastAsia="Times New Roman" w:hAnsi="Times New Roman" w:cs="Times New Roman"/>
                <w:b/>
                <w:bCs/>
                <w:sz w:val="24"/>
                <w:szCs w:val="24"/>
                <w:lang w:eastAsia="en-ZA"/>
              </w:rPr>
              <w:t>-14,91 per cent</w:t>
            </w:r>
          </w:p>
        </w:tc>
      </w:tr>
    </w:tbl>
    <w:p w14:paraId="62FB086F" w14:textId="77777777" w:rsidR="00A929CE" w:rsidRPr="00F97759" w:rsidRDefault="00A929CE" w:rsidP="00F97759">
      <w:pPr>
        <w:spacing w:line="360" w:lineRule="auto"/>
        <w:rPr>
          <w:rFonts w:ascii="Times New Roman" w:hAnsi="Times New Roman" w:cs="Times New Roman"/>
          <w:sz w:val="24"/>
          <w:szCs w:val="24"/>
        </w:rPr>
      </w:pPr>
    </w:p>
    <w:p w14:paraId="537F6549" w14:textId="77777777" w:rsidR="00A929CE" w:rsidRPr="00F97759" w:rsidRDefault="00A929CE"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The allocated budget for MISA decreases by almost 15% in 2018/19, as indicated in Table above. As the Graph below indicates, the bulk of the budget reduction relates to Programme 2: Technical Support Services, which is central to MISA’s mission and mandate of rendering technical advice to municipalities to enable them to optimise municipal infrastructure </w:t>
      </w:r>
      <w:r w:rsidRPr="00F97759">
        <w:rPr>
          <w:rFonts w:ascii="Times New Roman" w:hAnsi="Times New Roman" w:cs="Times New Roman"/>
          <w:sz w:val="24"/>
          <w:szCs w:val="24"/>
        </w:rPr>
        <w:lastRenderedPageBreak/>
        <w:t>provisioning. The funds allocated to this Programme mainly cover the costs of remunerating technical professionals responsible for the provision of technical support to municipalities, as well as payments to professional service providers appointed to supplement the technical capacity created through technical professionals.</w:t>
      </w:r>
      <w:r w:rsidRPr="00F97759">
        <w:rPr>
          <w:rFonts w:ascii="Times New Roman" w:hAnsi="Times New Roman" w:cs="Times New Roman"/>
          <w:sz w:val="24"/>
          <w:szCs w:val="24"/>
          <w:vertAlign w:val="superscript"/>
        </w:rPr>
        <w:footnoteReference w:id="7"/>
      </w:r>
    </w:p>
    <w:p w14:paraId="595D8EFD" w14:textId="77777777" w:rsidR="00A929CE" w:rsidRPr="00F97759" w:rsidRDefault="00A929CE" w:rsidP="00F97759">
      <w:pPr>
        <w:spacing w:line="360" w:lineRule="auto"/>
        <w:rPr>
          <w:rFonts w:ascii="Times New Roman" w:hAnsi="Times New Roman" w:cs="Times New Roman"/>
          <w:sz w:val="24"/>
          <w:szCs w:val="24"/>
        </w:rPr>
      </w:pPr>
    </w:p>
    <w:p w14:paraId="75436835" w14:textId="77777777" w:rsidR="002D3515" w:rsidRPr="00F97759" w:rsidRDefault="002D3515" w:rsidP="00F97759">
      <w:pPr>
        <w:pStyle w:val="ListParagraph"/>
        <w:numPr>
          <w:ilvl w:val="0"/>
          <w:numId w:val="43"/>
        </w:numPr>
        <w:spacing w:line="360" w:lineRule="auto"/>
        <w:rPr>
          <w:rFonts w:ascii="Times New Roman" w:hAnsi="Times New Roman" w:cs="Times New Roman"/>
          <w:b/>
          <w:sz w:val="24"/>
          <w:szCs w:val="24"/>
        </w:rPr>
      </w:pPr>
      <w:r w:rsidRPr="00F97759">
        <w:rPr>
          <w:rFonts w:ascii="Times New Roman" w:hAnsi="Times New Roman" w:cs="Times New Roman"/>
          <w:b/>
          <w:sz w:val="24"/>
          <w:szCs w:val="24"/>
        </w:rPr>
        <w:t xml:space="preserve">IMPLEMENTATION of </w:t>
      </w:r>
      <w:r w:rsidR="00630950" w:rsidRPr="00F97759">
        <w:rPr>
          <w:rFonts w:ascii="Times New Roman" w:hAnsi="Times New Roman" w:cs="Times New Roman"/>
          <w:b/>
          <w:sz w:val="24"/>
          <w:szCs w:val="24"/>
        </w:rPr>
        <w:t>2017/18</w:t>
      </w:r>
      <w:r w:rsidRPr="00F97759">
        <w:rPr>
          <w:rFonts w:ascii="Times New Roman" w:hAnsi="Times New Roman" w:cs="Times New Roman"/>
          <w:b/>
          <w:sz w:val="24"/>
          <w:szCs w:val="24"/>
        </w:rPr>
        <w:t xml:space="preserve"> RECOMMENDATIONS</w:t>
      </w:r>
    </w:p>
    <w:p w14:paraId="3601B376" w14:textId="77777777" w:rsidR="002D3515" w:rsidRPr="00F97759" w:rsidRDefault="002D3515" w:rsidP="00F97759">
      <w:pPr>
        <w:spacing w:line="360" w:lineRule="auto"/>
        <w:rPr>
          <w:rFonts w:ascii="Times New Roman" w:hAnsi="Times New Roman" w:cs="Times New Roman"/>
          <w:sz w:val="24"/>
          <w:szCs w:val="24"/>
        </w:rPr>
      </w:pPr>
    </w:p>
    <w:p w14:paraId="7A4E9998" w14:textId="77777777" w:rsidR="00E76F37" w:rsidRPr="00F97759" w:rsidRDefault="00E76F37" w:rsidP="00F97759">
      <w:pPr>
        <w:tabs>
          <w:tab w:val="left" w:pos="1096"/>
        </w:tabs>
        <w:spacing w:after="160" w:line="360" w:lineRule="auto"/>
        <w:rPr>
          <w:rFonts w:ascii="Times New Roman" w:hAnsi="Times New Roman" w:cs="Times New Roman"/>
          <w:sz w:val="24"/>
          <w:szCs w:val="24"/>
        </w:rPr>
      </w:pPr>
      <w:r w:rsidRPr="00F97759">
        <w:rPr>
          <w:rFonts w:ascii="Times New Roman" w:hAnsi="Times New Roman" w:cs="Times New Roman"/>
          <w:sz w:val="24"/>
          <w:szCs w:val="24"/>
        </w:rPr>
        <w:t>The following</w:t>
      </w:r>
      <w:r w:rsidR="00AA5158" w:rsidRPr="00F97759">
        <w:rPr>
          <w:rFonts w:ascii="Times New Roman" w:hAnsi="Times New Roman" w:cs="Times New Roman"/>
          <w:sz w:val="24"/>
          <w:szCs w:val="24"/>
        </w:rPr>
        <w:t xml:space="preserve"> information below</w:t>
      </w:r>
      <w:r w:rsidRPr="00F97759">
        <w:rPr>
          <w:rFonts w:ascii="Times New Roman" w:hAnsi="Times New Roman" w:cs="Times New Roman"/>
          <w:sz w:val="24"/>
          <w:szCs w:val="24"/>
        </w:rPr>
        <w:t xml:space="preserve"> is progress </w:t>
      </w:r>
      <w:r w:rsidR="00AA5158" w:rsidRPr="00F97759">
        <w:rPr>
          <w:rFonts w:ascii="Times New Roman" w:hAnsi="Times New Roman" w:cs="Times New Roman"/>
          <w:sz w:val="24"/>
          <w:szCs w:val="24"/>
        </w:rPr>
        <w:t xml:space="preserve">report </w:t>
      </w:r>
      <w:r w:rsidRPr="00F97759">
        <w:rPr>
          <w:rFonts w:ascii="Times New Roman" w:hAnsi="Times New Roman" w:cs="Times New Roman"/>
          <w:sz w:val="24"/>
          <w:szCs w:val="24"/>
        </w:rPr>
        <w:t xml:space="preserve">regarding the implementation of </w:t>
      </w:r>
      <w:r w:rsidR="00624DC0" w:rsidRPr="00F97759">
        <w:rPr>
          <w:rFonts w:ascii="Times New Roman" w:hAnsi="Times New Roman" w:cs="Times New Roman"/>
          <w:sz w:val="24"/>
          <w:szCs w:val="24"/>
        </w:rPr>
        <w:t>2017/18</w:t>
      </w:r>
      <w:r w:rsidRPr="00F97759">
        <w:rPr>
          <w:rFonts w:ascii="Times New Roman" w:hAnsi="Times New Roman" w:cs="Times New Roman"/>
          <w:sz w:val="24"/>
          <w:szCs w:val="24"/>
        </w:rPr>
        <w:t xml:space="preserve"> recommendations by the Department of </w:t>
      </w:r>
      <w:proofErr w:type="spellStart"/>
      <w:r w:rsidRPr="00F97759">
        <w:rPr>
          <w:rFonts w:ascii="Times New Roman" w:hAnsi="Times New Roman" w:cs="Times New Roman"/>
          <w:sz w:val="24"/>
          <w:szCs w:val="24"/>
        </w:rPr>
        <w:t>CoGTA</w:t>
      </w:r>
      <w:proofErr w:type="spellEnd"/>
      <w:r w:rsidRPr="00F97759">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4382"/>
        <w:gridCol w:w="4860"/>
      </w:tblGrid>
      <w:tr w:rsidR="00E76F37" w:rsidRPr="00F97759" w14:paraId="3B898CA4" w14:textId="77777777" w:rsidTr="00D569D5">
        <w:tc>
          <w:tcPr>
            <w:tcW w:w="5804" w:type="dxa"/>
            <w:shd w:val="clear" w:color="auto" w:fill="D9D9D9" w:themeFill="background1" w:themeFillShade="D9"/>
          </w:tcPr>
          <w:p w14:paraId="3467535B" w14:textId="77777777" w:rsidR="00E76F37" w:rsidRPr="00F97759" w:rsidRDefault="00624DC0" w:rsidP="00F97759">
            <w:pPr>
              <w:tabs>
                <w:tab w:val="left" w:pos="1096"/>
              </w:tabs>
              <w:spacing w:line="360" w:lineRule="auto"/>
              <w:rPr>
                <w:rFonts w:ascii="Times New Roman" w:hAnsi="Times New Roman" w:cs="Times New Roman"/>
                <w:b/>
                <w:sz w:val="24"/>
                <w:szCs w:val="24"/>
              </w:rPr>
            </w:pPr>
            <w:r w:rsidRPr="00F97759">
              <w:rPr>
                <w:rFonts w:ascii="Times New Roman" w:hAnsi="Times New Roman" w:cs="Times New Roman"/>
                <w:b/>
                <w:sz w:val="24"/>
                <w:szCs w:val="24"/>
              </w:rPr>
              <w:t>Recommendation</w:t>
            </w:r>
          </w:p>
        </w:tc>
        <w:tc>
          <w:tcPr>
            <w:tcW w:w="6946" w:type="dxa"/>
            <w:shd w:val="clear" w:color="auto" w:fill="D9D9D9" w:themeFill="background1" w:themeFillShade="D9"/>
          </w:tcPr>
          <w:p w14:paraId="7AF59CB4" w14:textId="77777777" w:rsidR="00E76F37" w:rsidRPr="00F97759" w:rsidRDefault="00624DC0" w:rsidP="00F97759">
            <w:pPr>
              <w:tabs>
                <w:tab w:val="left" w:pos="1096"/>
              </w:tabs>
              <w:spacing w:line="360" w:lineRule="auto"/>
              <w:rPr>
                <w:rFonts w:ascii="Times New Roman" w:hAnsi="Times New Roman" w:cs="Times New Roman"/>
                <w:b/>
                <w:sz w:val="24"/>
                <w:szCs w:val="24"/>
              </w:rPr>
            </w:pPr>
            <w:r w:rsidRPr="00F97759">
              <w:rPr>
                <w:rFonts w:ascii="Times New Roman" w:hAnsi="Times New Roman" w:cs="Times New Roman"/>
                <w:b/>
                <w:sz w:val="24"/>
                <w:szCs w:val="24"/>
              </w:rPr>
              <w:t>Action taken</w:t>
            </w:r>
          </w:p>
        </w:tc>
      </w:tr>
      <w:tr w:rsidR="00E76F37" w:rsidRPr="00F97759" w14:paraId="37CCB7D4" w14:textId="77777777" w:rsidTr="00E76F37">
        <w:tc>
          <w:tcPr>
            <w:tcW w:w="5804" w:type="dxa"/>
          </w:tcPr>
          <w:p w14:paraId="26E5551C" w14:textId="77777777" w:rsidR="00E76F37" w:rsidRPr="00F97759" w:rsidRDefault="00630950" w:rsidP="00F97759">
            <w:pPr>
              <w:autoSpaceDN w:val="0"/>
              <w:spacing w:line="360" w:lineRule="auto"/>
              <w:rPr>
                <w:rFonts w:ascii="Times New Roman" w:hAnsi="Times New Roman" w:cs="Times New Roman"/>
                <w:sz w:val="24"/>
                <w:szCs w:val="24"/>
              </w:rPr>
            </w:pPr>
            <w:r w:rsidRPr="00F97759">
              <w:rPr>
                <w:rFonts w:ascii="Times New Roman" w:hAnsi="Times New Roman" w:cs="Times New Roman"/>
                <w:sz w:val="24"/>
                <w:szCs w:val="24"/>
              </w:rPr>
              <w:t>The Committee advises that DCOG and National Treasury should monitor the adherence to the agreements between municipalities, Eskom and Water Boards to ensure that proactive interventions can be made if a municipality fails to pay for services rendered.</w:t>
            </w:r>
          </w:p>
        </w:tc>
        <w:tc>
          <w:tcPr>
            <w:tcW w:w="6946" w:type="dxa"/>
          </w:tcPr>
          <w:p w14:paraId="46FECB5E" w14:textId="77777777" w:rsidR="00E76F37" w:rsidRPr="00F97759" w:rsidRDefault="00624DC0"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t>An Inter-ministerial task   team   headed by the Minister of Cooperative Governance</w:t>
            </w:r>
            <w:r w:rsidR="00BF630B" w:rsidRPr="00F97759">
              <w:rPr>
                <w:rFonts w:ascii="Times New Roman" w:hAnsi="Times New Roman" w:cs="Times New Roman"/>
                <w:sz w:val="24"/>
                <w:szCs w:val="24"/>
              </w:rPr>
              <w:t xml:space="preserve"> and Traditional </w:t>
            </w:r>
            <w:r w:rsidRPr="00F97759">
              <w:rPr>
                <w:rFonts w:ascii="Times New Roman" w:hAnsi="Times New Roman" w:cs="Times New Roman"/>
                <w:sz w:val="24"/>
                <w:szCs w:val="24"/>
              </w:rPr>
              <w:t>has been set up to look at these issues. The Committee had joint meetings with the PC on Energy, PC  on Public Enterprises and PC on Water and Sanitation to get status updates</w:t>
            </w:r>
          </w:p>
        </w:tc>
      </w:tr>
      <w:tr w:rsidR="00E76F37" w:rsidRPr="00F97759" w14:paraId="71964677" w14:textId="77777777" w:rsidTr="00E76F37">
        <w:tc>
          <w:tcPr>
            <w:tcW w:w="5804" w:type="dxa"/>
          </w:tcPr>
          <w:p w14:paraId="43B52252" w14:textId="77777777" w:rsidR="00E76F37" w:rsidRPr="00F97759" w:rsidRDefault="00630950" w:rsidP="00F97759">
            <w:pPr>
              <w:autoSpaceDN w:val="0"/>
              <w:spacing w:line="360" w:lineRule="auto"/>
              <w:rPr>
                <w:rFonts w:ascii="Times New Roman" w:hAnsi="Times New Roman" w:cs="Times New Roman"/>
                <w:sz w:val="24"/>
                <w:szCs w:val="24"/>
              </w:rPr>
            </w:pPr>
            <w:r w:rsidRPr="00F97759">
              <w:rPr>
                <w:rFonts w:ascii="Times New Roman" w:hAnsi="Times New Roman" w:cs="Times New Roman"/>
                <w:sz w:val="24"/>
                <w:szCs w:val="24"/>
              </w:rPr>
              <w:t>The Department should report to the Committee on a quarterly basis on progress made with regard to payment of government debt to municipalities;</w:t>
            </w:r>
          </w:p>
        </w:tc>
        <w:tc>
          <w:tcPr>
            <w:tcW w:w="6946" w:type="dxa"/>
          </w:tcPr>
          <w:p w14:paraId="16F2899F" w14:textId="77777777" w:rsidR="00E76F37" w:rsidRPr="00F97759" w:rsidRDefault="00624DC0"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t>Committee  received update</w:t>
            </w:r>
          </w:p>
        </w:tc>
      </w:tr>
      <w:tr w:rsidR="00E76F37" w:rsidRPr="00F97759" w14:paraId="2E02210D" w14:textId="77777777" w:rsidTr="00E76F37">
        <w:tc>
          <w:tcPr>
            <w:tcW w:w="5804" w:type="dxa"/>
          </w:tcPr>
          <w:p w14:paraId="2D1A3BCB" w14:textId="77777777" w:rsidR="00E76F37" w:rsidRPr="00F97759" w:rsidRDefault="00630950" w:rsidP="00F97759">
            <w:pPr>
              <w:autoSpaceDN w:val="0"/>
              <w:spacing w:line="360" w:lineRule="auto"/>
              <w:rPr>
                <w:rFonts w:ascii="Times New Roman" w:hAnsi="Times New Roman" w:cs="Times New Roman"/>
                <w:sz w:val="24"/>
                <w:szCs w:val="24"/>
              </w:rPr>
            </w:pPr>
            <w:proofErr w:type="spellStart"/>
            <w:r w:rsidRPr="00F97759">
              <w:rPr>
                <w:rFonts w:ascii="Times New Roman" w:hAnsi="Times New Roman" w:cs="Times New Roman"/>
                <w:sz w:val="24"/>
                <w:szCs w:val="24"/>
              </w:rPr>
              <w:t>Salga</w:t>
            </w:r>
            <w:proofErr w:type="spellEnd"/>
            <w:r w:rsidRPr="00F97759">
              <w:rPr>
                <w:rFonts w:ascii="Times New Roman" w:hAnsi="Times New Roman" w:cs="Times New Roman"/>
                <w:sz w:val="24"/>
                <w:szCs w:val="24"/>
              </w:rPr>
              <w:t xml:space="preserve"> should have continuous engagements with Eskom to assist the municipalities with the issues of payment of bulk electricity accounts;</w:t>
            </w:r>
          </w:p>
        </w:tc>
        <w:tc>
          <w:tcPr>
            <w:tcW w:w="6946" w:type="dxa"/>
          </w:tcPr>
          <w:p w14:paraId="62749843" w14:textId="77777777" w:rsidR="00E76F37" w:rsidRPr="00F97759" w:rsidRDefault="00BF630B"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Resolved </w:t>
            </w:r>
          </w:p>
        </w:tc>
      </w:tr>
      <w:tr w:rsidR="00E76F37" w:rsidRPr="00F97759" w14:paraId="393FB061" w14:textId="77777777" w:rsidTr="00E76F37">
        <w:tc>
          <w:tcPr>
            <w:tcW w:w="5804" w:type="dxa"/>
          </w:tcPr>
          <w:p w14:paraId="22BAB9FB" w14:textId="77777777" w:rsidR="00630950"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National Treasury should brief the </w:t>
            </w:r>
          </w:p>
          <w:p w14:paraId="707D85E2" w14:textId="77777777" w:rsidR="00630950"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committee on the activities of the Municipal </w:t>
            </w:r>
          </w:p>
          <w:p w14:paraId="1A8615AE" w14:textId="77777777" w:rsidR="00E76F37"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Financial Recovery Service;</w:t>
            </w:r>
          </w:p>
        </w:tc>
        <w:tc>
          <w:tcPr>
            <w:tcW w:w="6946" w:type="dxa"/>
          </w:tcPr>
          <w:p w14:paraId="24FA8150" w14:textId="77777777" w:rsidR="00E76F37" w:rsidRPr="00F97759" w:rsidRDefault="00624DC0"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t>The committee  was briefed on this issue</w:t>
            </w:r>
          </w:p>
        </w:tc>
      </w:tr>
      <w:tr w:rsidR="00E76F37" w:rsidRPr="00F97759" w14:paraId="3A26A047" w14:textId="77777777" w:rsidTr="00E76F37">
        <w:tc>
          <w:tcPr>
            <w:tcW w:w="5804" w:type="dxa"/>
          </w:tcPr>
          <w:p w14:paraId="5B5E5CAB" w14:textId="77777777" w:rsidR="00630950"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MISA should brief the Committee, by June </w:t>
            </w:r>
          </w:p>
          <w:p w14:paraId="4E15E762" w14:textId="77777777" w:rsidR="00624DC0"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2017, on what action plan they have in </w:t>
            </w:r>
          </w:p>
          <w:p w14:paraId="395A7D95" w14:textId="77777777" w:rsidR="00624DC0"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place to strengthen controls in supply </w:t>
            </w:r>
          </w:p>
          <w:p w14:paraId="5F9094F1" w14:textId="77777777" w:rsidR="00630950"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lastRenderedPageBreak/>
              <w:t xml:space="preserve">chain management, the management of </w:t>
            </w:r>
          </w:p>
          <w:p w14:paraId="48AEDD42" w14:textId="77777777" w:rsidR="00630950"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performance information as well as human </w:t>
            </w:r>
          </w:p>
          <w:p w14:paraId="776B028B" w14:textId="77777777" w:rsidR="00E76F37" w:rsidRPr="00F97759" w:rsidRDefault="00630950" w:rsidP="00F97759">
            <w:pPr>
              <w:autoSpaceDN w:val="0"/>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resource capacity. </w:t>
            </w:r>
          </w:p>
        </w:tc>
        <w:tc>
          <w:tcPr>
            <w:tcW w:w="6946" w:type="dxa"/>
          </w:tcPr>
          <w:p w14:paraId="5F4D78F8" w14:textId="77777777" w:rsidR="00E76F37" w:rsidRPr="00F97759" w:rsidRDefault="00BF630B"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lastRenderedPageBreak/>
              <w:t xml:space="preserve">Resolved </w:t>
            </w:r>
          </w:p>
        </w:tc>
      </w:tr>
      <w:tr w:rsidR="00E76F37" w:rsidRPr="00F97759" w14:paraId="1C082B1B" w14:textId="77777777" w:rsidTr="00E76F37">
        <w:tc>
          <w:tcPr>
            <w:tcW w:w="5804" w:type="dxa"/>
          </w:tcPr>
          <w:p w14:paraId="76DFA9FE" w14:textId="77777777" w:rsidR="00E76F37" w:rsidRPr="00F97759" w:rsidRDefault="00630950" w:rsidP="00F97759">
            <w:pPr>
              <w:spacing w:after="160" w:line="360" w:lineRule="auto"/>
              <w:contextualSpacing/>
              <w:rPr>
                <w:rFonts w:ascii="Times New Roman" w:eastAsia="Times New Roman" w:hAnsi="Times New Roman" w:cs="Times New Roman"/>
                <w:sz w:val="24"/>
                <w:szCs w:val="24"/>
                <w:lang w:val="en-GB"/>
              </w:rPr>
            </w:pPr>
            <w:r w:rsidRPr="00F97759">
              <w:rPr>
                <w:rFonts w:ascii="Times New Roman" w:hAnsi="Times New Roman" w:cs="Times New Roman"/>
                <w:sz w:val="24"/>
                <w:szCs w:val="24"/>
              </w:rPr>
              <w:lastRenderedPageBreak/>
              <w:t>The Committee requests that the DCOG improves the management of the CWP contracts signed with implementing agents; an asset register for CWP that adheres to the minimum requirements for an asset register, as prescribed by National Treasury must be maintained by the Department.</w:t>
            </w:r>
          </w:p>
        </w:tc>
        <w:tc>
          <w:tcPr>
            <w:tcW w:w="6946" w:type="dxa"/>
          </w:tcPr>
          <w:p w14:paraId="7D896C2E" w14:textId="77777777" w:rsidR="00E76F37" w:rsidRPr="00F97759" w:rsidRDefault="00BF630B"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Ongoing process </w:t>
            </w:r>
          </w:p>
        </w:tc>
      </w:tr>
      <w:tr w:rsidR="00630950" w:rsidRPr="00F97759" w14:paraId="2D6F3B5C" w14:textId="77777777" w:rsidTr="00E76F37">
        <w:tc>
          <w:tcPr>
            <w:tcW w:w="5804" w:type="dxa"/>
          </w:tcPr>
          <w:p w14:paraId="006A712C" w14:textId="77777777" w:rsidR="00630950" w:rsidRPr="00F97759" w:rsidRDefault="00630950" w:rsidP="00F97759">
            <w:pPr>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The Committee must organise a workshop </w:t>
            </w:r>
          </w:p>
          <w:p w14:paraId="0E84479B" w14:textId="77777777" w:rsidR="00630950" w:rsidRPr="00F97759" w:rsidRDefault="00630950" w:rsidP="00F97759">
            <w:pPr>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with the CRL rights commission and other </w:t>
            </w:r>
          </w:p>
          <w:p w14:paraId="03BBB5A4" w14:textId="77777777" w:rsidR="00630950" w:rsidRPr="00F97759" w:rsidRDefault="00630950" w:rsidP="00F97759">
            <w:pPr>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relevant Portfolio Committees, to discuss </w:t>
            </w:r>
          </w:p>
          <w:p w14:paraId="533419A0" w14:textId="77777777" w:rsidR="00630950" w:rsidRPr="00F97759" w:rsidRDefault="00630950" w:rsidP="00F97759">
            <w:pPr>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the challenges of initiation and religious </w:t>
            </w:r>
          </w:p>
          <w:p w14:paraId="10C7E46F" w14:textId="77777777" w:rsidR="00630950" w:rsidRPr="00F97759" w:rsidRDefault="00630950" w:rsidP="00F97759">
            <w:pPr>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institutions.</w:t>
            </w:r>
          </w:p>
        </w:tc>
        <w:tc>
          <w:tcPr>
            <w:tcW w:w="6946" w:type="dxa"/>
          </w:tcPr>
          <w:p w14:paraId="5F933543" w14:textId="77777777" w:rsidR="00630950" w:rsidRPr="00F97759" w:rsidRDefault="00BF630B"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Ongoing process </w:t>
            </w:r>
          </w:p>
        </w:tc>
      </w:tr>
      <w:tr w:rsidR="00630950" w:rsidRPr="00F97759" w14:paraId="26C0307A" w14:textId="77777777" w:rsidTr="00E76F37">
        <w:tc>
          <w:tcPr>
            <w:tcW w:w="5804" w:type="dxa"/>
          </w:tcPr>
          <w:p w14:paraId="1F45011B" w14:textId="77777777" w:rsidR="00624DC0" w:rsidRPr="00F97759" w:rsidRDefault="00630950" w:rsidP="00F97759">
            <w:pPr>
              <w:spacing w:line="360" w:lineRule="auto"/>
              <w:ind w:left="426" w:hanging="426"/>
              <w:rPr>
                <w:rFonts w:ascii="Times New Roman" w:hAnsi="Times New Roman" w:cs="Times New Roman"/>
                <w:sz w:val="24"/>
                <w:szCs w:val="24"/>
              </w:rPr>
            </w:pPr>
            <w:r w:rsidRPr="00F97759">
              <w:rPr>
                <w:rFonts w:ascii="Times New Roman" w:hAnsi="Times New Roman" w:cs="Times New Roman"/>
                <w:sz w:val="24"/>
                <w:szCs w:val="24"/>
              </w:rPr>
              <w:t xml:space="preserve">The Department should brief the </w:t>
            </w:r>
          </w:p>
          <w:p w14:paraId="354823A1" w14:textId="77777777" w:rsidR="00630950" w:rsidRPr="00F97759" w:rsidRDefault="00624DC0"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C</w:t>
            </w:r>
            <w:r w:rsidR="00630950" w:rsidRPr="00F97759">
              <w:rPr>
                <w:rFonts w:ascii="Times New Roman" w:hAnsi="Times New Roman" w:cs="Times New Roman"/>
                <w:sz w:val="24"/>
                <w:szCs w:val="24"/>
              </w:rPr>
              <w:t>ommittee</w:t>
            </w:r>
            <w:r w:rsidRPr="00F97759">
              <w:rPr>
                <w:rFonts w:ascii="Times New Roman" w:hAnsi="Times New Roman" w:cs="Times New Roman"/>
                <w:sz w:val="24"/>
                <w:szCs w:val="24"/>
              </w:rPr>
              <w:t xml:space="preserve"> </w:t>
            </w:r>
            <w:r w:rsidR="00630950" w:rsidRPr="00F97759">
              <w:rPr>
                <w:rFonts w:ascii="Times New Roman" w:hAnsi="Times New Roman" w:cs="Times New Roman"/>
                <w:sz w:val="24"/>
                <w:szCs w:val="24"/>
              </w:rPr>
              <w:t>by June 2017 on when the</w:t>
            </w:r>
            <w:r w:rsidRPr="00F97759">
              <w:rPr>
                <w:rFonts w:ascii="Times New Roman" w:hAnsi="Times New Roman" w:cs="Times New Roman"/>
                <w:sz w:val="24"/>
                <w:szCs w:val="24"/>
              </w:rPr>
              <w:t xml:space="preserve"> Local </w:t>
            </w:r>
            <w:r w:rsidR="00630950" w:rsidRPr="00F97759">
              <w:rPr>
                <w:rFonts w:ascii="Times New Roman" w:hAnsi="Times New Roman" w:cs="Times New Roman"/>
                <w:sz w:val="24"/>
                <w:szCs w:val="24"/>
              </w:rPr>
              <w:t>Government: Laws Amendment Bill will be finalised and brought for Parliamentary processing.</w:t>
            </w:r>
          </w:p>
        </w:tc>
        <w:tc>
          <w:tcPr>
            <w:tcW w:w="6946" w:type="dxa"/>
          </w:tcPr>
          <w:p w14:paraId="2B8BA185" w14:textId="77777777" w:rsidR="00630950" w:rsidRPr="00F97759" w:rsidRDefault="00BF630B" w:rsidP="00F97759">
            <w:pPr>
              <w:tabs>
                <w:tab w:val="left" w:pos="1096"/>
              </w:tabs>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Ongoing </w:t>
            </w:r>
          </w:p>
        </w:tc>
      </w:tr>
    </w:tbl>
    <w:p w14:paraId="361084E6" w14:textId="77777777" w:rsidR="002D3515" w:rsidRPr="00F97759" w:rsidRDefault="002D3515" w:rsidP="00F97759">
      <w:pPr>
        <w:spacing w:line="360" w:lineRule="auto"/>
        <w:rPr>
          <w:rFonts w:ascii="Times New Roman" w:hAnsi="Times New Roman" w:cs="Times New Roman"/>
          <w:sz w:val="24"/>
          <w:szCs w:val="24"/>
        </w:rPr>
      </w:pPr>
    </w:p>
    <w:p w14:paraId="32C73775" w14:textId="77777777" w:rsidR="003B6CFE" w:rsidRPr="00F97759" w:rsidRDefault="00AA5158" w:rsidP="00F97759">
      <w:pPr>
        <w:numPr>
          <w:ilvl w:val="0"/>
          <w:numId w:val="43"/>
        </w:numPr>
        <w:spacing w:after="160" w:line="360" w:lineRule="auto"/>
        <w:rPr>
          <w:rFonts w:ascii="Times New Roman" w:eastAsia="Times New Roman" w:hAnsi="Times New Roman" w:cs="Times New Roman"/>
          <w:b/>
          <w:color w:val="000000"/>
          <w:spacing w:val="6"/>
          <w:sz w:val="24"/>
          <w:szCs w:val="24"/>
          <w:lang w:val="en-GB" w:eastAsia="en-GB"/>
        </w:rPr>
      </w:pPr>
      <w:r w:rsidRPr="00F97759">
        <w:rPr>
          <w:rFonts w:ascii="Times New Roman" w:eastAsia="Times New Roman" w:hAnsi="Times New Roman" w:cs="Times New Roman"/>
          <w:b/>
          <w:color w:val="000000"/>
          <w:spacing w:val="6"/>
          <w:sz w:val="24"/>
          <w:szCs w:val="24"/>
          <w:lang w:val="en-GB" w:eastAsia="en-GB"/>
        </w:rPr>
        <w:t xml:space="preserve">COMMITTEE </w:t>
      </w:r>
      <w:r w:rsidR="003B6CFE" w:rsidRPr="00F97759">
        <w:rPr>
          <w:rFonts w:ascii="Times New Roman" w:eastAsia="Times New Roman" w:hAnsi="Times New Roman" w:cs="Times New Roman"/>
          <w:b/>
          <w:color w:val="000000"/>
          <w:spacing w:val="6"/>
          <w:sz w:val="24"/>
          <w:szCs w:val="24"/>
          <w:lang w:val="en-GB" w:eastAsia="en-GB"/>
        </w:rPr>
        <w:t>OBSERVATIONS</w:t>
      </w:r>
    </w:p>
    <w:p w14:paraId="1FA75D6C" w14:textId="77777777" w:rsidR="003B6CFE" w:rsidRPr="00F97759" w:rsidRDefault="00624DC0" w:rsidP="00F97759">
      <w:pPr>
        <w:spacing w:after="160" w:line="360" w:lineRule="auto"/>
        <w:ind w:left="426" w:hanging="426"/>
        <w:rPr>
          <w:rFonts w:ascii="Times New Roman" w:eastAsia="Times New Roman" w:hAnsi="Times New Roman" w:cs="Times New Roman"/>
          <w:color w:val="000000"/>
          <w:spacing w:val="6"/>
          <w:sz w:val="24"/>
          <w:szCs w:val="24"/>
          <w:lang w:val="en-GB" w:eastAsia="en-GB"/>
        </w:rPr>
      </w:pPr>
      <w:r w:rsidRPr="00F97759">
        <w:rPr>
          <w:rFonts w:ascii="Times New Roman" w:eastAsia="Times New Roman" w:hAnsi="Times New Roman" w:cs="Times New Roman"/>
          <w:b/>
          <w:color w:val="000000"/>
          <w:spacing w:val="6"/>
          <w:sz w:val="24"/>
          <w:szCs w:val="24"/>
          <w:lang w:val="en-GB" w:eastAsia="en-GB"/>
        </w:rPr>
        <w:t>6</w:t>
      </w:r>
      <w:r w:rsidR="00AA5158" w:rsidRPr="00F97759">
        <w:rPr>
          <w:rFonts w:ascii="Times New Roman" w:eastAsia="Times New Roman" w:hAnsi="Times New Roman" w:cs="Times New Roman"/>
          <w:b/>
          <w:color w:val="000000"/>
          <w:spacing w:val="6"/>
          <w:sz w:val="24"/>
          <w:szCs w:val="24"/>
          <w:lang w:val="en-GB" w:eastAsia="en-GB"/>
        </w:rPr>
        <w:t>.1</w:t>
      </w:r>
      <w:r w:rsidR="003B6CFE" w:rsidRPr="00F97759">
        <w:rPr>
          <w:rFonts w:ascii="Times New Roman" w:eastAsia="Times New Roman" w:hAnsi="Times New Roman" w:cs="Times New Roman"/>
          <w:color w:val="000000"/>
          <w:spacing w:val="6"/>
          <w:sz w:val="24"/>
          <w:szCs w:val="24"/>
          <w:lang w:val="en-GB" w:eastAsia="en-GB"/>
        </w:rPr>
        <w:t>The presentations by the Department and its entities was appreciated and</w:t>
      </w:r>
      <w:r w:rsidR="00AA5158" w:rsidRPr="00F97759">
        <w:rPr>
          <w:rFonts w:ascii="Times New Roman" w:eastAsia="Times New Roman" w:hAnsi="Times New Roman" w:cs="Times New Roman"/>
          <w:color w:val="000000"/>
          <w:spacing w:val="6"/>
          <w:sz w:val="24"/>
          <w:szCs w:val="24"/>
          <w:lang w:val="en-GB" w:eastAsia="en-GB"/>
        </w:rPr>
        <w:t xml:space="preserve"> </w:t>
      </w:r>
      <w:r w:rsidR="003B6CFE" w:rsidRPr="00F97759">
        <w:rPr>
          <w:rFonts w:ascii="Times New Roman" w:eastAsia="Times New Roman" w:hAnsi="Times New Roman" w:cs="Times New Roman"/>
          <w:color w:val="000000"/>
          <w:spacing w:val="6"/>
          <w:sz w:val="24"/>
          <w:szCs w:val="24"/>
          <w:lang w:val="en-GB" w:eastAsia="en-GB"/>
        </w:rPr>
        <w:t xml:space="preserve">interrogated by </w:t>
      </w:r>
      <w:r w:rsidR="00AA5158" w:rsidRPr="00F97759">
        <w:rPr>
          <w:rFonts w:ascii="Times New Roman" w:eastAsia="Times New Roman" w:hAnsi="Times New Roman" w:cs="Times New Roman"/>
          <w:color w:val="000000"/>
          <w:spacing w:val="6"/>
          <w:sz w:val="24"/>
          <w:szCs w:val="24"/>
          <w:lang w:val="en-GB" w:eastAsia="en-GB"/>
        </w:rPr>
        <w:t>M</w:t>
      </w:r>
      <w:r w:rsidR="003B6CFE" w:rsidRPr="00F97759">
        <w:rPr>
          <w:rFonts w:ascii="Times New Roman" w:eastAsia="Times New Roman" w:hAnsi="Times New Roman" w:cs="Times New Roman"/>
          <w:color w:val="000000"/>
          <w:spacing w:val="6"/>
          <w:sz w:val="24"/>
          <w:szCs w:val="24"/>
          <w:lang w:val="en-GB" w:eastAsia="en-GB"/>
        </w:rPr>
        <w:t xml:space="preserve">embers of the Committee. </w:t>
      </w:r>
    </w:p>
    <w:p w14:paraId="72B7AA82" w14:textId="77777777" w:rsidR="00A929CE" w:rsidRPr="00F97759" w:rsidRDefault="00624DC0" w:rsidP="00F97759">
      <w:pPr>
        <w:spacing w:after="160" w:line="360" w:lineRule="auto"/>
        <w:ind w:left="426" w:hanging="426"/>
        <w:rPr>
          <w:rFonts w:ascii="Times New Roman" w:hAnsi="Times New Roman" w:cs="Times New Roman"/>
          <w:sz w:val="24"/>
          <w:szCs w:val="24"/>
        </w:rPr>
      </w:pPr>
      <w:r w:rsidRPr="00F97759">
        <w:rPr>
          <w:rFonts w:ascii="Times New Roman" w:hAnsi="Times New Roman" w:cs="Times New Roman"/>
          <w:b/>
          <w:sz w:val="24"/>
          <w:szCs w:val="24"/>
        </w:rPr>
        <w:t>6</w:t>
      </w:r>
      <w:r w:rsidR="00AA5158" w:rsidRPr="00F97759">
        <w:rPr>
          <w:rFonts w:ascii="Times New Roman" w:hAnsi="Times New Roman" w:cs="Times New Roman"/>
          <w:b/>
          <w:sz w:val="24"/>
          <w:szCs w:val="24"/>
        </w:rPr>
        <w:t>.2</w:t>
      </w:r>
      <w:r w:rsidR="00AA5158" w:rsidRPr="00F97759">
        <w:rPr>
          <w:rFonts w:ascii="Times New Roman" w:hAnsi="Times New Roman" w:cs="Times New Roman"/>
          <w:sz w:val="24"/>
          <w:szCs w:val="24"/>
        </w:rPr>
        <w:t xml:space="preserve"> </w:t>
      </w:r>
      <w:r w:rsidR="00380D2E" w:rsidRPr="00F97759">
        <w:rPr>
          <w:rFonts w:ascii="Times New Roman" w:hAnsi="Times New Roman" w:cs="Times New Roman"/>
          <w:sz w:val="24"/>
          <w:szCs w:val="24"/>
        </w:rPr>
        <w:t>The Committee noted that</w:t>
      </w:r>
      <w:r w:rsidR="00AA5158" w:rsidRPr="00F97759">
        <w:rPr>
          <w:rFonts w:ascii="Times New Roman" w:hAnsi="Times New Roman" w:cs="Times New Roman"/>
          <w:sz w:val="24"/>
          <w:szCs w:val="24"/>
        </w:rPr>
        <w:t>,</w:t>
      </w:r>
      <w:r w:rsidR="00380D2E" w:rsidRPr="00F97759">
        <w:rPr>
          <w:rFonts w:ascii="Times New Roman" w:hAnsi="Times New Roman" w:cs="Times New Roman"/>
          <w:sz w:val="24"/>
          <w:szCs w:val="24"/>
        </w:rPr>
        <w:t xml:space="preserve"> </w:t>
      </w:r>
      <w:r w:rsidR="00A929CE" w:rsidRPr="00F97759">
        <w:rPr>
          <w:rFonts w:ascii="Times New Roman" w:hAnsi="Times New Roman" w:cs="Times New Roman"/>
          <w:sz w:val="24"/>
          <w:szCs w:val="24"/>
        </w:rPr>
        <w:t xml:space="preserve">Budget Speech made specific reference to the importance of urban renewal and spatial transformation, and to how cities are at the heart of the national economy. The 45.6 percent decrease in allocation to sub-programme 3 (Urban Development Planning) and 12 percent decrease in sub-programme 4 (Spatial Planning Districts and Regions) appears inconsistent with this policy priority.  </w:t>
      </w:r>
    </w:p>
    <w:p w14:paraId="0B1538DD" w14:textId="77777777" w:rsidR="00A929CE" w:rsidRPr="00F97759" w:rsidRDefault="00624DC0" w:rsidP="00F97759">
      <w:pPr>
        <w:spacing w:after="160" w:line="360" w:lineRule="auto"/>
        <w:ind w:left="426" w:hanging="426"/>
        <w:rPr>
          <w:rFonts w:ascii="Times New Roman" w:hAnsi="Times New Roman" w:cs="Times New Roman"/>
          <w:sz w:val="24"/>
          <w:szCs w:val="24"/>
        </w:rPr>
      </w:pPr>
      <w:r w:rsidRPr="00F97759">
        <w:rPr>
          <w:rFonts w:ascii="Times New Roman" w:eastAsia="Times New Roman" w:hAnsi="Times New Roman" w:cs="Times New Roman"/>
          <w:b/>
          <w:color w:val="000000"/>
          <w:spacing w:val="6"/>
          <w:sz w:val="24"/>
          <w:szCs w:val="24"/>
          <w:lang w:val="en-GB" w:eastAsia="en-GB"/>
        </w:rPr>
        <w:t>6</w:t>
      </w:r>
      <w:r w:rsidR="00AA5158" w:rsidRPr="00F97759">
        <w:rPr>
          <w:rFonts w:ascii="Times New Roman" w:eastAsia="Times New Roman" w:hAnsi="Times New Roman" w:cs="Times New Roman"/>
          <w:b/>
          <w:color w:val="000000"/>
          <w:spacing w:val="6"/>
          <w:sz w:val="24"/>
          <w:szCs w:val="24"/>
          <w:lang w:val="en-GB" w:eastAsia="en-GB"/>
        </w:rPr>
        <w:t>.3</w:t>
      </w:r>
      <w:r w:rsidR="00AA5158" w:rsidRPr="00F97759">
        <w:rPr>
          <w:rFonts w:ascii="Times New Roman" w:eastAsia="Times New Roman" w:hAnsi="Times New Roman" w:cs="Times New Roman"/>
          <w:color w:val="000000"/>
          <w:spacing w:val="6"/>
          <w:sz w:val="24"/>
          <w:szCs w:val="24"/>
          <w:lang w:val="en-GB" w:eastAsia="en-GB"/>
        </w:rPr>
        <w:t xml:space="preserve"> </w:t>
      </w:r>
      <w:r w:rsidR="003B6CFE" w:rsidRPr="00F97759">
        <w:rPr>
          <w:rFonts w:ascii="Times New Roman" w:eastAsia="Times New Roman" w:hAnsi="Times New Roman" w:cs="Times New Roman"/>
          <w:color w:val="000000"/>
          <w:spacing w:val="6"/>
          <w:sz w:val="24"/>
          <w:szCs w:val="24"/>
          <w:lang w:val="en-GB" w:eastAsia="en-GB"/>
        </w:rPr>
        <w:t>The Committee not</w:t>
      </w:r>
      <w:r w:rsidR="007F68F7" w:rsidRPr="00F97759">
        <w:rPr>
          <w:rFonts w:ascii="Times New Roman" w:eastAsia="Times New Roman" w:hAnsi="Times New Roman" w:cs="Times New Roman"/>
          <w:color w:val="000000"/>
          <w:spacing w:val="6"/>
          <w:sz w:val="24"/>
          <w:szCs w:val="24"/>
          <w:lang w:val="en-GB" w:eastAsia="en-GB"/>
        </w:rPr>
        <w:t xml:space="preserve">ed with concern </w:t>
      </w:r>
      <w:r w:rsidR="00BF630B" w:rsidRPr="00F97759">
        <w:rPr>
          <w:rFonts w:ascii="Times New Roman" w:eastAsia="Times New Roman" w:hAnsi="Times New Roman" w:cs="Times New Roman"/>
          <w:color w:val="000000"/>
          <w:spacing w:val="6"/>
          <w:sz w:val="24"/>
          <w:szCs w:val="24"/>
          <w:lang w:val="en-GB" w:eastAsia="en-GB"/>
        </w:rPr>
        <w:t xml:space="preserve">that </w:t>
      </w:r>
      <w:r w:rsidR="00BF630B" w:rsidRPr="00F97759">
        <w:rPr>
          <w:rFonts w:ascii="Times New Roman" w:hAnsi="Times New Roman" w:cs="Times New Roman"/>
          <w:sz w:val="24"/>
          <w:szCs w:val="24"/>
        </w:rPr>
        <w:t>despite</w:t>
      </w:r>
      <w:r w:rsidR="00A929CE" w:rsidRPr="00F97759">
        <w:rPr>
          <w:rFonts w:ascii="Times New Roman" w:hAnsi="Times New Roman" w:cs="Times New Roman"/>
          <w:sz w:val="24"/>
          <w:szCs w:val="24"/>
        </w:rPr>
        <w:t xml:space="preserve"> the strained fiscal environment and cuts to local government allocations, there has been a clear prioritisation of funding to municipalities, including a real growth in the equitable share allocation over the 2018 </w:t>
      </w:r>
      <w:r w:rsidR="00A929CE" w:rsidRPr="00F97759">
        <w:rPr>
          <w:rFonts w:ascii="Times New Roman" w:hAnsi="Times New Roman" w:cs="Times New Roman"/>
          <w:sz w:val="24"/>
          <w:szCs w:val="24"/>
        </w:rPr>
        <w:lastRenderedPageBreak/>
        <w:t>medium-term expenditure framework period.</w:t>
      </w:r>
      <w:r w:rsidR="00A929CE" w:rsidRPr="00F97759">
        <w:rPr>
          <w:rStyle w:val="FootnoteReference"/>
          <w:rFonts w:ascii="Times New Roman" w:hAnsi="Times New Roman" w:cs="Times New Roman"/>
          <w:sz w:val="24"/>
          <w:szCs w:val="24"/>
        </w:rPr>
        <w:footnoteReference w:id="8"/>
      </w:r>
      <w:r w:rsidR="00A929CE" w:rsidRPr="00F97759">
        <w:rPr>
          <w:rFonts w:ascii="Times New Roman" w:hAnsi="Times New Roman" w:cs="Times New Roman"/>
          <w:sz w:val="24"/>
          <w:szCs w:val="24"/>
        </w:rPr>
        <w:t xml:space="preserve"> Research by National Treasury indicates that this funding growth has been commensurate with increase in personnel expenditure rather than service delivery.</w:t>
      </w:r>
    </w:p>
    <w:p w14:paraId="48331EAC" w14:textId="77777777" w:rsidR="00754B02" w:rsidRPr="00F97759" w:rsidRDefault="00624DC0" w:rsidP="00F97759">
      <w:pPr>
        <w:spacing w:line="360" w:lineRule="auto"/>
        <w:rPr>
          <w:rFonts w:ascii="Times New Roman" w:hAnsi="Times New Roman" w:cs="Times New Roman"/>
          <w:sz w:val="24"/>
          <w:szCs w:val="24"/>
        </w:rPr>
      </w:pPr>
      <w:r w:rsidRPr="00F97759">
        <w:rPr>
          <w:rFonts w:ascii="Times New Roman" w:eastAsia="Times New Roman" w:hAnsi="Times New Roman" w:cs="Times New Roman"/>
          <w:b/>
          <w:color w:val="000000"/>
          <w:spacing w:val="6"/>
          <w:sz w:val="24"/>
          <w:szCs w:val="24"/>
          <w:lang w:val="en-GB" w:eastAsia="en-GB"/>
        </w:rPr>
        <w:t>6</w:t>
      </w:r>
      <w:r w:rsidR="00AA5158" w:rsidRPr="00F97759">
        <w:rPr>
          <w:rFonts w:ascii="Times New Roman" w:eastAsia="Times New Roman" w:hAnsi="Times New Roman" w:cs="Times New Roman"/>
          <w:b/>
          <w:color w:val="000000"/>
          <w:spacing w:val="6"/>
          <w:sz w:val="24"/>
          <w:szCs w:val="24"/>
          <w:lang w:val="en-GB" w:eastAsia="en-GB"/>
        </w:rPr>
        <w:t>.4</w:t>
      </w:r>
      <w:r w:rsidR="00AA5158" w:rsidRPr="00F97759">
        <w:rPr>
          <w:rFonts w:ascii="Times New Roman" w:eastAsia="Times New Roman" w:hAnsi="Times New Roman" w:cs="Times New Roman"/>
          <w:color w:val="000000"/>
          <w:spacing w:val="6"/>
          <w:sz w:val="24"/>
          <w:szCs w:val="24"/>
          <w:lang w:val="en-GB" w:eastAsia="en-GB"/>
        </w:rPr>
        <w:t xml:space="preserve"> </w:t>
      </w:r>
      <w:r w:rsidR="00A92DB0" w:rsidRPr="00F97759">
        <w:rPr>
          <w:rFonts w:ascii="Times New Roman" w:eastAsia="Times New Roman" w:hAnsi="Times New Roman" w:cs="Times New Roman"/>
          <w:color w:val="000000"/>
          <w:spacing w:val="6"/>
          <w:sz w:val="24"/>
          <w:szCs w:val="24"/>
          <w:lang w:val="en-GB" w:eastAsia="en-GB"/>
        </w:rPr>
        <w:t xml:space="preserve">The Committee </w:t>
      </w:r>
      <w:r w:rsidR="00AA5158" w:rsidRPr="00F97759">
        <w:rPr>
          <w:rFonts w:ascii="Times New Roman" w:eastAsia="Times New Roman" w:hAnsi="Times New Roman" w:cs="Times New Roman"/>
          <w:color w:val="000000"/>
          <w:spacing w:val="6"/>
          <w:sz w:val="24"/>
          <w:szCs w:val="24"/>
          <w:lang w:val="en-GB" w:eastAsia="en-GB"/>
        </w:rPr>
        <w:t xml:space="preserve">observed </w:t>
      </w:r>
      <w:r w:rsidR="00A92DB0" w:rsidRPr="00F97759">
        <w:rPr>
          <w:rFonts w:ascii="Times New Roman" w:eastAsia="Times New Roman" w:hAnsi="Times New Roman" w:cs="Times New Roman"/>
          <w:color w:val="000000"/>
          <w:spacing w:val="6"/>
          <w:sz w:val="24"/>
          <w:szCs w:val="24"/>
          <w:lang w:val="en-GB" w:eastAsia="en-GB"/>
        </w:rPr>
        <w:t>with concern that</w:t>
      </w:r>
      <w:r w:rsidR="00A929CE" w:rsidRPr="00F97759">
        <w:rPr>
          <w:rFonts w:ascii="Times New Roman" w:hAnsi="Times New Roman" w:cs="Times New Roman"/>
          <w:sz w:val="24"/>
          <w:szCs w:val="24"/>
        </w:rPr>
        <w:t xml:space="preserve">, the Minister of Finance stated that in the </w:t>
      </w:r>
    </w:p>
    <w:p w14:paraId="6C2C82A6" w14:textId="77777777" w:rsidR="00754B02" w:rsidRPr="00F97759" w:rsidRDefault="00754B02"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w:t>
      </w:r>
      <w:r w:rsidR="00727CDC" w:rsidRPr="00F97759">
        <w:rPr>
          <w:rFonts w:ascii="Times New Roman" w:hAnsi="Times New Roman" w:cs="Times New Roman"/>
          <w:sz w:val="24"/>
          <w:szCs w:val="24"/>
        </w:rPr>
        <w:t>2</w:t>
      </w:r>
      <w:r w:rsidR="00A929CE" w:rsidRPr="00F97759">
        <w:rPr>
          <w:rFonts w:ascii="Times New Roman" w:hAnsi="Times New Roman" w:cs="Times New Roman"/>
          <w:sz w:val="24"/>
          <w:szCs w:val="24"/>
        </w:rPr>
        <w:t>018/19 financial year, government has set aside a provision</w:t>
      </w:r>
      <w:r w:rsidR="00727CDC" w:rsidRPr="00F97759">
        <w:rPr>
          <w:rFonts w:ascii="Times New Roman" w:hAnsi="Times New Roman" w:cs="Times New Roman"/>
          <w:sz w:val="24"/>
          <w:szCs w:val="24"/>
        </w:rPr>
        <w:t xml:space="preserve">al allocation of R6 billion </w:t>
      </w:r>
    </w:p>
    <w:p w14:paraId="029D162A" w14:textId="77777777" w:rsidR="00754B02" w:rsidRPr="00F97759" w:rsidRDefault="00754B02"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w:t>
      </w:r>
      <w:r w:rsidR="00727CDC" w:rsidRPr="00F97759">
        <w:rPr>
          <w:rFonts w:ascii="Times New Roman" w:hAnsi="Times New Roman" w:cs="Times New Roman"/>
          <w:sz w:val="24"/>
          <w:szCs w:val="24"/>
        </w:rPr>
        <w:t xml:space="preserve">for </w:t>
      </w:r>
      <w:r w:rsidR="00A929CE" w:rsidRPr="00F97759">
        <w:rPr>
          <w:rFonts w:ascii="Times New Roman" w:hAnsi="Times New Roman" w:cs="Times New Roman"/>
          <w:sz w:val="24"/>
          <w:szCs w:val="24"/>
        </w:rPr>
        <w:t>several purposes, including drought relief and to augment public infrastructure</w:t>
      </w:r>
      <w:r w:rsidR="00727CDC" w:rsidRPr="00F97759">
        <w:rPr>
          <w:rFonts w:ascii="Times New Roman" w:hAnsi="Times New Roman" w:cs="Times New Roman"/>
          <w:sz w:val="24"/>
          <w:szCs w:val="24"/>
        </w:rPr>
        <w:t xml:space="preserve"> </w:t>
      </w:r>
    </w:p>
    <w:p w14:paraId="5F680679" w14:textId="77777777" w:rsidR="00754B02" w:rsidRPr="00F97759" w:rsidRDefault="00754B02"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w:t>
      </w:r>
      <w:proofErr w:type="gramStart"/>
      <w:r w:rsidR="00A929CE" w:rsidRPr="00F97759">
        <w:rPr>
          <w:rFonts w:ascii="Times New Roman" w:hAnsi="Times New Roman" w:cs="Times New Roman"/>
          <w:sz w:val="24"/>
          <w:szCs w:val="24"/>
        </w:rPr>
        <w:t>investment</w:t>
      </w:r>
      <w:proofErr w:type="gramEnd"/>
      <w:r w:rsidR="00A929CE" w:rsidRPr="00F97759">
        <w:rPr>
          <w:rFonts w:ascii="Times New Roman" w:hAnsi="Times New Roman" w:cs="Times New Roman"/>
          <w:sz w:val="24"/>
          <w:szCs w:val="24"/>
        </w:rPr>
        <w:t xml:space="preserve">.’ How much of this R6 billion will go towards drought relief needs </w:t>
      </w:r>
      <w:r w:rsidRPr="00F97759">
        <w:rPr>
          <w:rFonts w:ascii="Times New Roman" w:hAnsi="Times New Roman" w:cs="Times New Roman"/>
          <w:sz w:val="24"/>
          <w:szCs w:val="24"/>
        </w:rPr>
        <w:t xml:space="preserve">         </w:t>
      </w:r>
    </w:p>
    <w:p w14:paraId="34CD3929" w14:textId="77777777" w:rsidR="00754B02" w:rsidRPr="00F97759" w:rsidRDefault="00754B02"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w:t>
      </w:r>
      <w:r w:rsidR="00A929CE" w:rsidRPr="00F97759">
        <w:rPr>
          <w:rFonts w:ascii="Times New Roman" w:hAnsi="Times New Roman" w:cs="Times New Roman"/>
          <w:sz w:val="24"/>
          <w:szCs w:val="24"/>
        </w:rPr>
        <w:t>clarification, as the rate of increase (R24.5 million) in the Disaster Relief Grant</w:t>
      </w:r>
      <w:r w:rsidR="00727CDC" w:rsidRPr="00F97759">
        <w:rPr>
          <w:rFonts w:ascii="Times New Roman" w:hAnsi="Times New Roman" w:cs="Times New Roman"/>
          <w:sz w:val="24"/>
          <w:szCs w:val="24"/>
        </w:rPr>
        <w:t xml:space="preserve"> appears </w:t>
      </w:r>
    </w:p>
    <w:p w14:paraId="4016A546" w14:textId="77777777" w:rsidR="00754B02" w:rsidRPr="00F97759" w:rsidRDefault="00754B02"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w:t>
      </w:r>
      <w:r w:rsidR="00727CDC" w:rsidRPr="00F97759">
        <w:rPr>
          <w:rFonts w:ascii="Times New Roman" w:hAnsi="Times New Roman" w:cs="Times New Roman"/>
          <w:sz w:val="24"/>
          <w:szCs w:val="24"/>
        </w:rPr>
        <w:t>inadequate i</w:t>
      </w:r>
      <w:r w:rsidR="00A929CE" w:rsidRPr="00F97759">
        <w:rPr>
          <w:rFonts w:ascii="Times New Roman" w:hAnsi="Times New Roman" w:cs="Times New Roman"/>
          <w:sz w:val="24"/>
          <w:szCs w:val="24"/>
        </w:rPr>
        <w:t xml:space="preserve">n view of the state of national disaster declared in respect of the Cape </w:t>
      </w:r>
      <w:r w:rsidRPr="00F97759">
        <w:rPr>
          <w:rFonts w:ascii="Times New Roman" w:hAnsi="Times New Roman" w:cs="Times New Roman"/>
          <w:sz w:val="24"/>
          <w:szCs w:val="24"/>
        </w:rPr>
        <w:t xml:space="preserve">   </w:t>
      </w:r>
    </w:p>
    <w:p w14:paraId="3FCF3DEE" w14:textId="77777777" w:rsidR="00A929CE" w:rsidRPr="00F97759" w:rsidRDefault="00754B02" w:rsidP="00F97759">
      <w:pPr>
        <w:spacing w:line="360" w:lineRule="auto"/>
        <w:rPr>
          <w:rFonts w:ascii="Times New Roman" w:hAnsi="Times New Roman" w:cs="Times New Roman"/>
          <w:b/>
          <w:sz w:val="24"/>
          <w:szCs w:val="24"/>
        </w:rPr>
      </w:pPr>
      <w:r w:rsidRPr="00F97759">
        <w:rPr>
          <w:rFonts w:ascii="Times New Roman" w:hAnsi="Times New Roman" w:cs="Times New Roman"/>
          <w:sz w:val="24"/>
          <w:szCs w:val="24"/>
        </w:rPr>
        <w:t xml:space="preserve">       </w:t>
      </w:r>
      <w:r w:rsidR="00A929CE" w:rsidRPr="00F97759">
        <w:rPr>
          <w:rFonts w:ascii="Times New Roman" w:hAnsi="Times New Roman" w:cs="Times New Roman"/>
          <w:sz w:val="24"/>
          <w:szCs w:val="24"/>
        </w:rPr>
        <w:t xml:space="preserve">Provinces. </w:t>
      </w:r>
    </w:p>
    <w:p w14:paraId="0C87A297" w14:textId="77777777" w:rsidR="00380D2E" w:rsidRPr="00F97759" w:rsidRDefault="00624DC0" w:rsidP="00F97759">
      <w:pPr>
        <w:spacing w:after="160" w:line="360" w:lineRule="auto"/>
        <w:ind w:left="426" w:hanging="426"/>
        <w:rPr>
          <w:rFonts w:ascii="Times New Roman" w:eastAsia="Times New Roman" w:hAnsi="Times New Roman" w:cs="Times New Roman"/>
          <w:color w:val="000000"/>
          <w:spacing w:val="6"/>
          <w:sz w:val="24"/>
          <w:szCs w:val="24"/>
          <w:lang w:val="en-GB" w:eastAsia="en-GB"/>
        </w:rPr>
      </w:pPr>
      <w:r w:rsidRPr="00F97759">
        <w:rPr>
          <w:rFonts w:ascii="Times New Roman" w:eastAsia="Times New Roman" w:hAnsi="Times New Roman" w:cs="Times New Roman"/>
          <w:b/>
          <w:color w:val="000000"/>
          <w:spacing w:val="6"/>
          <w:sz w:val="24"/>
          <w:szCs w:val="24"/>
          <w:lang w:val="en-GB" w:eastAsia="en-GB"/>
        </w:rPr>
        <w:t>6</w:t>
      </w:r>
      <w:r w:rsidR="00AA5158" w:rsidRPr="00F97759">
        <w:rPr>
          <w:rFonts w:ascii="Times New Roman" w:eastAsia="Times New Roman" w:hAnsi="Times New Roman" w:cs="Times New Roman"/>
          <w:b/>
          <w:color w:val="000000"/>
          <w:spacing w:val="6"/>
          <w:sz w:val="24"/>
          <w:szCs w:val="24"/>
          <w:lang w:val="en-GB" w:eastAsia="en-GB"/>
        </w:rPr>
        <w:t>.5</w:t>
      </w:r>
      <w:r w:rsidR="00AA5158" w:rsidRPr="00F97759">
        <w:rPr>
          <w:rFonts w:ascii="Times New Roman" w:eastAsia="Times New Roman" w:hAnsi="Times New Roman" w:cs="Times New Roman"/>
          <w:color w:val="000000"/>
          <w:spacing w:val="6"/>
          <w:sz w:val="24"/>
          <w:szCs w:val="24"/>
          <w:lang w:val="en-GB" w:eastAsia="en-GB"/>
        </w:rPr>
        <w:t xml:space="preserve"> </w:t>
      </w:r>
      <w:r w:rsidR="00D1561D" w:rsidRPr="00F97759">
        <w:rPr>
          <w:rFonts w:ascii="Times New Roman" w:hAnsi="Times New Roman" w:cs="Times New Roman"/>
          <w:sz w:val="24"/>
          <w:szCs w:val="24"/>
        </w:rPr>
        <w:t>The low number of skilled technical professionals and artisans is one of the major constraints facing the majority of South African municipalities. Yet, over the medium term, MISA proposes to decrease the number of apprentices enrolled in its Artisan Development Programme (ADP), namely 230 in 2018/19, 180 in 2019/20 and 120 in 2020/21.</w:t>
      </w:r>
    </w:p>
    <w:p w14:paraId="4A752723" w14:textId="77777777" w:rsidR="00D1561D" w:rsidRPr="00F97759" w:rsidRDefault="00624DC0" w:rsidP="00F97759">
      <w:pPr>
        <w:spacing w:after="160" w:line="360" w:lineRule="auto"/>
        <w:ind w:left="426" w:hanging="426"/>
        <w:rPr>
          <w:rFonts w:ascii="Times New Roman" w:hAnsi="Times New Roman" w:cs="Times New Roman"/>
          <w:sz w:val="24"/>
          <w:szCs w:val="24"/>
        </w:rPr>
      </w:pPr>
      <w:r w:rsidRPr="00F97759">
        <w:rPr>
          <w:rFonts w:ascii="Times New Roman" w:eastAsia="Times New Roman" w:hAnsi="Times New Roman" w:cs="Times New Roman"/>
          <w:b/>
          <w:color w:val="000000"/>
          <w:spacing w:val="6"/>
          <w:sz w:val="24"/>
          <w:szCs w:val="24"/>
          <w:lang w:val="en-GB" w:eastAsia="en-GB"/>
        </w:rPr>
        <w:t>6</w:t>
      </w:r>
      <w:r w:rsidR="00AA5158" w:rsidRPr="00F97759">
        <w:rPr>
          <w:rFonts w:ascii="Times New Roman" w:eastAsia="Times New Roman" w:hAnsi="Times New Roman" w:cs="Times New Roman"/>
          <w:b/>
          <w:color w:val="000000"/>
          <w:spacing w:val="6"/>
          <w:sz w:val="24"/>
          <w:szCs w:val="24"/>
          <w:lang w:val="en-GB" w:eastAsia="en-GB"/>
        </w:rPr>
        <w:t>.</w:t>
      </w:r>
      <w:r w:rsidR="00754B02" w:rsidRPr="00F97759">
        <w:rPr>
          <w:rFonts w:ascii="Times New Roman" w:eastAsia="Times New Roman" w:hAnsi="Times New Roman" w:cs="Times New Roman"/>
          <w:b/>
          <w:color w:val="000000"/>
          <w:spacing w:val="6"/>
          <w:sz w:val="24"/>
          <w:szCs w:val="24"/>
          <w:lang w:val="en-GB" w:eastAsia="en-GB"/>
        </w:rPr>
        <w:t>6</w:t>
      </w:r>
      <w:r w:rsidR="00AA5158" w:rsidRPr="00F97759">
        <w:rPr>
          <w:rFonts w:ascii="Times New Roman" w:eastAsia="Times New Roman" w:hAnsi="Times New Roman" w:cs="Times New Roman"/>
          <w:color w:val="000000"/>
          <w:spacing w:val="6"/>
          <w:sz w:val="24"/>
          <w:szCs w:val="24"/>
          <w:lang w:val="en-GB" w:eastAsia="en-GB"/>
        </w:rPr>
        <w:t xml:space="preserve"> </w:t>
      </w:r>
      <w:r w:rsidR="00D1561D" w:rsidRPr="00F97759">
        <w:rPr>
          <w:rFonts w:ascii="Times New Roman" w:eastAsia="Times New Roman" w:hAnsi="Times New Roman" w:cs="Times New Roman"/>
          <w:color w:val="000000"/>
          <w:spacing w:val="6"/>
          <w:sz w:val="24"/>
          <w:szCs w:val="24"/>
          <w:lang w:val="en-GB" w:eastAsia="en-GB"/>
        </w:rPr>
        <w:t xml:space="preserve">The Committee notes that </w:t>
      </w:r>
      <w:r w:rsidR="00D1561D" w:rsidRPr="00F97759">
        <w:rPr>
          <w:rFonts w:ascii="Times New Roman" w:hAnsi="Times New Roman" w:cs="Times New Roman"/>
          <w:sz w:val="24"/>
          <w:szCs w:val="24"/>
        </w:rPr>
        <w:t xml:space="preserve">MISA’s presentation on its 2018/19 APP provides </w:t>
      </w:r>
      <w:r w:rsidRPr="00F97759">
        <w:rPr>
          <w:rFonts w:ascii="Times New Roman" w:hAnsi="Times New Roman" w:cs="Times New Roman"/>
          <w:sz w:val="24"/>
          <w:szCs w:val="24"/>
        </w:rPr>
        <w:t>no indication</w:t>
      </w:r>
      <w:r w:rsidR="00D1561D" w:rsidRPr="00F97759">
        <w:rPr>
          <w:rFonts w:ascii="Times New Roman" w:hAnsi="Times New Roman" w:cs="Times New Roman"/>
          <w:sz w:val="24"/>
          <w:szCs w:val="24"/>
        </w:rPr>
        <w:t xml:space="preserve"> on progress in respect of the problems constraining the implementation of its annual targets for the previous financial year, including inadequate internal capacity and problems around the redeployment of technical professionals to the 27 priority districts.</w:t>
      </w:r>
    </w:p>
    <w:p w14:paraId="0B6B50F8" w14:textId="77777777" w:rsidR="00D1561D" w:rsidRPr="00F97759" w:rsidRDefault="00624DC0" w:rsidP="00F97759">
      <w:pPr>
        <w:spacing w:line="360" w:lineRule="auto"/>
        <w:rPr>
          <w:rFonts w:ascii="Times New Roman" w:hAnsi="Times New Roman" w:cs="Times New Roman"/>
          <w:sz w:val="24"/>
          <w:szCs w:val="24"/>
        </w:rPr>
      </w:pPr>
      <w:r w:rsidRPr="00F97759">
        <w:rPr>
          <w:rFonts w:ascii="Times New Roman" w:eastAsia="Times New Roman" w:hAnsi="Times New Roman" w:cs="Times New Roman"/>
          <w:b/>
          <w:color w:val="000000"/>
          <w:spacing w:val="6"/>
          <w:sz w:val="24"/>
          <w:szCs w:val="24"/>
          <w:lang w:val="en-GB" w:eastAsia="en-GB"/>
        </w:rPr>
        <w:t>6</w:t>
      </w:r>
      <w:r w:rsidR="00AA5158" w:rsidRPr="00F97759">
        <w:rPr>
          <w:rFonts w:ascii="Times New Roman" w:eastAsia="Times New Roman" w:hAnsi="Times New Roman" w:cs="Times New Roman"/>
          <w:b/>
          <w:color w:val="000000"/>
          <w:spacing w:val="6"/>
          <w:sz w:val="24"/>
          <w:szCs w:val="24"/>
          <w:lang w:val="en-GB" w:eastAsia="en-GB"/>
        </w:rPr>
        <w:t>.</w:t>
      </w:r>
      <w:r w:rsidR="00754B02" w:rsidRPr="00F97759">
        <w:rPr>
          <w:rFonts w:ascii="Times New Roman" w:eastAsia="Times New Roman" w:hAnsi="Times New Roman" w:cs="Times New Roman"/>
          <w:b/>
          <w:color w:val="000000"/>
          <w:spacing w:val="6"/>
          <w:sz w:val="24"/>
          <w:szCs w:val="24"/>
          <w:lang w:val="en-GB" w:eastAsia="en-GB"/>
        </w:rPr>
        <w:t>7</w:t>
      </w:r>
      <w:r w:rsidR="00AA5158" w:rsidRPr="00F97759">
        <w:rPr>
          <w:rFonts w:ascii="Times New Roman" w:eastAsia="Times New Roman" w:hAnsi="Times New Roman" w:cs="Times New Roman"/>
          <w:color w:val="000000"/>
          <w:spacing w:val="6"/>
          <w:sz w:val="24"/>
          <w:szCs w:val="24"/>
          <w:lang w:val="en-GB" w:eastAsia="en-GB"/>
        </w:rPr>
        <w:t xml:space="preserve"> </w:t>
      </w:r>
      <w:r w:rsidR="00D1561D" w:rsidRPr="00F97759">
        <w:rPr>
          <w:rFonts w:ascii="Times New Roman" w:eastAsia="Times New Roman" w:hAnsi="Times New Roman" w:cs="Times New Roman"/>
          <w:color w:val="000000"/>
          <w:spacing w:val="6"/>
          <w:sz w:val="24"/>
          <w:szCs w:val="24"/>
          <w:lang w:val="en-GB" w:eastAsia="en-GB"/>
        </w:rPr>
        <w:t xml:space="preserve">The committee notes with concern that </w:t>
      </w:r>
      <w:r w:rsidR="00D1561D" w:rsidRPr="00F97759">
        <w:rPr>
          <w:rFonts w:ascii="Times New Roman" w:hAnsi="Times New Roman" w:cs="Times New Roman"/>
          <w:sz w:val="24"/>
          <w:szCs w:val="24"/>
        </w:rPr>
        <w:t xml:space="preserve">the MISA has not appointed a permanent CEO </w:t>
      </w:r>
    </w:p>
    <w:p w14:paraId="2F0DF91C"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as the current incumbent is still acting. This is notwithstanding the assertion on page 11 </w:t>
      </w:r>
    </w:p>
    <w:p w14:paraId="461A77CB"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of the entity’s APP where it claims that it has made tremendous efforts towards the </w:t>
      </w:r>
    </w:p>
    <w:p w14:paraId="007291AC"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appointment of a permanent Chief Executive Officer over the past financial year.</w:t>
      </w:r>
    </w:p>
    <w:p w14:paraId="464B2EAD" w14:textId="77777777" w:rsidR="00D1561D" w:rsidRPr="00F97759" w:rsidRDefault="00D1561D" w:rsidP="00F97759">
      <w:pPr>
        <w:spacing w:line="360" w:lineRule="auto"/>
        <w:rPr>
          <w:rFonts w:ascii="Times New Roman" w:hAnsi="Times New Roman" w:cs="Times New Roman"/>
          <w:sz w:val="24"/>
          <w:szCs w:val="24"/>
        </w:rPr>
      </w:pPr>
    </w:p>
    <w:p w14:paraId="4D4A8FB8" w14:textId="77777777" w:rsidR="00754B02" w:rsidRPr="00F97759" w:rsidRDefault="00624DC0" w:rsidP="00F97759">
      <w:pPr>
        <w:spacing w:line="360" w:lineRule="auto"/>
        <w:rPr>
          <w:rFonts w:ascii="Times New Roman" w:hAnsi="Times New Roman" w:cs="Times New Roman"/>
          <w:sz w:val="24"/>
          <w:szCs w:val="24"/>
        </w:rPr>
      </w:pPr>
      <w:r w:rsidRPr="00F97759">
        <w:rPr>
          <w:rFonts w:ascii="Times New Roman" w:hAnsi="Times New Roman" w:cs="Times New Roman"/>
          <w:b/>
          <w:sz w:val="24"/>
          <w:szCs w:val="24"/>
        </w:rPr>
        <w:t>6</w:t>
      </w:r>
      <w:r w:rsidR="00D1561D" w:rsidRPr="00F97759">
        <w:rPr>
          <w:rFonts w:ascii="Times New Roman" w:hAnsi="Times New Roman" w:cs="Times New Roman"/>
          <w:b/>
          <w:sz w:val="24"/>
          <w:szCs w:val="24"/>
        </w:rPr>
        <w:t>.</w:t>
      </w:r>
      <w:r w:rsidR="00754B02" w:rsidRPr="00F97759">
        <w:rPr>
          <w:rFonts w:ascii="Times New Roman" w:hAnsi="Times New Roman" w:cs="Times New Roman"/>
          <w:b/>
          <w:sz w:val="24"/>
          <w:szCs w:val="24"/>
        </w:rPr>
        <w:t>8</w:t>
      </w:r>
      <w:r w:rsidR="00D1561D" w:rsidRPr="00F97759">
        <w:rPr>
          <w:rFonts w:ascii="Times New Roman" w:hAnsi="Times New Roman" w:cs="Times New Roman"/>
          <w:sz w:val="24"/>
          <w:szCs w:val="24"/>
        </w:rPr>
        <w:t xml:space="preserve"> The Committee takes note of the real 4.3 percent decrease in budget allocation to the </w:t>
      </w:r>
    </w:p>
    <w:p w14:paraId="4078683A" w14:textId="77777777" w:rsidR="00D1561D" w:rsidRPr="00F97759" w:rsidRDefault="00754B02"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w:t>
      </w:r>
      <w:r w:rsidR="00D1561D" w:rsidRPr="00F97759">
        <w:rPr>
          <w:rFonts w:ascii="Times New Roman" w:hAnsi="Times New Roman" w:cs="Times New Roman"/>
          <w:sz w:val="24"/>
          <w:szCs w:val="24"/>
        </w:rPr>
        <w:t xml:space="preserve">CRL Rights Commission. The Commission is in dire need of financial resources to, among </w:t>
      </w:r>
    </w:p>
    <w:p w14:paraId="66433F80"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other things, convene National Consultative Conferences with religious, linguistic and </w:t>
      </w:r>
    </w:p>
    <w:p w14:paraId="3CE807D0"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cultural communities. The importance of this has become urgent following the recent </w:t>
      </w:r>
    </w:p>
    <w:p w14:paraId="2C808923"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tragic incident of criminality perpetuated under the guise of religion in Engcobo.</w:t>
      </w:r>
    </w:p>
    <w:p w14:paraId="5A19BDA2" w14:textId="77777777" w:rsidR="00D1561D" w:rsidRPr="00F97759" w:rsidRDefault="00D1561D" w:rsidP="00F97759">
      <w:pPr>
        <w:spacing w:line="360" w:lineRule="auto"/>
        <w:rPr>
          <w:rFonts w:ascii="Times New Roman" w:hAnsi="Times New Roman" w:cs="Times New Roman"/>
          <w:sz w:val="24"/>
          <w:szCs w:val="24"/>
        </w:rPr>
      </w:pPr>
    </w:p>
    <w:p w14:paraId="288CD95A" w14:textId="77777777" w:rsidR="00D1561D" w:rsidRPr="00F97759" w:rsidRDefault="00624DC0" w:rsidP="00F97759">
      <w:pPr>
        <w:spacing w:line="360" w:lineRule="auto"/>
        <w:rPr>
          <w:rFonts w:ascii="Times New Roman" w:hAnsi="Times New Roman" w:cs="Times New Roman"/>
          <w:sz w:val="24"/>
          <w:szCs w:val="24"/>
        </w:rPr>
      </w:pPr>
      <w:r w:rsidRPr="00F97759">
        <w:rPr>
          <w:rFonts w:ascii="Times New Roman" w:hAnsi="Times New Roman" w:cs="Times New Roman"/>
          <w:b/>
          <w:sz w:val="24"/>
          <w:szCs w:val="24"/>
        </w:rPr>
        <w:t>6</w:t>
      </w:r>
      <w:r w:rsidR="00D1561D" w:rsidRPr="00F97759">
        <w:rPr>
          <w:rFonts w:ascii="Times New Roman" w:hAnsi="Times New Roman" w:cs="Times New Roman"/>
          <w:b/>
          <w:sz w:val="24"/>
          <w:szCs w:val="24"/>
        </w:rPr>
        <w:t>.</w:t>
      </w:r>
      <w:r w:rsidR="00754B02" w:rsidRPr="00F97759">
        <w:rPr>
          <w:rFonts w:ascii="Times New Roman" w:hAnsi="Times New Roman" w:cs="Times New Roman"/>
          <w:b/>
          <w:sz w:val="24"/>
          <w:szCs w:val="24"/>
        </w:rPr>
        <w:t>9</w:t>
      </w:r>
      <w:r w:rsidR="00D1561D" w:rsidRPr="00F97759">
        <w:rPr>
          <w:rFonts w:ascii="Times New Roman" w:hAnsi="Times New Roman" w:cs="Times New Roman"/>
          <w:sz w:val="24"/>
          <w:szCs w:val="24"/>
        </w:rPr>
        <w:t xml:space="preserve"> One of the Department’s strategic objectives over the medium term is to reduce the </w:t>
      </w:r>
    </w:p>
    <w:p w14:paraId="3E7B21F2"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lastRenderedPageBreak/>
        <w:t xml:space="preserve">        number of traditional leadership disputes and claims. However, the budget allocated for </w:t>
      </w:r>
    </w:p>
    <w:p w14:paraId="14D208FF"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the resolution of traditional leadership disputes and claims decreases by 22 percent in </w:t>
      </w:r>
    </w:p>
    <w:p w14:paraId="58AFEE6F" w14:textId="77777777" w:rsidR="00D1561D" w:rsidRPr="00F97759" w:rsidRDefault="00D1561D" w:rsidP="00F97759">
      <w:pPr>
        <w:spacing w:line="360" w:lineRule="auto"/>
        <w:rPr>
          <w:rFonts w:ascii="Times New Roman" w:hAnsi="Times New Roman" w:cs="Times New Roman"/>
          <w:sz w:val="24"/>
          <w:szCs w:val="24"/>
        </w:rPr>
      </w:pPr>
      <w:r w:rsidRPr="00F97759">
        <w:rPr>
          <w:rFonts w:ascii="Times New Roman" w:hAnsi="Times New Roman" w:cs="Times New Roman"/>
          <w:sz w:val="24"/>
          <w:szCs w:val="24"/>
        </w:rPr>
        <w:t xml:space="preserve">       real terms for 2018/19.</w:t>
      </w:r>
    </w:p>
    <w:p w14:paraId="705B0352" w14:textId="77777777" w:rsidR="00624DC0" w:rsidRPr="00F97759" w:rsidRDefault="00624DC0" w:rsidP="00F97759">
      <w:pPr>
        <w:spacing w:line="360" w:lineRule="auto"/>
        <w:rPr>
          <w:rFonts w:ascii="Times New Roman" w:hAnsi="Times New Roman" w:cs="Times New Roman"/>
          <w:sz w:val="24"/>
          <w:szCs w:val="24"/>
        </w:rPr>
      </w:pPr>
    </w:p>
    <w:p w14:paraId="6E9B4950" w14:textId="77777777" w:rsidR="00A92DB0" w:rsidRPr="00F97759" w:rsidRDefault="00AA5158" w:rsidP="00F97759">
      <w:pPr>
        <w:numPr>
          <w:ilvl w:val="0"/>
          <w:numId w:val="43"/>
        </w:numPr>
        <w:spacing w:after="160" w:line="360" w:lineRule="auto"/>
        <w:rPr>
          <w:rFonts w:ascii="Times New Roman" w:eastAsia="Times New Roman" w:hAnsi="Times New Roman" w:cs="Times New Roman"/>
          <w:b/>
          <w:color w:val="000000"/>
          <w:spacing w:val="6"/>
          <w:sz w:val="24"/>
          <w:szCs w:val="24"/>
          <w:lang w:val="en-GB" w:eastAsia="en-GB"/>
        </w:rPr>
      </w:pPr>
      <w:r w:rsidRPr="00F97759">
        <w:rPr>
          <w:rFonts w:ascii="Times New Roman" w:eastAsia="Times New Roman" w:hAnsi="Times New Roman" w:cs="Times New Roman"/>
          <w:b/>
          <w:color w:val="000000"/>
          <w:spacing w:val="6"/>
          <w:sz w:val="24"/>
          <w:szCs w:val="24"/>
          <w:lang w:val="en-GB" w:eastAsia="en-GB"/>
        </w:rPr>
        <w:t xml:space="preserve">COMMITTEE </w:t>
      </w:r>
      <w:r w:rsidR="00FC5234" w:rsidRPr="00F97759">
        <w:rPr>
          <w:rFonts w:ascii="Times New Roman" w:eastAsia="Times New Roman" w:hAnsi="Times New Roman" w:cs="Times New Roman"/>
          <w:b/>
          <w:color w:val="000000"/>
          <w:spacing w:val="6"/>
          <w:sz w:val="24"/>
          <w:szCs w:val="24"/>
          <w:lang w:val="en-GB" w:eastAsia="en-GB"/>
        </w:rPr>
        <w:t>RECOMMENDATIONS</w:t>
      </w:r>
    </w:p>
    <w:p w14:paraId="56586AE3" w14:textId="77777777" w:rsidR="00A92DB0" w:rsidRPr="00F97759" w:rsidRDefault="002456A9" w:rsidP="00F97759">
      <w:pPr>
        <w:pStyle w:val="Normalbold"/>
        <w:spacing w:line="360" w:lineRule="auto"/>
        <w:jc w:val="both"/>
        <w:rPr>
          <w:rFonts w:ascii="Times New Roman" w:hAnsi="Times New Roman"/>
          <w:b w:val="0"/>
          <w:sz w:val="24"/>
          <w:szCs w:val="24"/>
        </w:rPr>
      </w:pPr>
      <w:r w:rsidRPr="00F97759">
        <w:rPr>
          <w:rFonts w:ascii="Times New Roman" w:hAnsi="Times New Roman"/>
          <w:b w:val="0"/>
          <w:sz w:val="24"/>
          <w:szCs w:val="24"/>
        </w:rPr>
        <w:t>Further, t</w:t>
      </w:r>
      <w:r w:rsidR="00A92DB0" w:rsidRPr="00F97759">
        <w:rPr>
          <w:rFonts w:ascii="Times New Roman" w:hAnsi="Times New Roman"/>
          <w:b w:val="0"/>
          <w:sz w:val="24"/>
          <w:szCs w:val="24"/>
        </w:rPr>
        <w:t xml:space="preserve">he Committee is encouraged by the Annual Performance Plans for </w:t>
      </w:r>
      <w:r w:rsidR="00792B1C" w:rsidRPr="00F97759">
        <w:rPr>
          <w:rFonts w:ascii="Times New Roman" w:hAnsi="Times New Roman"/>
          <w:b w:val="0"/>
          <w:sz w:val="24"/>
          <w:szCs w:val="24"/>
        </w:rPr>
        <w:t>2017/18</w:t>
      </w:r>
      <w:r w:rsidR="00A92DB0" w:rsidRPr="00F97759">
        <w:rPr>
          <w:rFonts w:ascii="Times New Roman" w:hAnsi="Times New Roman"/>
          <w:b w:val="0"/>
          <w:sz w:val="24"/>
          <w:szCs w:val="24"/>
        </w:rPr>
        <w:t xml:space="preserve"> of the Department of Cooperative Governance and Traditional Affairs, SALGA, CRL Rights Commission, MISA and MDB, and accordingly supports their implementation. </w:t>
      </w:r>
    </w:p>
    <w:p w14:paraId="190964CD" w14:textId="77777777" w:rsidR="00A92DB0" w:rsidRPr="00F97759" w:rsidRDefault="00A92DB0" w:rsidP="00F97759">
      <w:pPr>
        <w:pStyle w:val="Normalbold"/>
        <w:spacing w:line="360" w:lineRule="auto"/>
        <w:jc w:val="both"/>
        <w:rPr>
          <w:rFonts w:ascii="Times New Roman" w:hAnsi="Times New Roman"/>
          <w:b w:val="0"/>
          <w:sz w:val="24"/>
          <w:szCs w:val="24"/>
        </w:rPr>
      </w:pPr>
    </w:p>
    <w:p w14:paraId="186CDA40" w14:textId="77777777" w:rsidR="00A92DB0" w:rsidRPr="00F97759" w:rsidRDefault="00A92DB0" w:rsidP="00F97759">
      <w:pPr>
        <w:pStyle w:val="Normalbold"/>
        <w:spacing w:line="360" w:lineRule="auto"/>
        <w:jc w:val="both"/>
        <w:rPr>
          <w:rFonts w:ascii="Times New Roman" w:hAnsi="Times New Roman"/>
          <w:b w:val="0"/>
          <w:sz w:val="24"/>
          <w:szCs w:val="24"/>
        </w:rPr>
      </w:pPr>
      <w:r w:rsidRPr="00F97759">
        <w:rPr>
          <w:rFonts w:ascii="Times New Roman" w:hAnsi="Times New Roman"/>
          <w:b w:val="0"/>
          <w:sz w:val="24"/>
          <w:szCs w:val="24"/>
        </w:rPr>
        <w:t xml:space="preserve">The Committee recommends that the </w:t>
      </w:r>
      <w:r w:rsidR="0020586C" w:rsidRPr="00F97759">
        <w:rPr>
          <w:rFonts w:ascii="Times New Roman" w:hAnsi="Times New Roman"/>
          <w:b w:val="0"/>
          <w:sz w:val="24"/>
          <w:szCs w:val="24"/>
        </w:rPr>
        <w:t>2018/19</w:t>
      </w:r>
      <w:r w:rsidRPr="00F97759">
        <w:rPr>
          <w:rFonts w:ascii="Times New Roman" w:hAnsi="Times New Roman"/>
          <w:b w:val="0"/>
          <w:sz w:val="24"/>
          <w:szCs w:val="24"/>
        </w:rPr>
        <w:t xml:space="preserve"> budget allocation to the Department of Cooperative Governance and Traditional Affairs and its entities</w:t>
      </w:r>
      <w:r w:rsidR="002456A9" w:rsidRPr="00F97759">
        <w:rPr>
          <w:rFonts w:ascii="Times New Roman" w:hAnsi="Times New Roman"/>
          <w:b w:val="0"/>
          <w:sz w:val="24"/>
          <w:szCs w:val="24"/>
        </w:rPr>
        <w:t>,</w:t>
      </w:r>
      <w:r w:rsidRPr="00F97759">
        <w:rPr>
          <w:rFonts w:ascii="Times New Roman" w:hAnsi="Times New Roman"/>
          <w:b w:val="0"/>
          <w:sz w:val="24"/>
          <w:szCs w:val="24"/>
        </w:rPr>
        <w:t xml:space="preserve"> be approved. </w:t>
      </w:r>
    </w:p>
    <w:p w14:paraId="22FD918F" w14:textId="77777777" w:rsidR="00A92DB0" w:rsidRPr="00F97759" w:rsidRDefault="00A92DB0" w:rsidP="00F97759">
      <w:pPr>
        <w:pStyle w:val="Normalbold"/>
        <w:spacing w:line="360" w:lineRule="auto"/>
        <w:jc w:val="both"/>
        <w:rPr>
          <w:rFonts w:ascii="Times New Roman" w:hAnsi="Times New Roman"/>
          <w:b w:val="0"/>
          <w:sz w:val="24"/>
          <w:szCs w:val="24"/>
        </w:rPr>
      </w:pPr>
    </w:p>
    <w:p w14:paraId="74C5D949" w14:textId="77777777" w:rsidR="00A92DB0" w:rsidRPr="00F97759" w:rsidRDefault="00A92DB0" w:rsidP="00F97759">
      <w:pPr>
        <w:pStyle w:val="Normalbold"/>
        <w:spacing w:line="360" w:lineRule="auto"/>
        <w:jc w:val="both"/>
        <w:rPr>
          <w:rFonts w:ascii="Times New Roman" w:hAnsi="Times New Roman"/>
          <w:b w:val="0"/>
          <w:sz w:val="24"/>
          <w:szCs w:val="24"/>
        </w:rPr>
      </w:pPr>
      <w:r w:rsidRPr="00F97759">
        <w:rPr>
          <w:rFonts w:ascii="Times New Roman" w:hAnsi="Times New Roman"/>
          <w:b w:val="0"/>
          <w:sz w:val="24"/>
          <w:szCs w:val="24"/>
        </w:rPr>
        <w:t>Report to be considered.</w:t>
      </w:r>
    </w:p>
    <w:p w14:paraId="652DCA84" w14:textId="77777777" w:rsidR="00A92DB0" w:rsidRPr="00F97759" w:rsidRDefault="00A92DB0" w:rsidP="00F97759">
      <w:pPr>
        <w:spacing w:line="360" w:lineRule="auto"/>
        <w:rPr>
          <w:rFonts w:ascii="Times New Roman" w:hAnsi="Times New Roman" w:cs="Times New Roman"/>
          <w:sz w:val="24"/>
          <w:szCs w:val="24"/>
        </w:rPr>
      </w:pPr>
    </w:p>
    <w:p w14:paraId="28BF13AE" w14:textId="77777777" w:rsidR="00A92DB0" w:rsidRPr="00F97759" w:rsidRDefault="00A92DB0" w:rsidP="00F97759">
      <w:pPr>
        <w:spacing w:line="360" w:lineRule="auto"/>
        <w:rPr>
          <w:rFonts w:ascii="Times New Roman" w:hAnsi="Times New Roman" w:cs="Times New Roman"/>
          <w:sz w:val="24"/>
          <w:szCs w:val="24"/>
        </w:rPr>
      </w:pPr>
    </w:p>
    <w:sectPr w:rsidR="00A92DB0" w:rsidRPr="00F97759" w:rsidSect="005301EC">
      <w:headerReference w:type="default" r:id="rId19"/>
      <w:footerReference w:type="default" r:id="rId20"/>
      <w:footerReference w:type="first" r:id="rId21"/>
      <w:pgSz w:w="11906" w:h="16838"/>
      <w:pgMar w:top="1276"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9A97" w14:textId="77777777" w:rsidR="00010534" w:rsidRDefault="00010534" w:rsidP="00BE1544">
      <w:pPr>
        <w:spacing w:line="240" w:lineRule="auto"/>
      </w:pPr>
      <w:r>
        <w:separator/>
      </w:r>
    </w:p>
  </w:endnote>
  <w:endnote w:type="continuationSeparator" w:id="0">
    <w:p w14:paraId="0D356547" w14:textId="77777777" w:rsidR="00010534" w:rsidRDefault="00010534" w:rsidP="00BE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05262"/>
      <w:docPartObj>
        <w:docPartGallery w:val="Page Numbers (Bottom of Page)"/>
        <w:docPartUnique/>
      </w:docPartObj>
    </w:sdtPr>
    <w:sdtEndPr>
      <w:rPr>
        <w:noProof/>
      </w:rPr>
    </w:sdtEndPr>
    <w:sdtContent>
      <w:p w14:paraId="2064125A" w14:textId="77777777" w:rsidR="001D67A0" w:rsidRDefault="001D67A0">
        <w:pPr>
          <w:pStyle w:val="Footer"/>
          <w:jc w:val="right"/>
        </w:pPr>
        <w:r>
          <w:fldChar w:fldCharType="begin"/>
        </w:r>
        <w:r>
          <w:instrText xml:space="preserve"> PAGE   \* MERGEFORMAT </w:instrText>
        </w:r>
        <w:r>
          <w:fldChar w:fldCharType="separate"/>
        </w:r>
        <w:r w:rsidR="00DE40FE">
          <w:rPr>
            <w:noProof/>
          </w:rPr>
          <w:t>25</w:t>
        </w:r>
        <w:r>
          <w:rPr>
            <w:noProof/>
          </w:rPr>
          <w:fldChar w:fldCharType="end"/>
        </w:r>
      </w:p>
    </w:sdtContent>
  </w:sdt>
  <w:p w14:paraId="3A20C38A" w14:textId="77777777" w:rsidR="001D67A0" w:rsidRDefault="001D6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2593"/>
      <w:docPartObj>
        <w:docPartGallery w:val="Page Numbers (Bottom of Page)"/>
        <w:docPartUnique/>
      </w:docPartObj>
    </w:sdtPr>
    <w:sdtEndPr>
      <w:rPr>
        <w:noProof/>
      </w:rPr>
    </w:sdtEndPr>
    <w:sdtContent>
      <w:p w14:paraId="3E2EE9C1" w14:textId="77777777" w:rsidR="001D67A0" w:rsidRDefault="001D67A0">
        <w:pPr>
          <w:pStyle w:val="Footer"/>
          <w:jc w:val="right"/>
        </w:pPr>
        <w:r>
          <w:fldChar w:fldCharType="begin"/>
        </w:r>
        <w:r>
          <w:instrText xml:space="preserve"> PAGE   \* MERGEFORMAT </w:instrText>
        </w:r>
        <w:r>
          <w:fldChar w:fldCharType="separate"/>
        </w:r>
        <w:r w:rsidR="00DE40FE">
          <w:rPr>
            <w:noProof/>
          </w:rPr>
          <w:t>1</w:t>
        </w:r>
        <w:r>
          <w:rPr>
            <w:noProof/>
          </w:rPr>
          <w:fldChar w:fldCharType="end"/>
        </w:r>
      </w:p>
    </w:sdtContent>
  </w:sdt>
  <w:p w14:paraId="28CA67CF" w14:textId="77777777" w:rsidR="001D67A0" w:rsidRPr="00BE1544" w:rsidRDefault="001D67A0">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7366" w14:textId="77777777" w:rsidR="00010534" w:rsidRDefault="00010534" w:rsidP="00BE1544">
      <w:pPr>
        <w:spacing w:line="240" w:lineRule="auto"/>
      </w:pPr>
      <w:r>
        <w:separator/>
      </w:r>
    </w:p>
  </w:footnote>
  <w:footnote w:type="continuationSeparator" w:id="0">
    <w:p w14:paraId="7EBEF16A" w14:textId="77777777" w:rsidR="00010534" w:rsidRDefault="00010534" w:rsidP="00BE1544">
      <w:pPr>
        <w:spacing w:line="240" w:lineRule="auto"/>
      </w:pPr>
      <w:r>
        <w:continuationSeparator/>
      </w:r>
    </w:p>
  </w:footnote>
  <w:footnote w:id="1">
    <w:p w14:paraId="5246C9EC" w14:textId="77777777" w:rsidR="001D67A0" w:rsidRDefault="001D67A0" w:rsidP="00257116">
      <w:pPr>
        <w:pStyle w:val="FootnoteText"/>
      </w:pPr>
      <w:r>
        <w:rPr>
          <w:rStyle w:val="FootnoteReference"/>
        </w:rPr>
        <w:footnoteRef/>
      </w:r>
      <w:r>
        <w:t xml:space="preserve"> Parliament of RSA (2018). </w:t>
      </w:r>
    </w:p>
  </w:footnote>
  <w:footnote w:id="2">
    <w:p w14:paraId="00BD5647" w14:textId="77777777" w:rsidR="001D67A0" w:rsidRDefault="001D67A0" w:rsidP="00257116">
      <w:pPr>
        <w:pStyle w:val="FootnoteText"/>
      </w:pPr>
      <w:r>
        <w:rPr>
          <w:rStyle w:val="FootnoteReference"/>
        </w:rPr>
        <w:footnoteRef/>
      </w:r>
      <w:r>
        <w:t xml:space="preserve"> National Treasury (2018).</w:t>
      </w:r>
    </w:p>
  </w:footnote>
  <w:footnote w:id="3">
    <w:p w14:paraId="7AA398B6" w14:textId="77777777" w:rsidR="001D67A0" w:rsidRDefault="001D67A0" w:rsidP="00257116">
      <w:pPr>
        <w:pStyle w:val="FootnoteText"/>
      </w:pPr>
      <w:r>
        <w:rPr>
          <w:rStyle w:val="FootnoteReference"/>
        </w:rPr>
        <w:footnoteRef/>
      </w:r>
      <w:r>
        <w:t xml:space="preserve"> SA Government Online (2018).</w:t>
      </w:r>
    </w:p>
  </w:footnote>
  <w:footnote w:id="4">
    <w:p w14:paraId="712683CA" w14:textId="77777777" w:rsidR="001D67A0" w:rsidRDefault="001D67A0" w:rsidP="00A929CE">
      <w:pPr>
        <w:pStyle w:val="FootnoteText"/>
      </w:pPr>
      <w:r>
        <w:rPr>
          <w:rStyle w:val="FootnoteReference"/>
        </w:rPr>
        <w:footnoteRef/>
      </w:r>
      <w:r>
        <w:t xml:space="preserve"> Parliament of RSA (2018).</w:t>
      </w:r>
    </w:p>
    <w:p w14:paraId="6D9AC38E" w14:textId="77777777" w:rsidR="001D67A0" w:rsidRDefault="001D67A0" w:rsidP="00A929CE">
      <w:pPr>
        <w:pStyle w:val="FootnoteText"/>
      </w:pPr>
    </w:p>
    <w:p w14:paraId="654D236F" w14:textId="77777777" w:rsidR="001D67A0" w:rsidRDefault="001D67A0" w:rsidP="00A929CE">
      <w:pPr>
        <w:pStyle w:val="FootnoteText"/>
      </w:pPr>
    </w:p>
    <w:p w14:paraId="5B55351C" w14:textId="77777777" w:rsidR="001D67A0" w:rsidRDefault="001D67A0" w:rsidP="00A929CE">
      <w:pPr>
        <w:pStyle w:val="FootnoteText"/>
      </w:pPr>
    </w:p>
    <w:p w14:paraId="6EE36091" w14:textId="77777777" w:rsidR="001D67A0" w:rsidRDefault="001D67A0" w:rsidP="00A929CE">
      <w:pPr>
        <w:pStyle w:val="FootnoteText"/>
      </w:pPr>
    </w:p>
    <w:p w14:paraId="23FC7C02" w14:textId="77777777" w:rsidR="001D67A0" w:rsidRDefault="001D67A0" w:rsidP="00A929CE">
      <w:pPr>
        <w:pStyle w:val="FootnoteText"/>
      </w:pPr>
    </w:p>
    <w:p w14:paraId="282E30C5" w14:textId="77777777" w:rsidR="001D67A0" w:rsidRDefault="001D67A0" w:rsidP="00A929CE">
      <w:pPr>
        <w:pStyle w:val="FootnoteText"/>
      </w:pPr>
    </w:p>
  </w:footnote>
  <w:footnote w:id="5">
    <w:p w14:paraId="0F11B974" w14:textId="77777777" w:rsidR="001D67A0" w:rsidRDefault="001D67A0" w:rsidP="00A929CE">
      <w:pPr>
        <w:pStyle w:val="FootnoteText"/>
      </w:pPr>
      <w:r>
        <w:rPr>
          <w:rStyle w:val="FootnoteReference"/>
        </w:rPr>
        <w:footnoteRef/>
      </w:r>
      <w:r>
        <w:t xml:space="preserve"> FFC (2017).</w:t>
      </w:r>
    </w:p>
  </w:footnote>
  <w:footnote w:id="6">
    <w:p w14:paraId="36046059" w14:textId="77777777" w:rsidR="001D67A0" w:rsidRDefault="001D67A0" w:rsidP="00A929CE">
      <w:pPr>
        <w:pStyle w:val="FootnoteText"/>
      </w:pPr>
      <w:r>
        <w:rPr>
          <w:rStyle w:val="FootnoteReference"/>
        </w:rPr>
        <w:footnoteRef/>
      </w:r>
      <w:r>
        <w:t xml:space="preserve"> Department of Cooperative Governance and Traditional Affairs (2018).</w:t>
      </w:r>
    </w:p>
  </w:footnote>
  <w:footnote w:id="7">
    <w:p w14:paraId="60F0FB90" w14:textId="77777777" w:rsidR="001D67A0" w:rsidRDefault="001D67A0" w:rsidP="00A929CE">
      <w:pPr>
        <w:pStyle w:val="FootnoteText"/>
      </w:pPr>
      <w:r>
        <w:rPr>
          <w:rStyle w:val="FootnoteReference"/>
        </w:rPr>
        <w:footnoteRef/>
      </w:r>
      <w:r>
        <w:t xml:space="preserve"> MISA (2018).</w:t>
      </w:r>
    </w:p>
  </w:footnote>
  <w:footnote w:id="8">
    <w:p w14:paraId="17EFBD39" w14:textId="77777777" w:rsidR="001D67A0" w:rsidRDefault="001D67A0" w:rsidP="00A929CE">
      <w:pPr>
        <w:pStyle w:val="FootnoteText"/>
      </w:pPr>
      <w:r>
        <w:rPr>
          <w:rStyle w:val="FootnoteReference"/>
        </w:rPr>
        <w:footnoteRef/>
      </w:r>
      <w:r>
        <w:t xml:space="preserve"> Financial and Fiscal Commission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967C3" w14:textId="77777777" w:rsidR="001D67A0" w:rsidRDefault="001D67A0">
    <w:pPr>
      <w:pStyle w:val="Header"/>
    </w:pPr>
  </w:p>
  <w:p w14:paraId="570E5B83" w14:textId="77777777" w:rsidR="001D67A0" w:rsidRDefault="001D6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AC4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7406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1D4438"/>
    <w:multiLevelType w:val="multilevel"/>
    <w:tmpl w:val="BEEAB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9866B2"/>
    <w:multiLevelType w:val="hybridMultilevel"/>
    <w:tmpl w:val="5E2E8B6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D6C16E5"/>
    <w:multiLevelType w:val="multilevel"/>
    <w:tmpl w:val="11A685C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FA6194"/>
    <w:multiLevelType w:val="multilevel"/>
    <w:tmpl w:val="608089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DF4880"/>
    <w:multiLevelType w:val="multilevel"/>
    <w:tmpl w:val="5678CF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7DD38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F74A19"/>
    <w:multiLevelType w:val="multilevel"/>
    <w:tmpl w:val="CA26A24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6026D"/>
    <w:multiLevelType w:val="hybridMultilevel"/>
    <w:tmpl w:val="6826D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25498A"/>
    <w:multiLevelType w:val="hybridMultilevel"/>
    <w:tmpl w:val="E398D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7F5AEC"/>
    <w:multiLevelType w:val="hybridMultilevel"/>
    <w:tmpl w:val="05E2F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331089"/>
    <w:multiLevelType w:val="hybridMultilevel"/>
    <w:tmpl w:val="0B401A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9A670D8"/>
    <w:multiLevelType w:val="hybridMultilevel"/>
    <w:tmpl w:val="3FFAD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EF76EA3"/>
    <w:multiLevelType w:val="multilevel"/>
    <w:tmpl w:val="6D98DF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9D3CB7"/>
    <w:multiLevelType w:val="multilevel"/>
    <w:tmpl w:val="3FAE547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A323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7E3188"/>
    <w:multiLevelType w:val="hybridMultilevel"/>
    <w:tmpl w:val="DE4815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E516BE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93574F"/>
    <w:multiLevelType w:val="hybridMultilevel"/>
    <w:tmpl w:val="9A845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011E7F"/>
    <w:multiLevelType w:val="hybridMultilevel"/>
    <w:tmpl w:val="375C20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21792F"/>
    <w:multiLevelType w:val="hybridMultilevel"/>
    <w:tmpl w:val="5082DB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33B76D1"/>
    <w:multiLevelType w:val="hybridMultilevel"/>
    <w:tmpl w:val="E9248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5087D53"/>
    <w:multiLevelType w:val="hybridMultilevel"/>
    <w:tmpl w:val="2B720F70"/>
    <w:lvl w:ilvl="0" w:tplc="859E72A2">
      <w:start w:val="1"/>
      <w:numFmt w:val="lowerRoman"/>
      <w:lvlText w:val="(%1)"/>
      <w:lvlJc w:val="left"/>
      <w:pPr>
        <w:ind w:left="1056" w:hanging="72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24">
    <w:nsid w:val="457A1E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6721B8"/>
    <w:multiLevelType w:val="hybridMultilevel"/>
    <w:tmpl w:val="784A20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DD2570"/>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nsid w:val="561647AB"/>
    <w:multiLevelType w:val="hybridMultilevel"/>
    <w:tmpl w:val="4BA68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AD41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0136CD"/>
    <w:multiLevelType w:val="hybridMultilevel"/>
    <w:tmpl w:val="1FC630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C76624A"/>
    <w:multiLevelType w:val="hybridMultilevel"/>
    <w:tmpl w:val="AB988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CD17D60"/>
    <w:multiLevelType w:val="hybridMultilevel"/>
    <w:tmpl w:val="4EAC96E8"/>
    <w:lvl w:ilvl="0" w:tplc="0F7EC728">
      <w:start w:val="1"/>
      <w:numFmt w:val="bullet"/>
      <w:lvlText w:val="•"/>
      <w:lvlJc w:val="left"/>
      <w:pPr>
        <w:tabs>
          <w:tab w:val="num" w:pos="1080"/>
        </w:tabs>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1D97F37"/>
    <w:multiLevelType w:val="hybridMultilevel"/>
    <w:tmpl w:val="5EBE1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2A81F49"/>
    <w:multiLevelType w:val="hybridMultilevel"/>
    <w:tmpl w:val="CC3214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871BE3"/>
    <w:multiLevelType w:val="multilevel"/>
    <w:tmpl w:val="1FAA3F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E365D55"/>
    <w:multiLevelType w:val="hybridMultilevel"/>
    <w:tmpl w:val="9B9C2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0D6D0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96B5B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F6768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
  </w:num>
  <w:num w:numId="3">
    <w:abstractNumId w:val="27"/>
  </w:num>
  <w:num w:numId="4">
    <w:abstractNumId w:val="34"/>
  </w:num>
  <w:num w:numId="5">
    <w:abstractNumId w:val="25"/>
  </w:num>
  <w:num w:numId="6">
    <w:abstractNumId w:val="35"/>
  </w:num>
  <w:num w:numId="7">
    <w:abstractNumId w:val="26"/>
  </w:num>
  <w:num w:numId="8">
    <w:abstractNumId w:val="16"/>
  </w:num>
  <w:num w:numId="9">
    <w:abstractNumId w:val="3"/>
  </w:num>
  <w:num w:numId="10">
    <w:abstractNumId w:val="31"/>
  </w:num>
  <w:num w:numId="11">
    <w:abstractNumId w:val="11"/>
  </w:num>
  <w:num w:numId="12">
    <w:abstractNumId w:val="33"/>
  </w:num>
  <w:num w:numId="13">
    <w:abstractNumId w:val="41"/>
  </w:num>
  <w:num w:numId="14">
    <w:abstractNumId w:val="39"/>
  </w:num>
  <w:num w:numId="15">
    <w:abstractNumId w:val="7"/>
  </w:num>
  <w:num w:numId="16">
    <w:abstractNumId w:val="0"/>
  </w:num>
  <w:num w:numId="17">
    <w:abstractNumId w:val="12"/>
  </w:num>
  <w:num w:numId="18">
    <w:abstractNumId w:val="18"/>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32"/>
  </w:num>
  <w:num w:numId="24">
    <w:abstractNumId w:val="9"/>
  </w:num>
  <w:num w:numId="25">
    <w:abstractNumId w:val="23"/>
  </w:num>
  <w:num w:numId="26">
    <w:abstractNumId w:val="22"/>
  </w:num>
  <w:num w:numId="27">
    <w:abstractNumId w:val="17"/>
  </w:num>
  <w:num w:numId="28">
    <w:abstractNumId w:val="20"/>
  </w:num>
  <w:num w:numId="29">
    <w:abstractNumId w:val="29"/>
  </w:num>
  <w:num w:numId="30">
    <w:abstractNumId w:val="40"/>
  </w:num>
  <w:num w:numId="31">
    <w:abstractNumId w:val="1"/>
  </w:num>
  <w:num w:numId="32">
    <w:abstractNumId w:val="24"/>
  </w:num>
  <w:num w:numId="33">
    <w:abstractNumId w:val="42"/>
  </w:num>
  <w:num w:numId="34">
    <w:abstractNumId w:val="19"/>
  </w:num>
  <w:num w:numId="35">
    <w:abstractNumId w:val="30"/>
  </w:num>
  <w:num w:numId="36">
    <w:abstractNumId w:val="10"/>
  </w:num>
  <w:num w:numId="37">
    <w:abstractNumId w:val="28"/>
  </w:num>
  <w:num w:numId="38">
    <w:abstractNumId w:val="14"/>
  </w:num>
  <w:num w:numId="39">
    <w:abstractNumId w:val="8"/>
  </w:num>
  <w:num w:numId="40">
    <w:abstractNumId w:val="4"/>
  </w:num>
  <w:num w:numId="41">
    <w:abstractNumId w:val="36"/>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08"/>
    <w:rsid w:val="00010242"/>
    <w:rsid w:val="00010534"/>
    <w:rsid w:val="00011463"/>
    <w:rsid w:val="000206E6"/>
    <w:rsid w:val="00025B32"/>
    <w:rsid w:val="00027ABA"/>
    <w:rsid w:val="0003107C"/>
    <w:rsid w:val="00031B4B"/>
    <w:rsid w:val="00033C45"/>
    <w:rsid w:val="000438D4"/>
    <w:rsid w:val="00052B47"/>
    <w:rsid w:val="00053055"/>
    <w:rsid w:val="0006467F"/>
    <w:rsid w:val="000665E1"/>
    <w:rsid w:val="00081E88"/>
    <w:rsid w:val="000878A1"/>
    <w:rsid w:val="0009001D"/>
    <w:rsid w:val="00090105"/>
    <w:rsid w:val="000A046B"/>
    <w:rsid w:val="000C0B7D"/>
    <w:rsid w:val="000C0E43"/>
    <w:rsid w:val="000C11DE"/>
    <w:rsid w:val="000D54B7"/>
    <w:rsid w:val="000E026C"/>
    <w:rsid w:val="000E123B"/>
    <w:rsid w:val="000F3617"/>
    <w:rsid w:val="00107657"/>
    <w:rsid w:val="001152B8"/>
    <w:rsid w:val="00141A41"/>
    <w:rsid w:val="0014756D"/>
    <w:rsid w:val="00151C9B"/>
    <w:rsid w:val="001533E0"/>
    <w:rsid w:val="001622FE"/>
    <w:rsid w:val="00184D13"/>
    <w:rsid w:val="001A4A16"/>
    <w:rsid w:val="001A7923"/>
    <w:rsid w:val="001B5895"/>
    <w:rsid w:val="001B6F3B"/>
    <w:rsid w:val="001C13E5"/>
    <w:rsid w:val="001C57D1"/>
    <w:rsid w:val="001C62B3"/>
    <w:rsid w:val="001D2036"/>
    <w:rsid w:val="001D67A0"/>
    <w:rsid w:val="001E697F"/>
    <w:rsid w:val="002003FB"/>
    <w:rsid w:val="0020586C"/>
    <w:rsid w:val="002456A9"/>
    <w:rsid w:val="00252952"/>
    <w:rsid w:val="00253283"/>
    <w:rsid w:val="00257116"/>
    <w:rsid w:val="00264C9A"/>
    <w:rsid w:val="002726D6"/>
    <w:rsid w:val="002856FB"/>
    <w:rsid w:val="0029495D"/>
    <w:rsid w:val="002B7407"/>
    <w:rsid w:val="002C61AD"/>
    <w:rsid w:val="002D3515"/>
    <w:rsid w:val="002D6B6F"/>
    <w:rsid w:val="002D6EE7"/>
    <w:rsid w:val="002E38DE"/>
    <w:rsid w:val="002E594E"/>
    <w:rsid w:val="002E7C33"/>
    <w:rsid w:val="002F4176"/>
    <w:rsid w:val="00303AA2"/>
    <w:rsid w:val="0030558B"/>
    <w:rsid w:val="0031068F"/>
    <w:rsid w:val="0031278C"/>
    <w:rsid w:val="00312C9F"/>
    <w:rsid w:val="00314EE0"/>
    <w:rsid w:val="003210FE"/>
    <w:rsid w:val="00321A8E"/>
    <w:rsid w:val="00336804"/>
    <w:rsid w:val="003516DA"/>
    <w:rsid w:val="00357EF7"/>
    <w:rsid w:val="00380D2E"/>
    <w:rsid w:val="003878CA"/>
    <w:rsid w:val="0039257F"/>
    <w:rsid w:val="00393992"/>
    <w:rsid w:val="003939BE"/>
    <w:rsid w:val="003A023F"/>
    <w:rsid w:val="003A58AB"/>
    <w:rsid w:val="003B4F06"/>
    <w:rsid w:val="003B6CFE"/>
    <w:rsid w:val="003C2A3A"/>
    <w:rsid w:val="003D0C65"/>
    <w:rsid w:val="003E5504"/>
    <w:rsid w:val="003E653D"/>
    <w:rsid w:val="003F0F56"/>
    <w:rsid w:val="00400BA9"/>
    <w:rsid w:val="0040415A"/>
    <w:rsid w:val="0040540A"/>
    <w:rsid w:val="0041674B"/>
    <w:rsid w:val="00420B2A"/>
    <w:rsid w:val="00426EF5"/>
    <w:rsid w:val="004331DC"/>
    <w:rsid w:val="004540C6"/>
    <w:rsid w:val="00456574"/>
    <w:rsid w:val="00465BD0"/>
    <w:rsid w:val="00484905"/>
    <w:rsid w:val="004956C7"/>
    <w:rsid w:val="00497147"/>
    <w:rsid w:val="004A5232"/>
    <w:rsid w:val="004A58CC"/>
    <w:rsid w:val="004A79A3"/>
    <w:rsid w:val="004A7C33"/>
    <w:rsid w:val="004B08BD"/>
    <w:rsid w:val="004B3D99"/>
    <w:rsid w:val="004C3D58"/>
    <w:rsid w:val="004C62A2"/>
    <w:rsid w:val="004C7A39"/>
    <w:rsid w:val="004D119B"/>
    <w:rsid w:val="004D2C97"/>
    <w:rsid w:val="004D7091"/>
    <w:rsid w:val="004E4D6E"/>
    <w:rsid w:val="005028B1"/>
    <w:rsid w:val="00507C08"/>
    <w:rsid w:val="00516E36"/>
    <w:rsid w:val="005219B6"/>
    <w:rsid w:val="005301EC"/>
    <w:rsid w:val="00533124"/>
    <w:rsid w:val="00536AC7"/>
    <w:rsid w:val="005426B3"/>
    <w:rsid w:val="00544041"/>
    <w:rsid w:val="0054564D"/>
    <w:rsid w:val="00563629"/>
    <w:rsid w:val="00574C80"/>
    <w:rsid w:val="00577B5F"/>
    <w:rsid w:val="0058277E"/>
    <w:rsid w:val="00584999"/>
    <w:rsid w:val="00591CC2"/>
    <w:rsid w:val="005A4A82"/>
    <w:rsid w:val="005C61EB"/>
    <w:rsid w:val="005C6415"/>
    <w:rsid w:val="005D0863"/>
    <w:rsid w:val="005D5BB2"/>
    <w:rsid w:val="005E068D"/>
    <w:rsid w:val="005E0BE8"/>
    <w:rsid w:val="005E1608"/>
    <w:rsid w:val="005E47AE"/>
    <w:rsid w:val="005E4E06"/>
    <w:rsid w:val="005E6CBD"/>
    <w:rsid w:val="005F1EB6"/>
    <w:rsid w:val="006165E9"/>
    <w:rsid w:val="00624DC0"/>
    <w:rsid w:val="006264F8"/>
    <w:rsid w:val="00630950"/>
    <w:rsid w:val="006338C6"/>
    <w:rsid w:val="00642AE4"/>
    <w:rsid w:val="006552C8"/>
    <w:rsid w:val="00660581"/>
    <w:rsid w:val="006701EE"/>
    <w:rsid w:val="00682F82"/>
    <w:rsid w:val="0069053F"/>
    <w:rsid w:val="00694951"/>
    <w:rsid w:val="006A2D1E"/>
    <w:rsid w:val="006C5249"/>
    <w:rsid w:val="006D5B69"/>
    <w:rsid w:val="006E651F"/>
    <w:rsid w:val="006F18EB"/>
    <w:rsid w:val="006F3029"/>
    <w:rsid w:val="006F5E2B"/>
    <w:rsid w:val="007009E5"/>
    <w:rsid w:val="007023F0"/>
    <w:rsid w:val="00702E58"/>
    <w:rsid w:val="0071328E"/>
    <w:rsid w:val="0071795D"/>
    <w:rsid w:val="00727CDC"/>
    <w:rsid w:val="007339B2"/>
    <w:rsid w:val="00734366"/>
    <w:rsid w:val="007534C5"/>
    <w:rsid w:val="00754B02"/>
    <w:rsid w:val="00765FDF"/>
    <w:rsid w:val="00766A8E"/>
    <w:rsid w:val="00767507"/>
    <w:rsid w:val="00773833"/>
    <w:rsid w:val="00773E0B"/>
    <w:rsid w:val="00792B1C"/>
    <w:rsid w:val="00795C24"/>
    <w:rsid w:val="007A46CA"/>
    <w:rsid w:val="007B5C61"/>
    <w:rsid w:val="007C6F45"/>
    <w:rsid w:val="007D72CD"/>
    <w:rsid w:val="007E65AB"/>
    <w:rsid w:val="007F3FC3"/>
    <w:rsid w:val="007F68F7"/>
    <w:rsid w:val="00821014"/>
    <w:rsid w:val="00822A89"/>
    <w:rsid w:val="00841ECE"/>
    <w:rsid w:val="00843368"/>
    <w:rsid w:val="008514B2"/>
    <w:rsid w:val="0086174A"/>
    <w:rsid w:val="00862E18"/>
    <w:rsid w:val="0086316E"/>
    <w:rsid w:val="008647E3"/>
    <w:rsid w:val="00871A41"/>
    <w:rsid w:val="008803EA"/>
    <w:rsid w:val="00887D6C"/>
    <w:rsid w:val="00892F39"/>
    <w:rsid w:val="00893EE9"/>
    <w:rsid w:val="00896766"/>
    <w:rsid w:val="008A1185"/>
    <w:rsid w:val="008A55B4"/>
    <w:rsid w:val="008A6FCD"/>
    <w:rsid w:val="008B1836"/>
    <w:rsid w:val="008B2496"/>
    <w:rsid w:val="008B5890"/>
    <w:rsid w:val="008D5126"/>
    <w:rsid w:val="008E2A4D"/>
    <w:rsid w:val="008F7036"/>
    <w:rsid w:val="008F72A0"/>
    <w:rsid w:val="00902C97"/>
    <w:rsid w:val="00903458"/>
    <w:rsid w:val="00905FF3"/>
    <w:rsid w:val="00907C9D"/>
    <w:rsid w:val="00910CA1"/>
    <w:rsid w:val="009206C5"/>
    <w:rsid w:val="009320E4"/>
    <w:rsid w:val="00932770"/>
    <w:rsid w:val="00943651"/>
    <w:rsid w:val="00946608"/>
    <w:rsid w:val="009541D8"/>
    <w:rsid w:val="00961565"/>
    <w:rsid w:val="009638BA"/>
    <w:rsid w:val="009644FD"/>
    <w:rsid w:val="00982CB0"/>
    <w:rsid w:val="009A0908"/>
    <w:rsid w:val="009A2690"/>
    <w:rsid w:val="009B07BB"/>
    <w:rsid w:val="009C061E"/>
    <w:rsid w:val="009C2DFF"/>
    <w:rsid w:val="009C735D"/>
    <w:rsid w:val="009D2A23"/>
    <w:rsid w:val="009D2F1E"/>
    <w:rsid w:val="009D47EB"/>
    <w:rsid w:val="009E0C94"/>
    <w:rsid w:val="009E2D5D"/>
    <w:rsid w:val="009E7418"/>
    <w:rsid w:val="009E7F68"/>
    <w:rsid w:val="009F5447"/>
    <w:rsid w:val="009F547C"/>
    <w:rsid w:val="009F6E67"/>
    <w:rsid w:val="00A02125"/>
    <w:rsid w:val="00A03AF2"/>
    <w:rsid w:val="00A167C1"/>
    <w:rsid w:val="00A3596F"/>
    <w:rsid w:val="00A36201"/>
    <w:rsid w:val="00A370F0"/>
    <w:rsid w:val="00A50922"/>
    <w:rsid w:val="00A601C5"/>
    <w:rsid w:val="00A615F5"/>
    <w:rsid w:val="00A91469"/>
    <w:rsid w:val="00A91EC3"/>
    <w:rsid w:val="00A929CE"/>
    <w:rsid w:val="00A92DB0"/>
    <w:rsid w:val="00A93164"/>
    <w:rsid w:val="00AA0FCE"/>
    <w:rsid w:val="00AA5158"/>
    <w:rsid w:val="00AB4732"/>
    <w:rsid w:val="00AB62C3"/>
    <w:rsid w:val="00AB767A"/>
    <w:rsid w:val="00AC7007"/>
    <w:rsid w:val="00AD0A4E"/>
    <w:rsid w:val="00AD334F"/>
    <w:rsid w:val="00AD514E"/>
    <w:rsid w:val="00AE2107"/>
    <w:rsid w:val="00B060E1"/>
    <w:rsid w:val="00B13011"/>
    <w:rsid w:val="00B55A20"/>
    <w:rsid w:val="00B563E4"/>
    <w:rsid w:val="00B74B04"/>
    <w:rsid w:val="00B75590"/>
    <w:rsid w:val="00B8186C"/>
    <w:rsid w:val="00B8617D"/>
    <w:rsid w:val="00B9302E"/>
    <w:rsid w:val="00B9358E"/>
    <w:rsid w:val="00B93CFC"/>
    <w:rsid w:val="00B96368"/>
    <w:rsid w:val="00BA4D84"/>
    <w:rsid w:val="00BB2D2F"/>
    <w:rsid w:val="00BC0978"/>
    <w:rsid w:val="00BC26F5"/>
    <w:rsid w:val="00BC681E"/>
    <w:rsid w:val="00BD208E"/>
    <w:rsid w:val="00BE1544"/>
    <w:rsid w:val="00BE3BF7"/>
    <w:rsid w:val="00BE5505"/>
    <w:rsid w:val="00BF0DB7"/>
    <w:rsid w:val="00BF630B"/>
    <w:rsid w:val="00C011FB"/>
    <w:rsid w:val="00C1633E"/>
    <w:rsid w:val="00C216D2"/>
    <w:rsid w:val="00C36A89"/>
    <w:rsid w:val="00C4038C"/>
    <w:rsid w:val="00C4127D"/>
    <w:rsid w:val="00C44DB3"/>
    <w:rsid w:val="00C45CCE"/>
    <w:rsid w:val="00C509F4"/>
    <w:rsid w:val="00C629F5"/>
    <w:rsid w:val="00C851A8"/>
    <w:rsid w:val="00C85C03"/>
    <w:rsid w:val="00C95416"/>
    <w:rsid w:val="00C96C57"/>
    <w:rsid w:val="00CA0301"/>
    <w:rsid w:val="00CA7ACA"/>
    <w:rsid w:val="00CB2746"/>
    <w:rsid w:val="00CB6299"/>
    <w:rsid w:val="00CC6E1F"/>
    <w:rsid w:val="00CD0705"/>
    <w:rsid w:val="00CD1B9C"/>
    <w:rsid w:val="00CD579B"/>
    <w:rsid w:val="00CD7B9F"/>
    <w:rsid w:val="00D01C18"/>
    <w:rsid w:val="00D04076"/>
    <w:rsid w:val="00D05213"/>
    <w:rsid w:val="00D05445"/>
    <w:rsid w:val="00D1561D"/>
    <w:rsid w:val="00D323E9"/>
    <w:rsid w:val="00D439A3"/>
    <w:rsid w:val="00D47B66"/>
    <w:rsid w:val="00D561E8"/>
    <w:rsid w:val="00D569D5"/>
    <w:rsid w:val="00D56CFA"/>
    <w:rsid w:val="00D64DD8"/>
    <w:rsid w:val="00D67A56"/>
    <w:rsid w:val="00D70EB7"/>
    <w:rsid w:val="00D721A7"/>
    <w:rsid w:val="00D80C8C"/>
    <w:rsid w:val="00D979FD"/>
    <w:rsid w:val="00DB2C58"/>
    <w:rsid w:val="00DE40FE"/>
    <w:rsid w:val="00DE6F5A"/>
    <w:rsid w:val="00E0618F"/>
    <w:rsid w:val="00E27114"/>
    <w:rsid w:val="00E37A45"/>
    <w:rsid w:val="00E50264"/>
    <w:rsid w:val="00E532EA"/>
    <w:rsid w:val="00E55B9B"/>
    <w:rsid w:val="00E56A00"/>
    <w:rsid w:val="00E60474"/>
    <w:rsid w:val="00E61A00"/>
    <w:rsid w:val="00E70E3C"/>
    <w:rsid w:val="00E76F37"/>
    <w:rsid w:val="00E77636"/>
    <w:rsid w:val="00E800A7"/>
    <w:rsid w:val="00E903EF"/>
    <w:rsid w:val="00EC04C9"/>
    <w:rsid w:val="00ED06C2"/>
    <w:rsid w:val="00ED25B9"/>
    <w:rsid w:val="00ED63EC"/>
    <w:rsid w:val="00EF0652"/>
    <w:rsid w:val="00EF1ED3"/>
    <w:rsid w:val="00F02C73"/>
    <w:rsid w:val="00F1023D"/>
    <w:rsid w:val="00F110F6"/>
    <w:rsid w:val="00F14BC4"/>
    <w:rsid w:val="00F164BF"/>
    <w:rsid w:val="00F16919"/>
    <w:rsid w:val="00F21D5C"/>
    <w:rsid w:val="00F22178"/>
    <w:rsid w:val="00F27575"/>
    <w:rsid w:val="00F30FB3"/>
    <w:rsid w:val="00F33B4A"/>
    <w:rsid w:val="00F350C1"/>
    <w:rsid w:val="00F52269"/>
    <w:rsid w:val="00F529F5"/>
    <w:rsid w:val="00F53A06"/>
    <w:rsid w:val="00F67432"/>
    <w:rsid w:val="00F81CA5"/>
    <w:rsid w:val="00F97759"/>
    <w:rsid w:val="00FA7CC3"/>
    <w:rsid w:val="00FB7B41"/>
    <w:rsid w:val="00FB7D9B"/>
    <w:rsid w:val="00FB7F7D"/>
    <w:rsid w:val="00FC5234"/>
    <w:rsid w:val="00FC6360"/>
    <w:rsid w:val="00FD3CFA"/>
    <w:rsid w:val="00FF16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4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uiPriority w:val="99"/>
    <w:semiHidden/>
    <w:unhideWhenUsed/>
    <w:rsid w:val="00FB7B41"/>
    <w:pPr>
      <w:spacing w:line="240" w:lineRule="auto"/>
    </w:pPr>
    <w:rPr>
      <w:sz w:val="20"/>
      <w:szCs w:val="20"/>
    </w:rPr>
  </w:style>
  <w:style w:type="character" w:customStyle="1" w:styleId="FootnoteTextChar">
    <w:name w:val="Footnote Text Char"/>
    <w:basedOn w:val="DefaultParagraphFont"/>
    <w:link w:val="FootnoteText"/>
    <w:uiPriority w:val="99"/>
    <w:semiHidden/>
    <w:rsid w:val="00FB7B41"/>
    <w:rPr>
      <w:rFonts w:ascii="Arial" w:hAnsi="Arial"/>
      <w:sz w:val="20"/>
      <w:szCs w:val="20"/>
    </w:rPr>
  </w:style>
  <w:style w:type="character" w:styleId="FootnoteReference">
    <w:name w:val="footnote reference"/>
    <w:basedOn w:val="DefaultParagraphFont"/>
    <w:uiPriority w:val="99"/>
    <w:semiHidden/>
    <w:unhideWhenUsed/>
    <w:rsid w:val="00FB7B41"/>
    <w:rPr>
      <w:vertAlign w:val="superscript"/>
    </w:rPr>
  </w:style>
  <w:style w:type="paragraph" w:styleId="ListBullet">
    <w:name w:val="List Bullet"/>
    <w:basedOn w:val="Normal"/>
    <w:uiPriority w:val="99"/>
    <w:unhideWhenUsed/>
    <w:rsid w:val="00B96368"/>
    <w:pPr>
      <w:numPr>
        <w:numId w:val="16"/>
      </w:numPr>
      <w:contextualSpacing/>
    </w:pPr>
  </w:style>
  <w:style w:type="table" w:customStyle="1" w:styleId="TableGrid1">
    <w:name w:val="Table Grid1"/>
    <w:basedOn w:val="TableNormal"/>
    <w:next w:val="TableGrid"/>
    <w:uiPriority w:val="39"/>
    <w:rsid w:val="00E7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rsid w:val="00A92DB0"/>
    <w:pPr>
      <w:jc w:val="left"/>
    </w:pPr>
    <w:rPr>
      <w:rFonts w:eastAsia="Times New Roman" w:cs="Times New Roman"/>
      <w:b/>
      <w:color w:val="000000"/>
      <w:spacing w:val="6"/>
      <w:sz w:val="18"/>
      <w:szCs w:val="18"/>
      <w:lang w:val="en-GB" w:eastAsia="en-GB"/>
    </w:rPr>
  </w:style>
  <w:style w:type="paragraph" w:styleId="BalloonText">
    <w:name w:val="Balloon Text"/>
    <w:basedOn w:val="Normal"/>
    <w:link w:val="BalloonTextChar"/>
    <w:uiPriority w:val="99"/>
    <w:semiHidden/>
    <w:unhideWhenUsed/>
    <w:rsid w:val="00CD5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9B"/>
    <w:rPr>
      <w:rFonts w:ascii="Segoe UI" w:hAnsi="Segoe UI" w:cs="Segoe UI"/>
      <w:sz w:val="18"/>
      <w:szCs w:val="18"/>
    </w:rPr>
  </w:style>
  <w:style w:type="table" w:customStyle="1" w:styleId="GridTable1Light">
    <w:name w:val="Grid Table 1 Light"/>
    <w:basedOn w:val="TableNormal"/>
    <w:uiPriority w:val="46"/>
    <w:rsid w:val="002571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9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uiPriority w:val="99"/>
    <w:semiHidden/>
    <w:unhideWhenUsed/>
    <w:rsid w:val="00FB7B41"/>
    <w:pPr>
      <w:spacing w:line="240" w:lineRule="auto"/>
    </w:pPr>
    <w:rPr>
      <w:sz w:val="20"/>
      <w:szCs w:val="20"/>
    </w:rPr>
  </w:style>
  <w:style w:type="character" w:customStyle="1" w:styleId="FootnoteTextChar">
    <w:name w:val="Footnote Text Char"/>
    <w:basedOn w:val="DefaultParagraphFont"/>
    <w:link w:val="FootnoteText"/>
    <w:uiPriority w:val="99"/>
    <w:semiHidden/>
    <w:rsid w:val="00FB7B41"/>
    <w:rPr>
      <w:rFonts w:ascii="Arial" w:hAnsi="Arial"/>
      <w:sz w:val="20"/>
      <w:szCs w:val="20"/>
    </w:rPr>
  </w:style>
  <w:style w:type="character" w:styleId="FootnoteReference">
    <w:name w:val="footnote reference"/>
    <w:basedOn w:val="DefaultParagraphFont"/>
    <w:uiPriority w:val="99"/>
    <w:semiHidden/>
    <w:unhideWhenUsed/>
    <w:rsid w:val="00FB7B41"/>
    <w:rPr>
      <w:vertAlign w:val="superscript"/>
    </w:rPr>
  </w:style>
  <w:style w:type="paragraph" w:styleId="ListBullet">
    <w:name w:val="List Bullet"/>
    <w:basedOn w:val="Normal"/>
    <w:uiPriority w:val="99"/>
    <w:unhideWhenUsed/>
    <w:rsid w:val="00B96368"/>
    <w:pPr>
      <w:numPr>
        <w:numId w:val="16"/>
      </w:numPr>
      <w:contextualSpacing/>
    </w:pPr>
  </w:style>
  <w:style w:type="table" w:customStyle="1" w:styleId="TableGrid1">
    <w:name w:val="Table Grid1"/>
    <w:basedOn w:val="TableNormal"/>
    <w:next w:val="TableGrid"/>
    <w:uiPriority w:val="39"/>
    <w:rsid w:val="00E7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rsid w:val="00A92DB0"/>
    <w:pPr>
      <w:jc w:val="left"/>
    </w:pPr>
    <w:rPr>
      <w:rFonts w:eastAsia="Times New Roman" w:cs="Times New Roman"/>
      <w:b/>
      <w:color w:val="000000"/>
      <w:spacing w:val="6"/>
      <w:sz w:val="18"/>
      <w:szCs w:val="18"/>
      <w:lang w:val="en-GB" w:eastAsia="en-GB"/>
    </w:rPr>
  </w:style>
  <w:style w:type="paragraph" w:styleId="BalloonText">
    <w:name w:val="Balloon Text"/>
    <w:basedOn w:val="Normal"/>
    <w:link w:val="BalloonTextChar"/>
    <w:uiPriority w:val="99"/>
    <w:semiHidden/>
    <w:unhideWhenUsed/>
    <w:rsid w:val="00CD5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9B"/>
    <w:rPr>
      <w:rFonts w:ascii="Segoe UI" w:hAnsi="Segoe UI" w:cs="Segoe UI"/>
      <w:sz w:val="18"/>
      <w:szCs w:val="18"/>
    </w:rPr>
  </w:style>
  <w:style w:type="table" w:customStyle="1" w:styleId="GridTable1Light">
    <w:name w:val="Grid Table 1 Light"/>
    <w:basedOn w:val="TableNormal"/>
    <w:uiPriority w:val="46"/>
    <w:rsid w:val="002571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9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311">
      <w:bodyDiv w:val="1"/>
      <w:marLeft w:val="0"/>
      <w:marRight w:val="0"/>
      <w:marTop w:val="0"/>
      <w:marBottom w:val="0"/>
      <w:divBdr>
        <w:top w:val="none" w:sz="0" w:space="0" w:color="auto"/>
        <w:left w:val="none" w:sz="0" w:space="0" w:color="auto"/>
        <w:bottom w:val="none" w:sz="0" w:space="0" w:color="auto"/>
        <w:right w:val="none" w:sz="0" w:space="0" w:color="auto"/>
      </w:divBdr>
    </w:div>
    <w:div w:id="561139608">
      <w:bodyDiv w:val="1"/>
      <w:marLeft w:val="0"/>
      <w:marRight w:val="0"/>
      <w:marTop w:val="0"/>
      <w:marBottom w:val="0"/>
      <w:divBdr>
        <w:top w:val="none" w:sz="0" w:space="0" w:color="auto"/>
        <w:left w:val="none" w:sz="0" w:space="0" w:color="auto"/>
        <w:bottom w:val="none" w:sz="0" w:space="0" w:color="auto"/>
        <w:right w:val="none" w:sz="0" w:space="0" w:color="auto"/>
      </w:divBdr>
    </w:div>
    <w:div w:id="811362273">
      <w:bodyDiv w:val="1"/>
      <w:marLeft w:val="0"/>
      <w:marRight w:val="0"/>
      <w:marTop w:val="0"/>
      <w:marBottom w:val="0"/>
      <w:divBdr>
        <w:top w:val="none" w:sz="0" w:space="0" w:color="auto"/>
        <w:left w:val="none" w:sz="0" w:space="0" w:color="auto"/>
        <w:bottom w:val="none" w:sz="0" w:space="0" w:color="auto"/>
        <w:right w:val="none" w:sz="0" w:space="0" w:color="auto"/>
      </w:divBdr>
    </w:div>
    <w:div w:id="897670075">
      <w:bodyDiv w:val="1"/>
      <w:marLeft w:val="0"/>
      <w:marRight w:val="0"/>
      <w:marTop w:val="0"/>
      <w:marBottom w:val="0"/>
      <w:divBdr>
        <w:top w:val="none" w:sz="0" w:space="0" w:color="auto"/>
        <w:left w:val="none" w:sz="0" w:space="0" w:color="auto"/>
        <w:bottom w:val="none" w:sz="0" w:space="0" w:color="auto"/>
        <w:right w:val="none" w:sz="0" w:space="0" w:color="auto"/>
      </w:divBdr>
    </w:div>
    <w:div w:id="1066612264">
      <w:bodyDiv w:val="1"/>
      <w:marLeft w:val="0"/>
      <w:marRight w:val="0"/>
      <w:marTop w:val="0"/>
      <w:marBottom w:val="0"/>
      <w:divBdr>
        <w:top w:val="none" w:sz="0" w:space="0" w:color="auto"/>
        <w:left w:val="none" w:sz="0" w:space="0" w:color="auto"/>
        <w:bottom w:val="none" w:sz="0" w:space="0" w:color="auto"/>
        <w:right w:val="none" w:sz="0" w:space="0" w:color="auto"/>
      </w:divBdr>
    </w:div>
    <w:div w:id="1402942064">
      <w:bodyDiv w:val="1"/>
      <w:marLeft w:val="0"/>
      <w:marRight w:val="0"/>
      <w:marTop w:val="0"/>
      <w:marBottom w:val="0"/>
      <w:divBdr>
        <w:top w:val="none" w:sz="0" w:space="0" w:color="auto"/>
        <w:left w:val="none" w:sz="0" w:space="0" w:color="auto"/>
        <w:bottom w:val="none" w:sz="0" w:space="0" w:color="auto"/>
        <w:right w:val="none" w:sz="0" w:space="0" w:color="auto"/>
      </w:divBdr>
    </w:div>
    <w:div w:id="1701664991">
      <w:bodyDiv w:val="1"/>
      <w:marLeft w:val="0"/>
      <w:marRight w:val="0"/>
      <w:marTop w:val="0"/>
      <w:marBottom w:val="0"/>
      <w:divBdr>
        <w:top w:val="none" w:sz="0" w:space="0" w:color="auto"/>
        <w:left w:val="none" w:sz="0" w:space="0" w:color="auto"/>
        <w:bottom w:val="none" w:sz="0" w:space="0" w:color="auto"/>
        <w:right w:val="none" w:sz="0" w:space="0" w:color="auto"/>
      </w:divBdr>
    </w:div>
    <w:div w:id="19935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komani\Documents\GroupWise\Budget%20Analysis%2020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sokomani\AppData\Local\Microsoft\Windows\INetCache\Content.Outlook\DGB6UJCM\1.Budget%20%20Table%20for%20Publication%202018.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Cooperativ</a:t>
            </a:r>
            <a:r>
              <a:rPr lang="en-ZA" baseline="0"/>
              <a:t>e Governance and Traditional Affairs</a:t>
            </a:r>
            <a:endParaRPr lang="en-ZA"/>
          </a:p>
        </c:rich>
      </c:tx>
      <c:layout>
        <c:manualLayout>
          <c:xMode val="edge"/>
          <c:yMode val="edge"/>
          <c:x val="0.23972428175255639"/>
          <c:y val="3.258133683048737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input'!$B$3:$B$8</c:f>
              <c:numCache>
                <c:formatCode>###\ ###\ ##0.0</c:formatCode>
                <c:ptCount val="6"/>
                <c:pt idx="0">
                  <c:v>244.3</c:v>
                </c:pt>
                <c:pt idx="1">
                  <c:v>248.6</c:v>
                </c:pt>
                <c:pt idx="2">
                  <c:v>57373.1</c:v>
                </c:pt>
                <c:pt idx="3">
                  <c:v>548.1</c:v>
                </c:pt>
                <c:pt idx="4">
                  <c:v>16409.8</c:v>
                </c:pt>
                <c:pt idx="5">
                  <c:v>3640.1</c:v>
                </c:pt>
              </c:numCache>
            </c:numRef>
          </c:val>
          <c:extLst xmlns:c16r2="http://schemas.microsoft.com/office/drawing/2015/06/chart">
            <c:ext xmlns:c16="http://schemas.microsoft.com/office/drawing/2014/chart" uri="{C3380CC4-5D6E-409C-BE32-E72D297353CC}">
              <c16:uniqueId val="{00000000-69CF-4D48-8A98-9DAB6D994E4B}"/>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input'!$C$3:$C$8</c:f>
              <c:numCache>
                <c:formatCode>###\ ###\ ##0.0</c:formatCode>
                <c:ptCount val="6"/>
                <c:pt idx="0">
                  <c:v>258.60000000000002</c:v>
                </c:pt>
                <c:pt idx="1">
                  <c:v>103.5</c:v>
                </c:pt>
                <c:pt idx="2">
                  <c:v>63111.5</c:v>
                </c:pt>
                <c:pt idx="3">
                  <c:v>592.20000000000005</c:v>
                </c:pt>
                <c:pt idx="4">
                  <c:v>15716.2</c:v>
                </c:pt>
                <c:pt idx="5">
                  <c:v>3869.9</c:v>
                </c:pt>
              </c:numCache>
            </c:numRef>
          </c:val>
          <c:extLst xmlns:c16r2="http://schemas.microsoft.com/office/drawing/2015/06/chart">
            <c:ext xmlns:c16="http://schemas.microsoft.com/office/drawing/2014/chart" uri="{C3380CC4-5D6E-409C-BE32-E72D297353CC}">
              <c16:uniqueId val="{00000001-69CF-4D48-8A98-9DAB6D994E4B}"/>
            </c:ext>
          </c:extLst>
        </c:ser>
        <c:dLbls>
          <c:showLegendKey val="0"/>
          <c:showVal val="0"/>
          <c:showCatName val="0"/>
          <c:showSerName val="0"/>
          <c:showPercent val="0"/>
          <c:showBubbleSize val="0"/>
        </c:dLbls>
        <c:gapWidth val="150"/>
        <c:axId val="63735296"/>
        <c:axId val="63737216"/>
      </c:barChart>
      <c:catAx>
        <c:axId val="637352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3737216"/>
        <c:crosses val="autoZero"/>
        <c:auto val="1"/>
        <c:lblAlgn val="ctr"/>
        <c:lblOffset val="100"/>
        <c:tickLblSkip val="1"/>
        <c:tickMarkSkip val="1"/>
        <c:noMultiLvlLbl val="0"/>
      </c:catAx>
      <c:valAx>
        <c:axId val="6373721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3735296"/>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Administration</a:t>
            </a:r>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input'!$B$3:$B$8</c:f>
              <c:numCache>
                <c:formatCode>###\ ###\ ##0.0</c:formatCode>
                <c:ptCount val="6"/>
                <c:pt idx="0">
                  <c:v>26.7</c:v>
                </c:pt>
                <c:pt idx="1">
                  <c:v>18.3</c:v>
                </c:pt>
                <c:pt idx="2">
                  <c:v>104.9</c:v>
                </c:pt>
                <c:pt idx="3">
                  <c:v>36.4</c:v>
                </c:pt>
                <c:pt idx="4">
                  <c:v>16.5</c:v>
                </c:pt>
                <c:pt idx="5">
                  <c:v>41.6</c:v>
                </c:pt>
              </c:numCache>
            </c:numRef>
          </c:val>
          <c:extLst xmlns:c16r2="http://schemas.microsoft.com/office/drawing/2015/06/chart">
            <c:ext xmlns:c16="http://schemas.microsoft.com/office/drawing/2014/chart" uri="{C3380CC4-5D6E-409C-BE32-E72D297353CC}">
              <c16:uniqueId val="{00000000-ECC2-4FCE-BD76-AAD60606E4FB}"/>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input'!$C$3:$C$8</c:f>
              <c:numCache>
                <c:formatCode>###\ ###\ ##0.0</c:formatCode>
                <c:ptCount val="6"/>
                <c:pt idx="0">
                  <c:v>29.4</c:v>
                </c:pt>
                <c:pt idx="1">
                  <c:v>18.399999999999999</c:v>
                </c:pt>
                <c:pt idx="2">
                  <c:v>113.5</c:v>
                </c:pt>
                <c:pt idx="3">
                  <c:v>40.6</c:v>
                </c:pt>
                <c:pt idx="4">
                  <c:v>13.6</c:v>
                </c:pt>
                <c:pt idx="5">
                  <c:v>43</c:v>
                </c:pt>
              </c:numCache>
            </c:numRef>
          </c:val>
          <c:extLst xmlns:c16r2="http://schemas.microsoft.com/office/drawing/2015/06/chart">
            <c:ext xmlns:c16="http://schemas.microsoft.com/office/drawing/2014/chart" uri="{C3380CC4-5D6E-409C-BE32-E72D297353CC}">
              <c16:uniqueId val="{00000001-ECC2-4FCE-BD76-AAD60606E4FB}"/>
            </c:ext>
          </c:extLst>
        </c:ser>
        <c:dLbls>
          <c:showLegendKey val="0"/>
          <c:showVal val="0"/>
          <c:showCatName val="0"/>
          <c:showSerName val="0"/>
          <c:showPercent val="0"/>
          <c:showBubbleSize val="0"/>
        </c:dLbls>
        <c:gapWidth val="150"/>
        <c:axId val="67790336"/>
        <c:axId val="67792256"/>
      </c:barChart>
      <c:catAx>
        <c:axId val="6779033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92256"/>
        <c:crosses val="autoZero"/>
        <c:auto val="1"/>
        <c:lblAlgn val="ctr"/>
        <c:lblOffset val="100"/>
        <c:tickLblSkip val="1"/>
        <c:tickMarkSkip val="1"/>
        <c:noMultiLvlLbl val="0"/>
      </c:catAx>
      <c:valAx>
        <c:axId val="6779225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90336"/>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Regional</a:t>
            </a:r>
            <a:r>
              <a:rPr lang="en-ZA" baseline="0"/>
              <a:t> and Urban Development and Legislative Support</a:t>
            </a:r>
            <a:endParaRPr lang="en-ZA"/>
          </a:p>
        </c:rich>
      </c:tx>
      <c:layout>
        <c:manualLayout>
          <c:xMode val="edge"/>
          <c:yMode val="edge"/>
          <c:x val="0.25732328827830714"/>
          <c:y val="4.0090225252723828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input'!$B$3:$B$10</c:f>
              <c:numCache>
                <c:formatCode>###\ ###\ ##0.0</c:formatCode>
                <c:ptCount val="8"/>
                <c:pt idx="0">
                  <c:v>1.5</c:v>
                </c:pt>
                <c:pt idx="1">
                  <c:v>3.4</c:v>
                </c:pt>
                <c:pt idx="2">
                  <c:v>18.5</c:v>
                </c:pt>
                <c:pt idx="3">
                  <c:v>12.4</c:v>
                </c:pt>
                <c:pt idx="4">
                  <c:v>8.3000000000000007</c:v>
                </c:pt>
                <c:pt idx="5">
                  <c:v>139.69999999999999</c:v>
                </c:pt>
                <c:pt idx="6">
                  <c:v>57.6</c:v>
                </c:pt>
                <c:pt idx="7">
                  <c:v>7</c:v>
                </c:pt>
              </c:numCache>
            </c:numRef>
          </c:val>
          <c:extLst xmlns:c16r2="http://schemas.microsoft.com/office/drawing/2015/06/chart">
            <c:ext xmlns:c16="http://schemas.microsoft.com/office/drawing/2014/chart" uri="{C3380CC4-5D6E-409C-BE32-E72D297353CC}">
              <c16:uniqueId val="{00000000-8A37-4EA6-94D0-6D068B39A1D4}"/>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input'!$C$3:$C$10</c:f>
              <c:numCache>
                <c:formatCode>###\ ###\ ##0.0</c:formatCode>
                <c:ptCount val="8"/>
                <c:pt idx="0">
                  <c:v>3.4</c:v>
                </c:pt>
                <c:pt idx="1">
                  <c:v>6.3</c:v>
                </c:pt>
                <c:pt idx="2">
                  <c:v>10.6</c:v>
                </c:pt>
                <c:pt idx="3">
                  <c:v>11.5</c:v>
                </c:pt>
                <c:pt idx="4">
                  <c:v>10.7</c:v>
                </c:pt>
                <c:pt idx="5">
                  <c:v>0</c:v>
                </c:pt>
                <c:pt idx="6">
                  <c:v>53.6</c:v>
                </c:pt>
                <c:pt idx="7">
                  <c:v>7.4</c:v>
                </c:pt>
              </c:numCache>
            </c:numRef>
          </c:val>
          <c:extLst xmlns:c16r2="http://schemas.microsoft.com/office/drawing/2015/06/chart">
            <c:ext xmlns:c16="http://schemas.microsoft.com/office/drawing/2014/chart" uri="{C3380CC4-5D6E-409C-BE32-E72D297353CC}">
              <c16:uniqueId val="{00000001-8A37-4EA6-94D0-6D068B39A1D4}"/>
            </c:ext>
          </c:extLst>
        </c:ser>
        <c:dLbls>
          <c:showLegendKey val="0"/>
          <c:showVal val="0"/>
          <c:showCatName val="0"/>
          <c:showSerName val="0"/>
          <c:showPercent val="0"/>
          <c:showBubbleSize val="0"/>
        </c:dLbls>
        <c:gapWidth val="150"/>
        <c:axId val="67827200"/>
        <c:axId val="67829120"/>
      </c:barChart>
      <c:catAx>
        <c:axId val="678272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829120"/>
        <c:crosses val="autoZero"/>
        <c:auto val="1"/>
        <c:lblAlgn val="ctr"/>
        <c:lblOffset val="100"/>
        <c:tickLblSkip val="1"/>
        <c:tickMarkSkip val="1"/>
        <c:noMultiLvlLbl val="0"/>
      </c:catAx>
      <c:valAx>
        <c:axId val="6782912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827200"/>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Institutional</a:t>
            </a:r>
            <a:r>
              <a:rPr lang="en-ZA" baseline="0"/>
              <a:t> Development</a:t>
            </a:r>
            <a:endParaRPr lang="en-ZA"/>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input'!$B$3:$B$13</c:f>
              <c:numCache>
                <c:formatCode>###\ ###\ ##0.0</c:formatCode>
                <c:ptCount val="11"/>
                <c:pt idx="0">
                  <c:v>2.6</c:v>
                </c:pt>
                <c:pt idx="1">
                  <c:v>8.8000000000000007</c:v>
                </c:pt>
                <c:pt idx="2">
                  <c:v>28.8</c:v>
                </c:pt>
                <c:pt idx="3">
                  <c:v>7.9</c:v>
                </c:pt>
                <c:pt idx="4">
                  <c:v>5.3</c:v>
                </c:pt>
                <c:pt idx="5">
                  <c:v>8.3000000000000007</c:v>
                </c:pt>
                <c:pt idx="6">
                  <c:v>57012.1</c:v>
                </c:pt>
                <c:pt idx="7">
                  <c:v>31.3</c:v>
                </c:pt>
                <c:pt idx="8">
                  <c:v>103.2</c:v>
                </c:pt>
                <c:pt idx="9">
                  <c:v>152.5</c:v>
                </c:pt>
                <c:pt idx="10">
                  <c:v>12.2</c:v>
                </c:pt>
              </c:numCache>
            </c:numRef>
          </c:val>
          <c:extLst xmlns:c16r2="http://schemas.microsoft.com/office/drawing/2015/06/chart">
            <c:ext xmlns:c16="http://schemas.microsoft.com/office/drawing/2014/chart" uri="{C3380CC4-5D6E-409C-BE32-E72D297353CC}">
              <c16:uniqueId val="{00000000-979D-4B0C-97A3-F24C5B2F3245}"/>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input'!$C$3:$C$13</c:f>
              <c:numCache>
                <c:formatCode>###\ ###\ ##0.0</c:formatCode>
                <c:ptCount val="11"/>
                <c:pt idx="0">
                  <c:v>3.5</c:v>
                </c:pt>
                <c:pt idx="1">
                  <c:v>10.199999999999999</c:v>
                </c:pt>
                <c:pt idx="2">
                  <c:v>33.1</c:v>
                </c:pt>
                <c:pt idx="3">
                  <c:v>7.3</c:v>
                </c:pt>
                <c:pt idx="4">
                  <c:v>5.5</c:v>
                </c:pt>
                <c:pt idx="5">
                  <c:v>12</c:v>
                </c:pt>
                <c:pt idx="6">
                  <c:v>62731.8</c:v>
                </c:pt>
                <c:pt idx="7">
                  <c:v>33.1</c:v>
                </c:pt>
                <c:pt idx="8">
                  <c:v>115.1</c:v>
                </c:pt>
                <c:pt idx="9">
                  <c:v>153.30000000000001</c:v>
                </c:pt>
                <c:pt idx="10">
                  <c:v>6.8</c:v>
                </c:pt>
              </c:numCache>
            </c:numRef>
          </c:val>
          <c:extLst xmlns:c16r2="http://schemas.microsoft.com/office/drawing/2015/06/chart">
            <c:ext xmlns:c16="http://schemas.microsoft.com/office/drawing/2014/chart" uri="{C3380CC4-5D6E-409C-BE32-E72D297353CC}">
              <c16:uniqueId val="{00000001-979D-4B0C-97A3-F24C5B2F3245}"/>
            </c:ext>
          </c:extLst>
        </c:ser>
        <c:dLbls>
          <c:showLegendKey val="0"/>
          <c:showVal val="0"/>
          <c:showCatName val="0"/>
          <c:showSerName val="0"/>
          <c:showPercent val="0"/>
          <c:showBubbleSize val="0"/>
        </c:dLbls>
        <c:gapWidth val="150"/>
        <c:axId val="74815744"/>
        <c:axId val="74740096"/>
      </c:barChart>
      <c:catAx>
        <c:axId val="748157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740096"/>
        <c:crosses val="autoZero"/>
        <c:auto val="1"/>
        <c:lblAlgn val="ctr"/>
        <c:lblOffset val="100"/>
        <c:tickLblSkip val="1"/>
        <c:tickMarkSkip val="1"/>
        <c:noMultiLvlLbl val="0"/>
      </c:catAx>
      <c:valAx>
        <c:axId val="7474009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815744"/>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National</a:t>
            </a:r>
            <a:r>
              <a:rPr lang="en-ZA" baseline="0"/>
              <a:t> Disaster Management Centre</a:t>
            </a:r>
            <a:endParaRPr lang="en-ZA"/>
          </a:p>
        </c:rich>
      </c:tx>
      <c:layout>
        <c:manualLayout>
          <c:xMode val="edge"/>
          <c:yMode val="edge"/>
          <c:x val="0.3078420869892925"/>
          <c:y val="4.0090225252723828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input'!$B$3:$B$10</c:f>
              <c:numCache>
                <c:formatCode>###\ ###\ ##0.0</c:formatCode>
                <c:ptCount val="8"/>
                <c:pt idx="0">
                  <c:v>3.7</c:v>
                </c:pt>
                <c:pt idx="1">
                  <c:v>53.4</c:v>
                </c:pt>
                <c:pt idx="2">
                  <c:v>6</c:v>
                </c:pt>
                <c:pt idx="3">
                  <c:v>4.3</c:v>
                </c:pt>
                <c:pt idx="4">
                  <c:v>3.4</c:v>
                </c:pt>
                <c:pt idx="5">
                  <c:v>27.5</c:v>
                </c:pt>
                <c:pt idx="6">
                  <c:v>423.7</c:v>
                </c:pt>
                <c:pt idx="7">
                  <c:v>26.1</c:v>
                </c:pt>
              </c:numCache>
            </c:numRef>
          </c:val>
          <c:extLst xmlns:c16r2="http://schemas.microsoft.com/office/drawing/2015/06/chart">
            <c:ext xmlns:c16="http://schemas.microsoft.com/office/drawing/2014/chart" uri="{C3380CC4-5D6E-409C-BE32-E72D297353CC}">
              <c16:uniqueId val="{00000000-B719-4F72-AA1B-714AD4846A42}"/>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input'!$C$3:$C$10</c:f>
              <c:numCache>
                <c:formatCode>###\ ###\ ##0.0</c:formatCode>
                <c:ptCount val="8"/>
                <c:pt idx="0">
                  <c:v>3.8</c:v>
                </c:pt>
                <c:pt idx="1">
                  <c:v>52.9</c:v>
                </c:pt>
                <c:pt idx="2">
                  <c:v>6.4</c:v>
                </c:pt>
                <c:pt idx="3">
                  <c:v>4.5</c:v>
                </c:pt>
                <c:pt idx="4">
                  <c:v>3.5</c:v>
                </c:pt>
                <c:pt idx="5">
                  <c:v>27</c:v>
                </c:pt>
                <c:pt idx="6">
                  <c:v>472.9</c:v>
                </c:pt>
                <c:pt idx="7">
                  <c:v>21.3</c:v>
                </c:pt>
              </c:numCache>
            </c:numRef>
          </c:val>
          <c:extLst xmlns:c16r2="http://schemas.microsoft.com/office/drawing/2015/06/chart">
            <c:ext xmlns:c16="http://schemas.microsoft.com/office/drawing/2014/chart" uri="{C3380CC4-5D6E-409C-BE32-E72D297353CC}">
              <c16:uniqueId val="{00000001-B719-4F72-AA1B-714AD4846A42}"/>
            </c:ext>
          </c:extLst>
        </c:ser>
        <c:dLbls>
          <c:showLegendKey val="0"/>
          <c:showVal val="0"/>
          <c:showCatName val="0"/>
          <c:showSerName val="0"/>
          <c:showPercent val="0"/>
          <c:showBubbleSize val="0"/>
        </c:dLbls>
        <c:gapWidth val="150"/>
        <c:axId val="74755456"/>
        <c:axId val="75179520"/>
      </c:barChart>
      <c:catAx>
        <c:axId val="747554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179520"/>
        <c:crosses val="autoZero"/>
        <c:auto val="1"/>
        <c:lblAlgn val="ctr"/>
        <c:lblOffset val="100"/>
        <c:tickLblSkip val="1"/>
        <c:tickMarkSkip val="1"/>
        <c:noMultiLvlLbl val="0"/>
      </c:catAx>
      <c:valAx>
        <c:axId val="7517952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755456"/>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Local</a:t>
            </a:r>
            <a:r>
              <a:rPr lang="en-ZA" baseline="0"/>
              <a:t> Government Support and Intervention Management</a:t>
            </a:r>
            <a:endParaRPr lang="en-ZA"/>
          </a:p>
        </c:rich>
      </c:tx>
      <c:layout>
        <c:manualLayout>
          <c:xMode val="edge"/>
          <c:yMode val="edge"/>
          <c:x val="0.24799468202969197"/>
          <c:y val="6.2616975768961858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input'!$B$3:$B$9</c:f>
              <c:numCache>
                <c:formatCode>###\ ###\ ##0.0</c:formatCode>
                <c:ptCount val="7"/>
                <c:pt idx="0">
                  <c:v>3.3</c:v>
                </c:pt>
                <c:pt idx="1">
                  <c:v>58.8</c:v>
                </c:pt>
                <c:pt idx="2">
                  <c:v>26.5</c:v>
                </c:pt>
                <c:pt idx="3">
                  <c:v>12.4</c:v>
                </c:pt>
                <c:pt idx="4">
                  <c:v>36.1</c:v>
                </c:pt>
                <c:pt idx="5">
                  <c:v>15891.3</c:v>
                </c:pt>
                <c:pt idx="6">
                  <c:v>381.5</c:v>
                </c:pt>
              </c:numCache>
            </c:numRef>
          </c:val>
          <c:extLst xmlns:c16r2="http://schemas.microsoft.com/office/drawing/2015/06/chart">
            <c:ext xmlns:c16="http://schemas.microsoft.com/office/drawing/2014/chart" uri="{C3380CC4-5D6E-409C-BE32-E72D297353CC}">
              <c16:uniqueId val="{00000000-21B9-4173-BBB6-2C37A8FD611C}"/>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input'!$C$3:$C$9</c:f>
              <c:numCache>
                <c:formatCode>###\ ###\ ##0.0</c:formatCode>
                <c:ptCount val="7"/>
                <c:pt idx="0">
                  <c:v>3.5</c:v>
                </c:pt>
                <c:pt idx="1">
                  <c:v>11.1</c:v>
                </c:pt>
                <c:pt idx="2">
                  <c:v>26</c:v>
                </c:pt>
                <c:pt idx="3">
                  <c:v>8</c:v>
                </c:pt>
                <c:pt idx="4">
                  <c:v>37.4</c:v>
                </c:pt>
                <c:pt idx="5">
                  <c:v>15287.7</c:v>
                </c:pt>
                <c:pt idx="6">
                  <c:v>342.5</c:v>
                </c:pt>
              </c:numCache>
            </c:numRef>
          </c:val>
          <c:extLst xmlns:c16r2="http://schemas.microsoft.com/office/drawing/2015/06/chart">
            <c:ext xmlns:c16="http://schemas.microsoft.com/office/drawing/2014/chart" uri="{C3380CC4-5D6E-409C-BE32-E72D297353CC}">
              <c16:uniqueId val="{00000001-21B9-4173-BBB6-2C37A8FD611C}"/>
            </c:ext>
          </c:extLst>
        </c:ser>
        <c:dLbls>
          <c:showLegendKey val="0"/>
          <c:showVal val="0"/>
          <c:showCatName val="0"/>
          <c:showSerName val="0"/>
          <c:showPercent val="0"/>
          <c:showBubbleSize val="0"/>
        </c:dLbls>
        <c:gapWidth val="150"/>
        <c:axId val="75222016"/>
        <c:axId val="75228288"/>
      </c:barChart>
      <c:catAx>
        <c:axId val="752220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228288"/>
        <c:crosses val="autoZero"/>
        <c:auto val="1"/>
        <c:lblAlgn val="ctr"/>
        <c:lblOffset val="100"/>
        <c:tickLblSkip val="1"/>
        <c:tickMarkSkip val="1"/>
        <c:noMultiLvlLbl val="0"/>
      </c:catAx>
      <c:valAx>
        <c:axId val="7522828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222016"/>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Community</a:t>
            </a:r>
            <a:r>
              <a:rPr lang="en-ZA" baseline="0"/>
              <a:t> Work Programme</a:t>
            </a:r>
            <a:endParaRPr lang="en-ZA"/>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input'!$B$3:$B$5</c:f>
              <c:numCache>
                <c:formatCode>###\ ###\ ##0.0</c:formatCode>
                <c:ptCount val="3"/>
                <c:pt idx="0">
                  <c:v>3587.2</c:v>
                </c:pt>
                <c:pt idx="1">
                  <c:v>40.4</c:v>
                </c:pt>
                <c:pt idx="2">
                  <c:v>12.5</c:v>
                </c:pt>
              </c:numCache>
            </c:numRef>
          </c:val>
          <c:extLst xmlns:c16r2="http://schemas.microsoft.com/office/drawing/2015/06/chart">
            <c:ext xmlns:c16="http://schemas.microsoft.com/office/drawing/2014/chart" uri="{C3380CC4-5D6E-409C-BE32-E72D297353CC}">
              <c16:uniqueId val="{00000000-2502-4384-BEF9-51097FC1154C}"/>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input'!$C$3:$C$5</c:f>
              <c:numCache>
                <c:formatCode>###\ ###\ ##0.0</c:formatCode>
                <c:ptCount val="3"/>
                <c:pt idx="0">
                  <c:v>3814.1</c:v>
                </c:pt>
                <c:pt idx="1">
                  <c:v>42.6</c:v>
                </c:pt>
                <c:pt idx="2">
                  <c:v>13.2</c:v>
                </c:pt>
              </c:numCache>
            </c:numRef>
          </c:val>
          <c:extLst xmlns:c16r2="http://schemas.microsoft.com/office/drawing/2015/06/chart">
            <c:ext xmlns:c16="http://schemas.microsoft.com/office/drawing/2014/chart" uri="{C3380CC4-5D6E-409C-BE32-E72D297353CC}">
              <c16:uniqueId val="{00000001-2502-4384-BEF9-51097FC1154C}"/>
            </c:ext>
          </c:extLst>
        </c:ser>
        <c:dLbls>
          <c:showLegendKey val="0"/>
          <c:showVal val="0"/>
          <c:showCatName val="0"/>
          <c:showSerName val="0"/>
          <c:showPercent val="0"/>
          <c:showBubbleSize val="0"/>
        </c:dLbls>
        <c:gapWidth val="150"/>
        <c:axId val="85871616"/>
        <c:axId val="85886080"/>
      </c:barChart>
      <c:catAx>
        <c:axId val="858716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5886080"/>
        <c:crosses val="autoZero"/>
        <c:auto val="1"/>
        <c:lblAlgn val="ctr"/>
        <c:lblOffset val="100"/>
        <c:tickLblSkip val="1"/>
        <c:tickMarkSkip val="1"/>
        <c:noMultiLvlLbl val="0"/>
      </c:catAx>
      <c:valAx>
        <c:axId val="8588608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5871616"/>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Department</a:t>
            </a:r>
            <a:r>
              <a:rPr lang="en-ZA" baseline="0"/>
              <a:t> of Traditional Affairs</a:t>
            </a:r>
            <a:endParaRPr lang="en-ZA"/>
          </a:p>
        </c:rich>
      </c:tx>
      <c:layout>
        <c:manualLayout>
          <c:xMode val="edge"/>
          <c:yMode val="edge"/>
          <c:x val="0.31005790795095878"/>
          <c:y val="3.2581308413977821E-2"/>
        </c:manualLayout>
      </c:layout>
      <c:overlay val="0"/>
      <c:spPr>
        <a:noFill/>
        <a:ln w="25400">
          <a:noFill/>
        </a:ln>
      </c:spPr>
    </c:title>
    <c:autoTitleDeleted val="0"/>
    <c:plotArea>
      <c:layout>
        <c:manualLayout>
          <c:layoutTarget val="inner"/>
          <c:xMode val="edge"/>
          <c:yMode val="edge"/>
          <c:x val="0.1205342047732622"/>
          <c:y val="0.16040140186156099"/>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input'!$B$3:$B$5</c:f>
              <c:numCache>
                <c:formatCode>###\ ###\ ##0.0</c:formatCode>
                <c:ptCount val="3"/>
                <c:pt idx="0">
                  <c:v>43.3</c:v>
                </c:pt>
                <c:pt idx="1">
                  <c:v>16.600000000000001</c:v>
                </c:pt>
                <c:pt idx="2">
                  <c:v>92.6</c:v>
                </c:pt>
              </c:numCache>
            </c:numRef>
          </c:val>
          <c:extLst xmlns:c16r2="http://schemas.microsoft.com/office/drawing/2015/06/chart">
            <c:ext xmlns:c16="http://schemas.microsoft.com/office/drawing/2014/chart" uri="{C3380CC4-5D6E-409C-BE32-E72D297353CC}">
              <c16:uniqueId val="{00000000-600D-4169-A694-8379C4BD02A3}"/>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input'!$C$3:$C$5</c:f>
              <c:numCache>
                <c:formatCode>###\ ###\ ##0.0</c:formatCode>
                <c:ptCount val="3"/>
                <c:pt idx="0">
                  <c:v>45.5</c:v>
                </c:pt>
                <c:pt idx="1">
                  <c:v>16.600000000000001</c:v>
                </c:pt>
                <c:pt idx="2">
                  <c:v>91.1</c:v>
                </c:pt>
              </c:numCache>
            </c:numRef>
          </c:val>
          <c:extLst xmlns:c16r2="http://schemas.microsoft.com/office/drawing/2015/06/chart">
            <c:ext xmlns:c16="http://schemas.microsoft.com/office/drawing/2014/chart" uri="{C3380CC4-5D6E-409C-BE32-E72D297353CC}">
              <c16:uniqueId val="{00000001-600D-4169-A694-8379C4BD02A3}"/>
            </c:ext>
          </c:extLst>
        </c:ser>
        <c:dLbls>
          <c:showLegendKey val="0"/>
          <c:showVal val="0"/>
          <c:showCatName val="0"/>
          <c:showSerName val="0"/>
          <c:showPercent val="0"/>
          <c:showBubbleSize val="0"/>
        </c:dLbls>
        <c:gapWidth val="150"/>
        <c:axId val="85912960"/>
        <c:axId val="85997056"/>
      </c:barChart>
      <c:catAx>
        <c:axId val="859129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5997056"/>
        <c:crosses val="autoZero"/>
        <c:auto val="1"/>
        <c:lblAlgn val="ctr"/>
        <c:lblOffset val="100"/>
        <c:tickLblSkip val="1"/>
        <c:tickMarkSkip val="1"/>
        <c:noMultiLvlLbl val="0"/>
      </c:catAx>
      <c:valAx>
        <c:axId val="8599705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5912960"/>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ZA"/>
              <a:t>Institutional</a:t>
            </a:r>
            <a:r>
              <a:rPr lang="en-ZA" baseline="0"/>
              <a:t> Support and Coordination</a:t>
            </a:r>
            <a:endParaRPr lang="en-ZA"/>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6.5138680731604767E-2"/>
          <c:y val="0.14162910976469598"/>
          <c:w val="0.78402423494723883"/>
          <c:h val="0.68170592914397599"/>
        </c:manualLayout>
      </c:layout>
      <c:barChart>
        <c:barDir val="col"/>
        <c:grouping val="clustered"/>
        <c:varyColors val="0"/>
        <c:ser>
          <c:idx val="0"/>
          <c:order val="0"/>
          <c:tx>
            <c:strRef>
              <c:f>'Data input'!$B$2</c:f>
              <c:strCache>
                <c:ptCount val="1"/>
                <c:pt idx="0">
                  <c:v>2017/18</c:v>
                </c:pt>
              </c:strCache>
            </c:strRef>
          </c:tx>
          <c:spPr>
            <a:solidFill>
              <a:srgbClr val="9999FF"/>
            </a:solidFill>
            <a:ln w="12700">
              <a:solidFill>
                <a:srgbClr val="000000"/>
              </a:solidFill>
              <a:prstDash val="solid"/>
            </a:ln>
          </c:spPr>
          <c:invertIfNegative val="0"/>
          <c:val>
            <c:numRef>
              <c:f>'Data input'!$B$3:$B$8</c:f>
              <c:numCache>
                <c:formatCode>###\ ###\ ##0.0</c:formatCode>
                <c:ptCount val="6"/>
                <c:pt idx="0">
                  <c:v>1.7</c:v>
                </c:pt>
                <c:pt idx="1">
                  <c:v>6.7</c:v>
                </c:pt>
                <c:pt idx="2">
                  <c:v>7.5</c:v>
                </c:pt>
                <c:pt idx="3">
                  <c:v>19.100000000000001</c:v>
                </c:pt>
                <c:pt idx="4">
                  <c:v>42.4</c:v>
                </c:pt>
                <c:pt idx="5">
                  <c:v>15.1</c:v>
                </c:pt>
              </c:numCache>
            </c:numRef>
          </c:val>
          <c:extLst xmlns:c16r2="http://schemas.microsoft.com/office/drawing/2015/06/chart">
            <c:ext xmlns:c16="http://schemas.microsoft.com/office/drawing/2014/chart" uri="{C3380CC4-5D6E-409C-BE32-E72D297353CC}">
              <c16:uniqueId val="{00000000-2EC0-4320-932C-4F0D4148DAE5}"/>
            </c:ext>
          </c:extLst>
        </c:ser>
        <c:ser>
          <c:idx val="1"/>
          <c:order val="1"/>
          <c:tx>
            <c:strRef>
              <c:f>'Data input'!$C$2</c:f>
              <c:strCache>
                <c:ptCount val="1"/>
                <c:pt idx="0">
                  <c:v>2018/19</c:v>
                </c:pt>
              </c:strCache>
            </c:strRef>
          </c:tx>
          <c:spPr>
            <a:solidFill>
              <a:srgbClr val="993366"/>
            </a:solidFill>
            <a:ln w="12700">
              <a:solidFill>
                <a:srgbClr val="000000"/>
              </a:solidFill>
              <a:prstDash val="solid"/>
            </a:ln>
          </c:spPr>
          <c:invertIfNegative val="0"/>
          <c:val>
            <c:numRef>
              <c:f>'Data input'!$C$3:$C$8</c:f>
              <c:numCache>
                <c:formatCode>###\ ###\ ##0.0</c:formatCode>
                <c:ptCount val="6"/>
                <c:pt idx="0">
                  <c:v>1.8</c:v>
                </c:pt>
                <c:pt idx="1">
                  <c:v>7.3</c:v>
                </c:pt>
                <c:pt idx="2">
                  <c:v>8.3000000000000007</c:v>
                </c:pt>
                <c:pt idx="3">
                  <c:v>18.5</c:v>
                </c:pt>
                <c:pt idx="4">
                  <c:v>42.8</c:v>
                </c:pt>
                <c:pt idx="5">
                  <c:v>12.4</c:v>
                </c:pt>
              </c:numCache>
            </c:numRef>
          </c:val>
          <c:extLst xmlns:c16r2="http://schemas.microsoft.com/office/drawing/2015/06/chart">
            <c:ext xmlns:c16="http://schemas.microsoft.com/office/drawing/2014/chart" uri="{C3380CC4-5D6E-409C-BE32-E72D297353CC}">
              <c16:uniqueId val="{00000001-2EC0-4320-932C-4F0D4148DAE5}"/>
            </c:ext>
          </c:extLst>
        </c:ser>
        <c:dLbls>
          <c:showLegendKey val="0"/>
          <c:showVal val="0"/>
          <c:showCatName val="0"/>
          <c:showSerName val="0"/>
          <c:showPercent val="0"/>
          <c:showBubbleSize val="0"/>
        </c:dLbls>
        <c:gapWidth val="150"/>
        <c:axId val="86056320"/>
        <c:axId val="86062592"/>
      </c:barChart>
      <c:catAx>
        <c:axId val="860563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6062592"/>
        <c:crosses val="autoZero"/>
        <c:auto val="1"/>
        <c:lblAlgn val="ctr"/>
        <c:lblOffset val="100"/>
        <c:tickLblSkip val="1"/>
        <c:tickMarkSkip val="1"/>
        <c:noMultiLvlLbl val="0"/>
      </c:catAx>
      <c:valAx>
        <c:axId val="86062592"/>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6056320"/>
        <c:crosses val="autoZero"/>
        <c:crossBetween val="between"/>
      </c:valAx>
      <c:spPr>
        <a:noFill/>
        <a:ln w="25400">
          <a:noFill/>
        </a:ln>
      </c:spPr>
    </c:plotArea>
    <c:legend>
      <c:legendPos val="r"/>
      <c:layout>
        <c:manualLayout>
          <c:xMode val="edge"/>
          <c:yMode val="edge"/>
          <c:x val="0.90091568435602354"/>
          <c:y val="0.45114255454910246"/>
          <c:w val="8.7280902017425332E-2"/>
          <c:h val="0.100253784066465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3FBF-845F-492C-908F-A9601D83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2017</Template>
  <TotalTime>1</TotalTime>
  <Pages>25</Pages>
  <Words>4762</Words>
  <Characters>27144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Andile Sokomani</dc:creator>
  <cp:lastModifiedBy>Asanda</cp:lastModifiedBy>
  <cp:revision>2</cp:revision>
  <cp:lastPrinted>2018-05-08T07:22:00Z</cp:lastPrinted>
  <dcterms:created xsi:type="dcterms:W3CDTF">2018-05-10T09:29:00Z</dcterms:created>
  <dcterms:modified xsi:type="dcterms:W3CDTF">2018-05-10T09:29:00Z</dcterms:modified>
</cp:coreProperties>
</file>