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76DF2" w14:textId="77777777" w:rsidR="00312106" w:rsidRDefault="00312106" w:rsidP="00312106">
      <w:pPr>
        <w:tabs>
          <w:tab w:val="left" w:pos="6750"/>
        </w:tabs>
        <w:jc w:val="both"/>
        <w:rPr>
          <w:rFonts w:ascii="Arial" w:hAnsi="Arial" w:cs="Arial"/>
          <w:b/>
          <w:sz w:val="22"/>
          <w:szCs w:val="22"/>
        </w:rPr>
      </w:pPr>
      <w:bookmarkStart w:id="0" w:name="_GoBack"/>
      <w:bookmarkEnd w:id="0"/>
      <w:r>
        <w:rPr>
          <w:rFonts w:ascii="Arial" w:hAnsi="Arial" w:cs="Arial"/>
          <w:b/>
          <w:sz w:val="22"/>
          <w:szCs w:val="22"/>
        </w:rPr>
        <w:tab/>
      </w:r>
    </w:p>
    <w:p w14:paraId="7F51DDCA" w14:textId="77777777" w:rsidR="00312106" w:rsidRDefault="00312106" w:rsidP="00D372D3">
      <w:pPr>
        <w:jc w:val="both"/>
        <w:rPr>
          <w:rFonts w:ascii="Arial" w:hAnsi="Arial" w:cs="Arial"/>
          <w:b/>
          <w:sz w:val="22"/>
          <w:szCs w:val="22"/>
        </w:rPr>
      </w:pPr>
    </w:p>
    <w:p w14:paraId="02B67869" w14:textId="77777777" w:rsidR="00312106" w:rsidRDefault="00312106" w:rsidP="00D372D3">
      <w:pPr>
        <w:jc w:val="both"/>
        <w:rPr>
          <w:rFonts w:ascii="Arial" w:hAnsi="Arial" w:cs="Arial"/>
          <w:b/>
          <w:sz w:val="22"/>
          <w:szCs w:val="22"/>
        </w:rPr>
      </w:pPr>
    </w:p>
    <w:p w14:paraId="2D360885" w14:textId="77777777" w:rsidR="00312106" w:rsidRDefault="00312106" w:rsidP="00D372D3">
      <w:pPr>
        <w:jc w:val="both"/>
        <w:rPr>
          <w:rFonts w:ascii="Arial" w:hAnsi="Arial" w:cs="Arial"/>
          <w:b/>
          <w:sz w:val="22"/>
          <w:szCs w:val="22"/>
        </w:rPr>
      </w:pPr>
    </w:p>
    <w:p w14:paraId="0CF1AEE3" w14:textId="77777777" w:rsidR="00F15CAD" w:rsidRDefault="00F15CAD" w:rsidP="00D372D3">
      <w:pPr>
        <w:jc w:val="both"/>
        <w:rPr>
          <w:rFonts w:ascii="Arial" w:hAnsi="Arial" w:cs="Arial"/>
          <w:b/>
          <w:sz w:val="22"/>
          <w:szCs w:val="22"/>
        </w:rPr>
      </w:pPr>
    </w:p>
    <w:p w14:paraId="2ECEF968" w14:textId="77777777" w:rsidR="00031473" w:rsidRPr="00F56E60" w:rsidRDefault="005E287E" w:rsidP="00095C0E">
      <w:pPr>
        <w:spacing w:line="360" w:lineRule="auto"/>
        <w:jc w:val="both"/>
        <w:rPr>
          <w:b/>
        </w:rPr>
      </w:pPr>
      <w:r>
        <w:rPr>
          <w:b/>
        </w:rPr>
        <w:t xml:space="preserve">6. </w:t>
      </w:r>
      <w:r w:rsidR="001358C9" w:rsidRPr="00F56E60">
        <w:rPr>
          <w:b/>
        </w:rPr>
        <w:t>R</w:t>
      </w:r>
      <w:r w:rsidR="003A61B8" w:rsidRPr="00F56E60">
        <w:rPr>
          <w:b/>
        </w:rPr>
        <w:t xml:space="preserve">eport </w:t>
      </w:r>
      <w:r w:rsidR="00B90DA3" w:rsidRPr="00F56E60">
        <w:rPr>
          <w:b/>
        </w:rPr>
        <w:t xml:space="preserve">of the Portfolio Committee on </w:t>
      </w:r>
      <w:r w:rsidR="00482874" w:rsidRPr="00F56E60">
        <w:rPr>
          <w:b/>
        </w:rPr>
        <w:t>Agriculture, Forestry and Fisheries</w:t>
      </w:r>
      <w:r w:rsidR="00B90DA3" w:rsidRPr="00F56E60">
        <w:rPr>
          <w:b/>
        </w:rPr>
        <w:t xml:space="preserve"> on the </w:t>
      </w:r>
      <w:r w:rsidR="0099124E">
        <w:rPr>
          <w:b/>
        </w:rPr>
        <w:t xml:space="preserve">2018/19 </w:t>
      </w:r>
      <w:r w:rsidR="00976072" w:rsidRPr="00F56E60">
        <w:rPr>
          <w:b/>
        </w:rPr>
        <w:t xml:space="preserve">Annual Performance Plan </w:t>
      </w:r>
      <w:r w:rsidR="00482874" w:rsidRPr="00F56E60">
        <w:rPr>
          <w:b/>
        </w:rPr>
        <w:t xml:space="preserve">and </w:t>
      </w:r>
      <w:r w:rsidR="00B54C3C" w:rsidRPr="00F56E60">
        <w:rPr>
          <w:b/>
        </w:rPr>
        <w:t xml:space="preserve">the </w:t>
      </w:r>
      <w:r w:rsidR="00482874" w:rsidRPr="00F56E60">
        <w:rPr>
          <w:b/>
        </w:rPr>
        <w:t xml:space="preserve">Budget </w:t>
      </w:r>
      <w:r w:rsidR="00B90DA3" w:rsidRPr="00F56E60">
        <w:rPr>
          <w:b/>
        </w:rPr>
        <w:t xml:space="preserve">of </w:t>
      </w:r>
      <w:r w:rsidR="00482874" w:rsidRPr="00F56E60">
        <w:rPr>
          <w:b/>
        </w:rPr>
        <w:t>the Department of Agriculture, Forestry and Fisheries</w:t>
      </w:r>
      <w:r w:rsidR="00395D68" w:rsidRPr="00F56E60">
        <w:rPr>
          <w:b/>
        </w:rPr>
        <w:t xml:space="preserve"> (Vote 2</w:t>
      </w:r>
      <w:r w:rsidR="0017478E" w:rsidRPr="00F56E60">
        <w:rPr>
          <w:b/>
        </w:rPr>
        <w:t>4</w:t>
      </w:r>
      <w:r w:rsidR="00395D68" w:rsidRPr="00F56E60">
        <w:rPr>
          <w:b/>
        </w:rPr>
        <w:t>)</w:t>
      </w:r>
      <w:r w:rsidR="00482874" w:rsidRPr="00F56E60">
        <w:rPr>
          <w:b/>
        </w:rPr>
        <w:t xml:space="preserve"> and its </w:t>
      </w:r>
      <w:r w:rsidR="00CE2415" w:rsidRPr="00F56E60">
        <w:rPr>
          <w:b/>
        </w:rPr>
        <w:t>Entities</w:t>
      </w:r>
      <w:r w:rsidR="00CE2415">
        <w:rPr>
          <w:b/>
        </w:rPr>
        <w:t>, dated</w:t>
      </w:r>
      <w:r w:rsidR="0099124E">
        <w:rPr>
          <w:b/>
        </w:rPr>
        <w:t xml:space="preserve"> </w:t>
      </w:r>
      <w:r w:rsidR="00336DE6">
        <w:rPr>
          <w:b/>
        </w:rPr>
        <w:t>08</w:t>
      </w:r>
      <w:r w:rsidR="00A70CBE">
        <w:rPr>
          <w:b/>
        </w:rPr>
        <w:t xml:space="preserve"> </w:t>
      </w:r>
      <w:r w:rsidR="001F3B68">
        <w:rPr>
          <w:b/>
        </w:rPr>
        <w:t>May</w:t>
      </w:r>
      <w:r w:rsidR="00A70CBE">
        <w:rPr>
          <w:b/>
        </w:rPr>
        <w:t xml:space="preserve"> </w:t>
      </w:r>
      <w:r w:rsidR="00976072" w:rsidRPr="00F56E60">
        <w:rPr>
          <w:b/>
        </w:rPr>
        <w:t>201</w:t>
      </w:r>
      <w:r w:rsidR="00DE4FE0">
        <w:rPr>
          <w:b/>
        </w:rPr>
        <w:t>8</w:t>
      </w:r>
    </w:p>
    <w:p w14:paraId="5542D46F" w14:textId="77777777" w:rsidR="001241AA" w:rsidRPr="00F56E60" w:rsidRDefault="001241AA" w:rsidP="00095C0E">
      <w:pPr>
        <w:spacing w:line="360" w:lineRule="auto"/>
        <w:jc w:val="both"/>
        <w:rPr>
          <w:b/>
        </w:rPr>
      </w:pPr>
    </w:p>
    <w:p w14:paraId="7FDC955D" w14:textId="77777777" w:rsidR="003769BC" w:rsidRPr="00496587" w:rsidRDefault="001241AA" w:rsidP="00095C0E">
      <w:pPr>
        <w:spacing w:line="360" w:lineRule="auto"/>
        <w:jc w:val="both"/>
      </w:pPr>
      <w:r w:rsidRPr="00F56E60">
        <w:t xml:space="preserve">The Portfolio Committee on </w:t>
      </w:r>
      <w:r w:rsidR="00482874" w:rsidRPr="00F56E60">
        <w:t>Agriculture, Forestry and Fisheries</w:t>
      </w:r>
      <w:r w:rsidR="00395D68" w:rsidRPr="00F56E60">
        <w:t xml:space="preserve"> </w:t>
      </w:r>
      <w:r w:rsidR="0042056D">
        <w:t xml:space="preserve">(hereinafter referred to as the Committee) </w:t>
      </w:r>
      <w:r w:rsidR="00395D68" w:rsidRPr="00F56E60">
        <w:t>examined Budget Vote 2</w:t>
      </w:r>
      <w:r w:rsidR="0017478E" w:rsidRPr="00F56E60">
        <w:t>4</w:t>
      </w:r>
      <w:r w:rsidR="00395D68" w:rsidRPr="00F56E60">
        <w:t>: Agriculture, Forestry and Fisheries</w:t>
      </w:r>
      <w:r w:rsidR="00215864" w:rsidRPr="00F56E60">
        <w:t xml:space="preserve"> including </w:t>
      </w:r>
      <w:r w:rsidR="00395D68" w:rsidRPr="00F56E60">
        <w:t>the Annual Performance Plan of the Department of Agriculture, Forestry and Fisheries</w:t>
      </w:r>
      <w:r w:rsidR="0019764A" w:rsidRPr="00F56E60">
        <w:t xml:space="preserve"> (</w:t>
      </w:r>
      <w:r w:rsidR="00696701" w:rsidRPr="00F56E60">
        <w:t xml:space="preserve">hereinafter referred to as </w:t>
      </w:r>
      <w:r w:rsidR="0019764A" w:rsidRPr="00F56E60">
        <w:t>DAFF</w:t>
      </w:r>
      <w:r w:rsidR="00696701" w:rsidRPr="00F56E60">
        <w:t xml:space="preserve"> or the Department</w:t>
      </w:r>
      <w:r w:rsidR="0019764A" w:rsidRPr="00F56E60">
        <w:t>)</w:t>
      </w:r>
      <w:r w:rsidR="00395D68" w:rsidRPr="00F56E60">
        <w:t xml:space="preserve"> for the 201</w:t>
      </w:r>
      <w:r w:rsidR="00DE4FE0">
        <w:t>8</w:t>
      </w:r>
      <w:r w:rsidR="005D1C63" w:rsidRPr="00F56E60">
        <w:t>/1</w:t>
      </w:r>
      <w:r w:rsidR="00DE4FE0">
        <w:t>9</w:t>
      </w:r>
      <w:r w:rsidR="00395D68" w:rsidRPr="00F56E60">
        <w:t xml:space="preserve"> financial year and budget projections for the </w:t>
      </w:r>
      <w:r w:rsidR="00D77A89" w:rsidRPr="00F56E60">
        <w:t>M</w:t>
      </w:r>
      <w:r w:rsidR="00395D68" w:rsidRPr="00F56E60">
        <w:t xml:space="preserve">edium </w:t>
      </w:r>
      <w:r w:rsidR="00D77A89" w:rsidRPr="00F56E60">
        <w:t>T</w:t>
      </w:r>
      <w:r w:rsidR="00395D68" w:rsidRPr="00F56E60">
        <w:t xml:space="preserve">erm </w:t>
      </w:r>
      <w:r w:rsidR="00D77A89" w:rsidRPr="00F56E60">
        <w:t>Expenditure F</w:t>
      </w:r>
      <w:r w:rsidR="00395D68" w:rsidRPr="00F56E60">
        <w:t xml:space="preserve">ramework (MTEF) </w:t>
      </w:r>
      <w:r w:rsidR="00CE2415" w:rsidRPr="00F56E60">
        <w:t xml:space="preserve">period </w:t>
      </w:r>
      <w:r w:rsidR="00CE2415">
        <w:t>ending</w:t>
      </w:r>
      <w:r w:rsidR="0099124E">
        <w:t xml:space="preserve"> in </w:t>
      </w:r>
      <w:r w:rsidR="00245493" w:rsidRPr="00F56E60">
        <w:t>20</w:t>
      </w:r>
      <w:r w:rsidR="00E075C8">
        <w:t>20</w:t>
      </w:r>
      <w:r w:rsidR="00245493" w:rsidRPr="00F56E60">
        <w:t>/</w:t>
      </w:r>
      <w:r w:rsidR="008C226B">
        <w:t>2</w:t>
      </w:r>
      <w:r w:rsidR="00E075C8">
        <w:t>1</w:t>
      </w:r>
      <w:r w:rsidR="00245493" w:rsidRPr="00F56E60">
        <w:t xml:space="preserve">. </w:t>
      </w:r>
    </w:p>
    <w:p w14:paraId="4C5B1854" w14:textId="77777777" w:rsidR="003769BC" w:rsidRPr="00496587" w:rsidRDefault="003769BC" w:rsidP="00095C0E">
      <w:pPr>
        <w:spacing w:line="360" w:lineRule="auto"/>
        <w:jc w:val="both"/>
      </w:pPr>
    </w:p>
    <w:p w14:paraId="5DC13EFB" w14:textId="77777777" w:rsidR="00235394" w:rsidRPr="00F56E60" w:rsidRDefault="00395D68" w:rsidP="00095C0E">
      <w:pPr>
        <w:spacing w:line="360" w:lineRule="auto"/>
        <w:jc w:val="both"/>
      </w:pPr>
      <w:r w:rsidRPr="00F56E60">
        <w:t xml:space="preserve">During the process, the Portfolio Committee also examined </w:t>
      </w:r>
      <w:r w:rsidR="001241AA" w:rsidRPr="00F56E60">
        <w:t xml:space="preserve">the </w:t>
      </w:r>
      <w:r w:rsidR="005B5EED">
        <w:t>201</w:t>
      </w:r>
      <w:r w:rsidR="00DE4FE0">
        <w:t>8</w:t>
      </w:r>
      <w:r w:rsidR="005B5EED">
        <w:t>/1</w:t>
      </w:r>
      <w:r w:rsidR="00DE4FE0">
        <w:t>9</w:t>
      </w:r>
      <w:r w:rsidR="005B5EED">
        <w:t xml:space="preserve"> </w:t>
      </w:r>
      <w:r w:rsidR="00575152" w:rsidRPr="00F56E60">
        <w:t>Annual Performance Plans</w:t>
      </w:r>
      <w:r w:rsidR="00D77A89" w:rsidRPr="00F56E60">
        <w:t xml:space="preserve"> (APPs)</w:t>
      </w:r>
      <w:r w:rsidR="00235394" w:rsidRPr="00F56E60">
        <w:t xml:space="preserve"> and </w:t>
      </w:r>
      <w:r w:rsidR="00476FC4" w:rsidRPr="00F56E60">
        <w:t>B</w:t>
      </w:r>
      <w:r w:rsidR="00B54C3C" w:rsidRPr="00F56E60">
        <w:t xml:space="preserve">udgets </w:t>
      </w:r>
      <w:r w:rsidR="00235394" w:rsidRPr="00F56E60">
        <w:t>for the MTEF period</w:t>
      </w:r>
      <w:r w:rsidR="005B5EED">
        <w:t>,</w:t>
      </w:r>
      <w:r w:rsidR="00235394" w:rsidRPr="00F56E60">
        <w:t xml:space="preserve"> </w:t>
      </w:r>
      <w:r w:rsidR="001241AA" w:rsidRPr="00F56E60">
        <w:t xml:space="preserve">of </w:t>
      </w:r>
      <w:r w:rsidR="00575152" w:rsidRPr="00F56E60">
        <w:t xml:space="preserve">the </w:t>
      </w:r>
      <w:r w:rsidR="00235394" w:rsidRPr="00F56E60">
        <w:t xml:space="preserve">following DAFF </w:t>
      </w:r>
      <w:r w:rsidR="00981C08" w:rsidRPr="00F56E60">
        <w:t xml:space="preserve">Public </w:t>
      </w:r>
      <w:r w:rsidR="00482874" w:rsidRPr="00F56E60">
        <w:t>Entities</w:t>
      </w:r>
      <w:r w:rsidR="00235394" w:rsidRPr="00F56E60">
        <w:t>:</w:t>
      </w:r>
    </w:p>
    <w:p w14:paraId="599A15AC" w14:textId="77777777" w:rsidR="00235394" w:rsidRPr="00F56E60" w:rsidRDefault="00235394" w:rsidP="00095C0E">
      <w:pPr>
        <w:numPr>
          <w:ilvl w:val="0"/>
          <w:numId w:val="9"/>
        </w:numPr>
        <w:spacing w:line="360" w:lineRule="auto"/>
        <w:jc w:val="both"/>
      </w:pPr>
      <w:r w:rsidRPr="00F56E60">
        <w:t xml:space="preserve">Marine Living Resources Fund </w:t>
      </w:r>
      <w:r w:rsidR="00376609" w:rsidRPr="00F56E60">
        <w:t>(MLRF)</w:t>
      </w:r>
    </w:p>
    <w:p w14:paraId="073E564F" w14:textId="77777777" w:rsidR="00D9745C" w:rsidRDefault="00D9745C" w:rsidP="00095C0E">
      <w:pPr>
        <w:numPr>
          <w:ilvl w:val="0"/>
          <w:numId w:val="9"/>
        </w:numPr>
        <w:spacing w:line="360" w:lineRule="auto"/>
        <w:jc w:val="both"/>
      </w:pPr>
      <w:r w:rsidRPr="00F56E60">
        <w:t>Onderstepoort Biological Products (OBP)</w:t>
      </w:r>
    </w:p>
    <w:p w14:paraId="7D81BA9C" w14:textId="77777777" w:rsidR="00235394" w:rsidRPr="00F56E60" w:rsidRDefault="00235394" w:rsidP="00095C0E">
      <w:pPr>
        <w:numPr>
          <w:ilvl w:val="0"/>
          <w:numId w:val="9"/>
        </w:numPr>
        <w:spacing w:line="360" w:lineRule="auto"/>
        <w:jc w:val="both"/>
      </w:pPr>
      <w:r w:rsidRPr="00F56E60">
        <w:t xml:space="preserve">Agricultural Research Council </w:t>
      </w:r>
      <w:r w:rsidR="00376609" w:rsidRPr="00F56E60">
        <w:t>(ARC)</w:t>
      </w:r>
    </w:p>
    <w:p w14:paraId="74E0EF6D" w14:textId="77777777" w:rsidR="008C226B" w:rsidRPr="00F56E60" w:rsidRDefault="008C226B" w:rsidP="008C226B">
      <w:pPr>
        <w:numPr>
          <w:ilvl w:val="0"/>
          <w:numId w:val="9"/>
        </w:numPr>
        <w:spacing w:line="360" w:lineRule="auto"/>
        <w:jc w:val="both"/>
      </w:pPr>
      <w:r w:rsidRPr="00F56E60">
        <w:t>National Agricultural Marketing Council (NAMC)</w:t>
      </w:r>
    </w:p>
    <w:p w14:paraId="744E1311" w14:textId="77777777" w:rsidR="008C226B" w:rsidRPr="00F56E60" w:rsidRDefault="008C226B" w:rsidP="008C226B">
      <w:pPr>
        <w:numPr>
          <w:ilvl w:val="0"/>
          <w:numId w:val="9"/>
        </w:numPr>
        <w:spacing w:line="360" w:lineRule="auto"/>
        <w:jc w:val="both"/>
      </w:pPr>
      <w:r w:rsidRPr="00F56E60">
        <w:t>Perishable Products Export Control Board (PPECB)</w:t>
      </w:r>
    </w:p>
    <w:p w14:paraId="723E77B9" w14:textId="77777777" w:rsidR="00A70CBE" w:rsidRDefault="00A70CBE" w:rsidP="00095C0E">
      <w:pPr>
        <w:spacing w:line="360" w:lineRule="auto"/>
        <w:jc w:val="both"/>
      </w:pPr>
    </w:p>
    <w:p w14:paraId="6183DA7C" w14:textId="77777777" w:rsidR="00B90DA3" w:rsidRDefault="00985C54" w:rsidP="00095C0E">
      <w:pPr>
        <w:spacing w:line="360" w:lineRule="auto"/>
        <w:jc w:val="both"/>
      </w:pPr>
      <w:r w:rsidRPr="00F56E60">
        <w:t xml:space="preserve">The </w:t>
      </w:r>
      <w:r w:rsidR="009E0D2A" w:rsidRPr="00F56E60">
        <w:t xml:space="preserve">APP of the </w:t>
      </w:r>
      <w:r w:rsidR="00FC232F">
        <w:t>M</w:t>
      </w:r>
      <w:r w:rsidR="009E0D2A" w:rsidRPr="00F56E60">
        <w:t xml:space="preserve">LRF was considered </w:t>
      </w:r>
      <w:r w:rsidR="00FC232F">
        <w:t xml:space="preserve">in conjunction </w:t>
      </w:r>
      <w:r w:rsidR="009E0D2A" w:rsidRPr="00F56E60">
        <w:t xml:space="preserve">with that of the Department (DAFF) as the MLRF is responsible for funding operational activities of the Department’s Programme 6, </w:t>
      </w:r>
      <w:r w:rsidR="00623239">
        <w:t xml:space="preserve">i.e. </w:t>
      </w:r>
      <w:r w:rsidR="009E0D2A" w:rsidRPr="00F56E60">
        <w:t>Fisheries Management.</w:t>
      </w:r>
      <w:r w:rsidR="00FC232F">
        <w:t xml:space="preserve"> </w:t>
      </w:r>
      <w:r w:rsidR="00623239">
        <w:t xml:space="preserve"> </w:t>
      </w:r>
      <w:r w:rsidR="00395D68" w:rsidRPr="00F56E60">
        <w:t>Having considered</w:t>
      </w:r>
      <w:r w:rsidR="004801CC" w:rsidRPr="00F56E60">
        <w:t xml:space="preserve"> the APPs and </w:t>
      </w:r>
      <w:r w:rsidR="00476FC4" w:rsidRPr="00F56E60">
        <w:t>B</w:t>
      </w:r>
      <w:r w:rsidR="004801CC" w:rsidRPr="00F56E60">
        <w:t>udget</w:t>
      </w:r>
      <w:r w:rsidR="009B1F0A" w:rsidRPr="00F56E60">
        <w:t xml:space="preserve"> Vote 24</w:t>
      </w:r>
      <w:r w:rsidR="0099124E">
        <w:t xml:space="preserve">, which </w:t>
      </w:r>
      <w:r w:rsidR="009B1F0A" w:rsidRPr="00F56E60">
        <w:t xml:space="preserve">includes </w:t>
      </w:r>
      <w:r w:rsidR="004801CC" w:rsidRPr="00F56E60">
        <w:t>the Department and its entities, the Committee</w:t>
      </w:r>
      <w:r w:rsidR="001241AA" w:rsidRPr="00F56E60">
        <w:t xml:space="preserve"> reports as follows:</w:t>
      </w:r>
      <w:r w:rsidR="0099124E">
        <w:t xml:space="preserve"> </w:t>
      </w:r>
    </w:p>
    <w:p w14:paraId="1A619EA4" w14:textId="77777777" w:rsidR="00F15CAD" w:rsidRDefault="00F15CAD" w:rsidP="00095C0E">
      <w:pPr>
        <w:spacing w:line="360" w:lineRule="auto"/>
        <w:jc w:val="both"/>
      </w:pPr>
    </w:p>
    <w:p w14:paraId="2E0FBA05" w14:textId="77777777" w:rsidR="00DA543B" w:rsidRDefault="00DA543B" w:rsidP="00095C0E">
      <w:pPr>
        <w:spacing w:line="360" w:lineRule="auto"/>
        <w:jc w:val="both"/>
      </w:pPr>
    </w:p>
    <w:p w14:paraId="2C600D63" w14:textId="77777777" w:rsidR="00DA543B" w:rsidRDefault="00DA543B" w:rsidP="00095C0E">
      <w:pPr>
        <w:spacing w:line="360" w:lineRule="auto"/>
        <w:jc w:val="both"/>
      </w:pPr>
    </w:p>
    <w:p w14:paraId="7BEE51F3" w14:textId="77777777" w:rsidR="00DA543B" w:rsidRPr="00F56E60" w:rsidRDefault="00DA543B" w:rsidP="00095C0E">
      <w:pPr>
        <w:spacing w:line="360" w:lineRule="auto"/>
        <w:jc w:val="both"/>
      </w:pPr>
    </w:p>
    <w:p w14:paraId="00CABFF5" w14:textId="77777777" w:rsidR="00031473" w:rsidRPr="00F56E60" w:rsidRDefault="00031473" w:rsidP="00095C0E">
      <w:pPr>
        <w:spacing w:line="360" w:lineRule="auto"/>
        <w:rPr>
          <w:b/>
        </w:rPr>
      </w:pPr>
      <w:r w:rsidRPr="00F56E60">
        <w:rPr>
          <w:b/>
        </w:rPr>
        <w:t xml:space="preserve">1. </w:t>
      </w:r>
      <w:r w:rsidR="00575152" w:rsidRPr="00F56E60">
        <w:rPr>
          <w:b/>
        </w:rPr>
        <w:tab/>
      </w:r>
      <w:r w:rsidRPr="00F56E60">
        <w:rPr>
          <w:b/>
        </w:rPr>
        <w:t>Introduction</w:t>
      </w:r>
    </w:p>
    <w:p w14:paraId="7D32C409" w14:textId="77777777" w:rsidR="00F15CAD" w:rsidRDefault="00F15CAD" w:rsidP="00F56E60">
      <w:pPr>
        <w:spacing w:line="360" w:lineRule="auto"/>
        <w:jc w:val="both"/>
      </w:pPr>
    </w:p>
    <w:p w14:paraId="1F9789A7" w14:textId="77777777" w:rsidR="00623239" w:rsidRDefault="001312A0" w:rsidP="00F56E60">
      <w:pPr>
        <w:spacing w:line="360" w:lineRule="auto"/>
        <w:jc w:val="both"/>
      </w:pPr>
      <w:r w:rsidRPr="00F56E60">
        <w:t xml:space="preserve">The </w:t>
      </w:r>
      <w:r w:rsidR="00F2096F" w:rsidRPr="00F56E60">
        <w:t>S</w:t>
      </w:r>
      <w:r w:rsidRPr="00F56E60">
        <w:t xml:space="preserve">trategic </w:t>
      </w:r>
      <w:r w:rsidR="00F2096F" w:rsidRPr="00F56E60">
        <w:t>P</w:t>
      </w:r>
      <w:r w:rsidRPr="00F56E60">
        <w:t>lan</w:t>
      </w:r>
      <w:r w:rsidR="00482874" w:rsidRPr="00F56E60">
        <w:t>s</w:t>
      </w:r>
      <w:r w:rsidR="0057037B" w:rsidRPr="00F56E60">
        <w:t>, APPs</w:t>
      </w:r>
      <w:r w:rsidR="00575152" w:rsidRPr="00F56E60">
        <w:t xml:space="preserve"> and Budgets</w:t>
      </w:r>
      <w:r w:rsidRPr="00F56E60">
        <w:t xml:space="preserve"> of </w:t>
      </w:r>
      <w:r w:rsidR="00482874" w:rsidRPr="00F56E60">
        <w:t>DAFF</w:t>
      </w:r>
      <w:r w:rsidRPr="00F56E60">
        <w:t xml:space="preserve"> and its </w:t>
      </w:r>
      <w:r w:rsidR="00482874" w:rsidRPr="00F56E60">
        <w:t>E</w:t>
      </w:r>
      <w:r w:rsidRPr="00F56E60">
        <w:t xml:space="preserve">ntities were </w:t>
      </w:r>
      <w:r w:rsidR="00507156" w:rsidRPr="00F56E60">
        <w:t>tabled in Parliament</w:t>
      </w:r>
      <w:r w:rsidR="003769BC" w:rsidRPr="00496587">
        <w:t xml:space="preserve"> as required in terms of the Public Finance Management Act (PFMA), 1999 (Act No</w:t>
      </w:r>
      <w:r w:rsidR="003769BC" w:rsidRPr="00F56E60">
        <w:t xml:space="preserve">. 1 of 1999), </w:t>
      </w:r>
      <w:r w:rsidR="00056A5B" w:rsidRPr="00F56E60">
        <w:t xml:space="preserve">on </w:t>
      </w:r>
      <w:r w:rsidR="00900FC6" w:rsidRPr="00F56E60">
        <w:t>1</w:t>
      </w:r>
      <w:r w:rsidR="00164CD8">
        <w:t>2</w:t>
      </w:r>
      <w:r w:rsidR="00900FC6" w:rsidRPr="00F56E60">
        <w:t xml:space="preserve"> March </w:t>
      </w:r>
      <w:r w:rsidR="0057037B" w:rsidRPr="00F56E60">
        <w:t>201</w:t>
      </w:r>
      <w:r w:rsidR="00DE4FE0">
        <w:t>8</w:t>
      </w:r>
      <w:r w:rsidR="0057037B" w:rsidRPr="00F56E60">
        <w:t xml:space="preserve">. All the tabled plans were </w:t>
      </w:r>
      <w:r w:rsidRPr="00F56E60">
        <w:t xml:space="preserve">referred to the Portfolio Committee on </w:t>
      </w:r>
      <w:r w:rsidR="00363120" w:rsidRPr="00F56E60">
        <w:t xml:space="preserve">Agriculture, Forestry and </w:t>
      </w:r>
      <w:r w:rsidR="00F2096F" w:rsidRPr="00F56E60">
        <w:t>Fisheries</w:t>
      </w:r>
      <w:r w:rsidRPr="00F56E60">
        <w:t xml:space="preserve"> for consideration </w:t>
      </w:r>
      <w:r w:rsidR="003A756C" w:rsidRPr="00F56E60">
        <w:t>and report</w:t>
      </w:r>
      <w:r w:rsidR="00D9745C" w:rsidRPr="00F56E60">
        <w:t xml:space="preserve"> on 1</w:t>
      </w:r>
      <w:r w:rsidR="00164CD8">
        <w:t>4</w:t>
      </w:r>
      <w:r w:rsidR="00D9745C" w:rsidRPr="00F56E60">
        <w:t xml:space="preserve"> March 201</w:t>
      </w:r>
      <w:r w:rsidR="00164CD8">
        <w:t>8</w:t>
      </w:r>
      <w:r w:rsidR="003A756C" w:rsidRPr="00F56E60">
        <w:t xml:space="preserve">. </w:t>
      </w:r>
      <w:r w:rsidR="00623239" w:rsidRPr="00496587">
        <w:t xml:space="preserve">In preparation for the briefings by the Department and entities on their Annual Performance Plans, </w:t>
      </w:r>
      <w:r w:rsidR="00623239">
        <w:t>on 13 February 2018</w:t>
      </w:r>
      <w:r w:rsidR="00195C87">
        <w:t>,</w:t>
      </w:r>
      <w:r w:rsidR="00623239">
        <w:t xml:space="preserve"> </w:t>
      </w:r>
      <w:r w:rsidR="00623239" w:rsidRPr="00496587">
        <w:t xml:space="preserve">the </w:t>
      </w:r>
      <w:r w:rsidR="00623239" w:rsidRPr="00F56E60">
        <w:t xml:space="preserve">Committee engaged with the </w:t>
      </w:r>
      <w:r w:rsidR="00623239">
        <w:t xml:space="preserve">Department on its draft APP and on 13 March 2018, it engaged with the Auditor-General of South Africa (AGSA) and the </w:t>
      </w:r>
      <w:r w:rsidR="00623239" w:rsidRPr="00F56E60">
        <w:t>Department of Planning, Monitoring and Evaluation (DPME)</w:t>
      </w:r>
      <w:r w:rsidR="00623239">
        <w:t xml:space="preserve"> on DAFF’s final APP.</w:t>
      </w:r>
    </w:p>
    <w:p w14:paraId="13889EC4" w14:textId="77777777" w:rsidR="00623239" w:rsidRDefault="00623239" w:rsidP="00F56E60">
      <w:pPr>
        <w:spacing w:line="360" w:lineRule="auto"/>
        <w:jc w:val="both"/>
      </w:pPr>
    </w:p>
    <w:p w14:paraId="7B3F8989" w14:textId="77777777" w:rsidR="00376609" w:rsidRPr="00F56E60" w:rsidRDefault="003A756C" w:rsidP="00F56E60">
      <w:pPr>
        <w:spacing w:line="360" w:lineRule="auto"/>
        <w:jc w:val="both"/>
      </w:pPr>
      <w:r w:rsidRPr="00F56E60">
        <w:t>In performing its constitutional mandate, the Committee</w:t>
      </w:r>
      <w:r w:rsidR="00623239">
        <w:t xml:space="preserve"> held briefings with DAFF and its entities to </w:t>
      </w:r>
      <w:r w:rsidR="001358C9" w:rsidRPr="00F56E60">
        <w:t xml:space="preserve">consider </w:t>
      </w:r>
      <w:r w:rsidR="001312A0" w:rsidRPr="00F56E60">
        <w:t>the</w:t>
      </w:r>
      <w:r w:rsidR="001358C9" w:rsidRPr="00F56E60">
        <w:t xml:space="preserve"> </w:t>
      </w:r>
      <w:r w:rsidR="00472797" w:rsidRPr="00F56E60">
        <w:t>201</w:t>
      </w:r>
      <w:r w:rsidR="00164CD8">
        <w:t>8</w:t>
      </w:r>
      <w:r w:rsidR="00472797" w:rsidRPr="00F56E60">
        <w:t>/1</w:t>
      </w:r>
      <w:r w:rsidR="00164CD8">
        <w:t>9</w:t>
      </w:r>
      <w:r w:rsidR="00472797" w:rsidRPr="00F56E60">
        <w:t xml:space="preserve"> </w:t>
      </w:r>
      <w:r w:rsidR="0057037B" w:rsidRPr="00F56E60">
        <w:t xml:space="preserve">APPs </w:t>
      </w:r>
      <w:r w:rsidRPr="00F56E60">
        <w:t xml:space="preserve">of </w:t>
      </w:r>
      <w:r w:rsidR="00363120" w:rsidRPr="00F56E60">
        <w:t xml:space="preserve">DAFF </w:t>
      </w:r>
      <w:r w:rsidRPr="00F56E60">
        <w:t xml:space="preserve">and its </w:t>
      </w:r>
      <w:r w:rsidR="00F2096F" w:rsidRPr="00F56E60">
        <w:t>E</w:t>
      </w:r>
      <w:r w:rsidRPr="00F56E60">
        <w:t>ntities</w:t>
      </w:r>
      <w:r w:rsidR="006B25DF">
        <w:t xml:space="preserve"> on </w:t>
      </w:r>
      <w:r w:rsidR="00164CD8">
        <w:t>20 and 22 March</w:t>
      </w:r>
      <w:r w:rsidR="006B25DF">
        <w:t xml:space="preserve"> 201</w:t>
      </w:r>
      <w:r w:rsidR="00164CD8">
        <w:t>8</w:t>
      </w:r>
      <w:r w:rsidR="003769BC" w:rsidRPr="00496587">
        <w:t>,</w:t>
      </w:r>
      <w:r w:rsidR="0099124E">
        <w:t xml:space="preserve"> respectively,</w:t>
      </w:r>
      <w:r w:rsidRPr="00F56E60">
        <w:t xml:space="preserve"> </w:t>
      </w:r>
      <w:r w:rsidR="00363120" w:rsidRPr="00F56E60">
        <w:t xml:space="preserve">taking into </w:t>
      </w:r>
      <w:r w:rsidR="009A3E11" w:rsidRPr="00F56E60">
        <w:t>account the</w:t>
      </w:r>
      <w:r w:rsidR="001358C9" w:rsidRPr="00F56E60">
        <w:t>ir alignment with the</w:t>
      </w:r>
      <w:r w:rsidR="004F7068" w:rsidRPr="00F56E60">
        <w:t xml:space="preserve"> </w:t>
      </w:r>
      <w:r w:rsidR="000C5C78" w:rsidRPr="00F56E60">
        <w:t>objectives of the National Development Plan</w:t>
      </w:r>
      <w:r w:rsidR="00A116F7" w:rsidRPr="00F56E60">
        <w:t xml:space="preserve"> (NDP</w:t>
      </w:r>
      <w:r w:rsidR="003A4450" w:rsidRPr="00F56E60">
        <w:t>)</w:t>
      </w:r>
      <w:r w:rsidR="003A4450">
        <w:t>: Vision</w:t>
      </w:r>
      <w:r w:rsidR="00F57C59">
        <w:t xml:space="preserve"> 2030</w:t>
      </w:r>
      <w:r w:rsidR="000C5C78" w:rsidRPr="00F56E60">
        <w:t xml:space="preserve"> and the Medium Term Strategic Framework </w:t>
      </w:r>
      <w:r w:rsidR="00A116F7" w:rsidRPr="00F56E60">
        <w:t xml:space="preserve">(MTSF) </w:t>
      </w:r>
      <w:r w:rsidR="000C5C78" w:rsidRPr="00F56E60">
        <w:t xml:space="preserve">2014-2019.  </w:t>
      </w:r>
    </w:p>
    <w:p w14:paraId="4F8C3FC9" w14:textId="77777777" w:rsidR="00363120" w:rsidRPr="00F56E60" w:rsidRDefault="00363120" w:rsidP="00095C0E">
      <w:pPr>
        <w:spacing w:line="360" w:lineRule="auto"/>
        <w:ind w:left="720"/>
      </w:pPr>
    </w:p>
    <w:p w14:paraId="5277D4F7" w14:textId="77777777" w:rsidR="001E7B3F" w:rsidRPr="00F56E60" w:rsidRDefault="001D3535" w:rsidP="00095C0E">
      <w:pPr>
        <w:spacing w:line="360" w:lineRule="auto"/>
        <w:jc w:val="both"/>
        <w:rPr>
          <w:lang w:val="en-ZA"/>
        </w:rPr>
      </w:pPr>
      <w:r w:rsidRPr="00F56E60">
        <w:t>T</w:t>
      </w:r>
      <w:r w:rsidR="001E7B3F" w:rsidRPr="00F56E60">
        <w:t>he Committee</w:t>
      </w:r>
      <w:r w:rsidR="00006F14" w:rsidRPr="00F56E60">
        <w:t xml:space="preserve">, in considering the Department and its Entities’ </w:t>
      </w:r>
      <w:r w:rsidR="008B01D8">
        <w:t>2018/19</w:t>
      </w:r>
      <w:r w:rsidR="006B25DF">
        <w:t xml:space="preserve"> APPs</w:t>
      </w:r>
      <w:r w:rsidR="008B01D8">
        <w:t xml:space="preserve"> </w:t>
      </w:r>
      <w:r w:rsidR="00006F14" w:rsidRPr="00F56E60">
        <w:t>and Budget</w:t>
      </w:r>
      <w:r w:rsidR="00215864" w:rsidRPr="00F56E60">
        <w:t xml:space="preserve"> Vote</w:t>
      </w:r>
      <w:r w:rsidR="00006F14" w:rsidRPr="00F56E60">
        <w:t xml:space="preserve">, </w:t>
      </w:r>
      <w:r w:rsidRPr="00F56E60">
        <w:t xml:space="preserve">wanted </w:t>
      </w:r>
      <w:r w:rsidR="000842CD" w:rsidRPr="00F56E60">
        <w:t xml:space="preserve">to </w:t>
      </w:r>
      <w:r w:rsidR="00E8130F" w:rsidRPr="00F56E60">
        <w:t xml:space="preserve">determine </w:t>
      </w:r>
      <w:r w:rsidR="001312A0" w:rsidRPr="00F56E60">
        <w:t xml:space="preserve">whether the funds </w:t>
      </w:r>
      <w:r w:rsidR="00E8130F" w:rsidRPr="00F56E60">
        <w:t xml:space="preserve">that are </w:t>
      </w:r>
      <w:r w:rsidR="001E7B3F" w:rsidRPr="00F56E60">
        <w:t>allocated</w:t>
      </w:r>
      <w:r w:rsidR="00E8130F" w:rsidRPr="00F56E60">
        <w:t xml:space="preserve"> to the Department and its </w:t>
      </w:r>
      <w:r w:rsidR="00006F14" w:rsidRPr="00F56E60">
        <w:t xml:space="preserve">entities through different programmes translate </w:t>
      </w:r>
      <w:r w:rsidR="001E7B3F" w:rsidRPr="00F56E60">
        <w:t>to actual service delivery</w:t>
      </w:r>
      <w:r w:rsidR="00215864" w:rsidRPr="00F56E60">
        <w:t xml:space="preserve">, </w:t>
      </w:r>
      <w:r w:rsidR="00855972" w:rsidRPr="00F56E60">
        <w:t xml:space="preserve">particularly </w:t>
      </w:r>
      <w:r w:rsidR="007A1C3D" w:rsidRPr="00F56E60">
        <w:t>in rural and underserviced areas</w:t>
      </w:r>
      <w:r w:rsidR="00855972" w:rsidRPr="00F56E60">
        <w:t>.</w:t>
      </w:r>
      <w:r w:rsidR="007A1C3D" w:rsidRPr="00F56E60">
        <w:t xml:space="preserve"> </w:t>
      </w:r>
      <w:r w:rsidR="00006F14" w:rsidRPr="00F56E60">
        <w:t>In this regard, t</w:t>
      </w:r>
      <w:r w:rsidR="00AB39E0" w:rsidRPr="00F56E60">
        <w:rPr>
          <w:lang w:val="en-ZA"/>
        </w:rPr>
        <w:t xml:space="preserve">he Money Bills Amendment Procedure and Related Matters Act, </w:t>
      </w:r>
      <w:r w:rsidR="00E8130F" w:rsidRPr="00F56E60">
        <w:rPr>
          <w:lang w:val="en-ZA"/>
        </w:rPr>
        <w:t xml:space="preserve">2009 (Act </w:t>
      </w:r>
      <w:r w:rsidR="00AB39E0" w:rsidRPr="00F56E60">
        <w:rPr>
          <w:lang w:val="en-ZA"/>
        </w:rPr>
        <w:t>No. 9 of 2009</w:t>
      </w:r>
      <w:r w:rsidR="00E8130F" w:rsidRPr="00F56E60">
        <w:rPr>
          <w:lang w:val="en-ZA"/>
        </w:rPr>
        <w:t>)</w:t>
      </w:r>
      <w:r w:rsidR="00AB39E0" w:rsidRPr="00F56E60">
        <w:rPr>
          <w:lang w:val="en-ZA"/>
        </w:rPr>
        <w:t>, grants Parliament the power to reject</w:t>
      </w:r>
      <w:r w:rsidR="00855972" w:rsidRPr="00F56E60">
        <w:rPr>
          <w:lang w:val="en-ZA"/>
        </w:rPr>
        <w:t xml:space="preserve">, </w:t>
      </w:r>
      <w:r w:rsidR="00AB39E0" w:rsidRPr="00F56E60">
        <w:rPr>
          <w:lang w:val="en-ZA"/>
        </w:rPr>
        <w:t>recommend</w:t>
      </w:r>
      <w:r w:rsidR="00855972" w:rsidRPr="00F56E60">
        <w:rPr>
          <w:lang w:val="en-ZA"/>
        </w:rPr>
        <w:t xml:space="preserve"> or amend </w:t>
      </w:r>
      <w:r w:rsidR="00AB39E0" w:rsidRPr="00F56E60">
        <w:rPr>
          <w:lang w:val="en-ZA"/>
        </w:rPr>
        <w:t>budgets of departments</w:t>
      </w:r>
      <w:r w:rsidR="00006F14" w:rsidRPr="00F56E60">
        <w:rPr>
          <w:lang w:val="en-ZA"/>
        </w:rPr>
        <w:t xml:space="preserve"> and entities</w:t>
      </w:r>
      <w:r w:rsidR="00AB39E0" w:rsidRPr="00F56E60">
        <w:rPr>
          <w:lang w:val="en-ZA"/>
        </w:rPr>
        <w:t>.</w:t>
      </w:r>
      <w:r w:rsidR="00575152" w:rsidRPr="00F56E60">
        <w:rPr>
          <w:lang w:val="en-ZA"/>
        </w:rPr>
        <w:t xml:space="preserve"> </w:t>
      </w:r>
    </w:p>
    <w:p w14:paraId="5A31E47E" w14:textId="77777777" w:rsidR="00345919" w:rsidRPr="00F56E60" w:rsidRDefault="00345919" w:rsidP="00496587">
      <w:pPr>
        <w:autoSpaceDE w:val="0"/>
        <w:autoSpaceDN w:val="0"/>
        <w:adjustRightInd w:val="0"/>
        <w:spacing w:line="360" w:lineRule="auto"/>
        <w:jc w:val="both"/>
        <w:rPr>
          <w:lang w:val="en-GB" w:eastAsia="en-GB"/>
        </w:rPr>
      </w:pPr>
    </w:p>
    <w:p w14:paraId="47178AAB" w14:textId="77777777" w:rsidR="00D759F5" w:rsidRPr="00F56E60" w:rsidRDefault="0077460D" w:rsidP="00F56E60">
      <w:pPr>
        <w:tabs>
          <w:tab w:val="left" w:pos="360"/>
        </w:tabs>
        <w:autoSpaceDE w:val="0"/>
        <w:autoSpaceDN w:val="0"/>
        <w:adjustRightInd w:val="0"/>
        <w:spacing w:line="360" w:lineRule="auto"/>
        <w:ind w:left="720" w:hanging="720"/>
        <w:jc w:val="both"/>
        <w:rPr>
          <w:b/>
        </w:rPr>
      </w:pPr>
      <w:r w:rsidRPr="00F56E60">
        <w:rPr>
          <w:b/>
          <w:lang w:val="en-GB" w:eastAsia="en-GB"/>
        </w:rPr>
        <w:t>2</w:t>
      </w:r>
      <w:r w:rsidR="00D759F5" w:rsidRPr="00F56E60">
        <w:rPr>
          <w:b/>
        </w:rPr>
        <w:t xml:space="preserve">. </w:t>
      </w:r>
      <w:r w:rsidR="009B1F0A" w:rsidRPr="00F56E60">
        <w:rPr>
          <w:b/>
        </w:rPr>
        <w:tab/>
      </w:r>
      <w:r w:rsidR="000324B9" w:rsidRPr="00F56E60">
        <w:rPr>
          <w:b/>
        </w:rPr>
        <w:tab/>
      </w:r>
      <w:r w:rsidR="00D759F5" w:rsidRPr="00F56E60">
        <w:rPr>
          <w:b/>
        </w:rPr>
        <w:t xml:space="preserve">Consideration of the </w:t>
      </w:r>
      <w:r w:rsidR="00164CD8">
        <w:rPr>
          <w:b/>
        </w:rPr>
        <w:t xml:space="preserve">2018/19 </w:t>
      </w:r>
      <w:r w:rsidR="0058649C" w:rsidRPr="00F56E60">
        <w:rPr>
          <w:b/>
        </w:rPr>
        <w:t xml:space="preserve">Annual Performance Plans (APPs) and Budgets of the Department of Agriculture, Forestry and Fisheries </w:t>
      </w:r>
      <w:r w:rsidR="009B1F0A" w:rsidRPr="00F56E60">
        <w:rPr>
          <w:b/>
        </w:rPr>
        <w:t>and its Entities</w:t>
      </w:r>
    </w:p>
    <w:p w14:paraId="6D2F943D" w14:textId="77777777" w:rsidR="00D759F5" w:rsidRPr="00F56E60" w:rsidRDefault="00D759F5" w:rsidP="00095C0E">
      <w:pPr>
        <w:autoSpaceDE w:val="0"/>
        <w:autoSpaceDN w:val="0"/>
        <w:adjustRightInd w:val="0"/>
        <w:spacing w:line="360" w:lineRule="auto"/>
        <w:jc w:val="both"/>
        <w:rPr>
          <w:b/>
        </w:rPr>
      </w:pPr>
    </w:p>
    <w:p w14:paraId="5556EB5C" w14:textId="77777777" w:rsidR="00782D07" w:rsidRDefault="0077460D" w:rsidP="00095C0E">
      <w:pPr>
        <w:autoSpaceDE w:val="0"/>
        <w:autoSpaceDN w:val="0"/>
        <w:adjustRightInd w:val="0"/>
        <w:spacing w:line="360" w:lineRule="auto"/>
        <w:jc w:val="both"/>
        <w:rPr>
          <w:lang w:val="en-GB" w:eastAsia="en-GB"/>
        </w:rPr>
      </w:pPr>
      <w:r w:rsidRPr="00720E24">
        <w:rPr>
          <w:lang w:val="en-GB" w:eastAsia="en-GB"/>
        </w:rPr>
        <w:t xml:space="preserve">The </w:t>
      </w:r>
      <w:r w:rsidR="008F6672" w:rsidRPr="00720E24">
        <w:rPr>
          <w:lang w:val="en-GB" w:eastAsia="en-GB"/>
        </w:rPr>
        <w:t xml:space="preserve">Department of Agriculture, Forestry and Fisheries </w:t>
      </w:r>
      <w:r w:rsidRPr="00720E24">
        <w:rPr>
          <w:lang w:val="en-GB" w:eastAsia="en-GB"/>
        </w:rPr>
        <w:t xml:space="preserve">strategic </w:t>
      </w:r>
      <w:r w:rsidR="002337CE" w:rsidRPr="00720E24">
        <w:rPr>
          <w:lang w:val="en-GB" w:eastAsia="en-GB"/>
        </w:rPr>
        <w:t xml:space="preserve">planning process was largely informed by the </w:t>
      </w:r>
      <w:r w:rsidRPr="00720E24">
        <w:rPr>
          <w:lang w:val="en-GB" w:eastAsia="en-GB"/>
        </w:rPr>
        <w:t>MTSF Outcomes</w:t>
      </w:r>
      <w:r w:rsidR="0022114A" w:rsidRPr="00720E24">
        <w:rPr>
          <w:lang w:val="en-GB" w:eastAsia="en-GB"/>
        </w:rPr>
        <w:t xml:space="preserve"> (Outcomes 4, 7</w:t>
      </w:r>
      <w:r w:rsidR="00F40A80" w:rsidRPr="00720E24">
        <w:rPr>
          <w:lang w:val="en-GB" w:eastAsia="en-GB"/>
        </w:rPr>
        <w:t xml:space="preserve"> and </w:t>
      </w:r>
      <w:r w:rsidR="0022114A" w:rsidRPr="00720E24">
        <w:rPr>
          <w:lang w:val="en-GB" w:eastAsia="en-GB"/>
        </w:rPr>
        <w:t>10)</w:t>
      </w:r>
      <w:r w:rsidR="00F43F17" w:rsidRPr="00720E24">
        <w:rPr>
          <w:lang w:val="en-GB" w:eastAsia="en-GB"/>
        </w:rPr>
        <w:t>,</w:t>
      </w:r>
      <w:r w:rsidR="00992C4C" w:rsidRPr="00720E24">
        <w:rPr>
          <w:lang w:val="en-GB" w:eastAsia="en-GB"/>
        </w:rPr>
        <w:t xml:space="preserve"> </w:t>
      </w:r>
      <w:r w:rsidR="008F6672" w:rsidRPr="00720E24">
        <w:rPr>
          <w:lang w:val="en-GB" w:eastAsia="en-GB"/>
        </w:rPr>
        <w:t xml:space="preserve">the Department </w:t>
      </w:r>
      <w:r w:rsidR="008F6672" w:rsidRPr="00720E24">
        <w:rPr>
          <w:lang w:val="en-GB" w:eastAsia="en-GB"/>
        </w:rPr>
        <w:lastRenderedPageBreak/>
        <w:t xml:space="preserve">contributes to the realisation of the goal of the National Development Plan (NDP) to eliminate poverty and reduce inequality by 2030. In response to </w:t>
      </w:r>
      <w:r w:rsidR="0099124E">
        <w:rPr>
          <w:lang w:val="en-GB" w:eastAsia="en-GB"/>
        </w:rPr>
        <w:t>V</w:t>
      </w:r>
      <w:r w:rsidR="008F6672" w:rsidRPr="00720E24">
        <w:rPr>
          <w:lang w:val="en-GB" w:eastAsia="en-GB"/>
        </w:rPr>
        <w:t>ision 2030</w:t>
      </w:r>
      <w:r w:rsidR="008B01D8">
        <w:rPr>
          <w:lang w:val="en-GB" w:eastAsia="en-GB"/>
        </w:rPr>
        <w:t xml:space="preserve"> (NDP)</w:t>
      </w:r>
      <w:r w:rsidR="003A4450">
        <w:rPr>
          <w:lang w:val="en-GB" w:eastAsia="en-GB"/>
        </w:rPr>
        <w:t xml:space="preserve">, the Nine Point Plan’s </w:t>
      </w:r>
      <w:r w:rsidR="004E6FE6">
        <w:rPr>
          <w:lang w:val="en-GB" w:eastAsia="en-GB"/>
        </w:rPr>
        <w:t>Revitali</w:t>
      </w:r>
      <w:r w:rsidR="0099124E">
        <w:rPr>
          <w:lang w:val="en-GB" w:eastAsia="en-GB"/>
        </w:rPr>
        <w:t>s</w:t>
      </w:r>
      <w:r w:rsidR="004E6FE6">
        <w:rPr>
          <w:lang w:val="en-GB" w:eastAsia="en-GB"/>
        </w:rPr>
        <w:t>ation of Agriculture and Agroprocessing Value Chain (</w:t>
      </w:r>
      <w:r w:rsidR="008F6672" w:rsidRPr="00720E24">
        <w:rPr>
          <w:lang w:val="en-GB" w:eastAsia="en-GB"/>
        </w:rPr>
        <w:t>RAAVC</w:t>
      </w:r>
      <w:r w:rsidR="004E6FE6">
        <w:rPr>
          <w:lang w:val="en-GB" w:eastAsia="en-GB"/>
        </w:rPr>
        <w:t>)</w:t>
      </w:r>
      <w:r w:rsidR="008F6672" w:rsidRPr="00720E24">
        <w:rPr>
          <w:lang w:val="en-GB" w:eastAsia="en-GB"/>
        </w:rPr>
        <w:t xml:space="preserve"> and the MTSF, DAFF identified priority areas and developed short to medium and long term strategies. The 2018/19 Annual Performance Plan of DAFF is also informed by the two Operation Phakisa interventions namely</w:t>
      </w:r>
      <w:r w:rsidR="0099124E">
        <w:rPr>
          <w:lang w:val="en-GB" w:eastAsia="en-GB"/>
        </w:rPr>
        <w:t>,</w:t>
      </w:r>
      <w:r w:rsidR="008F6672" w:rsidRPr="00720E24">
        <w:rPr>
          <w:lang w:val="en-GB" w:eastAsia="en-GB"/>
        </w:rPr>
        <w:t xml:space="preserve"> </w:t>
      </w:r>
      <w:r w:rsidR="0099124E">
        <w:rPr>
          <w:lang w:val="en-GB" w:eastAsia="en-GB"/>
        </w:rPr>
        <w:t xml:space="preserve">the </w:t>
      </w:r>
      <w:r w:rsidR="008F6672" w:rsidRPr="00720E24">
        <w:rPr>
          <w:lang w:val="en-GB" w:eastAsia="en-GB"/>
        </w:rPr>
        <w:t xml:space="preserve">Oceans Economy and Operation Phakisa for Agriculture, Land Reform and Rural Development. </w:t>
      </w:r>
      <w:r w:rsidR="00720E24" w:rsidRPr="00720E24">
        <w:rPr>
          <w:lang w:eastAsia="en-GB"/>
        </w:rPr>
        <w:t>The 2018/19 APP of DAFF outlined actions, indic</w:t>
      </w:r>
      <w:r w:rsidR="0099124E">
        <w:rPr>
          <w:lang w:eastAsia="en-GB"/>
        </w:rPr>
        <w:t>a</w:t>
      </w:r>
      <w:r w:rsidR="00720E24" w:rsidRPr="00720E24">
        <w:rPr>
          <w:lang w:eastAsia="en-GB"/>
        </w:rPr>
        <w:t xml:space="preserve">tors and targets that will be pursued over the medium term to accelerate service delivery within agriculture, forestry and fisheries sectors through </w:t>
      </w:r>
      <w:r w:rsidR="007A3C04">
        <w:rPr>
          <w:lang w:eastAsia="en-GB"/>
        </w:rPr>
        <w:t xml:space="preserve">promotion of </w:t>
      </w:r>
      <w:r w:rsidR="00720E24" w:rsidRPr="00720E24">
        <w:rPr>
          <w:lang w:val="en-GB" w:eastAsia="en-GB"/>
        </w:rPr>
        <w:t>food</w:t>
      </w:r>
      <w:r w:rsidR="009579FF" w:rsidRPr="00720E24">
        <w:rPr>
          <w:lang w:val="en-GB" w:eastAsia="en-GB"/>
        </w:rPr>
        <w:t xml:space="preserve"> security, creating decent jobs, sustainabl</w:t>
      </w:r>
      <w:r w:rsidR="003A4450">
        <w:rPr>
          <w:lang w:val="en-GB" w:eastAsia="en-GB"/>
        </w:rPr>
        <w:t>e</w:t>
      </w:r>
      <w:r w:rsidR="009579FF" w:rsidRPr="00720E24">
        <w:rPr>
          <w:lang w:val="en-GB" w:eastAsia="en-GB"/>
        </w:rPr>
        <w:t xml:space="preserve"> </w:t>
      </w:r>
      <w:r w:rsidR="008B01D8">
        <w:rPr>
          <w:lang w:val="en-GB" w:eastAsia="en-GB"/>
        </w:rPr>
        <w:t xml:space="preserve">growth </w:t>
      </w:r>
      <w:r w:rsidR="009579FF" w:rsidRPr="00720E24">
        <w:rPr>
          <w:lang w:val="en-GB" w:eastAsia="en-GB"/>
        </w:rPr>
        <w:t>o</w:t>
      </w:r>
      <w:r w:rsidR="008B01D8">
        <w:rPr>
          <w:lang w:val="en-GB" w:eastAsia="en-GB"/>
        </w:rPr>
        <w:t>f</w:t>
      </w:r>
      <w:r w:rsidR="009579FF" w:rsidRPr="00720E24">
        <w:rPr>
          <w:lang w:val="en-GB" w:eastAsia="en-GB"/>
        </w:rPr>
        <w:t xml:space="preserve"> </w:t>
      </w:r>
      <w:r w:rsidR="006B25DF" w:rsidRPr="00720E24">
        <w:rPr>
          <w:lang w:val="en-GB" w:eastAsia="en-GB"/>
        </w:rPr>
        <w:t xml:space="preserve">the </w:t>
      </w:r>
      <w:r w:rsidR="00720E24" w:rsidRPr="00720E24">
        <w:rPr>
          <w:lang w:val="en-GB" w:eastAsia="en-GB"/>
        </w:rPr>
        <w:t xml:space="preserve">country’s economy </w:t>
      </w:r>
      <w:r w:rsidR="004E6FE6">
        <w:rPr>
          <w:lang w:val="en-GB" w:eastAsia="en-GB"/>
        </w:rPr>
        <w:t>and</w:t>
      </w:r>
      <w:r w:rsidR="008B01D8">
        <w:rPr>
          <w:lang w:val="en-GB" w:eastAsia="en-GB"/>
        </w:rPr>
        <w:t xml:space="preserve"> contribution to the</w:t>
      </w:r>
      <w:r w:rsidR="00720E24" w:rsidRPr="00720E24">
        <w:rPr>
          <w:lang w:val="en-GB" w:eastAsia="en-GB"/>
        </w:rPr>
        <w:t xml:space="preserve"> </w:t>
      </w:r>
      <w:r w:rsidR="009579FF" w:rsidRPr="00720E24">
        <w:rPr>
          <w:lang w:val="en-GB" w:eastAsia="en-GB"/>
        </w:rPr>
        <w:t>Gro</w:t>
      </w:r>
      <w:r w:rsidR="006B25DF" w:rsidRPr="00720E24">
        <w:rPr>
          <w:lang w:val="en-GB" w:eastAsia="en-GB"/>
        </w:rPr>
        <w:t xml:space="preserve">ss </w:t>
      </w:r>
      <w:r w:rsidR="009579FF" w:rsidRPr="00720E24">
        <w:rPr>
          <w:lang w:val="en-GB" w:eastAsia="en-GB"/>
        </w:rPr>
        <w:t>D</w:t>
      </w:r>
      <w:r w:rsidR="006B25DF" w:rsidRPr="00720E24">
        <w:rPr>
          <w:lang w:val="en-GB" w:eastAsia="en-GB"/>
        </w:rPr>
        <w:t xml:space="preserve">omestic </w:t>
      </w:r>
      <w:r w:rsidR="009579FF" w:rsidRPr="00720E24">
        <w:rPr>
          <w:lang w:val="en-GB" w:eastAsia="en-GB"/>
        </w:rPr>
        <w:t>P</w:t>
      </w:r>
      <w:r w:rsidR="006B25DF" w:rsidRPr="00720E24">
        <w:rPr>
          <w:lang w:val="en-GB" w:eastAsia="en-GB"/>
        </w:rPr>
        <w:t>roduct</w:t>
      </w:r>
      <w:r w:rsidR="00720E24">
        <w:rPr>
          <w:lang w:val="en-GB" w:eastAsia="en-GB"/>
        </w:rPr>
        <w:t xml:space="preserve"> (GDP).</w:t>
      </w:r>
    </w:p>
    <w:p w14:paraId="0290045D" w14:textId="77777777" w:rsidR="00720E24" w:rsidRPr="00720E24" w:rsidRDefault="00720E24" w:rsidP="00095C0E">
      <w:pPr>
        <w:autoSpaceDE w:val="0"/>
        <w:autoSpaceDN w:val="0"/>
        <w:adjustRightInd w:val="0"/>
        <w:spacing w:line="360" w:lineRule="auto"/>
        <w:jc w:val="both"/>
        <w:rPr>
          <w:lang w:val="en-GB" w:eastAsia="en-GB"/>
        </w:rPr>
      </w:pPr>
    </w:p>
    <w:p w14:paraId="6A041263" w14:textId="77777777" w:rsidR="001471FC" w:rsidRPr="00E844A0" w:rsidRDefault="002D7F4E" w:rsidP="007B4C0C">
      <w:pPr>
        <w:spacing w:line="360" w:lineRule="auto"/>
        <w:jc w:val="both"/>
      </w:pPr>
      <w:r w:rsidRPr="00F56E60">
        <w:t>The budget allocation of the Department (Budget Vote 24) for the 201</w:t>
      </w:r>
      <w:r w:rsidR="002F039A">
        <w:t>8</w:t>
      </w:r>
      <w:r w:rsidR="004A5538">
        <w:t>/1</w:t>
      </w:r>
      <w:r w:rsidR="002F039A">
        <w:t>9</w:t>
      </w:r>
      <w:r w:rsidRPr="00F56E60">
        <w:t xml:space="preserve"> financial year is R</w:t>
      </w:r>
      <w:r w:rsidR="002F039A">
        <w:t>7</w:t>
      </w:r>
      <w:r w:rsidRPr="00F56E60">
        <w:t>.</w:t>
      </w:r>
      <w:r w:rsidR="004E6FE6">
        <w:t>2</w:t>
      </w:r>
      <w:r w:rsidRPr="00F56E60">
        <w:t xml:space="preserve"> billion, a </w:t>
      </w:r>
      <w:r w:rsidR="00813A67">
        <w:t>slight increase</w:t>
      </w:r>
      <w:r w:rsidRPr="00F56E60">
        <w:t xml:space="preserve"> of R</w:t>
      </w:r>
      <w:r w:rsidR="002F039A">
        <w:t>3</w:t>
      </w:r>
      <w:r w:rsidR="00095395">
        <w:t>5</w:t>
      </w:r>
      <w:r w:rsidR="002F039A">
        <w:t>8</w:t>
      </w:r>
      <w:r w:rsidRPr="00F56E60">
        <w:t xml:space="preserve"> million from 201</w:t>
      </w:r>
      <w:r w:rsidR="002F039A">
        <w:t>7</w:t>
      </w:r>
      <w:r w:rsidR="00D729B9">
        <w:t>/1</w:t>
      </w:r>
      <w:r w:rsidR="002F039A">
        <w:t>8</w:t>
      </w:r>
      <w:r w:rsidRPr="00F56E60">
        <w:t xml:space="preserve">. </w:t>
      </w:r>
      <w:r w:rsidR="00EA71D6">
        <w:t xml:space="preserve">The budget </w:t>
      </w:r>
      <w:r w:rsidR="001471FC">
        <w:t xml:space="preserve">has been allocated </w:t>
      </w:r>
      <w:r w:rsidR="006B25DF">
        <w:t xml:space="preserve">according to the </w:t>
      </w:r>
      <w:r w:rsidR="001471FC">
        <w:t>six progra</w:t>
      </w:r>
      <w:r w:rsidR="00EA71D6">
        <w:t>mmes of the Department</w:t>
      </w:r>
      <w:r w:rsidR="000C3F6E">
        <w:t>,</w:t>
      </w:r>
      <w:r w:rsidR="00EA71D6">
        <w:t xml:space="preserve"> namely</w:t>
      </w:r>
      <w:r w:rsidR="000C3F6E">
        <w:t>,</w:t>
      </w:r>
      <w:r w:rsidR="00EA71D6">
        <w:t xml:space="preserve"> Programme 1: </w:t>
      </w:r>
      <w:r w:rsidR="00EA71D6" w:rsidRPr="007B4C0C">
        <w:t>Administration</w:t>
      </w:r>
      <w:r w:rsidR="00095395">
        <w:t>;</w:t>
      </w:r>
      <w:r w:rsidR="00EA71D6" w:rsidRPr="007B4C0C">
        <w:t xml:space="preserve"> Programme 2: Agricultural Production, Health and Food Safety</w:t>
      </w:r>
      <w:r w:rsidR="00095395">
        <w:t>;</w:t>
      </w:r>
      <w:r w:rsidR="00EA71D6" w:rsidRPr="007B4C0C">
        <w:t xml:space="preserve"> Programme 3: Food Security and Agrarian Reform</w:t>
      </w:r>
      <w:r w:rsidR="00095395">
        <w:t>;</w:t>
      </w:r>
      <w:r w:rsidR="00EA71D6" w:rsidRPr="007B4C0C">
        <w:t xml:space="preserve"> Programme 4: Trade Promotion and Market Access</w:t>
      </w:r>
      <w:r w:rsidR="00095395">
        <w:t>;</w:t>
      </w:r>
      <w:r w:rsidR="00EA71D6" w:rsidRPr="007B4C0C">
        <w:t xml:space="preserve"> Programme 5: Forestry and Natural Resources Management and Programme 6: Fisheries</w:t>
      </w:r>
      <w:r w:rsidR="006B25DF" w:rsidRPr="00E844A0">
        <w:t xml:space="preserve"> Management</w:t>
      </w:r>
      <w:r w:rsidR="00EA71D6" w:rsidRPr="00E844A0">
        <w:t xml:space="preserve">. </w:t>
      </w:r>
    </w:p>
    <w:p w14:paraId="39425F6C" w14:textId="77777777" w:rsidR="001471FC" w:rsidRDefault="001471FC" w:rsidP="00E844A0">
      <w:pPr>
        <w:spacing w:line="360" w:lineRule="auto"/>
        <w:jc w:val="both"/>
      </w:pPr>
    </w:p>
    <w:p w14:paraId="42537B97" w14:textId="77777777" w:rsidR="00966D3E" w:rsidRDefault="00813A67" w:rsidP="00813A67">
      <w:pPr>
        <w:spacing w:line="360" w:lineRule="auto"/>
        <w:jc w:val="both"/>
      </w:pPr>
      <w:r w:rsidRPr="007B4C0C">
        <w:t>Approximately 7</w:t>
      </w:r>
      <w:r w:rsidR="00095395">
        <w:t>6</w:t>
      </w:r>
      <w:r w:rsidRPr="007B4C0C">
        <w:t>% of the Department’s total budget for 201</w:t>
      </w:r>
      <w:r w:rsidR="00CD40DE">
        <w:t>8</w:t>
      </w:r>
      <w:r w:rsidRPr="007B4C0C">
        <w:t>/1</w:t>
      </w:r>
      <w:r w:rsidR="00CD40DE">
        <w:t>9</w:t>
      </w:r>
      <w:r w:rsidRPr="007B4C0C">
        <w:t xml:space="preserve"> will be allocated to three Programmes, namely, Programmes 2, 3 and 5. As indicated on</w:t>
      </w:r>
      <w:r>
        <w:t xml:space="preserve"> Table 1, the largest share is allocated to Programme 2 (Agricultural Production, Health and Food Safety), which constitute 3</w:t>
      </w:r>
      <w:r w:rsidR="00095395">
        <w:t>3</w:t>
      </w:r>
      <w:r>
        <w:t xml:space="preserve"> per cent of the total budget, followed by Programme 3 (Food Security and Agrarian Reform) with 28.</w:t>
      </w:r>
      <w:r w:rsidR="00CD40DE">
        <w:t>4</w:t>
      </w:r>
      <w:r>
        <w:t xml:space="preserve"> per cent and then Programme 5 (Forestry and Natural Resources Management) with 1</w:t>
      </w:r>
      <w:r w:rsidR="00095395">
        <w:t>5</w:t>
      </w:r>
      <w:r>
        <w:t xml:space="preserve"> per cent. </w:t>
      </w:r>
    </w:p>
    <w:p w14:paraId="17B92307" w14:textId="77777777" w:rsidR="00966D3E" w:rsidRDefault="00966D3E" w:rsidP="00813A67">
      <w:pPr>
        <w:spacing w:line="360" w:lineRule="auto"/>
        <w:jc w:val="both"/>
      </w:pPr>
    </w:p>
    <w:p w14:paraId="34818ED9" w14:textId="77777777" w:rsidR="00813A67" w:rsidRDefault="00813A67" w:rsidP="00813A67">
      <w:pPr>
        <w:spacing w:line="360" w:lineRule="auto"/>
        <w:jc w:val="both"/>
      </w:pPr>
      <w:r>
        <w:t xml:space="preserve">The Department’s budget allocation to these Programmes is aligned with its stated priority foci for the MTEF period, which are, </w:t>
      </w:r>
      <w:r w:rsidRPr="00E844A0">
        <w:rPr>
          <w:lang w:val="en-ZA"/>
        </w:rPr>
        <w:t xml:space="preserve">increasing food security, creating jobs and improving the contribution of agriculture to </w:t>
      </w:r>
      <w:r>
        <w:rPr>
          <w:lang w:val="en-ZA"/>
        </w:rPr>
        <w:t xml:space="preserve">the </w:t>
      </w:r>
      <w:r w:rsidRPr="00E844A0">
        <w:rPr>
          <w:lang w:val="en-ZA"/>
        </w:rPr>
        <w:t>GDP</w:t>
      </w:r>
      <w:r>
        <w:rPr>
          <w:lang w:val="en-ZA"/>
        </w:rPr>
        <w:t xml:space="preserve">. In addition, the </w:t>
      </w:r>
      <w:r>
        <w:t xml:space="preserve">three Programmes are responsible for Parliamentary Grant transfers to </w:t>
      </w:r>
      <w:r w:rsidR="00C80655">
        <w:t>E</w:t>
      </w:r>
      <w:r>
        <w:t xml:space="preserve">ntities and disbursement of </w:t>
      </w:r>
      <w:r>
        <w:lastRenderedPageBreak/>
        <w:t>conditional grants to provinces e.g. CASP through Programmes 3</w:t>
      </w:r>
      <w:r w:rsidR="00CD40DE">
        <w:t xml:space="preserve"> </w:t>
      </w:r>
      <w:r w:rsidR="008B01D8">
        <w:t>and</w:t>
      </w:r>
      <w:r w:rsidR="00CD40DE">
        <w:t xml:space="preserve"> 5</w:t>
      </w:r>
      <w:r>
        <w:t xml:space="preserve">; </w:t>
      </w:r>
      <w:r w:rsidR="00F7630D">
        <w:t>Ilima/Letsema through Programme 2</w:t>
      </w:r>
      <w:r w:rsidR="00980DC0">
        <w:t>;</w:t>
      </w:r>
      <w:r w:rsidR="00F7630D">
        <w:t xml:space="preserve"> </w:t>
      </w:r>
      <w:r>
        <w:t xml:space="preserve">and </w:t>
      </w:r>
      <w:r w:rsidR="00980DC0">
        <w:t xml:space="preserve">CASP (flood-damaged infrastructure) and </w:t>
      </w:r>
      <w:r>
        <w:t xml:space="preserve">LandCare through Programme 5.  Budget allocation to Programmes 2 and 3, which are priority programmes in terms of the Department’s focus for the MTEF, will increase at an average of </w:t>
      </w:r>
      <w:r w:rsidR="00A44342">
        <w:t>5</w:t>
      </w:r>
      <w:r>
        <w:t xml:space="preserve"> per cent and </w:t>
      </w:r>
      <w:r w:rsidR="00A44342">
        <w:t>7</w:t>
      </w:r>
      <w:r>
        <w:t xml:space="preserve"> per cent, respectively, over the MTEF period. </w:t>
      </w:r>
    </w:p>
    <w:p w14:paraId="6951E35C" w14:textId="77777777" w:rsidR="008704AC" w:rsidRDefault="008704AC" w:rsidP="00813A67">
      <w:pPr>
        <w:spacing w:line="360" w:lineRule="auto"/>
        <w:jc w:val="both"/>
        <w:rPr>
          <w:lang w:val="en-ZA"/>
        </w:rPr>
      </w:pPr>
    </w:p>
    <w:p w14:paraId="058C3A09" w14:textId="77777777" w:rsidR="003A0F2A" w:rsidRPr="009163A4" w:rsidRDefault="009163A4" w:rsidP="003A0F2A">
      <w:pPr>
        <w:jc w:val="both"/>
        <w:rPr>
          <w:b/>
          <w:lang w:val="en-ZA"/>
        </w:rPr>
      </w:pPr>
      <w:r>
        <w:rPr>
          <w:b/>
          <w:sz w:val="22"/>
          <w:szCs w:val="22"/>
          <w:lang w:val="en-ZA"/>
        </w:rPr>
        <w:t xml:space="preserve">  </w:t>
      </w:r>
      <w:r w:rsidR="003A0F2A" w:rsidRPr="009163A4">
        <w:rPr>
          <w:b/>
          <w:lang w:val="en-ZA"/>
        </w:rPr>
        <w:t>Table 1. Budget Allocation per Programme for the MTEF Period (201</w:t>
      </w:r>
      <w:r w:rsidR="00F57C59">
        <w:rPr>
          <w:b/>
          <w:lang w:val="en-ZA"/>
        </w:rPr>
        <w:t>8</w:t>
      </w:r>
      <w:r w:rsidR="003A0F2A" w:rsidRPr="009163A4">
        <w:rPr>
          <w:b/>
          <w:lang w:val="en-ZA"/>
        </w:rPr>
        <w:t>/1</w:t>
      </w:r>
      <w:r w:rsidR="00F57C59">
        <w:rPr>
          <w:b/>
          <w:lang w:val="en-ZA"/>
        </w:rPr>
        <w:t>9</w:t>
      </w:r>
      <w:r w:rsidR="003A0F2A" w:rsidRPr="009163A4">
        <w:rPr>
          <w:b/>
          <w:lang w:val="en-ZA"/>
        </w:rPr>
        <w:t xml:space="preserve"> – 20</w:t>
      </w:r>
      <w:r w:rsidR="00F57C59">
        <w:rPr>
          <w:b/>
          <w:lang w:val="en-ZA"/>
        </w:rPr>
        <w:t>20</w:t>
      </w:r>
      <w:r w:rsidR="003A0F2A" w:rsidRPr="009163A4">
        <w:rPr>
          <w:b/>
          <w:lang w:val="en-ZA"/>
        </w:rPr>
        <w:t>/</w:t>
      </w:r>
      <w:r w:rsidR="00EA71D6" w:rsidRPr="009163A4">
        <w:rPr>
          <w:b/>
          <w:lang w:val="en-ZA"/>
        </w:rPr>
        <w:t>2</w:t>
      </w:r>
      <w:r w:rsidR="00F57C59">
        <w:rPr>
          <w:b/>
          <w:lang w:val="en-ZA"/>
        </w:rPr>
        <w:t>1</w:t>
      </w:r>
      <w:r w:rsidR="003A0F2A" w:rsidRPr="009163A4">
        <w:rPr>
          <w:b/>
          <w:lang w:val="en-ZA"/>
        </w:rPr>
        <w:t>)</w:t>
      </w:r>
    </w:p>
    <w:p w14:paraId="6F9B172D" w14:textId="77777777" w:rsidR="005E6066" w:rsidRPr="00F56E60" w:rsidRDefault="005E6066" w:rsidP="003A0F2A">
      <w:pPr>
        <w:jc w:val="both"/>
        <w:rPr>
          <w:sz w:val="22"/>
          <w:szCs w:val="22"/>
          <w:lang w:val="en-ZA"/>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8"/>
        <w:gridCol w:w="1392"/>
        <w:gridCol w:w="1710"/>
        <w:gridCol w:w="1710"/>
      </w:tblGrid>
      <w:tr w:rsidR="00EA71D6" w:rsidRPr="00F56E60" w14:paraId="35206B57" w14:textId="77777777" w:rsidTr="009B1879">
        <w:tc>
          <w:tcPr>
            <w:tcW w:w="2430" w:type="dxa"/>
          </w:tcPr>
          <w:p w14:paraId="2BD5041F" w14:textId="77777777" w:rsidR="00EA71D6" w:rsidRPr="00F56E60" w:rsidRDefault="00EA71D6" w:rsidP="00D729B9">
            <w:pPr>
              <w:jc w:val="both"/>
              <w:rPr>
                <w:b/>
                <w:sz w:val="22"/>
                <w:szCs w:val="22"/>
                <w:lang w:val="en-ZA"/>
              </w:rPr>
            </w:pPr>
          </w:p>
          <w:p w14:paraId="260BECF5" w14:textId="77777777" w:rsidR="00EA71D6" w:rsidRPr="00F56E60" w:rsidRDefault="00EA71D6" w:rsidP="00D729B9">
            <w:pPr>
              <w:jc w:val="both"/>
              <w:rPr>
                <w:b/>
                <w:sz w:val="22"/>
                <w:szCs w:val="22"/>
                <w:lang w:val="en-ZA"/>
              </w:rPr>
            </w:pPr>
            <w:r w:rsidRPr="00F56E60">
              <w:rPr>
                <w:b/>
                <w:sz w:val="22"/>
                <w:szCs w:val="22"/>
                <w:lang w:val="en-ZA"/>
              </w:rPr>
              <w:t>Programme</w:t>
            </w:r>
          </w:p>
        </w:tc>
        <w:tc>
          <w:tcPr>
            <w:tcW w:w="1398" w:type="dxa"/>
            <w:shd w:val="clear" w:color="auto" w:fill="D9D9D9"/>
          </w:tcPr>
          <w:p w14:paraId="328E48B9" w14:textId="77777777" w:rsidR="00EA71D6" w:rsidRPr="009B1879" w:rsidRDefault="00EA71D6" w:rsidP="00D729B9">
            <w:pPr>
              <w:jc w:val="both"/>
              <w:rPr>
                <w:b/>
                <w:sz w:val="22"/>
                <w:szCs w:val="22"/>
                <w:lang w:val="en-ZA"/>
              </w:rPr>
            </w:pPr>
          </w:p>
          <w:p w14:paraId="1788B342" w14:textId="77777777" w:rsidR="00EA71D6" w:rsidRPr="009B1879" w:rsidRDefault="00EA71D6" w:rsidP="00F57C59">
            <w:pPr>
              <w:jc w:val="both"/>
              <w:rPr>
                <w:b/>
                <w:sz w:val="22"/>
                <w:szCs w:val="22"/>
                <w:lang w:val="en-ZA"/>
              </w:rPr>
            </w:pPr>
            <w:r w:rsidRPr="009B1879">
              <w:rPr>
                <w:b/>
                <w:sz w:val="22"/>
                <w:szCs w:val="22"/>
                <w:lang w:val="en-ZA"/>
              </w:rPr>
              <w:t>201</w:t>
            </w:r>
            <w:r w:rsidR="00F57C59">
              <w:rPr>
                <w:b/>
                <w:sz w:val="22"/>
                <w:szCs w:val="22"/>
                <w:lang w:val="en-ZA"/>
              </w:rPr>
              <w:t>8</w:t>
            </w:r>
            <w:r w:rsidRPr="009B1879">
              <w:rPr>
                <w:b/>
                <w:sz w:val="22"/>
                <w:szCs w:val="22"/>
                <w:lang w:val="en-ZA"/>
              </w:rPr>
              <w:t>/1</w:t>
            </w:r>
            <w:r w:rsidR="00F57C59">
              <w:rPr>
                <w:b/>
                <w:sz w:val="22"/>
                <w:szCs w:val="22"/>
                <w:lang w:val="en-ZA"/>
              </w:rPr>
              <w:t>9</w:t>
            </w:r>
            <w:r w:rsidRPr="009B1879">
              <w:rPr>
                <w:b/>
                <w:sz w:val="22"/>
                <w:szCs w:val="22"/>
                <w:lang w:val="en-ZA"/>
              </w:rPr>
              <w:t xml:space="preserve"> allocation</w:t>
            </w:r>
          </w:p>
        </w:tc>
        <w:tc>
          <w:tcPr>
            <w:tcW w:w="1392" w:type="dxa"/>
            <w:shd w:val="clear" w:color="auto" w:fill="D9D9D9"/>
          </w:tcPr>
          <w:p w14:paraId="72519A7A" w14:textId="77777777" w:rsidR="00EA71D6" w:rsidRPr="00F56E60" w:rsidRDefault="00EA71D6" w:rsidP="00D729B9">
            <w:pPr>
              <w:jc w:val="both"/>
              <w:rPr>
                <w:b/>
                <w:sz w:val="22"/>
                <w:szCs w:val="22"/>
                <w:lang w:val="en-ZA"/>
              </w:rPr>
            </w:pPr>
          </w:p>
          <w:p w14:paraId="3FA040AB" w14:textId="77777777" w:rsidR="00EA71D6" w:rsidRPr="00F56E60" w:rsidRDefault="00EA71D6" w:rsidP="00D729B9">
            <w:pPr>
              <w:jc w:val="both"/>
              <w:rPr>
                <w:b/>
                <w:sz w:val="22"/>
                <w:szCs w:val="22"/>
                <w:lang w:val="en-ZA"/>
              </w:rPr>
            </w:pPr>
            <w:r w:rsidRPr="00F56E60">
              <w:rPr>
                <w:b/>
                <w:sz w:val="22"/>
                <w:szCs w:val="22"/>
                <w:lang w:val="en-ZA"/>
              </w:rPr>
              <w:t>201</w:t>
            </w:r>
            <w:r w:rsidR="00F57C59">
              <w:rPr>
                <w:b/>
                <w:sz w:val="22"/>
                <w:szCs w:val="22"/>
                <w:lang w:val="en-ZA"/>
              </w:rPr>
              <w:t>9</w:t>
            </w:r>
            <w:r w:rsidRPr="00F56E60">
              <w:rPr>
                <w:b/>
                <w:sz w:val="22"/>
                <w:szCs w:val="22"/>
                <w:lang w:val="en-ZA"/>
              </w:rPr>
              <w:t>/</w:t>
            </w:r>
            <w:r w:rsidR="00F57C59">
              <w:rPr>
                <w:b/>
                <w:sz w:val="22"/>
                <w:szCs w:val="22"/>
                <w:lang w:val="en-ZA"/>
              </w:rPr>
              <w:t>20</w:t>
            </w:r>
            <w:r w:rsidRPr="00F56E60">
              <w:rPr>
                <w:b/>
                <w:sz w:val="22"/>
                <w:szCs w:val="22"/>
                <w:lang w:val="en-ZA"/>
              </w:rPr>
              <w:t xml:space="preserve"> </w:t>
            </w:r>
          </w:p>
          <w:p w14:paraId="01DDADD3" w14:textId="77777777" w:rsidR="00EA71D6" w:rsidRPr="00F56E60" w:rsidRDefault="00EA71D6" w:rsidP="00D729B9">
            <w:pPr>
              <w:jc w:val="both"/>
              <w:rPr>
                <w:b/>
                <w:sz w:val="22"/>
                <w:szCs w:val="22"/>
                <w:lang w:val="en-ZA"/>
              </w:rPr>
            </w:pPr>
            <w:r w:rsidRPr="00F56E60">
              <w:rPr>
                <w:b/>
                <w:sz w:val="22"/>
                <w:szCs w:val="22"/>
                <w:lang w:val="en-ZA"/>
              </w:rPr>
              <w:t>allocation</w:t>
            </w:r>
          </w:p>
        </w:tc>
        <w:tc>
          <w:tcPr>
            <w:tcW w:w="1710" w:type="dxa"/>
            <w:shd w:val="clear" w:color="auto" w:fill="D9D9D9"/>
          </w:tcPr>
          <w:p w14:paraId="306238FE" w14:textId="77777777" w:rsidR="00EA71D6" w:rsidRDefault="00EA71D6" w:rsidP="00D729B9">
            <w:pPr>
              <w:jc w:val="both"/>
              <w:rPr>
                <w:b/>
                <w:sz w:val="22"/>
                <w:szCs w:val="22"/>
                <w:lang w:val="en-ZA"/>
              </w:rPr>
            </w:pPr>
          </w:p>
          <w:p w14:paraId="43312ABD" w14:textId="77777777" w:rsidR="00EA71D6" w:rsidRDefault="00EA71D6" w:rsidP="00D729B9">
            <w:pPr>
              <w:jc w:val="both"/>
              <w:rPr>
                <w:b/>
                <w:sz w:val="22"/>
                <w:szCs w:val="22"/>
                <w:lang w:val="en-ZA"/>
              </w:rPr>
            </w:pPr>
            <w:r>
              <w:rPr>
                <w:b/>
                <w:sz w:val="22"/>
                <w:szCs w:val="22"/>
                <w:lang w:val="en-ZA"/>
              </w:rPr>
              <w:t>20</w:t>
            </w:r>
            <w:r w:rsidR="00F57C59">
              <w:rPr>
                <w:b/>
                <w:sz w:val="22"/>
                <w:szCs w:val="22"/>
                <w:lang w:val="en-ZA"/>
              </w:rPr>
              <w:t>20</w:t>
            </w:r>
            <w:r>
              <w:rPr>
                <w:b/>
                <w:sz w:val="22"/>
                <w:szCs w:val="22"/>
                <w:lang w:val="en-ZA"/>
              </w:rPr>
              <w:t>/2</w:t>
            </w:r>
            <w:r w:rsidR="00F57C59">
              <w:rPr>
                <w:b/>
                <w:sz w:val="22"/>
                <w:szCs w:val="22"/>
                <w:lang w:val="en-ZA"/>
              </w:rPr>
              <w:t>1</w:t>
            </w:r>
          </w:p>
          <w:p w14:paraId="5041638F" w14:textId="77777777" w:rsidR="00EA71D6" w:rsidRPr="00F56E60" w:rsidRDefault="00EA71D6" w:rsidP="00D729B9">
            <w:pPr>
              <w:jc w:val="both"/>
              <w:rPr>
                <w:b/>
                <w:sz w:val="22"/>
                <w:szCs w:val="22"/>
                <w:lang w:val="en-ZA"/>
              </w:rPr>
            </w:pPr>
            <w:r>
              <w:rPr>
                <w:b/>
                <w:sz w:val="22"/>
                <w:szCs w:val="22"/>
                <w:lang w:val="en-ZA"/>
              </w:rPr>
              <w:t>allocation</w:t>
            </w:r>
          </w:p>
        </w:tc>
        <w:tc>
          <w:tcPr>
            <w:tcW w:w="1710" w:type="dxa"/>
            <w:shd w:val="clear" w:color="auto" w:fill="D9D9D9"/>
          </w:tcPr>
          <w:p w14:paraId="7795490D" w14:textId="77777777" w:rsidR="00EA71D6" w:rsidRPr="00F56E60" w:rsidRDefault="00A44342" w:rsidP="00A44342">
            <w:pPr>
              <w:jc w:val="both"/>
              <w:rPr>
                <w:b/>
                <w:sz w:val="22"/>
                <w:szCs w:val="22"/>
                <w:lang w:val="en-ZA"/>
              </w:rPr>
            </w:pPr>
            <w:r w:rsidRPr="00F56E60">
              <w:rPr>
                <w:b/>
                <w:sz w:val="22"/>
                <w:szCs w:val="22"/>
                <w:lang w:val="en-ZA"/>
              </w:rPr>
              <w:t>P</w:t>
            </w:r>
            <w:r>
              <w:rPr>
                <w:b/>
                <w:sz w:val="22"/>
                <w:szCs w:val="22"/>
                <w:lang w:val="en-ZA"/>
              </w:rPr>
              <w:t xml:space="preserve">roportion </w:t>
            </w:r>
            <w:r w:rsidR="00340DEC">
              <w:rPr>
                <w:b/>
                <w:sz w:val="22"/>
                <w:szCs w:val="22"/>
                <w:lang w:val="en-ZA"/>
              </w:rPr>
              <w:t xml:space="preserve">of </w:t>
            </w:r>
            <w:r w:rsidR="004404BA">
              <w:rPr>
                <w:b/>
                <w:sz w:val="22"/>
                <w:szCs w:val="22"/>
                <w:lang w:val="en-ZA"/>
              </w:rPr>
              <w:t xml:space="preserve">the </w:t>
            </w:r>
            <w:r w:rsidR="00EA71D6">
              <w:rPr>
                <w:b/>
                <w:sz w:val="22"/>
                <w:szCs w:val="22"/>
                <w:lang w:val="en-ZA"/>
              </w:rPr>
              <w:t xml:space="preserve">total </w:t>
            </w:r>
            <w:r>
              <w:rPr>
                <w:b/>
                <w:sz w:val="22"/>
                <w:szCs w:val="22"/>
                <w:lang w:val="en-ZA"/>
              </w:rPr>
              <w:t xml:space="preserve">Vote </w:t>
            </w:r>
            <w:r w:rsidR="004404BA">
              <w:rPr>
                <w:b/>
                <w:sz w:val="22"/>
                <w:szCs w:val="22"/>
                <w:lang w:val="en-ZA"/>
              </w:rPr>
              <w:t xml:space="preserve">for </w:t>
            </w:r>
            <w:r w:rsidR="00EA71D6">
              <w:rPr>
                <w:b/>
                <w:sz w:val="22"/>
                <w:szCs w:val="22"/>
                <w:lang w:val="en-ZA"/>
              </w:rPr>
              <w:t>201</w:t>
            </w:r>
            <w:r w:rsidR="00F57C59">
              <w:rPr>
                <w:b/>
                <w:sz w:val="22"/>
                <w:szCs w:val="22"/>
                <w:lang w:val="en-ZA"/>
              </w:rPr>
              <w:t>8</w:t>
            </w:r>
            <w:r w:rsidR="00EA71D6">
              <w:rPr>
                <w:b/>
                <w:sz w:val="22"/>
                <w:szCs w:val="22"/>
                <w:lang w:val="en-ZA"/>
              </w:rPr>
              <w:t>/1</w:t>
            </w:r>
            <w:r w:rsidR="00F57C59">
              <w:rPr>
                <w:b/>
                <w:sz w:val="22"/>
                <w:szCs w:val="22"/>
                <w:lang w:val="en-ZA"/>
              </w:rPr>
              <w:t>9</w:t>
            </w:r>
          </w:p>
        </w:tc>
      </w:tr>
      <w:tr w:rsidR="00EA71D6" w:rsidRPr="00F56E60" w14:paraId="6A587758" w14:textId="77777777" w:rsidTr="009B1879">
        <w:tc>
          <w:tcPr>
            <w:tcW w:w="2430" w:type="dxa"/>
          </w:tcPr>
          <w:p w14:paraId="37C2A692" w14:textId="77777777" w:rsidR="00EA71D6" w:rsidRPr="00F56E60" w:rsidRDefault="00EA71D6" w:rsidP="00D729B9">
            <w:pPr>
              <w:jc w:val="both"/>
              <w:rPr>
                <w:b/>
                <w:sz w:val="22"/>
                <w:szCs w:val="22"/>
                <w:lang w:val="en-ZA"/>
              </w:rPr>
            </w:pPr>
            <w:r w:rsidRPr="00F56E60">
              <w:rPr>
                <w:b/>
                <w:sz w:val="22"/>
                <w:szCs w:val="22"/>
                <w:lang w:val="en-ZA"/>
              </w:rPr>
              <w:t>R Million</w:t>
            </w:r>
          </w:p>
        </w:tc>
        <w:tc>
          <w:tcPr>
            <w:tcW w:w="1398" w:type="dxa"/>
            <w:shd w:val="clear" w:color="auto" w:fill="D9D9D9"/>
          </w:tcPr>
          <w:p w14:paraId="417D1132" w14:textId="77777777" w:rsidR="00EA71D6" w:rsidRPr="009B1879" w:rsidRDefault="00EA71D6" w:rsidP="00D729B9">
            <w:pPr>
              <w:jc w:val="both"/>
              <w:rPr>
                <w:sz w:val="22"/>
                <w:szCs w:val="22"/>
                <w:lang w:val="en-ZA"/>
              </w:rPr>
            </w:pPr>
          </w:p>
        </w:tc>
        <w:tc>
          <w:tcPr>
            <w:tcW w:w="1392" w:type="dxa"/>
          </w:tcPr>
          <w:p w14:paraId="7609830D" w14:textId="77777777" w:rsidR="00EA71D6" w:rsidRPr="00F56E60" w:rsidRDefault="00EA71D6" w:rsidP="00D729B9">
            <w:pPr>
              <w:jc w:val="both"/>
              <w:rPr>
                <w:sz w:val="22"/>
                <w:szCs w:val="22"/>
                <w:lang w:val="en-ZA"/>
              </w:rPr>
            </w:pPr>
          </w:p>
        </w:tc>
        <w:tc>
          <w:tcPr>
            <w:tcW w:w="1710" w:type="dxa"/>
            <w:shd w:val="clear" w:color="auto" w:fill="auto"/>
          </w:tcPr>
          <w:p w14:paraId="65F58C65" w14:textId="77777777" w:rsidR="00EA71D6" w:rsidRPr="00F56E60" w:rsidRDefault="00EA71D6" w:rsidP="00D729B9">
            <w:pPr>
              <w:jc w:val="both"/>
              <w:rPr>
                <w:sz w:val="22"/>
                <w:szCs w:val="22"/>
                <w:lang w:val="en-ZA"/>
              </w:rPr>
            </w:pPr>
          </w:p>
        </w:tc>
        <w:tc>
          <w:tcPr>
            <w:tcW w:w="1710" w:type="dxa"/>
          </w:tcPr>
          <w:p w14:paraId="1817F681" w14:textId="77777777" w:rsidR="00EA71D6" w:rsidRPr="00F56E60" w:rsidRDefault="00EA71D6" w:rsidP="00D729B9">
            <w:pPr>
              <w:jc w:val="both"/>
              <w:rPr>
                <w:sz w:val="22"/>
                <w:szCs w:val="22"/>
                <w:lang w:val="en-ZA"/>
              </w:rPr>
            </w:pPr>
          </w:p>
        </w:tc>
      </w:tr>
      <w:tr w:rsidR="00EA71D6" w:rsidRPr="00F56E60" w14:paraId="727B83B2" w14:textId="77777777" w:rsidTr="009B1879">
        <w:tc>
          <w:tcPr>
            <w:tcW w:w="2430" w:type="dxa"/>
          </w:tcPr>
          <w:p w14:paraId="5EE76BEB" w14:textId="77777777" w:rsidR="00EA71D6" w:rsidRPr="00F56E60" w:rsidRDefault="00EA71D6" w:rsidP="00D729B9">
            <w:pPr>
              <w:rPr>
                <w:sz w:val="22"/>
                <w:szCs w:val="22"/>
                <w:lang w:val="en-ZA"/>
              </w:rPr>
            </w:pPr>
            <w:r w:rsidRPr="009B1879">
              <w:rPr>
                <w:b/>
                <w:sz w:val="22"/>
                <w:szCs w:val="22"/>
                <w:lang w:val="en-ZA"/>
              </w:rPr>
              <w:t>1.</w:t>
            </w:r>
            <w:r w:rsidRPr="00F56E60">
              <w:rPr>
                <w:sz w:val="22"/>
                <w:szCs w:val="22"/>
                <w:lang w:val="en-ZA"/>
              </w:rPr>
              <w:t xml:space="preserve">  Administration </w:t>
            </w:r>
          </w:p>
        </w:tc>
        <w:tc>
          <w:tcPr>
            <w:tcW w:w="1398" w:type="dxa"/>
            <w:shd w:val="clear" w:color="auto" w:fill="D9D9D9"/>
          </w:tcPr>
          <w:p w14:paraId="6F24075C" w14:textId="77777777" w:rsidR="00EA71D6" w:rsidRPr="009B1879" w:rsidRDefault="00EA71D6" w:rsidP="00E37D98">
            <w:pPr>
              <w:jc w:val="both"/>
              <w:rPr>
                <w:sz w:val="22"/>
                <w:szCs w:val="22"/>
                <w:lang w:val="en-ZA"/>
              </w:rPr>
            </w:pPr>
            <w:r w:rsidRPr="009B1879">
              <w:rPr>
                <w:sz w:val="22"/>
                <w:szCs w:val="22"/>
                <w:lang w:val="en-ZA"/>
              </w:rPr>
              <w:t>R   92</w:t>
            </w:r>
            <w:r w:rsidR="00F57C59">
              <w:rPr>
                <w:sz w:val="22"/>
                <w:szCs w:val="22"/>
                <w:lang w:val="en-ZA"/>
              </w:rPr>
              <w:t>3</w:t>
            </w:r>
            <w:r w:rsidRPr="009B1879">
              <w:rPr>
                <w:sz w:val="22"/>
                <w:szCs w:val="22"/>
                <w:lang w:val="en-ZA"/>
              </w:rPr>
              <w:t>.</w:t>
            </w:r>
            <w:r w:rsidR="00E37D98">
              <w:rPr>
                <w:sz w:val="22"/>
                <w:szCs w:val="22"/>
                <w:lang w:val="en-ZA"/>
              </w:rPr>
              <w:t>2</w:t>
            </w:r>
          </w:p>
        </w:tc>
        <w:tc>
          <w:tcPr>
            <w:tcW w:w="1392" w:type="dxa"/>
          </w:tcPr>
          <w:p w14:paraId="543B5154" w14:textId="77777777" w:rsidR="00EA71D6" w:rsidRPr="00F56E60" w:rsidRDefault="00EA71D6" w:rsidP="00E37D98">
            <w:pPr>
              <w:jc w:val="both"/>
              <w:rPr>
                <w:sz w:val="22"/>
                <w:szCs w:val="22"/>
                <w:lang w:val="en-ZA"/>
              </w:rPr>
            </w:pPr>
            <w:r w:rsidRPr="00F56E60">
              <w:rPr>
                <w:sz w:val="22"/>
                <w:szCs w:val="22"/>
                <w:lang w:val="en-ZA"/>
              </w:rPr>
              <w:t>R</w:t>
            </w:r>
            <w:r>
              <w:rPr>
                <w:sz w:val="22"/>
                <w:szCs w:val="22"/>
                <w:lang w:val="en-ZA"/>
              </w:rPr>
              <w:t xml:space="preserve">   9</w:t>
            </w:r>
            <w:r w:rsidR="00E37D98">
              <w:rPr>
                <w:sz w:val="22"/>
                <w:szCs w:val="22"/>
                <w:lang w:val="en-ZA"/>
              </w:rPr>
              <w:t>31</w:t>
            </w:r>
            <w:r>
              <w:rPr>
                <w:sz w:val="22"/>
                <w:szCs w:val="22"/>
                <w:lang w:val="en-ZA"/>
              </w:rPr>
              <w:t>.</w:t>
            </w:r>
            <w:r w:rsidR="00E37D98">
              <w:rPr>
                <w:sz w:val="22"/>
                <w:szCs w:val="22"/>
                <w:lang w:val="en-ZA"/>
              </w:rPr>
              <w:t>5</w:t>
            </w:r>
          </w:p>
        </w:tc>
        <w:tc>
          <w:tcPr>
            <w:tcW w:w="1710" w:type="dxa"/>
            <w:shd w:val="clear" w:color="auto" w:fill="auto"/>
          </w:tcPr>
          <w:p w14:paraId="02ABD591" w14:textId="77777777" w:rsidR="00EA71D6" w:rsidRPr="00F56E60" w:rsidRDefault="00EA71D6" w:rsidP="00E37D98">
            <w:pPr>
              <w:jc w:val="both"/>
              <w:rPr>
                <w:sz w:val="22"/>
                <w:szCs w:val="22"/>
                <w:lang w:val="en-ZA"/>
              </w:rPr>
            </w:pPr>
            <w:r>
              <w:rPr>
                <w:sz w:val="22"/>
                <w:szCs w:val="22"/>
                <w:lang w:val="en-ZA"/>
              </w:rPr>
              <w:t>R   9</w:t>
            </w:r>
            <w:r w:rsidR="00E37D98">
              <w:rPr>
                <w:sz w:val="22"/>
                <w:szCs w:val="22"/>
                <w:lang w:val="en-ZA"/>
              </w:rPr>
              <w:t>38</w:t>
            </w:r>
            <w:r>
              <w:rPr>
                <w:sz w:val="22"/>
                <w:szCs w:val="22"/>
                <w:lang w:val="en-ZA"/>
              </w:rPr>
              <w:t>.</w:t>
            </w:r>
            <w:r w:rsidR="00E37D98">
              <w:rPr>
                <w:sz w:val="22"/>
                <w:szCs w:val="22"/>
                <w:lang w:val="en-ZA"/>
              </w:rPr>
              <w:t>0</w:t>
            </w:r>
          </w:p>
        </w:tc>
        <w:tc>
          <w:tcPr>
            <w:tcW w:w="1710" w:type="dxa"/>
          </w:tcPr>
          <w:p w14:paraId="152CCB2F" w14:textId="77777777" w:rsidR="00EA71D6" w:rsidRPr="00DB75AA" w:rsidRDefault="00EA71D6" w:rsidP="00095395">
            <w:pPr>
              <w:jc w:val="both"/>
              <w:rPr>
                <w:sz w:val="22"/>
                <w:szCs w:val="22"/>
                <w:lang w:val="en-ZA"/>
              </w:rPr>
            </w:pPr>
            <w:r w:rsidRPr="00DB75AA">
              <w:rPr>
                <w:sz w:val="22"/>
                <w:szCs w:val="22"/>
                <w:lang w:val="en-ZA"/>
              </w:rPr>
              <w:t>1</w:t>
            </w:r>
            <w:r w:rsidR="00095395">
              <w:rPr>
                <w:sz w:val="22"/>
                <w:szCs w:val="22"/>
                <w:lang w:val="en-ZA"/>
              </w:rPr>
              <w:t>2</w:t>
            </w:r>
            <w:r w:rsidRPr="00DB75AA">
              <w:rPr>
                <w:sz w:val="22"/>
                <w:szCs w:val="22"/>
                <w:lang w:val="en-ZA"/>
              </w:rPr>
              <w:t>.</w:t>
            </w:r>
            <w:r w:rsidR="00095395">
              <w:rPr>
                <w:sz w:val="22"/>
                <w:szCs w:val="22"/>
                <w:lang w:val="en-ZA"/>
              </w:rPr>
              <w:t>9</w:t>
            </w:r>
            <w:r w:rsidRPr="00DB75AA">
              <w:rPr>
                <w:sz w:val="22"/>
                <w:szCs w:val="22"/>
                <w:lang w:val="en-ZA"/>
              </w:rPr>
              <w:t xml:space="preserve"> %</w:t>
            </w:r>
          </w:p>
        </w:tc>
      </w:tr>
      <w:tr w:rsidR="00EA71D6" w:rsidRPr="00F56E60" w14:paraId="569B5932" w14:textId="77777777" w:rsidTr="009B1879">
        <w:tc>
          <w:tcPr>
            <w:tcW w:w="2430" w:type="dxa"/>
          </w:tcPr>
          <w:p w14:paraId="0778284C" w14:textId="77777777" w:rsidR="00EA71D6" w:rsidRPr="00F56E60" w:rsidRDefault="00EA71D6" w:rsidP="00D729B9">
            <w:pPr>
              <w:rPr>
                <w:sz w:val="22"/>
                <w:szCs w:val="22"/>
                <w:lang w:val="en-ZA"/>
              </w:rPr>
            </w:pPr>
            <w:r w:rsidRPr="009B1879">
              <w:rPr>
                <w:b/>
                <w:sz w:val="22"/>
                <w:szCs w:val="22"/>
                <w:lang w:val="en-ZA"/>
              </w:rPr>
              <w:t>2.</w:t>
            </w:r>
            <w:r w:rsidRPr="00F56E60">
              <w:rPr>
                <w:sz w:val="22"/>
                <w:szCs w:val="22"/>
                <w:lang w:val="en-ZA"/>
              </w:rPr>
              <w:t xml:space="preserve"> Agricultural Production, Health </w:t>
            </w:r>
            <w:r>
              <w:rPr>
                <w:sz w:val="22"/>
                <w:szCs w:val="22"/>
                <w:lang w:val="en-ZA"/>
              </w:rPr>
              <w:t xml:space="preserve">&amp; </w:t>
            </w:r>
            <w:r w:rsidRPr="00F56E60">
              <w:rPr>
                <w:sz w:val="22"/>
                <w:szCs w:val="22"/>
                <w:lang w:val="en-ZA"/>
              </w:rPr>
              <w:t xml:space="preserve"> Food Safety</w:t>
            </w:r>
          </w:p>
        </w:tc>
        <w:tc>
          <w:tcPr>
            <w:tcW w:w="1398" w:type="dxa"/>
            <w:shd w:val="clear" w:color="auto" w:fill="D9D9D9"/>
          </w:tcPr>
          <w:p w14:paraId="27AE9CFD" w14:textId="77777777" w:rsidR="00EA71D6" w:rsidRPr="009B1879" w:rsidRDefault="00EA71D6" w:rsidP="00D729B9">
            <w:pPr>
              <w:jc w:val="both"/>
              <w:rPr>
                <w:sz w:val="22"/>
                <w:szCs w:val="22"/>
                <w:lang w:val="en-ZA"/>
              </w:rPr>
            </w:pPr>
          </w:p>
          <w:p w14:paraId="70C96448" w14:textId="77777777" w:rsidR="00EA71D6" w:rsidRPr="009B1879" w:rsidRDefault="00EA71D6" w:rsidP="00E37D98">
            <w:pPr>
              <w:jc w:val="both"/>
              <w:rPr>
                <w:sz w:val="22"/>
                <w:szCs w:val="22"/>
                <w:lang w:val="en-ZA"/>
              </w:rPr>
            </w:pPr>
            <w:r w:rsidRPr="009B1879">
              <w:rPr>
                <w:sz w:val="22"/>
                <w:szCs w:val="22"/>
                <w:lang w:val="en-ZA"/>
              </w:rPr>
              <w:t>R2 </w:t>
            </w:r>
            <w:r w:rsidR="00E37D98">
              <w:rPr>
                <w:sz w:val="22"/>
                <w:szCs w:val="22"/>
                <w:lang w:val="en-ZA"/>
              </w:rPr>
              <w:t>367</w:t>
            </w:r>
            <w:r w:rsidRPr="009B1879">
              <w:rPr>
                <w:sz w:val="22"/>
                <w:szCs w:val="22"/>
                <w:lang w:val="en-ZA"/>
              </w:rPr>
              <w:t>.</w:t>
            </w:r>
            <w:r w:rsidR="00E37D98">
              <w:rPr>
                <w:sz w:val="22"/>
                <w:szCs w:val="22"/>
                <w:lang w:val="en-ZA"/>
              </w:rPr>
              <w:t>1</w:t>
            </w:r>
          </w:p>
        </w:tc>
        <w:tc>
          <w:tcPr>
            <w:tcW w:w="1392" w:type="dxa"/>
          </w:tcPr>
          <w:p w14:paraId="79191E35" w14:textId="77777777" w:rsidR="00EA71D6" w:rsidRPr="00F56E60" w:rsidRDefault="00EA71D6" w:rsidP="00D729B9">
            <w:pPr>
              <w:jc w:val="both"/>
              <w:rPr>
                <w:sz w:val="22"/>
                <w:szCs w:val="22"/>
                <w:lang w:val="en-ZA"/>
              </w:rPr>
            </w:pPr>
          </w:p>
          <w:p w14:paraId="53A8C16D" w14:textId="77777777" w:rsidR="00EA71D6" w:rsidRPr="00F56E60" w:rsidRDefault="00EA71D6" w:rsidP="00E37D98">
            <w:pPr>
              <w:jc w:val="both"/>
              <w:rPr>
                <w:sz w:val="22"/>
                <w:szCs w:val="22"/>
                <w:lang w:val="en-ZA"/>
              </w:rPr>
            </w:pPr>
            <w:r w:rsidRPr="00F56E60">
              <w:rPr>
                <w:sz w:val="22"/>
                <w:szCs w:val="22"/>
                <w:lang w:val="en-ZA"/>
              </w:rPr>
              <w:t>R2 </w:t>
            </w:r>
            <w:r w:rsidR="00E37D98">
              <w:rPr>
                <w:sz w:val="22"/>
                <w:szCs w:val="22"/>
                <w:lang w:val="en-ZA"/>
              </w:rPr>
              <w:t>507</w:t>
            </w:r>
            <w:r>
              <w:rPr>
                <w:sz w:val="22"/>
                <w:szCs w:val="22"/>
                <w:lang w:val="en-ZA"/>
              </w:rPr>
              <w:t>.</w:t>
            </w:r>
            <w:r w:rsidR="00E37D98">
              <w:rPr>
                <w:sz w:val="22"/>
                <w:szCs w:val="22"/>
                <w:lang w:val="en-ZA"/>
              </w:rPr>
              <w:t>7</w:t>
            </w:r>
          </w:p>
        </w:tc>
        <w:tc>
          <w:tcPr>
            <w:tcW w:w="1710" w:type="dxa"/>
            <w:shd w:val="clear" w:color="auto" w:fill="auto"/>
          </w:tcPr>
          <w:p w14:paraId="0C115B47" w14:textId="77777777" w:rsidR="00EA71D6" w:rsidRDefault="00EA71D6" w:rsidP="00D729B9">
            <w:pPr>
              <w:jc w:val="both"/>
              <w:rPr>
                <w:sz w:val="22"/>
                <w:szCs w:val="22"/>
                <w:lang w:val="en-ZA"/>
              </w:rPr>
            </w:pPr>
          </w:p>
          <w:p w14:paraId="10E75CC2" w14:textId="77777777" w:rsidR="00EA71D6" w:rsidRPr="00F56E60" w:rsidRDefault="00EA71D6" w:rsidP="00E37D98">
            <w:pPr>
              <w:jc w:val="both"/>
              <w:rPr>
                <w:sz w:val="22"/>
                <w:szCs w:val="22"/>
                <w:lang w:val="en-ZA"/>
              </w:rPr>
            </w:pPr>
            <w:r>
              <w:rPr>
                <w:sz w:val="22"/>
                <w:szCs w:val="22"/>
                <w:lang w:val="en-ZA"/>
              </w:rPr>
              <w:t xml:space="preserve">R2 </w:t>
            </w:r>
            <w:r w:rsidR="00E37D98">
              <w:rPr>
                <w:sz w:val="22"/>
                <w:szCs w:val="22"/>
                <w:lang w:val="en-ZA"/>
              </w:rPr>
              <w:t>596</w:t>
            </w:r>
            <w:r>
              <w:rPr>
                <w:sz w:val="22"/>
                <w:szCs w:val="22"/>
                <w:lang w:val="en-ZA"/>
              </w:rPr>
              <w:t>.</w:t>
            </w:r>
            <w:r w:rsidR="00E37D98">
              <w:rPr>
                <w:sz w:val="22"/>
                <w:szCs w:val="22"/>
                <w:lang w:val="en-ZA"/>
              </w:rPr>
              <w:t>2</w:t>
            </w:r>
          </w:p>
        </w:tc>
        <w:tc>
          <w:tcPr>
            <w:tcW w:w="1710" w:type="dxa"/>
          </w:tcPr>
          <w:p w14:paraId="16DE272A" w14:textId="77777777" w:rsidR="00EA71D6" w:rsidRPr="00DB75AA" w:rsidRDefault="00EA71D6" w:rsidP="00D729B9">
            <w:pPr>
              <w:jc w:val="both"/>
              <w:rPr>
                <w:sz w:val="22"/>
                <w:szCs w:val="22"/>
                <w:lang w:val="en-ZA"/>
              </w:rPr>
            </w:pPr>
          </w:p>
          <w:p w14:paraId="639141EF" w14:textId="77777777" w:rsidR="00EA71D6" w:rsidRPr="00DB75AA" w:rsidRDefault="00EA71D6" w:rsidP="00095395">
            <w:pPr>
              <w:jc w:val="both"/>
              <w:rPr>
                <w:sz w:val="22"/>
                <w:szCs w:val="22"/>
                <w:lang w:val="en-ZA"/>
              </w:rPr>
            </w:pPr>
            <w:r w:rsidRPr="00DB75AA">
              <w:rPr>
                <w:sz w:val="22"/>
                <w:szCs w:val="22"/>
                <w:lang w:val="en-ZA"/>
              </w:rPr>
              <w:t>3</w:t>
            </w:r>
            <w:r w:rsidR="00095395">
              <w:rPr>
                <w:sz w:val="22"/>
                <w:szCs w:val="22"/>
                <w:lang w:val="en-ZA"/>
              </w:rPr>
              <w:t>3.0</w:t>
            </w:r>
            <w:r w:rsidRPr="00DB75AA">
              <w:rPr>
                <w:sz w:val="22"/>
                <w:szCs w:val="22"/>
                <w:lang w:val="en-ZA"/>
              </w:rPr>
              <w:t>%</w:t>
            </w:r>
          </w:p>
        </w:tc>
      </w:tr>
      <w:tr w:rsidR="00EA71D6" w:rsidRPr="00F56E60" w14:paraId="0BC63CC9" w14:textId="77777777" w:rsidTr="009B1879">
        <w:trPr>
          <w:trHeight w:val="453"/>
        </w:trPr>
        <w:tc>
          <w:tcPr>
            <w:tcW w:w="2430" w:type="dxa"/>
          </w:tcPr>
          <w:p w14:paraId="20B9B82B" w14:textId="77777777" w:rsidR="00EA71D6" w:rsidRPr="00F56E60" w:rsidRDefault="00EA71D6" w:rsidP="00D729B9">
            <w:pPr>
              <w:rPr>
                <w:sz w:val="22"/>
                <w:szCs w:val="22"/>
                <w:lang w:val="en-ZA"/>
              </w:rPr>
            </w:pPr>
            <w:r w:rsidRPr="009B1879">
              <w:rPr>
                <w:b/>
                <w:sz w:val="22"/>
                <w:szCs w:val="22"/>
                <w:lang w:val="en-ZA"/>
              </w:rPr>
              <w:t>3.</w:t>
            </w:r>
            <w:r w:rsidRPr="00F56E60">
              <w:rPr>
                <w:sz w:val="22"/>
                <w:szCs w:val="22"/>
                <w:lang w:val="en-ZA"/>
              </w:rPr>
              <w:t xml:space="preserve"> Food Security </w:t>
            </w:r>
            <w:r>
              <w:rPr>
                <w:sz w:val="22"/>
                <w:szCs w:val="22"/>
                <w:lang w:val="en-ZA"/>
              </w:rPr>
              <w:t>&amp;</w:t>
            </w:r>
            <w:r w:rsidRPr="00F56E60">
              <w:rPr>
                <w:sz w:val="22"/>
                <w:szCs w:val="22"/>
                <w:lang w:val="en-ZA"/>
              </w:rPr>
              <w:t xml:space="preserve"> </w:t>
            </w:r>
            <w:r>
              <w:rPr>
                <w:sz w:val="22"/>
                <w:szCs w:val="22"/>
                <w:lang w:val="en-ZA"/>
              </w:rPr>
              <w:t>A</w:t>
            </w:r>
            <w:r w:rsidRPr="00F56E60">
              <w:rPr>
                <w:sz w:val="22"/>
                <w:szCs w:val="22"/>
                <w:lang w:val="en-ZA"/>
              </w:rPr>
              <w:t>grarian Reform</w:t>
            </w:r>
          </w:p>
        </w:tc>
        <w:tc>
          <w:tcPr>
            <w:tcW w:w="1398" w:type="dxa"/>
            <w:shd w:val="clear" w:color="auto" w:fill="D9D9D9"/>
          </w:tcPr>
          <w:p w14:paraId="0FDB1DC5" w14:textId="77777777" w:rsidR="00EA71D6" w:rsidRPr="009B1879" w:rsidRDefault="00EA71D6" w:rsidP="00D729B9">
            <w:pPr>
              <w:jc w:val="both"/>
              <w:rPr>
                <w:sz w:val="22"/>
                <w:szCs w:val="22"/>
                <w:lang w:val="en-ZA"/>
              </w:rPr>
            </w:pPr>
          </w:p>
          <w:p w14:paraId="6411C15E" w14:textId="77777777" w:rsidR="00EA71D6" w:rsidRPr="009B1879" w:rsidRDefault="00EA71D6" w:rsidP="00E37D98">
            <w:pPr>
              <w:jc w:val="both"/>
              <w:rPr>
                <w:sz w:val="22"/>
                <w:szCs w:val="22"/>
                <w:lang w:val="en-ZA"/>
              </w:rPr>
            </w:pPr>
            <w:r w:rsidRPr="009B1879">
              <w:rPr>
                <w:sz w:val="22"/>
                <w:szCs w:val="22"/>
                <w:lang w:val="en-ZA"/>
              </w:rPr>
              <w:t>R</w:t>
            </w:r>
            <w:r w:rsidR="00E37D98">
              <w:rPr>
                <w:sz w:val="22"/>
                <w:szCs w:val="22"/>
                <w:lang w:val="en-ZA"/>
              </w:rPr>
              <w:t>2</w:t>
            </w:r>
            <w:r w:rsidRPr="009B1879">
              <w:rPr>
                <w:sz w:val="22"/>
                <w:szCs w:val="22"/>
                <w:lang w:val="en-ZA"/>
              </w:rPr>
              <w:t> </w:t>
            </w:r>
            <w:r w:rsidR="00E37D98">
              <w:rPr>
                <w:sz w:val="22"/>
                <w:szCs w:val="22"/>
                <w:lang w:val="en-ZA"/>
              </w:rPr>
              <w:t>037</w:t>
            </w:r>
            <w:r w:rsidRPr="009B1879">
              <w:rPr>
                <w:sz w:val="22"/>
                <w:szCs w:val="22"/>
                <w:lang w:val="en-ZA"/>
              </w:rPr>
              <w:t>.</w:t>
            </w:r>
            <w:r w:rsidR="00E37D98">
              <w:rPr>
                <w:sz w:val="22"/>
                <w:szCs w:val="22"/>
                <w:lang w:val="en-ZA"/>
              </w:rPr>
              <w:t>9</w:t>
            </w:r>
          </w:p>
        </w:tc>
        <w:tc>
          <w:tcPr>
            <w:tcW w:w="1392" w:type="dxa"/>
          </w:tcPr>
          <w:p w14:paraId="183412D6" w14:textId="77777777" w:rsidR="00EA71D6" w:rsidRPr="00F56E60" w:rsidRDefault="00EA71D6" w:rsidP="00D729B9">
            <w:pPr>
              <w:jc w:val="both"/>
              <w:rPr>
                <w:sz w:val="22"/>
                <w:szCs w:val="22"/>
                <w:lang w:val="en-ZA"/>
              </w:rPr>
            </w:pPr>
          </w:p>
          <w:p w14:paraId="20C34D7F" w14:textId="77777777" w:rsidR="00EA71D6" w:rsidRPr="00F56E60" w:rsidRDefault="00EA71D6" w:rsidP="00E37D98">
            <w:pPr>
              <w:jc w:val="both"/>
              <w:rPr>
                <w:sz w:val="22"/>
                <w:szCs w:val="22"/>
                <w:lang w:val="en-ZA"/>
              </w:rPr>
            </w:pPr>
            <w:r w:rsidRPr="00F56E60">
              <w:rPr>
                <w:sz w:val="22"/>
                <w:szCs w:val="22"/>
                <w:lang w:val="en-ZA"/>
              </w:rPr>
              <w:t>R2 </w:t>
            </w:r>
            <w:r w:rsidR="00E37D98">
              <w:rPr>
                <w:sz w:val="22"/>
                <w:szCs w:val="22"/>
                <w:lang w:val="en-ZA"/>
              </w:rPr>
              <w:t>305</w:t>
            </w:r>
            <w:r>
              <w:rPr>
                <w:sz w:val="22"/>
                <w:szCs w:val="22"/>
                <w:lang w:val="en-ZA"/>
              </w:rPr>
              <w:t>.</w:t>
            </w:r>
            <w:r w:rsidR="00E37D98">
              <w:rPr>
                <w:sz w:val="22"/>
                <w:szCs w:val="22"/>
                <w:lang w:val="en-ZA"/>
              </w:rPr>
              <w:t>0</w:t>
            </w:r>
          </w:p>
        </w:tc>
        <w:tc>
          <w:tcPr>
            <w:tcW w:w="1710" w:type="dxa"/>
            <w:shd w:val="clear" w:color="auto" w:fill="auto"/>
          </w:tcPr>
          <w:p w14:paraId="7F80CBFD" w14:textId="77777777" w:rsidR="00EA71D6" w:rsidRDefault="00EA71D6" w:rsidP="00D729B9">
            <w:pPr>
              <w:jc w:val="both"/>
              <w:rPr>
                <w:sz w:val="22"/>
                <w:szCs w:val="22"/>
                <w:lang w:val="en-ZA"/>
              </w:rPr>
            </w:pPr>
          </w:p>
          <w:p w14:paraId="0B1E945C" w14:textId="77777777" w:rsidR="00EA71D6" w:rsidRPr="00F56E60" w:rsidRDefault="00EA71D6" w:rsidP="00E37D98">
            <w:pPr>
              <w:jc w:val="both"/>
              <w:rPr>
                <w:sz w:val="22"/>
                <w:szCs w:val="22"/>
                <w:lang w:val="en-ZA"/>
              </w:rPr>
            </w:pPr>
            <w:r>
              <w:rPr>
                <w:sz w:val="22"/>
                <w:szCs w:val="22"/>
                <w:lang w:val="en-ZA"/>
              </w:rPr>
              <w:t>R2 3</w:t>
            </w:r>
            <w:r w:rsidR="00E37D98">
              <w:rPr>
                <w:sz w:val="22"/>
                <w:szCs w:val="22"/>
                <w:lang w:val="en-ZA"/>
              </w:rPr>
              <w:t>69</w:t>
            </w:r>
            <w:r>
              <w:rPr>
                <w:sz w:val="22"/>
                <w:szCs w:val="22"/>
                <w:lang w:val="en-ZA"/>
              </w:rPr>
              <w:t>.</w:t>
            </w:r>
            <w:r w:rsidR="00E37D98">
              <w:rPr>
                <w:sz w:val="22"/>
                <w:szCs w:val="22"/>
                <w:lang w:val="en-ZA"/>
              </w:rPr>
              <w:t>1</w:t>
            </w:r>
          </w:p>
        </w:tc>
        <w:tc>
          <w:tcPr>
            <w:tcW w:w="1710" w:type="dxa"/>
          </w:tcPr>
          <w:p w14:paraId="2F2E532E" w14:textId="77777777" w:rsidR="00EA71D6" w:rsidRPr="00DB75AA" w:rsidRDefault="00EA71D6" w:rsidP="00D729B9">
            <w:pPr>
              <w:jc w:val="both"/>
              <w:rPr>
                <w:sz w:val="22"/>
                <w:szCs w:val="22"/>
                <w:lang w:val="en-ZA"/>
              </w:rPr>
            </w:pPr>
          </w:p>
          <w:p w14:paraId="1F39E9AC" w14:textId="77777777" w:rsidR="00EA71D6" w:rsidRPr="00DB75AA" w:rsidRDefault="00EA71D6" w:rsidP="002F039A">
            <w:pPr>
              <w:jc w:val="both"/>
              <w:rPr>
                <w:sz w:val="22"/>
                <w:szCs w:val="22"/>
                <w:lang w:val="en-ZA"/>
              </w:rPr>
            </w:pPr>
            <w:r w:rsidRPr="00DB75AA">
              <w:rPr>
                <w:sz w:val="22"/>
                <w:szCs w:val="22"/>
                <w:lang w:val="en-ZA"/>
              </w:rPr>
              <w:t>28.</w:t>
            </w:r>
            <w:r w:rsidR="002F039A">
              <w:rPr>
                <w:sz w:val="22"/>
                <w:szCs w:val="22"/>
                <w:lang w:val="en-ZA"/>
              </w:rPr>
              <w:t>4</w:t>
            </w:r>
            <w:r w:rsidRPr="00DB75AA">
              <w:rPr>
                <w:sz w:val="22"/>
                <w:szCs w:val="22"/>
                <w:lang w:val="en-ZA"/>
              </w:rPr>
              <w:t>%</w:t>
            </w:r>
          </w:p>
        </w:tc>
      </w:tr>
      <w:tr w:rsidR="00EA71D6" w:rsidRPr="00F56E60" w14:paraId="6E2DE02D" w14:textId="77777777" w:rsidTr="009B1879">
        <w:tc>
          <w:tcPr>
            <w:tcW w:w="2430" w:type="dxa"/>
          </w:tcPr>
          <w:p w14:paraId="4F16A191" w14:textId="77777777" w:rsidR="00EA71D6" w:rsidRPr="00F56E60" w:rsidRDefault="00EA71D6" w:rsidP="00D729B9">
            <w:pPr>
              <w:rPr>
                <w:sz w:val="22"/>
                <w:szCs w:val="22"/>
                <w:lang w:val="en-ZA"/>
              </w:rPr>
            </w:pPr>
            <w:r w:rsidRPr="009B1879">
              <w:rPr>
                <w:b/>
                <w:sz w:val="22"/>
                <w:szCs w:val="22"/>
                <w:lang w:val="en-ZA"/>
              </w:rPr>
              <w:t>4.</w:t>
            </w:r>
            <w:r w:rsidRPr="00F56E60">
              <w:rPr>
                <w:sz w:val="22"/>
                <w:szCs w:val="22"/>
                <w:lang w:val="en-ZA"/>
              </w:rPr>
              <w:t xml:space="preserve"> Trade Promotion </w:t>
            </w:r>
            <w:r>
              <w:rPr>
                <w:sz w:val="22"/>
                <w:szCs w:val="22"/>
                <w:lang w:val="en-ZA"/>
              </w:rPr>
              <w:t xml:space="preserve">&amp; </w:t>
            </w:r>
            <w:r w:rsidRPr="00F56E60">
              <w:rPr>
                <w:sz w:val="22"/>
                <w:szCs w:val="22"/>
                <w:lang w:val="en-ZA"/>
              </w:rPr>
              <w:t>Market Access</w:t>
            </w:r>
          </w:p>
        </w:tc>
        <w:tc>
          <w:tcPr>
            <w:tcW w:w="1398" w:type="dxa"/>
            <w:shd w:val="clear" w:color="auto" w:fill="D9D9D9"/>
          </w:tcPr>
          <w:p w14:paraId="32411A82" w14:textId="77777777" w:rsidR="00EA71D6" w:rsidRPr="009B1879" w:rsidRDefault="00EA71D6" w:rsidP="00D729B9">
            <w:pPr>
              <w:jc w:val="both"/>
              <w:rPr>
                <w:sz w:val="22"/>
                <w:szCs w:val="22"/>
                <w:lang w:val="en-ZA"/>
              </w:rPr>
            </w:pPr>
          </w:p>
          <w:p w14:paraId="06A2B71C" w14:textId="77777777" w:rsidR="00EA71D6" w:rsidRPr="009B1879" w:rsidRDefault="00EA71D6" w:rsidP="00E37D98">
            <w:pPr>
              <w:jc w:val="both"/>
              <w:rPr>
                <w:sz w:val="22"/>
                <w:szCs w:val="22"/>
                <w:lang w:val="en-ZA"/>
              </w:rPr>
            </w:pPr>
            <w:r w:rsidRPr="009B1879">
              <w:rPr>
                <w:sz w:val="22"/>
                <w:szCs w:val="22"/>
                <w:lang w:val="en-ZA"/>
              </w:rPr>
              <w:t>R   2</w:t>
            </w:r>
            <w:r w:rsidR="00E37D98">
              <w:rPr>
                <w:sz w:val="22"/>
                <w:szCs w:val="22"/>
                <w:lang w:val="en-ZA"/>
              </w:rPr>
              <w:t>73</w:t>
            </w:r>
            <w:r w:rsidRPr="009B1879">
              <w:rPr>
                <w:sz w:val="22"/>
                <w:szCs w:val="22"/>
                <w:lang w:val="en-ZA"/>
              </w:rPr>
              <w:t>.</w:t>
            </w:r>
            <w:r w:rsidR="00E37D98">
              <w:rPr>
                <w:sz w:val="22"/>
                <w:szCs w:val="22"/>
                <w:lang w:val="en-ZA"/>
              </w:rPr>
              <w:t>9</w:t>
            </w:r>
          </w:p>
        </w:tc>
        <w:tc>
          <w:tcPr>
            <w:tcW w:w="1392" w:type="dxa"/>
          </w:tcPr>
          <w:p w14:paraId="2B576465" w14:textId="77777777" w:rsidR="00EA71D6" w:rsidRPr="00F56E60" w:rsidRDefault="00EA71D6" w:rsidP="00D729B9">
            <w:pPr>
              <w:jc w:val="both"/>
              <w:rPr>
                <w:sz w:val="22"/>
                <w:szCs w:val="22"/>
                <w:lang w:val="en-ZA"/>
              </w:rPr>
            </w:pPr>
          </w:p>
          <w:p w14:paraId="52B34B82" w14:textId="77777777" w:rsidR="00EA71D6" w:rsidRPr="00F56E60" w:rsidRDefault="00EA71D6" w:rsidP="00E37D98">
            <w:pPr>
              <w:jc w:val="both"/>
              <w:rPr>
                <w:sz w:val="22"/>
                <w:szCs w:val="22"/>
                <w:lang w:val="en-ZA"/>
              </w:rPr>
            </w:pPr>
            <w:r w:rsidRPr="00F56E60">
              <w:rPr>
                <w:sz w:val="22"/>
                <w:szCs w:val="22"/>
                <w:lang w:val="en-ZA"/>
              </w:rPr>
              <w:t>R</w:t>
            </w:r>
            <w:r>
              <w:rPr>
                <w:sz w:val="22"/>
                <w:szCs w:val="22"/>
                <w:lang w:val="en-ZA"/>
              </w:rPr>
              <w:t xml:space="preserve">   </w:t>
            </w:r>
            <w:r w:rsidRPr="00F56E60">
              <w:rPr>
                <w:sz w:val="22"/>
                <w:szCs w:val="22"/>
                <w:lang w:val="en-ZA"/>
              </w:rPr>
              <w:t>2</w:t>
            </w:r>
            <w:r w:rsidR="00E37D98">
              <w:rPr>
                <w:sz w:val="22"/>
                <w:szCs w:val="22"/>
                <w:lang w:val="en-ZA"/>
              </w:rPr>
              <w:t>91</w:t>
            </w:r>
            <w:r>
              <w:rPr>
                <w:sz w:val="22"/>
                <w:szCs w:val="22"/>
                <w:lang w:val="en-ZA"/>
              </w:rPr>
              <w:t>.</w:t>
            </w:r>
            <w:r w:rsidR="00E37D98">
              <w:rPr>
                <w:sz w:val="22"/>
                <w:szCs w:val="22"/>
                <w:lang w:val="en-ZA"/>
              </w:rPr>
              <w:t>3</w:t>
            </w:r>
          </w:p>
        </w:tc>
        <w:tc>
          <w:tcPr>
            <w:tcW w:w="1710" w:type="dxa"/>
            <w:shd w:val="clear" w:color="auto" w:fill="auto"/>
          </w:tcPr>
          <w:p w14:paraId="4364ABBE" w14:textId="77777777" w:rsidR="00EA71D6" w:rsidRDefault="00EA71D6" w:rsidP="00D729B9">
            <w:pPr>
              <w:jc w:val="both"/>
              <w:rPr>
                <w:sz w:val="22"/>
                <w:szCs w:val="22"/>
                <w:lang w:val="en-ZA"/>
              </w:rPr>
            </w:pPr>
          </w:p>
          <w:p w14:paraId="081D78FC" w14:textId="77777777" w:rsidR="00EA71D6" w:rsidRPr="00F56E60" w:rsidRDefault="00EA71D6" w:rsidP="00E37D98">
            <w:pPr>
              <w:jc w:val="both"/>
              <w:rPr>
                <w:sz w:val="22"/>
                <w:szCs w:val="22"/>
                <w:lang w:val="en-ZA"/>
              </w:rPr>
            </w:pPr>
            <w:r>
              <w:rPr>
                <w:sz w:val="22"/>
                <w:szCs w:val="22"/>
                <w:lang w:val="en-ZA"/>
              </w:rPr>
              <w:t xml:space="preserve">R   </w:t>
            </w:r>
            <w:r w:rsidR="00E37D98">
              <w:rPr>
                <w:sz w:val="22"/>
                <w:szCs w:val="22"/>
                <w:lang w:val="en-ZA"/>
              </w:rPr>
              <w:t>309</w:t>
            </w:r>
            <w:r>
              <w:rPr>
                <w:sz w:val="22"/>
                <w:szCs w:val="22"/>
                <w:lang w:val="en-ZA"/>
              </w:rPr>
              <w:t>.</w:t>
            </w:r>
            <w:r w:rsidR="00E37D98">
              <w:rPr>
                <w:sz w:val="22"/>
                <w:szCs w:val="22"/>
                <w:lang w:val="en-ZA"/>
              </w:rPr>
              <w:t>6</w:t>
            </w:r>
          </w:p>
        </w:tc>
        <w:tc>
          <w:tcPr>
            <w:tcW w:w="1710" w:type="dxa"/>
          </w:tcPr>
          <w:p w14:paraId="6DB710AB" w14:textId="77777777" w:rsidR="00EA71D6" w:rsidRPr="00DB75AA" w:rsidRDefault="00EA71D6" w:rsidP="00D729B9">
            <w:pPr>
              <w:jc w:val="both"/>
              <w:rPr>
                <w:sz w:val="22"/>
                <w:szCs w:val="22"/>
                <w:lang w:val="en-ZA"/>
              </w:rPr>
            </w:pPr>
          </w:p>
          <w:p w14:paraId="23076802" w14:textId="77777777" w:rsidR="00EA71D6" w:rsidRPr="00DB75AA" w:rsidRDefault="00EA71D6" w:rsidP="00151C4F">
            <w:pPr>
              <w:jc w:val="both"/>
              <w:rPr>
                <w:sz w:val="22"/>
                <w:szCs w:val="22"/>
                <w:lang w:val="en-ZA"/>
              </w:rPr>
            </w:pPr>
            <w:r w:rsidRPr="00DB75AA">
              <w:rPr>
                <w:sz w:val="22"/>
                <w:szCs w:val="22"/>
                <w:lang w:val="en-ZA"/>
              </w:rPr>
              <w:t>3.8%</w:t>
            </w:r>
          </w:p>
        </w:tc>
      </w:tr>
      <w:tr w:rsidR="00EA71D6" w:rsidRPr="00F56E60" w14:paraId="7792E8B0" w14:textId="77777777" w:rsidTr="009B1879">
        <w:tc>
          <w:tcPr>
            <w:tcW w:w="2430" w:type="dxa"/>
          </w:tcPr>
          <w:p w14:paraId="70FE1B2D" w14:textId="77777777" w:rsidR="00EA71D6" w:rsidRPr="00F56E60" w:rsidRDefault="00EA71D6" w:rsidP="00D729B9">
            <w:pPr>
              <w:rPr>
                <w:sz w:val="22"/>
                <w:szCs w:val="22"/>
                <w:lang w:val="en-ZA"/>
              </w:rPr>
            </w:pPr>
            <w:r w:rsidRPr="009B1879">
              <w:rPr>
                <w:b/>
                <w:sz w:val="22"/>
                <w:szCs w:val="22"/>
                <w:lang w:val="en-ZA"/>
              </w:rPr>
              <w:t>5.</w:t>
            </w:r>
            <w:r w:rsidRPr="00F56E60">
              <w:rPr>
                <w:sz w:val="22"/>
                <w:szCs w:val="22"/>
                <w:lang w:val="en-ZA"/>
              </w:rPr>
              <w:t xml:space="preserve"> Forestry </w:t>
            </w:r>
            <w:r>
              <w:rPr>
                <w:sz w:val="22"/>
                <w:szCs w:val="22"/>
                <w:lang w:val="en-ZA"/>
              </w:rPr>
              <w:t>&amp;</w:t>
            </w:r>
            <w:r w:rsidRPr="00F56E60">
              <w:rPr>
                <w:sz w:val="22"/>
                <w:szCs w:val="22"/>
                <w:lang w:val="en-ZA"/>
              </w:rPr>
              <w:t xml:space="preserve"> Natural Resources </w:t>
            </w:r>
            <w:r>
              <w:rPr>
                <w:sz w:val="22"/>
                <w:szCs w:val="22"/>
                <w:lang w:val="en-ZA"/>
              </w:rPr>
              <w:t>M</w:t>
            </w:r>
            <w:r w:rsidRPr="00F56E60">
              <w:rPr>
                <w:sz w:val="22"/>
                <w:szCs w:val="22"/>
                <w:lang w:val="en-ZA"/>
              </w:rPr>
              <w:t>anagement</w:t>
            </w:r>
            <w:r>
              <w:rPr>
                <w:sz w:val="22"/>
                <w:szCs w:val="22"/>
                <w:lang w:val="en-ZA"/>
              </w:rPr>
              <w:t xml:space="preserve"> </w:t>
            </w:r>
          </w:p>
        </w:tc>
        <w:tc>
          <w:tcPr>
            <w:tcW w:w="1398" w:type="dxa"/>
            <w:shd w:val="clear" w:color="auto" w:fill="D9D9D9"/>
          </w:tcPr>
          <w:p w14:paraId="5F657EDD" w14:textId="77777777" w:rsidR="00EA71D6" w:rsidRPr="009B1879" w:rsidRDefault="00EA71D6" w:rsidP="00D729B9">
            <w:pPr>
              <w:jc w:val="both"/>
              <w:rPr>
                <w:sz w:val="22"/>
                <w:szCs w:val="22"/>
                <w:lang w:val="en-ZA"/>
              </w:rPr>
            </w:pPr>
          </w:p>
          <w:p w14:paraId="53C0C551" w14:textId="77777777" w:rsidR="00EA71D6" w:rsidRPr="009B1879" w:rsidRDefault="00EA71D6" w:rsidP="00E37D98">
            <w:pPr>
              <w:jc w:val="both"/>
              <w:rPr>
                <w:sz w:val="22"/>
                <w:szCs w:val="22"/>
                <w:lang w:val="en-ZA"/>
              </w:rPr>
            </w:pPr>
            <w:r w:rsidRPr="009B1879">
              <w:rPr>
                <w:sz w:val="22"/>
                <w:szCs w:val="22"/>
                <w:lang w:val="en-ZA"/>
              </w:rPr>
              <w:t>R1 0</w:t>
            </w:r>
            <w:r w:rsidR="00E37D98">
              <w:rPr>
                <w:sz w:val="22"/>
                <w:szCs w:val="22"/>
                <w:lang w:val="en-ZA"/>
              </w:rPr>
              <w:t>75</w:t>
            </w:r>
            <w:r w:rsidRPr="009B1879">
              <w:rPr>
                <w:sz w:val="22"/>
                <w:szCs w:val="22"/>
                <w:lang w:val="en-ZA"/>
              </w:rPr>
              <w:t>.</w:t>
            </w:r>
            <w:r w:rsidR="00E37D98">
              <w:rPr>
                <w:sz w:val="22"/>
                <w:szCs w:val="22"/>
                <w:lang w:val="en-ZA"/>
              </w:rPr>
              <w:t>1</w:t>
            </w:r>
          </w:p>
        </w:tc>
        <w:tc>
          <w:tcPr>
            <w:tcW w:w="1392" w:type="dxa"/>
          </w:tcPr>
          <w:p w14:paraId="255E96E2" w14:textId="77777777" w:rsidR="00EA71D6" w:rsidRPr="00F56E60" w:rsidRDefault="00EA71D6" w:rsidP="00D729B9">
            <w:pPr>
              <w:jc w:val="both"/>
              <w:rPr>
                <w:sz w:val="22"/>
                <w:szCs w:val="22"/>
                <w:lang w:val="en-ZA"/>
              </w:rPr>
            </w:pPr>
          </w:p>
          <w:p w14:paraId="38CF2981" w14:textId="77777777" w:rsidR="00EA71D6" w:rsidRPr="00F56E60" w:rsidRDefault="00EA71D6" w:rsidP="00E37D98">
            <w:pPr>
              <w:jc w:val="both"/>
              <w:rPr>
                <w:sz w:val="22"/>
                <w:szCs w:val="22"/>
                <w:lang w:val="en-ZA"/>
              </w:rPr>
            </w:pPr>
            <w:r w:rsidRPr="00F56E60">
              <w:rPr>
                <w:sz w:val="22"/>
                <w:szCs w:val="22"/>
                <w:lang w:val="en-ZA"/>
              </w:rPr>
              <w:t>R1 0</w:t>
            </w:r>
            <w:r w:rsidR="00E37D98">
              <w:rPr>
                <w:sz w:val="22"/>
                <w:szCs w:val="22"/>
                <w:lang w:val="en-ZA"/>
              </w:rPr>
              <w:t>46</w:t>
            </w:r>
            <w:r>
              <w:rPr>
                <w:sz w:val="22"/>
                <w:szCs w:val="22"/>
                <w:lang w:val="en-ZA"/>
              </w:rPr>
              <w:t>.</w:t>
            </w:r>
            <w:r w:rsidR="00E37D98">
              <w:rPr>
                <w:sz w:val="22"/>
                <w:szCs w:val="22"/>
                <w:lang w:val="en-ZA"/>
              </w:rPr>
              <w:t>0</w:t>
            </w:r>
          </w:p>
        </w:tc>
        <w:tc>
          <w:tcPr>
            <w:tcW w:w="1710" w:type="dxa"/>
            <w:shd w:val="clear" w:color="auto" w:fill="auto"/>
          </w:tcPr>
          <w:p w14:paraId="7E7805B0" w14:textId="77777777" w:rsidR="00EA71D6" w:rsidRDefault="00EA71D6" w:rsidP="00D729B9">
            <w:pPr>
              <w:jc w:val="both"/>
              <w:rPr>
                <w:sz w:val="22"/>
                <w:szCs w:val="22"/>
                <w:lang w:val="en-ZA"/>
              </w:rPr>
            </w:pPr>
          </w:p>
          <w:p w14:paraId="5D7F2A3F" w14:textId="77777777" w:rsidR="00EA71D6" w:rsidRPr="00F56E60" w:rsidRDefault="00EA71D6" w:rsidP="00E37D98">
            <w:pPr>
              <w:jc w:val="both"/>
              <w:rPr>
                <w:sz w:val="22"/>
                <w:szCs w:val="22"/>
                <w:lang w:val="en-ZA"/>
              </w:rPr>
            </w:pPr>
            <w:r>
              <w:rPr>
                <w:sz w:val="22"/>
                <w:szCs w:val="22"/>
                <w:lang w:val="en-ZA"/>
              </w:rPr>
              <w:t>R1 04</w:t>
            </w:r>
            <w:r w:rsidR="00E37D98">
              <w:rPr>
                <w:sz w:val="22"/>
                <w:szCs w:val="22"/>
                <w:lang w:val="en-ZA"/>
              </w:rPr>
              <w:t>7</w:t>
            </w:r>
            <w:r>
              <w:rPr>
                <w:sz w:val="22"/>
                <w:szCs w:val="22"/>
                <w:lang w:val="en-ZA"/>
              </w:rPr>
              <w:t>.</w:t>
            </w:r>
            <w:r w:rsidR="00E37D98">
              <w:rPr>
                <w:sz w:val="22"/>
                <w:szCs w:val="22"/>
                <w:lang w:val="en-ZA"/>
              </w:rPr>
              <w:t>4</w:t>
            </w:r>
          </w:p>
        </w:tc>
        <w:tc>
          <w:tcPr>
            <w:tcW w:w="1710" w:type="dxa"/>
          </w:tcPr>
          <w:p w14:paraId="72848FB8" w14:textId="77777777" w:rsidR="00EA71D6" w:rsidRPr="00DB75AA" w:rsidRDefault="00EA71D6" w:rsidP="00D729B9">
            <w:pPr>
              <w:jc w:val="both"/>
              <w:rPr>
                <w:sz w:val="22"/>
                <w:szCs w:val="22"/>
                <w:lang w:val="en-ZA"/>
              </w:rPr>
            </w:pPr>
          </w:p>
          <w:p w14:paraId="628A8811" w14:textId="77777777" w:rsidR="00EA71D6" w:rsidRPr="00DB75AA" w:rsidRDefault="00EA71D6" w:rsidP="00095395">
            <w:pPr>
              <w:jc w:val="both"/>
              <w:rPr>
                <w:sz w:val="22"/>
                <w:szCs w:val="22"/>
                <w:lang w:val="en-ZA"/>
              </w:rPr>
            </w:pPr>
            <w:r w:rsidRPr="00DB75AA">
              <w:rPr>
                <w:sz w:val="22"/>
                <w:szCs w:val="22"/>
                <w:lang w:val="en-ZA"/>
              </w:rPr>
              <w:t>1</w:t>
            </w:r>
            <w:r w:rsidR="00095395">
              <w:rPr>
                <w:sz w:val="22"/>
                <w:szCs w:val="22"/>
                <w:lang w:val="en-ZA"/>
              </w:rPr>
              <w:t>5.0</w:t>
            </w:r>
            <w:r w:rsidRPr="00DB75AA">
              <w:rPr>
                <w:sz w:val="22"/>
                <w:szCs w:val="22"/>
                <w:lang w:val="en-ZA"/>
              </w:rPr>
              <w:t>%</w:t>
            </w:r>
          </w:p>
        </w:tc>
      </w:tr>
      <w:tr w:rsidR="00EA71D6" w:rsidRPr="00F56E60" w14:paraId="6C552AFB" w14:textId="77777777" w:rsidTr="009B1879">
        <w:tc>
          <w:tcPr>
            <w:tcW w:w="2430" w:type="dxa"/>
          </w:tcPr>
          <w:p w14:paraId="59F59315" w14:textId="77777777" w:rsidR="00EA71D6" w:rsidRPr="00F56E60" w:rsidRDefault="00EA71D6" w:rsidP="00D729B9">
            <w:pPr>
              <w:rPr>
                <w:sz w:val="22"/>
                <w:szCs w:val="22"/>
                <w:lang w:val="en-ZA"/>
              </w:rPr>
            </w:pPr>
            <w:r w:rsidRPr="009B1879">
              <w:rPr>
                <w:b/>
                <w:sz w:val="22"/>
                <w:szCs w:val="22"/>
                <w:lang w:val="en-ZA"/>
              </w:rPr>
              <w:t>6.</w:t>
            </w:r>
            <w:r w:rsidRPr="00F56E60">
              <w:rPr>
                <w:sz w:val="22"/>
                <w:szCs w:val="22"/>
                <w:lang w:val="en-ZA"/>
              </w:rPr>
              <w:t xml:space="preserve"> Fisheries Management</w:t>
            </w:r>
          </w:p>
        </w:tc>
        <w:tc>
          <w:tcPr>
            <w:tcW w:w="1398" w:type="dxa"/>
            <w:shd w:val="clear" w:color="auto" w:fill="D9D9D9"/>
          </w:tcPr>
          <w:p w14:paraId="3D18833E" w14:textId="77777777" w:rsidR="00EA71D6" w:rsidRPr="009B1879" w:rsidRDefault="00EA71D6" w:rsidP="00D729B9">
            <w:pPr>
              <w:jc w:val="both"/>
              <w:rPr>
                <w:sz w:val="22"/>
                <w:szCs w:val="22"/>
                <w:lang w:val="en-ZA"/>
              </w:rPr>
            </w:pPr>
          </w:p>
          <w:p w14:paraId="706FA99A" w14:textId="77777777" w:rsidR="00EA71D6" w:rsidRPr="009B1879" w:rsidRDefault="00EA71D6" w:rsidP="00E37D98">
            <w:pPr>
              <w:jc w:val="both"/>
              <w:rPr>
                <w:sz w:val="22"/>
                <w:szCs w:val="22"/>
                <w:lang w:val="en-ZA"/>
              </w:rPr>
            </w:pPr>
            <w:r w:rsidRPr="009B1879">
              <w:rPr>
                <w:sz w:val="22"/>
                <w:szCs w:val="22"/>
                <w:lang w:val="en-ZA"/>
              </w:rPr>
              <w:t>R   4</w:t>
            </w:r>
            <w:r w:rsidR="00E37D98">
              <w:rPr>
                <w:sz w:val="22"/>
                <w:szCs w:val="22"/>
                <w:lang w:val="en-ZA"/>
              </w:rPr>
              <w:t>87</w:t>
            </w:r>
            <w:r w:rsidRPr="009B1879">
              <w:rPr>
                <w:sz w:val="22"/>
                <w:szCs w:val="22"/>
                <w:lang w:val="en-ZA"/>
              </w:rPr>
              <w:t>.</w:t>
            </w:r>
            <w:r w:rsidR="00E37D98">
              <w:rPr>
                <w:sz w:val="22"/>
                <w:szCs w:val="22"/>
                <w:lang w:val="en-ZA"/>
              </w:rPr>
              <w:t>8</w:t>
            </w:r>
            <w:r w:rsidRPr="009B1879">
              <w:rPr>
                <w:sz w:val="22"/>
                <w:szCs w:val="22"/>
                <w:lang w:val="en-ZA"/>
              </w:rPr>
              <w:t xml:space="preserve"> </w:t>
            </w:r>
          </w:p>
        </w:tc>
        <w:tc>
          <w:tcPr>
            <w:tcW w:w="1392" w:type="dxa"/>
          </w:tcPr>
          <w:p w14:paraId="06CA6F1C" w14:textId="77777777" w:rsidR="00EA71D6" w:rsidRPr="00F56E60" w:rsidRDefault="00EA71D6" w:rsidP="00D729B9">
            <w:pPr>
              <w:jc w:val="both"/>
              <w:rPr>
                <w:sz w:val="22"/>
                <w:szCs w:val="22"/>
                <w:lang w:val="en-ZA"/>
              </w:rPr>
            </w:pPr>
          </w:p>
          <w:p w14:paraId="1F1549E2" w14:textId="77777777" w:rsidR="00EA71D6" w:rsidRPr="00F56E60" w:rsidRDefault="00EA71D6" w:rsidP="00E37D98">
            <w:pPr>
              <w:jc w:val="both"/>
              <w:rPr>
                <w:sz w:val="22"/>
                <w:szCs w:val="22"/>
                <w:lang w:val="en-ZA"/>
              </w:rPr>
            </w:pPr>
            <w:r w:rsidRPr="00F56E60">
              <w:rPr>
                <w:sz w:val="22"/>
                <w:szCs w:val="22"/>
                <w:lang w:val="en-ZA"/>
              </w:rPr>
              <w:t>R</w:t>
            </w:r>
            <w:r>
              <w:rPr>
                <w:sz w:val="22"/>
                <w:szCs w:val="22"/>
                <w:lang w:val="en-ZA"/>
              </w:rPr>
              <w:t xml:space="preserve">   5</w:t>
            </w:r>
            <w:r w:rsidR="00E37D98">
              <w:rPr>
                <w:sz w:val="22"/>
                <w:szCs w:val="22"/>
                <w:lang w:val="en-ZA"/>
              </w:rPr>
              <w:t>19</w:t>
            </w:r>
            <w:r>
              <w:rPr>
                <w:sz w:val="22"/>
                <w:szCs w:val="22"/>
                <w:lang w:val="en-ZA"/>
              </w:rPr>
              <w:t>.</w:t>
            </w:r>
            <w:r w:rsidR="00E37D98">
              <w:rPr>
                <w:sz w:val="22"/>
                <w:szCs w:val="22"/>
                <w:lang w:val="en-ZA"/>
              </w:rPr>
              <w:t>7</w:t>
            </w:r>
          </w:p>
        </w:tc>
        <w:tc>
          <w:tcPr>
            <w:tcW w:w="1710" w:type="dxa"/>
            <w:shd w:val="clear" w:color="auto" w:fill="auto"/>
          </w:tcPr>
          <w:p w14:paraId="0EC02C3C" w14:textId="77777777" w:rsidR="00EA71D6" w:rsidRDefault="00EA71D6" w:rsidP="00D729B9">
            <w:pPr>
              <w:jc w:val="both"/>
              <w:rPr>
                <w:sz w:val="22"/>
                <w:szCs w:val="22"/>
                <w:lang w:val="en-ZA"/>
              </w:rPr>
            </w:pPr>
          </w:p>
          <w:p w14:paraId="7D6DB80F" w14:textId="77777777" w:rsidR="00EA71D6" w:rsidRPr="00F56E60" w:rsidRDefault="00EA71D6" w:rsidP="00E37D98">
            <w:pPr>
              <w:jc w:val="both"/>
              <w:rPr>
                <w:sz w:val="22"/>
                <w:szCs w:val="22"/>
                <w:lang w:val="en-ZA"/>
              </w:rPr>
            </w:pPr>
            <w:r>
              <w:rPr>
                <w:sz w:val="22"/>
                <w:szCs w:val="22"/>
                <w:lang w:val="en-ZA"/>
              </w:rPr>
              <w:t>R  5</w:t>
            </w:r>
            <w:r w:rsidR="00E37D98">
              <w:rPr>
                <w:sz w:val="22"/>
                <w:szCs w:val="22"/>
                <w:lang w:val="en-ZA"/>
              </w:rPr>
              <w:t>53</w:t>
            </w:r>
            <w:r>
              <w:rPr>
                <w:sz w:val="22"/>
                <w:szCs w:val="22"/>
                <w:lang w:val="en-ZA"/>
              </w:rPr>
              <w:t>.</w:t>
            </w:r>
            <w:r w:rsidR="00E37D98">
              <w:rPr>
                <w:sz w:val="22"/>
                <w:szCs w:val="22"/>
                <w:lang w:val="en-ZA"/>
              </w:rPr>
              <w:t>2</w:t>
            </w:r>
          </w:p>
        </w:tc>
        <w:tc>
          <w:tcPr>
            <w:tcW w:w="1710" w:type="dxa"/>
          </w:tcPr>
          <w:p w14:paraId="753B157A" w14:textId="77777777" w:rsidR="00EA71D6" w:rsidRPr="00DB75AA" w:rsidRDefault="00EA71D6" w:rsidP="00D729B9">
            <w:pPr>
              <w:jc w:val="both"/>
              <w:rPr>
                <w:sz w:val="22"/>
                <w:szCs w:val="22"/>
                <w:lang w:val="en-ZA"/>
              </w:rPr>
            </w:pPr>
          </w:p>
          <w:p w14:paraId="76B3D73D" w14:textId="77777777" w:rsidR="00EA71D6" w:rsidRPr="00DB75AA" w:rsidRDefault="00095395" w:rsidP="00095395">
            <w:pPr>
              <w:jc w:val="both"/>
              <w:rPr>
                <w:sz w:val="22"/>
                <w:szCs w:val="22"/>
                <w:lang w:val="en-ZA"/>
              </w:rPr>
            </w:pPr>
            <w:r>
              <w:rPr>
                <w:sz w:val="22"/>
                <w:szCs w:val="22"/>
                <w:lang w:val="en-ZA"/>
              </w:rPr>
              <w:t>6</w:t>
            </w:r>
            <w:r w:rsidR="00EA71D6" w:rsidRPr="00DB75AA">
              <w:rPr>
                <w:sz w:val="22"/>
                <w:szCs w:val="22"/>
                <w:lang w:val="en-ZA"/>
              </w:rPr>
              <w:t>.</w:t>
            </w:r>
            <w:r>
              <w:rPr>
                <w:sz w:val="22"/>
                <w:szCs w:val="22"/>
                <w:lang w:val="en-ZA"/>
              </w:rPr>
              <w:t>8</w:t>
            </w:r>
            <w:r w:rsidR="00EA71D6" w:rsidRPr="00DB75AA">
              <w:rPr>
                <w:sz w:val="22"/>
                <w:szCs w:val="22"/>
                <w:lang w:val="en-ZA"/>
              </w:rPr>
              <w:t>%</w:t>
            </w:r>
          </w:p>
        </w:tc>
      </w:tr>
      <w:tr w:rsidR="00EA71D6" w:rsidRPr="00F56E60" w14:paraId="63D9D20D" w14:textId="77777777" w:rsidTr="009B1879">
        <w:tc>
          <w:tcPr>
            <w:tcW w:w="2430" w:type="dxa"/>
          </w:tcPr>
          <w:p w14:paraId="1A5EC7B6" w14:textId="77777777" w:rsidR="00EA71D6" w:rsidRPr="00F56E60" w:rsidRDefault="00EA71D6" w:rsidP="00D729B9">
            <w:pPr>
              <w:jc w:val="both"/>
              <w:rPr>
                <w:b/>
                <w:sz w:val="22"/>
                <w:szCs w:val="22"/>
                <w:lang w:val="en-ZA"/>
              </w:rPr>
            </w:pPr>
          </w:p>
          <w:p w14:paraId="41205394" w14:textId="77777777" w:rsidR="00EA71D6" w:rsidRPr="00F56E60" w:rsidRDefault="00EA71D6" w:rsidP="00D729B9">
            <w:pPr>
              <w:jc w:val="both"/>
              <w:rPr>
                <w:b/>
                <w:sz w:val="22"/>
                <w:szCs w:val="22"/>
                <w:lang w:val="en-ZA"/>
              </w:rPr>
            </w:pPr>
            <w:r w:rsidRPr="00F56E60">
              <w:rPr>
                <w:b/>
                <w:sz w:val="22"/>
                <w:szCs w:val="22"/>
                <w:lang w:val="en-ZA"/>
              </w:rPr>
              <w:t xml:space="preserve">Total </w:t>
            </w:r>
          </w:p>
        </w:tc>
        <w:tc>
          <w:tcPr>
            <w:tcW w:w="1398" w:type="dxa"/>
            <w:shd w:val="clear" w:color="auto" w:fill="D9D9D9"/>
          </w:tcPr>
          <w:p w14:paraId="10333307" w14:textId="77777777" w:rsidR="00EA71D6" w:rsidRPr="009B1879" w:rsidRDefault="00EA71D6" w:rsidP="00D729B9">
            <w:pPr>
              <w:jc w:val="both"/>
              <w:rPr>
                <w:b/>
                <w:sz w:val="22"/>
                <w:szCs w:val="22"/>
                <w:lang w:val="en-ZA"/>
              </w:rPr>
            </w:pPr>
          </w:p>
          <w:p w14:paraId="17395A5A" w14:textId="77777777" w:rsidR="00EA71D6" w:rsidRPr="009B1879" w:rsidRDefault="00EA71D6" w:rsidP="00E37D98">
            <w:pPr>
              <w:jc w:val="both"/>
              <w:rPr>
                <w:b/>
                <w:sz w:val="22"/>
                <w:szCs w:val="22"/>
                <w:lang w:val="en-ZA"/>
              </w:rPr>
            </w:pPr>
            <w:r w:rsidRPr="009B1879">
              <w:rPr>
                <w:b/>
                <w:sz w:val="22"/>
                <w:szCs w:val="22"/>
                <w:lang w:val="en-ZA"/>
              </w:rPr>
              <w:t>R</w:t>
            </w:r>
            <w:r w:rsidR="00E37D98">
              <w:rPr>
                <w:b/>
                <w:sz w:val="22"/>
                <w:szCs w:val="22"/>
                <w:lang w:val="en-ZA"/>
              </w:rPr>
              <w:t>7</w:t>
            </w:r>
            <w:r w:rsidRPr="009B1879">
              <w:rPr>
                <w:b/>
                <w:sz w:val="22"/>
                <w:szCs w:val="22"/>
                <w:lang w:val="en-ZA"/>
              </w:rPr>
              <w:t> </w:t>
            </w:r>
            <w:r w:rsidR="00E37D98">
              <w:rPr>
                <w:b/>
                <w:sz w:val="22"/>
                <w:szCs w:val="22"/>
                <w:lang w:val="en-ZA"/>
              </w:rPr>
              <w:t>165</w:t>
            </w:r>
            <w:r w:rsidRPr="009B1879">
              <w:rPr>
                <w:b/>
                <w:sz w:val="22"/>
                <w:szCs w:val="22"/>
                <w:lang w:val="en-ZA"/>
              </w:rPr>
              <w:t>.0</w:t>
            </w:r>
          </w:p>
        </w:tc>
        <w:tc>
          <w:tcPr>
            <w:tcW w:w="1392" w:type="dxa"/>
            <w:shd w:val="clear" w:color="auto" w:fill="D9D9D9"/>
          </w:tcPr>
          <w:p w14:paraId="0E4BFB20" w14:textId="77777777" w:rsidR="00EA71D6" w:rsidRPr="00F56E60" w:rsidRDefault="00EA71D6" w:rsidP="00D729B9">
            <w:pPr>
              <w:jc w:val="both"/>
              <w:rPr>
                <w:b/>
                <w:sz w:val="22"/>
                <w:szCs w:val="22"/>
                <w:lang w:val="en-ZA"/>
              </w:rPr>
            </w:pPr>
          </w:p>
          <w:p w14:paraId="13EDB898" w14:textId="77777777" w:rsidR="00EA71D6" w:rsidRPr="00F56E60" w:rsidRDefault="00EA71D6" w:rsidP="00E37D98">
            <w:pPr>
              <w:jc w:val="both"/>
              <w:rPr>
                <w:b/>
                <w:sz w:val="22"/>
                <w:szCs w:val="22"/>
                <w:lang w:val="en-ZA"/>
              </w:rPr>
            </w:pPr>
            <w:r w:rsidRPr="00F56E60">
              <w:rPr>
                <w:b/>
                <w:sz w:val="22"/>
                <w:szCs w:val="22"/>
                <w:lang w:val="en-ZA"/>
              </w:rPr>
              <w:t>R</w:t>
            </w:r>
            <w:r>
              <w:rPr>
                <w:b/>
                <w:sz w:val="22"/>
                <w:szCs w:val="22"/>
                <w:lang w:val="en-ZA"/>
              </w:rPr>
              <w:t>7</w:t>
            </w:r>
            <w:r w:rsidRPr="00F56E60">
              <w:rPr>
                <w:b/>
                <w:sz w:val="22"/>
                <w:szCs w:val="22"/>
                <w:lang w:val="en-ZA"/>
              </w:rPr>
              <w:t> </w:t>
            </w:r>
            <w:r w:rsidR="00E37D98">
              <w:rPr>
                <w:b/>
                <w:sz w:val="22"/>
                <w:szCs w:val="22"/>
                <w:lang w:val="en-ZA"/>
              </w:rPr>
              <w:t>601</w:t>
            </w:r>
            <w:r>
              <w:rPr>
                <w:b/>
                <w:sz w:val="22"/>
                <w:szCs w:val="22"/>
                <w:lang w:val="en-ZA"/>
              </w:rPr>
              <w:t>.</w:t>
            </w:r>
            <w:r w:rsidR="008B01D8">
              <w:rPr>
                <w:b/>
                <w:sz w:val="22"/>
                <w:szCs w:val="22"/>
                <w:lang w:val="en-ZA"/>
              </w:rPr>
              <w:t>2</w:t>
            </w:r>
          </w:p>
        </w:tc>
        <w:tc>
          <w:tcPr>
            <w:tcW w:w="1710" w:type="dxa"/>
            <w:shd w:val="clear" w:color="auto" w:fill="D9D9D9"/>
          </w:tcPr>
          <w:p w14:paraId="21CF5B04" w14:textId="77777777" w:rsidR="00EA71D6" w:rsidRDefault="00EA71D6" w:rsidP="00D729B9">
            <w:pPr>
              <w:jc w:val="both"/>
              <w:rPr>
                <w:b/>
                <w:sz w:val="22"/>
                <w:szCs w:val="22"/>
                <w:lang w:val="en-ZA"/>
              </w:rPr>
            </w:pPr>
          </w:p>
          <w:p w14:paraId="2AE359FB" w14:textId="77777777" w:rsidR="00EA71D6" w:rsidRPr="00F56E60" w:rsidRDefault="00EA71D6" w:rsidP="007214A7">
            <w:pPr>
              <w:jc w:val="both"/>
              <w:rPr>
                <w:b/>
                <w:sz w:val="22"/>
                <w:szCs w:val="22"/>
                <w:lang w:val="en-ZA"/>
              </w:rPr>
            </w:pPr>
            <w:r>
              <w:rPr>
                <w:b/>
                <w:sz w:val="22"/>
                <w:szCs w:val="22"/>
                <w:lang w:val="en-ZA"/>
              </w:rPr>
              <w:t xml:space="preserve">R7 </w:t>
            </w:r>
            <w:r w:rsidR="00E37D98">
              <w:rPr>
                <w:b/>
                <w:sz w:val="22"/>
                <w:szCs w:val="22"/>
                <w:lang w:val="en-ZA"/>
              </w:rPr>
              <w:t>813</w:t>
            </w:r>
            <w:r>
              <w:rPr>
                <w:b/>
                <w:sz w:val="22"/>
                <w:szCs w:val="22"/>
                <w:lang w:val="en-ZA"/>
              </w:rPr>
              <w:t>.</w:t>
            </w:r>
            <w:r w:rsidR="008B01D8">
              <w:rPr>
                <w:b/>
                <w:sz w:val="22"/>
                <w:szCs w:val="22"/>
                <w:lang w:val="en-ZA"/>
              </w:rPr>
              <w:t>5</w:t>
            </w:r>
          </w:p>
        </w:tc>
        <w:tc>
          <w:tcPr>
            <w:tcW w:w="1710" w:type="dxa"/>
            <w:shd w:val="clear" w:color="auto" w:fill="D9D9D9"/>
          </w:tcPr>
          <w:p w14:paraId="6EFFCE7E" w14:textId="77777777" w:rsidR="00EA71D6" w:rsidRPr="00DB75AA" w:rsidRDefault="00EA71D6" w:rsidP="00D729B9">
            <w:pPr>
              <w:jc w:val="both"/>
              <w:rPr>
                <w:b/>
                <w:sz w:val="22"/>
                <w:szCs w:val="22"/>
                <w:lang w:val="en-ZA"/>
              </w:rPr>
            </w:pPr>
          </w:p>
          <w:p w14:paraId="66A1AF95" w14:textId="77777777" w:rsidR="00EA71D6" w:rsidRPr="00DB75AA" w:rsidRDefault="00EA71D6" w:rsidP="00D729B9">
            <w:pPr>
              <w:jc w:val="both"/>
              <w:rPr>
                <w:b/>
                <w:sz w:val="22"/>
                <w:szCs w:val="22"/>
                <w:lang w:val="en-ZA"/>
              </w:rPr>
            </w:pPr>
            <w:r w:rsidRPr="00DB75AA">
              <w:rPr>
                <w:b/>
                <w:sz w:val="22"/>
                <w:szCs w:val="22"/>
                <w:lang w:val="en-ZA"/>
              </w:rPr>
              <w:t>100%</w:t>
            </w:r>
          </w:p>
        </w:tc>
      </w:tr>
    </w:tbl>
    <w:p w14:paraId="365C1E48" w14:textId="77777777" w:rsidR="003A0F2A" w:rsidRPr="009163A4" w:rsidRDefault="009163A4" w:rsidP="00E51035">
      <w:pPr>
        <w:spacing w:line="360" w:lineRule="auto"/>
        <w:jc w:val="both"/>
        <w:rPr>
          <w:sz w:val="22"/>
          <w:szCs w:val="22"/>
          <w:lang w:val="en-ZA"/>
        </w:rPr>
      </w:pPr>
      <w:r w:rsidRPr="009163A4">
        <w:rPr>
          <w:sz w:val="22"/>
          <w:szCs w:val="22"/>
          <w:lang w:val="en-ZA"/>
        </w:rPr>
        <w:t xml:space="preserve">   </w:t>
      </w:r>
      <w:r w:rsidR="005A1866" w:rsidRPr="009163A4">
        <w:rPr>
          <w:sz w:val="22"/>
          <w:szCs w:val="22"/>
          <w:lang w:val="en-ZA"/>
        </w:rPr>
        <w:t>Adapted from National Treasury (Estimates of National Expenditure, 201</w:t>
      </w:r>
      <w:r w:rsidR="000B6BDA">
        <w:rPr>
          <w:sz w:val="22"/>
          <w:szCs w:val="22"/>
          <w:lang w:val="en-ZA"/>
        </w:rPr>
        <w:t>8</w:t>
      </w:r>
      <w:r w:rsidR="005A1866" w:rsidRPr="009163A4">
        <w:rPr>
          <w:sz w:val="22"/>
          <w:szCs w:val="22"/>
          <w:lang w:val="en-ZA"/>
        </w:rPr>
        <w:t>)</w:t>
      </w:r>
    </w:p>
    <w:p w14:paraId="070276AB" w14:textId="77777777" w:rsidR="00945BF7" w:rsidRDefault="00945BF7" w:rsidP="00945BF7">
      <w:pPr>
        <w:pStyle w:val="Default"/>
        <w:spacing w:line="360" w:lineRule="auto"/>
        <w:jc w:val="both"/>
        <w:rPr>
          <w:rFonts w:ascii="Times New Roman" w:hAnsi="Times New Roman" w:cs="Times New Roman"/>
        </w:rPr>
      </w:pPr>
    </w:p>
    <w:p w14:paraId="048F2EAE" w14:textId="77777777" w:rsidR="00945BF7" w:rsidRPr="00945BF7" w:rsidRDefault="00F233C2" w:rsidP="00945BF7">
      <w:pPr>
        <w:pStyle w:val="Default"/>
        <w:spacing w:line="360" w:lineRule="auto"/>
        <w:jc w:val="both"/>
        <w:rPr>
          <w:rFonts w:ascii="Times New Roman" w:hAnsi="Times New Roman" w:cs="Times New Roman"/>
        </w:rPr>
      </w:pPr>
      <w:r>
        <w:rPr>
          <w:rFonts w:ascii="Times New Roman" w:hAnsi="Times New Roman" w:cs="Times New Roman"/>
        </w:rPr>
        <w:t xml:space="preserve">Approximately </w:t>
      </w:r>
      <w:r w:rsidR="00945BF7" w:rsidRPr="00945BF7">
        <w:rPr>
          <w:rFonts w:ascii="Times New Roman" w:hAnsi="Times New Roman" w:cs="Times New Roman"/>
        </w:rPr>
        <w:t>R2.</w:t>
      </w:r>
      <w:r>
        <w:rPr>
          <w:rFonts w:ascii="Times New Roman" w:hAnsi="Times New Roman" w:cs="Times New Roman"/>
        </w:rPr>
        <w:t>4</w:t>
      </w:r>
      <w:r w:rsidR="00945BF7" w:rsidRPr="00945BF7">
        <w:rPr>
          <w:rFonts w:ascii="Times New Roman" w:hAnsi="Times New Roman" w:cs="Times New Roman"/>
        </w:rPr>
        <w:t xml:space="preserve"> billion (</w:t>
      </w:r>
      <w:r>
        <w:rPr>
          <w:rFonts w:ascii="Times New Roman" w:hAnsi="Times New Roman" w:cs="Times New Roman"/>
        </w:rPr>
        <w:t>33</w:t>
      </w:r>
      <w:r w:rsidR="00945BF7" w:rsidRPr="00945BF7">
        <w:rPr>
          <w:rFonts w:ascii="Times New Roman" w:hAnsi="Times New Roman" w:cs="Times New Roman"/>
        </w:rPr>
        <w:t xml:space="preserve"> per cent) </w:t>
      </w:r>
      <w:r>
        <w:rPr>
          <w:rFonts w:ascii="Times New Roman" w:hAnsi="Times New Roman" w:cs="Times New Roman"/>
        </w:rPr>
        <w:t xml:space="preserve">of the total budget </w:t>
      </w:r>
      <w:r w:rsidR="00945BF7" w:rsidRPr="00945BF7">
        <w:rPr>
          <w:rFonts w:ascii="Times New Roman" w:hAnsi="Times New Roman" w:cs="Times New Roman"/>
        </w:rPr>
        <w:t>is transferred to provinces</w:t>
      </w:r>
      <w:r w:rsidR="00083E7A">
        <w:rPr>
          <w:rFonts w:ascii="Times New Roman" w:hAnsi="Times New Roman" w:cs="Times New Roman"/>
        </w:rPr>
        <w:t xml:space="preserve"> and municipalities</w:t>
      </w:r>
      <w:r w:rsidR="00945BF7" w:rsidRPr="00945BF7">
        <w:rPr>
          <w:rFonts w:ascii="Times New Roman" w:hAnsi="Times New Roman" w:cs="Times New Roman"/>
        </w:rPr>
        <w:t xml:space="preserve"> as conditional grants</w:t>
      </w:r>
      <w:r w:rsidR="00B35F1B">
        <w:rPr>
          <w:rFonts w:ascii="Times New Roman" w:hAnsi="Times New Roman" w:cs="Times New Roman"/>
        </w:rPr>
        <w:t>, which is equivalent to 60 per cent of the R4 billion that is allocated to transfers and subsidies</w:t>
      </w:r>
      <w:r w:rsidR="00083E7A">
        <w:rPr>
          <w:rFonts w:ascii="Times New Roman" w:hAnsi="Times New Roman" w:cs="Times New Roman"/>
        </w:rPr>
        <w:t xml:space="preserve"> in 2018/19</w:t>
      </w:r>
      <w:r w:rsidR="00945BF7" w:rsidRPr="00945BF7">
        <w:rPr>
          <w:rFonts w:ascii="Times New Roman" w:hAnsi="Times New Roman" w:cs="Times New Roman"/>
        </w:rPr>
        <w:t>.</w:t>
      </w:r>
      <w:r w:rsidR="00922807">
        <w:rPr>
          <w:rFonts w:ascii="Times New Roman" w:hAnsi="Times New Roman" w:cs="Times New Roman"/>
        </w:rPr>
        <w:t xml:space="preserve"> </w:t>
      </w:r>
      <w:r w:rsidR="00083E7A">
        <w:rPr>
          <w:rFonts w:ascii="Times New Roman" w:hAnsi="Times New Roman" w:cs="Times New Roman"/>
        </w:rPr>
        <w:t>Approximately 7</w:t>
      </w:r>
      <w:r w:rsidR="004924ED">
        <w:rPr>
          <w:rFonts w:ascii="Times New Roman" w:hAnsi="Times New Roman" w:cs="Times New Roman"/>
        </w:rPr>
        <w:t>3</w:t>
      </w:r>
      <w:r w:rsidR="00083E7A">
        <w:rPr>
          <w:rFonts w:ascii="Times New Roman" w:hAnsi="Times New Roman" w:cs="Times New Roman"/>
        </w:rPr>
        <w:t xml:space="preserve"> per cent (R1.</w:t>
      </w:r>
      <w:r w:rsidR="004924ED">
        <w:rPr>
          <w:rFonts w:ascii="Times New Roman" w:hAnsi="Times New Roman" w:cs="Times New Roman"/>
        </w:rPr>
        <w:t>75</w:t>
      </w:r>
      <w:r w:rsidR="00083E7A">
        <w:rPr>
          <w:rFonts w:ascii="Times New Roman" w:hAnsi="Times New Roman" w:cs="Times New Roman"/>
        </w:rPr>
        <w:t xml:space="preserve"> billion) of the total conditional grants</w:t>
      </w:r>
      <w:r w:rsidR="004924ED">
        <w:rPr>
          <w:rFonts w:ascii="Times New Roman" w:hAnsi="Times New Roman" w:cs="Times New Roman"/>
        </w:rPr>
        <w:t xml:space="preserve"> budget</w:t>
      </w:r>
      <w:r w:rsidR="00083E7A">
        <w:rPr>
          <w:rFonts w:ascii="Times New Roman" w:hAnsi="Times New Roman" w:cs="Times New Roman"/>
        </w:rPr>
        <w:t xml:space="preserve"> is allocated to the Comprehensive Agriculture Support programme (CASP)</w:t>
      </w:r>
      <w:r w:rsidR="004924ED">
        <w:rPr>
          <w:rFonts w:ascii="Times New Roman" w:hAnsi="Times New Roman" w:cs="Times New Roman"/>
        </w:rPr>
        <w:t>; and the rest to Ilima/Letsema and LandCare grants</w:t>
      </w:r>
      <w:r w:rsidR="00083E7A">
        <w:rPr>
          <w:rFonts w:ascii="Times New Roman" w:hAnsi="Times New Roman" w:cs="Times New Roman"/>
        </w:rPr>
        <w:t>. The CASP grant transfers are made through</w:t>
      </w:r>
      <w:r w:rsidR="004924ED">
        <w:rPr>
          <w:rFonts w:ascii="Times New Roman" w:hAnsi="Times New Roman" w:cs="Times New Roman"/>
        </w:rPr>
        <w:t xml:space="preserve"> </w:t>
      </w:r>
      <w:r w:rsidR="004924ED" w:rsidRPr="00945BF7">
        <w:rPr>
          <w:rFonts w:ascii="Times New Roman" w:hAnsi="Times New Roman" w:cs="Times New Roman"/>
        </w:rPr>
        <w:t>Programme 3 and Programme 5</w:t>
      </w:r>
      <w:r w:rsidR="004924ED">
        <w:rPr>
          <w:rFonts w:ascii="Times New Roman" w:hAnsi="Times New Roman" w:cs="Times New Roman"/>
        </w:rPr>
        <w:t xml:space="preserve"> for i</w:t>
      </w:r>
      <w:r w:rsidR="004924ED" w:rsidRPr="00945BF7">
        <w:rPr>
          <w:rFonts w:ascii="Times New Roman" w:hAnsi="Times New Roman" w:cs="Times New Roman"/>
        </w:rPr>
        <w:t xml:space="preserve">nfrastructure, </w:t>
      </w:r>
      <w:r w:rsidR="004924ED">
        <w:rPr>
          <w:rFonts w:ascii="Times New Roman" w:hAnsi="Times New Roman" w:cs="Times New Roman"/>
        </w:rPr>
        <w:t xml:space="preserve">extension recovery planning, </w:t>
      </w:r>
      <w:r w:rsidR="004924ED" w:rsidRPr="00945BF7">
        <w:rPr>
          <w:rFonts w:ascii="Times New Roman" w:hAnsi="Times New Roman" w:cs="Times New Roman"/>
        </w:rPr>
        <w:t>agricultural colleges</w:t>
      </w:r>
      <w:r w:rsidR="004924ED">
        <w:rPr>
          <w:rFonts w:ascii="Times New Roman" w:hAnsi="Times New Roman" w:cs="Times New Roman"/>
        </w:rPr>
        <w:t xml:space="preserve"> </w:t>
      </w:r>
      <w:r w:rsidR="004924ED" w:rsidRPr="00945BF7">
        <w:rPr>
          <w:rFonts w:ascii="Times New Roman" w:hAnsi="Times New Roman" w:cs="Times New Roman"/>
        </w:rPr>
        <w:t>and disaster</w:t>
      </w:r>
      <w:r w:rsidR="004924ED">
        <w:rPr>
          <w:rFonts w:ascii="Times New Roman" w:hAnsi="Times New Roman" w:cs="Times New Roman"/>
        </w:rPr>
        <w:t>s</w:t>
      </w:r>
      <w:r w:rsidR="004924ED" w:rsidRPr="00945BF7">
        <w:rPr>
          <w:rFonts w:ascii="Times New Roman" w:hAnsi="Times New Roman" w:cs="Times New Roman"/>
        </w:rPr>
        <w:t xml:space="preserve">. </w:t>
      </w:r>
      <w:r w:rsidR="00211FF8">
        <w:rPr>
          <w:rFonts w:ascii="Times New Roman" w:hAnsi="Times New Roman" w:cs="Times New Roman"/>
        </w:rPr>
        <w:t>T</w:t>
      </w:r>
      <w:r w:rsidR="00945BF7" w:rsidRPr="00945BF7">
        <w:rPr>
          <w:rFonts w:ascii="Times New Roman" w:hAnsi="Times New Roman" w:cs="Times New Roman"/>
        </w:rPr>
        <w:t>he Ilima</w:t>
      </w:r>
      <w:r w:rsidR="00922807">
        <w:rPr>
          <w:rFonts w:ascii="Times New Roman" w:hAnsi="Times New Roman" w:cs="Times New Roman"/>
        </w:rPr>
        <w:t>/</w:t>
      </w:r>
      <w:r w:rsidR="00945BF7" w:rsidRPr="00945BF7">
        <w:rPr>
          <w:rFonts w:ascii="Times New Roman" w:hAnsi="Times New Roman" w:cs="Times New Roman"/>
        </w:rPr>
        <w:t>Letsema</w:t>
      </w:r>
      <w:r w:rsidR="004924ED">
        <w:rPr>
          <w:rFonts w:ascii="Times New Roman" w:hAnsi="Times New Roman" w:cs="Times New Roman"/>
        </w:rPr>
        <w:t xml:space="preserve"> grant is transferred through </w:t>
      </w:r>
      <w:r w:rsidR="004924ED" w:rsidRPr="00945BF7">
        <w:rPr>
          <w:rFonts w:ascii="Times New Roman" w:hAnsi="Times New Roman" w:cs="Times New Roman"/>
        </w:rPr>
        <w:t>Programme 2</w:t>
      </w:r>
      <w:r w:rsidR="004924ED">
        <w:rPr>
          <w:rFonts w:ascii="Times New Roman" w:hAnsi="Times New Roman" w:cs="Times New Roman"/>
        </w:rPr>
        <w:t xml:space="preserve"> and </w:t>
      </w:r>
      <w:r w:rsidR="00945BF7" w:rsidRPr="00945BF7">
        <w:rPr>
          <w:rFonts w:ascii="Times New Roman" w:hAnsi="Times New Roman" w:cs="Times New Roman"/>
        </w:rPr>
        <w:t>focuse</w:t>
      </w:r>
      <w:r w:rsidR="00922807">
        <w:rPr>
          <w:rFonts w:ascii="Times New Roman" w:hAnsi="Times New Roman" w:cs="Times New Roman"/>
        </w:rPr>
        <w:t>s</w:t>
      </w:r>
      <w:r w:rsidR="00945BF7" w:rsidRPr="00945BF7">
        <w:rPr>
          <w:rFonts w:ascii="Times New Roman" w:hAnsi="Times New Roman" w:cs="Times New Roman"/>
        </w:rPr>
        <w:t xml:space="preserve"> on increasing food production</w:t>
      </w:r>
      <w:r w:rsidR="004924ED">
        <w:rPr>
          <w:rFonts w:ascii="Times New Roman" w:hAnsi="Times New Roman" w:cs="Times New Roman"/>
        </w:rPr>
        <w:t xml:space="preserve">, </w:t>
      </w:r>
      <w:r w:rsidR="00945BF7" w:rsidRPr="00945BF7">
        <w:rPr>
          <w:rFonts w:ascii="Times New Roman" w:hAnsi="Times New Roman" w:cs="Times New Roman"/>
        </w:rPr>
        <w:t>rehabilitating irrigation schemes and o</w:t>
      </w:r>
      <w:r w:rsidR="00BA4A09">
        <w:rPr>
          <w:rFonts w:ascii="Times New Roman" w:hAnsi="Times New Roman" w:cs="Times New Roman"/>
        </w:rPr>
        <w:t xml:space="preserve">ther value adding projects. An </w:t>
      </w:r>
      <w:r w:rsidR="00BA4A09" w:rsidRPr="00945BF7">
        <w:rPr>
          <w:rFonts w:ascii="Times New Roman" w:hAnsi="Times New Roman" w:cs="Times New Roman"/>
        </w:rPr>
        <w:t>amount</w:t>
      </w:r>
      <w:r w:rsidR="004924ED">
        <w:rPr>
          <w:rFonts w:ascii="Times New Roman" w:hAnsi="Times New Roman" w:cs="Times New Roman"/>
        </w:rPr>
        <w:t xml:space="preserve"> of </w:t>
      </w:r>
      <w:r w:rsidR="004924ED" w:rsidRPr="00945BF7">
        <w:rPr>
          <w:rFonts w:ascii="Times New Roman" w:hAnsi="Times New Roman" w:cs="Times New Roman"/>
        </w:rPr>
        <w:t>R522.4 million</w:t>
      </w:r>
      <w:r w:rsidR="004924ED">
        <w:rPr>
          <w:rFonts w:ascii="Times New Roman" w:hAnsi="Times New Roman" w:cs="Times New Roman"/>
        </w:rPr>
        <w:t xml:space="preserve"> will be transferred to provinces through the grant in 2018/19.</w:t>
      </w:r>
      <w:r w:rsidR="00BA4A09" w:rsidRPr="00945BF7">
        <w:rPr>
          <w:rFonts w:ascii="Times New Roman" w:hAnsi="Times New Roman" w:cs="Times New Roman"/>
        </w:rPr>
        <w:t xml:space="preserve"> </w:t>
      </w:r>
      <w:r w:rsidR="004924ED">
        <w:rPr>
          <w:rFonts w:ascii="Times New Roman" w:hAnsi="Times New Roman" w:cs="Times New Roman"/>
        </w:rPr>
        <w:t xml:space="preserve">For the </w:t>
      </w:r>
      <w:r w:rsidR="004924ED">
        <w:rPr>
          <w:rFonts w:ascii="Times New Roman" w:hAnsi="Times New Roman" w:cs="Times New Roman"/>
        </w:rPr>
        <w:lastRenderedPageBreak/>
        <w:t xml:space="preserve">LandCare programme, an amount </w:t>
      </w:r>
      <w:r w:rsidR="00BA4A09">
        <w:rPr>
          <w:rFonts w:ascii="Times New Roman" w:hAnsi="Times New Roman" w:cs="Times New Roman"/>
        </w:rPr>
        <w:t xml:space="preserve">of </w:t>
      </w:r>
      <w:r w:rsidR="004924ED">
        <w:rPr>
          <w:rFonts w:ascii="Times New Roman" w:hAnsi="Times New Roman" w:cs="Times New Roman"/>
        </w:rPr>
        <w:t>R</w:t>
      </w:r>
      <w:r w:rsidR="00BA4A09" w:rsidRPr="00945BF7">
        <w:rPr>
          <w:rFonts w:ascii="Times New Roman" w:hAnsi="Times New Roman" w:cs="Times New Roman"/>
        </w:rPr>
        <w:t>77</w:t>
      </w:r>
      <w:r w:rsidR="004924ED">
        <w:rPr>
          <w:rFonts w:ascii="Times New Roman" w:hAnsi="Times New Roman" w:cs="Times New Roman"/>
        </w:rPr>
        <w:t>.</w:t>
      </w:r>
      <w:r w:rsidR="00BA4A09" w:rsidRPr="00945BF7">
        <w:rPr>
          <w:rFonts w:ascii="Times New Roman" w:hAnsi="Times New Roman" w:cs="Times New Roman"/>
        </w:rPr>
        <w:t>8 million</w:t>
      </w:r>
      <w:r w:rsidR="00BA4A09">
        <w:rPr>
          <w:rFonts w:ascii="Times New Roman" w:hAnsi="Times New Roman" w:cs="Times New Roman"/>
        </w:rPr>
        <w:t xml:space="preserve"> </w:t>
      </w:r>
      <w:r w:rsidR="004924ED">
        <w:rPr>
          <w:rFonts w:ascii="Times New Roman" w:hAnsi="Times New Roman" w:cs="Times New Roman"/>
        </w:rPr>
        <w:t xml:space="preserve">will be </w:t>
      </w:r>
      <w:r w:rsidR="00BA4A09">
        <w:rPr>
          <w:rFonts w:ascii="Times New Roman" w:hAnsi="Times New Roman" w:cs="Times New Roman"/>
        </w:rPr>
        <w:t>transfer</w:t>
      </w:r>
      <w:r w:rsidR="004924ED">
        <w:rPr>
          <w:rFonts w:ascii="Times New Roman" w:hAnsi="Times New Roman" w:cs="Times New Roman"/>
        </w:rPr>
        <w:t xml:space="preserve">red through </w:t>
      </w:r>
      <w:r w:rsidR="00945BF7" w:rsidRPr="00945BF7">
        <w:rPr>
          <w:rFonts w:ascii="Times New Roman" w:hAnsi="Times New Roman" w:cs="Times New Roman"/>
        </w:rPr>
        <w:t>Programme 5</w:t>
      </w:r>
      <w:r w:rsidR="00BA4A09">
        <w:rPr>
          <w:rFonts w:ascii="Times New Roman" w:hAnsi="Times New Roman" w:cs="Times New Roman"/>
        </w:rPr>
        <w:t>.</w:t>
      </w:r>
      <w:r w:rsidR="00945BF7" w:rsidRPr="00945BF7">
        <w:rPr>
          <w:rFonts w:ascii="Times New Roman" w:hAnsi="Times New Roman" w:cs="Times New Roman"/>
        </w:rPr>
        <w:t xml:space="preserve"> </w:t>
      </w:r>
    </w:p>
    <w:p w14:paraId="03FE714D" w14:textId="77777777" w:rsidR="009163A4" w:rsidRDefault="009163A4" w:rsidP="00E4453C">
      <w:pPr>
        <w:tabs>
          <w:tab w:val="left" w:pos="567"/>
          <w:tab w:val="left" w:pos="2012"/>
        </w:tabs>
        <w:autoSpaceDE w:val="0"/>
        <w:autoSpaceDN w:val="0"/>
        <w:adjustRightInd w:val="0"/>
        <w:spacing w:line="360" w:lineRule="auto"/>
        <w:jc w:val="both"/>
        <w:rPr>
          <w:rFonts w:cs="Arial"/>
        </w:rPr>
      </w:pPr>
    </w:p>
    <w:p w14:paraId="534D5144" w14:textId="77777777" w:rsidR="00FE32CE" w:rsidRDefault="00BC3981" w:rsidP="00FE32CE">
      <w:pPr>
        <w:tabs>
          <w:tab w:val="left" w:pos="567"/>
          <w:tab w:val="left" w:pos="2012"/>
        </w:tabs>
        <w:autoSpaceDE w:val="0"/>
        <w:autoSpaceDN w:val="0"/>
        <w:adjustRightInd w:val="0"/>
        <w:spacing w:line="360" w:lineRule="auto"/>
        <w:jc w:val="both"/>
      </w:pPr>
      <w:r w:rsidRPr="00BC3981">
        <w:t>A</w:t>
      </w:r>
      <w:r w:rsidR="00FE32CE">
        <w:t>s indicated in Table 2, i</w:t>
      </w:r>
      <w:r w:rsidR="00FE32CE">
        <w:rPr>
          <w:rFonts w:cs="Arial"/>
        </w:rPr>
        <w:t>n terms of Public Entities, the Department’s budget</w:t>
      </w:r>
      <w:r w:rsidR="00920447">
        <w:rPr>
          <w:rFonts w:cs="Arial"/>
        </w:rPr>
        <w:t xml:space="preserve"> transfers</w:t>
      </w:r>
      <w:r w:rsidR="00FE32CE">
        <w:rPr>
          <w:rFonts w:cs="Arial"/>
        </w:rPr>
        <w:t xml:space="preserve"> </w:t>
      </w:r>
      <w:r w:rsidR="00DD1C1F">
        <w:rPr>
          <w:rFonts w:cs="Arial"/>
        </w:rPr>
        <w:t xml:space="preserve">for </w:t>
      </w:r>
      <w:r w:rsidR="00FE32CE">
        <w:rPr>
          <w:rFonts w:cs="Arial"/>
        </w:rPr>
        <w:t>the 2018/19 financial year</w:t>
      </w:r>
      <w:r w:rsidR="00920447">
        <w:rPr>
          <w:rFonts w:cs="Arial"/>
        </w:rPr>
        <w:t xml:space="preserve"> will constitute </w:t>
      </w:r>
      <w:r w:rsidR="00FE32CE">
        <w:rPr>
          <w:rFonts w:cs="Arial"/>
        </w:rPr>
        <w:t>R</w:t>
      </w:r>
      <w:r w:rsidR="00920447">
        <w:rPr>
          <w:rFonts w:cs="Arial"/>
        </w:rPr>
        <w:t xml:space="preserve">1 billion </w:t>
      </w:r>
      <w:r w:rsidR="00FE32CE">
        <w:rPr>
          <w:rFonts w:cs="Arial"/>
        </w:rPr>
        <w:t>to the Agricultural Research Council (ARC) through Programme 2;</w:t>
      </w:r>
      <w:r w:rsidR="00FE32CE">
        <w:t xml:space="preserve"> </w:t>
      </w:r>
      <w:r w:rsidR="00FE32CE" w:rsidRPr="00FE32CE">
        <w:t xml:space="preserve">R259.7 million to the Marine Living Resources Fund (MLRF), </w:t>
      </w:r>
      <w:r w:rsidR="00FE32CE">
        <w:t>which is responsible for all operational activities for Programme 6; R43.2 million to the National Agricultural Marketing Council (NAMC) through Programme 4; R6.6 million to Ncera Farms (Pty) Ltd through Programme 3 and R</w:t>
      </w:r>
      <w:r w:rsidR="00AB4994">
        <w:t>600</w:t>
      </w:r>
      <w:r w:rsidR="00FE32CE">
        <w:t xml:space="preserve"> 000 to the Perishable Products Export Control Board (PPECB) specifically for skills development and training </w:t>
      </w:r>
      <w:r w:rsidR="00AB4994">
        <w:t>of</w:t>
      </w:r>
      <w:r w:rsidR="00FE32CE">
        <w:t xml:space="preserve"> smallholder farmers. </w:t>
      </w:r>
    </w:p>
    <w:p w14:paraId="583383AE" w14:textId="77777777" w:rsidR="00BC3981" w:rsidRPr="00BC3981" w:rsidRDefault="00BC3981" w:rsidP="00BC3981">
      <w:pPr>
        <w:tabs>
          <w:tab w:val="left" w:pos="567"/>
          <w:tab w:val="left" w:pos="2012"/>
        </w:tabs>
        <w:autoSpaceDE w:val="0"/>
        <w:autoSpaceDN w:val="0"/>
        <w:adjustRightInd w:val="0"/>
        <w:spacing w:line="360" w:lineRule="auto"/>
        <w:jc w:val="both"/>
        <w:rPr>
          <w:rFonts w:cs="Arial"/>
        </w:rPr>
      </w:pPr>
    </w:p>
    <w:p w14:paraId="4B4F8C37" w14:textId="77777777" w:rsidR="002B3FB3" w:rsidRPr="009B1879" w:rsidRDefault="009163A4" w:rsidP="00E4453C">
      <w:pPr>
        <w:tabs>
          <w:tab w:val="left" w:pos="567"/>
          <w:tab w:val="left" w:pos="2012"/>
        </w:tabs>
        <w:autoSpaceDE w:val="0"/>
        <w:autoSpaceDN w:val="0"/>
        <w:adjustRightInd w:val="0"/>
        <w:spacing w:line="360" w:lineRule="auto"/>
        <w:jc w:val="both"/>
        <w:rPr>
          <w:rFonts w:cs="Arial"/>
          <w:b/>
        </w:rPr>
      </w:pPr>
      <w:r>
        <w:rPr>
          <w:rFonts w:cs="Arial"/>
          <w:b/>
        </w:rPr>
        <w:t xml:space="preserve"> </w:t>
      </w:r>
      <w:r w:rsidR="002B3FB3" w:rsidRPr="009B1879">
        <w:rPr>
          <w:rFonts w:cs="Arial"/>
          <w:b/>
        </w:rPr>
        <w:t xml:space="preserve">Table 2. Budget </w:t>
      </w:r>
      <w:r w:rsidR="002B3FB3">
        <w:rPr>
          <w:rFonts w:cs="Arial"/>
          <w:b/>
        </w:rPr>
        <w:t>A</w:t>
      </w:r>
      <w:r w:rsidR="002B3FB3" w:rsidRPr="009B1879">
        <w:rPr>
          <w:rFonts w:cs="Arial"/>
          <w:b/>
        </w:rPr>
        <w:t xml:space="preserve">llocation to </w:t>
      </w:r>
      <w:r w:rsidR="002B3FB3">
        <w:rPr>
          <w:rFonts w:cs="Arial"/>
          <w:b/>
        </w:rPr>
        <w:t>E</w:t>
      </w:r>
      <w:r w:rsidR="002B3FB3" w:rsidRPr="009B1879">
        <w:rPr>
          <w:rFonts w:cs="Arial"/>
          <w:b/>
        </w:rPr>
        <w:t xml:space="preserve">ntities for </w:t>
      </w:r>
      <w:r w:rsidR="002B3FB3">
        <w:rPr>
          <w:rFonts w:cs="Arial"/>
          <w:b/>
        </w:rPr>
        <w:t xml:space="preserve">the MTEF Period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43"/>
        <w:gridCol w:w="1735"/>
        <w:gridCol w:w="2132"/>
      </w:tblGrid>
      <w:tr w:rsidR="002B3FB3" w:rsidRPr="00F56E60" w14:paraId="791FDDF6" w14:textId="77777777" w:rsidTr="009B1879">
        <w:tc>
          <w:tcPr>
            <w:tcW w:w="3030" w:type="dxa"/>
            <w:shd w:val="clear" w:color="auto" w:fill="D9D9D9"/>
          </w:tcPr>
          <w:p w14:paraId="45C30A4C" w14:textId="77777777" w:rsidR="002B3FB3" w:rsidRPr="00F56E60" w:rsidRDefault="002B3FB3" w:rsidP="00B15773">
            <w:pPr>
              <w:jc w:val="both"/>
              <w:rPr>
                <w:b/>
                <w:sz w:val="22"/>
                <w:szCs w:val="22"/>
                <w:lang w:val="en-ZA"/>
              </w:rPr>
            </w:pPr>
          </w:p>
          <w:p w14:paraId="666EEA29" w14:textId="77777777" w:rsidR="002B3FB3" w:rsidRPr="00F56E60" w:rsidRDefault="002B3FB3" w:rsidP="002B3FB3">
            <w:pPr>
              <w:jc w:val="both"/>
              <w:rPr>
                <w:b/>
                <w:sz w:val="22"/>
                <w:szCs w:val="22"/>
                <w:lang w:val="en-ZA"/>
              </w:rPr>
            </w:pPr>
            <w:r>
              <w:rPr>
                <w:b/>
                <w:sz w:val="22"/>
                <w:szCs w:val="22"/>
                <w:lang w:val="en-ZA"/>
              </w:rPr>
              <w:t>Entity</w:t>
            </w:r>
          </w:p>
        </w:tc>
        <w:tc>
          <w:tcPr>
            <w:tcW w:w="1743" w:type="dxa"/>
            <w:shd w:val="clear" w:color="auto" w:fill="D9D9D9"/>
          </w:tcPr>
          <w:p w14:paraId="481A1DF5" w14:textId="77777777" w:rsidR="002B3FB3" w:rsidRPr="00DF2299" w:rsidRDefault="002B3FB3" w:rsidP="00B15773">
            <w:pPr>
              <w:jc w:val="both"/>
              <w:rPr>
                <w:b/>
                <w:sz w:val="22"/>
                <w:szCs w:val="22"/>
                <w:lang w:val="en-ZA"/>
              </w:rPr>
            </w:pPr>
          </w:p>
          <w:p w14:paraId="2CFC0B88" w14:textId="77777777" w:rsidR="002B3FB3" w:rsidRPr="00DF2299" w:rsidRDefault="002B3FB3" w:rsidP="009E3248">
            <w:pPr>
              <w:jc w:val="both"/>
              <w:rPr>
                <w:b/>
                <w:sz w:val="22"/>
                <w:szCs w:val="22"/>
                <w:lang w:val="en-ZA"/>
              </w:rPr>
            </w:pPr>
            <w:r w:rsidRPr="00DF2299">
              <w:rPr>
                <w:b/>
                <w:sz w:val="22"/>
                <w:szCs w:val="22"/>
                <w:lang w:val="en-ZA"/>
              </w:rPr>
              <w:t>2018</w:t>
            </w:r>
            <w:r w:rsidR="009E3248">
              <w:rPr>
                <w:b/>
                <w:sz w:val="22"/>
                <w:szCs w:val="22"/>
                <w:lang w:val="en-ZA"/>
              </w:rPr>
              <w:t>/19</w:t>
            </w:r>
            <w:r w:rsidRPr="00DF2299">
              <w:rPr>
                <w:b/>
                <w:sz w:val="22"/>
                <w:szCs w:val="22"/>
                <w:lang w:val="en-ZA"/>
              </w:rPr>
              <w:t xml:space="preserve"> allocation</w:t>
            </w:r>
          </w:p>
        </w:tc>
        <w:tc>
          <w:tcPr>
            <w:tcW w:w="1735" w:type="dxa"/>
            <w:shd w:val="clear" w:color="auto" w:fill="D9D9D9"/>
          </w:tcPr>
          <w:p w14:paraId="5C533DD7" w14:textId="77777777" w:rsidR="002B3FB3" w:rsidRPr="00F56E60" w:rsidRDefault="002B3FB3" w:rsidP="00B15773">
            <w:pPr>
              <w:jc w:val="both"/>
              <w:rPr>
                <w:b/>
                <w:sz w:val="22"/>
                <w:szCs w:val="22"/>
                <w:lang w:val="en-ZA"/>
              </w:rPr>
            </w:pPr>
          </w:p>
          <w:p w14:paraId="00784E5B" w14:textId="77777777" w:rsidR="002B3FB3" w:rsidRPr="00F56E60" w:rsidRDefault="002B3FB3" w:rsidP="00B15773">
            <w:pPr>
              <w:jc w:val="both"/>
              <w:rPr>
                <w:b/>
                <w:sz w:val="22"/>
                <w:szCs w:val="22"/>
                <w:lang w:val="en-ZA"/>
              </w:rPr>
            </w:pPr>
            <w:r w:rsidRPr="00F56E60">
              <w:rPr>
                <w:b/>
                <w:sz w:val="22"/>
                <w:szCs w:val="22"/>
                <w:lang w:val="en-ZA"/>
              </w:rPr>
              <w:t>2019</w:t>
            </w:r>
            <w:r w:rsidR="009E3248">
              <w:rPr>
                <w:b/>
                <w:sz w:val="22"/>
                <w:szCs w:val="22"/>
                <w:lang w:val="en-ZA"/>
              </w:rPr>
              <w:t>/20</w:t>
            </w:r>
            <w:r w:rsidRPr="00F56E60">
              <w:rPr>
                <w:b/>
                <w:sz w:val="22"/>
                <w:szCs w:val="22"/>
                <w:lang w:val="en-ZA"/>
              </w:rPr>
              <w:t xml:space="preserve"> </w:t>
            </w:r>
          </w:p>
          <w:p w14:paraId="2262A618" w14:textId="77777777" w:rsidR="002B3FB3" w:rsidRPr="00F56E60" w:rsidRDefault="002B3FB3" w:rsidP="00B15773">
            <w:pPr>
              <w:jc w:val="both"/>
              <w:rPr>
                <w:b/>
                <w:sz w:val="22"/>
                <w:szCs w:val="22"/>
                <w:lang w:val="en-ZA"/>
              </w:rPr>
            </w:pPr>
            <w:r w:rsidRPr="00F56E60">
              <w:rPr>
                <w:b/>
                <w:sz w:val="22"/>
                <w:szCs w:val="22"/>
                <w:lang w:val="en-ZA"/>
              </w:rPr>
              <w:t>allocation</w:t>
            </w:r>
          </w:p>
        </w:tc>
        <w:tc>
          <w:tcPr>
            <w:tcW w:w="2132" w:type="dxa"/>
            <w:shd w:val="clear" w:color="auto" w:fill="D9D9D9"/>
          </w:tcPr>
          <w:p w14:paraId="3D8AA091" w14:textId="77777777" w:rsidR="002B3FB3" w:rsidRDefault="002B3FB3" w:rsidP="00B15773">
            <w:pPr>
              <w:jc w:val="both"/>
              <w:rPr>
                <w:b/>
                <w:sz w:val="22"/>
                <w:szCs w:val="22"/>
                <w:lang w:val="en-ZA"/>
              </w:rPr>
            </w:pPr>
          </w:p>
          <w:p w14:paraId="0A3EA259" w14:textId="77777777" w:rsidR="002B3FB3" w:rsidRDefault="002B3FB3" w:rsidP="00B15773">
            <w:pPr>
              <w:jc w:val="both"/>
              <w:rPr>
                <w:b/>
                <w:sz w:val="22"/>
                <w:szCs w:val="22"/>
                <w:lang w:val="en-ZA"/>
              </w:rPr>
            </w:pPr>
            <w:r>
              <w:rPr>
                <w:b/>
                <w:sz w:val="22"/>
                <w:szCs w:val="22"/>
                <w:lang w:val="en-ZA"/>
              </w:rPr>
              <w:t>2020</w:t>
            </w:r>
            <w:r w:rsidR="009E3248">
              <w:rPr>
                <w:b/>
                <w:sz w:val="22"/>
                <w:szCs w:val="22"/>
                <w:lang w:val="en-ZA"/>
              </w:rPr>
              <w:t>/21</w:t>
            </w:r>
          </w:p>
          <w:p w14:paraId="1FE6ED07" w14:textId="77777777" w:rsidR="002B3FB3" w:rsidRPr="00F56E60" w:rsidRDefault="002B3FB3" w:rsidP="00B15773">
            <w:pPr>
              <w:jc w:val="both"/>
              <w:rPr>
                <w:b/>
                <w:sz w:val="22"/>
                <w:szCs w:val="22"/>
                <w:lang w:val="en-ZA"/>
              </w:rPr>
            </w:pPr>
            <w:r>
              <w:rPr>
                <w:b/>
                <w:sz w:val="22"/>
                <w:szCs w:val="22"/>
                <w:lang w:val="en-ZA"/>
              </w:rPr>
              <w:t>allocation</w:t>
            </w:r>
          </w:p>
        </w:tc>
      </w:tr>
      <w:tr w:rsidR="002B3FB3" w:rsidRPr="00F56E60" w14:paraId="53FACA75" w14:textId="77777777" w:rsidTr="009B1879">
        <w:tc>
          <w:tcPr>
            <w:tcW w:w="3030" w:type="dxa"/>
          </w:tcPr>
          <w:p w14:paraId="56931DF4" w14:textId="77777777" w:rsidR="002B3FB3" w:rsidRPr="00F56E60" w:rsidRDefault="00F96559" w:rsidP="00B15773">
            <w:pPr>
              <w:jc w:val="both"/>
              <w:rPr>
                <w:b/>
                <w:sz w:val="22"/>
                <w:szCs w:val="22"/>
                <w:lang w:val="en-ZA"/>
              </w:rPr>
            </w:pPr>
            <w:r>
              <w:rPr>
                <w:b/>
                <w:sz w:val="22"/>
                <w:szCs w:val="22"/>
                <w:lang w:val="en-ZA"/>
              </w:rPr>
              <w:t>R Million</w:t>
            </w:r>
          </w:p>
        </w:tc>
        <w:tc>
          <w:tcPr>
            <w:tcW w:w="1743" w:type="dxa"/>
            <w:shd w:val="clear" w:color="auto" w:fill="D9D9D9"/>
          </w:tcPr>
          <w:p w14:paraId="64F0EF95" w14:textId="77777777" w:rsidR="002B3FB3" w:rsidRPr="00DF2299" w:rsidRDefault="002B3FB3" w:rsidP="00B15773">
            <w:pPr>
              <w:jc w:val="both"/>
              <w:rPr>
                <w:sz w:val="22"/>
                <w:szCs w:val="22"/>
                <w:lang w:val="en-ZA"/>
              </w:rPr>
            </w:pPr>
          </w:p>
        </w:tc>
        <w:tc>
          <w:tcPr>
            <w:tcW w:w="1735" w:type="dxa"/>
          </w:tcPr>
          <w:p w14:paraId="0A240E16" w14:textId="77777777" w:rsidR="002B3FB3" w:rsidRPr="00F56E60" w:rsidRDefault="002B3FB3" w:rsidP="00B15773">
            <w:pPr>
              <w:jc w:val="both"/>
              <w:rPr>
                <w:sz w:val="22"/>
                <w:szCs w:val="22"/>
                <w:lang w:val="en-ZA"/>
              </w:rPr>
            </w:pPr>
          </w:p>
        </w:tc>
        <w:tc>
          <w:tcPr>
            <w:tcW w:w="2132" w:type="dxa"/>
            <w:shd w:val="clear" w:color="auto" w:fill="auto"/>
          </w:tcPr>
          <w:p w14:paraId="243D0523" w14:textId="77777777" w:rsidR="002B3FB3" w:rsidRPr="00F56E60" w:rsidRDefault="002B3FB3" w:rsidP="00B15773">
            <w:pPr>
              <w:jc w:val="both"/>
              <w:rPr>
                <w:sz w:val="22"/>
                <w:szCs w:val="22"/>
                <w:lang w:val="en-ZA"/>
              </w:rPr>
            </w:pPr>
          </w:p>
        </w:tc>
      </w:tr>
      <w:tr w:rsidR="002B3FB3" w:rsidRPr="00F56E60" w14:paraId="4EE7FF4B" w14:textId="77777777" w:rsidTr="009B1879">
        <w:tc>
          <w:tcPr>
            <w:tcW w:w="3030" w:type="dxa"/>
          </w:tcPr>
          <w:p w14:paraId="5735D3ED" w14:textId="77777777" w:rsidR="002B3FB3" w:rsidRPr="00F56E60" w:rsidRDefault="002B3FB3" w:rsidP="002B3FB3">
            <w:pPr>
              <w:rPr>
                <w:sz w:val="22"/>
                <w:szCs w:val="22"/>
                <w:lang w:val="en-ZA"/>
              </w:rPr>
            </w:pPr>
            <w:r w:rsidRPr="00DF2299">
              <w:rPr>
                <w:b/>
                <w:sz w:val="22"/>
                <w:szCs w:val="22"/>
                <w:lang w:val="en-ZA"/>
              </w:rPr>
              <w:t>1.</w:t>
            </w:r>
            <w:r w:rsidRPr="00F56E60">
              <w:rPr>
                <w:sz w:val="22"/>
                <w:szCs w:val="22"/>
                <w:lang w:val="en-ZA"/>
              </w:rPr>
              <w:t xml:space="preserve">  A</w:t>
            </w:r>
            <w:r>
              <w:rPr>
                <w:sz w:val="22"/>
                <w:szCs w:val="22"/>
                <w:lang w:val="en-ZA"/>
              </w:rPr>
              <w:t xml:space="preserve">gricultural Research Council </w:t>
            </w:r>
          </w:p>
        </w:tc>
        <w:tc>
          <w:tcPr>
            <w:tcW w:w="1743" w:type="dxa"/>
            <w:shd w:val="clear" w:color="auto" w:fill="D9D9D9"/>
          </w:tcPr>
          <w:p w14:paraId="47101ABE" w14:textId="77777777" w:rsidR="002B3FB3" w:rsidRPr="00DF2299" w:rsidRDefault="002B3FB3" w:rsidP="00F879C4">
            <w:pPr>
              <w:jc w:val="both"/>
              <w:rPr>
                <w:sz w:val="22"/>
                <w:szCs w:val="22"/>
                <w:lang w:val="en-ZA"/>
              </w:rPr>
            </w:pPr>
            <w:r>
              <w:rPr>
                <w:sz w:val="22"/>
                <w:szCs w:val="22"/>
                <w:lang w:val="en-ZA"/>
              </w:rPr>
              <w:t>R9</w:t>
            </w:r>
            <w:r w:rsidR="00F879C4">
              <w:rPr>
                <w:sz w:val="22"/>
                <w:szCs w:val="22"/>
                <w:lang w:val="en-ZA"/>
              </w:rPr>
              <w:t>32.1</w:t>
            </w:r>
            <w:r w:rsidR="0005361A">
              <w:rPr>
                <w:sz w:val="22"/>
                <w:szCs w:val="22"/>
                <w:lang w:val="en-ZA"/>
              </w:rPr>
              <w:t xml:space="preserve"> </w:t>
            </w:r>
          </w:p>
        </w:tc>
        <w:tc>
          <w:tcPr>
            <w:tcW w:w="1735" w:type="dxa"/>
          </w:tcPr>
          <w:p w14:paraId="4FDEB73A" w14:textId="77777777" w:rsidR="002B3FB3" w:rsidRPr="00F56E60" w:rsidRDefault="00534DF4" w:rsidP="00F879C4">
            <w:pPr>
              <w:jc w:val="both"/>
              <w:rPr>
                <w:sz w:val="22"/>
                <w:szCs w:val="22"/>
                <w:lang w:val="en-ZA"/>
              </w:rPr>
            </w:pPr>
            <w:r>
              <w:rPr>
                <w:sz w:val="22"/>
                <w:szCs w:val="22"/>
                <w:lang w:val="en-ZA"/>
              </w:rPr>
              <w:t>R</w:t>
            </w:r>
            <w:r w:rsidR="007C48FF">
              <w:rPr>
                <w:sz w:val="22"/>
                <w:szCs w:val="22"/>
                <w:lang w:val="en-ZA"/>
              </w:rPr>
              <w:t>9</w:t>
            </w:r>
            <w:r w:rsidR="00F879C4">
              <w:rPr>
                <w:sz w:val="22"/>
                <w:szCs w:val="22"/>
                <w:lang w:val="en-ZA"/>
              </w:rPr>
              <w:t>84</w:t>
            </w:r>
            <w:r w:rsidR="007C48FF">
              <w:rPr>
                <w:sz w:val="22"/>
                <w:szCs w:val="22"/>
                <w:lang w:val="en-ZA"/>
              </w:rPr>
              <w:t>.</w:t>
            </w:r>
            <w:r w:rsidR="00F879C4">
              <w:rPr>
                <w:sz w:val="22"/>
                <w:szCs w:val="22"/>
                <w:lang w:val="en-ZA"/>
              </w:rPr>
              <w:t>1</w:t>
            </w:r>
          </w:p>
        </w:tc>
        <w:tc>
          <w:tcPr>
            <w:tcW w:w="2132" w:type="dxa"/>
            <w:shd w:val="clear" w:color="auto" w:fill="auto"/>
          </w:tcPr>
          <w:p w14:paraId="2E27FB7F" w14:textId="77777777" w:rsidR="002B3FB3" w:rsidRPr="00F56E60" w:rsidRDefault="00534DF4" w:rsidP="00F879C4">
            <w:pPr>
              <w:jc w:val="both"/>
              <w:rPr>
                <w:sz w:val="22"/>
                <w:szCs w:val="22"/>
                <w:lang w:val="en-ZA"/>
              </w:rPr>
            </w:pPr>
            <w:r>
              <w:rPr>
                <w:sz w:val="22"/>
                <w:szCs w:val="22"/>
                <w:lang w:val="en-ZA"/>
              </w:rPr>
              <w:t>R</w:t>
            </w:r>
            <w:r w:rsidR="00F879C4">
              <w:rPr>
                <w:sz w:val="22"/>
                <w:szCs w:val="22"/>
                <w:lang w:val="en-ZA"/>
              </w:rPr>
              <w:t>1 038</w:t>
            </w:r>
            <w:r w:rsidR="00F96559">
              <w:rPr>
                <w:sz w:val="22"/>
                <w:szCs w:val="22"/>
                <w:lang w:val="en-ZA"/>
              </w:rPr>
              <w:t>.1</w:t>
            </w:r>
          </w:p>
        </w:tc>
      </w:tr>
      <w:tr w:rsidR="002B3FB3" w:rsidRPr="00F56E60" w14:paraId="1C51AD89" w14:textId="77777777" w:rsidTr="009B1879">
        <w:tc>
          <w:tcPr>
            <w:tcW w:w="3030" w:type="dxa"/>
          </w:tcPr>
          <w:p w14:paraId="3539B704" w14:textId="77777777" w:rsidR="002B3FB3" w:rsidRPr="00F56E60" w:rsidRDefault="002B3FB3" w:rsidP="002B3FB3">
            <w:pPr>
              <w:rPr>
                <w:sz w:val="22"/>
                <w:szCs w:val="22"/>
                <w:lang w:val="en-ZA"/>
              </w:rPr>
            </w:pPr>
            <w:r w:rsidRPr="00DF2299">
              <w:rPr>
                <w:b/>
                <w:sz w:val="22"/>
                <w:szCs w:val="22"/>
                <w:lang w:val="en-ZA"/>
              </w:rPr>
              <w:t>2.</w:t>
            </w:r>
            <w:r w:rsidRPr="00F56E60">
              <w:rPr>
                <w:sz w:val="22"/>
                <w:szCs w:val="22"/>
                <w:lang w:val="en-ZA"/>
              </w:rPr>
              <w:t xml:space="preserve"> </w:t>
            </w:r>
            <w:r>
              <w:rPr>
                <w:sz w:val="22"/>
                <w:szCs w:val="22"/>
                <w:lang w:val="en-ZA"/>
              </w:rPr>
              <w:t>Onderstepoort Biological Products</w:t>
            </w:r>
          </w:p>
        </w:tc>
        <w:tc>
          <w:tcPr>
            <w:tcW w:w="1743" w:type="dxa"/>
            <w:shd w:val="clear" w:color="auto" w:fill="D9D9D9"/>
          </w:tcPr>
          <w:p w14:paraId="022ED4F8" w14:textId="77777777" w:rsidR="002B3FB3" w:rsidRPr="00DF2299" w:rsidRDefault="002B3FB3" w:rsidP="00B15773">
            <w:pPr>
              <w:jc w:val="both"/>
              <w:rPr>
                <w:sz w:val="22"/>
                <w:szCs w:val="22"/>
                <w:lang w:val="en-ZA"/>
              </w:rPr>
            </w:pPr>
            <w:r>
              <w:rPr>
                <w:sz w:val="22"/>
                <w:szCs w:val="22"/>
                <w:lang w:val="en-ZA"/>
              </w:rPr>
              <w:t>-</w:t>
            </w:r>
          </w:p>
        </w:tc>
        <w:tc>
          <w:tcPr>
            <w:tcW w:w="1735" w:type="dxa"/>
          </w:tcPr>
          <w:p w14:paraId="59ACF0A1" w14:textId="77777777" w:rsidR="002B3FB3" w:rsidRPr="00F56E60" w:rsidRDefault="002B3FB3" w:rsidP="00B15773">
            <w:pPr>
              <w:jc w:val="both"/>
              <w:rPr>
                <w:sz w:val="22"/>
                <w:szCs w:val="22"/>
                <w:lang w:val="en-ZA"/>
              </w:rPr>
            </w:pPr>
            <w:r>
              <w:rPr>
                <w:sz w:val="22"/>
                <w:szCs w:val="22"/>
                <w:lang w:val="en-ZA"/>
              </w:rPr>
              <w:t>-</w:t>
            </w:r>
          </w:p>
        </w:tc>
        <w:tc>
          <w:tcPr>
            <w:tcW w:w="2132" w:type="dxa"/>
            <w:shd w:val="clear" w:color="auto" w:fill="auto"/>
          </w:tcPr>
          <w:p w14:paraId="5A9835B8" w14:textId="77777777" w:rsidR="002B3FB3" w:rsidRPr="00F56E60" w:rsidRDefault="002B3FB3" w:rsidP="00B15773">
            <w:pPr>
              <w:jc w:val="both"/>
              <w:rPr>
                <w:sz w:val="22"/>
                <w:szCs w:val="22"/>
                <w:lang w:val="en-ZA"/>
              </w:rPr>
            </w:pPr>
            <w:r>
              <w:rPr>
                <w:sz w:val="22"/>
                <w:szCs w:val="22"/>
                <w:lang w:val="en-ZA"/>
              </w:rPr>
              <w:t>-</w:t>
            </w:r>
          </w:p>
        </w:tc>
      </w:tr>
      <w:tr w:rsidR="002B3FB3" w:rsidRPr="00F56E60" w14:paraId="7BABD532" w14:textId="77777777" w:rsidTr="009B1879">
        <w:trPr>
          <w:trHeight w:val="453"/>
        </w:trPr>
        <w:tc>
          <w:tcPr>
            <w:tcW w:w="3030" w:type="dxa"/>
          </w:tcPr>
          <w:p w14:paraId="047B2482" w14:textId="77777777" w:rsidR="002B3FB3" w:rsidRPr="00FE32CE" w:rsidRDefault="002B3FB3" w:rsidP="002B3FB3">
            <w:pPr>
              <w:rPr>
                <w:sz w:val="22"/>
                <w:szCs w:val="22"/>
                <w:lang w:val="en-ZA"/>
              </w:rPr>
            </w:pPr>
            <w:r w:rsidRPr="00FE32CE">
              <w:rPr>
                <w:b/>
                <w:sz w:val="22"/>
                <w:szCs w:val="22"/>
                <w:lang w:val="en-ZA"/>
              </w:rPr>
              <w:t>3.</w:t>
            </w:r>
            <w:r w:rsidRPr="00FE32CE">
              <w:rPr>
                <w:sz w:val="22"/>
                <w:szCs w:val="22"/>
                <w:lang w:val="en-ZA"/>
              </w:rPr>
              <w:t xml:space="preserve"> Marine Living Resources Fund</w:t>
            </w:r>
          </w:p>
        </w:tc>
        <w:tc>
          <w:tcPr>
            <w:tcW w:w="1743" w:type="dxa"/>
            <w:shd w:val="clear" w:color="auto" w:fill="D9D9D9"/>
          </w:tcPr>
          <w:p w14:paraId="03344A80" w14:textId="77777777" w:rsidR="002B3FB3" w:rsidRPr="00FE32CE" w:rsidRDefault="009E3248" w:rsidP="00F96559">
            <w:pPr>
              <w:jc w:val="both"/>
              <w:rPr>
                <w:sz w:val="22"/>
                <w:szCs w:val="22"/>
                <w:lang w:val="en-ZA"/>
              </w:rPr>
            </w:pPr>
            <w:r w:rsidRPr="00FE32CE">
              <w:rPr>
                <w:sz w:val="22"/>
                <w:szCs w:val="22"/>
                <w:lang w:val="en-ZA"/>
              </w:rPr>
              <w:t xml:space="preserve"> R259.7</w:t>
            </w:r>
          </w:p>
        </w:tc>
        <w:tc>
          <w:tcPr>
            <w:tcW w:w="1735" w:type="dxa"/>
          </w:tcPr>
          <w:p w14:paraId="081AB79E" w14:textId="77777777" w:rsidR="002B3FB3" w:rsidRPr="00FE32CE" w:rsidRDefault="009E3248" w:rsidP="00BC3981">
            <w:pPr>
              <w:jc w:val="both"/>
              <w:rPr>
                <w:sz w:val="22"/>
                <w:szCs w:val="22"/>
                <w:lang w:val="en-ZA"/>
              </w:rPr>
            </w:pPr>
            <w:r>
              <w:rPr>
                <w:sz w:val="22"/>
                <w:szCs w:val="22"/>
                <w:lang w:val="en-ZA"/>
              </w:rPr>
              <w:t>R274.3</w:t>
            </w:r>
          </w:p>
        </w:tc>
        <w:tc>
          <w:tcPr>
            <w:tcW w:w="2132" w:type="dxa"/>
            <w:shd w:val="clear" w:color="auto" w:fill="auto"/>
          </w:tcPr>
          <w:p w14:paraId="0402D4D6" w14:textId="77777777" w:rsidR="002B3FB3" w:rsidRPr="00DD1C1F" w:rsidRDefault="00534DF4" w:rsidP="009E3248">
            <w:pPr>
              <w:jc w:val="both"/>
              <w:rPr>
                <w:sz w:val="22"/>
                <w:szCs w:val="22"/>
                <w:lang w:val="en-ZA"/>
              </w:rPr>
            </w:pPr>
            <w:r w:rsidRPr="00DD1C1F">
              <w:rPr>
                <w:sz w:val="22"/>
                <w:szCs w:val="22"/>
                <w:lang w:val="en-ZA"/>
              </w:rPr>
              <w:t>R2</w:t>
            </w:r>
            <w:r w:rsidR="009E3248">
              <w:rPr>
                <w:sz w:val="22"/>
                <w:szCs w:val="22"/>
                <w:lang w:val="en-ZA"/>
              </w:rPr>
              <w:t>8</w:t>
            </w:r>
            <w:r w:rsidRPr="00DD1C1F">
              <w:rPr>
                <w:sz w:val="22"/>
                <w:szCs w:val="22"/>
                <w:lang w:val="en-ZA"/>
              </w:rPr>
              <w:t>9.</w:t>
            </w:r>
            <w:r w:rsidR="009E3248">
              <w:rPr>
                <w:sz w:val="22"/>
                <w:szCs w:val="22"/>
                <w:lang w:val="en-ZA"/>
              </w:rPr>
              <w:t>4</w:t>
            </w:r>
          </w:p>
        </w:tc>
      </w:tr>
      <w:tr w:rsidR="002B3FB3" w:rsidRPr="00F56E60" w14:paraId="69CD40BE" w14:textId="77777777" w:rsidTr="009B1879">
        <w:tc>
          <w:tcPr>
            <w:tcW w:w="3030" w:type="dxa"/>
          </w:tcPr>
          <w:p w14:paraId="0A1ECA58" w14:textId="77777777" w:rsidR="002B3FB3" w:rsidRPr="00F56E60" w:rsidRDefault="002B3FB3" w:rsidP="002B3FB3">
            <w:pPr>
              <w:rPr>
                <w:sz w:val="22"/>
                <w:szCs w:val="22"/>
                <w:lang w:val="en-ZA"/>
              </w:rPr>
            </w:pPr>
            <w:r w:rsidRPr="00DF2299">
              <w:rPr>
                <w:b/>
                <w:sz w:val="22"/>
                <w:szCs w:val="22"/>
                <w:lang w:val="en-ZA"/>
              </w:rPr>
              <w:t>4.</w:t>
            </w:r>
            <w:r w:rsidRPr="00F56E60">
              <w:rPr>
                <w:sz w:val="22"/>
                <w:szCs w:val="22"/>
                <w:lang w:val="en-ZA"/>
              </w:rPr>
              <w:t xml:space="preserve"> </w:t>
            </w:r>
            <w:r>
              <w:rPr>
                <w:sz w:val="22"/>
                <w:szCs w:val="22"/>
                <w:lang w:val="en-ZA"/>
              </w:rPr>
              <w:t>National Agricultural Marketing Council</w:t>
            </w:r>
          </w:p>
        </w:tc>
        <w:tc>
          <w:tcPr>
            <w:tcW w:w="1743" w:type="dxa"/>
            <w:shd w:val="clear" w:color="auto" w:fill="D9D9D9"/>
          </w:tcPr>
          <w:p w14:paraId="5A454332" w14:textId="77777777" w:rsidR="002B3FB3" w:rsidRPr="00DF2299" w:rsidRDefault="009E3248" w:rsidP="00F96559">
            <w:pPr>
              <w:jc w:val="both"/>
              <w:rPr>
                <w:sz w:val="22"/>
                <w:szCs w:val="22"/>
                <w:lang w:val="en-ZA"/>
              </w:rPr>
            </w:pPr>
            <w:r>
              <w:rPr>
                <w:sz w:val="22"/>
                <w:szCs w:val="22"/>
                <w:lang w:val="en-ZA"/>
              </w:rPr>
              <w:t xml:space="preserve"> R43.2</w:t>
            </w:r>
          </w:p>
        </w:tc>
        <w:tc>
          <w:tcPr>
            <w:tcW w:w="1735" w:type="dxa"/>
          </w:tcPr>
          <w:p w14:paraId="2E2FBBF8" w14:textId="77777777" w:rsidR="002B3FB3" w:rsidRPr="00F56E60" w:rsidRDefault="00534DF4" w:rsidP="009E3248">
            <w:pPr>
              <w:jc w:val="both"/>
              <w:rPr>
                <w:sz w:val="22"/>
                <w:szCs w:val="22"/>
                <w:lang w:val="en-ZA"/>
              </w:rPr>
            </w:pPr>
            <w:r>
              <w:rPr>
                <w:sz w:val="22"/>
                <w:szCs w:val="22"/>
                <w:lang w:val="en-ZA"/>
              </w:rPr>
              <w:t>R4</w:t>
            </w:r>
            <w:r w:rsidR="009E3248">
              <w:rPr>
                <w:sz w:val="22"/>
                <w:szCs w:val="22"/>
                <w:lang w:val="en-ZA"/>
              </w:rPr>
              <w:t>5.7</w:t>
            </w:r>
          </w:p>
        </w:tc>
        <w:tc>
          <w:tcPr>
            <w:tcW w:w="2132" w:type="dxa"/>
            <w:shd w:val="clear" w:color="auto" w:fill="auto"/>
          </w:tcPr>
          <w:p w14:paraId="784AD4A9" w14:textId="77777777" w:rsidR="002B3FB3" w:rsidRPr="00DD1C1F" w:rsidRDefault="00534DF4" w:rsidP="009E3248">
            <w:pPr>
              <w:jc w:val="both"/>
              <w:rPr>
                <w:sz w:val="22"/>
                <w:szCs w:val="22"/>
                <w:lang w:val="en-ZA"/>
              </w:rPr>
            </w:pPr>
            <w:r w:rsidRPr="00DD1C1F">
              <w:rPr>
                <w:sz w:val="22"/>
                <w:szCs w:val="22"/>
                <w:lang w:val="en-ZA"/>
              </w:rPr>
              <w:t>R4</w:t>
            </w:r>
            <w:r w:rsidR="009E3248">
              <w:rPr>
                <w:sz w:val="22"/>
                <w:szCs w:val="22"/>
                <w:lang w:val="en-ZA"/>
              </w:rPr>
              <w:t>8</w:t>
            </w:r>
            <w:r w:rsidRPr="00DD1C1F">
              <w:rPr>
                <w:sz w:val="22"/>
                <w:szCs w:val="22"/>
                <w:lang w:val="en-ZA"/>
              </w:rPr>
              <w:t>.</w:t>
            </w:r>
            <w:r w:rsidR="009E3248">
              <w:rPr>
                <w:sz w:val="22"/>
                <w:szCs w:val="22"/>
                <w:lang w:val="en-ZA"/>
              </w:rPr>
              <w:t>2</w:t>
            </w:r>
          </w:p>
        </w:tc>
      </w:tr>
      <w:tr w:rsidR="002B3FB3" w:rsidRPr="00F56E60" w14:paraId="4EA6DA38" w14:textId="77777777" w:rsidTr="009B1879">
        <w:tc>
          <w:tcPr>
            <w:tcW w:w="3030" w:type="dxa"/>
          </w:tcPr>
          <w:p w14:paraId="0239A1DA" w14:textId="77777777" w:rsidR="002B3FB3" w:rsidRPr="00F56E60" w:rsidRDefault="002B3FB3" w:rsidP="002B3FB3">
            <w:pPr>
              <w:rPr>
                <w:sz w:val="22"/>
                <w:szCs w:val="22"/>
                <w:lang w:val="en-ZA"/>
              </w:rPr>
            </w:pPr>
            <w:r w:rsidRPr="00DF2299">
              <w:rPr>
                <w:b/>
                <w:sz w:val="22"/>
                <w:szCs w:val="22"/>
                <w:lang w:val="en-ZA"/>
              </w:rPr>
              <w:t>5.</w:t>
            </w:r>
            <w:r w:rsidRPr="00F56E60">
              <w:rPr>
                <w:sz w:val="22"/>
                <w:szCs w:val="22"/>
                <w:lang w:val="en-ZA"/>
              </w:rPr>
              <w:t xml:space="preserve"> </w:t>
            </w:r>
            <w:r>
              <w:rPr>
                <w:sz w:val="22"/>
                <w:szCs w:val="22"/>
                <w:lang w:val="en-ZA"/>
              </w:rPr>
              <w:t xml:space="preserve">Perishable Products Export Control Board  </w:t>
            </w:r>
          </w:p>
        </w:tc>
        <w:tc>
          <w:tcPr>
            <w:tcW w:w="1743" w:type="dxa"/>
            <w:shd w:val="clear" w:color="auto" w:fill="D9D9D9"/>
          </w:tcPr>
          <w:p w14:paraId="7802E017" w14:textId="77777777" w:rsidR="002B3FB3" w:rsidRPr="00DF2299" w:rsidRDefault="002B3FB3" w:rsidP="00C3469A">
            <w:pPr>
              <w:jc w:val="both"/>
              <w:rPr>
                <w:sz w:val="22"/>
                <w:szCs w:val="22"/>
                <w:lang w:val="en-ZA"/>
              </w:rPr>
            </w:pPr>
            <w:r>
              <w:rPr>
                <w:sz w:val="22"/>
                <w:szCs w:val="22"/>
                <w:lang w:val="en-ZA"/>
              </w:rPr>
              <w:t>R</w:t>
            </w:r>
            <w:r w:rsidR="00C3469A">
              <w:rPr>
                <w:sz w:val="22"/>
                <w:szCs w:val="22"/>
                <w:lang w:val="en-ZA"/>
              </w:rPr>
              <w:t>0.6</w:t>
            </w:r>
            <w:r w:rsidR="0005361A">
              <w:rPr>
                <w:sz w:val="22"/>
                <w:szCs w:val="22"/>
                <w:lang w:val="en-ZA"/>
              </w:rPr>
              <w:t xml:space="preserve"> </w:t>
            </w:r>
          </w:p>
        </w:tc>
        <w:tc>
          <w:tcPr>
            <w:tcW w:w="1735" w:type="dxa"/>
          </w:tcPr>
          <w:p w14:paraId="215BBF88" w14:textId="77777777" w:rsidR="002B3FB3" w:rsidRPr="00F56E60" w:rsidRDefault="0005361A" w:rsidP="007F3635">
            <w:pPr>
              <w:jc w:val="both"/>
              <w:rPr>
                <w:sz w:val="22"/>
                <w:szCs w:val="22"/>
                <w:lang w:val="en-ZA"/>
              </w:rPr>
            </w:pPr>
            <w:r>
              <w:rPr>
                <w:sz w:val="22"/>
                <w:szCs w:val="22"/>
                <w:lang w:val="en-ZA"/>
              </w:rPr>
              <w:t>R</w:t>
            </w:r>
            <w:r w:rsidR="007C48FF">
              <w:rPr>
                <w:sz w:val="22"/>
                <w:szCs w:val="22"/>
                <w:lang w:val="en-ZA"/>
              </w:rPr>
              <w:t>0</w:t>
            </w:r>
            <w:r w:rsidR="00F879C4">
              <w:rPr>
                <w:sz w:val="22"/>
                <w:szCs w:val="22"/>
                <w:lang w:val="en-ZA"/>
              </w:rPr>
              <w:t>.5</w:t>
            </w:r>
            <w:r>
              <w:rPr>
                <w:sz w:val="22"/>
                <w:szCs w:val="22"/>
                <w:lang w:val="en-ZA"/>
              </w:rPr>
              <w:t xml:space="preserve"> </w:t>
            </w:r>
          </w:p>
        </w:tc>
        <w:tc>
          <w:tcPr>
            <w:tcW w:w="2132" w:type="dxa"/>
            <w:shd w:val="clear" w:color="auto" w:fill="auto"/>
          </w:tcPr>
          <w:p w14:paraId="57CF8179" w14:textId="77777777" w:rsidR="002B3FB3" w:rsidRPr="00F56E60" w:rsidRDefault="0005361A" w:rsidP="00F879C4">
            <w:pPr>
              <w:jc w:val="both"/>
              <w:rPr>
                <w:sz w:val="22"/>
                <w:szCs w:val="22"/>
                <w:lang w:val="en-ZA"/>
              </w:rPr>
            </w:pPr>
            <w:r>
              <w:rPr>
                <w:sz w:val="22"/>
                <w:szCs w:val="22"/>
                <w:lang w:val="en-ZA"/>
              </w:rPr>
              <w:t>R</w:t>
            </w:r>
            <w:r w:rsidR="00C3469A">
              <w:rPr>
                <w:sz w:val="22"/>
                <w:szCs w:val="22"/>
                <w:lang w:val="en-ZA"/>
              </w:rPr>
              <w:t>0</w:t>
            </w:r>
            <w:r w:rsidR="00F879C4">
              <w:rPr>
                <w:sz w:val="22"/>
                <w:szCs w:val="22"/>
                <w:lang w:val="en-ZA"/>
              </w:rPr>
              <w:t>.5</w:t>
            </w:r>
            <w:r>
              <w:rPr>
                <w:sz w:val="22"/>
                <w:szCs w:val="22"/>
                <w:lang w:val="en-ZA"/>
              </w:rPr>
              <w:t xml:space="preserve"> </w:t>
            </w:r>
          </w:p>
        </w:tc>
      </w:tr>
      <w:tr w:rsidR="002B3FB3" w:rsidRPr="00F56E60" w14:paraId="3B477116" w14:textId="77777777" w:rsidTr="009B1879">
        <w:tc>
          <w:tcPr>
            <w:tcW w:w="3030" w:type="dxa"/>
          </w:tcPr>
          <w:p w14:paraId="720E7952" w14:textId="77777777" w:rsidR="002B3FB3" w:rsidRPr="00F56E60" w:rsidRDefault="002B3FB3" w:rsidP="002B3FB3">
            <w:pPr>
              <w:rPr>
                <w:sz w:val="22"/>
                <w:szCs w:val="22"/>
                <w:lang w:val="en-ZA"/>
              </w:rPr>
            </w:pPr>
            <w:r w:rsidRPr="00DF2299">
              <w:rPr>
                <w:b/>
                <w:sz w:val="22"/>
                <w:szCs w:val="22"/>
                <w:lang w:val="en-ZA"/>
              </w:rPr>
              <w:t>6.</w:t>
            </w:r>
            <w:r w:rsidRPr="00F56E60">
              <w:rPr>
                <w:sz w:val="22"/>
                <w:szCs w:val="22"/>
                <w:lang w:val="en-ZA"/>
              </w:rPr>
              <w:t xml:space="preserve"> </w:t>
            </w:r>
            <w:r>
              <w:rPr>
                <w:sz w:val="22"/>
                <w:szCs w:val="22"/>
                <w:lang w:val="en-ZA"/>
              </w:rPr>
              <w:t>Ncera Farms (Pty) Ltd</w:t>
            </w:r>
          </w:p>
        </w:tc>
        <w:tc>
          <w:tcPr>
            <w:tcW w:w="1743" w:type="dxa"/>
            <w:shd w:val="clear" w:color="auto" w:fill="D9D9D9"/>
          </w:tcPr>
          <w:p w14:paraId="30513CF8" w14:textId="77777777" w:rsidR="002B3FB3" w:rsidRPr="00DF2299" w:rsidRDefault="0005361A" w:rsidP="00790DDB">
            <w:pPr>
              <w:jc w:val="both"/>
              <w:rPr>
                <w:sz w:val="22"/>
                <w:szCs w:val="22"/>
                <w:lang w:val="en-ZA"/>
              </w:rPr>
            </w:pPr>
            <w:r>
              <w:rPr>
                <w:sz w:val="22"/>
                <w:szCs w:val="22"/>
                <w:lang w:val="en-ZA"/>
              </w:rPr>
              <w:t>R6.</w:t>
            </w:r>
            <w:r w:rsidR="00790DDB">
              <w:rPr>
                <w:sz w:val="22"/>
                <w:szCs w:val="22"/>
                <w:lang w:val="en-ZA"/>
              </w:rPr>
              <w:t>6</w:t>
            </w:r>
            <w:r>
              <w:rPr>
                <w:sz w:val="22"/>
                <w:szCs w:val="22"/>
                <w:lang w:val="en-ZA"/>
              </w:rPr>
              <w:t xml:space="preserve"> </w:t>
            </w:r>
          </w:p>
        </w:tc>
        <w:tc>
          <w:tcPr>
            <w:tcW w:w="1735" w:type="dxa"/>
          </w:tcPr>
          <w:p w14:paraId="379CCB70" w14:textId="77777777" w:rsidR="002B3FB3" w:rsidRPr="00F56E60" w:rsidRDefault="00534DF4" w:rsidP="00790DDB">
            <w:pPr>
              <w:jc w:val="both"/>
              <w:rPr>
                <w:sz w:val="22"/>
                <w:szCs w:val="22"/>
                <w:lang w:val="en-ZA"/>
              </w:rPr>
            </w:pPr>
            <w:r>
              <w:rPr>
                <w:sz w:val="22"/>
                <w:szCs w:val="22"/>
                <w:lang w:val="en-ZA"/>
              </w:rPr>
              <w:t>R</w:t>
            </w:r>
            <w:r w:rsidR="00790DDB">
              <w:rPr>
                <w:sz w:val="22"/>
                <w:szCs w:val="22"/>
                <w:lang w:val="en-ZA"/>
              </w:rPr>
              <w:t>7</w:t>
            </w:r>
            <w:r w:rsidR="00A1468F">
              <w:rPr>
                <w:sz w:val="22"/>
                <w:szCs w:val="22"/>
                <w:lang w:val="en-ZA"/>
              </w:rPr>
              <w:t>.</w:t>
            </w:r>
            <w:r w:rsidR="00790DDB">
              <w:rPr>
                <w:sz w:val="22"/>
                <w:szCs w:val="22"/>
                <w:lang w:val="en-ZA"/>
              </w:rPr>
              <w:t>0</w:t>
            </w:r>
          </w:p>
        </w:tc>
        <w:tc>
          <w:tcPr>
            <w:tcW w:w="2132" w:type="dxa"/>
            <w:shd w:val="clear" w:color="auto" w:fill="auto"/>
          </w:tcPr>
          <w:p w14:paraId="15355D42" w14:textId="77777777" w:rsidR="002B3FB3" w:rsidRPr="00F56E60" w:rsidRDefault="00534DF4" w:rsidP="00790DDB">
            <w:pPr>
              <w:jc w:val="both"/>
              <w:rPr>
                <w:sz w:val="22"/>
                <w:szCs w:val="22"/>
                <w:lang w:val="en-ZA"/>
              </w:rPr>
            </w:pPr>
            <w:r>
              <w:rPr>
                <w:sz w:val="22"/>
                <w:szCs w:val="22"/>
                <w:lang w:val="en-ZA"/>
              </w:rPr>
              <w:t>R</w:t>
            </w:r>
            <w:r w:rsidR="00790DDB">
              <w:rPr>
                <w:sz w:val="22"/>
                <w:szCs w:val="22"/>
                <w:lang w:val="en-ZA"/>
              </w:rPr>
              <w:t>7</w:t>
            </w:r>
            <w:r w:rsidR="00A1468F">
              <w:rPr>
                <w:sz w:val="22"/>
                <w:szCs w:val="22"/>
                <w:lang w:val="en-ZA"/>
              </w:rPr>
              <w:t>.</w:t>
            </w:r>
            <w:r w:rsidR="00790DDB">
              <w:rPr>
                <w:sz w:val="22"/>
                <w:szCs w:val="22"/>
                <w:lang w:val="en-ZA"/>
              </w:rPr>
              <w:t>4</w:t>
            </w:r>
          </w:p>
        </w:tc>
      </w:tr>
      <w:tr w:rsidR="002B3FB3" w:rsidRPr="00F56E60" w14:paraId="74D1355D" w14:textId="77777777" w:rsidTr="009B1879">
        <w:tc>
          <w:tcPr>
            <w:tcW w:w="3030" w:type="dxa"/>
            <w:shd w:val="clear" w:color="auto" w:fill="D9D9D9"/>
          </w:tcPr>
          <w:p w14:paraId="3ECA371A" w14:textId="77777777" w:rsidR="002B3FB3" w:rsidRPr="00F56E60" w:rsidRDefault="002B3FB3" w:rsidP="00B15773">
            <w:pPr>
              <w:jc w:val="both"/>
              <w:rPr>
                <w:b/>
                <w:sz w:val="22"/>
                <w:szCs w:val="22"/>
                <w:lang w:val="en-ZA"/>
              </w:rPr>
            </w:pPr>
            <w:r w:rsidRPr="00F56E60">
              <w:rPr>
                <w:b/>
                <w:sz w:val="22"/>
                <w:szCs w:val="22"/>
                <w:lang w:val="en-ZA"/>
              </w:rPr>
              <w:t xml:space="preserve">Total </w:t>
            </w:r>
          </w:p>
        </w:tc>
        <w:tc>
          <w:tcPr>
            <w:tcW w:w="1743" w:type="dxa"/>
            <w:shd w:val="clear" w:color="auto" w:fill="D9D9D9"/>
          </w:tcPr>
          <w:p w14:paraId="6EB0BFAD" w14:textId="77777777" w:rsidR="002B3FB3" w:rsidRPr="00DF2299" w:rsidRDefault="00D24A97" w:rsidP="007F3635">
            <w:pPr>
              <w:jc w:val="both"/>
              <w:rPr>
                <w:b/>
                <w:sz w:val="22"/>
                <w:szCs w:val="22"/>
                <w:lang w:val="en-ZA"/>
              </w:rPr>
            </w:pPr>
            <w:r>
              <w:rPr>
                <w:b/>
                <w:sz w:val="22"/>
                <w:szCs w:val="22"/>
                <w:lang w:val="en-ZA"/>
              </w:rPr>
              <w:t>R1 2</w:t>
            </w:r>
            <w:r w:rsidR="007F3635">
              <w:rPr>
                <w:b/>
                <w:sz w:val="22"/>
                <w:szCs w:val="22"/>
                <w:lang w:val="en-ZA"/>
              </w:rPr>
              <w:t>42.2</w:t>
            </w:r>
            <w:r>
              <w:rPr>
                <w:b/>
                <w:sz w:val="22"/>
                <w:szCs w:val="22"/>
                <w:lang w:val="en-ZA"/>
              </w:rPr>
              <w:t xml:space="preserve"> </w:t>
            </w:r>
          </w:p>
        </w:tc>
        <w:tc>
          <w:tcPr>
            <w:tcW w:w="1735" w:type="dxa"/>
            <w:shd w:val="clear" w:color="auto" w:fill="D9D9D9"/>
          </w:tcPr>
          <w:p w14:paraId="0DB64AE2" w14:textId="77777777" w:rsidR="002B3FB3" w:rsidRPr="00F56E60" w:rsidRDefault="00D24A97" w:rsidP="008746C1">
            <w:pPr>
              <w:jc w:val="both"/>
              <w:rPr>
                <w:b/>
                <w:sz w:val="22"/>
                <w:szCs w:val="22"/>
                <w:lang w:val="en-ZA"/>
              </w:rPr>
            </w:pPr>
            <w:r>
              <w:rPr>
                <w:b/>
                <w:sz w:val="22"/>
                <w:szCs w:val="22"/>
                <w:lang w:val="en-ZA"/>
              </w:rPr>
              <w:t>R1</w:t>
            </w:r>
            <w:r w:rsidR="008746C1">
              <w:rPr>
                <w:b/>
                <w:sz w:val="22"/>
                <w:szCs w:val="22"/>
                <w:lang w:val="en-ZA"/>
              </w:rPr>
              <w:t> 311.6</w:t>
            </w:r>
          </w:p>
        </w:tc>
        <w:tc>
          <w:tcPr>
            <w:tcW w:w="2132" w:type="dxa"/>
            <w:shd w:val="clear" w:color="auto" w:fill="D9D9D9"/>
          </w:tcPr>
          <w:p w14:paraId="25637D78" w14:textId="77777777" w:rsidR="002B3FB3" w:rsidRPr="00F56E60" w:rsidRDefault="00D24A97" w:rsidP="008746C1">
            <w:pPr>
              <w:jc w:val="both"/>
              <w:rPr>
                <w:b/>
                <w:sz w:val="22"/>
                <w:szCs w:val="22"/>
                <w:lang w:val="en-ZA"/>
              </w:rPr>
            </w:pPr>
            <w:r>
              <w:rPr>
                <w:b/>
                <w:sz w:val="22"/>
                <w:szCs w:val="22"/>
                <w:lang w:val="en-ZA"/>
              </w:rPr>
              <w:t>R</w:t>
            </w:r>
            <w:r w:rsidR="00BE5CE2">
              <w:rPr>
                <w:b/>
                <w:sz w:val="22"/>
                <w:szCs w:val="22"/>
                <w:lang w:val="en-ZA"/>
              </w:rPr>
              <w:t>1 </w:t>
            </w:r>
            <w:r w:rsidR="008746C1">
              <w:rPr>
                <w:b/>
                <w:sz w:val="22"/>
                <w:szCs w:val="22"/>
                <w:lang w:val="en-ZA"/>
              </w:rPr>
              <w:t>383</w:t>
            </w:r>
            <w:r w:rsidR="00BE5CE2">
              <w:rPr>
                <w:b/>
                <w:sz w:val="22"/>
                <w:szCs w:val="22"/>
                <w:lang w:val="en-ZA"/>
              </w:rPr>
              <w:t>.</w:t>
            </w:r>
            <w:r w:rsidR="00DD1C1F">
              <w:rPr>
                <w:b/>
                <w:sz w:val="22"/>
                <w:szCs w:val="22"/>
                <w:lang w:val="en-ZA"/>
              </w:rPr>
              <w:t>6</w:t>
            </w:r>
          </w:p>
        </w:tc>
      </w:tr>
    </w:tbl>
    <w:p w14:paraId="18F929A6" w14:textId="77777777" w:rsidR="0005361A" w:rsidRPr="009163A4" w:rsidRDefault="009163A4" w:rsidP="0005361A">
      <w:pPr>
        <w:spacing w:line="360" w:lineRule="auto"/>
        <w:jc w:val="both"/>
        <w:rPr>
          <w:sz w:val="22"/>
          <w:szCs w:val="22"/>
          <w:lang w:val="en-ZA"/>
        </w:rPr>
      </w:pPr>
      <w:r w:rsidRPr="009163A4">
        <w:rPr>
          <w:sz w:val="22"/>
          <w:szCs w:val="22"/>
          <w:lang w:val="en-ZA"/>
        </w:rPr>
        <w:t xml:space="preserve">   </w:t>
      </w:r>
      <w:r w:rsidR="0005361A" w:rsidRPr="009163A4">
        <w:rPr>
          <w:sz w:val="22"/>
          <w:szCs w:val="22"/>
          <w:lang w:val="en-ZA"/>
        </w:rPr>
        <w:t>Adapted from National Treasury (Estimates of National Expenditure, 201</w:t>
      </w:r>
      <w:r w:rsidR="00DD1C1F">
        <w:rPr>
          <w:sz w:val="22"/>
          <w:szCs w:val="22"/>
          <w:lang w:val="en-ZA"/>
        </w:rPr>
        <w:t>8</w:t>
      </w:r>
      <w:r w:rsidR="0005361A" w:rsidRPr="009163A4">
        <w:rPr>
          <w:sz w:val="22"/>
          <w:szCs w:val="22"/>
          <w:lang w:val="en-ZA"/>
        </w:rPr>
        <w:t>)</w:t>
      </w:r>
    </w:p>
    <w:p w14:paraId="29BF7855" w14:textId="77777777" w:rsidR="00F26C91" w:rsidRDefault="00F26C91" w:rsidP="00970596">
      <w:pPr>
        <w:tabs>
          <w:tab w:val="left" w:pos="567"/>
          <w:tab w:val="left" w:pos="2012"/>
        </w:tabs>
        <w:autoSpaceDE w:val="0"/>
        <w:autoSpaceDN w:val="0"/>
        <w:adjustRightInd w:val="0"/>
        <w:spacing w:line="360" w:lineRule="auto"/>
        <w:jc w:val="both"/>
      </w:pPr>
    </w:p>
    <w:p w14:paraId="3178231B" w14:textId="77777777" w:rsidR="00DA0CF3" w:rsidRDefault="000B0222" w:rsidP="00D85BC7">
      <w:pPr>
        <w:tabs>
          <w:tab w:val="left" w:pos="567"/>
          <w:tab w:val="left" w:pos="2012"/>
        </w:tabs>
        <w:autoSpaceDE w:val="0"/>
        <w:autoSpaceDN w:val="0"/>
        <w:adjustRightInd w:val="0"/>
        <w:spacing w:line="360" w:lineRule="auto"/>
        <w:jc w:val="both"/>
      </w:pPr>
      <w:r>
        <w:t>The Onderste</w:t>
      </w:r>
      <w:r w:rsidR="00C3469A">
        <w:t>poort Biological Products does not get any transfer from the Department</w:t>
      </w:r>
      <w:r w:rsidR="004D7A44">
        <w:t xml:space="preserve">. It received a once-off allocation of R492 million for the 2013/14 to 2015/16 MTEF period from National Treasury for </w:t>
      </w:r>
      <w:r w:rsidR="00A23F16">
        <w:t xml:space="preserve">revamping </w:t>
      </w:r>
      <w:r w:rsidR="004D7A44">
        <w:t xml:space="preserve">of its </w:t>
      </w:r>
      <w:r w:rsidR="00A23F16">
        <w:t xml:space="preserve">aged </w:t>
      </w:r>
      <w:r w:rsidR="004D7A44">
        <w:t xml:space="preserve">vaccine manufacturing plant. The allocation, which it was highlighted even then that it was not sufficient </w:t>
      </w:r>
      <w:r w:rsidR="00A23F16">
        <w:t xml:space="preserve">for the revamp </w:t>
      </w:r>
      <w:r w:rsidR="00D85BC7">
        <w:t xml:space="preserve">and </w:t>
      </w:r>
      <w:r w:rsidR="00904A13">
        <w:t>modernis</w:t>
      </w:r>
      <w:r w:rsidR="00D85BC7">
        <w:t xml:space="preserve">ation of the facility </w:t>
      </w:r>
      <w:r w:rsidR="00A23F16">
        <w:t>as</w:t>
      </w:r>
      <w:r w:rsidR="004D7A44">
        <w:t xml:space="preserve"> OBP buildings</w:t>
      </w:r>
      <w:r w:rsidR="00A23F16">
        <w:t xml:space="preserve"> were built in the 1960’s</w:t>
      </w:r>
      <w:r w:rsidR="004D7A44">
        <w:t xml:space="preserve">, has since been depleted.  </w:t>
      </w:r>
      <w:r w:rsidR="00D85BC7">
        <w:t xml:space="preserve">The Department allocated </w:t>
      </w:r>
      <w:r w:rsidR="00D85BC7">
        <w:rPr>
          <w:rFonts w:cs="Arial"/>
        </w:rPr>
        <w:t xml:space="preserve">R162.5 million to the </w:t>
      </w:r>
      <w:r w:rsidR="00D85BC7">
        <w:t xml:space="preserve">Land and Agricultural </w:t>
      </w:r>
      <w:r w:rsidR="00D85BC7">
        <w:lastRenderedPageBreak/>
        <w:t>Development Bank of South Africa (Land Bank) through Programme 3 and Programme 4</w:t>
      </w:r>
      <w:r w:rsidR="00904A13">
        <w:t xml:space="preserve"> to support smallholder farmers. </w:t>
      </w:r>
    </w:p>
    <w:p w14:paraId="68E78E8F" w14:textId="77777777" w:rsidR="00A23F16" w:rsidRDefault="00A23F16" w:rsidP="00970596">
      <w:pPr>
        <w:tabs>
          <w:tab w:val="left" w:pos="567"/>
          <w:tab w:val="left" w:pos="2012"/>
        </w:tabs>
        <w:autoSpaceDE w:val="0"/>
        <w:autoSpaceDN w:val="0"/>
        <w:adjustRightInd w:val="0"/>
        <w:spacing w:line="360" w:lineRule="auto"/>
        <w:jc w:val="both"/>
      </w:pPr>
    </w:p>
    <w:p w14:paraId="1654F64B" w14:textId="77777777" w:rsidR="00217268" w:rsidRPr="00F56E60" w:rsidRDefault="00985C54" w:rsidP="00F56E60">
      <w:pPr>
        <w:tabs>
          <w:tab w:val="left" w:pos="270"/>
          <w:tab w:val="left" w:pos="540"/>
        </w:tabs>
        <w:autoSpaceDE w:val="0"/>
        <w:autoSpaceDN w:val="0"/>
        <w:adjustRightInd w:val="0"/>
        <w:spacing w:line="360" w:lineRule="auto"/>
        <w:ind w:left="540" w:hanging="540"/>
        <w:rPr>
          <w:b/>
          <w:color w:val="000000"/>
        </w:rPr>
      </w:pPr>
      <w:r w:rsidRPr="00496587">
        <w:rPr>
          <w:b/>
          <w:color w:val="000000"/>
        </w:rPr>
        <w:t>3.</w:t>
      </w:r>
      <w:r w:rsidR="00BB42F4" w:rsidRPr="00F56E60">
        <w:rPr>
          <w:b/>
          <w:color w:val="000000"/>
        </w:rPr>
        <w:t xml:space="preserve">  </w:t>
      </w:r>
      <w:r w:rsidR="00BB42F4" w:rsidRPr="00F56E60">
        <w:rPr>
          <w:b/>
          <w:color w:val="000000"/>
        </w:rPr>
        <w:tab/>
      </w:r>
      <w:r w:rsidR="00425139" w:rsidRPr="00F56E60">
        <w:rPr>
          <w:b/>
          <w:color w:val="000000"/>
        </w:rPr>
        <w:t xml:space="preserve">Overview of </w:t>
      </w:r>
      <w:r w:rsidR="00191183" w:rsidRPr="00F56E60">
        <w:rPr>
          <w:b/>
          <w:color w:val="000000"/>
        </w:rPr>
        <w:t xml:space="preserve">Committee </w:t>
      </w:r>
      <w:r w:rsidR="00217268" w:rsidRPr="00F56E60">
        <w:rPr>
          <w:b/>
          <w:color w:val="000000"/>
        </w:rPr>
        <w:t xml:space="preserve">Deliberations </w:t>
      </w:r>
      <w:r w:rsidR="0047395D" w:rsidRPr="00F56E60">
        <w:rPr>
          <w:b/>
          <w:color w:val="000000"/>
        </w:rPr>
        <w:t xml:space="preserve">and </w:t>
      </w:r>
      <w:r w:rsidR="00496587">
        <w:rPr>
          <w:b/>
          <w:color w:val="000000"/>
        </w:rPr>
        <w:t>Observations</w:t>
      </w:r>
      <w:r w:rsidR="00425139" w:rsidRPr="00F56E60">
        <w:rPr>
          <w:b/>
          <w:color w:val="000000"/>
        </w:rPr>
        <w:t xml:space="preserve"> </w:t>
      </w:r>
      <w:r w:rsidR="00191183" w:rsidRPr="00F56E60">
        <w:rPr>
          <w:b/>
          <w:color w:val="000000"/>
        </w:rPr>
        <w:t xml:space="preserve">on </w:t>
      </w:r>
      <w:r w:rsidR="00FF43D9" w:rsidRPr="00F56E60">
        <w:rPr>
          <w:b/>
          <w:color w:val="000000"/>
        </w:rPr>
        <w:t xml:space="preserve">the </w:t>
      </w:r>
      <w:r w:rsidR="006638D0" w:rsidRPr="00F56E60">
        <w:rPr>
          <w:b/>
          <w:color w:val="000000"/>
        </w:rPr>
        <w:t>201</w:t>
      </w:r>
      <w:r w:rsidR="00D75253">
        <w:rPr>
          <w:b/>
          <w:color w:val="000000"/>
        </w:rPr>
        <w:t>8</w:t>
      </w:r>
      <w:r w:rsidR="006638D0" w:rsidRPr="00F56E60">
        <w:rPr>
          <w:b/>
          <w:color w:val="000000"/>
        </w:rPr>
        <w:t>/1</w:t>
      </w:r>
      <w:r w:rsidR="00D75253">
        <w:rPr>
          <w:b/>
          <w:color w:val="000000"/>
        </w:rPr>
        <w:t>9</w:t>
      </w:r>
      <w:r w:rsidR="006638D0" w:rsidRPr="00F56E60">
        <w:rPr>
          <w:b/>
          <w:color w:val="000000"/>
        </w:rPr>
        <w:t xml:space="preserve"> </w:t>
      </w:r>
      <w:r w:rsidR="00FF43D9" w:rsidRPr="00F56E60">
        <w:rPr>
          <w:b/>
          <w:color w:val="000000"/>
        </w:rPr>
        <w:t>APP a</w:t>
      </w:r>
      <w:r w:rsidR="00FA433E" w:rsidRPr="00F56E60">
        <w:rPr>
          <w:b/>
          <w:color w:val="000000"/>
        </w:rPr>
        <w:t xml:space="preserve">nd </w:t>
      </w:r>
      <w:r w:rsidR="006638D0" w:rsidRPr="00F56E60">
        <w:rPr>
          <w:b/>
          <w:color w:val="000000"/>
        </w:rPr>
        <w:t xml:space="preserve">MTEF </w:t>
      </w:r>
      <w:r w:rsidR="00FA433E" w:rsidRPr="00F56E60">
        <w:rPr>
          <w:b/>
          <w:color w:val="000000"/>
        </w:rPr>
        <w:t xml:space="preserve">Budget of DAFF including </w:t>
      </w:r>
      <w:r w:rsidRPr="00496587">
        <w:rPr>
          <w:b/>
          <w:color w:val="000000"/>
        </w:rPr>
        <w:t>the MLRF</w:t>
      </w:r>
    </w:p>
    <w:p w14:paraId="547955C4" w14:textId="77777777" w:rsidR="00191183" w:rsidRPr="00F56E60" w:rsidRDefault="00191183" w:rsidP="00095C0E">
      <w:pPr>
        <w:autoSpaceDE w:val="0"/>
        <w:autoSpaceDN w:val="0"/>
        <w:adjustRightInd w:val="0"/>
        <w:spacing w:line="360" w:lineRule="auto"/>
        <w:ind w:firstLine="720"/>
        <w:rPr>
          <w:lang w:val="en-ZA"/>
        </w:rPr>
      </w:pPr>
    </w:p>
    <w:p w14:paraId="4DDC14B9" w14:textId="77777777" w:rsidR="00BE0484" w:rsidRPr="00D75253" w:rsidRDefault="00191183" w:rsidP="00295B1F">
      <w:pPr>
        <w:spacing w:line="360" w:lineRule="auto"/>
        <w:jc w:val="both"/>
      </w:pPr>
      <w:r w:rsidRPr="00F56E60">
        <w:rPr>
          <w:color w:val="000000"/>
        </w:rPr>
        <w:t>The Committee welcomed the presentation</w:t>
      </w:r>
      <w:r w:rsidR="00FE3927">
        <w:rPr>
          <w:color w:val="000000"/>
        </w:rPr>
        <w:t>s</w:t>
      </w:r>
      <w:r w:rsidR="008E0131" w:rsidRPr="00F56E60">
        <w:rPr>
          <w:color w:val="000000"/>
        </w:rPr>
        <w:t xml:space="preserve"> that w</w:t>
      </w:r>
      <w:r w:rsidR="00FE3927">
        <w:rPr>
          <w:color w:val="000000"/>
        </w:rPr>
        <w:t>ere</w:t>
      </w:r>
      <w:r w:rsidRPr="00F56E60">
        <w:rPr>
          <w:color w:val="000000"/>
        </w:rPr>
        <w:t xml:space="preserve"> </w:t>
      </w:r>
      <w:r w:rsidR="0000175A" w:rsidRPr="00F56E60">
        <w:rPr>
          <w:color w:val="000000"/>
        </w:rPr>
        <w:t xml:space="preserve">made </w:t>
      </w:r>
      <w:r w:rsidRPr="00F56E60">
        <w:rPr>
          <w:color w:val="000000"/>
        </w:rPr>
        <w:t xml:space="preserve">by the </w:t>
      </w:r>
      <w:r w:rsidR="00295B1F">
        <w:rPr>
          <w:color w:val="000000"/>
        </w:rPr>
        <w:t xml:space="preserve">AGSA and </w:t>
      </w:r>
      <w:r w:rsidR="00777A91" w:rsidRPr="00F56E60">
        <w:rPr>
          <w:color w:val="000000"/>
        </w:rPr>
        <w:t xml:space="preserve">DPME </w:t>
      </w:r>
      <w:r w:rsidR="008E0131" w:rsidRPr="00F56E60">
        <w:rPr>
          <w:color w:val="000000"/>
        </w:rPr>
        <w:t>on</w:t>
      </w:r>
      <w:r w:rsidR="0092459C" w:rsidRPr="00F56E60">
        <w:rPr>
          <w:color w:val="000000"/>
        </w:rPr>
        <w:t xml:space="preserve"> DAFF’s</w:t>
      </w:r>
      <w:r w:rsidRPr="00F56E60">
        <w:rPr>
          <w:color w:val="000000"/>
        </w:rPr>
        <w:t xml:space="preserve"> </w:t>
      </w:r>
      <w:r w:rsidR="00FE3927" w:rsidRPr="00F56E60">
        <w:rPr>
          <w:color w:val="000000"/>
        </w:rPr>
        <w:t>APP</w:t>
      </w:r>
      <w:r w:rsidR="002B2577" w:rsidRPr="00F56E60">
        <w:rPr>
          <w:color w:val="000000"/>
        </w:rPr>
        <w:t xml:space="preserve"> and budget over the MTEF. </w:t>
      </w:r>
      <w:r w:rsidR="00295B1F">
        <w:rPr>
          <w:color w:val="000000"/>
        </w:rPr>
        <w:t xml:space="preserve">The AGSA </w:t>
      </w:r>
      <w:r w:rsidR="00285952">
        <w:rPr>
          <w:color w:val="000000"/>
        </w:rPr>
        <w:t>commended DAFF for the improvement in its APP</w:t>
      </w:r>
      <w:r w:rsidR="00236FDB">
        <w:rPr>
          <w:color w:val="000000"/>
        </w:rPr>
        <w:t>, w</w:t>
      </w:r>
      <w:r w:rsidR="00295B1F">
        <w:rPr>
          <w:color w:val="000000"/>
        </w:rPr>
        <w:t xml:space="preserve">hile </w:t>
      </w:r>
      <w:r w:rsidR="00B82A96">
        <w:rPr>
          <w:color w:val="000000"/>
        </w:rPr>
        <w:t>DPME raised</w:t>
      </w:r>
      <w:r w:rsidR="00D75253">
        <w:rPr>
          <w:color w:val="000000"/>
        </w:rPr>
        <w:t xml:space="preserve"> </w:t>
      </w:r>
      <w:r w:rsidR="00B82A96">
        <w:rPr>
          <w:color w:val="000000"/>
        </w:rPr>
        <w:t xml:space="preserve">some </w:t>
      </w:r>
      <w:r w:rsidR="00D75253">
        <w:rPr>
          <w:color w:val="000000"/>
        </w:rPr>
        <w:t>pertinent issues that DAFF did not consider when drafting its final APP. T</w:t>
      </w:r>
      <w:r w:rsidR="00295B1F">
        <w:rPr>
          <w:color w:val="000000"/>
        </w:rPr>
        <w:t xml:space="preserve">he Committee raised a concern regarding the </w:t>
      </w:r>
      <w:r w:rsidR="00A35BD8" w:rsidRPr="00295B1F">
        <w:rPr>
          <w:lang w:val="en-ZA"/>
        </w:rPr>
        <w:t>level</w:t>
      </w:r>
      <w:r w:rsidR="00295B1F" w:rsidRPr="00295B1F">
        <w:rPr>
          <w:lang w:val="en-ZA"/>
        </w:rPr>
        <w:t xml:space="preserve"> and manner of engagements between DAFF and DPME during the drafting and finalisation of the APP</w:t>
      </w:r>
      <w:r w:rsidR="00295B1F">
        <w:rPr>
          <w:rFonts w:ascii="Arial" w:hAnsi="Arial" w:cs="Arial"/>
          <w:sz w:val="22"/>
          <w:szCs w:val="22"/>
          <w:lang w:val="en-ZA"/>
        </w:rPr>
        <w:t xml:space="preserve">. </w:t>
      </w:r>
      <w:r w:rsidR="00393FA0" w:rsidRPr="00D75253">
        <w:t>A n</w:t>
      </w:r>
      <w:r w:rsidR="00BE0484" w:rsidRPr="00D75253">
        <w:t>eed for a better alignment of conditional grant objectives and allocation</w:t>
      </w:r>
      <w:r w:rsidR="00D75253" w:rsidRPr="00D75253">
        <w:t xml:space="preserve">, </w:t>
      </w:r>
      <w:r w:rsidR="00B82A96">
        <w:t xml:space="preserve">as well as monitoring of grants </w:t>
      </w:r>
      <w:r w:rsidR="00D75253" w:rsidRPr="00D75253">
        <w:t>as previously raised by the Committee was still of great concern to the Committee</w:t>
      </w:r>
      <w:r w:rsidR="00BE0484" w:rsidRPr="00D75253">
        <w:t xml:space="preserve">. </w:t>
      </w:r>
    </w:p>
    <w:p w14:paraId="0F13D2DA" w14:textId="77777777" w:rsidR="002B2577" w:rsidRDefault="002B2577" w:rsidP="00F56E60">
      <w:pPr>
        <w:spacing w:line="360" w:lineRule="auto"/>
        <w:jc w:val="both"/>
        <w:rPr>
          <w:color w:val="000000"/>
        </w:rPr>
      </w:pPr>
    </w:p>
    <w:p w14:paraId="068CC047" w14:textId="77777777" w:rsidR="00130DD5" w:rsidRDefault="00130DD5" w:rsidP="00F56E60">
      <w:pPr>
        <w:spacing w:line="360" w:lineRule="auto"/>
        <w:jc w:val="both"/>
        <w:rPr>
          <w:b/>
          <w:color w:val="000000"/>
        </w:rPr>
      </w:pPr>
      <w:r w:rsidRPr="009B1879">
        <w:rPr>
          <w:b/>
          <w:color w:val="000000"/>
        </w:rPr>
        <w:t xml:space="preserve">Committee Observations </w:t>
      </w:r>
    </w:p>
    <w:p w14:paraId="60B9176B" w14:textId="77777777" w:rsidR="00130DD5" w:rsidRPr="009B1879" w:rsidRDefault="00130DD5" w:rsidP="00F56E60">
      <w:pPr>
        <w:spacing w:line="360" w:lineRule="auto"/>
        <w:jc w:val="both"/>
        <w:rPr>
          <w:b/>
          <w:color w:val="000000"/>
        </w:rPr>
      </w:pPr>
    </w:p>
    <w:p w14:paraId="37C4437B" w14:textId="77777777" w:rsidR="00191183" w:rsidRPr="00F56E60" w:rsidRDefault="0073049F" w:rsidP="003C555F">
      <w:pPr>
        <w:spacing w:line="360" w:lineRule="auto"/>
        <w:jc w:val="both"/>
        <w:rPr>
          <w:color w:val="000000"/>
        </w:rPr>
      </w:pPr>
      <w:r>
        <w:rPr>
          <w:color w:val="000000"/>
        </w:rPr>
        <w:t xml:space="preserve">The Committee </w:t>
      </w:r>
      <w:r w:rsidRPr="00F56E60">
        <w:rPr>
          <w:color w:val="000000"/>
        </w:rPr>
        <w:t xml:space="preserve">further welcomed the presentation by DAFF, which included the MLRF, on </w:t>
      </w:r>
      <w:r w:rsidR="00130DD5">
        <w:rPr>
          <w:color w:val="000000"/>
        </w:rPr>
        <w:t xml:space="preserve">the Department’s </w:t>
      </w:r>
      <w:r w:rsidRPr="00F56E60">
        <w:rPr>
          <w:color w:val="000000"/>
        </w:rPr>
        <w:t>objectives in relation to its 201</w:t>
      </w:r>
      <w:r w:rsidR="00A35BD8">
        <w:rPr>
          <w:color w:val="000000"/>
        </w:rPr>
        <w:t>8</w:t>
      </w:r>
      <w:r w:rsidRPr="00F56E60">
        <w:rPr>
          <w:color w:val="000000"/>
        </w:rPr>
        <w:t>/1</w:t>
      </w:r>
      <w:r w:rsidR="00A35BD8">
        <w:rPr>
          <w:color w:val="000000"/>
        </w:rPr>
        <w:t>9</w:t>
      </w:r>
      <w:r w:rsidRPr="00F56E60">
        <w:rPr>
          <w:color w:val="000000"/>
        </w:rPr>
        <w:t xml:space="preserve"> APP and budget</w:t>
      </w:r>
      <w:r>
        <w:rPr>
          <w:color w:val="000000"/>
        </w:rPr>
        <w:t xml:space="preserve">. </w:t>
      </w:r>
      <w:r w:rsidR="000762CA" w:rsidRPr="00F56E60">
        <w:rPr>
          <w:lang w:val="en-ZA"/>
        </w:rPr>
        <w:t xml:space="preserve">The Committee </w:t>
      </w:r>
      <w:r w:rsidR="002D12E7">
        <w:rPr>
          <w:lang w:val="en-ZA"/>
        </w:rPr>
        <w:t xml:space="preserve">was generally satisfied </w:t>
      </w:r>
      <w:r w:rsidR="001D491D">
        <w:rPr>
          <w:lang w:val="en-ZA"/>
        </w:rPr>
        <w:t>with</w:t>
      </w:r>
      <w:r w:rsidR="002D12E7">
        <w:rPr>
          <w:lang w:val="en-ZA"/>
        </w:rPr>
        <w:t xml:space="preserve"> </w:t>
      </w:r>
      <w:r w:rsidR="001D491D">
        <w:rPr>
          <w:lang w:val="en-ZA"/>
        </w:rPr>
        <w:t xml:space="preserve">the </w:t>
      </w:r>
      <w:r w:rsidR="002D12E7">
        <w:rPr>
          <w:lang w:val="en-ZA"/>
        </w:rPr>
        <w:t>presentation</w:t>
      </w:r>
      <w:r w:rsidR="001D491D">
        <w:rPr>
          <w:lang w:val="en-ZA"/>
        </w:rPr>
        <w:t xml:space="preserve"> that was</w:t>
      </w:r>
      <w:r w:rsidR="002D12E7">
        <w:rPr>
          <w:lang w:val="en-ZA"/>
        </w:rPr>
        <w:t xml:space="preserve"> made by DAFF on its APP as some of the k</w:t>
      </w:r>
      <w:r w:rsidR="000762CA">
        <w:rPr>
          <w:lang w:val="en-ZA"/>
        </w:rPr>
        <w:t xml:space="preserve">ey sectoral matters that </w:t>
      </w:r>
      <w:r w:rsidR="00A35BD8">
        <w:rPr>
          <w:lang w:val="en-ZA"/>
        </w:rPr>
        <w:t xml:space="preserve">were highlighted by the DPME which were </w:t>
      </w:r>
      <w:r w:rsidR="00B82A96">
        <w:rPr>
          <w:lang w:val="en-ZA"/>
        </w:rPr>
        <w:t xml:space="preserve">previously </w:t>
      </w:r>
      <w:r w:rsidR="00A35BD8">
        <w:rPr>
          <w:lang w:val="en-ZA"/>
        </w:rPr>
        <w:t xml:space="preserve">raised by </w:t>
      </w:r>
      <w:r w:rsidR="001D491D">
        <w:rPr>
          <w:lang w:val="en-ZA"/>
        </w:rPr>
        <w:t xml:space="preserve">the </w:t>
      </w:r>
      <w:r w:rsidR="00A35BD8">
        <w:rPr>
          <w:lang w:val="en-ZA"/>
        </w:rPr>
        <w:t xml:space="preserve">Committee </w:t>
      </w:r>
      <w:r w:rsidR="00B82A96">
        <w:rPr>
          <w:lang w:val="en-ZA"/>
        </w:rPr>
        <w:t>in its engagement</w:t>
      </w:r>
      <w:r w:rsidR="00A35BD8">
        <w:rPr>
          <w:lang w:val="en-ZA"/>
        </w:rPr>
        <w:t xml:space="preserve"> with DAFF on the draft APP</w:t>
      </w:r>
      <w:r w:rsidR="001D491D">
        <w:rPr>
          <w:lang w:val="en-ZA"/>
        </w:rPr>
        <w:t>,</w:t>
      </w:r>
      <w:r w:rsidR="00A35BD8">
        <w:rPr>
          <w:lang w:val="en-ZA"/>
        </w:rPr>
        <w:t xml:space="preserve"> were </w:t>
      </w:r>
      <w:r w:rsidR="002D12E7">
        <w:rPr>
          <w:lang w:val="en-ZA"/>
        </w:rPr>
        <w:t xml:space="preserve">partly </w:t>
      </w:r>
      <w:r w:rsidR="00A35BD8">
        <w:rPr>
          <w:lang w:val="en-ZA"/>
        </w:rPr>
        <w:t xml:space="preserve">incorporated </w:t>
      </w:r>
      <w:r w:rsidR="000762CA">
        <w:rPr>
          <w:lang w:val="en-ZA"/>
        </w:rPr>
        <w:t xml:space="preserve">in the </w:t>
      </w:r>
      <w:r w:rsidR="001D491D">
        <w:rPr>
          <w:lang w:val="en-ZA"/>
        </w:rPr>
        <w:t xml:space="preserve">final </w:t>
      </w:r>
      <w:r w:rsidR="000762CA">
        <w:rPr>
          <w:lang w:val="en-ZA"/>
        </w:rPr>
        <w:t>201</w:t>
      </w:r>
      <w:r w:rsidR="00A35BD8">
        <w:rPr>
          <w:lang w:val="en-ZA"/>
        </w:rPr>
        <w:t>8/19</w:t>
      </w:r>
      <w:r w:rsidR="000762CA">
        <w:rPr>
          <w:lang w:val="en-ZA"/>
        </w:rPr>
        <w:t xml:space="preserve"> APP</w:t>
      </w:r>
      <w:r w:rsidR="00A35BD8">
        <w:rPr>
          <w:lang w:val="en-ZA"/>
        </w:rPr>
        <w:t>.</w:t>
      </w:r>
      <w:r w:rsidR="000762CA">
        <w:rPr>
          <w:lang w:val="en-ZA"/>
        </w:rPr>
        <w:t xml:space="preserve"> </w:t>
      </w:r>
      <w:r w:rsidR="00CC5926" w:rsidRPr="00F56E60">
        <w:rPr>
          <w:color w:val="000000"/>
        </w:rPr>
        <w:t>During the engagements</w:t>
      </w:r>
      <w:r w:rsidR="004C25F8" w:rsidRPr="00F56E60">
        <w:rPr>
          <w:color w:val="000000"/>
        </w:rPr>
        <w:t xml:space="preserve"> and discussions</w:t>
      </w:r>
      <w:r w:rsidR="00CC5926" w:rsidRPr="00F56E60">
        <w:rPr>
          <w:color w:val="000000"/>
        </w:rPr>
        <w:t xml:space="preserve"> </w:t>
      </w:r>
      <w:r w:rsidR="0000175A" w:rsidRPr="00F56E60">
        <w:rPr>
          <w:color w:val="000000"/>
        </w:rPr>
        <w:t>with the De</w:t>
      </w:r>
      <w:r w:rsidR="00CC5926" w:rsidRPr="00F56E60">
        <w:rPr>
          <w:color w:val="000000"/>
        </w:rPr>
        <w:t>partment</w:t>
      </w:r>
      <w:r w:rsidR="00B82A96">
        <w:rPr>
          <w:color w:val="000000"/>
        </w:rPr>
        <w:t xml:space="preserve"> including </w:t>
      </w:r>
      <w:r w:rsidR="001D491D">
        <w:rPr>
          <w:color w:val="000000"/>
        </w:rPr>
        <w:t xml:space="preserve">the </w:t>
      </w:r>
      <w:r w:rsidR="00B82A96">
        <w:rPr>
          <w:color w:val="000000"/>
        </w:rPr>
        <w:t>MLRF</w:t>
      </w:r>
      <w:r w:rsidR="00CC5926" w:rsidRPr="00F56E60">
        <w:rPr>
          <w:color w:val="000000"/>
        </w:rPr>
        <w:t>, the Co</w:t>
      </w:r>
      <w:r w:rsidR="0047395D" w:rsidRPr="00F56E60">
        <w:rPr>
          <w:color w:val="000000"/>
        </w:rPr>
        <w:t xml:space="preserve">mmittee made comments and </w:t>
      </w:r>
      <w:r w:rsidR="00191183" w:rsidRPr="00F56E60">
        <w:rPr>
          <w:color w:val="000000"/>
        </w:rPr>
        <w:t xml:space="preserve">raised the following </w:t>
      </w:r>
      <w:r w:rsidR="00291FD7" w:rsidRPr="00F56E60">
        <w:rPr>
          <w:color w:val="000000"/>
        </w:rPr>
        <w:t>for the Department’s attention</w:t>
      </w:r>
      <w:r w:rsidR="00191183" w:rsidRPr="00F56E60">
        <w:rPr>
          <w:color w:val="000000"/>
        </w:rPr>
        <w:t>:</w:t>
      </w:r>
    </w:p>
    <w:p w14:paraId="7F5D96D4" w14:textId="77777777" w:rsidR="00191183" w:rsidRPr="00F56E60" w:rsidRDefault="00191183" w:rsidP="003C555F">
      <w:pPr>
        <w:spacing w:line="360" w:lineRule="auto"/>
        <w:jc w:val="both"/>
        <w:rPr>
          <w:lang w:val="en-ZA"/>
        </w:rPr>
      </w:pPr>
    </w:p>
    <w:p w14:paraId="4470385A" w14:textId="77777777" w:rsidR="000762CA" w:rsidRPr="00575E86" w:rsidRDefault="00A35BD8" w:rsidP="003C555F">
      <w:pPr>
        <w:numPr>
          <w:ilvl w:val="1"/>
          <w:numId w:val="30"/>
        </w:numPr>
        <w:spacing w:line="360" w:lineRule="auto"/>
        <w:jc w:val="both"/>
        <w:rPr>
          <w:lang w:val="en-ZA"/>
        </w:rPr>
      </w:pPr>
      <w:r>
        <w:rPr>
          <w:lang w:val="en-ZA"/>
        </w:rPr>
        <w:t>The Department outlined the planned policies which are key for sector development with no provision for timeframes</w:t>
      </w:r>
      <w:r w:rsidR="001D491D">
        <w:rPr>
          <w:lang w:val="en-ZA"/>
        </w:rPr>
        <w:t xml:space="preserve"> as</w:t>
      </w:r>
      <w:r>
        <w:rPr>
          <w:lang w:val="en-ZA"/>
        </w:rPr>
        <w:t xml:space="preserve"> some of the policies have been under development for </w:t>
      </w:r>
      <w:r w:rsidR="00563786">
        <w:rPr>
          <w:lang w:val="en-ZA"/>
        </w:rPr>
        <w:t>the past 3 years or more</w:t>
      </w:r>
      <w:r w:rsidR="001D491D">
        <w:rPr>
          <w:lang w:val="en-ZA"/>
        </w:rPr>
        <w:t>,</w:t>
      </w:r>
      <w:r w:rsidR="00563786">
        <w:rPr>
          <w:lang w:val="en-ZA"/>
        </w:rPr>
        <w:t xml:space="preserve"> for example, Policy on Comprehensive Producer Support, National Policy</w:t>
      </w:r>
      <w:r w:rsidR="006501B7">
        <w:rPr>
          <w:lang w:val="en-ZA"/>
        </w:rPr>
        <w:t xml:space="preserve"> on Extension and Advisory Services, </w:t>
      </w:r>
      <w:r w:rsidR="006501B7">
        <w:rPr>
          <w:lang w:val="en-ZA"/>
        </w:rPr>
        <w:lastRenderedPageBreak/>
        <w:t xml:space="preserve">Development Finance Policy, </w:t>
      </w:r>
      <w:r w:rsidR="00B74441">
        <w:rPr>
          <w:lang w:val="en-ZA"/>
        </w:rPr>
        <w:t>and the</w:t>
      </w:r>
      <w:r w:rsidR="006501B7">
        <w:rPr>
          <w:lang w:val="en-ZA"/>
        </w:rPr>
        <w:t xml:space="preserve"> Policy for the Sustainable </w:t>
      </w:r>
      <w:r w:rsidR="001D491D">
        <w:rPr>
          <w:lang w:val="en-ZA"/>
        </w:rPr>
        <w:t>M</w:t>
      </w:r>
      <w:r w:rsidR="006501B7">
        <w:rPr>
          <w:lang w:val="en-ZA"/>
        </w:rPr>
        <w:t>anagement of Range and Forage Resources.</w:t>
      </w:r>
    </w:p>
    <w:p w14:paraId="202EBFEC" w14:textId="77777777" w:rsidR="006B4907" w:rsidRPr="00E562E0" w:rsidRDefault="006B4907" w:rsidP="003C555F">
      <w:pPr>
        <w:tabs>
          <w:tab w:val="left" w:pos="360"/>
        </w:tabs>
        <w:spacing w:line="360" w:lineRule="auto"/>
        <w:ind w:left="502"/>
        <w:jc w:val="both"/>
        <w:rPr>
          <w:lang w:val="en-ZA"/>
        </w:rPr>
      </w:pPr>
    </w:p>
    <w:p w14:paraId="3C857170" w14:textId="77777777" w:rsidR="00B15773" w:rsidRPr="00526A76" w:rsidRDefault="00816EC8" w:rsidP="00A33293">
      <w:pPr>
        <w:numPr>
          <w:ilvl w:val="1"/>
          <w:numId w:val="30"/>
        </w:numPr>
        <w:tabs>
          <w:tab w:val="left" w:pos="360"/>
        </w:tabs>
        <w:spacing w:line="360" w:lineRule="auto"/>
        <w:jc w:val="both"/>
      </w:pPr>
      <w:r>
        <w:rPr>
          <w:lang w:val="en-ZA"/>
        </w:rPr>
        <w:t xml:space="preserve">Delays in the </w:t>
      </w:r>
      <w:r w:rsidR="00827F32">
        <w:rPr>
          <w:lang w:val="en-ZA"/>
        </w:rPr>
        <w:t xml:space="preserve">development and </w:t>
      </w:r>
      <w:r>
        <w:rPr>
          <w:lang w:val="en-ZA"/>
        </w:rPr>
        <w:t xml:space="preserve">finalisation of </w:t>
      </w:r>
      <w:r w:rsidR="00827F32">
        <w:rPr>
          <w:lang w:val="en-ZA"/>
        </w:rPr>
        <w:t xml:space="preserve">key legislation such as </w:t>
      </w:r>
      <w:r w:rsidR="004A298D">
        <w:rPr>
          <w:lang w:val="en-ZA"/>
        </w:rPr>
        <w:t>the Preservation and Development of Agricultural Land Framework (PDALF) Bill</w:t>
      </w:r>
      <w:r>
        <w:rPr>
          <w:lang w:val="en-ZA"/>
        </w:rPr>
        <w:t xml:space="preserve">, which is one of the most important Bills for the sector that is also targeted in the Medium Term Strategic Framework (MTSF). The Bill </w:t>
      </w:r>
      <w:r w:rsidR="00526A76">
        <w:rPr>
          <w:lang w:val="en-ZA"/>
        </w:rPr>
        <w:t xml:space="preserve">is expected to be submitted </w:t>
      </w:r>
      <w:r w:rsidR="001D491D">
        <w:rPr>
          <w:lang w:val="en-ZA"/>
        </w:rPr>
        <w:t xml:space="preserve">to </w:t>
      </w:r>
      <w:r w:rsidR="00526A76">
        <w:rPr>
          <w:lang w:val="en-ZA"/>
        </w:rPr>
        <w:t>t</w:t>
      </w:r>
      <w:r w:rsidR="006B4907" w:rsidRPr="00032007">
        <w:rPr>
          <w:lang w:val="en-ZA"/>
        </w:rPr>
        <w:t>he</w:t>
      </w:r>
      <w:r w:rsidR="00526A76">
        <w:rPr>
          <w:lang w:val="en-ZA"/>
        </w:rPr>
        <w:t xml:space="preserve"> Minister only in </w:t>
      </w:r>
      <w:r w:rsidR="00526A76" w:rsidRPr="00032007">
        <w:rPr>
          <w:lang w:val="en-ZA"/>
        </w:rPr>
        <w:t>2019</w:t>
      </w:r>
      <w:r w:rsidR="00526A76">
        <w:rPr>
          <w:lang w:val="en-ZA"/>
        </w:rPr>
        <w:t>/20</w:t>
      </w:r>
      <w:r w:rsidR="001D491D">
        <w:rPr>
          <w:lang w:val="en-ZA"/>
        </w:rPr>
        <w:t xml:space="preserve">, </w:t>
      </w:r>
      <w:r w:rsidR="00526A76">
        <w:rPr>
          <w:lang w:val="en-ZA"/>
        </w:rPr>
        <w:t xml:space="preserve">which means </w:t>
      </w:r>
      <w:r>
        <w:rPr>
          <w:lang w:val="en-ZA"/>
        </w:rPr>
        <w:t xml:space="preserve">that </w:t>
      </w:r>
      <w:r w:rsidR="00526A76">
        <w:rPr>
          <w:lang w:val="en-ZA"/>
        </w:rPr>
        <w:t>the</w:t>
      </w:r>
      <w:r w:rsidR="006B4907" w:rsidRPr="00F56E60">
        <w:t xml:space="preserve"> Bill</w:t>
      </w:r>
      <w:r w:rsidR="006B4907">
        <w:t xml:space="preserve"> </w:t>
      </w:r>
      <w:r w:rsidR="00526A76">
        <w:t>will not be</w:t>
      </w:r>
      <w:r w:rsidR="006B4907">
        <w:t xml:space="preserve"> </w:t>
      </w:r>
      <w:r w:rsidR="00526A76">
        <w:rPr>
          <w:lang w:val="en-ZA"/>
        </w:rPr>
        <w:t>implemented by</w:t>
      </w:r>
      <w:r w:rsidR="006B4907">
        <w:rPr>
          <w:lang w:val="en-ZA"/>
        </w:rPr>
        <w:t xml:space="preserve"> 2019</w:t>
      </w:r>
      <w:r w:rsidR="00526A76">
        <w:rPr>
          <w:lang w:val="en-ZA"/>
        </w:rPr>
        <w:t xml:space="preserve"> as it was stated in the 2017/18 APP</w:t>
      </w:r>
      <w:r w:rsidR="001D491D">
        <w:rPr>
          <w:lang w:val="en-ZA"/>
        </w:rPr>
        <w:t xml:space="preserve"> and is expected in the MTSF</w:t>
      </w:r>
      <w:r w:rsidR="00526A76">
        <w:rPr>
          <w:lang w:val="en-ZA"/>
        </w:rPr>
        <w:t xml:space="preserve">. The Aquaculture Bill, which is also a sectoral priority in terms of aquaculture development, which was </w:t>
      </w:r>
      <w:r w:rsidR="003260D6">
        <w:rPr>
          <w:lang w:val="en-ZA"/>
        </w:rPr>
        <w:t xml:space="preserve">planned </w:t>
      </w:r>
      <w:r w:rsidR="00526A76">
        <w:rPr>
          <w:lang w:val="en-ZA"/>
        </w:rPr>
        <w:t>to be submitted to Cabinet in the 2017/18</w:t>
      </w:r>
      <w:r w:rsidR="00827F32">
        <w:rPr>
          <w:lang w:val="en-ZA"/>
        </w:rPr>
        <w:t xml:space="preserve"> but there is </w:t>
      </w:r>
      <w:r w:rsidR="003260D6">
        <w:rPr>
          <w:lang w:val="en-ZA"/>
        </w:rPr>
        <w:t xml:space="preserve">no indication of when the Bill </w:t>
      </w:r>
      <w:r w:rsidR="00827F32">
        <w:rPr>
          <w:lang w:val="en-ZA"/>
        </w:rPr>
        <w:t>is expected to</w:t>
      </w:r>
      <w:r w:rsidR="003260D6">
        <w:rPr>
          <w:lang w:val="en-ZA"/>
        </w:rPr>
        <w:t xml:space="preserve"> be tabled in Parliament</w:t>
      </w:r>
      <w:r w:rsidR="00827F32">
        <w:rPr>
          <w:lang w:val="en-ZA"/>
        </w:rPr>
        <w:t xml:space="preserve">. </w:t>
      </w:r>
      <w:r w:rsidR="00526A76">
        <w:rPr>
          <w:lang w:val="en-ZA"/>
        </w:rPr>
        <w:t xml:space="preserve"> </w:t>
      </w:r>
    </w:p>
    <w:p w14:paraId="665DB212" w14:textId="77777777" w:rsidR="00526A76" w:rsidRDefault="00526A76" w:rsidP="00526A76">
      <w:pPr>
        <w:pStyle w:val="ListParagraph"/>
      </w:pPr>
    </w:p>
    <w:p w14:paraId="33855B52" w14:textId="77777777" w:rsidR="00BE6957" w:rsidRPr="00F56E60" w:rsidRDefault="0014794C" w:rsidP="003C555F">
      <w:pPr>
        <w:numPr>
          <w:ilvl w:val="1"/>
          <w:numId w:val="30"/>
        </w:numPr>
        <w:tabs>
          <w:tab w:val="left" w:pos="360"/>
        </w:tabs>
        <w:spacing w:line="360" w:lineRule="auto"/>
        <w:jc w:val="both"/>
        <w:rPr>
          <w:lang w:val="en-ZA"/>
        </w:rPr>
      </w:pPr>
      <w:r>
        <w:rPr>
          <w:lang w:val="en-ZA"/>
        </w:rPr>
        <w:t xml:space="preserve">Finalisation of the agreement with Statistics South Africa (StatsSA) for conducting the Agricultural Census, which has been budgeted for since 2017/18; and status of the </w:t>
      </w:r>
      <w:r w:rsidR="003260D6">
        <w:rPr>
          <w:lang w:val="en-ZA"/>
        </w:rPr>
        <w:t>Department</w:t>
      </w:r>
      <w:r>
        <w:rPr>
          <w:lang w:val="en-ZA"/>
        </w:rPr>
        <w:t>’s F</w:t>
      </w:r>
      <w:r w:rsidR="003260D6">
        <w:rPr>
          <w:lang w:val="en-ZA"/>
        </w:rPr>
        <w:t xml:space="preserve">amer </w:t>
      </w:r>
      <w:r>
        <w:rPr>
          <w:lang w:val="en-ZA"/>
        </w:rPr>
        <w:t>R</w:t>
      </w:r>
      <w:r w:rsidR="003260D6">
        <w:rPr>
          <w:lang w:val="en-ZA"/>
        </w:rPr>
        <w:t>egister</w:t>
      </w:r>
      <w:r>
        <w:rPr>
          <w:lang w:val="en-ZA"/>
        </w:rPr>
        <w:t xml:space="preserve">, which </w:t>
      </w:r>
      <w:r w:rsidR="00A95744">
        <w:rPr>
          <w:lang w:val="en-ZA"/>
        </w:rPr>
        <w:t>Stats SA</w:t>
      </w:r>
      <w:r>
        <w:rPr>
          <w:lang w:val="en-ZA"/>
        </w:rPr>
        <w:t xml:space="preserve"> highlighted as essential for conducting an inclusive </w:t>
      </w:r>
      <w:r w:rsidR="00A95744">
        <w:rPr>
          <w:lang w:val="en-ZA"/>
        </w:rPr>
        <w:t xml:space="preserve">Agricultural Census to ensure focused support to smallholder and subsistence producers. </w:t>
      </w:r>
    </w:p>
    <w:p w14:paraId="1E0D1928" w14:textId="77777777" w:rsidR="00E05F62" w:rsidRPr="00F56E60" w:rsidRDefault="00E05F62" w:rsidP="003C555F">
      <w:pPr>
        <w:pStyle w:val="ListParagraph"/>
        <w:spacing w:line="360" w:lineRule="auto"/>
      </w:pPr>
    </w:p>
    <w:p w14:paraId="778AC821" w14:textId="77777777" w:rsidR="00F63B86" w:rsidRDefault="00F63B86" w:rsidP="00F72939">
      <w:pPr>
        <w:numPr>
          <w:ilvl w:val="1"/>
          <w:numId w:val="30"/>
        </w:numPr>
        <w:spacing w:line="360" w:lineRule="auto"/>
        <w:jc w:val="both"/>
        <w:rPr>
          <w:lang w:val="en-ZA"/>
        </w:rPr>
      </w:pPr>
      <w:r w:rsidRPr="002D12E7">
        <w:rPr>
          <w:lang w:val="en-ZA"/>
        </w:rPr>
        <w:t xml:space="preserve">Monitoring and evaluation (M &amp; E) of </w:t>
      </w:r>
      <w:r w:rsidR="0014794C">
        <w:rPr>
          <w:lang w:val="en-ZA"/>
        </w:rPr>
        <w:t xml:space="preserve">the implementation and impact of </w:t>
      </w:r>
      <w:r w:rsidRPr="002D12E7">
        <w:rPr>
          <w:lang w:val="en-ZA"/>
        </w:rPr>
        <w:t xml:space="preserve">conditional grants and other Department’s interventions </w:t>
      </w:r>
      <w:r w:rsidR="002D12E7" w:rsidRPr="002D12E7">
        <w:rPr>
          <w:lang w:val="en-ZA"/>
        </w:rPr>
        <w:t xml:space="preserve">still </w:t>
      </w:r>
      <w:r w:rsidRPr="002D12E7">
        <w:rPr>
          <w:lang w:val="en-ZA"/>
        </w:rPr>
        <w:t xml:space="preserve">remains a challenge that </w:t>
      </w:r>
      <w:r w:rsidR="002D12E7" w:rsidRPr="002D12E7">
        <w:rPr>
          <w:lang w:val="en-ZA"/>
        </w:rPr>
        <w:t>need</w:t>
      </w:r>
      <w:r w:rsidR="0014794C">
        <w:rPr>
          <w:lang w:val="en-ZA"/>
        </w:rPr>
        <w:t>s</w:t>
      </w:r>
      <w:r w:rsidR="002D12E7" w:rsidRPr="002D12E7">
        <w:rPr>
          <w:lang w:val="en-ZA"/>
        </w:rPr>
        <w:t xml:space="preserve"> to be </w:t>
      </w:r>
      <w:r w:rsidRPr="002D12E7">
        <w:rPr>
          <w:lang w:val="en-ZA"/>
        </w:rPr>
        <w:t xml:space="preserve">addressed. </w:t>
      </w:r>
    </w:p>
    <w:p w14:paraId="222C8776" w14:textId="77777777" w:rsidR="000F32AB" w:rsidRDefault="000F32AB" w:rsidP="003C555F">
      <w:pPr>
        <w:pStyle w:val="ListParagraph"/>
        <w:spacing w:line="360" w:lineRule="auto"/>
      </w:pPr>
    </w:p>
    <w:p w14:paraId="21557BE2" w14:textId="77777777" w:rsidR="007F0564" w:rsidRPr="005C3C25" w:rsidRDefault="004D77A9" w:rsidP="00CE7723">
      <w:pPr>
        <w:numPr>
          <w:ilvl w:val="1"/>
          <w:numId w:val="30"/>
        </w:numPr>
        <w:spacing w:line="360" w:lineRule="auto"/>
        <w:jc w:val="both"/>
      </w:pPr>
      <w:r w:rsidRPr="005C3C25">
        <w:rPr>
          <w:lang w:val="en-ZA"/>
        </w:rPr>
        <w:t xml:space="preserve">The APP did not clearly reflect </w:t>
      </w:r>
      <w:r w:rsidR="005C3C25" w:rsidRPr="005C3C25">
        <w:rPr>
          <w:lang w:val="en-ZA"/>
        </w:rPr>
        <w:t>target</w:t>
      </w:r>
      <w:r w:rsidR="00B87B6C">
        <w:rPr>
          <w:lang w:val="en-ZA"/>
        </w:rPr>
        <w:t>s</w:t>
      </w:r>
      <w:r w:rsidR="005C3C25" w:rsidRPr="005C3C25">
        <w:rPr>
          <w:lang w:val="en-ZA"/>
        </w:rPr>
        <w:t xml:space="preserve"> on the rehabilitation and maintenance of harbours while there are fees </w:t>
      </w:r>
      <w:r w:rsidR="00B87B6C">
        <w:rPr>
          <w:lang w:val="en-ZA"/>
        </w:rPr>
        <w:t xml:space="preserve">that are </w:t>
      </w:r>
      <w:r w:rsidR="005C3C25" w:rsidRPr="005C3C25">
        <w:rPr>
          <w:lang w:val="en-ZA"/>
        </w:rPr>
        <w:t>collected f</w:t>
      </w:r>
      <w:r w:rsidR="00B87B6C">
        <w:rPr>
          <w:lang w:val="en-ZA"/>
        </w:rPr>
        <w:t>or</w:t>
      </w:r>
      <w:r w:rsidR="005C3C25" w:rsidRPr="005C3C25">
        <w:rPr>
          <w:lang w:val="en-ZA"/>
        </w:rPr>
        <w:t xml:space="preserve"> harbour</w:t>
      </w:r>
      <w:r w:rsidR="00DF3C12">
        <w:rPr>
          <w:lang w:val="en-ZA"/>
        </w:rPr>
        <w:t xml:space="preserve"> maintenance purposes</w:t>
      </w:r>
      <w:r w:rsidR="005C3C25" w:rsidRPr="005C3C25">
        <w:rPr>
          <w:lang w:val="en-ZA"/>
        </w:rPr>
        <w:t xml:space="preserve">. </w:t>
      </w:r>
    </w:p>
    <w:p w14:paraId="677E418D" w14:textId="77777777" w:rsidR="005C3C25" w:rsidRDefault="005C3C25" w:rsidP="005C3C25">
      <w:pPr>
        <w:spacing w:line="360" w:lineRule="auto"/>
        <w:ind w:left="502"/>
        <w:jc w:val="both"/>
      </w:pPr>
    </w:p>
    <w:p w14:paraId="71A59DC1" w14:textId="77777777" w:rsidR="00B87B6C" w:rsidRDefault="00B87B6C" w:rsidP="00B87B6C">
      <w:pPr>
        <w:numPr>
          <w:ilvl w:val="1"/>
          <w:numId w:val="30"/>
        </w:numPr>
        <w:spacing w:line="360" w:lineRule="auto"/>
        <w:jc w:val="both"/>
        <w:rPr>
          <w:lang w:val="en-ZA"/>
        </w:rPr>
      </w:pPr>
      <w:r>
        <w:rPr>
          <w:lang w:val="en-ZA"/>
        </w:rPr>
        <w:t xml:space="preserve">A concern about the Department’s insufficient budget including the level of human capacity and qualifications of some of its personnel to carry out its legislated mandate. </w:t>
      </w:r>
    </w:p>
    <w:p w14:paraId="79A1E5A7" w14:textId="77777777" w:rsidR="00B87B6C" w:rsidRDefault="00B87B6C" w:rsidP="00211FF8">
      <w:pPr>
        <w:pStyle w:val="ListParagraph"/>
      </w:pPr>
    </w:p>
    <w:p w14:paraId="52F43147" w14:textId="77777777" w:rsidR="00C66CD4" w:rsidRPr="007360A4" w:rsidRDefault="001A3471" w:rsidP="00C92688">
      <w:pPr>
        <w:numPr>
          <w:ilvl w:val="1"/>
          <w:numId w:val="30"/>
        </w:numPr>
        <w:spacing w:line="360" w:lineRule="auto"/>
        <w:jc w:val="both"/>
      </w:pPr>
      <w:r>
        <w:rPr>
          <w:lang w:val="en-ZA"/>
        </w:rPr>
        <w:t>Inadequate progress and lack of articulation in the</w:t>
      </w:r>
      <w:r w:rsidR="00DF7424" w:rsidRPr="007360A4">
        <w:rPr>
          <w:lang w:val="en-ZA"/>
        </w:rPr>
        <w:t xml:space="preserve"> </w:t>
      </w:r>
      <w:r w:rsidR="00315FE8" w:rsidRPr="007360A4">
        <w:rPr>
          <w:lang w:val="en-ZA"/>
        </w:rPr>
        <w:t>APP</w:t>
      </w:r>
      <w:r>
        <w:rPr>
          <w:lang w:val="en-ZA"/>
        </w:rPr>
        <w:t>,</w:t>
      </w:r>
      <w:r w:rsidR="00315FE8" w:rsidRPr="007360A4">
        <w:rPr>
          <w:lang w:val="en-ZA"/>
        </w:rPr>
        <w:t xml:space="preserve"> </w:t>
      </w:r>
      <w:r>
        <w:rPr>
          <w:lang w:val="en-ZA"/>
        </w:rPr>
        <w:t xml:space="preserve">of how </w:t>
      </w:r>
      <w:r w:rsidR="00315FE8" w:rsidRPr="007360A4">
        <w:rPr>
          <w:lang w:val="en-ZA"/>
        </w:rPr>
        <w:t xml:space="preserve">the </w:t>
      </w:r>
      <w:r w:rsidR="00DF7424" w:rsidRPr="007360A4">
        <w:rPr>
          <w:lang w:val="en-ZA"/>
        </w:rPr>
        <w:t>Department</w:t>
      </w:r>
      <w:r w:rsidR="00C66CD4" w:rsidRPr="007360A4">
        <w:rPr>
          <w:lang w:val="en-ZA"/>
        </w:rPr>
        <w:t xml:space="preserve"> plans to radically transform the </w:t>
      </w:r>
      <w:r w:rsidR="00DF7424" w:rsidRPr="007360A4">
        <w:rPr>
          <w:lang w:val="en-ZA"/>
        </w:rPr>
        <w:t xml:space="preserve">agriculture, forestry and fisheries </w:t>
      </w:r>
      <w:r>
        <w:rPr>
          <w:lang w:val="en-ZA"/>
        </w:rPr>
        <w:t>sectors</w:t>
      </w:r>
      <w:r w:rsidR="00C66CD4" w:rsidRPr="007360A4">
        <w:rPr>
          <w:lang w:val="en-ZA"/>
        </w:rPr>
        <w:t xml:space="preserve">. </w:t>
      </w:r>
    </w:p>
    <w:p w14:paraId="7D134323" w14:textId="77777777" w:rsidR="007360A4" w:rsidRDefault="007360A4" w:rsidP="007360A4">
      <w:pPr>
        <w:pStyle w:val="ListParagraph"/>
      </w:pPr>
    </w:p>
    <w:p w14:paraId="67038774" w14:textId="77777777" w:rsidR="00DF7424" w:rsidRDefault="007360A4" w:rsidP="003C555F">
      <w:pPr>
        <w:numPr>
          <w:ilvl w:val="1"/>
          <w:numId w:val="30"/>
        </w:numPr>
        <w:spacing w:line="360" w:lineRule="auto"/>
        <w:jc w:val="both"/>
        <w:rPr>
          <w:lang w:val="en-ZA"/>
        </w:rPr>
      </w:pPr>
      <w:r>
        <w:rPr>
          <w:lang w:val="en-ZA"/>
        </w:rPr>
        <w:t>De</w:t>
      </w:r>
      <w:r w:rsidR="00827F32">
        <w:rPr>
          <w:lang w:val="en-ZA"/>
        </w:rPr>
        <w:t>lays in the de</w:t>
      </w:r>
      <w:r>
        <w:rPr>
          <w:lang w:val="en-ZA"/>
        </w:rPr>
        <w:t xml:space="preserve">velopment of </w:t>
      </w:r>
      <w:r w:rsidR="00827F32">
        <w:rPr>
          <w:lang w:val="en-ZA"/>
        </w:rPr>
        <w:t xml:space="preserve">the Fisheries </w:t>
      </w:r>
      <w:r>
        <w:rPr>
          <w:lang w:val="en-ZA"/>
        </w:rPr>
        <w:t>Sector</w:t>
      </w:r>
      <w:r w:rsidR="00C66CD4">
        <w:rPr>
          <w:lang w:val="en-ZA"/>
        </w:rPr>
        <w:t xml:space="preserve"> Transformation C</w:t>
      </w:r>
      <w:r w:rsidR="00951A8F">
        <w:rPr>
          <w:lang w:val="en-ZA"/>
        </w:rPr>
        <w:t>harter</w:t>
      </w:r>
      <w:r w:rsidR="00827F32">
        <w:rPr>
          <w:lang w:val="en-ZA"/>
        </w:rPr>
        <w:t xml:space="preserve">, </w:t>
      </w:r>
      <w:r w:rsidR="00951A8F">
        <w:rPr>
          <w:lang w:val="en-ZA"/>
        </w:rPr>
        <w:t xml:space="preserve">the </w:t>
      </w:r>
      <w:r>
        <w:rPr>
          <w:lang w:val="en-ZA"/>
        </w:rPr>
        <w:t>u</w:t>
      </w:r>
      <w:r w:rsidR="00951A8F">
        <w:rPr>
          <w:lang w:val="en-ZA"/>
        </w:rPr>
        <w:t>se</w:t>
      </w:r>
      <w:r>
        <w:rPr>
          <w:lang w:val="en-ZA"/>
        </w:rPr>
        <w:t xml:space="preserve"> of </w:t>
      </w:r>
      <w:r w:rsidR="00951A8F">
        <w:rPr>
          <w:lang w:val="en-ZA"/>
        </w:rPr>
        <w:t>fishing rights allocation as a tool to address transformation</w:t>
      </w:r>
      <w:r w:rsidR="00827F32">
        <w:rPr>
          <w:lang w:val="en-ZA"/>
        </w:rPr>
        <w:t xml:space="preserve"> and finalisation of the process to appoint the Fishing Transformation Council as provided for in the Marine Living Resources Act (MLRA)</w:t>
      </w:r>
      <w:r w:rsidR="00951A8F">
        <w:rPr>
          <w:lang w:val="en-ZA"/>
        </w:rPr>
        <w:t xml:space="preserve">.  </w:t>
      </w:r>
    </w:p>
    <w:p w14:paraId="0D706328" w14:textId="77777777" w:rsidR="00154231" w:rsidRDefault="00154231" w:rsidP="00211FF8">
      <w:pPr>
        <w:pStyle w:val="ListParagraph"/>
      </w:pPr>
    </w:p>
    <w:p w14:paraId="2B98AC3B" w14:textId="77777777" w:rsidR="00154231" w:rsidRDefault="00154231" w:rsidP="003C555F">
      <w:pPr>
        <w:numPr>
          <w:ilvl w:val="1"/>
          <w:numId w:val="30"/>
        </w:numPr>
        <w:spacing w:line="360" w:lineRule="auto"/>
        <w:jc w:val="both"/>
        <w:rPr>
          <w:lang w:val="en-ZA"/>
        </w:rPr>
      </w:pPr>
      <w:r>
        <w:rPr>
          <w:lang w:val="en-ZA"/>
        </w:rPr>
        <w:t>Value for money regarding the R1.6 million that has been used to train Extension Officers in the previous year.</w:t>
      </w:r>
    </w:p>
    <w:p w14:paraId="1B141DD7" w14:textId="77777777" w:rsidR="00C822F0" w:rsidRDefault="00C822F0" w:rsidP="007360A4">
      <w:pPr>
        <w:spacing w:line="360" w:lineRule="auto"/>
        <w:ind w:left="502"/>
        <w:jc w:val="both"/>
        <w:rPr>
          <w:lang w:val="en-ZA"/>
        </w:rPr>
      </w:pPr>
    </w:p>
    <w:p w14:paraId="6DC982BD" w14:textId="77777777" w:rsidR="00275A6D" w:rsidRPr="00F56E60" w:rsidRDefault="0058573C" w:rsidP="003C555F">
      <w:pPr>
        <w:spacing w:line="360" w:lineRule="auto"/>
        <w:ind w:left="720" w:hanging="720"/>
        <w:jc w:val="both"/>
        <w:rPr>
          <w:color w:val="000000"/>
        </w:rPr>
      </w:pPr>
      <w:r w:rsidRPr="00F56E60">
        <w:rPr>
          <w:b/>
          <w:lang w:val="en-ZA"/>
        </w:rPr>
        <w:t>4.</w:t>
      </w:r>
      <w:r w:rsidR="00441C08" w:rsidRPr="00F56E60">
        <w:rPr>
          <w:b/>
          <w:lang w:val="en-ZA"/>
        </w:rPr>
        <w:t xml:space="preserve">  </w:t>
      </w:r>
      <w:r w:rsidR="00441C08" w:rsidRPr="00F56E60">
        <w:rPr>
          <w:b/>
          <w:lang w:val="en-ZA"/>
        </w:rPr>
        <w:tab/>
      </w:r>
      <w:r w:rsidRPr="00F56E60">
        <w:rPr>
          <w:b/>
          <w:lang w:val="en-ZA"/>
        </w:rPr>
        <w:t xml:space="preserve">Overview of Committee </w:t>
      </w:r>
      <w:r w:rsidR="000C5340" w:rsidRPr="00F56E60">
        <w:rPr>
          <w:b/>
          <w:color w:val="000000"/>
        </w:rPr>
        <w:t>Deliberations</w:t>
      </w:r>
      <w:r w:rsidR="00520BB3" w:rsidRPr="00F56E60">
        <w:rPr>
          <w:b/>
          <w:color w:val="000000"/>
        </w:rPr>
        <w:t xml:space="preserve"> and </w:t>
      </w:r>
      <w:r w:rsidR="0038202E" w:rsidRPr="00F56E60">
        <w:rPr>
          <w:b/>
          <w:color w:val="000000"/>
        </w:rPr>
        <w:t>Observations</w:t>
      </w:r>
      <w:r w:rsidR="00275A6D" w:rsidRPr="00F56E60">
        <w:rPr>
          <w:b/>
          <w:color w:val="000000"/>
        </w:rPr>
        <w:t xml:space="preserve"> on the </w:t>
      </w:r>
      <w:r w:rsidR="00D977FC">
        <w:rPr>
          <w:b/>
          <w:color w:val="000000"/>
        </w:rPr>
        <w:t>201</w:t>
      </w:r>
      <w:r w:rsidR="00DF3C12">
        <w:rPr>
          <w:b/>
          <w:color w:val="000000"/>
        </w:rPr>
        <w:t>8</w:t>
      </w:r>
      <w:r w:rsidR="00D977FC">
        <w:rPr>
          <w:b/>
          <w:color w:val="000000"/>
        </w:rPr>
        <w:t>/1</w:t>
      </w:r>
      <w:r w:rsidR="00DF3C12">
        <w:rPr>
          <w:b/>
          <w:color w:val="000000"/>
        </w:rPr>
        <w:t>9</w:t>
      </w:r>
      <w:r w:rsidR="00D977FC">
        <w:rPr>
          <w:b/>
          <w:color w:val="000000"/>
        </w:rPr>
        <w:t xml:space="preserve"> </w:t>
      </w:r>
      <w:r w:rsidR="00275A6D" w:rsidRPr="00F56E60">
        <w:rPr>
          <w:b/>
          <w:color w:val="000000"/>
        </w:rPr>
        <w:t>APPs and</w:t>
      </w:r>
      <w:r w:rsidR="00D977FC">
        <w:rPr>
          <w:b/>
          <w:color w:val="000000"/>
        </w:rPr>
        <w:t xml:space="preserve"> </w:t>
      </w:r>
      <w:r w:rsidR="00275A6D" w:rsidRPr="00F56E60">
        <w:rPr>
          <w:b/>
          <w:color w:val="000000"/>
        </w:rPr>
        <w:t>Budgets of DAFF Entities</w:t>
      </w:r>
    </w:p>
    <w:p w14:paraId="66A9915B" w14:textId="77777777" w:rsidR="00275A6D" w:rsidRPr="00F56E60" w:rsidRDefault="00275A6D" w:rsidP="003C555F">
      <w:pPr>
        <w:autoSpaceDE w:val="0"/>
        <w:autoSpaceDN w:val="0"/>
        <w:adjustRightInd w:val="0"/>
        <w:spacing w:line="360" w:lineRule="auto"/>
        <w:rPr>
          <w:color w:val="000000"/>
        </w:rPr>
      </w:pPr>
    </w:p>
    <w:p w14:paraId="123A4447" w14:textId="77777777" w:rsidR="00B00D8A" w:rsidRDefault="00EF2327" w:rsidP="003C555F">
      <w:pPr>
        <w:autoSpaceDE w:val="0"/>
        <w:autoSpaceDN w:val="0"/>
        <w:adjustRightInd w:val="0"/>
        <w:spacing w:line="360" w:lineRule="auto"/>
        <w:jc w:val="both"/>
        <w:rPr>
          <w:color w:val="000000"/>
        </w:rPr>
      </w:pPr>
      <w:r w:rsidRPr="00F56E60">
        <w:rPr>
          <w:color w:val="000000"/>
        </w:rPr>
        <w:t xml:space="preserve">The Committee </w:t>
      </w:r>
      <w:r w:rsidR="00F56E60">
        <w:rPr>
          <w:color w:val="000000"/>
        </w:rPr>
        <w:t xml:space="preserve">acknowledged </w:t>
      </w:r>
      <w:r w:rsidR="00F56E60" w:rsidRPr="00F56E60">
        <w:t xml:space="preserve">the budgetary </w:t>
      </w:r>
      <w:r w:rsidR="0026511C">
        <w:t>constraints experienced by the ARC</w:t>
      </w:r>
      <w:r w:rsidR="00F56E60">
        <w:t xml:space="preserve">, </w:t>
      </w:r>
      <w:r w:rsidR="00F56E60" w:rsidRPr="00F56E60">
        <w:t xml:space="preserve">which are directly linked to the </w:t>
      </w:r>
      <w:r w:rsidR="00C84AB2">
        <w:t>ina</w:t>
      </w:r>
      <w:r w:rsidR="00D977FC">
        <w:t>de</w:t>
      </w:r>
      <w:r w:rsidR="00C84AB2">
        <w:t>quate</w:t>
      </w:r>
      <w:r w:rsidR="00D977FC">
        <w:t xml:space="preserve"> national </w:t>
      </w:r>
      <w:r w:rsidR="00F56E60" w:rsidRPr="00F56E60">
        <w:t xml:space="preserve">budget </w:t>
      </w:r>
      <w:r w:rsidR="00D977FC">
        <w:t xml:space="preserve">allocation to </w:t>
      </w:r>
      <w:r w:rsidR="00F56E60" w:rsidRPr="00F56E60">
        <w:t>the Department of Agriculture, Forestry and Fisheries</w:t>
      </w:r>
      <w:r w:rsidR="0026511C">
        <w:rPr>
          <w:color w:val="000000"/>
        </w:rPr>
        <w:t>.</w:t>
      </w:r>
      <w:r w:rsidR="00C7476A">
        <w:rPr>
          <w:color w:val="000000"/>
        </w:rPr>
        <w:t xml:space="preserve"> </w:t>
      </w:r>
    </w:p>
    <w:p w14:paraId="605A00B4" w14:textId="77777777" w:rsidR="00C7476A" w:rsidRPr="00F56E60" w:rsidRDefault="00C7476A" w:rsidP="003C555F">
      <w:pPr>
        <w:autoSpaceDE w:val="0"/>
        <w:autoSpaceDN w:val="0"/>
        <w:adjustRightInd w:val="0"/>
        <w:spacing w:line="360" w:lineRule="auto"/>
        <w:jc w:val="both"/>
        <w:rPr>
          <w:color w:val="000000"/>
        </w:rPr>
      </w:pPr>
    </w:p>
    <w:p w14:paraId="77D9D9F8" w14:textId="77777777" w:rsidR="00275A6D" w:rsidRPr="00F56E60" w:rsidRDefault="00275A6D" w:rsidP="003C555F">
      <w:pPr>
        <w:autoSpaceDE w:val="0"/>
        <w:autoSpaceDN w:val="0"/>
        <w:adjustRightInd w:val="0"/>
        <w:spacing w:line="360" w:lineRule="auto"/>
        <w:jc w:val="both"/>
        <w:rPr>
          <w:color w:val="000000"/>
        </w:rPr>
      </w:pPr>
      <w:r w:rsidRPr="00F56E60">
        <w:rPr>
          <w:color w:val="000000"/>
        </w:rPr>
        <w:t xml:space="preserve">Having examined and </w:t>
      </w:r>
      <w:r w:rsidR="005F1A44" w:rsidRPr="00F56E60">
        <w:rPr>
          <w:color w:val="000000"/>
        </w:rPr>
        <w:t xml:space="preserve">discussed the </w:t>
      </w:r>
      <w:r w:rsidR="00D977FC">
        <w:rPr>
          <w:color w:val="000000"/>
        </w:rPr>
        <w:t>201</w:t>
      </w:r>
      <w:r w:rsidR="0026511C">
        <w:rPr>
          <w:color w:val="000000"/>
        </w:rPr>
        <w:t>8</w:t>
      </w:r>
      <w:r w:rsidR="00D977FC">
        <w:rPr>
          <w:color w:val="000000"/>
        </w:rPr>
        <w:t>/1</w:t>
      </w:r>
      <w:r w:rsidR="0026511C">
        <w:rPr>
          <w:color w:val="000000"/>
        </w:rPr>
        <w:t>9</w:t>
      </w:r>
      <w:r w:rsidR="00D977FC">
        <w:rPr>
          <w:color w:val="000000"/>
        </w:rPr>
        <w:t xml:space="preserve"> </w:t>
      </w:r>
      <w:r w:rsidRPr="00F56E60">
        <w:rPr>
          <w:color w:val="000000"/>
        </w:rPr>
        <w:t xml:space="preserve">APPs and budgets of the </w:t>
      </w:r>
      <w:r w:rsidR="000324B9" w:rsidRPr="00F56E60">
        <w:rPr>
          <w:color w:val="000000"/>
        </w:rPr>
        <w:t>E</w:t>
      </w:r>
      <w:r w:rsidRPr="00F56E60">
        <w:rPr>
          <w:color w:val="000000"/>
        </w:rPr>
        <w:t>ntities, the Committee raised the following:</w:t>
      </w:r>
    </w:p>
    <w:p w14:paraId="7B8C0476" w14:textId="77777777" w:rsidR="00EC14D3" w:rsidRPr="00F56E60" w:rsidRDefault="00EC14D3" w:rsidP="003C555F">
      <w:pPr>
        <w:autoSpaceDE w:val="0"/>
        <w:autoSpaceDN w:val="0"/>
        <w:adjustRightInd w:val="0"/>
        <w:spacing w:line="360" w:lineRule="auto"/>
        <w:jc w:val="both"/>
        <w:rPr>
          <w:b/>
          <w:lang w:val="en-ZA"/>
        </w:rPr>
      </w:pPr>
    </w:p>
    <w:p w14:paraId="45942F5C" w14:textId="77777777" w:rsidR="00EC14D3" w:rsidRDefault="00AE25BF" w:rsidP="0026511C">
      <w:pPr>
        <w:numPr>
          <w:ilvl w:val="1"/>
          <w:numId w:val="32"/>
        </w:numPr>
        <w:spacing w:line="360" w:lineRule="auto"/>
        <w:jc w:val="both"/>
        <w:rPr>
          <w:b/>
          <w:lang w:val="en-ZA"/>
        </w:rPr>
      </w:pPr>
      <w:r w:rsidRPr="0026511C">
        <w:rPr>
          <w:lang w:val="en-ZA"/>
        </w:rPr>
        <w:t xml:space="preserve">The </w:t>
      </w:r>
      <w:r w:rsidR="004561E0" w:rsidRPr="0026511C">
        <w:rPr>
          <w:lang w:val="en-ZA"/>
        </w:rPr>
        <w:t>OBP</w:t>
      </w:r>
      <w:r w:rsidR="0026511C" w:rsidRPr="0026511C">
        <w:rPr>
          <w:lang w:val="en-ZA"/>
        </w:rPr>
        <w:t xml:space="preserve"> and ARC</w:t>
      </w:r>
      <w:r w:rsidR="00827F32">
        <w:rPr>
          <w:lang w:val="en-ZA"/>
        </w:rPr>
        <w:t xml:space="preserve">’s </w:t>
      </w:r>
      <w:r w:rsidR="0026511C" w:rsidRPr="0026511C">
        <w:rPr>
          <w:lang w:val="en-ZA"/>
        </w:rPr>
        <w:t xml:space="preserve">views on the vaccination of poultry against Avian Influenza </w:t>
      </w:r>
      <w:r w:rsidR="00827F32">
        <w:rPr>
          <w:lang w:val="en-ZA"/>
        </w:rPr>
        <w:t>(</w:t>
      </w:r>
      <w:r w:rsidR="0026511C" w:rsidRPr="0026511C">
        <w:rPr>
          <w:lang w:val="en-ZA"/>
        </w:rPr>
        <w:t>bird flu</w:t>
      </w:r>
      <w:r w:rsidR="00827F32">
        <w:rPr>
          <w:lang w:val="en-ZA"/>
        </w:rPr>
        <w:t>)</w:t>
      </w:r>
      <w:r w:rsidR="0026511C" w:rsidRPr="0026511C">
        <w:rPr>
          <w:lang w:val="en-ZA"/>
        </w:rPr>
        <w:t xml:space="preserve"> as they are the institutions that deal with the development of animal </w:t>
      </w:r>
      <w:r w:rsidR="00195C87">
        <w:rPr>
          <w:lang w:val="en-ZA"/>
        </w:rPr>
        <w:t>vaccines</w:t>
      </w:r>
      <w:r w:rsidR="0026511C" w:rsidRPr="0026511C">
        <w:rPr>
          <w:lang w:val="en-ZA"/>
        </w:rPr>
        <w:t>.</w:t>
      </w:r>
      <w:r w:rsidR="0026511C" w:rsidRPr="00F56E60">
        <w:rPr>
          <w:b/>
          <w:lang w:val="en-ZA"/>
        </w:rPr>
        <w:t xml:space="preserve"> </w:t>
      </w:r>
    </w:p>
    <w:p w14:paraId="60E9A613" w14:textId="77777777" w:rsidR="0061303F" w:rsidRPr="00F56E60" w:rsidRDefault="0061303F" w:rsidP="00211FF8">
      <w:pPr>
        <w:spacing w:line="360" w:lineRule="auto"/>
        <w:ind w:left="720"/>
        <w:jc w:val="both"/>
        <w:rPr>
          <w:b/>
          <w:lang w:val="en-ZA"/>
        </w:rPr>
      </w:pPr>
    </w:p>
    <w:p w14:paraId="7E9515F1" w14:textId="77777777" w:rsidR="007144F9" w:rsidRDefault="009C13E6" w:rsidP="003C555F">
      <w:pPr>
        <w:pStyle w:val="ListParagraph"/>
        <w:numPr>
          <w:ilvl w:val="1"/>
          <w:numId w:val="32"/>
        </w:numPr>
        <w:spacing w:line="360" w:lineRule="auto"/>
        <w:jc w:val="both"/>
        <w:rPr>
          <w:lang w:eastAsia="en-US"/>
        </w:rPr>
      </w:pPr>
      <w:r>
        <w:t xml:space="preserve">Given the numerous challenges that the agricultural sector face, up to date research and innovation cannot be </w:t>
      </w:r>
      <w:r w:rsidR="002D43FD">
        <w:t>over</w:t>
      </w:r>
      <w:r>
        <w:t>emphasised</w:t>
      </w:r>
      <w:r w:rsidR="002D43FD">
        <w:t xml:space="preserve"> </w:t>
      </w:r>
      <w:r>
        <w:t xml:space="preserve">and the Committee raised </w:t>
      </w:r>
      <w:r w:rsidR="0026511C">
        <w:t>a concern</w:t>
      </w:r>
      <w:r w:rsidR="006D290F">
        <w:t xml:space="preserve"> </w:t>
      </w:r>
      <w:r>
        <w:t xml:space="preserve">about </w:t>
      </w:r>
      <w:r w:rsidR="006D290F">
        <w:t>the impact that the ARC’s continuing budget cut (Parliamentary Grant) will have on its research activities and ability to raise external revenue</w:t>
      </w:r>
      <w:r w:rsidR="007144F9">
        <w:t xml:space="preserve">; and </w:t>
      </w:r>
      <w:r>
        <w:t xml:space="preserve">on </w:t>
      </w:r>
      <w:r w:rsidR="007144F9">
        <w:t>possible retrenchments and closure of some research facilities</w:t>
      </w:r>
      <w:r w:rsidR="006D290F">
        <w:t xml:space="preserve">. </w:t>
      </w:r>
    </w:p>
    <w:p w14:paraId="3877C619" w14:textId="77777777" w:rsidR="007144F9" w:rsidRDefault="007144F9" w:rsidP="003C555F">
      <w:pPr>
        <w:pStyle w:val="ListParagraph"/>
        <w:spacing w:line="360" w:lineRule="auto"/>
      </w:pPr>
    </w:p>
    <w:p w14:paraId="65F7772F" w14:textId="77777777" w:rsidR="006D290F" w:rsidRDefault="004F2BE8" w:rsidP="003C555F">
      <w:pPr>
        <w:pStyle w:val="ListParagraph"/>
        <w:numPr>
          <w:ilvl w:val="1"/>
          <w:numId w:val="32"/>
        </w:numPr>
        <w:spacing w:line="360" w:lineRule="auto"/>
        <w:jc w:val="both"/>
        <w:rPr>
          <w:lang w:eastAsia="en-US"/>
        </w:rPr>
      </w:pPr>
      <w:r>
        <w:t xml:space="preserve">It was </w:t>
      </w:r>
      <w:r w:rsidR="006D290F">
        <w:t xml:space="preserve">further noted that the </w:t>
      </w:r>
      <w:r w:rsidR="007144F9">
        <w:t xml:space="preserve">ARC’s </w:t>
      </w:r>
      <w:r w:rsidR="006D290F">
        <w:t xml:space="preserve">budget cut will also impact the completion of the foot-and-mouth disease (FMD) Vaccine Production Facility, which is expected to play a significant role in the prevention of FMD, a disease of </w:t>
      </w:r>
      <w:r w:rsidR="006D290F">
        <w:lastRenderedPageBreak/>
        <w:t>economic importance that severely affects livestock farmers and can cost the red meat industry billions of rands in lost export revenue.</w:t>
      </w:r>
    </w:p>
    <w:p w14:paraId="61A43890" w14:textId="77777777" w:rsidR="006D290F" w:rsidRDefault="006D290F" w:rsidP="003C555F">
      <w:pPr>
        <w:pStyle w:val="ListParagraph"/>
        <w:spacing w:line="360" w:lineRule="auto"/>
      </w:pPr>
    </w:p>
    <w:p w14:paraId="741ADB21" w14:textId="77777777" w:rsidR="00EC14D3" w:rsidRPr="00F56E60" w:rsidRDefault="009C13E6" w:rsidP="003C555F">
      <w:pPr>
        <w:pStyle w:val="ListParagraph"/>
        <w:numPr>
          <w:ilvl w:val="1"/>
          <w:numId w:val="32"/>
        </w:numPr>
        <w:spacing w:line="360" w:lineRule="auto"/>
        <w:jc w:val="both"/>
        <w:rPr>
          <w:lang w:eastAsia="en-US"/>
        </w:rPr>
      </w:pPr>
      <w:r>
        <w:t xml:space="preserve">The </w:t>
      </w:r>
      <w:r w:rsidRPr="00F56E60">
        <w:t>Perishable Products Export Control Board (PPECB)</w:t>
      </w:r>
      <w:r>
        <w:t xml:space="preserve"> was commended for its continued good work that saw a financial recovery from the losses that happened </w:t>
      </w:r>
      <w:r w:rsidR="000C00D7">
        <w:t>six</w:t>
      </w:r>
      <w:r>
        <w:t xml:space="preserve"> years ago</w:t>
      </w:r>
      <w:r w:rsidR="000924AC">
        <w:t xml:space="preserve"> notwithstanding climatic challenges that affect export volumes and therefore, t</w:t>
      </w:r>
      <w:r w:rsidR="004E087A">
        <w:t>he entity’s revenue generation.</w:t>
      </w:r>
      <w:r w:rsidR="004F2BE8">
        <w:t xml:space="preserve"> </w:t>
      </w:r>
      <w:r w:rsidR="00E91B4D" w:rsidRPr="00F56E60">
        <w:t xml:space="preserve"> </w:t>
      </w:r>
    </w:p>
    <w:p w14:paraId="455573A1" w14:textId="77777777" w:rsidR="0058573C" w:rsidRPr="00F56E60" w:rsidRDefault="0058573C" w:rsidP="003C555F">
      <w:pPr>
        <w:pStyle w:val="ListParagraph"/>
        <w:spacing w:line="360" w:lineRule="auto"/>
        <w:ind w:left="0"/>
        <w:jc w:val="both"/>
        <w:rPr>
          <w:lang w:eastAsia="en-US"/>
        </w:rPr>
      </w:pPr>
    </w:p>
    <w:p w14:paraId="7A41BE07" w14:textId="77777777" w:rsidR="00C21B5F" w:rsidRPr="00F56E60" w:rsidRDefault="0042545D" w:rsidP="003C555F">
      <w:pPr>
        <w:spacing w:line="360" w:lineRule="auto"/>
        <w:jc w:val="both"/>
        <w:rPr>
          <w:b/>
          <w:lang w:val="en-ZA"/>
        </w:rPr>
      </w:pPr>
      <w:r w:rsidRPr="00F56E60">
        <w:rPr>
          <w:b/>
          <w:lang w:val="en-ZA"/>
        </w:rPr>
        <w:t>5</w:t>
      </w:r>
      <w:r w:rsidR="00C21B5F" w:rsidRPr="00F56E60">
        <w:rPr>
          <w:b/>
          <w:lang w:val="en-ZA"/>
        </w:rPr>
        <w:t xml:space="preserve">.   </w:t>
      </w:r>
      <w:r w:rsidR="00D1678D" w:rsidRPr="00F56E60">
        <w:rPr>
          <w:b/>
          <w:lang w:val="en-ZA"/>
        </w:rPr>
        <w:t xml:space="preserve"> </w:t>
      </w:r>
      <w:r w:rsidR="00D1678D" w:rsidRPr="00F56E60">
        <w:rPr>
          <w:b/>
          <w:lang w:val="en-ZA"/>
        </w:rPr>
        <w:tab/>
      </w:r>
      <w:r w:rsidR="00C21B5F" w:rsidRPr="00F56E60">
        <w:rPr>
          <w:b/>
          <w:lang w:val="en-ZA"/>
        </w:rPr>
        <w:t>Committee Recommendations</w:t>
      </w:r>
    </w:p>
    <w:p w14:paraId="47240AE1" w14:textId="77777777" w:rsidR="00C21B5F" w:rsidRPr="00F56E60" w:rsidRDefault="00C21B5F" w:rsidP="003C555F">
      <w:pPr>
        <w:spacing w:line="360" w:lineRule="auto"/>
        <w:rPr>
          <w:lang w:val="en-ZA"/>
        </w:rPr>
      </w:pPr>
    </w:p>
    <w:p w14:paraId="4CC228CA" w14:textId="77777777" w:rsidR="00E00361" w:rsidRPr="00577028" w:rsidRDefault="0042545D" w:rsidP="003C555F">
      <w:pPr>
        <w:spacing w:line="360" w:lineRule="auto"/>
        <w:jc w:val="both"/>
      </w:pPr>
      <w:r w:rsidRPr="00F56E60">
        <w:rPr>
          <w:lang w:val="en-ZA"/>
        </w:rPr>
        <w:t xml:space="preserve">After </w:t>
      </w:r>
      <w:r w:rsidRPr="00577028">
        <w:rPr>
          <w:lang w:val="en-ZA"/>
        </w:rPr>
        <w:t xml:space="preserve">discussions and deliberations on the Department and the Entities’ </w:t>
      </w:r>
      <w:r w:rsidR="00C822F0">
        <w:rPr>
          <w:lang w:val="en-ZA"/>
        </w:rPr>
        <w:t>201</w:t>
      </w:r>
      <w:r w:rsidR="004E087A">
        <w:rPr>
          <w:lang w:val="en-ZA"/>
        </w:rPr>
        <w:t>8</w:t>
      </w:r>
      <w:r w:rsidR="00C822F0">
        <w:rPr>
          <w:lang w:val="en-ZA"/>
        </w:rPr>
        <w:t>/1</w:t>
      </w:r>
      <w:r w:rsidR="004E087A">
        <w:rPr>
          <w:lang w:val="en-ZA"/>
        </w:rPr>
        <w:t>9</w:t>
      </w:r>
      <w:r w:rsidR="00C822F0">
        <w:rPr>
          <w:lang w:val="en-ZA"/>
        </w:rPr>
        <w:t xml:space="preserve"> </w:t>
      </w:r>
      <w:r w:rsidRPr="00577028">
        <w:rPr>
          <w:lang w:val="en-ZA"/>
        </w:rPr>
        <w:t xml:space="preserve">Annual Performance Plans (APPs) and Budget Vote 24, the </w:t>
      </w:r>
      <w:r w:rsidR="00864183" w:rsidRPr="00577028">
        <w:rPr>
          <w:lang w:val="en-ZA"/>
        </w:rPr>
        <w:t xml:space="preserve">Portfolio </w:t>
      </w:r>
      <w:r w:rsidR="00235D69" w:rsidRPr="00577028">
        <w:rPr>
          <w:lang w:val="en-ZA"/>
        </w:rPr>
        <w:t>C</w:t>
      </w:r>
      <w:r w:rsidR="00864183" w:rsidRPr="00577028">
        <w:rPr>
          <w:lang w:val="en-ZA"/>
        </w:rPr>
        <w:t>ommittee on Agriculture, Forestry and Fisheries</w:t>
      </w:r>
      <w:r w:rsidR="00671005" w:rsidRPr="00577028">
        <w:rPr>
          <w:lang w:val="en-ZA"/>
        </w:rPr>
        <w:t xml:space="preserve"> </w:t>
      </w:r>
      <w:r w:rsidR="00EB4B61" w:rsidRPr="00577028">
        <w:rPr>
          <w:lang w:val="en-ZA"/>
        </w:rPr>
        <w:t>makes</w:t>
      </w:r>
      <w:r w:rsidR="00425139" w:rsidRPr="00577028">
        <w:rPr>
          <w:lang w:val="en-ZA"/>
        </w:rPr>
        <w:t xml:space="preserve"> the following</w:t>
      </w:r>
      <w:r w:rsidR="00E00361" w:rsidRPr="00577028">
        <w:rPr>
          <w:lang w:val="en-ZA"/>
        </w:rPr>
        <w:t xml:space="preserve"> </w:t>
      </w:r>
      <w:r w:rsidR="00671005" w:rsidRPr="00577028">
        <w:rPr>
          <w:lang w:val="en-ZA"/>
        </w:rPr>
        <w:t>recommend</w:t>
      </w:r>
      <w:r w:rsidR="00425139" w:rsidRPr="00577028">
        <w:rPr>
          <w:lang w:val="en-ZA"/>
        </w:rPr>
        <w:t xml:space="preserve">ations to </w:t>
      </w:r>
      <w:r w:rsidR="00E00361" w:rsidRPr="00577028">
        <w:rPr>
          <w:lang w:val="en-ZA"/>
        </w:rPr>
        <w:t xml:space="preserve">the </w:t>
      </w:r>
      <w:r w:rsidR="00E0313C">
        <w:rPr>
          <w:lang w:val="en-ZA"/>
        </w:rPr>
        <w:t xml:space="preserve">National Assembly (NA) for the attention of the </w:t>
      </w:r>
      <w:r w:rsidR="00E00361" w:rsidRPr="00577028">
        <w:rPr>
          <w:lang w:val="en-ZA"/>
        </w:rPr>
        <w:t>Minist</w:t>
      </w:r>
      <w:r w:rsidR="009B1F0A" w:rsidRPr="00577028">
        <w:rPr>
          <w:lang w:val="en-ZA"/>
        </w:rPr>
        <w:t>er</w:t>
      </w:r>
      <w:r w:rsidR="00EA4A21" w:rsidRPr="00577028">
        <w:rPr>
          <w:lang w:val="en-ZA"/>
        </w:rPr>
        <w:t xml:space="preserve"> </w:t>
      </w:r>
      <w:r w:rsidR="00E00361" w:rsidRPr="00577028">
        <w:rPr>
          <w:lang w:val="en-ZA"/>
        </w:rPr>
        <w:t>of Agriculture, Forestry and Fisheries</w:t>
      </w:r>
      <w:r w:rsidR="00AC1D89" w:rsidRPr="00577028">
        <w:rPr>
          <w:lang w:val="en-ZA"/>
        </w:rPr>
        <w:t xml:space="preserve"> regarding </w:t>
      </w:r>
      <w:r w:rsidR="00864183" w:rsidRPr="00577028">
        <w:rPr>
          <w:lang w:val="en-ZA"/>
        </w:rPr>
        <w:t xml:space="preserve">Budget </w:t>
      </w:r>
      <w:r w:rsidR="00AC1D89" w:rsidRPr="00577028">
        <w:rPr>
          <w:lang w:val="en-ZA"/>
        </w:rPr>
        <w:t>Vote 24</w:t>
      </w:r>
      <w:r w:rsidR="00425139" w:rsidRPr="00577028">
        <w:rPr>
          <w:lang w:val="en-ZA"/>
        </w:rPr>
        <w:t xml:space="preserve">: </w:t>
      </w:r>
    </w:p>
    <w:p w14:paraId="4FA3990F" w14:textId="77777777" w:rsidR="00DB0D38" w:rsidRDefault="00DB0D38" w:rsidP="003C555F">
      <w:pPr>
        <w:spacing w:line="360" w:lineRule="auto"/>
        <w:jc w:val="both"/>
        <w:rPr>
          <w:lang w:val="en-ZA"/>
        </w:rPr>
      </w:pPr>
    </w:p>
    <w:p w14:paraId="5233BFD2" w14:textId="77777777" w:rsidR="009E3500" w:rsidRDefault="009E3500" w:rsidP="003C555F">
      <w:pPr>
        <w:spacing w:line="360" w:lineRule="auto"/>
        <w:jc w:val="both"/>
        <w:rPr>
          <w:b/>
          <w:i/>
          <w:lang w:val="en-ZA"/>
        </w:rPr>
      </w:pPr>
      <w:r w:rsidRPr="009E3500">
        <w:rPr>
          <w:b/>
          <w:i/>
          <w:lang w:val="en-ZA"/>
        </w:rPr>
        <w:t>Funding related matters</w:t>
      </w:r>
      <w:r w:rsidR="003C555F">
        <w:rPr>
          <w:b/>
          <w:i/>
          <w:lang w:val="en-ZA"/>
        </w:rPr>
        <w:t xml:space="preserve"> </w:t>
      </w:r>
    </w:p>
    <w:p w14:paraId="2652C04B" w14:textId="77777777" w:rsidR="003C555F" w:rsidRPr="009E3500" w:rsidRDefault="003C555F" w:rsidP="003C555F">
      <w:pPr>
        <w:spacing w:line="360" w:lineRule="auto"/>
        <w:jc w:val="both"/>
        <w:rPr>
          <w:b/>
          <w:i/>
          <w:lang w:val="en-ZA"/>
        </w:rPr>
      </w:pPr>
    </w:p>
    <w:p w14:paraId="4FA7D164" w14:textId="77777777" w:rsidR="0054479B" w:rsidRPr="00125FBC" w:rsidRDefault="000A4BD5" w:rsidP="003C555F">
      <w:pPr>
        <w:numPr>
          <w:ilvl w:val="1"/>
          <w:numId w:val="31"/>
        </w:numPr>
        <w:spacing w:line="360" w:lineRule="auto"/>
        <w:jc w:val="both"/>
      </w:pPr>
      <w:r w:rsidRPr="00577028">
        <w:t xml:space="preserve">Ensure that </w:t>
      </w:r>
      <w:r w:rsidR="00F438F4">
        <w:t>the Minister engage</w:t>
      </w:r>
      <w:r w:rsidR="00C822F0">
        <w:t>s</w:t>
      </w:r>
      <w:r w:rsidR="00F438F4">
        <w:t xml:space="preserve"> with</w:t>
      </w:r>
      <w:r w:rsidR="00577028" w:rsidRPr="00125FBC">
        <w:rPr>
          <w:lang w:val="en-ZA"/>
        </w:rPr>
        <w:t xml:space="preserve"> the National Treasury for additional funding</w:t>
      </w:r>
      <w:r w:rsidR="00D93D98">
        <w:rPr>
          <w:lang w:val="en-ZA"/>
        </w:rPr>
        <w:t xml:space="preserve"> to address the c</w:t>
      </w:r>
      <w:r w:rsidR="004E087A">
        <w:rPr>
          <w:lang w:val="en-ZA"/>
        </w:rPr>
        <w:t>ontinuing underfunding of DAFF,</w:t>
      </w:r>
      <w:r w:rsidR="00D93D98">
        <w:rPr>
          <w:lang w:val="en-ZA"/>
        </w:rPr>
        <w:t xml:space="preserve"> </w:t>
      </w:r>
      <w:r w:rsidR="0059463D">
        <w:rPr>
          <w:lang w:val="en-ZA"/>
        </w:rPr>
        <w:t xml:space="preserve">the </w:t>
      </w:r>
      <w:r w:rsidR="00577028" w:rsidRPr="00125FBC">
        <w:rPr>
          <w:lang w:val="en-ZA"/>
        </w:rPr>
        <w:t>impact of the budget cuts to the sector, which has been identified in the NDP and the New Growth Path as one of the key sectors through which increased employment and poverty alleviation can be achieved</w:t>
      </w:r>
      <w:r w:rsidR="00D93D98">
        <w:rPr>
          <w:lang w:val="en-ZA"/>
        </w:rPr>
        <w:t>;</w:t>
      </w:r>
      <w:r w:rsidR="0059463D">
        <w:rPr>
          <w:lang w:val="en-ZA"/>
        </w:rPr>
        <w:t xml:space="preserve"> as well as</w:t>
      </w:r>
      <w:r w:rsidR="00D93D98">
        <w:rPr>
          <w:lang w:val="en-ZA"/>
        </w:rPr>
        <w:t xml:space="preserve"> the </w:t>
      </w:r>
      <w:r w:rsidR="00A33B74">
        <w:rPr>
          <w:lang w:val="en-ZA"/>
        </w:rPr>
        <w:t xml:space="preserve">limitations </w:t>
      </w:r>
      <w:r w:rsidR="0059463D">
        <w:rPr>
          <w:lang w:val="en-ZA"/>
        </w:rPr>
        <w:t xml:space="preserve">that are </w:t>
      </w:r>
      <w:r w:rsidR="00A33B74">
        <w:rPr>
          <w:lang w:val="en-ZA"/>
        </w:rPr>
        <w:t>im</w:t>
      </w:r>
      <w:r w:rsidR="0059463D">
        <w:rPr>
          <w:lang w:val="en-ZA"/>
        </w:rPr>
        <w:t>posed by underfunding on</w:t>
      </w:r>
      <w:r w:rsidR="00A33B74">
        <w:rPr>
          <w:lang w:val="en-ZA"/>
        </w:rPr>
        <w:t xml:space="preserve"> </w:t>
      </w:r>
      <w:r w:rsidR="0059463D">
        <w:rPr>
          <w:lang w:val="en-ZA"/>
        </w:rPr>
        <w:t>DAFF’s Public E</w:t>
      </w:r>
      <w:r w:rsidR="00D93D98">
        <w:rPr>
          <w:lang w:val="en-ZA"/>
        </w:rPr>
        <w:t>ntities</w:t>
      </w:r>
      <w:r w:rsidR="0059463D">
        <w:rPr>
          <w:lang w:val="en-ZA"/>
        </w:rPr>
        <w:t xml:space="preserve">. </w:t>
      </w:r>
      <w:r w:rsidR="003920CB">
        <w:rPr>
          <w:lang w:val="en-ZA"/>
        </w:rPr>
        <w:t xml:space="preserve">Report on progress on the engagements to </w:t>
      </w:r>
      <w:r w:rsidR="0059463D">
        <w:rPr>
          <w:lang w:val="en-ZA"/>
        </w:rPr>
        <w:t xml:space="preserve">Parliament </w:t>
      </w:r>
      <w:r w:rsidR="003920CB">
        <w:rPr>
          <w:lang w:val="en-ZA"/>
        </w:rPr>
        <w:t>by the end of August 201</w:t>
      </w:r>
      <w:r w:rsidR="004E087A">
        <w:rPr>
          <w:lang w:val="en-ZA"/>
        </w:rPr>
        <w:t>8</w:t>
      </w:r>
      <w:r w:rsidR="003920CB">
        <w:rPr>
          <w:lang w:val="en-ZA"/>
        </w:rPr>
        <w:t>.</w:t>
      </w:r>
    </w:p>
    <w:p w14:paraId="7418C27D" w14:textId="77777777" w:rsidR="00125FBC" w:rsidRPr="00577028" w:rsidRDefault="00125FBC" w:rsidP="003C555F">
      <w:pPr>
        <w:spacing w:line="360" w:lineRule="auto"/>
        <w:ind w:left="720"/>
        <w:jc w:val="both"/>
      </w:pPr>
    </w:p>
    <w:p w14:paraId="74EA3B74" w14:textId="77777777" w:rsidR="009E3500" w:rsidRDefault="009E3500" w:rsidP="003C555F">
      <w:pPr>
        <w:numPr>
          <w:ilvl w:val="1"/>
          <w:numId w:val="31"/>
        </w:numPr>
        <w:spacing w:line="360" w:lineRule="auto"/>
        <w:jc w:val="both"/>
        <w:rPr>
          <w:lang w:val="en-ZA"/>
        </w:rPr>
      </w:pPr>
      <w:r>
        <w:rPr>
          <w:lang w:val="en-ZA"/>
        </w:rPr>
        <w:t xml:space="preserve">DAFF </w:t>
      </w:r>
      <w:r>
        <w:t>should submit</w:t>
      </w:r>
      <w:r w:rsidR="000C00D7">
        <w:t xml:space="preserve"> to the Committee the </w:t>
      </w:r>
      <w:r w:rsidR="00F250AC">
        <w:t>applications</w:t>
      </w:r>
      <w:r w:rsidR="007137A8">
        <w:t xml:space="preserve"> that have been</w:t>
      </w:r>
      <w:r w:rsidR="000C00D7">
        <w:t xml:space="preserve"> s</w:t>
      </w:r>
      <w:r w:rsidR="007137A8">
        <w:t xml:space="preserve">ubmitted </w:t>
      </w:r>
      <w:r w:rsidR="000C00D7">
        <w:t xml:space="preserve">to the </w:t>
      </w:r>
      <w:r>
        <w:t>National Treasury</w:t>
      </w:r>
      <w:r w:rsidR="00195C87">
        <w:t xml:space="preserve">, </w:t>
      </w:r>
      <w:r w:rsidR="007137A8">
        <w:t xml:space="preserve">motivating for </w:t>
      </w:r>
      <w:r>
        <w:t xml:space="preserve">additional funding for the ARC to ensure timeous completion of the FMD Facility and other research activities that are responsive to inter alia climate change, disease outbreaks, food security and sector </w:t>
      </w:r>
      <w:r>
        <w:lastRenderedPageBreak/>
        <w:t>competitiveness as well as promotion of indigenous knowledge. D</w:t>
      </w:r>
      <w:r>
        <w:rPr>
          <w:lang w:val="en-ZA"/>
        </w:rPr>
        <w:t xml:space="preserve">AFF should </w:t>
      </w:r>
      <w:r w:rsidR="007137A8">
        <w:rPr>
          <w:lang w:val="en-ZA"/>
        </w:rPr>
        <w:t xml:space="preserve">submit the documents to Parliament before the end of </w:t>
      </w:r>
      <w:r w:rsidR="00C63978">
        <w:rPr>
          <w:lang w:val="en-ZA"/>
        </w:rPr>
        <w:t>June</w:t>
      </w:r>
      <w:r w:rsidR="007137A8">
        <w:rPr>
          <w:lang w:val="en-ZA"/>
        </w:rPr>
        <w:t xml:space="preserve"> </w:t>
      </w:r>
      <w:r>
        <w:rPr>
          <w:lang w:val="en-ZA"/>
        </w:rPr>
        <w:t>201</w:t>
      </w:r>
      <w:r w:rsidR="004E087A">
        <w:rPr>
          <w:lang w:val="en-ZA"/>
        </w:rPr>
        <w:t>8</w:t>
      </w:r>
      <w:r>
        <w:rPr>
          <w:lang w:val="en-ZA"/>
        </w:rPr>
        <w:t xml:space="preserve">. </w:t>
      </w:r>
    </w:p>
    <w:p w14:paraId="58F7CFB1" w14:textId="77777777" w:rsidR="00464BD7" w:rsidRDefault="00464BD7" w:rsidP="003C555F">
      <w:pPr>
        <w:pStyle w:val="ListParagraph"/>
        <w:spacing w:line="360" w:lineRule="auto"/>
      </w:pPr>
    </w:p>
    <w:p w14:paraId="35E7B190" w14:textId="77777777" w:rsidR="00464BD7" w:rsidRPr="00F56E60" w:rsidRDefault="00464BD7" w:rsidP="003C555F">
      <w:pPr>
        <w:numPr>
          <w:ilvl w:val="1"/>
          <w:numId w:val="31"/>
        </w:numPr>
        <w:spacing w:line="360" w:lineRule="auto"/>
        <w:jc w:val="both"/>
      </w:pPr>
      <w:r>
        <w:rPr>
          <w:lang w:val="en-ZA"/>
        </w:rPr>
        <w:t xml:space="preserve">Strengthen intergovernmental relations for aligned activities between DAFF, </w:t>
      </w:r>
      <w:r w:rsidRPr="00F56E60">
        <w:rPr>
          <w:lang w:val="en-ZA"/>
        </w:rPr>
        <w:t xml:space="preserve">provinces and other departments such as the </w:t>
      </w:r>
      <w:r>
        <w:rPr>
          <w:lang w:val="en-ZA"/>
        </w:rPr>
        <w:t xml:space="preserve">DRDLR, </w:t>
      </w:r>
      <w:r w:rsidRPr="00F56E60">
        <w:t>Department</w:t>
      </w:r>
      <w:r>
        <w:t xml:space="preserve"> of Trade and Industry (the dti), the Department of Small Business Development (DSBD) and the Department of Water and Sanitation (DWS) </w:t>
      </w:r>
      <w:r w:rsidRPr="00F56E60">
        <w:rPr>
          <w:lang w:val="en-ZA"/>
        </w:rPr>
        <w:t>to</w:t>
      </w:r>
      <w:r>
        <w:rPr>
          <w:lang w:val="en-ZA"/>
        </w:rPr>
        <w:t xml:space="preserve"> ensure containment of costs, avoid duplication of activities and to maximise service delivery. </w:t>
      </w:r>
      <w:r w:rsidRPr="00F56E60">
        <w:rPr>
          <w:lang w:val="en-ZA"/>
        </w:rPr>
        <w:t>In this regard, t</w:t>
      </w:r>
      <w:r w:rsidRPr="00F56E60">
        <w:t xml:space="preserve">he Minister should </w:t>
      </w:r>
      <w:r>
        <w:t xml:space="preserve">continue engagements with the relevant Ministries including the National Treasury while </w:t>
      </w:r>
      <w:r w:rsidRPr="00F56E60">
        <w:t>ensur</w:t>
      </w:r>
      <w:r>
        <w:t>ing</w:t>
      </w:r>
      <w:r w:rsidRPr="00F56E60">
        <w:t xml:space="preserve"> that the </w:t>
      </w:r>
      <w:r w:rsidRPr="004D7AB8">
        <w:t xml:space="preserve">Integrated </w:t>
      </w:r>
      <w:r w:rsidRPr="00C95B3A">
        <w:t>Agricultural Development Finance Policy</w:t>
      </w:r>
      <w:r w:rsidRPr="004D7AB8">
        <w:rPr>
          <w:b/>
        </w:rPr>
        <w:t xml:space="preserve"> </w:t>
      </w:r>
      <w:r>
        <w:t xml:space="preserve">that aims to consolidate agricultural development funding into one comprehensive fund, </w:t>
      </w:r>
      <w:r w:rsidRPr="00F56E60">
        <w:t>is finalised</w:t>
      </w:r>
      <w:r>
        <w:t>.  A</w:t>
      </w:r>
      <w:r w:rsidRPr="00F56E60">
        <w:t xml:space="preserve"> detailed </w:t>
      </w:r>
      <w:r>
        <w:t xml:space="preserve">progress </w:t>
      </w:r>
      <w:r w:rsidRPr="00F56E60">
        <w:t xml:space="preserve">report </w:t>
      </w:r>
      <w:r>
        <w:t xml:space="preserve">in this regard should be </w:t>
      </w:r>
      <w:r w:rsidRPr="00F56E60">
        <w:t>submitted and presented to joint</w:t>
      </w:r>
      <w:r>
        <w:t xml:space="preserve"> Parliamentary</w:t>
      </w:r>
      <w:r w:rsidRPr="00F56E60">
        <w:t xml:space="preserve"> Committees by </w:t>
      </w:r>
      <w:r>
        <w:t xml:space="preserve">the end of September </w:t>
      </w:r>
      <w:r w:rsidRPr="00F56E60">
        <w:t>201</w:t>
      </w:r>
      <w:r w:rsidR="004E087A">
        <w:t>8</w:t>
      </w:r>
      <w:r w:rsidRPr="00F56E60">
        <w:t xml:space="preserve">. </w:t>
      </w:r>
    </w:p>
    <w:p w14:paraId="1493A93F" w14:textId="77777777" w:rsidR="009E3500" w:rsidRDefault="009E3500" w:rsidP="003C555F">
      <w:pPr>
        <w:spacing w:line="360" w:lineRule="auto"/>
        <w:ind w:left="360"/>
      </w:pPr>
    </w:p>
    <w:p w14:paraId="7FD097BF" w14:textId="77777777" w:rsidR="00E359DF" w:rsidRDefault="00464BD7" w:rsidP="003C555F">
      <w:pPr>
        <w:spacing w:line="360" w:lineRule="auto"/>
        <w:ind w:left="360"/>
        <w:rPr>
          <w:b/>
          <w:i/>
        </w:rPr>
      </w:pPr>
      <w:r w:rsidRPr="00464BD7">
        <w:rPr>
          <w:b/>
          <w:i/>
        </w:rPr>
        <w:t>Performance and operational matters</w:t>
      </w:r>
    </w:p>
    <w:p w14:paraId="005A6DA1" w14:textId="77777777" w:rsidR="00464BD7" w:rsidRDefault="003C555F" w:rsidP="003C555F">
      <w:pPr>
        <w:spacing w:line="360" w:lineRule="auto"/>
        <w:ind w:left="360"/>
        <w:rPr>
          <w:b/>
          <w:i/>
        </w:rPr>
      </w:pPr>
      <w:r>
        <w:rPr>
          <w:b/>
          <w:i/>
        </w:rPr>
        <w:t xml:space="preserve"> </w:t>
      </w:r>
    </w:p>
    <w:p w14:paraId="282C7B0D" w14:textId="77777777" w:rsidR="003920CB" w:rsidRDefault="00676F71" w:rsidP="003C555F">
      <w:pPr>
        <w:numPr>
          <w:ilvl w:val="1"/>
          <w:numId w:val="31"/>
        </w:numPr>
        <w:spacing w:line="360" w:lineRule="auto"/>
        <w:jc w:val="both"/>
      </w:pPr>
      <w:r w:rsidRPr="00577028">
        <w:t xml:space="preserve">Ensure that </w:t>
      </w:r>
      <w:r w:rsidR="00D65BDA">
        <w:t xml:space="preserve">the </w:t>
      </w:r>
      <w:r w:rsidR="004E087A">
        <w:t xml:space="preserve">ARC and OBP </w:t>
      </w:r>
      <w:r w:rsidR="00D65BDA">
        <w:t xml:space="preserve">submit </w:t>
      </w:r>
      <w:r w:rsidR="00B63980">
        <w:t xml:space="preserve">to the Committee </w:t>
      </w:r>
      <w:r w:rsidR="00D65BDA">
        <w:t xml:space="preserve">a </w:t>
      </w:r>
      <w:r w:rsidR="00B63980">
        <w:t>research</w:t>
      </w:r>
      <w:r w:rsidR="00D65BDA">
        <w:t xml:space="preserve">-based </w:t>
      </w:r>
      <w:r w:rsidR="00B63980">
        <w:t>analysis</w:t>
      </w:r>
      <w:r w:rsidR="00D65BDA">
        <w:t xml:space="preserve"> and opinions</w:t>
      </w:r>
      <w:r w:rsidR="00B63980">
        <w:t xml:space="preserve"> on the vaccination of poultry against Avian Influenza</w:t>
      </w:r>
      <w:r w:rsidR="00D65BDA">
        <w:t xml:space="preserve">. The </w:t>
      </w:r>
      <w:r w:rsidR="003920CB">
        <w:t>report</w:t>
      </w:r>
      <w:r w:rsidR="003920CB" w:rsidRPr="00F56E60">
        <w:t xml:space="preserve"> in this regard should be </w:t>
      </w:r>
      <w:r w:rsidR="003920CB">
        <w:t xml:space="preserve">submitted to Parliament </w:t>
      </w:r>
      <w:r w:rsidR="003920CB" w:rsidRPr="00F56E60">
        <w:t xml:space="preserve">by the end of </w:t>
      </w:r>
      <w:r w:rsidR="00C14D4A">
        <w:t>October</w:t>
      </w:r>
      <w:r w:rsidR="003920CB">
        <w:t xml:space="preserve"> 201</w:t>
      </w:r>
      <w:r w:rsidR="00B63980">
        <w:t>8</w:t>
      </w:r>
      <w:r w:rsidR="003920CB">
        <w:t xml:space="preserve">. </w:t>
      </w:r>
    </w:p>
    <w:p w14:paraId="4D797917" w14:textId="77777777" w:rsidR="003920CB" w:rsidRDefault="003920CB" w:rsidP="003C555F">
      <w:pPr>
        <w:pStyle w:val="ListParagraph"/>
        <w:spacing w:line="360" w:lineRule="auto"/>
      </w:pPr>
    </w:p>
    <w:p w14:paraId="482747A3" w14:textId="77777777" w:rsidR="00D346FF" w:rsidRPr="00F56E60" w:rsidRDefault="00B8243F" w:rsidP="003C555F">
      <w:pPr>
        <w:numPr>
          <w:ilvl w:val="1"/>
          <w:numId w:val="31"/>
        </w:numPr>
        <w:spacing w:line="360" w:lineRule="auto"/>
        <w:jc w:val="both"/>
      </w:pPr>
      <w:r>
        <w:t>Develop an Action Plan to fast-track policy development and legislative review</w:t>
      </w:r>
      <w:r w:rsidR="001868B8">
        <w:t xml:space="preserve"> as these have negative impact on the pace at which DAFF execute its mandate. </w:t>
      </w:r>
      <w:r>
        <w:t xml:space="preserve">Submit </w:t>
      </w:r>
      <w:r w:rsidR="00195C87">
        <w:t xml:space="preserve">the Plan </w:t>
      </w:r>
      <w:r>
        <w:t>and updated</w:t>
      </w:r>
      <w:r w:rsidR="001868B8">
        <w:t xml:space="preserve"> and detailed </w:t>
      </w:r>
      <w:r>
        <w:t>Policy and Legislative Programme</w:t>
      </w:r>
      <w:r w:rsidR="00BC1424">
        <w:t>s</w:t>
      </w:r>
      <w:r>
        <w:t xml:space="preserve"> of the Department with </w:t>
      </w:r>
      <w:r w:rsidR="00032007">
        <w:t xml:space="preserve">timeframes </w:t>
      </w:r>
      <w:r w:rsidR="001868B8">
        <w:t xml:space="preserve">by the end of </w:t>
      </w:r>
      <w:r w:rsidR="00D65BDA">
        <w:t>August</w:t>
      </w:r>
      <w:r w:rsidR="00BC1424">
        <w:t xml:space="preserve"> </w:t>
      </w:r>
      <w:r w:rsidR="001868B8">
        <w:t>201</w:t>
      </w:r>
      <w:r w:rsidR="00B63980">
        <w:t>8</w:t>
      </w:r>
      <w:r w:rsidR="001868B8">
        <w:t>.</w:t>
      </w:r>
      <w:r>
        <w:t xml:space="preserve"> </w:t>
      </w:r>
    </w:p>
    <w:p w14:paraId="25F421B7" w14:textId="77777777" w:rsidR="00934C1D" w:rsidRPr="00F56E60" w:rsidRDefault="00934C1D" w:rsidP="003C555F">
      <w:pPr>
        <w:spacing w:line="360" w:lineRule="auto"/>
        <w:ind w:left="720"/>
        <w:jc w:val="both"/>
      </w:pPr>
    </w:p>
    <w:p w14:paraId="21BE39BB" w14:textId="77777777" w:rsidR="00235D69" w:rsidRPr="00F56E60" w:rsidRDefault="00D65BDA" w:rsidP="003C555F">
      <w:pPr>
        <w:numPr>
          <w:ilvl w:val="1"/>
          <w:numId w:val="31"/>
        </w:numPr>
        <w:spacing w:line="360" w:lineRule="auto"/>
        <w:jc w:val="both"/>
      </w:pPr>
      <w:r>
        <w:t>A</w:t>
      </w:r>
      <w:r w:rsidR="001B680F" w:rsidRPr="00F56E60">
        <w:t xml:space="preserve"> d</w:t>
      </w:r>
      <w:r w:rsidR="00235D69" w:rsidRPr="00F56E60">
        <w:t xml:space="preserve">etailed </w:t>
      </w:r>
      <w:r w:rsidR="007B3545">
        <w:t>Action Plan with timeframes s</w:t>
      </w:r>
      <w:r w:rsidR="001B680F" w:rsidRPr="00F56E60">
        <w:t xml:space="preserve">hould be submitted to </w:t>
      </w:r>
      <w:r w:rsidR="00B8243F">
        <w:t>Parliament</w:t>
      </w:r>
      <w:r w:rsidR="001B680F" w:rsidRPr="00F56E60">
        <w:t xml:space="preserve"> </w:t>
      </w:r>
      <w:r w:rsidR="00235D69" w:rsidRPr="00F56E60">
        <w:t xml:space="preserve">on how </w:t>
      </w:r>
      <w:r w:rsidR="001B680F" w:rsidRPr="00F56E60">
        <w:t>DAFF</w:t>
      </w:r>
      <w:r w:rsidR="00235D69" w:rsidRPr="00F56E60">
        <w:t xml:space="preserve"> plans to monitor the use of conditional grants in provinces</w:t>
      </w:r>
      <w:r w:rsidR="00516CC5" w:rsidRPr="00F56E60">
        <w:t xml:space="preserve">, also indicating shortfalls in areas where </w:t>
      </w:r>
      <w:r w:rsidR="00431326">
        <w:t xml:space="preserve">these grants </w:t>
      </w:r>
      <w:r w:rsidR="00516CC5" w:rsidRPr="00F56E60">
        <w:t xml:space="preserve">will be redirected to </w:t>
      </w:r>
      <w:r w:rsidR="00431326">
        <w:t xml:space="preserve">other </w:t>
      </w:r>
      <w:r w:rsidR="00C14D4A">
        <w:t xml:space="preserve">programmes and/or </w:t>
      </w:r>
      <w:r w:rsidR="00431326">
        <w:t xml:space="preserve">services such as </w:t>
      </w:r>
      <w:r w:rsidR="00516CC5" w:rsidRPr="00F56E60">
        <w:t>Fetsa Tlala</w:t>
      </w:r>
      <w:r w:rsidR="00C53D1A">
        <w:t xml:space="preserve">, </w:t>
      </w:r>
      <w:r w:rsidR="00F877CF">
        <w:t>drought relief</w:t>
      </w:r>
      <w:r w:rsidR="00C53D1A">
        <w:t xml:space="preserve"> and Operation </w:t>
      </w:r>
      <w:r w:rsidR="00C53D1A">
        <w:lastRenderedPageBreak/>
        <w:t>Phakisa</w:t>
      </w:r>
      <w:r w:rsidR="00AE7F71" w:rsidRPr="00F56E60">
        <w:t xml:space="preserve">. </w:t>
      </w:r>
      <w:r w:rsidR="00710A7C">
        <w:t xml:space="preserve">The </w:t>
      </w:r>
      <w:r w:rsidR="00195C87">
        <w:t>Action Plan</w:t>
      </w:r>
      <w:r w:rsidR="00AE7F71" w:rsidRPr="00F56E60">
        <w:t xml:space="preserve"> </w:t>
      </w:r>
      <w:r w:rsidR="00710A7C">
        <w:t xml:space="preserve">should </w:t>
      </w:r>
      <w:r w:rsidR="000C1A61">
        <w:t xml:space="preserve">be submitted to Parliament </w:t>
      </w:r>
      <w:r w:rsidR="00934C1D" w:rsidRPr="00F56E60">
        <w:t xml:space="preserve">by the end of </w:t>
      </w:r>
      <w:r w:rsidR="007B3545">
        <w:t>August</w:t>
      </w:r>
      <w:r w:rsidR="00934C1D" w:rsidRPr="00F56E60">
        <w:t xml:space="preserve"> 201</w:t>
      </w:r>
      <w:r w:rsidR="00B63980">
        <w:t>8</w:t>
      </w:r>
      <w:r w:rsidR="00235D69" w:rsidRPr="00F56E60">
        <w:t xml:space="preserve">. </w:t>
      </w:r>
    </w:p>
    <w:p w14:paraId="19B98304" w14:textId="77777777" w:rsidR="00695E8A" w:rsidRDefault="00695E8A" w:rsidP="003C555F">
      <w:pPr>
        <w:pStyle w:val="ListParagraph"/>
        <w:spacing w:line="360" w:lineRule="auto"/>
      </w:pPr>
    </w:p>
    <w:p w14:paraId="7CE40040" w14:textId="77777777" w:rsidR="00695E8A" w:rsidRPr="009B1879" w:rsidRDefault="0019579E" w:rsidP="005545E6">
      <w:pPr>
        <w:numPr>
          <w:ilvl w:val="1"/>
          <w:numId w:val="31"/>
        </w:numPr>
        <w:spacing w:line="360" w:lineRule="auto"/>
        <w:jc w:val="both"/>
        <w:rPr>
          <w:lang w:val="en-ZA"/>
        </w:rPr>
      </w:pPr>
      <w:r>
        <w:rPr>
          <w:lang w:val="en-ZA"/>
        </w:rPr>
        <w:t xml:space="preserve">Engage the Department of </w:t>
      </w:r>
      <w:r w:rsidRPr="00F56E60">
        <w:t>Rural Development and Land Reform (DRDLR)</w:t>
      </w:r>
      <w:r>
        <w:t xml:space="preserve"> to develop an Implementation Plan for Agri-Parks and Operation Phakisa for Agriculture, Rural Development and Land Reform and other overlapping mandates between the two Departments. </w:t>
      </w:r>
      <w:r w:rsidR="00C900A1">
        <w:t xml:space="preserve">A </w:t>
      </w:r>
      <w:r w:rsidR="00664FF3">
        <w:t>r</w:t>
      </w:r>
      <w:r>
        <w:t xml:space="preserve">eport </w:t>
      </w:r>
      <w:r w:rsidR="00A5179D">
        <w:t>on progress</w:t>
      </w:r>
      <w:r w:rsidR="00C900A1">
        <w:t>, highlighting commitments and each Department’s responsibilities</w:t>
      </w:r>
      <w:r w:rsidR="00B63980">
        <w:t xml:space="preserve">, </w:t>
      </w:r>
      <w:r w:rsidR="00C900A1">
        <w:t xml:space="preserve">should be submitted </w:t>
      </w:r>
      <w:r>
        <w:t xml:space="preserve">to Parliament </w:t>
      </w:r>
      <w:r w:rsidR="00B63980">
        <w:t>by the end</w:t>
      </w:r>
      <w:r w:rsidR="00D65BDA">
        <w:t xml:space="preserve"> of</w:t>
      </w:r>
      <w:r w:rsidR="00B63980">
        <w:t xml:space="preserve"> August</w:t>
      </w:r>
      <w:r w:rsidR="00A5179D">
        <w:t xml:space="preserve"> 201</w:t>
      </w:r>
      <w:r w:rsidR="00B63980">
        <w:t>8</w:t>
      </w:r>
      <w:r w:rsidR="00A5179D">
        <w:t xml:space="preserve">. </w:t>
      </w:r>
    </w:p>
    <w:p w14:paraId="51EA823F" w14:textId="77777777" w:rsidR="00A5179D" w:rsidRDefault="00A5179D" w:rsidP="005545E6">
      <w:pPr>
        <w:pStyle w:val="ListParagraph"/>
        <w:spacing w:line="360" w:lineRule="auto"/>
      </w:pPr>
    </w:p>
    <w:p w14:paraId="2C93936A" w14:textId="77777777" w:rsidR="008C6BC1" w:rsidRDefault="00C157E3" w:rsidP="005545E6">
      <w:pPr>
        <w:numPr>
          <w:ilvl w:val="1"/>
          <w:numId w:val="31"/>
        </w:numPr>
        <w:spacing w:line="360" w:lineRule="auto"/>
        <w:jc w:val="both"/>
        <w:rPr>
          <w:lang w:val="en-ZA"/>
        </w:rPr>
      </w:pPr>
      <w:r>
        <w:rPr>
          <w:lang w:val="en-ZA"/>
        </w:rPr>
        <w:t>Develop a</w:t>
      </w:r>
      <w:r w:rsidR="00077D93">
        <w:rPr>
          <w:lang w:val="en-ZA"/>
        </w:rPr>
        <w:t xml:space="preserve"> Policy</w:t>
      </w:r>
      <w:r>
        <w:rPr>
          <w:lang w:val="en-ZA"/>
        </w:rPr>
        <w:t xml:space="preserve"> Framework with an Action Plan </w:t>
      </w:r>
      <w:r w:rsidR="00077D93">
        <w:rPr>
          <w:lang w:val="en-ZA"/>
        </w:rPr>
        <w:t xml:space="preserve">on </w:t>
      </w:r>
      <w:r w:rsidR="00032007">
        <w:rPr>
          <w:lang w:val="en-ZA"/>
        </w:rPr>
        <w:t xml:space="preserve">the commercialisation of </w:t>
      </w:r>
      <w:r>
        <w:rPr>
          <w:lang w:val="en-ZA"/>
        </w:rPr>
        <w:t>black farmers</w:t>
      </w:r>
      <w:r w:rsidR="00077D93">
        <w:rPr>
          <w:lang w:val="en-ZA"/>
        </w:rPr>
        <w:t xml:space="preserve"> and submit to Parliament by the end of August 2018.</w:t>
      </w:r>
    </w:p>
    <w:p w14:paraId="348B0BE5" w14:textId="77777777" w:rsidR="008C6BC1" w:rsidRDefault="008C6BC1" w:rsidP="005545E6">
      <w:pPr>
        <w:pStyle w:val="ListParagraph"/>
        <w:spacing w:line="360" w:lineRule="auto"/>
      </w:pPr>
    </w:p>
    <w:p w14:paraId="5554277B" w14:textId="77777777" w:rsidR="00DF3C12" w:rsidRDefault="00032007" w:rsidP="005545E6">
      <w:pPr>
        <w:numPr>
          <w:ilvl w:val="1"/>
          <w:numId w:val="31"/>
        </w:numPr>
        <w:spacing w:line="360" w:lineRule="auto"/>
        <w:jc w:val="both"/>
        <w:rPr>
          <w:lang w:val="en-ZA"/>
        </w:rPr>
      </w:pPr>
      <w:r>
        <w:rPr>
          <w:lang w:val="en-ZA"/>
        </w:rPr>
        <w:t xml:space="preserve"> </w:t>
      </w:r>
      <w:r w:rsidR="00077D93">
        <w:rPr>
          <w:lang w:val="en-ZA"/>
        </w:rPr>
        <w:t xml:space="preserve">Develop </w:t>
      </w:r>
      <w:r>
        <w:rPr>
          <w:lang w:val="en-ZA"/>
        </w:rPr>
        <w:t xml:space="preserve">a </w:t>
      </w:r>
      <w:r w:rsidR="00F15CAD">
        <w:rPr>
          <w:lang w:val="en-ZA"/>
        </w:rPr>
        <w:t xml:space="preserve">Strategy with an Action Plan </w:t>
      </w:r>
      <w:r w:rsidR="00077D93">
        <w:rPr>
          <w:lang w:val="en-ZA"/>
        </w:rPr>
        <w:t xml:space="preserve">to </w:t>
      </w:r>
      <w:r w:rsidR="00F15CAD">
        <w:rPr>
          <w:lang w:val="en-ZA"/>
        </w:rPr>
        <w:t>mitigate the impact of disease outbreaks in the sector</w:t>
      </w:r>
      <w:r w:rsidR="005C4026">
        <w:rPr>
          <w:lang w:val="en-ZA"/>
        </w:rPr>
        <w:t xml:space="preserve"> including s</w:t>
      </w:r>
      <w:r w:rsidR="00077D93">
        <w:rPr>
          <w:lang w:val="en-ZA"/>
        </w:rPr>
        <w:t xml:space="preserve">ubsequent </w:t>
      </w:r>
      <w:r>
        <w:rPr>
          <w:lang w:val="en-ZA"/>
        </w:rPr>
        <w:t>job losses</w:t>
      </w:r>
      <w:r w:rsidR="002600CE">
        <w:rPr>
          <w:lang w:val="en-ZA"/>
        </w:rPr>
        <w:t xml:space="preserve">, to strengthen disease management and to </w:t>
      </w:r>
      <w:r w:rsidR="00F540AF">
        <w:rPr>
          <w:lang w:val="en-ZA"/>
        </w:rPr>
        <w:t>revolutionise</w:t>
      </w:r>
      <w:r w:rsidR="002600CE">
        <w:rPr>
          <w:lang w:val="en-ZA"/>
        </w:rPr>
        <w:t xml:space="preserve"> veterinary services</w:t>
      </w:r>
      <w:r>
        <w:rPr>
          <w:lang w:val="en-ZA"/>
        </w:rPr>
        <w:t xml:space="preserve">. Submit </w:t>
      </w:r>
      <w:r w:rsidR="00077D93">
        <w:rPr>
          <w:lang w:val="en-ZA"/>
        </w:rPr>
        <w:t xml:space="preserve">the </w:t>
      </w:r>
      <w:r w:rsidR="005C4026">
        <w:rPr>
          <w:lang w:val="en-ZA"/>
        </w:rPr>
        <w:t xml:space="preserve">Strategy and Action </w:t>
      </w:r>
      <w:r>
        <w:rPr>
          <w:lang w:val="en-ZA"/>
        </w:rPr>
        <w:t>Plan to Parliament by the end of August 201</w:t>
      </w:r>
      <w:r w:rsidR="00DF3C12">
        <w:rPr>
          <w:lang w:val="en-ZA"/>
        </w:rPr>
        <w:t>8</w:t>
      </w:r>
      <w:r>
        <w:rPr>
          <w:lang w:val="en-ZA"/>
        </w:rPr>
        <w:t>.</w:t>
      </w:r>
      <w:r w:rsidR="008C6BC1">
        <w:rPr>
          <w:lang w:val="en-ZA"/>
        </w:rPr>
        <w:t xml:space="preserve"> </w:t>
      </w:r>
      <w:r w:rsidR="002C41CB">
        <w:rPr>
          <w:lang w:val="en-ZA"/>
        </w:rPr>
        <w:t xml:space="preserve"> </w:t>
      </w:r>
    </w:p>
    <w:p w14:paraId="187B8AFA" w14:textId="77777777" w:rsidR="00DF3C12" w:rsidRDefault="00DF3C12" w:rsidP="005545E6">
      <w:pPr>
        <w:pStyle w:val="ListParagraph"/>
        <w:spacing w:line="360" w:lineRule="auto"/>
      </w:pPr>
    </w:p>
    <w:p w14:paraId="568F64DF" w14:textId="77777777" w:rsidR="00984B1A" w:rsidRDefault="00984B1A" w:rsidP="005545E6">
      <w:pPr>
        <w:pStyle w:val="ListParagraph"/>
        <w:numPr>
          <w:ilvl w:val="1"/>
          <w:numId w:val="31"/>
        </w:numPr>
        <w:spacing w:line="360" w:lineRule="auto"/>
        <w:jc w:val="both"/>
      </w:pPr>
      <w:r>
        <w:t>Develop a Policy for the empowerment of women, youth and people with disabilities to ensure their full participation in the agriculture, forestry and fisheries value chains. The Policy should be linked with the performance agreements of senior managers</w:t>
      </w:r>
      <w:r w:rsidR="00645B21">
        <w:t xml:space="preserve"> in the Department</w:t>
      </w:r>
      <w:r>
        <w:t xml:space="preserve"> and </w:t>
      </w:r>
      <w:r w:rsidR="00645B21">
        <w:t xml:space="preserve">a </w:t>
      </w:r>
      <w:r>
        <w:t>progress</w:t>
      </w:r>
      <w:r w:rsidR="00645B21">
        <w:t xml:space="preserve"> report</w:t>
      </w:r>
      <w:r>
        <w:t xml:space="preserve"> on its development should be </w:t>
      </w:r>
      <w:r w:rsidR="00645B21">
        <w:t>submitted to Parliament by the end of August 2018.</w:t>
      </w:r>
    </w:p>
    <w:p w14:paraId="561DA6DC" w14:textId="77777777" w:rsidR="00984B1A" w:rsidRDefault="00984B1A" w:rsidP="00984B1A">
      <w:pPr>
        <w:pStyle w:val="ListParagraph"/>
      </w:pPr>
    </w:p>
    <w:p w14:paraId="4A973CAF" w14:textId="77777777" w:rsidR="001F3B68" w:rsidRDefault="001F3B68" w:rsidP="005545E6">
      <w:pPr>
        <w:pStyle w:val="ListParagraph"/>
        <w:numPr>
          <w:ilvl w:val="1"/>
          <w:numId w:val="31"/>
        </w:numPr>
        <w:spacing w:line="360" w:lineRule="auto"/>
        <w:jc w:val="both"/>
      </w:pPr>
      <w:r>
        <w:t xml:space="preserve">DAFF should priorities the processing and tabling of the </w:t>
      </w:r>
      <w:r w:rsidRPr="00EE433D">
        <w:t>Preservation</w:t>
      </w:r>
      <w:r>
        <w:t xml:space="preserve"> and Development </w:t>
      </w:r>
      <w:r w:rsidRPr="00F56E60">
        <w:t>of Agricultural Land Framework (PDALF) Bill</w:t>
      </w:r>
      <w:r>
        <w:t xml:space="preserve"> by the end of the 2019/20 financial year.</w:t>
      </w:r>
    </w:p>
    <w:p w14:paraId="26FFDB98" w14:textId="77777777" w:rsidR="001F3B68" w:rsidRDefault="001F3B68" w:rsidP="005545E6">
      <w:pPr>
        <w:pStyle w:val="ListParagraph"/>
        <w:spacing w:line="360" w:lineRule="auto"/>
      </w:pPr>
    </w:p>
    <w:p w14:paraId="40981DC7" w14:textId="77777777" w:rsidR="001F3B68" w:rsidRDefault="001F3B68" w:rsidP="00BB2195">
      <w:pPr>
        <w:pStyle w:val="ListParagraph"/>
        <w:numPr>
          <w:ilvl w:val="1"/>
          <w:numId w:val="31"/>
        </w:numPr>
        <w:spacing w:line="360" w:lineRule="auto"/>
        <w:jc w:val="both"/>
      </w:pPr>
      <w:r w:rsidRPr="00DF3C12">
        <w:t>Submit to Parliament a progress report on transformation activities and their</w:t>
      </w:r>
      <w:r w:rsidR="002600CE">
        <w:t xml:space="preserve"> </w:t>
      </w:r>
      <w:r>
        <w:t>i</w:t>
      </w:r>
      <w:r w:rsidRPr="00DF3C12">
        <w:t>mpact in all three sectors including how the Department is addressing slow progress</w:t>
      </w:r>
      <w:r w:rsidR="002600CE">
        <w:t xml:space="preserve"> in all sectors; as well as delays in the development of the Fisheries </w:t>
      </w:r>
      <w:r w:rsidR="002600CE">
        <w:lastRenderedPageBreak/>
        <w:t>Sector Transformation Charter and the finalisation of the process to appoint the Fishing Transformation Council</w:t>
      </w:r>
      <w:r w:rsidRPr="00DF3C12">
        <w:t xml:space="preserve">. Progress report should be </w:t>
      </w:r>
      <w:r>
        <w:t>submitted</w:t>
      </w:r>
      <w:r w:rsidR="002600CE">
        <w:t xml:space="preserve"> </w:t>
      </w:r>
      <w:r w:rsidRPr="00DF3C12">
        <w:t>by the end of August 2018</w:t>
      </w:r>
      <w:r>
        <w:t>.</w:t>
      </w:r>
    </w:p>
    <w:p w14:paraId="26BB20AE" w14:textId="77777777" w:rsidR="001F3B68" w:rsidRDefault="001F3B68" w:rsidP="005545E6">
      <w:pPr>
        <w:pStyle w:val="ListParagraph"/>
        <w:spacing w:line="360" w:lineRule="auto"/>
      </w:pPr>
    </w:p>
    <w:p w14:paraId="73E16E54" w14:textId="77777777" w:rsidR="00984B1A" w:rsidRDefault="001F3B68" w:rsidP="005545E6">
      <w:pPr>
        <w:pStyle w:val="ListParagraph"/>
        <w:numPr>
          <w:ilvl w:val="1"/>
          <w:numId w:val="31"/>
        </w:numPr>
        <w:spacing w:line="360" w:lineRule="auto"/>
        <w:jc w:val="both"/>
      </w:pPr>
      <w:r>
        <w:t xml:space="preserve">Submit and present to the Committee the reviewed full Organogram of the Department inclusive of all personnel levels and indicating filled, abolished and vacant positions to show its alignment with the Department’s mandate and strategic goals, by the end of June 2018.  </w:t>
      </w:r>
      <w:r>
        <w:tab/>
      </w:r>
    </w:p>
    <w:p w14:paraId="2A52726B" w14:textId="77777777" w:rsidR="00984B1A" w:rsidRDefault="00984B1A" w:rsidP="00984B1A">
      <w:pPr>
        <w:pStyle w:val="ListParagraph"/>
      </w:pPr>
    </w:p>
    <w:p w14:paraId="37FC4DE9" w14:textId="77777777" w:rsidR="00645B21" w:rsidRDefault="003F77E3" w:rsidP="005545E6">
      <w:pPr>
        <w:pStyle w:val="ListParagraph"/>
        <w:numPr>
          <w:ilvl w:val="1"/>
          <w:numId w:val="31"/>
        </w:numPr>
        <w:spacing w:line="360" w:lineRule="auto"/>
        <w:jc w:val="both"/>
      </w:pPr>
      <w:r>
        <w:t>Ensure finalisation of the disciplinary processes against the Department official(s) who approved an</w:t>
      </w:r>
      <w:r w:rsidR="00F540AF">
        <w:t>d authorised an</w:t>
      </w:r>
      <w:r>
        <w:t xml:space="preserve"> irregular</w:t>
      </w:r>
      <w:r w:rsidR="00F540AF">
        <w:t xml:space="preserve"> 51% salary increase to the Chief Executive Officer of Ncera Farms (Pty) Ltd during 2015/16; and progress report on the transfer of personnel and budget that has been allocated to Ncera Farms (Pty) Ltd for the medium term expenditure period, to the Agricultural Research Council.  Submit report</w:t>
      </w:r>
      <w:r w:rsidR="009C1DE9">
        <w:t>s</w:t>
      </w:r>
      <w:r w:rsidR="00F540AF">
        <w:t xml:space="preserve"> on these</w:t>
      </w:r>
      <w:r w:rsidR="009C1DE9">
        <w:t xml:space="preserve"> matters</w:t>
      </w:r>
      <w:r w:rsidR="00F540AF">
        <w:t xml:space="preserve"> to Parliament by the end of June 2018. </w:t>
      </w:r>
      <w:r w:rsidR="00645B21">
        <w:t xml:space="preserve">  </w:t>
      </w:r>
    </w:p>
    <w:p w14:paraId="6545B1B8" w14:textId="77777777" w:rsidR="00645B21" w:rsidRDefault="00645B21" w:rsidP="00645B21">
      <w:pPr>
        <w:pStyle w:val="ListParagraph"/>
      </w:pPr>
    </w:p>
    <w:p w14:paraId="3DBFC406" w14:textId="77777777" w:rsidR="00645B21" w:rsidRDefault="00645B21" w:rsidP="005545E6">
      <w:pPr>
        <w:pStyle w:val="ListParagraph"/>
        <w:numPr>
          <w:ilvl w:val="1"/>
          <w:numId w:val="31"/>
        </w:numPr>
        <w:spacing w:line="360" w:lineRule="auto"/>
        <w:jc w:val="both"/>
      </w:pPr>
      <w:r>
        <w:t xml:space="preserve">Submit to the Committee the memorandum of understanding (MOU) that was signed with Statistics South Africa for undertaking the Agricultural Census </w:t>
      </w:r>
      <w:r w:rsidR="001A4AF0">
        <w:t xml:space="preserve">including </w:t>
      </w:r>
      <w:r>
        <w:t xml:space="preserve">a progress report on the development of the national Farmer Register by the end of June 2018.    </w:t>
      </w:r>
    </w:p>
    <w:p w14:paraId="00CFEE67" w14:textId="77777777" w:rsidR="00645B21" w:rsidRDefault="00645B21" w:rsidP="00645B21">
      <w:pPr>
        <w:pStyle w:val="ListParagraph"/>
      </w:pPr>
    </w:p>
    <w:p w14:paraId="43F99F30" w14:textId="77777777" w:rsidR="001F3B68" w:rsidRDefault="001A4AF0" w:rsidP="005545E6">
      <w:pPr>
        <w:pStyle w:val="ListParagraph"/>
        <w:numPr>
          <w:ilvl w:val="1"/>
          <w:numId w:val="31"/>
        </w:numPr>
        <w:spacing w:line="360" w:lineRule="auto"/>
        <w:jc w:val="both"/>
      </w:pPr>
      <w:r>
        <w:t>Develop a Policy on Peri-urban and U</w:t>
      </w:r>
      <w:r w:rsidR="00645B21">
        <w:t>rban agriculture</w:t>
      </w:r>
      <w:r>
        <w:t xml:space="preserve"> to address food insecurity and poverty in urban areas while ensuring productive use of agricultural land such as municipal commonages in these areas. </w:t>
      </w:r>
      <w:r w:rsidR="001F3B68">
        <w:tab/>
      </w:r>
      <w:r>
        <w:t>Submit progress on the development of the policy to Parliament by the end of September 2018.</w:t>
      </w:r>
    </w:p>
    <w:p w14:paraId="5A5CD000" w14:textId="77777777" w:rsidR="001F3B68" w:rsidRPr="00077D93" w:rsidRDefault="001F3B68" w:rsidP="005545E6">
      <w:pPr>
        <w:pStyle w:val="ListParagraph"/>
        <w:spacing w:line="360" w:lineRule="auto"/>
        <w:jc w:val="both"/>
      </w:pPr>
    </w:p>
    <w:p w14:paraId="35A473F5" w14:textId="77777777" w:rsidR="00C84AB2" w:rsidRDefault="00C84AB2" w:rsidP="005545E6">
      <w:pPr>
        <w:spacing w:line="360" w:lineRule="auto"/>
        <w:jc w:val="both"/>
      </w:pPr>
    </w:p>
    <w:p w14:paraId="01013D53" w14:textId="77777777" w:rsidR="0043483C" w:rsidRPr="001D3E79" w:rsidRDefault="00AE0FFB" w:rsidP="005545E6">
      <w:pPr>
        <w:spacing w:line="360" w:lineRule="auto"/>
        <w:jc w:val="both"/>
        <w:rPr>
          <w:i/>
        </w:rPr>
      </w:pPr>
      <w:r w:rsidRPr="001D3E79">
        <w:rPr>
          <w:i/>
        </w:rPr>
        <w:t>Report to be considered.</w:t>
      </w:r>
    </w:p>
    <w:p w14:paraId="279A38EC" w14:textId="77777777" w:rsidR="005F1860" w:rsidRDefault="005F1860" w:rsidP="005545E6">
      <w:pPr>
        <w:spacing w:line="360" w:lineRule="auto"/>
        <w:jc w:val="both"/>
      </w:pPr>
    </w:p>
    <w:p w14:paraId="6286902C" w14:textId="77777777" w:rsidR="00C84AB2" w:rsidRDefault="00C84AB2" w:rsidP="005545E6">
      <w:pPr>
        <w:spacing w:line="360" w:lineRule="auto"/>
        <w:jc w:val="both"/>
      </w:pPr>
    </w:p>
    <w:p w14:paraId="5F55D68A" w14:textId="77777777" w:rsidR="001F3B68" w:rsidRDefault="001F3B68" w:rsidP="005545E6">
      <w:pPr>
        <w:spacing w:line="360" w:lineRule="auto"/>
        <w:jc w:val="both"/>
      </w:pPr>
    </w:p>
    <w:sectPr w:rsidR="001F3B6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0214" w14:textId="77777777" w:rsidR="0047358F" w:rsidRDefault="0047358F">
      <w:r>
        <w:separator/>
      </w:r>
    </w:p>
  </w:endnote>
  <w:endnote w:type="continuationSeparator" w:id="0">
    <w:p w14:paraId="4B3D2978" w14:textId="77777777" w:rsidR="0047358F" w:rsidRDefault="004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9923" w14:textId="77777777" w:rsidR="00FE3927" w:rsidRDefault="00FE3927"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2A936" w14:textId="77777777" w:rsidR="00FE3927" w:rsidRDefault="00FE3927" w:rsidP="007C3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EA9B6" w14:textId="77777777" w:rsidR="00FE3927" w:rsidRDefault="00FE3927"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0DF">
      <w:rPr>
        <w:rStyle w:val="PageNumber"/>
        <w:noProof/>
      </w:rPr>
      <w:t>1</w:t>
    </w:r>
    <w:r>
      <w:rPr>
        <w:rStyle w:val="PageNumber"/>
      </w:rPr>
      <w:fldChar w:fldCharType="end"/>
    </w:r>
  </w:p>
  <w:p w14:paraId="5A41639D" w14:textId="77777777" w:rsidR="00FE3927" w:rsidRDefault="00FE3927" w:rsidP="007C3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DF0C" w14:textId="77777777" w:rsidR="0047358F" w:rsidRDefault="0047358F">
      <w:r>
        <w:separator/>
      </w:r>
    </w:p>
  </w:footnote>
  <w:footnote w:type="continuationSeparator" w:id="0">
    <w:p w14:paraId="67ABF212" w14:textId="77777777" w:rsidR="0047358F" w:rsidRDefault="00473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28"/>
    <w:multiLevelType w:val="hybridMultilevel"/>
    <w:tmpl w:val="05ECB296"/>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C734E"/>
    <w:multiLevelType w:val="hybridMultilevel"/>
    <w:tmpl w:val="E258DB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2820"/>
    <w:multiLevelType w:val="multilevel"/>
    <w:tmpl w:val="13C8462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F2076AA"/>
    <w:multiLevelType w:val="hybridMultilevel"/>
    <w:tmpl w:val="D5A49BB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18DA"/>
    <w:multiLevelType w:val="multilevel"/>
    <w:tmpl w:val="C0CE1F90"/>
    <w:lvl w:ilvl="0">
      <w:start w:val="1"/>
      <w:numFmt w:val="decimal"/>
      <w:lvlText w:val="%1."/>
      <w:lvlJc w:val="left"/>
      <w:pPr>
        <w:ind w:left="720" w:hanging="360"/>
      </w:pPr>
      <w:rPr>
        <w:rFonts w:hint="default"/>
        <w:sz w:val="22"/>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646138"/>
    <w:multiLevelType w:val="hybridMultilevel"/>
    <w:tmpl w:val="F6BA058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D4347A0"/>
    <w:multiLevelType w:val="multilevel"/>
    <w:tmpl w:val="133EAFFE"/>
    <w:lvl w:ilvl="0">
      <w:start w:val="5"/>
      <w:numFmt w:val="decimal"/>
      <w:lvlText w:val="%1"/>
      <w:lvlJc w:val="left"/>
      <w:pPr>
        <w:ind w:left="420" w:hanging="420"/>
      </w:pPr>
      <w:rPr>
        <w:rFonts w:hint="default"/>
      </w:rPr>
    </w:lvl>
    <w:lvl w:ilvl="1">
      <w:start w:val="10"/>
      <w:numFmt w:val="decimal"/>
      <w:lvlText w:val="%1.%2"/>
      <w:lvlJc w:val="left"/>
      <w:pPr>
        <w:ind w:left="84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AD48CC"/>
    <w:multiLevelType w:val="hybridMultilevel"/>
    <w:tmpl w:val="1C6E1E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C965F5"/>
    <w:multiLevelType w:val="hybridMultilevel"/>
    <w:tmpl w:val="FCE8111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439A5"/>
    <w:multiLevelType w:val="multilevel"/>
    <w:tmpl w:val="A71669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2B261C"/>
    <w:multiLevelType w:val="hybridMultilevel"/>
    <w:tmpl w:val="41026104"/>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FF02CE"/>
    <w:multiLevelType w:val="hybridMultilevel"/>
    <w:tmpl w:val="856E5B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42441B"/>
    <w:multiLevelType w:val="hybridMultilevel"/>
    <w:tmpl w:val="1DE43080"/>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57461FB"/>
    <w:multiLevelType w:val="hybridMultilevel"/>
    <w:tmpl w:val="5FACBB96"/>
    <w:lvl w:ilvl="0" w:tplc="08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A574A5D"/>
    <w:multiLevelType w:val="hybridMultilevel"/>
    <w:tmpl w:val="4D6A73A0"/>
    <w:lvl w:ilvl="0" w:tplc="1C09000F">
      <w:start w:val="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CA67D8C"/>
    <w:multiLevelType w:val="hybridMultilevel"/>
    <w:tmpl w:val="4E2070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E75BBB"/>
    <w:multiLevelType w:val="hybridMultilevel"/>
    <w:tmpl w:val="07BACD38"/>
    <w:lvl w:ilvl="0" w:tplc="08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067A9D"/>
    <w:multiLevelType w:val="hybridMultilevel"/>
    <w:tmpl w:val="4A3A1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073B66"/>
    <w:multiLevelType w:val="hybridMultilevel"/>
    <w:tmpl w:val="D54A24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34660F"/>
    <w:multiLevelType w:val="hybridMultilevel"/>
    <w:tmpl w:val="1FF0BDC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856D8B"/>
    <w:multiLevelType w:val="hybridMultilevel"/>
    <w:tmpl w:val="7FFEAFC8"/>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665E6D"/>
    <w:multiLevelType w:val="hybridMultilevel"/>
    <w:tmpl w:val="A846F6C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E9D10E1"/>
    <w:multiLevelType w:val="hybridMultilevel"/>
    <w:tmpl w:val="6B3E82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BF072C"/>
    <w:multiLevelType w:val="hybridMultilevel"/>
    <w:tmpl w:val="82E065F0"/>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B8722A7"/>
    <w:multiLevelType w:val="multilevel"/>
    <w:tmpl w:val="310E37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E8A1B66"/>
    <w:multiLevelType w:val="hybridMultilevel"/>
    <w:tmpl w:val="AAFE7D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F8959C4"/>
    <w:multiLevelType w:val="multilevel"/>
    <w:tmpl w:val="E7CE50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6337F6B"/>
    <w:multiLevelType w:val="hybridMultilevel"/>
    <w:tmpl w:val="21562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79E766B"/>
    <w:multiLevelType w:val="multilevel"/>
    <w:tmpl w:val="948666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89621CB"/>
    <w:multiLevelType w:val="multilevel"/>
    <w:tmpl w:val="F67C8C08"/>
    <w:lvl w:ilvl="0">
      <w:start w:val="2"/>
      <w:numFmt w:val="decimal"/>
      <w:lvlText w:val="%1."/>
      <w:lvlJc w:val="left"/>
      <w:pPr>
        <w:ind w:left="360" w:hanging="360"/>
      </w:pPr>
      <w:rPr>
        <w:rFonts w:hint="default"/>
        <w:sz w:val="22"/>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DEA6D87"/>
    <w:multiLevelType w:val="hybridMultilevel"/>
    <w:tmpl w:val="3BA6C4A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A2FF5"/>
    <w:multiLevelType w:val="hybridMultilevel"/>
    <w:tmpl w:val="1E1EA92A"/>
    <w:lvl w:ilvl="0" w:tplc="3FDAEA46">
      <w:start w:val="1"/>
      <w:numFmt w:val="bullet"/>
      <w:lvlText w:val="•"/>
      <w:lvlJc w:val="left"/>
      <w:pPr>
        <w:tabs>
          <w:tab w:val="num" w:pos="720"/>
        </w:tabs>
        <w:ind w:left="720" w:hanging="360"/>
      </w:pPr>
      <w:rPr>
        <w:rFonts w:ascii="Arial" w:hAnsi="Arial" w:hint="default"/>
      </w:rPr>
    </w:lvl>
    <w:lvl w:ilvl="1" w:tplc="3A6A4C02">
      <w:start w:val="1"/>
      <w:numFmt w:val="bullet"/>
      <w:lvlText w:val="•"/>
      <w:lvlJc w:val="left"/>
      <w:pPr>
        <w:tabs>
          <w:tab w:val="num" w:pos="1440"/>
        </w:tabs>
        <w:ind w:left="1440" w:hanging="360"/>
      </w:pPr>
      <w:rPr>
        <w:rFonts w:ascii="Arial" w:hAnsi="Arial" w:hint="default"/>
      </w:rPr>
    </w:lvl>
    <w:lvl w:ilvl="2" w:tplc="3E1643E8" w:tentative="1">
      <w:start w:val="1"/>
      <w:numFmt w:val="bullet"/>
      <w:lvlText w:val="•"/>
      <w:lvlJc w:val="left"/>
      <w:pPr>
        <w:tabs>
          <w:tab w:val="num" w:pos="2160"/>
        </w:tabs>
        <w:ind w:left="2160" w:hanging="360"/>
      </w:pPr>
      <w:rPr>
        <w:rFonts w:ascii="Arial" w:hAnsi="Arial" w:hint="default"/>
      </w:rPr>
    </w:lvl>
    <w:lvl w:ilvl="3" w:tplc="85EEA19C" w:tentative="1">
      <w:start w:val="1"/>
      <w:numFmt w:val="bullet"/>
      <w:lvlText w:val="•"/>
      <w:lvlJc w:val="left"/>
      <w:pPr>
        <w:tabs>
          <w:tab w:val="num" w:pos="2880"/>
        </w:tabs>
        <w:ind w:left="2880" w:hanging="360"/>
      </w:pPr>
      <w:rPr>
        <w:rFonts w:ascii="Arial" w:hAnsi="Arial" w:hint="default"/>
      </w:rPr>
    </w:lvl>
    <w:lvl w:ilvl="4" w:tplc="5A90B970" w:tentative="1">
      <w:start w:val="1"/>
      <w:numFmt w:val="bullet"/>
      <w:lvlText w:val="•"/>
      <w:lvlJc w:val="left"/>
      <w:pPr>
        <w:tabs>
          <w:tab w:val="num" w:pos="3600"/>
        </w:tabs>
        <w:ind w:left="3600" w:hanging="360"/>
      </w:pPr>
      <w:rPr>
        <w:rFonts w:ascii="Arial" w:hAnsi="Arial" w:hint="default"/>
      </w:rPr>
    </w:lvl>
    <w:lvl w:ilvl="5" w:tplc="B02E4958" w:tentative="1">
      <w:start w:val="1"/>
      <w:numFmt w:val="bullet"/>
      <w:lvlText w:val="•"/>
      <w:lvlJc w:val="left"/>
      <w:pPr>
        <w:tabs>
          <w:tab w:val="num" w:pos="4320"/>
        </w:tabs>
        <w:ind w:left="4320" w:hanging="360"/>
      </w:pPr>
      <w:rPr>
        <w:rFonts w:ascii="Arial" w:hAnsi="Arial" w:hint="default"/>
      </w:rPr>
    </w:lvl>
    <w:lvl w:ilvl="6" w:tplc="4D8C790E" w:tentative="1">
      <w:start w:val="1"/>
      <w:numFmt w:val="bullet"/>
      <w:lvlText w:val="•"/>
      <w:lvlJc w:val="left"/>
      <w:pPr>
        <w:tabs>
          <w:tab w:val="num" w:pos="5040"/>
        </w:tabs>
        <w:ind w:left="5040" w:hanging="360"/>
      </w:pPr>
      <w:rPr>
        <w:rFonts w:ascii="Arial" w:hAnsi="Arial" w:hint="default"/>
      </w:rPr>
    </w:lvl>
    <w:lvl w:ilvl="7" w:tplc="809C3F34" w:tentative="1">
      <w:start w:val="1"/>
      <w:numFmt w:val="bullet"/>
      <w:lvlText w:val="•"/>
      <w:lvlJc w:val="left"/>
      <w:pPr>
        <w:tabs>
          <w:tab w:val="num" w:pos="5760"/>
        </w:tabs>
        <w:ind w:left="5760" w:hanging="360"/>
      </w:pPr>
      <w:rPr>
        <w:rFonts w:ascii="Arial" w:hAnsi="Arial" w:hint="default"/>
      </w:rPr>
    </w:lvl>
    <w:lvl w:ilvl="8" w:tplc="1C0AFAC2" w:tentative="1">
      <w:start w:val="1"/>
      <w:numFmt w:val="bullet"/>
      <w:lvlText w:val="•"/>
      <w:lvlJc w:val="left"/>
      <w:pPr>
        <w:tabs>
          <w:tab w:val="num" w:pos="6480"/>
        </w:tabs>
        <w:ind w:left="6480" w:hanging="360"/>
      </w:pPr>
      <w:rPr>
        <w:rFonts w:ascii="Arial" w:hAnsi="Arial" w:hint="default"/>
      </w:rPr>
    </w:lvl>
  </w:abstractNum>
  <w:abstractNum w:abstractNumId="32">
    <w:nsid w:val="70177707"/>
    <w:multiLevelType w:val="hybridMultilevel"/>
    <w:tmpl w:val="1FFA0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615B7D"/>
    <w:multiLevelType w:val="multilevel"/>
    <w:tmpl w:val="2E4A4BE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CA5359"/>
    <w:multiLevelType w:val="multilevel"/>
    <w:tmpl w:val="966887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C7738E0"/>
    <w:multiLevelType w:val="hybridMultilevel"/>
    <w:tmpl w:val="4950D9C2"/>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DA57C3D"/>
    <w:multiLevelType w:val="hybridMultilevel"/>
    <w:tmpl w:val="CB66A302"/>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E4E3C8F"/>
    <w:multiLevelType w:val="multilevel"/>
    <w:tmpl w:val="9612D6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2"/>
  </w:num>
  <w:num w:numId="3">
    <w:abstractNumId w:val="30"/>
  </w:num>
  <w:num w:numId="4">
    <w:abstractNumId w:val="5"/>
  </w:num>
  <w:num w:numId="5">
    <w:abstractNumId w:val="7"/>
  </w:num>
  <w:num w:numId="6">
    <w:abstractNumId w:val="35"/>
  </w:num>
  <w:num w:numId="7">
    <w:abstractNumId w:val="16"/>
  </w:num>
  <w:num w:numId="8">
    <w:abstractNumId w:val="10"/>
  </w:num>
  <w:num w:numId="9">
    <w:abstractNumId w:val="0"/>
  </w:num>
  <w:num w:numId="10">
    <w:abstractNumId w:val="36"/>
  </w:num>
  <w:num w:numId="11">
    <w:abstractNumId w:val="15"/>
  </w:num>
  <w:num w:numId="12">
    <w:abstractNumId w:val="1"/>
  </w:num>
  <w:num w:numId="13">
    <w:abstractNumId w:val="29"/>
  </w:num>
  <w:num w:numId="14">
    <w:abstractNumId w:val="4"/>
  </w:num>
  <w:num w:numId="15">
    <w:abstractNumId w:val="19"/>
  </w:num>
  <w:num w:numId="16">
    <w:abstractNumId w:val="25"/>
  </w:num>
  <w:num w:numId="17">
    <w:abstractNumId w:val="17"/>
  </w:num>
  <w:num w:numId="18">
    <w:abstractNumId w:val="20"/>
  </w:num>
  <w:num w:numId="19">
    <w:abstractNumId w:val="8"/>
  </w:num>
  <w:num w:numId="20">
    <w:abstractNumId w:val="3"/>
  </w:num>
  <w:num w:numId="21">
    <w:abstractNumId w:val="14"/>
  </w:num>
  <w:num w:numId="22">
    <w:abstractNumId w:val="26"/>
  </w:num>
  <w:num w:numId="23">
    <w:abstractNumId w:val="21"/>
  </w:num>
  <w:num w:numId="24">
    <w:abstractNumId w:val="24"/>
  </w:num>
  <w:num w:numId="25">
    <w:abstractNumId w:val="23"/>
  </w:num>
  <w:num w:numId="26">
    <w:abstractNumId w:val="11"/>
  </w:num>
  <w:num w:numId="27">
    <w:abstractNumId w:val="33"/>
  </w:num>
  <w:num w:numId="28">
    <w:abstractNumId w:val="34"/>
  </w:num>
  <w:num w:numId="29">
    <w:abstractNumId w:val="32"/>
  </w:num>
  <w:num w:numId="30">
    <w:abstractNumId w:val="2"/>
  </w:num>
  <w:num w:numId="31">
    <w:abstractNumId w:val="37"/>
  </w:num>
  <w:num w:numId="32">
    <w:abstractNumId w:val="28"/>
  </w:num>
  <w:num w:numId="33">
    <w:abstractNumId w:val="13"/>
  </w:num>
  <w:num w:numId="34">
    <w:abstractNumId w:val="31"/>
  </w:num>
  <w:num w:numId="35">
    <w:abstractNumId w:val="27"/>
  </w:num>
  <w:num w:numId="36">
    <w:abstractNumId w:val="18"/>
  </w:num>
  <w:num w:numId="37">
    <w:abstractNumId w:val="9"/>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3"/>
    <w:rsid w:val="000008F7"/>
    <w:rsid w:val="00001034"/>
    <w:rsid w:val="0000175A"/>
    <w:rsid w:val="0000284E"/>
    <w:rsid w:val="00003168"/>
    <w:rsid w:val="00003CF5"/>
    <w:rsid w:val="00004E3F"/>
    <w:rsid w:val="00004F4E"/>
    <w:rsid w:val="00005CC0"/>
    <w:rsid w:val="00006E76"/>
    <w:rsid w:val="00006F14"/>
    <w:rsid w:val="0001010B"/>
    <w:rsid w:val="0001024D"/>
    <w:rsid w:val="000115A4"/>
    <w:rsid w:val="000125CE"/>
    <w:rsid w:val="00012EF2"/>
    <w:rsid w:val="000132B6"/>
    <w:rsid w:val="00013524"/>
    <w:rsid w:val="000146D1"/>
    <w:rsid w:val="000146DF"/>
    <w:rsid w:val="00015A13"/>
    <w:rsid w:val="00015AEA"/>
    <w:rsid w:val="0002078C"/>
    <w:rsid w:val="00020E1E"/>
    <w:rsid w:val="0002250D"/>
    <w:rsid w:val="00022A93"/>
    <w:rsid w:val="00024BDB"/>
    <w:rsid w:val="000275D5"/>
    <w:rsid w:val="000276C3"/>
    <w:rsid w:val="0003012A"/>
    <w:rsid w:val="00030488"/>
    <w:rsid w:val="00030CF0"/>
    <w:rsid w:val="00030E02"/>
    <w:rsid w:val="00030F5C"/>
    <w:rsid w:val="000312EB"/>
    <w:rsid w:val="00031473"/>
    <w:rsid w:val="00031908"/>
    <w:rsid w:val="00032007"/>
    <w:rsid w:val="00032338"/>
    <w:rsid w:val="000324B9"/>
    <w:rsid w:val="00032636"/>
    <w:rsid w:val="00032779"/>
    <w:rsid w:val="00034665"/>
    <w:rsid w:val="00035654"/>
    <w:rsid w:val="00035F9F"/>
    <w:rsid w:val="000360C3"/>
    <w:rsid w:val="000361A4"/>
    <w:rsid w:val="0003650E"/>
    <w:rsid w:val="00036EB4"/>
    <w:rsid w:val="000371EE"/>
    <w:rsid w:val="000373F3"/>
    <w:rsid w:val="00037462"/>
    <w:rsid w:val="00037498"/>
    <w:rsid w:val="00040BDE"/>
    <w:rsid w:val="000429A3"/>
    <w:rsid w:val="00042E7D"/>
    <w:rsid w:val="00044A95"/>
    <w:rsid w:val="00045B24"/>
    <w:rsid w:val="00045C0A"/>
    <w:rsid w:val="00047900"/>
    <w:rsid w:val="00047E76"/>
    <w:rsid w:val="000501DE"/>
    <w:rsid w:val="00050269"/>
    <w:rsid w:val="00050DF2"/>
    <w:rsid w:val="000515AB"/>
    <w:rsid w:val="000534E7"/>
    <w:rsid w:val="0005361A"/>
    <w:rsid w:val="00054324"/>
    <w:rsid w:val="00054D47"/>
    <w:rsid w:val="00055D20"/>
    <w:rsid w:val="000564E2"/>
    <w:rsid w:val="00056A5B"/>
    <w:rsid w:val="00057114"/>
    <w:rsid w:val="000578F6"/>
    <w:rsid w:val="00057BA0"/>
    <w:rsid w:val="00057C21"/>
    <w:rsid w:val="00062246"/>
    <w:rsid w:val="00062B12"/>
    <w:rsid w:val="00063C11"/>
    <w:rsid w:val="00064532"/>
    <w:rsid w:val="000645AD"/>
    <w:rsid w:val="00064A5B"/>
    <w:rsid w:val="00065BD4"/>
    <w:rsid w:val="00065D60"/>
    <w:rsid w:val="000661E1"/>
    <w:rsid w:val="00067578"/>
    <w:rsid w:val="00070279"/>
    <w:rsid w:val="0007487E"/>
    <w:rsid w:val="0007531F"/>
    <w:rsid w:val="000756BA"/>
    <w:rsid w:val="00075FDC"/>
    <w:rsid w:val="000762CA"/>
    <w:rsid w:val="000777C5"/>
    <w:rsid w:val="00077CCA"/>
    <w:rsid w:val="00077D93"/>
    <w:rsid w:val="00077F0D"/>
    <w:rsid w:val="00080BC5"/>
    <w:rsid w:val="00080D25"/>
    <w:rsid w:val="00081B23"/>
    <w:rsid w:val="00082D37"/>
    <w:rsid w:val="00083E7A"/>
    <w:rsid w:val="00083FD6"/>
    <w:rsid w:val="000842CD"/>
    <w:rsid w:val="00084651"/>
    <w:rsid w:val="00084850"/>
    <w:rsid w:val="00084C0F"/>
    <w:rsid w:val="00085EEA"/>
    <w:rsid w:val="00086029"/>
    <w:rsid w:val="000861AD"/>
    <w:rsid w:val="0008658E"/>
    <w:rsid w:val="000871E7"/>
    <w:rsid w:val="0009243D"/>
    <w:rsid w:val="000924AC"/>
    <w:rsid w:val="000925BF"/>
    <w:rsid w:val="0009507B"/>
    <w:rsid w:val="00095395"/>
    <w:rsid w:val="00095C0E"/>
    <w:rsid w:val="00095FD3"/>
    <w:rsid w:val="00096D13"/>
    <w:rsid w:val="00097545"/>
    <w:rsid w:val="0009787F"/>
    <w:rsid w:val="000A1AAB"/>
    <w:rsid w:val="000A1C72"/>
    <w:rsid w:val="000A2474"/>
    <w:rsid w:val="000A3C18"/>
    <w:rsid w:val="000A3EEA"/>
    <w:rsid w:val="000A45DC"/>
    <w:rsid w:val="000A47F3"/>
    <w:rsid w:val="000A48ED"/>
    <w:rsid w:val="000A4BD5"/>
    <w:rsid w:val="000A6D26"/>
    <w:rsid w:val="000A6D77"/>
    <w:rsid w:val="000A756B"/>
    <w:rsid w:val="000A7D54"/>
    <w:rsid w:val="000B0222"/>
    <w:rsid w:val="000B0A49"/>
    <w:rsid w:val="000B12D0"/>
    <w:rsid w:val="000B1B87"/>
    <w:rsid w:val="000B21F7"/>
    <w:rsid w:val="000B3140"/>
    <w:rsid w:val="000B37A6"/>
    <w:rsid w:val="000B64EF"/>
    <w:rsid w:val="000B6976"/>
    <w:rsid w:val="000B6BDA"/>
    <w:rsid w:val="000C00D7"/>
    <w:rsid w:val="000C18C0"/>
    <w:rsid w:val="000C1A61"/>
    <w:rsid w:val="000C1D87"/>
    <w:rsid w:val="000C213F"/>
    <w:rsid w:val="000C2C97"/>
    <w:rsid w:val="000C3F6E"/>
    <w:rsid w:val="000C45A4"/>
    <w:rsid w:val="000C5340"/>
    <w:rsid w:val="000C5C78"/>
    <w:rsid w:val="000C6A7E"/>
    <w:rsid w:val="000D03EB"/>
    <w:rsid w:val="000D0AE5"/>
    <w:rsid w:val="000D12F4"/>
    <w:rsid w:val="000D1D0B"/>
    <w:rsid w:val="000D1F77"/>
    <w:rsid w:val="000D3063"/>
    <w:rsid w:val="000D47CB"/>
    <w:rsid w:val="000D4DD7"/>
    <w:rsid w:val="000D5A55"/>
    <w:rsid w:val="000D6683"/>
    <w:rsid w:val="000D67A5"/>
    <w:rsid w:val="000D709B"/>
    <w:rsid w:val="000D7140"/>
    <w:rsid w:val="000D7E11"/>
    <w:rsid w:val="000E2074"/>
    <w:rsid w:val="000E2BC9"/>
    <w:rsid w:val="000E2CEA"/>
    <w:rsid w:val="000E4E13"/>
    <w:rsid w:val="000E77F5"/>
    <w:rsid w:val="000E7B92"/>
    <w:rsid w:val="000E7BDD"/>
    <w:rsid w:val="000F25F3"/>
    <w:rsid w:val="000F3259"/>
    <w:rsid w:val="000F32AB"/>
    <w:rsid w:val="000F3518"/>
    <w:rsid w:val="000F5447"/>
    <w:rsid w:val="000F5838"/>
    <w:rsid w:val="000F5CB9"/>
    <w:rsid w:val="000F6F63"/>
    <w:rsid w:val="000F7710"/>
    <w:rsid w:val="00101BF1"/>
    <w:rsid w:val="001020AE"/>
    <w:rsid w:val="0010370A"/>
    <w:rsid w:val="001037F2"/>
    <w:rsid w:val="00103899"/>
    <w:rsid w:val="001044AB"/>
    <w:rsid w:val="00104675"/>
    <w:rsid w:val="00104D26"/>
    <w:rsid w:val="0010503D"/>
    <w:rsid w:val="001051BC"/>
    <w:rsid w:val="001053EE"/>
    <w:rsid w:val="00105B0C"/>
    <w:rsid w:val="00106266"/>
    <w:rsid w:val="001067E6"/>
    <w:rsid w:val="00106C62"/>
    <w:rsid w:val="00106D95"/>
    <w:rsid w:val="00111650"/>
    <w:rsid w:val="001117C8"/>
    <w:rsid w:val="0011763F"/>
    <w:rsid w:val="00121ADE"/>
    <w:rsid w:val="00121D05"/>
    <w:rsid w:val="001241AA"/>
    <w:rsid w:val="00125FBC"/>
    <w:rsid w:val="001267E6"/>
    <w:rsid w:val="00126D22"/>
    <w:rsid w:val="00127341"/>
    <w:rsid w:val="00127513"/>
    <w:rsid w:val="001277D0"/>
    <w:rsid w:val="00130DD5"/>
    <w:rsid w:val="001312A0"/>
    <w:rsid w:val="001312AE"/>
    <w:rsid w:val="0013360D"/>
    <w:rsid w:val="0013391D"/>
    <w:rsid w:val="001343BB"/>
    <w:rsid w:val="001347C1"/>
    <w:rsid w:val="001355B2"/>
    <w:rsid w:val="0013561F"/>
    <w:rsid w:val="00135640"/>
    <w:rsid w:val="001358C9"/>
    <w:rsid w:val="00136C84"/>
    <w:rsid w:val="00137374"/>
    <w:rsid w:val="001375FC"/>
    <w:rsid w:val="00141339"/>
    <w:rsid w:val="001415D3"/>
    <w:rsid w:val="001417B6"/>
    <w:rsid w:val="0014215B"/>
    <w:rsid w:val="00142203"/>
    <w:rsid w:val="0014220E"/>
    <w:rsid w:val="00143943"/>
    <w:rsid w:val="00143CC8"/>
    <w:rsid w:val="001444F4"/>
    <w:rsid w:val="00146383"/>
    <w:rsid w:val="0014665F"/>
    <w:rsid w:val="00146AB1"/>
    <w:rsid w:val="00146E4E"/>
    <w:rsid w:val="00146F32"/>
    <w:rsid w:val="001471FC"/>
    <w:rsid w:val="001477F5"/>
    <w:rsid w:val="0014794C"/>
    <w:rsid w:val="00147FA1"/>
    <w:rsid w:val="00151C4F"/>
    <w:rsid w:val="00152329"/>
    <w:rsid w:val="0015274A"/>
    <w:rsid w:val="00154231"/>
    <w:rsid w:val="0015554B"/>
    <w:rsid w:val="0015560D"/>
    <w:rsid w:val="00155F39"/>
    <w:rsid w:val="001572A9"/>
    <w:rsid w:val="001574E0"/>
    <w:rsid w:val="001628A7"/>
    <w:rsid w:val="00164534"/>
    <w:rsid w:val="00164CD8"/>
    <w:rsid w:val="00166111"/>
    <w:rsid w:val="001666B0"/>
    <w:rsid w:val="00170B94"/>
    <w:rsid w:val="0017110D"/>
    <w:rsid w:val="00171C5A"/>
    <w:rsid w:val="00172973"/>
    <w:rsid w:val="0017303B"/>
    <w:rsid w:val="00174306"/>
    <w:rsid w:val="001746A4"/>
    <w:rsid w:val="0017478E"/>
    <w:rsid w:val="00174971"/>
    <w:rsid w:val="00174D1F"/>
    <w:rsid w:val="0017628A"/>
    <w:rsid w:val="001764A7"/>
    <w:rsid w:val="0017650C"/>
    <w:rsid w:val="001767B9"/>
    <w:rsid w:val="00176A67"/>
    <w:rsid w:val="001806FA"/>
    <w:rsid w:val="001817F9"/>
    <w:rsid w:val="00182BA1"/>
    <w:rsid w:val="00182D86"/>
    <w:rsid w:val="00186317"/>
    <w:rsid w:val="001868B8"/>
    <w:rsid w:val="00190FA9"/>
    <w:rsid w:val="00191183"/>
    <w:rsid w:val="00194F2E"/>
    <w:rsid w:val="00195289"/>
    <w:rsid w:val="00195431"/>
    <w:rsid w:val="0019579E"/>
    <w:rsid w:val="00195C87"/>
    <w:rsid w:val="0019764A"/>
    <w:rsid w:val="00197D1C"/>
    <w:rsid w:val="00197DFC"/>
    <w:rsid w:val="001A0A56"/>
    <w:rsid w:val="001A10E4"/>
    <w:rsid w:val="001A1B2C"/>
    <w:rsid w:val="001A3080"/>
    <w:rsid w:val="001A324B"/>
    <w:rsid w:val="001A3471"/>
    <w:rsid w:val="001A43CC"/>
    <w:rsid w:val="001A4873"/>
    <w:rsid w:val="001A4AF0"/>
    <w:rsid w:val="001A4BC7"/>
    <w:rsid w:val="001A4E6A"/>
    <w:rsid w:val="001A5FA8"/>
    <w:rsid w:val="001A7A42"/>
    <w:rsid w:val="001B0A68"/>
    <w:rsid w:val="001B0B9E"/>
    <w:rsid w:val="001B0D1D"/>
    <w:rsid w:val="001B1346"/>
    <w:rsid w:val="001B1DB3"/>
    <w:rsid w:val="001B21D7"/>
    <w:rsid w:val="001B27F8"/>
    <w:rsid w:val="001B28F8"/>
    <w:rsid w:val="001B2A86"/>
    <w:rsid w:val="001B387C"/>
    <w:rsid w:val="001B3921"/>
    <w:rsid w:val="001B3AB9"/>
    <w:rsid w:val="001B41FA"/>
    <w:rsid w:val="001B4295"/>
    <w:rsid w:val="001B4495"/>
    <w:rsid w:val="001B44AF"/>
    <w:rsid w:val="001B4CE0"/>
    <w:rsid w:val="001B61E6"/>
    <w:rsid w:val="001B680F"/>
    <w:rsid w:val="001B6B39"/>
    <w:rsid w:val="001B6B7F"/>
    <w:rsid w:val="001C151C"/>
    <w:rsid w:val="001C23FA"/>
    <w:rsid w:val="001C2B0B"/>
    <w:rsid w:val="001C3879"/>
    <w:rsid w:val="001C4760"/>
    <w:rsid w:val="001C5194"/>
    <w:rsid w:val="001C65FF"/>
    <w:rsid w:val="001C6636"/>
    <w:rsid w:val="001D0312"/>
    <w:rsid w:val="001D03F1"/>
    <w:rsid w:val="001D0CAA"/>
    <w:rsid w:val="001D0F9B"/>
    <w:rsid w:val="001D16C4"/>
    <w:rsid w:val="001D1FDA"/>
    <w:rsid w:val="001D3535"/>
    <w:rsid w:val="001D3E79"/>
    <w:rsid w:val="001D491D"/>
    <w:rsid w:val="001D4EA4"/>
    <w:rsid w:val="001D5987"/>
    <w:rsid w:val="001E09BC"/>
    <w:rsid w:val="001E13B8"/>
    <w:rsid w:val="001E17F9"/>
    <w:rsid w:val="001E2212"/>
    <w:rsid w:val="001E280E"/>
    <w:rsid w:val="001E3DF3"/>
    <w:rsid w:val="001E4108"/>
    <w:rsid w:val="001E50D7"/>
    <w:rsid w:val="001E64E7"/>
    <w:rsid w:val="001E65E9"/>
    <w:rsid w:val="001E7B3F"/>
    <w:rsid w:val="001F1B31"/>
    <w:rsid w:val="001F2510"/>
    <w:rsid w:val="001F29F1"/>
    <w:rsid w:val="001F37C1"/>
    <w:rsid w:val="001F3B68"/>
    <w:rsid w:val="001F58C9"/>
    <w:rsid w:val="00200205"/>
    <w:rsid w:val="00200803"/>
    <w:rsid w:val="00200C6F"/>
    <w:rsid w:val="00203B3B"/>
    <w:rsid w:val="00205E30"/>
    <w:rsid w:val="00206E29"/>
    <w:rsid w:val="002071BF"/>
    <w:rsid w:val="00210653"/>
    <w:rsid w:val="0021163E"/>
    <w:rsid w:val="0021183C"/>
    <w:rsid w:val="00211F96"/>
    <w:rsid w:val="00211FF8"/>
    <w:rsid w:val="00214131"/>
    <w:rsid w:val="002148DE"/>
    <w:rsid w:val="00214F8D"/>
    <w:rsid w:val="00214FD1"/>
    <w:rsid w:val="0021554A"/>
    <w:rsid w:val="00215864"/>
    <w:rsid w:val="002169EE"/>
    <w:rsid w:val="00217268"/>
    <w:rsid w:val="002202C3"/>
    <w:rsid w:val="002207B4"/>
    <w:rsid w:val="0022114A"/>
    <w:rsid w:val="00224D22"/>
    <w:rsid w:val="00224D25"/>
    <w:rsid w:val="00224DE9"/>
    <w:rsid w:val="00230B1C"/>
    <w:rsid w:val="002325EC"/>
    <w:rsid w:val="002337CE"/>
    <w:rsid w:val="0023480B"/>
    <w:rsid w:val="00234F3B"/>
    <w:rsid w:val="00235394"/>
    <w:rsid w:val="00235D69"/>
    <w:rsid w:val="00236FDB"/>
    <w:rsid w:val="002371EE"/>
    <w:rsid w:val="00237531"/>
    <w:rsid w:val="00240A7D"/>
    <w:rsid w:val="00240DBC"/>
    <w:rsid w:val="002410F5"/>
    <w:rsid w:val="00241B61"/>
    <w:rsid w:val="00241F88"/>
    <w:rsid w:val="00242375"/>
    <w:rsid w:val="0024316A"/>
    <w:rsid w:val="00245493"/>
    <w:rsid w:val="002474A8"/>
    <w:rsid w:val="0024788D"/>
    <w:rsid w:val="00247937"/>
    <w:rsid w:val="00247D12"/>
    <w:rsid w:val="00251BF5"/>
    <w:rsid w:val="002542CF"/>
    <w:rsid w:val="00254611"/>
    <w:rsid w:val="00255B71"/>
    <w:rsid w:val="00256DC6"/>
    <w:rsid w:val="00256F0B"/>
    <w:rsid w:val="002600CE"/>
    <w:rsid w:val="00262166"/>
    <w:rsid w:val="00262FDA"/>
    <w:rsid w:val="0026511C"/>
    <w:rsid w:val="00265AAC"/>
    <w:rsid w:val="00265D02"/>
    <w:rsid w:val="00266EAE"/>
    <w:rsid w:val="0026709A"/>
    <w:rsid w:val="00267226"/>
    <w:rsid w:val="00267495"/>
    <w:rsid w:val="002712E7"/>
    <w:rsid w:val="0027180B"/>
    <w:rsid w:val="00271B40"/>
    <w:rsid w:val="002720BB"/>
    <w:rsid w:val="00272337"/>
    <w:rsid w:val="00272EE2"/>
    <w:rsid w:val="002730FA"/>
    <w:rsid w:val="0027363E"/>
    <w:rsid w:val="00273B51"/>
    <w:rsid w:val="00275630"/>
    <w:rsid w:val="00275A6D"/>
    <w:rsid w:val="00276168"/>
    <w:rsid w:val="002762CE"/>
    <w:rsid w:val="00276500"/>
    <w:rsid w:val="0027684F"/>
    <w:rsid w:val="002776AC"/>
    <w:rsid w:val="002776DA"/>
    <w:rsid w:val="00277885"/>
    <w:rsid w:val="00280BC3"/>
    <w:rsid w:val="002818FB"/>
    <w:rsid w:val="00282CFA"/>
    <w:rsid w:val="00283DCB"/>
    <w:rsid w:val="00284506"/>
    <w:rsid w:val="002854CB"/>
    <w:rsid w:val="00285952"/>
    <w:rsid w:val="00286E8D"/>
    <w:rsid w:val="00290358"/>
    <w:rsid w:val="0029071F"/>
    <w:rsid w:val="00291FD7"/>
    <w:rsid w:val="00292148"/>
    <w:rsid w:val="002936F0"/>
    <w:rsid w:val="00293AED"/>
    <w:rsid w:val="00295875"/>
    <w:rsid w:val="00295B1F"/>
    <w:rsid w:val="00296AB6"/>
    <w:rsid w:val="00296EBB"/>
    <w:rsid w:val="002975DE"/>
    <w:rsid w:val="0029773A"/>
    <w:rsid w:val="002A03A3"/>
    <w:rsid w:val="002A10BF"/>
    <w:rsid w:val="002A13A2"/>
    <w:rsid w:val="002A14C9"/>
    <w:rsid w:val="002A21C2"/>
    <w:rsid w:val="002A314F"/>
    <w:rsid w:val="002A4580"/>
    <w:rsid w:val="002A65F8"/>
    <w:rsid w:val="002A6DAB"/>
    <w:rsid w:val="002A7D7C"/>
    <w:rsid w:val="002B1627"/>
    <w:rsid w:val="002B2090"/>
    <w:rsid w:val="002B24F8"/>
    <w:rsid w:val="002B2577"/>
    <w:rsid w:val="002B272F"/>
    <w:rsid w:val="002B2747"/>
    <w:rsid w:val="002B3FB3"/>
    <w:rsid w:val="002B4D55"/>
    <w:rsid w:val="002B5001"/>
    <w:rsid w:val="002B56DA"/>
    <w:rsid w:val="002B6B89"/>
    <w:rsid w:val="002B6C74"/>
    <w:rsid w:val="002B7163"/>
    <w:rsid w:val="002C2AE5"/>
    <w:rsid w:val="002C2D0F"/>
    <w:rsid w:val="002C386A"/>
    <w:rsid w:val="002C41CB"/>
    <w:rsid w:val="002C5444"/>
    <w:rsid w:val="002C7768"/>
    <w:rsid w:val="002D0038"/>
    <w:rsid w:val="002D0892"/>
    <w:rsid w:val="002D12E7"/>
    <w:rsid w:val="002D1463"/>
    <w:rsid w:val="002D14D8"/>
    <w:rsid w:val="002D1EFB"/>
    <w:rsid w:val="002D2003"/>
    <w:rsid w:val="002D2A4A"/>
    <w:rsid w:val="002D3BFC"/>
    <w:rsid w:val="002D42CC"/>
    <w:rsid w:val="002D43FD"/>
    <w:rsid w:val="002D4740"/>
    <w:rsid w:val="002D4882"/>
    <w:rsid w:val="002D494C"/>
    <w:rsid w:val="002D4E04"/>
    <w:rsid w:val="002D613E"/>
    <w:rsid w:val="002D6377"/>
    <w:rsid w:val="002D7F4E"/>
    <w:rsid w:val="002E0BC8"/>
    <w:rsid w:val="002E2CF1"/>
    <w:rsid w:val="002E3A62"/>
    <w:rsid w:val="002E43E2"/>
    <w:rsid w:val="002E4693"/>
    <w:rsid w:val="002E4C89"/>
    <w:rsid w:val="002E5857"/>
    <w:rsid w:val="002E585A"/>
    <w:rsid w:val="002E637F"/>
    <w:rsid w:val="002E7F7E"/>
    <w:rsid w:val="002F039A"/>
    <w:rsid w:val="002F158F"/>
    <w:rsid w:val="002F28D7"/>
    <w:rsid w:val="002F35A5"/>
    <w:rsid w:val="002F3AF7"/>
    <w:rsid w:val="002F3FDB"/>
    <w:rsid w:val="002F5D78"/>
    <w:rsid w:val="002F79E3"/>
    <w:rsid w:val="003007DB"/>
    <w:rsid w:val="003011C8"/>
    <w:rsid w:val="0030178D"/>
    <w:rsid w:val="00301E62"/>
    <w:rsid w:val="003024A3"/>
    <w:rsid w:val="00304AB5"/>
    <w:rsid w:val="003052FC"/>
    <w:rsid w:val="00305693"/>
    <w:rsid w:val="003065E6"/>
    <w:rsid w:val="0031007D"/>
    <w:rsid w:val="00312106"/>
    <w:rsid w:val="003124E9"/>
    <w:rsid w:val="0031285B"/>
    <w:rsid w:val="003147DA"/>
    <w:rsid w:val="003152E6"/>
    <w:rsid w:val="00315610"/>
    <w:rsid w:val="00315C2C"/>
    <w:rsid w:val="00315F44"/>
    <w:rsid w:val="00315FE8"/>
    <w:rsid w:val="00316178"/>
    <w:rsid w:val="003166FD"/>
    <w:rsid w:val="00316F71"/>
    <w:rsid w:val="0032055B"/>
    <w:rsid w:val="0032096A"/>
    <w:rsid w:val="00320FB6"/>
    <w:rsid w:val="003214A8"/>
    <w:rsid w:val="00321EC1"/>
    <w:rsid w:val="0032263D"/>
    <w:rsid w:val="0032288D"/>
    <w:rsid w:val="00323451"/>
    <w:rsid w:val="00324879"/>
    <w:rsid w:val="00324D88"/>
    <w:rsid w:val="00325226"/>
    <w:rsid w:val="00325283"/>
    <w:rsid w:val="003260D6"/>
    <w:rsid w:val="00326765"/>
    <w:rsid w:val="00326DA1"/>
    <w:rsid w:val="00327539"/>
    <w:rsid w:val="00330B14"/>
    <w:rsid w:val="00331597"/>
    <w:rsid w:val="003318B6"/>
    <w:rsid w:val="00331D30"/>
    <w:rsid w:val="003325F9"/>
    <w:rsid w:val="00332ABC"/>
    <w:rsid w:val="003344DC"/>
    <w:rsid w:val="00336D84"/>
    <w:rsid w:val="00336DE6"/>
    <w:rsid w:val="00340DEC"/>
    <w:rsid w:val="00343907"/>
    <w:rsid w:val="00343ABE"/>
    <w:rsid w:val="00344F3C"/>
    <w:rsid w:val="003452F5"/>
    <w:rsid w:val="00345497"/>
    <w:rsid w:val="00345730"/>
    <w:rsid w:val="00345919"/>
    <w:rsid w:val="0035058B"/>
    <w:rsid w:val="00350B0B"/>
    <w:rsid w:val="00350C13"/>
    <w:rsid w:val="003525D3"/>
    <w:rsid w:val="0035278A"/>
    <w:rsid w:val="00352B3F"/>
    <w:rsid w:val="0035396C"/>
    <w:rsid w:val="00353BF5"/>
    <w:rsid w:val="00353DC1"/>
    <w:rsid w:val="00354305"/>
    <w:rsid w:val="00354320"/>
    <w:rsid w:val="003552BA"/>
    <w:rsid w:val="00355CD6"/>
    <w:rsid w:val="00356DEA"/>
    <w:rsid w:val="00357068"/>
    <w:rsid w:val="003570AD"/>
    <w:rsid w:val="0036038C"/>
    <w:rsid w:val="0036049F"/>
    <w:rsid w:val="00360DA7"/>
    <w:rsid w:val="003615E5"/>
    <w:rsid w:val="003618CA"/>
    <w:rsid w:val="00361F0D"/>
    <w:rsid w:val="0036234C"/>
    <w:rsid w:val="00362470"/>
    <w:rsid w:val="00362E14"/>
    <w:rsid w:val="00363120"/>
    <w:rsid w:val="0036405E"/>
    <w:rsid w:val="0036429C"/>
    <w:rsid w:val="0036437A"/>
    <w:rsid w:val="003645DB"/>
    <w:rsid w:val="00364B5F"/>
    <w:rsid w:val="003668A4"/>
    <w:rsid w:val="00366BE4"/>
    <w:rsid w:val="00367B93"/>
    <w:rsid w:val="00370281"/>
    <w:rsid w:val="00371EAA"/>
    <w:rsid w:val="00372F56"/>
    <w:rsid w:val="00373974"/>
    <w:rsid w:val="00373BFD"/>
    <w:rsid w:val="00374579"/>
    <w:rsid w:val="00375EF4"/>
    <w:rsid w:val="00376609"/>
    <w:rsid w:val="003769BC"/>
    <w:rsid w:val="00376AC4"/>
    <w:rsid w:val="00376B63"/>
    <w:rsid w:val="00376DB9"/>
    <w:rsid w:val="0038110E"/>
    <w:rsid w:val="0038202E"/>
    <w:rsid w:val="003871D8"/>
    <w:rsid w:val="0038721B"/>
    <w:rsid w:val="0038764C"/>
    <w:rsid w:val="00387661"/>
    <w:rsid w:val="00387EAB"/>
    <w:rsid w:val="00390694"/>
    <w:rsid w:val="003918CE"/>
    <w:rsid w:val="003920CB"/>
    <w:rsid w:val="003920FC"/>
    <w:rsid w:val="003923B4"/>
    <w:rsid w:val="0039332C"/>
    <w:rsid w:val="00393D7F"/>
    <w:rsid w:val="00393FA0"/>
    <w:rsid w:val="003941B7"/>
    <w:rsid w:val="003947CE"/>
    <w:rsid w:val="00395D68"/>
    <w:rsid w:val="00396284"/>
    <w:rsid w:val="003969A5"/>
    <w:rsid w:val="0039775F"/>
    <w:rsid w:val="0039783E"/>
    <w:rsid w:val="003A0667"/>
    <w:rsid w:val="003A0849"/>
    <w:rsid w:val="003A0F2A"/>
    <w:rsid w:val="003A169F"/>
    <w:rsid w:val="003A1B51"/>
    <w:rsid w:val="003A1B96"/>
    <w:rsid w:val="003A2536"/>
    <w:rsid w:val="003A3A06"/>
    <w:rsid w:val="003A3C96"/>
    <w:rsid w:val="003A4450"/>
    <w:rsid w:val="003A4922"/>
    <w:rsid w:val="003A498A"/>
    <w:rsid w:val="003A4CDF"/>
    <w:rsid w:val="003A544C"/>
    <w:rsid w:val="003A61B8"/>
    <w:rsid w:val="003A756C"/>
    <w:rsid w:val="003B046A"/>
    <w:rsid w:val="003B148C"/>
    <w:rsid w:val="003B247E"/>
    <w:rsid w:val="003B3272"/>
    <w:rsid w:val="003B582B"/>
    <w:rsid w:val="003C1C2A"/>
    <w:rsid w:val="003C231F"/>
    <w:rsid w:val="003C27E9"/>
    <w:rsid w:val="003C2AF0"/>
    <w:rsid w:val="003C381D"/>
    <w:rsid w:val="003C4BC5"/>
    <w:rsid w:val="003C555F"/>
    <w:rsid w:val="003C61F4"/>
    <w:rsid w:val="003C6925"/>
    <w:rsid w:val="003C711D"/>
    <w:rsid w:val="003D0736"/>
    <w:rsid w:val="003D16C0"/>
    <w:rsid w:val="003D1F5C"/>
    <w:rsid w:val="003D23D4"/>
    <w:rsid w:val="003D2E66"/>
    <w:rsid w:val="003D3000"/>
    <w:rsid w:val="003D3580"/>
    <w:rsid w:val="003D3BD7"/>
    <w:rsid w:val="003D4875"/>
    <w:rsid w:val="003D53CF"/>
    <w:rsid w:val="003D56BF"/>
    <w:rsid w:val="003D69B1"/>
    <w:rsid w:val="003E067F"/>
    <w:rsid w:val="003E1602"/>
    <w:rsid w:val="003E1B94"/>
    <w:rsid w:val="003E2528"/>
    <w:rsid w:val="003E25C2"/>
    <w:rsid w:val="003E3E42"/>
    <w:rsid w:val="003E5D7C"/>
    <w:rsid w:val="003E612E"/>
    <w:rsid w:val="003E780E"/>
    <w:rsid w:val="003F06C1"/>
    <w:rsid w:val="003F0D9D"/>
    <w:rsid w:val="003F1491"/>
    <w:rsid w:val="003F14B7"/>
    <w:rsid w:val="003F1BBC"/>
    <w:rsid w:val="003F20B0"/>
    <w:rsid w:val="003F4E9E"/>
    <w:rsid w:val="003F5B6E"/>
    <w:rsid w:val="003F74C9"/>
    <w:rsid w:val="003F77E3"/>
    <w:rsid w:val="00400787"/>
    <w:rsid w:val="00400887"/>
    <w:rsid w:val="004009F4"/>
    <w:rsid w:val="00401F29"/>
    <w:rsid w:val="00402A2B"/>
    <w:rsid w:val="00404159"/>
    <w:rsid w:val="004043FA"/>
    <w:rsid w:val="004049C8"/>
    <w:rsid w:val="00405B96"/>
    <w:rsid w:val="004060CD"/>
    <w:rsid w:val="0040796A"/>
    <w:rsid w:val="00410391"/>
    <w:rsid w:val="00411905"/>
    <w:rsid w:val="00411B05"/>
    <w:rsid w:val="0041256C"/>
    <w:rsid w:val="00412667"/>
    <w:rsid w:val="00412D63"/>
    <w:rsid w:val="00416B1C"/>
    <w:rsid w:val="0042056D"/>
    <w:rsid w:val="004229C3"/>
    <w:rsid w:val="00422AC7"/>
    <w:rsid w:val="00423B0C"/>
    <w:rsid w:val="00423B40"/>
    <w:rsid w:val="00423B89"/>
    <w:rsid w:val="00424675"/>
    <w:rsid w:val="00424AE6"/>
    <w:rsid w:val="00424F5E"/>
    <w:rsid w:val="00425139"/>
    <w:rsid w:val="0042545A"/>
    <w:rsid w:val="0042545D"/>
    <w:rsid w:val="00426510"/>
    <w:rsid w:val="004278E1"/>
    <w:rsid w:val="00430615"/>
    <w:rsid w:val="00430625"/>
    <w:rsid w:val="00431326"/>
    <w:rsid w:val="004316AF"/>
    <w:rsid w:val="00431962"/>
    <w:rsid w:val="004332AA"/>
    <w:rsid w:val="00433DEC"/>
    <w:rsid w:val="004342C8"/>
    <w:rsid w:val="0043483C"/>
    <w:rsid w:val="00434A59"/>
    <w:rsid w:val="00434C9F"/>
    <w:rsid w:val="004352AB"/>
    <w:rsid w:val="004404BA"/>
    <w:rsid w:val="00441109"/>
    <w:rsid w:val="004412D7"/>
    <w:rsid w:val="00441C08"/>
    <w:rsid w:val="00441E10"/>
    <w:rsid w:val="004458AA"/>
    <w:rsid w:val="004459D9"/>
    <w:rsid w:val="00445E5E"/>
    <w:rsid w:val="00446216"/>
    <w:rsid w:val="004468F9"/>
    <w:rsid w:val="00447579"/>
    <w:rsid w:val="004477E6"/>
    <w:rsid w:val="00450579"/>
    <w:rsid w:val="00451BA4"/>
    <w:rsid w:val="00452342"/>
    <w:rsid w:val="0045290E"/>
    <w:rsid w:val="004551EA"/>
    <w:rsid w:val="00455841"/>
    <w:rsid w:val="004561E0"/>
    <w:rsid w:val="004570DA"/>
    <w:rsid w:val="0046048D"/>
    <w:rsid w:val="0046063D"/>
    <w:rsid w:val="00460BC8"/>
    <w:rsid w:val="0046191F"/>
    <w:rsid w:val="00464426"/>
    <w:rsid w:val="004648DB"/>
    <w:rsid w:val="00464BD7"/>
    <w:rsid w:val="00464FDF"/>
    <w:rsid w:val="00465B15"/>
    <w:rsid w:val="00465CFB"/>
    <w:rsid w:val="004714C2"/>
    <w:rsid w:val="00471C76"/>
    <w:rsid w:val="00472797"/>
    <w:rsid w:val="004732E4"/>
    <w:rsid w:val="004734D5"/>
    <w:rsid w:val="0047358F"/>
    <w:rsid w:val="0047395D"/>
    <w:rsid w:val="00475130"/>
    <w:rsid w:val="00475150"/>
    <w:rsid w:val="00475D97"/>
    <w:rsid w:val="00476FC4"/>
    <w:rsid w:val="004770BB"/>
    <w:rsid w:val="004773B0"/>
    <w:rsid w:val="00477DDC"/>
    <w:rsid w:val="004801CC"/>
    <w:rsid w:val="0048050D"/>
    <w:rsid w:val="004814A2"/>
    <w:rsid w:val="00482291"/>
    <w:rsid w:val="0048276E"/>
    <w:rsid w:val="00482874"/>
    <w:rsid w:val="0048331B"/>
    <w:rsid w:val="00483F14"/>
    <w:rsid w:val="0048414D"/>
    <w:rsid w:val="004842E5"/>
    <w:rsid w:val="00484771"/>
    <w:rsid w:val="004848B5"/>
    <w:rsid w:val="00484B16"/>
    <w:rsid w:val="0048595F"/>
    <w:rsid w:val="00486061"/>
    <w:rsid w:val="00486928"/>
    <w:rsid w:val="00486F1B"/>
    <w:rsid w:val="0048713C"/>
    <w:rsid w:val="00487CA2"/>
    <w:rsid w:val="004904CB"/>
    <w:rsid w:val="004912B6"/>
    <w:rsid w:val="004913B2"/>
    <w:rsid w:val="00491643"/>
    <w:rsid w:val="004924ED"/>
    <w:rsid w:val="00492DD2"/>
    <w:rsid w:val="00494C31"/>
    <w:rsid w:val="004951F5"/>
    <w:rsid w:val="004954A4"/>
    <w:rsid w:val="00495A36"/>
    <w:rsid w:val="00496587"/>
    <w:rsid w:val="00497890"/>
    <w:rsid w:val="004A298D"/>
    <w:rsid w:val="004A2FCF"/>
    <w:rsid w:val="004A3BFD"/>
    <w:rsid w:val="004A46B9"/>
    <w:rsid w:val="004A5538"/>
    <w:rsid w:val="004A5F16"/>
    <w:rsid w:val="004A653A"/>
    <w:rsid w:val="004A696A"/>
    <w:rsid w:val="004A69CB"/>
    <w:rsid w:val="004A72F6"/>
    <w:rsid w:val="004A7DBE"/>
    <w:rsid w:val="004B1463"/>
    <w:rsid w:val="004B2254"/>
    <w:rsid w:val="004B24A3"/>
    <w:rsid w:val="004B292C"/>
    <w:rsid w:val="004B2DCE"/>
    <w:rsid w:val="004B3755"/>
    <w:rsid w:val="004B67F9"/>
    <w:rsid w:val="004B750E"/>
    <w:rsid w:val="004C104A"/>
    <w:rsid w:val="004C163B"/>
    <w:rsid w:val="004C1D2F"/>
    <w:rsid w:val="004C1EA0"/>
    <w:rsid w:val="004C25F8"/>
    <w:rsid w:val="004C425A"/>
    <w:rsid w:val="004C4844"/>
    <w:rsid w:val="004C488E"/>
    <w:rsid w:val="004C49A9"/>
    <w:rsid w:val="004C560E"/>
    <w:rsid w:val="004C60FB"/>
    <w:rsid w:val="004C6100"/>
    <w:rsid w:val="004C6841"/>
    <w:rsid w:val="004C6D54"/>
    <w:rsid w:val="004C7473"/>
    <w:rsid w:val="004C758C"/>
    <w:rsid w:val="004C779F"/>
    <w:rsid w:val="004C7B7C"/>
    <w:rsid w:val="004D0581"/>
    <w:rsid w:val="004D4042"/>
    <w:rsid w:val="004D60BA"/>
    <w:rsid w:val="004D6DE1"/>
    <w:rsid w:val="004D751D"/>
    <w:rsid w:val="004D768D"/>
    <w:rsid w:val="004D77A9"/>
    <w:rsid w:val="004D7A44"/>
    <w:rsid w:val="004D7AB8"/>
    <w:rsid w:val="004E087A"/>
    <w:rsid w:val="004E09FF"/>
    <w:rsid w:val="004E0D74"/>
    <w:rsid w:val="004E114D"/>
    <w:rsid w:val="004E3C2A"/>
    <w:rsid w:val="004E432E"/>
    <w:rsid w:val="004E43E4"/>
    <w:rsid w:val="004E4B32"/>
    <w:rsid w:val="004E516E"/>
    <w:rsid w:val="004E67EE"/>
    <w:rsid w:val="004E6FE6"/>
    <w:rsid w:val="004F0249"/>
    <w:rsid w:val="004F063B"/>
    <w:rsid w:val="004F106A"/>
    <w:rsid w:val="004F19A2"/>
    <w:rsid w:val="004F2BE8"/>
    <w:rsid w:val="004F6E5F"/>
    <w:rsid w:val="004F7068"/>
    <w:rsid w:val="0050193E"/>
    <w:rsid w:val="00501B68"/>
    <w:rsid w:val="00502579"/>
    <w:rsid w:val="005027EF"/>
    <w:rsid w:val="00502A14"/>
    <w:rsid w:val="00502CE2"/>
    <w:rsid w:val="0050474A"/>
    <w:rsid w:val="0050475C"/>
    <w:rsid w:val="00504B57"/>
    <w:rsid w:val="00505EB0"/>
    <w:rsid w:val="005066CE"/>
    <w:rsid w:val="0050688D"/>
    <w:rsid w:val="00506CCD"/>
    <w:rsid w:val="00507156"/>
    <w:rsid w:val="005076A2"/>
    <w:rsid w:val="00507931"/>
    <w:rsid w:val="005103F9"/>
    <w:rsid w:val="00510DEF"/>
    <w:rsid w:val="00513EC1"/>
    <w:rsid w:val="00514655"/>
    <w:rsid w:val="00514B14"/>
    <w:rsid w:val="00515C21"/>
    <w:rsid w:val="00515E4E"/>
    <w:rsid w:val="00516CC5"/>
    <w:rsid w:val="00517092"/>
    <w:rsid w:val="00517C40"/>
    <w:rsid w:val="00520BB3"/>
    <w:rsid w:val="005210D9"/>
    <w:rsid w:val="005211C0"/>
    <w:rsid w:val="005228DD"/>
    <w:rsid w:val="0052307C"/>
    <w:rsid w:val="0052462C"/>
    <w:rsid w:val="00525155"/>
    <w:rsid w:val="00526923"/>
    <w:rsid w:val="00526A76"/>
    <w:rsid w:val="00526E44"/>
    <w:rsid w:val="00526F9A"/>
    <w:rsid w:val="0052777B"/>
    <w:rsid w:val="00527934"/>
    <w:rsid w:val="00530868"/>
    <w:rsid w:val="00530D60"/>
    <w:rsid w:val="005324D5"/>
    <w:rsid w:val="00533DEC"/>
    <w:rsid w:val="005346C5"/>
    <w:rsid w:val="00534C90"/>
    <w:rsid w:val="00534DF4"/>
    <w:rsid w:val="00535005"/>
    <w:rsid w:val="00536302"/>
    <w:rsid w:val="00536792"/>
    <w:rsid w:val="00537B6A"/>
    <w:rsid w:val="00537E3B"/>
    <w:rsid w:val="00540C68"/>
    <w:rsid w:val="00542AE5"/>
    <w:rsid w:val="0054479B"/>
    <w:rsid w:val="00545023"/>
    <w:rsid w:val="005452D5"/>
    <w:rsid w:val="00547038"/>
    <w:rsid w:val="0055085C"/>
    <w:rsid w:val="00552606"/>
    <w:rsid w:val="00553119"/>
    <w:rsid w:val="00553E37"/>
    <w:rsid w:val="00554481"/>
    <w:rsid w:val="005545E6"/>
    <w:rsid w:val="005553F2"/>
    <w:rsid w:val="00555503"/>
    <w:rsid w:val="0055782C"/>
    <w:rsid w:val="005579E6"/>
    <w:rsid w:val="005612A4"/>
    <w:rsid w:val="00562400"/>
    <w:rsid w:val="00562C9D"/>
    <w:rsid w:val="00563786"/>
    <w:rsid w:val="00564396"/>
    <w:rsid w:val="00564B69"/>
    <w:rsid w:val="00564D82"/>
    <w:rsid w:val="00565C85"/>
    <w:rsid w:val="00565E2F"/>
    <w:rsid w:val="00566B59"/>
    <w:rsid w:val="005679D0"/>
    <w:rsid w:val="00567FB4"/>
    <w:rsid w:val="0057037B"/>
    <w:rsid w:val="0057082A"/>
    <w:rsid w:val="005738A7"/>
    <w:rsid w:val="00573E4B"/>
    <w:rsid w:val="00575152"/>
    <w:rsid w:val="00575C00"/>
    <w:rsid w:val="00575E86"/>
    <w:rsid w:val="00577028"/>
    <w:rsid w:val="00577C34"/>
    <w:rsid w:val="0058107F"/>
    <w:rsid w:val="005817B2"/>
    <w:rsid w:val="00581973"/>
    <w:rsid w:val="00582063"/>
    <w:rsid w:val="00582D22"/>
    <w:rsid w:val="00583719"/>
    <w:rsid w:val="00584050"/>
    <w:rsid w:val="0058573C"/>
    <w:rsid w:val="0058649C"/>
    <w:rsid w:val="005878C9"/>
    <w:rsid w:val="005907CC"/>
    <w:rsid w:val="00590C41"/>
    <w:rsid w:val="005910F6"/>
    <w:rsid w:val="00593D98"/>
    <w:rsid w:val="0059463D"/>
    <w:rsid w:val="00594FC2"/>
    <w:rsid w:val="00595449"/>
    <w:rsid w:val="005955E9"/>
    <w:rsid w:val="00596D60"/>
    <w:rsid w:val="005A0F9C"/>
    <w:rsid w:val="005A16A8"/>
    <w:rsid w:val="005A1866"/>
    <w:rsid w:val="005A2292"/>
    <w:rsid w:val="005A22C4"/>
    <w:rsid w:val="005A3490"/>
    <w:rsid w:val="005A35AA"/>
    <w:rsid w:val="005A4881"/>
    <w:rsid w:val="005A60D0"/>
    <w:rsid w:val="005A64DC"/>
    <w:rsid w:val="005A6865"/>
    <w:rsid w:val="005A6C4F"/>
    <w:rsid w:val="005A6CD6"/>
    <w:rsid w:val="005A704C"/>
    <w:rsid w:val="005B09B9"/>
    <w:rsid w:val="005B23C7"/>
    <w:rsid w:val="005B24EF"/>
    <w:rsid w:val="005B289F"/>
    <w:rsid w:val="005B34F2"/>
    <w:rsid w:val="005B41AC"/>
    <w:rsid w:val="005B5EED"/>
    <w:rsid w:val="005B62AA"/>
    <w:rsid w:val="005B648F"/>
    <w:rsid w:val="005B6D18"/>
    <w:rsid w:val="005B71D1"/>
    <w:rsid w:val="005C2F1B"/>
    <w:rsid w:val="005C3C25"/>
    <w:rsid w:val="005C4026"/>
    <w:rsid w:val="005C4956"/>
    <w:rsid w:val="005C50ED"/>
    <w:rsid w:val="005C6669"/>
    <w:rsid w:val="005C7CCB"/>
    <w:rsid w:val="005D1B4B"/>
    <w:rsid w:val="005D1C63"/>
    <w:rsid w:val="005D2E32"/>
    <w:rsid w:val="005D33D1"/>
    <w:rsid w:val="005D390D"/>
    <w:rsid w:val="005D3D85"/>
    <w:rsid w:val="005D4726"/>
    <w:rsid w:val="005D49BF"/>
    <w:rsid w:val="005D5E14"/>
    <w:rsid w:val="005D6840"/>
    <w:rsid w:val="005E0089"/>
    <w:rsid w:val="005E0146"/>
    <w:rsid w:val="005E0584"/>
    <w:rsid w:val="005E287E"/>
    <w:rsid w:val="005E3C55"/>
    <w:rsid w:val="005E41A8"/>
    <w:rsid w:val="005E41DF"/>
    <w:rsid w:val="005E43D8"/>
    <w:rsid w:val="005E4724"/>
    <w:rsid w:val="005E4FBA"/>
    <w:rsid w:val="005E6066"/>
    <w:rsid w:val="005E6B8A"/>
    <w:rsid w:val="005E71E5"/>
    <w:rsid w:val="005E7D71"/>
    <w:rsid w:val="005F17AB"/>
    <w:rsid w:val="005F1860"/>
    <w:rsid w:val="005F193D"/>
    <w:rsid w:val="005F1A44"/>
    <w:rsid w:val="005F1B36"/>
    <w:rsid w:val="005F26AE"/>
    <w:rsid w:val="005F5676"/>
    <w:rsid w:val="005F5B23"/>
    <w:rsid w:val="00602682"/>
    <w:rsid w:val="00602A4E"/>
    <w:rsid w:val="00603E49"/>
    <w:rsid w:val="00604B33"/>
    <w:rsid w:val="00605A02"/>
    <w:rsid w:val="00605C62"/>
    <w:rsid w:val="00605F8A"/>
    <w:rsid w:val="0060629C"/>
    <w:rsid w:val="00607AA7"/>
    <w:rsid w:val="006118EB"/>
    <w:rsid w:val="00612496"/>
    <w:rsid w:val="006129D1"/>
    <w:rsid w:val="0061303F"/>
    <w:rsid w:val="00614075"/>
    <w:rsid w:val="00614BA0"/>
    <w:rsid w:val="00614C87"/>
    <w:rsid w:val="00615DC7"/>
    <w:rsid w:val="00620AF2"/>
    <w:rsid w:val="00620CA4"/>
    <w:rsid w:val="006214CE"/>
    <w:rsid w:val="0062164F"/>
    <w:rsid w:val="0062187F"/>
    <w:rsid w:val="00623239"/>
    <w:rsid w:val="006238B0"/>
    <w:rsid w:val="00623CE7"/>
    <w:rsid w:val="00623D9D"/>
    <w:rsid w:val="00624449"/>
    <w:rsid w:val="006246A7"/>
    <w:rsid w:val="00624AF1"/>
    <w:rsid w:val="00626328"/>
    <w:rsid w:val="0062636A"/>
    <w:rsid w:val="00626579"/>
    <w:rsid w:val="0062663C"/>
    <w:rsid w:val="0062724B"/>
    <w:rsid w:val="00627F47"/>
    <w:rsid w:val="006303B8"/>
    <w:rsid w:val="00630B0A"/>
    <w:rsid w:val="00630B74"/>
    <w:rsid w:val="0063185F"/>
    <w:rsid w:val="00634226"/>
    <w:rsid w:val="006346B4"/>
    <w:rsid w:val="00635757"/>
    <w:rsid w:val="0063586E"/>
    <w:rsid w:val="00636184"/>
    <w:rsid w:val="0063785D"/>
    <w:rsid w:val="00637ED6"/>
    <w:rsid w:val="0064046E"/>
    <w:rsid w:val="006411F2"/>
    <w:rsid w:val="006438A5"/>
    <w:rsid w:val="0064448A"/>
    <w:rsid w:val="00645B21"/>
    <w:rsid w:val="00645C92"/>
    <w:rsid w:val="00646E21"/>
    <w:rsid w:val="00647FB1"/>
    <w:rsid w:val="006501B7"/>
    <w:rsid w:val="006503EC"/>
    <w:rsid w:val="006509A0"/>
    <w:rsid w:val="0065100A"/>
    <w:rsid w:val="00651272"/>
    <w:rsid w:val="00651321"/>
    <w:rsid w:val="0065174B"/>
    <w:rsid w:val="00653324"/>
    <w:rsid w:val="00654220"/>
    <w:rsid w:val="006557DD"/>
    <w:rsid w:val="00655FB5"/>
    <w:rsid w:val="00656650"/>
    <w:rsid w:val="00656694"/>
    <w:rsid w:val="006567ED"/>
    <w:rsid w:val="006577D6"/>
    <w:rsid w:val="00657F16"/>
    <w:rsid w:val="006607FB"/>
    <w:rsid w:val="00660E7C"/>
    <w:rsid w:val="006631E2"/>
    <w:rsid w:val="0066356C"/>
    <w:rsid w:val="006638D0"/>
    <w:rsid w:val="006643E2"/>
    <w:rsid w:val="00664ABD"/>
    <w:rsid w:val="00664FF3"/>
    <w:rsid w:val="0066647A"/>
    <w:rsid w:val="006666CF"/>
    <w:rsid w:val="00667F5F"/>
    <w:rsid w:val="006708A3"/>
    <w:rsid w:val="00671005"/>
    <w:rsid w:val="00671A38"/>
    <w:rsid w:val="00671B49"/>
    <w:rsid w:val="00672AE4"/>
    <w:rsid w:val="00673861"/>
    <w:rsid w:val="0067470F"/>
    <w:rsid w:val="006747F7"/>
    <w:rsid w:val="00675EDF"/>
    <w:rsid w:val="006764ED"/>
    <w:rsid w:val="00676F71"/>
    <w:rsid w:val="00676F96"/>
    <w:rsid w:val="00677827"/>
    <w:rsid w:val="0067787C"/>
    <w:rsid w:val="00680CEA"/>
    <w:rsid w:val="00681120"/>
    <w:rsid w:val="00681E87"/>
    <w:rsid w:val="006826B0"/>
    <w:rsid w:val="00682728"/>
    <w:rsid w:val="006829DF"/>
    <w:rsid w:val="00685177"/>
    <w:rsid w:val="00685545"/>
    <w:rsid w:val="006857BA"/>
    <w:rsid w:val="00687453"/>
    <w:rsid w:val="006936EE"/>
    <w:rsid w:val="006940B6"/>
    <w:rsid w:val="00694252"/>
    <w:rsid w:val="0069461B"/>
    <w:rsid w:val="006948E1"/>
    <w:rsid w:val="006951A2"/>
    <w:rsid w:val="00695481"/>
    <w:rsid w:val="00695E8A"/>
    <w:rsid w:val="00696701"/>
    <w:rsid w:val="00696A6B"/>
    <w:rsid w:val="00696FCB"/>
    <w:rsid w:val="006971E9"/>
    <w:rsid w:val="00697C58"/>
    <w:rsid w:val="006A136A"/>
    <w:rsid w:val="006A1A48"/>
    <w:rsid w:val="006A2271"/>
    <w:rsid w:val="006A2926"/>
    <w:rsid w:val="006A2BE5"/>
    <w:rsid w:val="006A3BC8"/>
    <w:rsid w:val="006A4919"/>
    <w:rsid w:val="006A60BA"/>
    <w:rsid w:val="006A6B9B"/>
    <w:rsid w:val="006A7CD6"/>
    <w:rsid w:val="006B0079"/>
    <w:rsid w:val="006B028D"/>
    <w:rsid w:val="006B11BD"/>
    <w:rsid w:val="006B1F4B"/>
    <w:rsid w:val="006B25DF"/>
    <w:rsid w:val="006B4907"/>
    <w:rsid w:val="006B4992"/>
    <w:rsid w:val="006B6321"/>
    <w:rsid w:val="006B6A38"/>
    <w:rsid w:val="006B7645"/>
    <w:rsid w:val="006B7A43"/>
    <w:rsid w:val="006C088E"/>
    <w:rsid w:val="006C0CE6"/>
    <w:rsid w:val="006C17D7"/>
    <w:rsid w:val="006C1E24"/>
    <w:rsid w:val="006C2DE8"/>
    <w:rsid w:val="006C4082"/>
    <w:rsid w:val="006C470C"/>
    <w:rsid w:val="006D0497"/>
    <w:rsid w:val="006D11EB"/>
    <w:rsid w:val="006D290F"/>
    <w:rsid w:val="006D298D"/>
    <w:rsid w:val="006D3CEF"/>
    <w:rsid w:val="006D4B28"/>
    <w:rsid w:val="006D5851"/>
    <w:rsid w:val="006D5B24"/>
    <w:rsid w:val="006D74A1"/>
    <w:rsid w:val="006E045D"/>
    <w:rsid w:val="006E08ED"/>
    <w:rsid w:val="006E0E83"/>
    <w:rsid w:val="006E13A9"/>
    <w:rsid w:val="006E1660"/>
    <w:rsid w:val="006E1C88"/>
    <w:rsid w:val="006E21C8"/>
    <w:rsid w:val="006E2327"/>
    <w:rsid w:val="006E2C4B"/>
    <w:rsid w:val="006E2D28"/>
    <w:rsid w:val="006E3D7E"/>
    <w:rsid w:val="006E532D"/>
    <w:rsid w:val="006E6130"/>
    <w:rsid w:val="006E6C45"/>
    <w:rsid w:val="006F134D"/>
    <w:rsid w:val="006F17DA"/>
    <w:rsid w:val="006F472F"/>
    <w:rsid w:val="006F520F"/>
    <w:rsid w:val="006F5371"/>
    <w:rsid w:val="006F58E3"/>
    <w:rsid w:val="006F696D"/>
    <w:rsid w:val="00702BFA"/>
    <w:rsid w:val="00703D62"/>
    <w:rsid w:val="00704AEE"/>
    <w:rsid w:val="00706EC8"/>
    <w:rsid w:val="00707160"/>
    <w:rsid w:val="00707264"/>
    <w:rsid w:val="00710982"/>
    <w:rsid w:val="00710A7C"/>
    <w:rsid w:val="00710F79"/>
    <w:rsid w:val="00711C1B"/>
    <w:rsid w:val="00711EDF"/>
    <w:rsid w:val="007137A8"/>
    <w:rsid w:val="007144F9"/>
    <w:rsid w:val="00714723"/>
    <w:rsid w:val="007149E9"/>
    <w:rsid w:val="00715F13"/>
    <w:rsid w:val="0071614C"/>
    <w:rsid w:val="0071691F"/>
    <w:rsid w:val="00717437"/>
    <w:rsid w:val="00720E24"/>
    <w:rsid w:val="007214A7"/>
    <w:rsid w:val="00723DD8"/>
    <w:rsid w:val="00724FBF"/>
    <w:rsid w:val="0072608B"/>
    <w:rsid w:val="007264AB"/>
    <w:rsid w:val="00727824"/>
    <w:rsid w:val="00727A60"/>
    <w:rsid w:val="0073049F"/>
    <w:rsid w:val="007315DF"/>
    <w:rsid w:val="00733D6E"/>
    <w:rsid w:val="007345E6"/>
    <w:rsid w:val="00734A39"/>
    <w:rsid w:val="00734B5A"/>
    <w:rsid w:val="0073592A"/>
    <w:rsid w:val="007360A4"/>
    <w:rsid w:val="00736E9A"/>
    <w:rsid w:val="00737090"/>
    <w:rsid w:val="00741827"/>
    <w:rsid w:val="00741947"/>
    <w:rsid w:val="00743068"/>
    <w:rsid w:val="0074374A"/>
    <w:rsid w:val="007445CD"/>
    <w:rsid w:val="00744A61"/>
    <w:rsid w:val="00744E82"/>
    <w:rsid w:val="007451FA"/>
    <w:rsid w:val="00746CA8"/>
    <w:rsid w:val="00747484"/>
    <w:rsid w:val="00747BA7"/>
    <w:rsid w:val="00747EBF"/>
    <w:rsid w:val="0075223A"/>
    <w:rsid w:val="0075226F"/>
    <w:rsid w:val="00753B55"/>
    <w:rsid w:val="007549F9"/>
    <w:rsid w:val="00755C88"/>
    <w:rsid w:val="00755DB5"/>
    <w:rsid w:val="00756DBB"/>
    <w:rsid w:val="00756F5B"/>
    <w:rsid w:val="00757758"/>
    <w:rsid w:val="00757B70"/>
    <w:rsid w:val="00757CF4"/>
    <w:rsid w:val="00760563"/>
    <w:rsid w:val="007616EF"/>
    <w:rsid w:val="00761FEC"/>
    <w:rsid w:val="00763683"/>
    <w:rsid w:val="00764EDF"/>
    <w:rsid w:val="00765DF5"/>
    <w:rsid w:val="007671BF"/>
    <w:rsid w:val="007676F0"/>
    <w:rsid w:val="00770C8C"/>
    <w:rsid w:val="00771ABA"/>
    <w:rsid w:val="0077374C"/>
    <w:rsid w:val="0077460D"/>
    <w:rsid w:val="00776824"/>
    <w:rsid w:val="00776C17"/>
    <w:rsid w:val="007776A8"/>
    <w:rsid w:val="00777A91"/>
    <w:rsid w:val="00780B3F"/>
    <w:rsid w:val="00781C06"/>
    <w:rsid w:val="00782D07"/>
    <w:rsid w:val="00785074"/>
    <w:rsid w:val="007858DB"/>
    <w:rsid w:val="0078632E"/>
    <w:rsid w:val="00786F53"/>
    <w:rsid w:val="0079021C"/>
    <w:rsid w:val="00790DDB"/>
    <w:rsid w:val="007910C3"/>
    <w:rsid w:val="00791842"/>
    <w:rsid w:val="00792DFE"/>
    <w:rsid w:val="007933BE"/>
    <w:rsid w:val="00794550"/>
    <w:rsid w:val="0079585E"/>
    <w:rsid w:val="00795A60"/>
    <w:rsid w:val="007979CF"/>
    <w:rsid w:val="007A0FF8"/>
    <w:rsid w:val="007A1C3D"/>
    <w:rsid w:val="007A3129"/>
    <w:rsid w:val="007A3864"/>
    <w:rsid w:val="007A3AC7"/>
    <w:rsid w:val="007A3C04"/>
    <w:rsid w:val="007A4AFD"/>
    <w:rsid w:val="007A5340"/>
    <w:rsid w:val="007A5517"/>
    <w:rsid w:val="007A5A1D"/>
    <w:rsid w:val="007A5CAD"/>
    <w:rsid w:val="007A6072"/>
    <w:rsid w:val="007A7BB9"/>
    <w:rsid w:val="007B1C0C"/>
    <w:rsid w:val="007B21DD"/>
    <w:rsid w:val="007B284D"/>
    <w:rsid w:val="007B2930"/>
    <w:rsid w:val="007B3545"/>
    <w:rsid w:val="007B38D4"/>
    <w:rsid w:val="007B41B3"/>
    <w:rsid w:val="007B4C0C"/>
    <w:rsid w:val="007B5C63"/>
    <w:rsid w:val="007B653F"/>
    <w:rsid w:val="007B7231"/>
    <w:rsid w:val="007B781D"/>
    <w:rsid w:val="007B7C72"/>
    <w:rsid w:val="007B7E43"/>
    <w:rsid w:val="007C0917"/>
    <w:rsid w:val="007C099B"/>
    <w:rsid w:val="007C10B6"/>
    <w:rsid w:val="007C3279"/>
    <w:rsid w:val="007C37AF"/>
    <w:rsid w:val="007C4368"/>
    <w:rsid w:val="007C43BC"/>
    <w:rsid w:val="007C48FF"/>
    <w:rsid w:val="007C4E13"/>
    <w:rsid w:val="007C507D"/>
    <w:rsid w:val="007C57FF"/>
    <w:rsid w:val="007C59EE"/>
    <w:rsid w:val="007C5F17"/>
    <w:rsid w:val="007C6C44"/>
    <w:rsid w:val="007D0991"/>
    <w:rsid w:val="007D2034"/>
    <w:rsid w:val="007D30FF"/>
    <w:rsid w:val="007D419B"/>
    <w:rsid w:val="007D5202"/>
    <w:rsid w:val="007D659F"/>
    <w:rsid w:val="007D7E6F"/>
    <w:rsid w:val="007E03D7"/>
    <w:rsid w:val="007E15B4"/>
    <w:rsid w:val="007E1B9B"/>
    <w:rsid w:val="007E22F2"/>
    <w:rsid w:val="007E2BF6"/>
    <w:rsid w:val="007E2CA7"/>
    <w:rsid w:val="007E44D9"/>
    <w:rsid w:val="007E5669"/>
    <w:rsid w:val="007E6C3D"/>
    <w:rsid w:val="007F02F9"/>
    <w:rsid w:val="007F0564"/>
    <w:rsid w:val="007F19C1"/>
    <w:rsid w:val="007F1BEA"/>
    <w:rsid w:val="007F27A0"/>
    <w:rsid w:val="007F3635"/>
    <w:rsid w:val="007F3DA6"/>
    <w:rsid w:val="007F56F6"/>
    <w:rsid w:val="007F5872"/>
    <w:rsid w:val="007F5C4C"/>
    <w:rsid w:val="007F68F8"/>
    <w:rsid w:val="007F7A86"/>
    <w:rsid w:val="007F7E66"/>
    <w:rsid w:val="0080123B"/>
    <w:rsid w:val="008018F7"/>
    <w:rsid w:val="00801A92"/>
    <w:rsid w:val="0080206B"/>
    <w:rsid w:val="00802239"/>
    <w:rsid w:val="00802F40"/>
    <w:rsid w:val="00803F0E"/>
    <w:rsid w:val="00804C76"/>
    <w:rsid w:val="00806201"/>
    <w:rsid w:val="008068B9"/>
    <w:rsid w:val="00806E02"/>
    <w:rsid w:val="00806E64"/>
    <w:rsid w:val="00810799"/>
    <w:rsid w:val="0081199B"/>
    <w:rsid w:val="00813A67"/>
    <w:rsid w:val="00813B17"/>
    <w:rsid w:val="00813FE5"/>
    <w:rsid w:val="00814872"/>
    <w:rsid w:val="0081589A"/>
    <w:rsid w:val="008158DF"/>
    <w:rsid w:val="00815AAF"/>
    <w:rsid w:val="00816BC1"/>
    <w:rsid w:val="00816D2D"/>
    <w:rsid w:val="00816DB0"/>
    <w:rsid w:val="00816EC8"/>
    <w:rsid w:val="0081764E"/>
    <w:rsid w:val="008200AB"/>
    <w:rsid w:val="00822E17"/>
    <w:rsid w:val="00822E75"/>
    <w:rsid w:val="008231AC"/>
    <w:rsid w:val="008232A9"/>
    <w:rsid w:val="00824F72"/>
    <w:rsid w:val="0082523E"/>
    <w:rsid w:val="00825398"/>
    <w:rsid w:val="00827F32"/>
    <w:rsid w:val="00830819"/>
    <w:rsid w:val="00830BA7"/>
    <w:rsid w:val="00830E9E"/>
    <w:rsid w:val="00831FB1"/>
    <w:rsid w:val="00834004"/>
    <w:rsid w:val="008341CA"/>
    <w:rsid w:val="00835585"/>
    <w:rsid w:val="008359FA"/>
    <w:rsid w:val="00836C85"/>
    <w:rsid w:val="0083721C"/>
    <w:rsid w:val="0084085B"/>
    <w:rsid w:val="00840ACC"/>
    <w:rsid w:val="00841AF3"/>
    <w:rsid w:val="00842805"/>
    <w:rsid w:val="008435D3"/>
    <w:rsid w:val="008457D2"/>
    <w:rsid w:val="00845F41"/>
    <w:rsid w:val="00846DFD"/>
    <w:rsid w:val="00847A88"/>
    <w:rsid w:val="0085035F"/>
    <w:rsid w:val="00850693"/>
    <w:rsid w:val="008507EC"/>
    <w:rsid w:val="008507F2"/>
    <w:rsid w:val="00850A7B"/>
    <w:rsid w:val="0085117A"/>
    <w:rsid w:val="008529ED"/>
    <w:rsid w:val="00852B64"/>
    <w:rsid w:val="00854638"/>
    <w:rsid w:val="00855972"/>
    <w:rsid w:val="008561D4"/>
    <w:rsid w:val="0085642A"/>
    <w:rsid w:val="0085747A"/>
    <w:rsid w:val="008608F6"/>
    <w:rsid w:val="00861050"/>
    <w:rsid w:val="008613BA"/>
    <w:rsid w:val="00862145"/>
    <w:rsid w:val="00862347"/>
    <w:rsid w:val="00864183"/>
    <w:rsid w:val="00864927"/>
    <w:rsid w:val="00865CE3"/>
    <w:rsid w:val="00866A12"/>
    <w:rsid w:val="008678A1"/>
    <w:rsid w:val="008704AC"/>
    <w:rsid w:val="00870D91"/>
    <w:rsid w:val="00872CAF"/>
    <w:rsid w:val="00873180"/>
    <w:rsid w:val="00873F3B"/>
    <w:rsid w:val="0087408F"/>
    <w:rsid w:val="008746C1"/>
    <w:rsid w:val="00874E23"/>
    <w:rsid w:val="00874E2B"/>
    <w:rsid w:val="0087507A"/>
    <w:rsid w:val="00875384"/>
    <w:rsid w:val="008758DC"/>
    <w:rsid w:val="00875E8D"/>
    <w:rsid w:val="008760D4"/>
    <w:rsid w:val="008777AA"/>
    <w:rsid w:val="008778E6"/>
    <w:rsid w:val="00877E72"/>
    <w:rsid w:val="008807A1"/>
    <w:rsid w:val="00880BA0"/>
    <w:rsid w:val="00882155"/>
    <w:rsid w:val="008821CC"/>
    <w:rsid w:val="00884549"/>
    <w:rsid w:val="00884EF1"/>
    <w:rsid w:val="008861AC"/>
    <w:rsid w:val="00886483"/>
    <w:rsid w:val="008864DA"/>
    <w:rsid w:val="0089158B"/>
    <w:rsid w:val="00891D84"/>
    <w:rsid w:val="00892190"/>
    <w:rsid w:val="00892461"/>
    <w:rsid w:val="008924C5"/>
    <w:rsid w:val="008947BA"/>
    <w:rsid w:val="00894E2A"/>
    <w:rsid w:val="008959BE"/>
    <w:rsid w:val="00896EBE"/>
    <w:rsid w:val="008A02DB"/>
    <w:rsid w:val="008A05A1"/>
    <w:rsid w:val="008A18BC"/>
    <w:rsid w:val="008A1E95"/>
    <w:rsid w:val="008A2166"/>
    <w:rsid w:val="008A2247"/>
    <w:rsid w:val="008A2AE0"/>
    <w:rsid w:val="008A45B9"/>
    <w:rsid w:val="008A47EF"/>
    <w:rsid w:val="008A4B73"/>
    <w:rsid w:val="008A54A0"/>
    <w:rsid w:val="008A5E80"/>
    <w:rsid w:val="008A65B9"/>
    <w:rsid w:val="008A7685"/>
    <w:rsid w:val="008A7A9B"/>
    <w:rsid w:val="008B01D8"/>
    <w:rsid w:val="008B090F"/>
    <w:rsid w:val="008B0B09"/>
    <w:rsid w:val="008B1AC4"/>
    <w:rsid w:val="008B2C9D"/>
    <w:rsid w:val="008B2E3B"/>
    <w:rsid w:val="008B325A"/>
    <w:rsid w:val="008B7081"/>
    <w:rsid w:val="008B747D"/>
    <w:rsid w:val="008B77AF"/>
    <w:rsid w:val="008C066E"/>
    <w:rsid w:val="008C081B"/>
    <w:rsid w:val="008C226B"/>
    <w:rsid w:val="008C2587"/>
    <w:rsid w:val="008C435A"/>
    <w:rsid w:val="008C481A"/>
    <w:rsid w:val="008C5C94"/>
    <w:rsid w:val="008C5FB6"/>
    <w:rsid w:val="008C6BC1"/>
    <w:rsid w:val="008C6F53"/>
    <w:rsid w:val="008C7397"/>
    <w:rsid w:val="008D017C"/>
    <w:rsid w:val="008D0B7A"/>
    <w:rsid w:val="008D0FA3"/>
    <w:rsid w:val="008D1DC0"/>
    <w:rsid w:val="008D2F1E"/>
    <w:rsid w:val="008D37A3"/>
    <w:rsid w:val="008D47B2"/>
    <w:rsid w:val="008D4A57"/>
    <w:rsid w:val="008D4BBB"/>
    <w:rsid w:val="008D4FB0"/>
    <w:rsid w:val="008D5D59"/>
    <w:rsid w:val="008D67F1"/>
    <w:rsid w:val="008D6B03"/>
    <w:rsid w:val="008D70FE"/>
    <w:rsid w:val="008D7193"/>
    <w:rsid w:val="008E0131"/>
    <w:rsid w:val="008E0633"/>
    <w:rsid w:val="008E0D72"/>
    <w:rsid w:val="008E1625"/>
    <w:rsid w:val="008E1DA6"/>
    <w:rsid w:val="008E2B68"/>
    <w:rsid w:val="008E3211"/>
    <w:rsid w:val="008E333D"/>
    <w:rsid w:val="008E3CE9"/>
    <w:rsid w:val="008E4930"/>
    <w:rsid w:val="008E6F60"/>
    <w:rsid w:val="008E75C9"/>
    <w:rsid w:val="008F1087"/>
    <w:rsid w:val="008F10A5"/>
    <w:rsid w:val="008F111B"/>
    <w:rsid w:val="008F3ABD"/>
    <w:rsid w:val="008F3FE0"/>
    <w:rsid w:val="008F5436"/>
    <w:rsid w:val="008F5B69"/>
    <w:rsid w:val="008F6672"/>
    <w:rsid w:val="008F672A"/>
    <w:rsid w:val="008F72A4"/>
    <w:rsid w:val="008F78CD"/>
    <w:rsid w:val="008F7C4E"/>
    <w:rsid w:val="008F7D53"/>
    <w:rsid w:val="00900FC6"/>
    <w:rsid w:val="00901908"/>
    <w:rsid w:val="00901D8B"/>
    <w:rsid w:val="009029CC"/>
    <w:rsid w:val="009037AC"/>
    <w:rsid w:val="009044C2"/>
    <w:rsid w:val="00904A13"/>
    <w:rsid w:val="00904D54"/>
    <w:rsid w:val="00905A9C"/>
    <w:rsid w:val="00906366"/>
    <w:rsid w:val="0091267D"/>
    <w:rsid w:val="00912C7F"/>
    <w:rsid w:val="0091306C"/>
    <w:rsid w:val="009149EE"/>
    <w:rsid w:val="00914AFA"/>
    <w:rsid w:val="00914B47"/>
    <w:rsid w:val="009159A3"/>
    <w:rsid w:val="009163A4"/>
    <w:rsid w:val="00916958"/>
    <w:rsid w:val="00920447"/>
    <w:rsid w:val="0092061A"/>
    <w:rsid w:val="00920798"/>
    <w:rsid w:val="00922807"/>
    <w:rsid w:val="009232D1"/>
    <w:rsid w:val="00923B51"/>
    <w:rsid w:val="0092459C"/>
    <w:rsid w:val="00925E78"/>
    <w:rsid w:val="009264E5"/>
    <w:rsid w:val="009269EC"/>
    <w:rsid w:val="0092718F"/>
    <w:rsid w:val="00930F39"/>
    <w:rsid w:val="009312FD"/>
    <w:rsid w:val="009314A4"/>
    <w:rsid w:val="00932C0C"/>
    <w:rsid w:val="0093468F"/>
    <w:rsid w:val="00934C1D"/>
    <w:rsid w:val="00935EF0"/>
    <w:rsid w:val="009361F8"/>
    <w:rsid w:val="00936D8A"/>
    <w:rsid w:val="009371CF"/>
    <w:rsid w:val="00937C87"/>
    <w:rsid w:val="009404C6"/>
    <w:rsid w:val="0094128E"/>
    <w:rsid w:val="009417AE"/>
    <w:rsid w:val="0094207D"/>
    <w:rsid w:val="009428B6"/>
    <w:rsid w:val="00942F1A"/>
    <w:rsid w:val="00943607"/>
    <w:rsid w:val="00944889"/>
    <w:rsid w:val="00945BF7"/>
    <w:rsid w:val="0094620D"/>
    <w:rsid w:val="00946AAD"/>
    <w:rsid w:val="0095132F"/>
    <w:rsid w:val="00951A8F"/>
    <w:rsid w:val="00951AEE"/>
    <w:rsid w:val="00951E65"/>
    <w:rsid w:val="00952453"/>
    <w:rsid w:val="009532EE"/>
    <w:rsid w:val="00956815"/>
    <w:rsid w:val="009579FF"/>
    <w:rsid w:val="00957A5F"/>
    <w:rsid w:val="00957E9D"/>
    <w:rsid w:val="0096070E"/>
    <w:rsid w:val="00960CCC"/>
    <w:rsid w:val="009614D9"/>
    <w:rsid w:val="009616A8"/>
    <w:rsid w:val="00963075"/>
    <w:rsid w:val="009638FF"/>
    <w:rsid w:val="00965A84"/>
    <w:rsid w:val="009660CB"/>
    <w:rsid w:val="00966D3E"/>
    <w:rsid w:val="009678F1"/>
    <w:rsid w:val="00970596"/>
    <w:rsid w:val="009705ED"/>
    <w:rsid w:val="00970E41"/>
    <w:rsid w:val="009719CE"/>
    <w:rsid w:val="00972015"/>
    <w:rsid w:val="009731A3"/>
    <w:rsid w:val="009747E0"/>
    <w:rsid w:val="00974E73"/>
    <w:rsid w:val="00975A64"/>
    <w:rsid w:val="00975CFE"/>
    <w:rsid w:val="00975EA8"/>
    <w:rsid w:val="00976072"/>
    <w:rsid w:val="0097691D"/>
    <w:rsid w:val="00977444"/>
    <w:rsid w:val="009778C8"/>
    <w:rsid w:val="00977D6B"/>
    <w:rsid w:val="00980CB9"/>
    <w:rsid w:val="00980DC0"/>
    <w:rsid w:val="00981085"/>
    <w:rsid w:val="0098111F"/>
    <w:rsid w:val="00981C08"/>
    <w:rsid w:val="00981EB1"/>
    <w:rsid w:val="009828B5"/>
    <w:rsid w:val="00984B1A"/>
    <w:rsid w:val="00985C54"/>
    <w:rsid w:val="00985C9E"/>
    <w:rsid w:val="00985DFF"/>
    <w:rsid w:val="0098639D"/>
    <w:rsid w:val="00987B35"/>
    <w:rsid w:val="0099124E"/>
    <w:rsid w:val="00991DDF"/>
    <w:rsid w:val="00991F8B"/>
    <w:rsid w:val="009925CE"/>
    <w:rsid w:val="00992C4C"/>
    <w:rsid w:val="00993816"/>
    <w:rsid w:val="00993A0C"/>
    <w:rsid w:val="009A03B8"/>
    <w:rsid w:val="009A077D"/>
    <w:rsid w:val="009A0985"/>
    <w:rsid w:val="009A2100"/>
    <w:rsid w:val="009A2B27"/>
    <w:rsid w:val="009A2BAD"/>
    <w:rsid w:val="009A2CBC"/>
    <w:rsid w:val="009A30F8"/>
    <w:rsid w:val="009A37C6"/>
    <w:rsid w:val="009A3D7B"/>
    <w:rsid w:val="009A3E11"/>
    <w:rsid w:val="009A4E0A"/>
    <w:rsid w:val="009A5555"/>
    <w:rsid w:val="009A6589"/>
    <w:rsid w:val="009A7EC8"/>
    <w:rsid w:val="009B1879"/>
    <w:rsid w:val="009B1920"/>
    <w:rsid w:val="009B1F0A"/>
    <w:rsid w:val="009B3E5F"/>
    <w:rsid w:val="009B60A9"/>
    <w:rsid w:val="009B7120"/>
    <w:rsid w:val="009B788A"/>
    <w:rsid w:val="009C0535"/>
    <w:rsid w:val="009C13E6"/>
    <w:rsid w:val="009C14B8"/>
    <w:rsid w:val="009C1DE9"/>
    <w:rsid w:val="009C2668"/>
    <w:rsid w:val="009C3D01"/>
    <w:rsid w:val="009C3DAE"/>
    <w:rsid w:val="009C4207"/>
    <w:rsid w:val="009C4836"/>
    <w:rsid w:val="009C686F"/>
    <w:rsid w:val="009C6880"/>
    <w:rsid w:val="009C6B64"/>
    <w:rsid w:val="009C6C36"/>
    <w:rsid w:val="009C7D5D"/>
    <w:rsid w:val="009C7DAF"/>
    <w:rsid w:val="009D08DB"/>
    <w:rsid w:val="009D0EC5"/>
    <w:rsid w:val="009D2050"/>
    <w:rsid w:val="009D25AC"/>
    <w:rsid w:val="009D2952"/>
    <w:rsid w:val="009D429E"/>
    <w:rsid w:val="009D4B9F"/>
    <w:rsid w:val="009D4BB3"/>
    <w:rsid w:val="009D641A"/>
    <w:rsid w:val="009D784F"/>
    <w:rsid w:val="009E0D2A"/>
    <w:rsid w:val="009E12F3"/>
    <w:rsid w:val="009E1441"/>
    <w:rsid w:val="009E191C"/>
    <w:rsid w:val="009E1A7F"/>
    <w:rsid w:val="009E1E4F"/>
    <w:rsid w:val="009E2B32"/>
    <w:rsid w:val="009E2DE9"/>
    <w:rsid w:val="009E30DA"/>
    <w:rsid w:val="009E314F"/>
    <w:rsid w:val="009E3248"/>
    <w:rsid w:val="009E3500"/>
    <w:rsid w:val="009E49DC"/>
    <w:rsid w:val="009E4D9E"/>
    <w:rsid w:val="009E4E1C"/>
    <w:rsid w:val="009E5BA5"/>
    <w:rsid w:val="009E7A49"/>
    <w:rsid w:val="009F00C1"/>
    <w:rsid w:val="009F10F8"/>
    <w:rsid w:val="009F11BF"/>
    <w:rsid w:val="009F19CA"/>
    <w:rsid w:val="009F47F1"/>
    <w:rsid w:val="009F6245"/>
    <w:rsid w:val="009F624E"/>
    <w:rsid w:val="009F6398"/>
    <w:rsid w:val="009F6DA2"/>
    <w:rsid w:val="00A00192"/>
    <w:rsid w:val="00A009D0"/>
    <w:rsid w:val="00A018FF"/>
    <w:rsid w:val="00A02C16"/>
    <w:rsid w:val="00A037F8"/>
    <w:rsid w:val="00A0471A"/>
    <w:rsid w:val="00A070B5"/>
    <w:rsid w:val="00A10256"/>
    <w:rsid w:val="00A11323"/>
    <w:rsid w:val="00A116F7"/>
    <w:rsid w:val="00A1208E"/>
    <w:rsid w:val="00A126A9"/>
    <w:rsid w:val="00A12A21"/>
    <w:rsid w:val="00A12DB7"/>
    <w:rsid w:val="00A12F75"/>
    <w:rsid w:val="00A1359F"/>
    <w:rsid w:val="00A1468F"/>
    <w:rsid w:val="00A151B1"/>
    <w:rsid w:val="00A1533F"/>
    <w:rsid w:val="00A154C4"/>
    <w:rsid w:val="00A15F75"/>
    <w:rsid w:val="00A173E5"/>
    <w:rsid w:val="00A17AA0"/>
    <w:rsid w:val="00A17BF9"/>
    <w:rsid w:val="00A2160B"/>
    <w:rsid w:val="00A22E64"/>
    <w:rsid w:val="00A2346E"/>
    <w:rsid w:val="00A23F16"/>
    <w:rsid w:val="00A240E3"/>
    <w:rsid w:val="00A24CDE"/>
    <w:rsid w:val="00A25E01"/>
    <w:rsid w:val="00A2612A"/>
    <w:rsid w:val="00A26D60"/>
    <w:rsid w:val="00A26D9D"/>
    <w:rsid w:val="00A2778C"/>
    <w:rsid w:val="00A312D4"/>
    <w:rsid w:val="00A315D3"/>
    <w:rsid w:val="00A329C2"/>
    <w:rsid w:val="00A33AEF"/>
    <w:rsid w:val="00A33B74"/>
    <w:rsid w:val="00A33FC4"/>
    <w:rsid w:val="00A3421C"/>
    <w:rsid w:val="00A35498"/>
    <w:rsid w:val="00A3554D"/>
    <w:rsid w:val="00A35BD8"/>
    <w:rsid w:val="00A368D0"/>
    <w:rsid w:val="00A37D9E"/>
    <w:rsid w:val="00A41381"/>
    <w:rsid w:val="00A422EF"/>
    <w:rsid w:val="00A42700"/>
    <w:rsid w:val="00A4305D"/>
    <w:rsid w:val="00A4383C"/>
    <w:rsid w:val="00A44342"/>
    <w:rsid w:val="00A471E7"/>
    <w:rsid w:val="00A509A1"/>
    <w:rsid w:val="00A50A97"/>
    <w:rsid w:val="00A5179D"/>
    <w:rsid w:val="00A52D82"/>
    <w:rsid w:val="00A53475"/>
    <w:rsid w:val="00A537D6"/>
    <w:rsid w:val="00A53EED"/>
    <w:rsid w:val="00A55357"/>
    <w:rsid w:val="00A553D6"/>
    <w:rsid w:val="00A5645D"/>
    <w:rsid w:val="00A5671A"/>
    <w:rsid w:val="00A573B4"/>
    <w:rsid w:val="00A60639"/>
    <w:rsid w:val="00A62B15"/>
    <w:rsid w:val="00A707CF"/>
    <w:rsid w:val="00A70829"/>
    <w:rsid w:val="00A70CBE"/>
    <w:rsid w:val="00A77070"/>
    <w:rsid w:val="00A77D3D"/>
    <w:rsid w:val="00A80FF5"/>
    <w:rsid w:val="00A8108F"/>
    <w:rsid w:val="00A8181A"/>
    <w:rsid w:val="00A81FA4"/>
    <w:rsid w:val="00A82157"/>
    <w:rsid w:val="00A834D4"/>
    <w:rsid w:val="00A847A8"/>
    <w:rsid w:val="00A8504B"/>
    <w:rsid w:val="00A85381"/>
    <w:rsid w:val="00A857D1"/>
    <w:rsid w:val="00A85A67"/>
    <w:rsid w:val="00A860EA"/>
    <w:rsid w:val="00A861BF"/>
    <w:rsid w:val="00A862FB"/>
    <w:rsid w:val="00A872EC"/>
    <w:rsid w:val="00A875BC"/>
    <w:rsid w:val="00A90B33"/>
    <w:rsid w:val="00A910AD"/>
    <w:rsid w:val="00A91553"/>
    <w:rsid w:val="00A93AC8"/>
    <w:rsid w:val="00A95744"/>
    <w:rsid w:val="00A97A21"/>
    <w:rsid w:val="00A97B0D"/>
    <w:rsid w:val="00AA1FF9"/>
    <w:rsid w:val="00AA2227"/>
    <w:rsid w:val="00AA458E"/>
    <w:rsid w:val="00AA4A31"/>
    <w:rsid w:val="00AA5CC2"/>
    <w:rsid w:val="00AA66EC"/>
    <w:rsid w:val="00AA6A3F"/>
    <w:rsid w:val="00AA7235"/>
    <w:rsid w:val="00AA7252"/>
    <w:rsid w:val="00AA76B8"/>
    <w:rsid w:val="00AA7706"/>
    <w:rsid w:val="00AB091E"/>
    <w:rsid w:val="00AB1850"/>
    <w:rsid w:val="00AB39E0"/>
    <w:rsid w:val="00AB4994"/>
    <w:rsid w:val="00AB5094"/>
    <w:rsid w:val="00AB5212"/>
    <w:rsid w:val="00AB54C8"/>
    <w:rsid w:val="00AB5965"/>
    <w:rsid w:val="00AB6191"/>
    <w:rsid w:val="00AB67C9"/>
    <w:rsid w:val="00AB7A6E"/>
    <w:rsid w:val="00AC156D"/>
    <w:rsid w:val="00AC1D89"/>
    <w:rsid w:val="00AC2844"/>
    <w:rsid w:val="00AC2B04"/>
    <w:rsid w:val="00AC3062"/>
    <w:rsid w:val="00AC3CF3"/>
    <w:rsid w:val="00AC4E73"/>
    <w:rsid w:val="00AC763A"/>
    <w:rsid w:val="00AC7F97"/>
    <w:rsid w:val="00AD0512"/>
    <w:rsid w:val="00AD0B17"/>
    <w:rsid w:val="00AD0C97"/>
    <w:rsid w:val="00AD0DB8"/>
    <w:rsid w:val="00AD1256"/>
    <w:rsid w:val="00AD18EB"/>
    <w:rsid w:val="00AD1A59"/>
    <w:rsid w:val="00AD515C"/>
    <w:rsid w:val="00AD57B7"/>
    <w:rsid w:val="00AD62C3"/>
    <w:rsid w:val="00AE0FFB"/>
    <w:rsid w:val="00AE1A77"/>
    <w:rsid w:val="00AE25BF"/>
    <w:rsid w:val="00AE2B78"/>
    <w:rsid w:val="00AE4E25"/>
    <w:rsid w:val="00AE5268"/>
    <w:rsid w:val="00AE533D"/>
    <w:rsid w:val="00AE575C"/>
    <w:rsid w:val="00AE6193"/>
    <w:rsid w:val="00AE66AE"/>
    <w:rsid w:val="00AE6855"/>
    <w:rsid w:val="00AE6C65"/>
    <w:rsid w:val="00AE7F71"/>
    <w:rsid w:val="00AF067D"/>
    <w:rsid w:val="00AF2A00"/>
    <w:rsid w:val="00AF321A"/>
    <w:rsid w:val="00AF33F4"/>
    <w:rsid w:val="00AF380A"/>
    <w:rsid w:val="00AF3AC4"/>
    <w:rsid w:val="00AF4A90"/>
    <w:rsid w:val="00AF6DA2"/>
    <w:rsid w:val="00AF6ECD"/>
    <w:rsid w:val="00AF728F"/>
    <w:rsid w:val="00B00423"/>
    <w:rsid w:val="00B00D8A"/>
    <w:rsid w:val="00B0223A"/>
    <w:rsid w:val="00B03138"/>
    <w:rsid w:val="00B03E65"/>
    <w:rsid w:val="00B048CE"/>
    <w:rsid w:val="00B05288"/>
    <w:rsid w:val="00B05A9E"/>
    <w:rsid w:val="00B05F1B"/>
    <w:rsid w:val="00B06C90"/>
    <w:rsid w:val="00B06F66"/>
    <w:rsid w:val="00B07AB6"/>
    <w:rsid w:val="00B1025A"/>
    <w:rsid w:val="00B112DA"/>
    <w:rsid w:val="00B1208B"/>
    <w:rsid w:val="00B1222E"/>
    <w:rsid w:val="00B135A9"/>
    <w:rsid w:val="00B1366A"/>
    <w:rsid w:val="00B139B7"/>
    <w:rsid w:val="00B14499"/>
    <w:rsid w:val="00B1472F"/>
    <w:rsid w:val="00B1525D"/>
    <w:rsid w:val="00B15773"/>
    <w:rsid w:val="00B16EF8"/>
    <w:rsid w:val="00B175C4"/>
    <w:rsid w:val="00B20F80"/>
    <w:rsid w:val="00B219C2"/>
    <w:rsid w:val="00B22791"/>
    <w:rsid w:val="00B22BCD"/>
    <w:rsid w:val="00B238EF"/>
    <w:rsid w:val="00B23997"/>
    <w:rsid w:val="00B243B4"/>
    <w:rsid w:val="00B24A1D"/>
    <w:rsid w:val="00B24ACE"/>
    <w:rsid w:val="00B25A07"/>
    <w:rsid w:val="00B26A87"/>
    <w:rsid w:val="00B27613"/>
    <w:rsid w:val="00B27DC2"/>
    <w:rsid w:val="00B3035E"/>
    <w:rsid w:val="00B30605"/>
    <w:rsid w:val="00B31224"/>
    <w:rsid w:val="00B324FC"/>
    <w:rsid w:val="00B33B4D"/>
    <w:rsid w:val="00B33DF0"/>
    <w:rsid w:val="00B3525E"/>
    <w:rsid w:val="00B3597F"/>
    <w:rsid w:val="00B35997"/>
    <w:rsid w:val="00B35B55"/>
    <w:rsid w:val="00B35F1B"/>
    <w:rsid w:val="00B368DF"/>
    <w:rsid w:val="00B36D6C"/>
    <w:rsid w:val="00B40157"/>
    <w:rsid w:val="00B407D4"/>
    <w:rsid w:val="00B40A36"/>
    <w:rsid w:val="00B411CB"/>
    <w:rsid w:val="00B41DCB"/>
    <w:rsid w:val="00B42383"/>
    <w:rsid w:val="00B4359E"/>
    <w:rsid w:val="00B436E1"/>
    <w:rsid w:val="00B4378C"/>
    <w:rsid w:val="00B456BB"/>
    <w:rsid w:val="00B47045"/>
    <w:rsid w:val="00B47763"/>
    <w:rsid w:val="00B47992"/>
    <w:rsid w:val="00B47A55"/>
    <w:rsid w:val="00B5276D"/>
    <w:rsid w:val="00B53687"/>
    <w:rsid w:val="00B54577"/>
    <w:rsid w:val="00B54C3C"/>
    <w:rsid w:val="00B56A67"/>
    <w:rsid w:val="00B57195"/>
    <w:rsid w:val="00B57F58"/>
    <w:rsid w:val="00B60BCB"/>
    <w:rsid w:val="00B61C4F"/>
    <w:rsid w:val="00B6292B"/>
    <w:rsid w:val="00B63980"/>
    <w:rsid w:val="00B63A95"/>
    <w:rsid w:val="00B66BE8"/>
    <w:rsid w:val="00B707CC"/>
    <w:rsid w:val="00B70A3E"/>
    <w:rsid w:val="00B74441"/>
    <w:rsid w:val="00B74640"/>
    <w:rsid w:val="00B74E7B"/>
    <w:rsid w:val="00B751D8"/>
    <w:rsid w:val="00B75BF7"/>
    <w:rsid w:val="00B75C39"/>
    <w:rsid w:val="00B76644"/>
    <w:rsid w:val="00B77DFD"/>
    <w:rsid w:val="00B77F14"/>
    <w:rsid w:val="00B8027B"/>
    <w:rsid w:val="00B80FAE"/>
    <w:rsid w:val="00B812D7"/>
    <w:rsid w:val="00B81BBB"/>
    <w:rsid w:val="00B81E9E"/>
    <w:rsid w:val="00B81F97"/>
    <w:rsid w:val="00B8243F"/>
    <w:rsid w:val="00B824DF"/>
    <w:rsid w:val="00B82A96"/>
    <w:rsid w:val="00B8356E"/>
    <w:rsid w:val="00B84F12"/>
    <w:rsid w:val="00B87250"/>
    <w:rsid w:val="00B87B6C"/>
    <w:rsid w:val="00B87D75"/>
    <w:rsid w:val="00B9089E"/>
    <w:rsid w:val="00B90BB6"/>
    <w:rsid w:val="00B90DA3"/>
    <w:rsid w:val="00B91EA5"/>
    <w:rsid w:val="00B928B2"/>
    <w:rsid w:val="00B92E8F"/>
    <w:rsid w:val="00B9341D"/>
    <w:rsid w:val="00B93C53"/>
    <w:rsid w:val="00B94A6B"/>
    <w:rsid w:val="00B9525F"/>
    <w:rsid w:val="00B95966"/>
    <w:rsid w:val="00B96496"/>
    <w:rsid w:val="00B97950"/>
    <w:rsid w:val="00BA0F86"/>
    <w:rsid w:val="00BA1648"/>
    <w:rsid w:val="00BA3DE7"/>
    <w:rsid w:val="00BA451D"/>
    <w:rsid w:val="00BA4A09"/>
    <w:rsid w:val="00BA4AC4"/>
    <w:rsid w:val="00BA5271"/>
    <w:rsid w:val="00BA529F"/>
    <w:rsid w:val="00BA6117"/>
    <w:rsid w:val="00BA758C"/>
    <w:rsid w:val="00BA7781"/>
    <w:rsid w:val="00BB04A5"/>
    <w:rsid w:val="00BB1650"/>
    <w:rsid w:val="00BB18B3"/>
    <w:rsid w:val="00BB2330"/>
    <w:rsid w:val="00BB24AE"/>
    <w:rsid w:val="00BB2971"/>
    <w:rsid w:val="00BB366F"/>
    <w:rsid w:val="00BB3F0A"/>
    <w:rsid w:val="00BB42F4"/>
    <w:rsid w:val="00BB4CA0"/>
    <w:rsid w:val="00BB4F40"/>
    <w:rsid w:val="00BB53DB"/>
    <w:rsid w:val="00BB5448"/>
    <w:rsid w:val="00BB630F"/>
    <w:rsid w:val="00BB6C4D"/>
    <w:rsid w:val="00BC0688"/>
    <w:rsid w:val="00BC1424"/>
    <w:rsid w:val="00BC34F0"/>
    <w:rsid w:val="00BC36F4"/>
    <w:rsid w:val="00BC3981"/>
    <w:rsid w:val="00BC580D"/>
    <w:rsid w:val="00BC658B"/>
    <w:rsid w:val="00BC7645"/>
    <w:rsid w:val="00BD07BC"/>
    <w:rsid w:val="00BD0FE6"/>
    <w:rsid w:val="00BD223F"/>
    <w:rsid w:val="00BD26EB"/>
    <w:rsid w:val="00BD30A6"/>
    <w:rsid w:val="00BD370C"/>
    <w:rsid w:val="00BD38DB"/>
    <w:rsid w:val="00BD472D"/>
    <w:rsid w:val="00BD4751"/>
    <w:rsid w:val="00BD4FF9"/>
    <w:rsid w:val="00BD53DF"/>
    <w:rsid w:val="00BD5B13"/>
    <w:rsid w:val="00BD5FF3"/>
    <w:rsid w:val="00BD603C"/>
    <w:rsid w:val="00BD737A"/>
    <w:rsid w:val="00BE0484"/>
    <w:rsid w:val="00BE04CC"/>
    <w:rsid w:val="00BE0C5F"/>
    <w:rsid w:val="00BE100A"/>
    <w:rsid w:val="00BE425B"/>
    <w:rsid w:val="00BE4B01"/>
    <w:rsid w:val="00BE5CE2"/>
    <w:rsid w:val="00BE6957"/>
    <w:rsid w:val="00BE7684"/>
    <w:rsid w:val="00BF04A5"/>
    <w:rsid w:val="00BF1B1C"/>
    <w:rsid w:val="00BF29FB"/>
    <w:rsid w:val="00BF3972"/>
    <w:rsid w:val="00BF3A7B"/>
    <w:rsid w:val="00BF4903"/>
    <w:rsid w:val="00BF511F"/>
    <w:rsid w:val="00BF5B8B"/>
    <w:rsid w:val="00BF6E6B"/>
    <w:rsid w:val="00BF7652"/>
    <w:rsid w:val="00BF784C"/>
    <w:rsid w:val="00BF79B6"/>
    <w:rsid w:val="00BF7FF0"/>
    <w:rsid w:val="00C00573"/>
    <w:rsid w:val="00C0078D"/>
    <w:rsid w:val="00C00D00"/>
    <w:rsid w:val="00C02211"/>
    <w:rsid w:val="00C028F5"/>
    <w:rsid w:val="00C0543B"/>
    <w:rsid w:val="00C05464"/>
    <w:rsid w:val="00C06EBF"/>
    <w:rsid w:val="00C07592"/>
    <w:rsid w:val="00C10C0F"/>
    <w:rsid w:val="00C11701"/>
    <w:rsid w:val="00C11716"/>
    <w:rsid w:val="00C1219D"/>
    <w:rsid w:val="00C13E2F"/>
    <w:rsid w:val="00C14D4A"/>
    <w:rsid w:val="00C157E3"/>
    <w:rsid w:val="00C15BDB"/>
    <w:rsid w:val="00C1661E"/>
    <w:rsid w:val="00C170BF"/>
    <w:rsid w:val="00C17301"/>
    <w:rsid w:val="00C20134"/>
    <w:rsid w:val="00C207B0"/>
    <w:rsid w:val="00C209DD"/>
    <w:rsid w:val="00C21129"/>
    <w:rsid w:val="00C21B5F"/>
    <w:rsid w:val="00C22847"/>
    <w:rsid w:val="00C22873"/>
    <w:rsid w:val="00C229D6"/>
    <w:rsid w:val="00C23F58"/>
    <w:rsid w:val="00C245F8"/>
    <w:rsid w:val="00C255C1"/>
    <w:rsid w:val="00C25AAC"/>
    <w:rsid w:val="00C26659"/>
    <w:rsid w:val="00C27034"/>
    <w:rsid w:val="00C27698"/>
    <w:rsid w:val="00C3261F"/>
    <w:rsid w:val="00C33232"/>
    <w:rsid w:val="00C3437B"/>
    <w:rsid w:val="00C3469A"/>
    <w:rsid w:val="00C3587C"/>
    <w:rsid w:val="00C35D0E"/>
    <w:rsid w:val="00C35E6A"/>
    <w:rsid w:val="00C3656D"/>
    <w:rsid w:val="00C3698A"/>
    <w:rsid w:val="00C371F8"/>
    <w:rsid w:val="00C37897"/>
    <w:rsid w:val="00C37DEB"/>
    <w:rsid w:val="00C4045B"/>
    <w:rsid w:val="00C4113E"/>
    <w:rsid w:val="00C41190"/>
    <w:rsid w:val="00C4136E"/>
    <w:rsid w:val="00C41907"/>
    <w:rsid w:val="00C425CF"/>
    <w:rsid w:val="00C42B3E"/>
    <w:rsid w:val="00C44C4C"/>
    <w:rsid w:val="00C45D89"/>
    <w:rsid w:val="00C4650B"/>
    <w:rsid w:val="00C46677"/>
    <w:rsid w:val="00C46E5B"/>
    <w:rsid w:val="00C46FA8"/>
    <w:rsid w:val="00C515BA"/>
    <w:rsid w:val="00C52D3C"/>
    <w:rsid w:val="00C53D1A"/>
    <w:rsid w:val="00C54E41"/>
    <w:rsid w:val="00C55675"/>
    <w:rsid w:val="00C564BA"/>
    <w:rsid w:val="00C569D3"/>
    <w:rsid w:val="00C6043A"/>
    <w:rsid w:val="00C60667"/>
    <w:rsid w:val="00C62057"/>
    <w:rsid w:val="00C62274"/>
    <w:rsid w:val="00C622B3"/>
    <w:rsid w:val="00C62624"/>
    <w:rsid w:val="00C63978"/>
    <w:rsid w:val="00C639D5"/>
    <w:rsid w:val="00C63B93"/>
    <w:rsid w:val="00C65972"/>
    <w:rsid w:val="00C6642B"/>
    <w:rsid w:val="00C66869"/>
    <w:rsid w:val="00C66CD4"/>
    <w:rsid w:val="00C670E6"/>
    <w:rsid w:val="00C71FA5"/>
    <w:rsid w:val="00C721DD"/>
    <w:rsid w:val="00C72D4A"/>
    <w:rsid w:val="00C7436D"/>
    <w:rsid w:val="00C7476A"/>
    <w:rsid w:val="00C74848"/>
    <w:rsid w:val="00C74C1F"/>
    <w:rsid w:val="00C7636D"/>
    <w:rsid w:val="00C76C7C"/>
    <w:rsid w:val="00C803EB"/>
    <w:rsid w:val="00C80655"/>
    <w:rsid w:val="00C80683"/>
    <w:rsid w:val="00C8173C"/>
    <w:rsid w:val="00C822F0"/>
    <w:rsid w:val="00C82E47"/>
    <w:rsid w:val="00C844FB"/>
    <w:rsid w:val="00C846BB"/>
    <w:rsid w:val="00C84AB2"/>
    <w:rsid w:val="00C8632F"/>
    <w:rsid w:val="00C86D14"/>
    <w:rsid w:val="00C900A1"/>
    <w:rsid w:val="00C90354"/>
    <w:rsid w:val="00C90615"/>
    <w:rsid w:val="00C90D11"/>
    <w:rsid w:val="00C9150A"/>
    <w:rsid w:val="00C927EF"/>
    <w:rsid w:val="00C93C3A"/>
    <w:rsid w:val="00C943D4"/>
    <w:rsid w:val="00C9462A"/>
    <w:rsid w:val="00C94EB9"/>
    <w:rsid w:val="00C952E4"/>
    <w:rsid w:val="00C9587C"/>
    <w:rsid w:val="00C95938"/>
    <w:rsid w:val="00C95963"/>
    <w:rsid w:val="00C95B3A"/>
    <w:rsid w:val="00C97700"/>
    <w:rsid w:val="00CA04B3"/>
    <w:rsid w:val="00CA18C0"/>
    <w:rsid w:val="00CA3265"/>
    <w:rsid w:val="00CA4CE3"/>
    <w:rsid w:val="00CA5AEC"/>
    <w:rsid w:val="00CA62B1"/>
    <w:rsid w:val="00CA6322"/>
    <w:rsid w:val="00CA76D1"/>
    <w:rsid w:val="00CA7764"/>
    <w:rsid w:val="00CA7827"/>
    <w:rsid w:val="00CA78D6"/>
    <w:rsid w:val="00CB0239"/>
    <w:rsid w:val="00CB0A78"/>
    <w:rsid w:val="00CB0DA0"/>
    <w:rsid w:val="00CB2CF1"/>
    <w:rsid w:val="00CB4A6F"/>
    <w:rsid w:val="00CB4BA5"/>
    <w:rsid w:val="00CB4D2D"/>
    <w:rsid w:val="00CB4DBE"/>
    <w:rsid w:val="00CB6812"/>
    <w:rsid w:val="00CB6E8F"/>
    <w:rsid w:val="00CB7844"/>
    <w:rsid w:val="00CB7AE9"/>
    <w:rsid w:val="00CC003A"/>
    <w:rsid w:val="00CC0DD0"/>
    <w:rsid w:val="00CC0E7E"/>
    <w:rsid w:val="00CC12D7"/>
    <w:rsid w:val="00CC3940"/>
    <w:rsid w:val="00CC4F08"/>
    <w:rsid w:val="00CC512A"/>
    <w:rsid w:val="00CC5926"/>
    <w:rsid w:val="00CC5BE1"/>
    <w:rsid w:val="00CC5E5A"/>
    <w:rsid w:val="00CC73B2"/>
    <w:rsid w:val="00CC7436"/>
    <w:rsid w:val="00CD2158"/>
    <w:rsid w:val="00CD2269"/>
    <w:rsid w:val="00CD368B"/>
    <w:rsid w:val="00CD40DE"/>
    <w:rsid w:val="00CD494E"/>
    <w:rsid w:val="00CD4A51"/>
    <w:rsid w:val="00CD4CC2"/>
    <w:rsid w:val="00CD50D1"/>
    <w:rsid w:val="00CD73D2"/>
    <w:rsid w:val="00CE2415"/>
    <w:rsid w:val="00CE41CD"/>
    <w:rsid w:val="00CE5D5C"/>
    <w:rsid w:val="00CE76CA"/>
    <w:rsid w:val="00CE7C43"/>
    <w:rsid w:val="00CE7F17"/>
    <w:rsid w:val="00CF07C5"/>
    <w:rsid w:val="00CF09C9"/>
    <w:rsid w:val="00CF19BC"/>
    <w:rsid w:val="00CF29F5"/>
    <w:rsid w:val="00CF2CB1"/>
    <w:rsid w:val="00CF3616"/>
    <w:rsid w:val="00CF46D0"/>
    <w:rsid w:val="00CF4A31"/>
    <w:rsid w:val="00CF6947"/>
    <w:rsid w:val="00CF6995"/>
    <w:rsid w:val="00CF7CA9"/>
    <w:rsid w:val="00D017BF"/>
    <w:rsid w:val="00D01B2E"/>
    <w:rsid w:val="00D0211C"/>
    <w:rsid w:val="00D03B40"/>
    <w:rsid w:val="00D043A5"/>
    <w:rsid w:val="00D0478B"/>
    <w:rsid w:val="00D04995"/>
    <w:rsid w:val="00D05195"/>
    <w:rsid w:val="00D051D3"/>
    <w:rsid w:val="00D067D8"/>
    <w:rsid w:val="00D07279"/>
    <w:rsid w:val="00D07341"/>
    <w:rsid w:val="00D07882"/>
    <w:rsid w:val="00D07BA3"/>
    <w:rsid w:val="00D110C0"/>
    <w:rsid w:val="00D11E0D"/>
    <w:rsid w:val="00D12480"/>
    <w:rsid w:val="00D146D6"/>
    <w:rsid w:val="00D1512D"/>
    <w:rsid w:val="00D15388"/>
    <w:rsid w:val="00D15A89"/>
    <w:rsid w:val="00D160A6"/>
    <w:rsid w:val="00D1678D"/>
    <w:rsid w:val="00D205FF"/>
    <w:rsid w:val="00D227F2"/>
    <w:rsid w:val="00D229F8"/>
    <w:rsid w:val="00D231DF"/>
    <w:rsid w:val="00D236F3"/>
    <w:rsid w:val="00D24A97"/>
    <w:rsid w:val="00D261FD"/>
    <w:rsid w:val="00D26281"/>
    <w:rsid w:val="00D277EB"/>
    <w:rsid w:val="00D30584"/>
    <w:rsid w:val="00D30BA8"/>
    <w:rsid w:val="00D30F56"/>
    <w:rsid w:val="00D3136A"/>
    <w:rsid w:val="00D31527"/>
    <w:rsid w:val="00D32B84"/>
    <w:rsid w:val="00D32B91"/>
    <w:rsid w:val="00D32C7C"/>
    <w:rsid w:val="00D32EDA"/>
    <w:rsid w:val="00D335D4"/>
    <w:rsid w:val="00D346FF"/>
    <w:rsid w:val="00D34704"/>
    <w:rsid w:val="00D34BE5"/>
    <w:rsid w:val="00D352C5"/>
    <w:rsid w:val="00D3564F"/>
    <w:rsid w:val="00D365DA"/>
    <w:rsid w:val="00D368A7"/>
    <w:rsid w:val="00D36FB2"/>
    <w:rsid w:val="00D372D3"/>
    <w:rsid w:val="00D37854"/>
    <w:rsid w:val="00D40EFA"/>
    <w:rsid w:val="00D4155D"/>
    <w:rsid w:val="00D4169D"/>
    <w:rsid w:val="00D418B2"/>
    <w:rsid w:val="00D429DF"/>
    <w:rsid w:val="00D43533"/>
    <w:rsid w:val="00D43AA6"/>
    <w:rsid w:val="00D43DFF"/>
    <w:rsid w:val="00D44DC5"/>
    <w:rsid w:val="00D45E55"/>
    <w:rsid w:val="00D472F6"/>
    <w:rsid w:val="00D47CAB"/>
    <w:rsid w:val="00D502E6"/>
    <w:rsid w:val="00D505E1"/>
    <w:rsid w:val="00D50D6F"/>
    <w:rsid w:val="00D50EAB"/>
    <w:rsid w:val="00D52081"/>
    <w:rsid w:val="00D53230"/>
    <w:rsid w:val="00D54578"/>
    <w:rsid w:val="00D558E2"/>
    <w:rsid w:val="00D61091"/>
    <w:rsid w:val="00D6519E"/>
    <w:rsid w:val="00D65BDA"/>
    <w:rsid w:val="00D67438"/>
    <w:rsid w:val="00D67578"/>
    <w:rsid w:val="00D677EA"/>
    <w:rsid w:val="00D67FBB"/>
    <w:rsid w:val="00D7063C"/>
    <w:rsid w:val="00D70B6C"/>
    <w:rsid w:val="00D71C8E"/>
    <w:rsid w:val="00D71D32"/>
    <w:rsid w:val="00D729B9"/>
    <w:rsid w:val="00D732EA"/>
    <w:rsid w:val="00D7460E"/>
    <w:rsid w:val="00D74A10"/>
    <w:rsid w:val="00D75253"/>
    <w:rsid w:val="00D75585"/>
    <w:rsid w:val="00D759F5"/>
    <w:rsid w:val="00D7687B"/>
    <w:rsid w:val="00D76A35"/>
    <w:rsid w:val="00D76DBF"/>
    <w:rsid w:val="00D76F4D"/>
    <w:rsid w:val="00D76FE0"/>
    <w:rsid w:val="00D77500"/>
    <w:rsid w:val="00D77852"/>
    <w:rsid w:val="00D77A89"/>
    <w:rsid w:val="00D80370"/>
    <w:rsid w:val="00D807B9"/>
    <w:rsid w:val="00D80D83"/>
    <w:rsid w:val="00D81B3C"/>
    <w:rsid w:val="00D81EBC"/>
    <w:rsid w:val="00D83414"/>
    <w:rsid w:val="00D84325"/>
    <w:rsid w:val="00D84828"/>
    <w:rsid w:val="00D84F0B"/>
    <w:rsid w:val="00D85BC7"/>
    <w:rsid w:val="00D864E5"/>
    <w:rsid w:val="00D86B51"/>
    <w:rsid w:val="00D87C8A"/>
    <w:rsid w:val="00D90088"/>
    <w:rsid w:val="00D91037"/>
    <w:rsid w:val="00D91B37"/>
    <w:rsid w:val="00D93D98"/>
    <w:rsid w:val="00D9447B"/>
    <w:rsid w:val="00D94603"/>
    <w:rsid w:val="00D95289"/>
    <w:rsid w:val="00D956BD"/>
    <w:rsid w:val="00D96C1C"/>
    <w:rsid w:val="00D9745C"/>
    <w:rsid w:val="00D9763B"/>
    <w:rsid w:val="00D977FC"/>
    <w:rsid w:val="00DA0270"/>
    <w:rsid w:val="00DA0CF3"/>
    <w:rsid w:val="00DA0F99"/>
    <w:rsid w:val="00DA4466"/>
    <w:rsid w:val="00DA543B"/>
    <w:rsid w:val="00DA5504"/>
    <w:rsid w:val="00DA6DED"/>
    <w:rsid w:val="00DA7828"/>
    <w:rsid w:val="00DB0D38"/>
    <w:rsid w:val="00DB3B41"/>
    <w:rsid w:val="00DB5A21"/>
    <w:rsid w:val="00DB65C9"/>
    <w:rsid w:val="00DB75AA"/>
    <w:rsid w:val="00DC09CF"/>
    <w:rsid w:val="00DC173C"/>
    <w:rsid w:val="00DC1A17"/>
    <w:rsid w:val="00DC3656"/>
    <w:rsid w:val="00DC611A"/>
    <w:rsid w:val="00DC7C81"/>
    <w:rsid w:val="00DD0D59"/>
    <w:rsid w:val="00DD1C1F"/>
    <w:rsid w:val="00DD234F"/>
    <w:rsid w:val="00DD289C"/>
    <w:rsid w:val="00DD2DD5"/>
    <w:rsid w:val="00DD6A4A"/>
    <w:rsid w:val="00DD7AEE"/>
    <w:rsid w:val="00DE029C"/>
    <w:rsid w:val="00DE1764"/>
    <w:rsid w:val="00DE18CE"/>
    <w:rsid w:val="00DE1DE3"/>
    <w:rsid w:val="00DE2DB9"/>
    <w:rsid w:val="00DE4292"/>
    <w:rsid w:val="00DE4FE0"/>
    <w:rsid w:val="00DE5597"/>
    <w:rsid w:val="00DE6932"/>
    <w:rsid w:val="00DE769A"/>
    <w:rsid w:val="00DF0D50"/>
    <w:rsid w:val="00DF11C3"/>
    <w:rsid w:val="00DF138F"/>
    <w:rsid w:val="00DF1A2D"/>
    <w:rsid w:val="00DF1A8E"/>
    <w:rsid w:val="00DF3C12"/>
    <w:rsid w:val="00DF4C11"/>
    <w:rsid w:val="00DF6BBC"/>
    <w:rsid w:val="00DF6DCD"/>
    <w:rsid w:val="00DF7424"/>
    <w:rsid w:val="00DF7AAB"/>
    <w:rsid w:val="00E00361"/>
    <w:rsid w:val="00E0260D"/>
    <w:rsid w:val="00E02C5B"/>
    <w:rsid w:val="00E0313C"/>
    <w:rsid w:val="00E031B7"/>
    <w:rsid w:val="00E03D57"/>
    <w:rsid w:val="00E04AE0"/>
    <w:rsid w:val="00E05163"/>
    <w:rsid w:val="00E05B0D"/>
    <w:rsid w:val="00E05F62"/>
    <w:rsid w:val="00E06385"/>
    <w:rsid w:val="00E06C1F"/>
    <w:rsid w:val="00E075C8"/>
    <w:rsid w:val="00E1011D"/>
    <w:rsid w:val="00E139E7"/>
    <w:rsid w:val="00E148B4"/>
    <w:rsid w:val="00E226D9"/>
    <w:rsid w:val="00E231B4"/>
    <w:rsid w:val="00E23480"/>
    <w:rsid w:val="00E236CF"/>
    <w:rsid w:val="00E2392C"/>
    <w:rsid w:val="00E23A97"/>
    <w:rsid w:val="00E24F68"/>
    <w:rsid w:val="00E30295"/>
    <w:rsid w:val="00E30792"/>
    <w:rsid w:val="00E30807"/>
    <w:rsid w:val="00E323B3"/>
    <w:rsid w:val="00E32718"/>
    <w:rsid w:val="00E34EAE"/>
    <w:rsid w:val="00E35508"/>
    <w:rsid w:val="00E359DF"/>
    <w:rsid w:val="00E35C62"/>
    <w:rsid w:val="00E35E2E"/>
    <w:rsid w:val="00E35FE0"/>
    <w:rsid w:val="00E36651"/>
    <w:rsid w:val="00E37764"/>
    <w:rsid w:val="00E37806"/>
    <w:rsid w:val="00E37C15"/>
    <w:rsid w:val="00E37D98"/>
    <w:rsid w:val="00E40848"/>
    <w:rsid w:val="00E419A0"/>
    <w:rsid w:val="00E42472"/>
    <w:rsid w:val="00E4278E"/>
    <w:rsid w:val="00E42924"/>
    <w:rsid w:val="00E42C79"/>
    <w:rsid w:val="00E430ED"/>
    <w:rsid w:val="00E4453C"/>
    <w:rsid w:val="00E44698"/>
    <w:rsid w:val="00E44E39"/>
    <w:rsid w:val="00E4595A"/>
    <w:rsid w:val="00E46D12"/>
    <w:rsid w:val="00E477FF"/>
    <w:rsid w:val="00E47A0A"/>
    <w:rsid w:val="00E51035"/>
    <w:rsid w:val="00E51ADB"/>
    <w:rsid w:val="00E521D9"/>
    <w:rsid w:val="00E5378F"/>
    <w:rsid w:val="00E53A6A"/>
    <w:rsid w:val="00E54437"/>
    <w:rsid w:val="00E5466F"/>
    <w:rsid w:val="00E54F7E"/>
    <w:rsid w:val="00E557FB"/>
    <w:rsid w:val="00E5597C"/>
    <w:rsid w:val="00E55A8B"/>
    <w:rsid w:val="00E562E0"/>
    <w:rsid w:val="00E56A75"/>
    <w:rsid w:val="00E56E20"/>
    <w:rsid w:val="00E611FA"/>
    <w:rsid w:val="00E61D32"/>
    <w:rsid w:val="00E6274A"/>
    <w:rsid w:val="00E62B4D"/>
    <w:rsid w:val="00E64570"/>
    <w:rsid w:val="00E660C8"/>
    <w:rsid w:val="00E67FF7"/>
    <w:rsid w:val="00E710CC"/>
    <w:rsid w:val="00E71E92"/>
    <w:rsid w:val="00E74296"/>
    <w:rsid w:val="00E743FC"/>
    <w:rsid w:val="00E74C92"/>
    <w:rsid w:val="00E74E00"/>
    <w:rsid w:val="00E7617F"/>
    <w:rsid w:val="00E77412"/>
    <w:rsid w:val="00E80DD6"/>
    <w:rsid w:val="00E8130F"/>
    <w:rsid w:val="00E81D97"/>
    <w:rsid w:val="00E81F05"/>
    <w:rsid w:val="00E83F2E"/>
    <w:rsid w:val="00E84268"/>
    <w:rsid w:val="00E844A0"/>
    <w:rsid w:val="00E84EB0"/>
    <w:rsid w:val="00E8512C"/>
    <w:rsid w:val="00E856D8"/>
    <w:rsid w:val="00E8575A"/>
    <w:rsid w:val="00E87FED"/>
    <w:rsid w:val="00E91430"/>
    <w:rsid w:val="00E91975"/>
    <w:rsid w:val="00E91B4D"/>
    <w:rsid w:val="00E924DD"/>
    <w:rsid w:val="00E9296C"/>
    <w:rsid w:val="00E929A6"/>
    <w:rsid w:val="00E92FDE"/>
    <w:rsid w:val="00E931D1"/>
    <w:rsid w:val="00E9420A"/>
    <w:rsid w:val="00E946BF"/>
    <w:rsid w:val="00E94E4C"/>
    <w:rsid w:val="00E956E4"/>
    <w:rsid w:val="00E96BC7"/>
    <w:rsid w:val="00E970A3"/>
    <w:rsid w:val="00E9783A"/>
    <w:rsid w:val="00E97FF9"/>
    <w:rsid w:val="00EA0E31"/>
    <w:rsid w:val="00EA2395"/>
    <w:rsid w:val="00EA3B7A"/>
    <w:rsid w:val="00EA483A"/>
    <w:rsid w:val="00EA4A21"/>
    <w:rsid w:val="00EA6325"/>
    <w:rsid w:val="00EA6B9A"/>
    <w:rsid w:val="00EA70B8"/>
    <w:rsid w:val="00EA71D6"/>
    <w:rsid w:val="00EB13D2"/>
    <w:rsid w:val="00EB196B"/>
    <w:rsid w:val="00EB22F8"/>
    <w:rsid w:val="00EB2924"/>
    <w:rsid w:val="00EB3E25"/>
    <w:rsid w:val="00EB4B61"/>
    <w:rsid w:val="00EB4E3A"/>
    <w:rsid w:val="00EB56AB"/>
    <w:rsid w:val="00EB778D"/>
    <w:rsid w:val="00EC01EA"/>
    <w:rsid w:val="00EC14D3"/>
    <w:rsid w:val="00EC3582"/>
    <w:rsid w:val="00EC4A0C"/>
    <w:rsid w:val="00EC520E"/>
    <w:rsid w:val="00EC5676"/>
    <w:rsid w:val="00EC6456"/>
    <w:rsid w:val="00EC64AD"/>
    <w:rsid w:val="00EC7A92"/>
    <w:rsid w:val="00ED0075"/>
    <w:rsid w:val="00ED15FE"/>
    <w:rsid w:val="00ED21D4"/>
    <w:rsid w:val="00ED452C"/>
    <w:rsid w:val="00ED4570"/>
    <w:rsid w:val="00ED5184"/>
    <w:rsid w:val="00ED541B"/>
    <w:rsid w:val="00ED5EC5"/>
    <w:rsid w:val="00ED6073"/>
    <w:rsid w:val="00ED65DC"/>
    <w:rsid w:val="00EE1805"/>
    <w:rsid w:val="00EE26BF"/>
    <w:rsid w:val="00EE2FE5"/>
    <w:rsid w:val="00EE3BAD"/>
    <w:rsid w:val="00EE56AB"/>
    <w:rsid w:val="00EE59DE"/>
    <w:rsid w:val="00EE7A43"/>
    <w:rsid w:val="00EF02F0"/>
    <w:rsid w:val="00EF078A"/>
    <w:rsid w:val="00EF0CEC"/>
    <w:rsid w:val="00EF1AFB"/>
    <w:rsid w:val="00EF21D9"/>
    <w:rsid w:val="00EF2327"/>
    <w:rsid w:val="00EF2A66"/>
    <w:rsid w:val="00EF3093"/>
    <w:rsid w:val="00EF440A"/>
    <w:rsid w:val="00EF69F5"/>
    <w:rsid w:val="00F00DA5"/>
    <w:rsid w:val="00F015CF"/>
    <w:rsid w:val="00F02157"/>
    <w:rsid w:val="00F025C5"/>
    <w:rsid w:val="00F02EDF"/>
    <w:rsid w:val="00F03836"/>
    <w:rsid w:val="00F06952"/>
    <w:rsid w:val="00F07D4F"/>
    <w:rsid w:val="00F101D8"/>
    <w:rsid w:val="00F113A9"/>
    <w:rsid w:val="00F140C0"/>
    <w:rsid w:val="00F15CAD"/>
    <w:rsid w:val="00F17541"/>
    <w:rsid w:val="00F178BF"/>
    <w:rsid w:val="00F17C45"/>
    <w:rsid w:val="00F17D17"/>
    <w:rsid w:val="00F20116"/>
    <w:rsid w:val="00F2096F"/>
    <w:rsid w:val="00F21C65"/>
    <w:rsid w:val="00F229AD"/>
    <w:rsid w:val="00F22A05"/>
    <w:rsid w:val="00F2319D"/>
    <w:rsid w:val="00F2334E"/>
    <w:rsid w:val="00F233C2"/>
    <w:rsid w:val="00F235B4"/>
    <w:rsid w:val="00F24CDA"/>
    <w:rsid w:val="00F250AC"/>
    <w:rsid w:val="00F262EF"/>
    <w:rsid w:val="00F26C91"/>
    <w:rsid w:val="00F272E8"/>
    <w:rsid w:val="00F30D2D"/>
    <w:rsid w:val="00F31FFE"/>
    <w:rsid w:val="00F327A2"/>
    <w:rsid w:val="00F33C5F"/>
    <w:rsid w:val="00F34534"/>
    <w:rsid w:val="00F36161"/>
    <w:rsid w:val="00F3798D"/>
    <w:rsid w:val="00F4029D"/>
    <w:rsid w:val="00F40A80"/>
    <w:rsid w:val="00F412A3"/>
    <w:rsid w:val="00F415E4"/>
    <w:rsid w:val="00F41C6A"/>
    <w:rsid w:val="00F438F4"/>
    <w:rsid w:val="00F43F17"/>
    <w:rsid w:val="00F45999"/>
    <w:rsid w:val="00F474B5"/>
    <w:rsid w:val="00F50BD6"/>
    <w:rsid w:val="00F5119B"/>
    <w:rsid w:val="00F524E5"/>
    <w:rsid w:val="00F53014"/>
    <w:rsid w:val="00F5321C"/>
    <w:rsid w:val="00F540AF"/>
    <w:rsid w:val="00F544B8"/>
    <w:rsid w:val="00F55176"/>
    <w:rsid w:val="00F5553C"/>
    <w:rsid w:val="00F56419"/>
    <w:rsid w:val="00F56987"/>
    <w:rsid w:val="00F56AE1"/>
    <w:rsid w:val="00F56E60"/>
    <w:rsid w:val="00F5720B"/>
    <w:rsid w:val="00F57541"/>
    <w:rsid w:val="00F57C59"/>
    <w:rsid w:val="00F57E37"/>
    <w:rsid w:val="00F60C4F"/>
    <w:rsid w:val="00F612A7"/>
    <w:rsid w:val="00F61908"/>
    <w:rsid w:val="00F6193A"/>
    <w:rsid w:val="00F62D90"/>
    <w:rsid w:val="00F63364"/>
    <w:rsid w:val="00F6395F"/>
    <w:rsid w:val="00F63B86"/>
    <w:rsid w:val="00F63E83"/>
    <w:rsid w:val="00F66414"/>
    <w:rsid w:val="00F67E54"/>
    <w:rsid w:val="00F70222"/>
    <w:rsid w:val="00F70477"/>
    <w:rsid w:val="00F7298E"/>
    <w:rsid w:val="00F72E94"/>
    <w:rsid w:val="00F74189"/>
    <w:rsid w:val="00F7630D"/>
    <w:rsid w:val="00F765B9"/>
    <w:rsid w:val="00F76BEA"/>
    <w:rsid w:val="00F77BF1"/>
    <w:rsid w:val="00F77C2C"/>
    <w:rsid w:val="00F80C6B"/>
    <w:rsid w:val="00F814C5"/>
    <w:rsid w:val="00F82135"/>
    <w:rsid w:val="00F82A6B"/>
    <w:rsid w:val="00F8329B"/>
    <w:rsid w:val="00F83502"/>
    <w:rsid w:val="00F84D2C"/>
    <w:rsid w:val="00F877CF"/>
    <w:rsid w:val="00F879C4"/>
    <w:rsid w:val="00F9033A"/>
    <w:rsid w:val="00F9053E"/>
    <w:rsid w:val="00F90C47"/>
    <w:rsid w:val="00F91EB1"/>
    <w:rsid w:val="00F929D8"/>
    <w:rsid w:val="00F94BA7"/>
    <w:rsid w:val="00F94C63"/>
    <w:rsid w:val="00F95D02"/>
    <w:rsid w:val="00F96483"/>
    <w:rsid w:val="00F96559"/>
    <w:rsid w:val="00F96B92"/>
    <w:rsid w:val="00F96CFC"/>
    <w:rsid w:val="00F96E3D"/>
    <w:rsid w:val="00FA0830"/>
    <w:rsid w:val="00FA08D8"/>
    <w:rsid w:val="00FA0A6F"/>
    <w:rsid w:val="00FA1015"/>
    <w:rsid w:val="00FA1140"/>
    <w:rsid w:val="00FA1805"/>
    <w:rsid w:val="00FA33B6"/>
    <w:rsid w:val="00FA37AB"/>
    <w:rsid w:val="00FA3F8E"/>
    <w:rsid w:val="00FA40FE"/>
    <w:rsid w:val="00FA433E"/>
    <w:rsid w:val="00FA4C3D"/>
    <w:rsid w:val="00FA559D"/>
    <w:rsid w:val="00FA7ECA"/>
    <w:rsid w:val="00FB00DF"/>
    <w:rsid w:val="00FB09EE"/>
    <w:rsid w:val="00FB0A0B"/>
    <w:rsid w:val="00FB2829"/>
    <w:rsid w:val="00FB2E1B"/>
    <w:rsid w:val="00FB498F"/>
    <w:rsid w:val="00FB5DEB"/>
    <w:rsid w:val="00FB65CC"/>
    <w:rsid w:val="00FB6945"/>
    <w:rsid w:val="00FC15F5"/>
    <w:rsid w:val="00FC1D3C"/>
    <w:rsid w:val="00FC21B4"/>
    <w:rsid w:val="00FC232F"/>
    <w:rsid w:val="00FC29D9"/>
    <w:rsid w:val="00FC2CE5"/>
    <w:rsid w:val="00FC4AD2"/>
    <w:rsid w:val="00FC5147"/>
    <w:rsid w:val="00FC54A9"/>
    <w:rsid w:val="00FC54D9"/>
    <w:rsid w:val="00FC5D9B"/>
    <w:rsid w:val="00FC5E13"/>
    <w:rsid w:val="00FC6C08"/>
    <w:rsid w:val="00FC7499"/>
    <w:rsid w:val="00FD0231"/>
    <w:rsid w:val="00FD1DB3"/>
    <w:rsid w:val="00FD3FBB"/>
    <w:rsid w:val="00FD4BE2"/>
    <w:rsid w:val="00FD6A6A"/>
    <w:rsid w:val="00FD71A8"/>
    <w:rsid w:val="00FE32CE"/>
    <w:rsid w:val="00FE374A"/>
    <w:rsid w:val="00FE3927"/>
    <w:rsid w:val="00FE56F1"/>
    <w:rsid w:val="00FE63F4"/>
    <w:rsid w:val="00FE7151"/>
    <w:rsid w:val="00FE7262"/>
    <w:rsid w:val="00FE7E84"/>
    <w:rsid w:val="00FF05C7"/>
    <w:rsid w:val="00FF1CAB"/>
    <w:rsid w:val="00FF3FD7"/>
    <w:rsid w:val="00FF42F9"/>
    <w:rsid w:val="00FF43D9"/>
    <w:rsid w:val="00FF7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D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rsid w:val="001241AA"/>
    <w:rPr>
      <w:lang w:val="x-none" w:eastAsia="x-none"/>
    </w:rPr>
  </w:style>
  <w:style w:type="character" w:customStyle="1" w:styleId="CommentTextChar">
    <w:name w:val="Comment Text Char"/>
    <w:link w:val="CommentText"/>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rsid w:val="001241AA"/>
    <w:rPr>
      <w:lang w:val="x-none" w:eastAsia="x-none"/>
    </w:rPr>
  </w:style>
  <w:style w:type="character" w:customStyle="1" w:styleId="CommentTextChar">
    <w:name w:val="Comment Text Char"/>
    <w:link w:val="CommentText"/>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86">
      <w:bodyDiv w:val="1"/>
      <w:marLeft w:val="0"/>
      <w:marRight w:val="0"/>
      <w:marTop w:val="0"/>
      <w:marBottom w:val="0"/>
      <w:divBdr>
        <w:top w:val="none" w:sz="0" w:space="0" w:color="auto"/>
        <w:left w:val="none" w:sz="0" w:space="0" w:color="auto"/>
        <w:bottom w:val="none" w:sz="0" w:space="0" w:color="auto"/>
        <w:right w:val="none" w:sz="0" w:space="0" w:color="auto"/>
      </w:divBdr>
      <w:divsChild>
        <w:div w:id="70856847">
          <w:marLeft w:val="1195"/>
          <w:marRight w:val="0"/>
          <w:marTop w:val="120"/>
          <w:marBottom w:val="0"/>
          <w:divBdr>
            <w:top w:val="none" w:sz="0" w:space="0" w:color="auto"/>
            <w:left w:val="none" w:sz="0" w:space="0" w:color="auto"/>
            <w:bottom w:val="none" w:sz="0" w:space="0" w:color="auto"/>
            <w:right w:val="none" w:sz="0" w:space="0" w:color="auto"/>
          </w:divBdr>
        </w:div>
        <w:div w:id="471674795">
          <w:marLeft w:val="504"/>
          <w:marRight w:val="0"/>
          <w:marTop w:val="120"/>
          <w:marBottom w:val="0"/>
          <w:divBdr>
            <w:top w:val="none" w:sz="0" w:space="0" w:color="auto"/>
            <w:left w:val="none" w:sz="0" w:space="0" w:color="auto"/>
            <w:bottom w:val="none" w:sz="0" w:space="0" w:color="auto"/>
            <w:right w:val="none" w:sz="0" w:space="0" w:color="auto"/>
          </w:divBdr>
        </w:div>
        <w:div w:id="1413818277">
          <w:marLeft w:val="1195"/>
          <w:marRight w:val="0"/>
          <w:marTop w:val="120"/>
          <w:marBottom w:val="0"/>
          <w:divBdr>
            <w:top w:val="none" w:sz="0" w:space="0" w:color="auto"/>
            <w:left w:val="none" w:sz="0" w:space="0" w:color="auto"/>
            <w:bottom w:val="none" w:sz="0" w:space="0" w:color="auto"/>
            <w:right w:val="none" w:sz="0" w:space="0" w:color="auto"/>
          </w:divBdr>
        </w:div>
        <w:div w:id="2034913288">
          <w:marLeft w:val="1195"/>
          <w:marRight w:val="0"/>
          <w:marTop w:val="120"/>
          <w:marBottom w:val="0"/>
          <w:divBdr>
            <w:top w:val="none" w:sz="0" w:space="0" w:color="auto"/>
            <w:left w:val="none" w:sz="0" w:space="0" w:color="auto"/>
            <w:bottom w:val="none" w:sz="0" w:space="0" w:color="auto"/>
            <w:right w:val="none" w:sz="0" w:space="0" w:color="auto"/>
          </w:divBdr>
        </w:div>
      </w:divsChild>
    </w:div>
    <w:div w:id="76631723">
      <w:bodyDiv w:val="1"/>
      <w:marLeft w:val="0"/>
      <w:marRight w:val="0"/>
      <w:marTop w:val="0"/>
      <w:marBottom w:val="0"/>
      <w:divBdr>
        <w:top w:val="none" w:sz="0" w:space="0" w:color="auto"/>
        <w:left w:val="none" w:sz="0" w:space="0" w:color="auto"/>
        <w:bottom w:val="none" w:sz="0" w:space="0" w:color="auto"/>
        <w:right w:val="none" w:sz="0" w:space="0" w:color="auto"/>
      </w:divBdr>
    </w:div>
    <w:div w:id="200165968">
      <w:bodyDiv w:val="1"/>
      <w:marLeft w:val="0"/>
      <w:marRight w:val="0"/>
      <w:marTop w:val="0"/>
      <w:marBottom w:val="0"/>
      <w:divBdr>
        <w:top w:val="none" w:sz="0" w:space="0" w:color="auto"/>
        <w:left w:val="none" w:sz="0" w:space="0" w:color="auto"/>
        <w:bottom w:val="none" w:sz="0" w:space="0" w:color="auto"/>
        <w:right w:val="none" w:sz="0" w:space="0" w:color="auto"/>
      </w:divBdr>
      <w:divsChild>
        <w:div w:id="35591026">
          <w:marLeft w:val="1238"/>
          <w:marRight w:val="0"/>
          <w:marTop w:val="140"/>
          <w:marBottom w:val="0"/>
          <w:divBdr>
            <w:top w:val="none" w:sz="0" w:space="0" w:color="auto"/>
            <w:left w:val="none" w:sz="0" w:space="0" w:color="auto"/>
            <w:bottom w:val="none" w:sz="0" w:space="0" w:color="auto"/>
            <w:right w:val="none" w:sz="0" w:space="0" w:color="auto"/>
          </w:divBdr>
        </w:div>
        <w:div w:id="192883905">
          <w:marLeft w:val="1238"/>
          <w:marRight w:val="0"/>
          <w:marTop w:val="140"/>
          <w:marBottom w:val="0"/>
          <w:divBdr>
            <w:top w:val="none" w:sz="0" w:space="0" w:color="auto"/>
            <w:left w:val="none" w:sz="0" w:space="0" w:color="auto"/>
            <w:bottom w:val="none" w:sz="0" w:space="0" w:color="auto"/>
            <w:right w:val="none" w:sz="0" w:space="0" w:color="auto"/>
          </w:divBdr>
        </w:div>
        <w:div w:id="1358971789">
          <w:marLeft w:val="547"/>
          <w:marRight w:val="0"/>
          <w:marTop w:val="140"/>
          <w:marBottom w:val="0"/>
          <w:divBdr>
            <w:top w:val="none" w:sz="0" w:space="0" w:color="auto"/>
            <w:left w:val="none" w:sz="0" w:space="0" w:color="auto"/>
            <w:bottom w:val="none" w:sz="0" w:space="0" w:color="auto"/>
            <w:right w:val="none" w:sz="0" w:space="0" w:color="auto"/>
          </w:divBdr>
        </w:div>
        <w:div w:id="1892426317">
          <w:marLeft w:val="1238"/>
          <w:marRight w:val="0"/>
          <w:marTop w:val="140"/>
          <w:marBottom w:val="0"/>
          <w:divBdr>
            <w:top w:val="none" w:sz="0" w:space="0" w:color="auto"/>
            <w:left w:val="none" w:sz="0" w:space="0" w:color="auto"/>
            <w:bottom w:val="none" w:sz="0" w:space="0" w:color="auto"/>
            <w:right w:val="none" w:sz="0" w:space="0" w:color="auto"/>
          </w:divBdr>
        </w:div>
      </w:divsChild>
    </w:div>
    <w:div w:id="254168051">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4">
          <w:marLeft w:val="547"/>
          <w:marRight w:val="0"/>
          <w:marTop w:val="140"/>
          <w:marBottom w:val="0"/>
          <w:divBdr>
            <w:top w:val="none" w:sz="0" w:space="0" w:color="auto"/>
            <w:left w:val="none" w:sz="0" w:space="0" w:color="auto"/>
            <w:bottom w:val="none" w:sz="0" w:space="0" w:color="auto"/>
            <w:right w:val="none" w:sz="0" w:space="0" w:color="auto"/>
          </w:divBdr>
        </w:div>
      </w:divsChild>
    </w:div>
    <w:div w:id="412170130">
      <w:bodyDiv w:val="1"/>
      <w:marLeft w:val="0"/>
      <w:marRight w:val="0"/>
      <w:marTop w:val="0"/>
      <w:marBottom w:val="0"/>
      <w:divBdr>
        <w:top w:val="none" w:sz="0" w:space="0" w:color="auto"/>
        <w:left w:val="none" w:sz="0" w:space="0" w:color="auto"/>
        <w:bottom w:val="none" w:sz="0" w:space="0" w:color="auto"/>
        <w:right w:val="none" w:sz="0" w:space="0" w:color="auto"/>
      </w:divBdr>
      <w:divsChild>
        <w:div w:id="922761391">
          <w:marLeft w:val="547"/>
          <w:marRight w:val="0"/>
          <w:marTop w:val="115"/>
          <w:marBottom w:val="0"/>
          <w:divBdr>
            <w:top w:val="none" w:sz="0" w:space="0" w:color="auto"/>
            <w:left w:val="none" w:sz="0" w:space="0" w:color="auto"/>
            <w:bottom w:val="none" w:sz="0" w:space="0" w:color="auto"/>
            <w:right w:val="none" w:sz="0" w:space="0" w:color="auto"/>
          </w:divBdr>
        </w:div>
      </w:divsChild>
    </w:div>
    <w:div w:id="505023447">
      <w:bodyDiv w:val="1"/>
      <w:marLeft w:val="0"/>
      <w:marRight w:val="0"/>
      <w:marTop w:val="0"/>
      <w:marBottom w:val="0"/>
      <w:divBdr>
        <w:top w:val="none" w:sz="0" w:space="0" w:color="auto"/>
        <w:left w:val="none" w:sz="0" w:space="0" w:color="auto"/>
        <w:bottom w:val="none" w:sz="0" w:space="0" w:color="auto"/>
        <w:right w:val="none" w:sz="0" w:space="0" w:color="auto"/>
      </w:divBdr>
      <w:divsChild>
        <w:div w:id="1921718104">
          <w:marLeft w:val="432"/>
          <w:marRight w:val="0"/>
          <w:marTop w:val="86"/>
          <w:marBottom w:val="0"/>
          <w:divBdr>
            <w:top w:val="none" w:sz="0" w:space="0" w:color="auto"/>
            <w:left w:val="none" w:sz="0" w:space="0" w:color="auto"/>
            <w:bottom w:val="none" w:sz="0" w:space="0" w:color="auto"/>
            <w:right w:val="none" w:sz="0" w:space="0" w:color="auto"/>
          </w:divBdr>
        </w:div>
      </w:divsChild>
    </w:div>
    <w:div w:id="8831060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5">
          <w:marLeft w:val="504"/>
          <w:marRight w:val="0"/>
          <w:marTop w:val="120"/>
          <w:marBottom w:val="0"/>
          <w:divBdr>
            <w:top w:val="none" w:sz="0" w:space="0" w:color="auto"/>
            <w:left w:val="none" w:sz="0" w:space="0" w:color="auto"/>
            <w:bottom w:val="none" w:sz="0" w:space="0" w:color="auto"/>
            <w:right w:val="none" w:sz="0" w:space="0" w:color="auto"/>
          </w:divBdr>
        </w:div>
        <w:div w:id="507254280">
          <w:marLeft w:val="1195"/>
          <w:marRight w:val="0"/>
          <w:marTop w:val="120"/>
          <w:marBottom w:val="0"/>
          <w:divBdr>
            <w:top w:val="none" w:sz="0" w:space="0" w:color="auto"/>
            <w:left w:val="none" w:sz="0" w:space="0" w:color="auto"/>
            <w:bottom w:val="none" w:sz="0" w:space="0" w:color="auto"/>
            <w:right w:val="none" w:sz="0" w:space="0" w:color="auto"/>
          </w:divBdr>
        </w:div>
        <w:div w:id="1078482141">
          <w:marLeft w:val="504"/>
          <w:marRight w:val="0"/>
          <w:marTop w:val="120"/>
          <w:marBottom w:val="0"/>
          <w:divBdr>
            <w:top w:val="none" w:sz="0" w:space="0" w:color="auto"/>
            <w:left w:val="none" w:sz="0" w:space="0" w:color="auto"/>
            <w:bottom w:val="none" w:sz="0" w:space="0" w:color="auto"/>
            <w:right w:val="none" w:sz="0" w:space="0" w:color="auto"/>
          </w:divBdr>
        </w:div>
      </w:divsChild>
    </w:div>
    <w:div w:id="891159563">
      <w:bodyDiv w:val="1"/>
      <w:marLeft w:val="0"/>
      <w:marRight w:val="0"/>
      <w:marTop w:val="0"/>
      <w:marBottom w:val="0"/>
      <w:divBdr>
        <w:top w:val="none" w:sz="0" w:space="0" w:color="auto"/>
        <w:left w:val="none" w:sz="0" w:space="0" w:color="auto"/>
        <w:bottom w:val="none" w:sz="0" w:space="0" w:color="auto"/>
        <w:right w:val="none" w:sz="0" w:space="0" w:color="auto"/>
      </w:divBdr>
      <w:divsChild>
        <w:div w:id="79258482">
          <w:marLeft w:val="547"/>
          <w:marRight w:val="0"/>
          <w:marTop w:val="140"/>
          <w:marBottom w:val="0"/>
          <w:divBdr>
            <w:top w:val="none" w:sz="0" w:space="0" w:color="auto"/>
            <w:left w:val="none" w:sz="0" w:space="0" w:color="auto"/>
            <w:bottom w:val="none" w:sz="0" w:space="0" w:color="auto"/>
            <w:right w:val="none" w:sz="0" w:space="0" w:color="auto"/>
          </w:divBdr>
        </w:div>
        <w:div w:id="143208135">
          <w:marLeft w:val="547"/>
          <w:marRight w:val="0"/>
          <w:marTop w:val="140"/>
          <w:marBottom w:val="0"/>
          <w:divBdr>
            <w:top w:val="none" w:sz="0" w:space="0" w:color="auto"/>
            <w:left w:val="none" w:sz="0" w:space="0" w:color="auto"/>
            <w:bottom w:val="none" w:sz="0" w:space="0" w:color="auto"/>
            <w:right w:val="none" w:sz="0" w:space="0" w:color="auto"/>
          </w:divBdr>
        </w:div>
      </w:divsChild>
    </w:div>
    <w:div w:id="970982700">
      <w:bodyDiv w:val="1"/>
      <w:marLeft w:val="0"/>
      <w:marRight w:val="0"/>
      <w:marTop w:val="0"/>
      <w:marBottom w:val="0"/>
      <w:divBdr>
        <w:top w:val="none" w:sz="0" w:space="0" w:color="auto"/>
        <w:left w:val="none" w:sz="0" w:space="0" w:color="auto"/>
        <w:bottom w:val="none" w:sz="0" w:space="0" w:color="auto"/>
        <w:right w:val="none" w:sz="0" w:space="0" w:color="auto"/>
      </w:divBdr>
      <w:divsChild>
        <w:div w:id="367723281">
          <w:marLeft w:val="547"/>
          <w:marRight w:val="0"/>
          <w:marTop w:val="106"/>
          <w:marBottom w:val="0"/>
          <w:divBdr>
            <w:top w:val="none" w:sz="0" w:space="0" w:color="auto"/>
            <w:left w:val="none" w:sz="0" w:space="0" w:color="auto"/>
            <w:bottom w:val="none" w:sz="0" w:space="0" w:color="auto"/>
            <w:right w:val="none" w:sz="0" w:space="0" w:color="auto"/>
          </w:divBdr>
        </w:div>
        <w:div w:id="907035041">
          <w:marLeft w:val="1166"/>
          <w:marRight w:val="0"/>
          <w:marTop w:val="106"/>
          <w:marBottom w:val="0"/>
          <w:divBdr>
            <w:top w:val="none" w:sz="0" w:space="0" w:color="auto"/>
            <w:left w:val="none" w:sz="0" w:space="0" w:color="auto"/>
            <w:bottom w:val="none" w:sz="0" w:space="0" w:color="auto"/>
            <w:right w:val="none" w:sz="0" w:space="0" w:color="auto"/>
          </w:divBdr>
        </w:div>
        <w:div w:id="1042636650">
          <w:marLeft w:val="1800"/>
          <w:marRight w:val="0"/>
          <w:marTop w:val="86"/>
          <w:marBottom w:val="0"/>
          <w:divBdr>
            <w:top w:val="none" w:sz="0" w:space="0" w:color="auto"/>
            <w:left w:val="none" w:sz="0" w:space="0" w:color="auto"/>
            <w:bottom w:val="none" w:sz="0" w:space="0" w:color="auto"/>
            <w:right w:val="none" w:sz="0" w:space="0" w:color="auto"/>
          </w:divBdr>
        </w:div>
        <w:div w:id="1071077833">
          <w:marLeft w:val="1800"/>
          <w:marRight w:val="0"/>
          <w:marTop w:val="86"/>
          <w:marBottom w:val="0"/>
          <w:divBdr>
            <w:top w:val="none" w:sz="0" w:space="0" w:color="auto"/>
            <w:left w:val="none" w:sz="0" w:space="0" w:color="auto"/>
            <w:bottom w:val="none" w:sz="0" w:space="0" w:color="auto"/>
            <w:right w:val="none" w:sz="0" w:space="0" w:color="auto"/>
          </w:divBdr>
        </w:div>
        <w:div w:id="1718775586">
          <w:marLeft w:val="547"/>
          <w:marRight w:val="0"/>
          <w:marTop w:val="106"/>
          <w:marBottom w:val="0"/>
          <w:divBdr>
            <w:top w:val="none" w:sz="0" w:space="0" w:color="auto"/>
            <w:left w:val="none" w:sz="0" w:space="0" w:color="auto"/>
            <w:bottom w:val="none" w:sz="0" w:space="0" w:color="auto"/>
            <w:right w:val="none" w:sz="0" w:space="0" w:color="auto"/>
          </w:divBdr>
        </w:div>
        <w:div w:id="1835603891">
          <w:marLeft w:val="1166"/>
          <w:marRight w:val="0"/>
          <w:marTop w:val="106"/>
          <w:marBottom w:val="0"/>
          <w:divBdr>
            <w:top w:val="none" w:sz="0" w:space="0" w:color="auto"/>
            <w:left w:val="none" w:sz="0" w:space="0" w:color="auto"/>
            <w:bottom w:val="none" w:sz="0" w:space="0" w:color="auto"/>
            <w:right w:val="none" w:sz="0" w:space="0" w:color="auto"/>
          </w:divBdr>
        </w:div>
        <w:div w:id="1936549437">
          <w:marLeft w:val="1166"/>
          <w:marRight w:val="0"/>
          <w:marTop w:val="96"/>
          <w:marBottom w:val="0"/>
          <w:divBdr>
            <w:top w:val="none" w:sz="0" w:space="0" w:color="auto"/>
            <w:left w:val="none" w:sz="0" w:space="0" w:color="auto"/>
            <w:bottom w:val="none" w:sz="0" w:space="0" w:color="auto"/>
            <w:right w:val="none" w:sz="0" w:space="0" w:color="auto"/>
          </w:divBdr>
        </w:div>
      </w:divsChild>
    </w:div>
    <w:div w:id="985626659">
      <w:bodyDiv w:val="1"/>
      <w:marLeft w:val="0"/>
      <w:marRight w:val="0"/>
      <w:marTop w:val="0"/>
      <w:marBottom w:val="0"/>
      <w:divBdr>
        <w:top w:val="none" w:sz="0" w:space="0" w:color="auto"/>
        <w:left w:val="none" w:sz="0" w:space="0" w:color="auto"/>
        <w:bottom w:val="none" w:sz="0" w:space="0" w:color="auto"/>
        <w:right w:val="none" w:sz="0" w:space="0" w:color="auto"/>
      </w:divBdr>
      <w:divsChild>
        <w:div w:id="1007093447">
          <w:marLeft w:val="547"/>
          <w:marRight w:val="0"/>
          <w:marTop w:val="140"/>
          <w:marBottom w:val="0"/>
          <w:divBdr>
            <w:top w:val="none" w:sz="0" w:space="0" w:color="auto"/>
            <w:left w:val="none" w:sz="0" w:space="0" w:color="auto"/>
            <w:bottom w:val="none" w:sz="0" w:space="0" w:color="auto"/>
            <w:right w:val="none" w:sz="0" w:space="0" w:color="auto"/>
          </w:divBdr>
        </w:div>
        <w:div w:id="1063261363">
          <w:marLeft w:val="1915"/>
          <w:marRight w:val="0"/>
          <w:marTop w:val="140"/>
          <w:marBottom w:val="0"/>
          <w:divBdr>
            <w:top w:val="none" w:sz="0" w:space="0" w:color="auto"/>
            <w:left w:val="none" w:sz="0" w:space="0" w:color="auto"/>
            <w:bottom w:val="none" w:sz="0" w:space="0" w:color="auto"/>
            <w:right w:val="none" w:sz="0" w:space="0" w:color="auto"/>
          </w:divBdr>
        </w:div>
        <w:div w:id="1507744829">
          <w:marLeft w:val="1238"/>
          <w:marRight w:val="0"/>
          <w:marTop w:val="140"/>
          <w:marBottom w:val="0"/>
          <w:divBdr>
            <w:top w:val="none" w:sz="0" w:space="0" w:color="auto"/>
            <w:left w:val="none" w:sz="0" w:space="0" w:color="auto"/>
            <w:bottom w:val="none" w:sz="0" w:space="0" w:color="auto"/>
            <w:right w:val="none" w:sz="0" w:space="0" w:color="auto"/>
          </w:divBdr>
        </w:div>
        <w:div w:id="1554346856">
          <w:marLeft w:val="1238"/>
          <w:marRight w:val="0"/>
          <w:marTop w:val="140"/>
          <w:marBottom w:val="0"/>
          <w:divBdr>
            <w:top w:val="none" w:sz="0" w:space="0" w:color="auto"/>
            <w:left w:val="none" w:sz="0" w:space="0" w:color="auto"/>
            <w:bottom w:val="none" w:sz="0" w:space="0" w:color="auto"/>
            <w:right w:val="none" w:sz="0" w:space="0" w:color="auto"/>
          </w:divBdr>
        </w:div>
        <w:div w:id="1637249465">
          <w:marLeft w:val="1238"/>
          <w:marRight w:val="0"/>
          <w:marTop w:val="140"/>
          <w:marBottom w:val="0"/>
          <w:divBdr>
            <w:top w:val="none" w:sz="0" w:space="0" w:color="auto"/>
            <w:left w:val="none" w:sz="0" w:space="0" w:color="auto"/>
            <w:bottom w:val="none" w:sz="0" w:space="0" w:color="auto"/>
            <w:right w:val="none" w:sz="0" w:space="0" w:color="auto"/>
          </w:divBdr>
        </w:div>
      </w:divsChild>
    </w:div>
    <w:div w:id="1129586155">
      <w:bodyDiv w:val="1"/>
      <w:marLeft w:val="0"/>
      <w:marRight w:val="0"/>
      <w:marTop w:val="0"/>
      <w:marBottom w:val="0"/>
      <w:divBdr>
        <w:top w:val="none" w:sz="0" w:space="0" w:color="auto"/>
        <w:left w:val="none" w:sz="0" w:space="0" w:color="auto"/>
        <w:bottom w:val="none" w:sz="0" w:space="0" w:color="auto"/>
        <w:right w:val="none" w:sz="0" w:space="0" w:color="auto"/>
      </w:divBdr>
      <w:divsChild>
        <w:div w:id="207300879">
          <w:marLeft w:val="0"/>
          <w:marRight w:val="0"/>
          <w:marTop w:val="0"/>
          <w:marBottom w:val="0"/>
          <w:divBdr>
            <w:top w:val="none" w:sz="0" w:space="0" w:color="auto"/>
            <w:left w:val="none" w:sz="0" w:space="0" w:color="auto"/>
            <w:bottom w:val="none" w:sz="0" w:space="0" w:color="auto"/>
            <w:right w:val="none" w:sz="0" w:space="0" w:color="auto"/>
          </w:divBdr>
          <w:divsChild>
            <w:div w:id="1944219156">
              <w:marLeft w:val="0"/>
              <w:marRight w:val="0"/>
              <w:marTop w:val="0"/>
              <w:marBottom w:val="0"/>
              <w:divBdr>
                <w:top w:val="none" w:sz="0" w:space="0" w:color="auto"/>
                <w:left w:val="none" w:sz="0" w:space="0" w:color="auto"/>
                <w:bottom w:val="none" w:sz="0" w:space="0" w:color="auto"/>
                <w:right w:val="none" w:sz="0" w:space="0" w:color="auto"/>
              </w:divBdr>
              <w:divsChild>
                <w:div w:id="1911963005">
                  <w:marLeft w:val="-225"/>
                  <w:marRight w:val="-225"/>
                  <w:marTop w:val="0"/>
                  <w:marBottom w:val="0"/>
                  <w:divBdr>
                    <w:top w:val="none" w:sz="0" w:space="0" w:color="auto"/>
                    <w:left w:val="none" w:sz="0" w:space="0" w:color="auto"/>
                    <w:bottom w:val="none" w:sz="0" w:space="0" w:color="auto"/>
                    <w:right w:val="none" w:sz="0" w:space="0" w:color="auto"/>
                  </w:divBdr>
                  <w:divsChild>
                    <w:div w:id="632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967">
      <w:bodyDiv w:val="1"/>
      <w:marLeft w:val="0"/>
      <w:marRight w:val="0"/>
      <w:marTop w:val="0"/>
      <w:marBottom w:val="0"/>
      <w:divBdr>
        <w:top w:val="none" w:sz="0" w:space="0" w:color="auto"/>
        <w:left w:val="none" w:sz="0" w:space="0" w:color="auto"/>
        <w:bottom w:val="none" w:sz="0" w:space="0" w:color="auto"/>
        <w:right w:val="none" w:sz="0" w:space="0" w:color="auto"/>
      </w:divBdr>
    </w:div>
    <w:div w:id="1232470827">
      <w:bodyDiv w:val="1"/>
      <w:marLeft w:val="0"/>
      <w:marRight w:val="0"/>
      <w:marTop w:val="0"/>
      <w:marBottom w:val="0"/>
      <w:divBdr>
        <w:top w:val="none" w:sz="0" w:space="0" w:color="auto"/>
        <w:left w:val="none" w:sz="0" w:space="0" w:color="auto"/>
        <w:bottom w:val="none" w:sz="0" w:space="0" w:color="auto"/>
        <w:right w:val="none" w:sz="0" w:space="0" w:color="auto"/>
      </w:divBdr>
    </w:div>
    <w:div w:id="1243761409">
      <w:bodyDiv w:val="1"/>
      <w:marLeft w:val="0"/>
      <w:marRight w:val="0"/>
      <w:marTop w:val="0"/>
      <w:marBottom w:val="0"/>
      <w:divBdr>
        <w:top w:val="none" w:sz="0" w:space="0" w:color="auto"/>
        <w:left w:val="none" w:sz="0" w:space="0" w:color="auto"/>
        <w:bottom w:val="none" w:sz="0" w:space="0" w:color="auto"/>
        <w:right w:val="none" w:sz="0" w:space="0" w:color="auto"/>
      </w:divBdr>
      <w:divsChild>
        <w:div w:id="354758">
          <w:marLeft w:val="547"/>
          <w:marRight w:val="0"/>
          <w:marTop w:val="140"/>
          <w:marBottom w:val="0"/>
          <w:divBdr>
            <w:top w:val="none" w:sz="0" w:space="0" w:color="auto"/>
            <w:left w:val="none" w:sz="0" w:space="0" w:color="auto"/>
            <w:bottom w:val="none" w:sz="0" w:space="0" w:color="auto"/>
            <w:right w:val="none" w:sz="0" w:space="0" w:color="auto"/>
          </w:divBdr>
        </w:div>
        <w:div w:id="117188567">
          <w:marLeft w:val="1238"/>
          <w:marRight w:val="0"/>
          <w:marTop w:val="140"/>
          <w:marBottom w:val="0"/>
          <w:divBdr>
            <w:top w:val="none" w:sz="0" w:space="0" w:color="auto"/>
            <w:left w:val="none" w:sz="0" w:space="0" w:color="auto"/>
            <w:bottom w:val="none" w:sz="0" w:space="0" w:color="auto"/>
            <w:right w:val="none" w:sz="0" w:space="0" w:color="auto"/>
          </w:divBdr>
        </w:div>
        <w:div w:id="358505871">
          <w:marLeft w:val="547"/>
          <w:marRight w:val="0"/>
          <w:marTop w:val="140"/>
          <w:marBottom w:val="0"/>
          <w:divBdr>
            <w:top w:val="none" w:sz="0" w:space="0" w:color="auto"/>
            <w:left w:val="none" w:sz="0" w:space="0" w:color="auto"/>
            <w:bottom w:val="none" w:sz="0" w:space="0" w:color="auto"/>
            <w:right w:val="none" w:sz="0" w:space="0" w:color="auto"/>
          </w:divBdr>
        </w:div>
        <w:div w:id="2015298807">
          <w:marLeft w:val="547"/>
          <w:marRight w:val="0"/>
          <w:marTop w:val="140"/>
          <w:marBottom w:val="0"/>
          <w:divBdr>
            <w:top w:val="none" w:sz="0" w:space="0" w:color="auto"/>
            <w:left w:val="none" w:sz="0" w:space="0" w:color="auto"/>
            <w:bottom w:val="none" w:sz="0" w:space="0" w:color="auto"/>
            <w:right w:val="none" w:sz="0" w:space="0" w:color="auto"/>
          </w:divBdr>
        </w:div>
      </w:divsChild>
    </w:div>
    <w:div w:id="1321348483">
      <w:bodyDiv w:val="1"/>
      <w:marLeft w:val="0"/>
      <w:marRight w:val="0"/>
      <w:marTop w:val="0"/>
      <w:marBottom w:val="0"/>
      <w:divBdr>
        <w:top w:val="none" w:sz="0" w:space="0" w:color="auto"/>
        <w:left w:val="none" w:sz="0" w:space="0" w:color="auto"/>
        <w:bottom w:val="none" w:sz="0" w:space="0" w:color="auto"/>
        <w:right w:val="none" w:sz="0" w:space="0" w:color="auto"/>
      </w:divBdr>
    </w:div>
    <w:div w:id="1396704739">
      <w:bodyDiv w:val="1"/>
      <w:marLeft w:val="0"/>
      <w:marRight w:val="0"/>
      <w:marTop w:val="0"/>
      <w:marBottom w:val="0"/>
      <w:divBdr>
        <w:top w:val="none" w:sz="0" w:space="0" w:color="auto"/>
        <w:left w:val="none" w:sz="0" w:space="0" w:color="auto"/>
        <w:bottom w:val="none" w:sz="0" w:space="0" w:color="auto"/>
        <w:right w:val="none" w:sz="0" w:space="0" w:color="auto"/>
      </w:divBdr>
    </w:div>
    <w:div w:id="1809127377">
      <w:bodyDiv w:val="1"/>
      <w:marLeft w:val="0"/>
      <w:marRight w:val="0"/>
      <w:marTop w:val="0"/>
      <w:marBottom w:val="0"/>
      <w:divBdr>
        <w:top w:val="none" w:sz="0" w:space="0" w:color="auto"/>
        <w:left w:val="none" w:sz="0" w:space="0" w:color="auto"/>
        <w:bottom w:val="none" w:sz="0" w:space="0" w:color="auto"/>
        <w:right w:val="none" w:sz="0" w:space="0" w:color="auto"/>
      </w:divBdr>
    </w:div>
    <w:div w:id="1845629658">
      <w:bodyDiv w:val="1"/>
      <w:marLeft w:val="0"/>
      <w:marRight w:val="0"/>
      <w:marTop w:val="0"/>
      <w:marBottom w:val="0"/>
      <w:divBdr>
        <w:top w:val="none" w:sz="0" w:space="0" w:color="auto"/>
        <w:left w:val="none" w:sz="0" w:space="0" w:color="auto"/>
        <w:bottom w:val="none" w:sz="0" w:space="0" w:color="auto"/>
        <w:right w:val="none" w:sz="0" w:space="0" w:color="auto"/>
      </w:divBdr>
      <w:divsChild>
        <w:div w:id="481654242">
          <w:marLeft w:val="547"/>
          <w:marRight w:val="0"/>
          <w:marTop w:val="140"/>
          <w:marBottom w:val="0"/>
          <w:divBdr>
            <w:top w:val="none" w:sz="0" w:space="0" w:color="auto"/>
            <w:left w:val="none" w:sz="0" w:space="0" w:color="auto"/>
            <w:bottom w:val="none" w:sz="0" w:space="0" w:color="auto"/>
            <w:right w:val="none" w:sz="0" w:space="0" w:color="auto"/>
          </w:divBdr>
        </w:div>
        <w:div w:id="616376939">
          <w:marLeft w:val="1238"/>
          <w:marRight w:val="0"/>
          <w:marTop w:val="0"/>
          <w:marBottom w:val="0"/>
          <w:divBdr>
            <w:top w:val="none" w:sz="0" w:space="0" w:color="auto"/>
            <w:left w:val="none" w:sz="0" w:space="0" w:color="auto"/>
            <w:bottom w:val="none" w:sz="0" w:space="0" w:color="auto"/>
            <w:right w:val="none" w:sz="0" w:space="0" w:color="auto"/>
          </w:divBdr>
        </w:div>
        <w:div w:id="1315913485">
          <w:marLeft w:val="1238"/>
          <w:marRight w:val="0"/>
          <w:marTop w:val="0"/>
          <w:marBottom w:val="0"/>
          <w:divBdr>
            <w:top w:val="none" w:sz="0" w:space="0" w:color="auto"/>
            <w:left w:val="none" w:sz="0" w:space="0" w:color="auto"/>
            <w:bottom w:val="none" w:sz="0" w:space="0" w:color="auto"/>
            <w:right w:val="none" w:sz="0" w:space="0" w:color="auto"/>
          </w:divBdr>
        </w:div>
      </w:divsChild>
    </w:div>
    <w:div w:id="1950696299">
      <w:bodyDiv w:val="1"/>
      <w:marLeft w:val="0"/>
      <w:marRight w:val="0"/>
      <w:marTop w:val="0"/>
      <w:marBottom w:val="0"/>
      <w:divBdr>
        <w:top w:val="none" w:sz="0" w:space="0" w:color="auto"/>
        <w:left w:val="none" w:sz="0" w:space="0" w:color="auto"/>
        <w:bottom w:val="none" w:sz="0" w:space="0" w:color="auto"/>
        <w:right w:val="none" w:sz="0" w:space="0" w:color="auto"/>
      </w:divBdr>
      <w:divsChild>
        <w:div w:id="57827613">
          <w:marLeft w:val="547"/>
          <w:marRight w:val="0"/>
          <w:marTop w:val="140"/>
          <w:marBottom w:val="0"/>
          <w:divBdr>
            <w:top w:val="none" w:sz="0" w:space="0" w:color="auto"/>
            <w:left w:val="none" w:sz="0" w:space="0" w:color="auto"/>
            <w:bottom w:val="none" w:sz="0" w:space="0" w:color="auto"/>
            <w:right w:val="none" w:sz="0" w:space="0" w:color="auto"/>
          </w:divBdr>
        </w:div>
        <w:div w:id="209542207">
          <w:marLeft w:val="1238"/>
          <w:marRight w:val="0"/>
          <w:marTop w:val="140"/>
          <w:marBottom w:val="0"/>
          <w:divBdr>
            <w:top w:val="none" w:sz="0" w:space="0" w:color="auto"/>
            <w:left w:val="none" w:sz="0" w:space="0" w:color="auto"/>
            <w:bottom w:val="none" w:sz="0" w:space="0" w:color="auto"/>
            <w:right w:val="none" w:sz="0" w:space="0" w:color="auto"/>
          </w:divBdr>
        </w:div>
      </w:divsChild>
    </w:div>
    <w:div w:id="1982685722">
      <w:bodyDiv w:val="1"/>
      <w:marLeft w:val="0"/>
      <w:marRight w:val="0"/>
      <w:marTop w:val="0"/>
      <w:marBottom w:val="0"/>
      <w:divBdr>
        <w:top w:val="none" w:sz="0" w:space="0" w:color="auto"/>
        <w:left w:val="none" w:sz="0" w:space="0" w:color="auto"/>
        <w:bottom w:val="none" w:sz="0" w:space="0" w:color="auto"/>
        <w:right w:val="none" w:sz="0" w:space="0" w:color="auto"/>
      </w:divBdr>
      <w:divsChild>
        <w:div w:id="16077962">
          <w:marLeft w:val="1238"/>
          <w:marRight w:val="0"/>
          <w:marTop w:val="140"/>
          <w:marBottom w:val="0"/>
          <w:divBdr>
            <w:top w:val="none" w:sz="0" w:space="0" w:color="auto"/>
            <w:left w:val="none" w:sz="0" w:space="0" w:color="auto"/>
            <w:bottom w:val="none" w:sz="0" w:space="0" w:color="auto"/>
            <w:right w:val="none" w:sz="0" w:space="0" w:color="auto"/>
          </w:divBdr>
        </w:div>
        <w:div w:id="336229719">
          <w:marLeft w:val="547"/>
          <w:marRight w:val="0"/>
          <w:marTop w:val="140"/>
          <w:marBottom w:val="0"/>
          <w:divBdr>
            <w:top w:val="none" w:sz="0" w:space="0" w:color="auto"/>
            <w:left w:val="none" w:sz="0" w:space="0" w:color="auto"/>
            <w:bottom w:val="none" w:sz="0" w:space="0" w:color="auto"/>
            <w:right w:val="none" w:sz="0" w:space="0" w:color="auto"/>
          </w:divBdr>
        </w:div>
        <w:div w:id="370153002">
          <w:marLeft w:val="547"/>
          <w:marRight w:val="0"/>
          <w:marTop w:val="140"/>
          <w:marBottom w:val="0"/>
          <w:divBdr>
            <w:top w:val="none" w:sz="0" w:space="0" w:color="auto"/>
            <w:left w:val="none" w:sz="0" w:space="0" w:color="auto"/>
            <w:bottom w:val="none" w:sz="0" w:space="0" w:color="auto"/>
            <w:right w:val="none" w:sz="0" w:space="0" w:color="auto"/>
          </w:divBdr>
        </w:div>
        <w:div w:id="1064178413">
          <w:marLeft w:val="1238"/>
          <w:marRight w:val="0"/>
          <w:marTop w:val="140"/>
          <w:marBottom w:val="0"/>
          <w:divBdr>
            <w:top w:val="none" w:sz="0" w:space="0" w:color="auto"/>
            <w:left w:val="none" w:sz="0" w:space="0" w:color="auto"/>
            <w:bottom w:val="none" w:sz="0" w:space="0" w:color="auto"/>
            <w:right w:val="none" w:sz="0" w:space="0" w:color="auto"/>
          </w:divBdr>
        </w:div>
        <w:div w:id="1481001151">
          <w:marLeft w:val="1238"/>
          <w:marRight w:val="0"/>
          <w:marTop w:val="140"/>
          <w:marBottom w:val="0"/>
          <w:divBdr>
            <w:top w:val="none" w:sz="0" w:space="0" w:color="auto"/>
            <w:left w:val="none" w:sz="0" w:space="0" w:color="auto"/>
            <w:bottom w:val="none" w:sz="0" w:space="0" w:color="auto"/>
            <w:right w:val="none" w:sz="0" w:space="0" w:color="auto"/>
          </w:divBdr>
        </w:div>
        <w:div w:id="1913268480">
          <w:marLeft w:val="547"/>
          <w:marRight w:val="0"/>
          <w:marTop w:val="140"/>
          <w:marBottom w:val="0"/>
          <w:divBdr>
            <w:top w:val="none" w:sz="0" w:space="0" w:color="auto"/>
            <w:left w:val="none" w:sz="0" w:space="0" w:color="auto"/>
            <w:bottom w:val="none" w:sz="0" w:space="0" w:color="auto"/>
            <w:right w:val="none" w:sz="0" w:space="0" w:color="auto"/>
          </w:divBdr>
        </w:div>
      </w:divsChild>
    </w:div>
    <w:div w:id="2012485296">
      <w:bodyDiv w:val="1"/>
      <w:marLeft w:val="0"/>
      <w:marRight w:val="0"/>
      <w:marTop w:val="0"/>
      <w:marBottom w:val="0"/>
      <w:divBdr>
        <w:top w:val="none" w:sz="0" w:space="0" w:color="auto"/>
        <w:left w:val="none" w:sz="0" w:space="0" w:color="auto"/>
        <w:bottom w:val="none" w:sz="0" w:space="0" w:color="auto"/>
        <w:right w:val="none" w:sz="0" w:space="0" w:color="auto"/>
      </w:divBdr>
      <w:divsChild>
        <w:div w:id="673414194">
          <w:marLeft w:val="1238"/>
          <w:marRight w:val="0"/>
          <w:marTop w:val="140"/>
          <w:marBottom w:val="0"/>
          <w:divBdr>
            <w:top w:val="none" w:sz="0" w:space="0" w:color="auto"/>
            <w:left w:val="none" w:sz="0" w:space="0" w:color="auto"/>
            <w:bottom w:val="none" w:sz="0" w:space="0" w:color="auto"/>
            <w:right w:val="none" w:sz="0" w:space="0" w:color="auto"/>
          </w:divBdr>
        </w:div>
        <w:div w:id="865950887">
          <w:marLeft w:val="547"/>
          <w:marRight w:val="0"/>
          <w:marTop w:val="140"/>
          <w:marBottom w:val="0"/>
          <w:divBdr>
            <w:top w:val="none" w:sz="0" w:space="0" w:color="auto"/>
            <w:left w:val="none" w:sz="0" w:space="0" w:color="auto"/>
            <w:bottom w:val="none" w:sz="0" w:space="0" w:color="auto"/>
            <w:right w:val="none" w:sz="0" w:space="0" w:color="auto"/>
          </w:divBdr>
        </w:div>
        <w:div w:id="1302736375">
          <w:marLeft w:val="1238"/>
          <w:marRight w:val="0"/>
          <w:marTop w:val="140"/>
          <w:marBottom w:val="0"/>
          <w:divBdr>
            <w:top w:val="none" w:sz="0" w:space="0" w:color="auto"/>
            <w:left w:val="none" w:sz="0" w:space="0" w:color="auto"/>
            <w:bottom w:val="none" w:sz="0" w:space="0" w:color="auto"/>
            <w:right w:val="none" w:sz="0" w:space="0" w:color="auto"/>
          </w:divBdr>
        </w:div>
      </w:divsChild>
    </w:div>
    <w:div w:id="2076127278">
      <w:bodyDiv w:val="1"/>
      <w:marLeft w:val="0"/>
      <w:marRight w:val="0"/>
      <w:marTop w:val="0"/>
      <w:marBottom w:val="0"/>
      <w:divBdr>
        <w:top w:val="none" w:sz="0" w:space="0" w:color="auto"/>
        <w:left w:val="none" w:sz="0" w:space="0" w:color="auto"/>
        <w:bottom w:val="none" w:sz="0" w:space="0" w:color="auto"/>
        <w:right w:val="none" w:sz="0" w:space="0" w:color="auto"/>
      </w:divBdr>
      <w:divsChild>
        <w:div w:id="31350835">
          <w:marLeft w:val="0"/>
          <w:marRight w:val="0"/>
          <w:marTop w:val="0"/>
          <w:marBottom w:val="0"/>
          <w:divBdr>
            <w:top w:val="none" w:sz="0" w:space="0" w:color="auto"/>
            <w:left w:val="none" w:sz="0" w:space="0" w:color="auto"/>
            <w:bottom w:val="none" w:sz="0" w:space="0" w:color="auto"/>
            <w:right w:val="none" w:sz="0" w:space="0" w:color="auto"/>
          </w:divBdr>
        </w:div>
        <w:div w:id="93135227">
          <w:marLeft w:val="0"/>
          <w:marRight w:val="0"/>
          <w:marTop w:val="0"/>
          <w:marBottom w:val="0"/>
          <w:divBdr>
            <w:top w:val="none" w:sz="0" w:space="0" w:color="auto"/>
            <w:left w:val="none" w:sz="0" w:space="0" w:color="auto"/>
            <w:bottom w:val="none" w:sz="0" w:space="0" w:color="auto"/>
            <w:right w:val="none" w:sz="0" w:space="0" w:color="auto"/>
          </w:divBdr>
        </w:div>
        <w:div w:id="185295607">
          <w:marLeft w:val="0"/>
          <w:marRight w:val="0"/>
          <w:marTop w:val="0"/>
          <w:marBottom w:val="0"/>
          <w:divBdr>
            <w:top w:val="none" w:sz="0" w:space="0" w:color="auto"/>
            <w:left w:val="none" w:sz="0" w:space="0" w:color="auto"/>
            <w:bottom w:val="none" w:sz="0" w:space="0" w:color="auto"/>
            <w:right w:val="none" w:sz="0" w:space="0" w:color="auto"/>
          </w:divBdr>
        </w:div>
        <w:div w:id="571620179">
          <w:marLeft w:val="0"/>
          <w:marRight w:val="0"/>
          <w:marTop w:val="0"/>
          <w:marBottom w:val="0"/>
          <w:divBdr>
            <w:top w:val="none" w:sz="0" w:space="0" w:color="auto"/>
            <w:left w:val="none" w:sz="0" w:space="0" w:color="auto"/>
            <w:bottom w:val="none" w:sz="0" w:space="0" w:color="auto"/>
            <w:right w:val="none" w:sz="0" w:space="0" w:color="auto"/>
          </w:divBdr>
        </w:div>
        <w:div w:id="598564657">
          <w:marLeft w:val="0"/>
          <w:marRight w:val="0"/>
          <w:marTop w:val="0"/>
          <w:marBottom w:val="0"/>
          <w:divBdr>
            <w:top w:val="none" w:sz="0" w:space="0" w:color="auto"/>
            <w:left w:val="none" w:sz="0" w:space="0" w:color="auto"/>
            <w:bottom w:val="none" w:sz="0" w:space="0" w:color="auto"/>
            <w:right w:val="none" w:sz="0" w:space="0" w:color="auto"/>
          </w:divBdr>
        </w:div>
        <w:div w:id="741409498">
          <w:marLeft w:val="0"/>
          <w:marRight w:val="0"/>
          <w:marTop w:val="0"/>
          <w:marBottom w:val="0"/>
          <w:divBdr>
            <w:top w:val="none" w:sz="0" w:space="0" w:color="auto"/>
            <w:left w:val="none" w:sz="0" w:space="0" w:color="auto"/>
            <w:bottom w:val="none" w:sz="0" w:space="0" w:color="auto"/>
            <w:right w:val="none" w:sz="0" w:space="0" w:color="auto"/>
          </w:divBdr>
        </w:div>
        <w:div w:id="761806036">
          <w:marLeft w:val="0"/>
          <w:marRight w:val="0"/>
          <w:marTop w:val="0"/>
          <w:marBottom w:val="0"/>
          <w:divBdr>
            <w:top w:val="none" w:sz="0" w:space="0" w:color="auto"/>
            <w:left w:val="none" w:sz="0" w:space="0" w:color="auto"/>
            <w:bottom w:val="none" w:sz="0" w:space="0" w:color="auto"/>
            <w:right w:val="none" w:sz="0" w:space="0" w:color="auto"/>
          </w:divBdr>
        </w:div>
        <w:div w:id="796802291">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915171774">
          <w:marLeft w:val="0"/>
          <w:marRight w:val="0"/>
          <w:marTop w:val="0"/>
          <w:marBottom w:val="0"/>
          <w:divBdr>
            <w:top w:val="none" w:sz="0" w:space="0" w:color="auto"/>
            <w:left w:val="none" w:sz="0" w:space="0" w:color="auto"/>
            <w:bottom w:val="none" w:sz="0" w:space="0" w:color="auto"/>
            <w:right w:val="none" w:sz="0" w:space="0" w:color="auto"/>
          </w:divBdr>
        </w:div>
        <w:div w:id="1127625128">
          <w:marLeft w:val="0"/>
          <w:marRight w:val="0"/>
          <w:marTop w:val="0"/>
          <w:marBottom w:val="0"/>
          <w:divBdr>
            <w:top w:val="none" w:sz="0" w:space="0" w:color="auto"/>
            <w:left w:val="none" w:sz="0" w:space="0" w:color="auto"/>
            <w:bottom w:val="none" w:sz="0" w:space="0" w:color="auto"/>
            <w:right w:val="none" w:sz="0" w:space="0" w:color="auto"/>
          </w:divBdr>
        </w:div>
        <w:div w:id="1216351664">
          <w:marLeft w:val="0"/>
          <w:marRight w:val="0"/>
          <w:marTop w:val="0"/>
          <w:marBottom w:val="0"/>
          <w:divBdr>
            <w:top w:val="none" w:sz="0" w:space="0" w:color="auto"/>
            <w:left w:val="none" w:sz="0" w:space="0" w:color="auto"/>
            <w:bottom w:val="none" w:sz="0" w:space="0" w:color="auto"/>
            <w:right w:val="none" w:sz="0" w:space="0" w:color="auto"/>
          </w:divBdr>
        </w:div>
        <w:div w:id="1273395213">
          <w:marLeft w:val="0"/>
          <w:marRight w:val="0"/>
          <w:marTop w:val="0"/>
          <w:marBottom w:val="0"/>
          <w:divBdr>
            <w:top w:val="none" w:sz="0" w:space="0" w:color="auto"/>
            <w:left w:val="none" w:sz="0" w:space="0" w:color="auto"/>
            <w:bottom w:val="none" w:sz="0" w:space="0" w:color="auto"/>
            <w:right w:val="none" w:sz="0" w:space="0" w:color="auto"/>
          </w:divBdr>
        </w:div>
        <w:div w:id="1304383456">
          <w:marLeft w:val="0"/>
          <w:marRight w:val="0"/>
          <w:marTop w:val="0"/>
          <w:marBottom w:val="0"/>
          <w:divBdr>
            <w:top w:val="none" w:sz="0" w:space="0" w:color="auto"/>
            <w:left w:val="none" w:sz="0" w:space="0" w:color="auto"/>
            <w:bottom w:val="none" w:sz="0" w:space="0" w:color="auto"/>
            <w:right w:val="none" w:sz="0" w:space="0" w:color="auto"/>
          </w:divBdr>
        </w:div>
        <w:div w:id="1504468585">
          <w:marLeft w:val="0"/>
          <w:marRight w:val="0"/>
          <w:marTop w:val="0"/>
          <w:marBottom w:val="0"/>
          <w:divBdr>
            <w:top w:val="none" w:sz="0" w:space="0" w:color="auto"/>
            <w:left w:val="none" w:sz="0" w:space="0" w:color="auto"/>
            <w:bottom w:val="none" w:sz="0" w:space="0" w:color="auto"/>
            <w:right w:val="none" w:sz="0" w:space="0" w:color="auto"/>
          </w:divBdr>
        </w:div>
        <w:div w:id="1595282810">
          <w:marLeft w:val="0"/>
          <w:marRight w:val="0"/>
          <w:marTop w:val="0"/>
          <w:marBottom w:val="0"/>
          <w:divBdr>
            <w:top w:val="none" w:sz="0" w:space="0" w:color="auto"/>
            <w:left w:val="none" w:sz="0" w:space="0" w:color="auto"/>
            <w:bottom w:val="none" w:sz="0" w:space="0" w:color="auto"/>
            <w:right w:val="none" w:sz="0" w:space="0" w:color="auto"/>
          </w:divBdr>
        </w:div>
        <w:div w:id="1702972773">
          <w:marLeft w:val="0"/>
          <w:marRight w:val="0"/>
          <w:marTop w:val="0"/>
          <w:marBottom w:val="0"/>
          <w:divBdr>
            <w:top w:val="none" w:sz="0" w:space="0" w:color="auto"/>
            <w:left w:val="none" w:sz="0" w:space="0" w:color="auto"/>
            <w:bottom w:val="none" w:sz="0" w:space="0" w:color="auto"/>
            <w:right w:val="none" w:sz="0" w:space="0" w:color="auto"/>
          </w:divBdr>
        </w:div>
        <w:div w:id="1903373323">
          <w:marLeft w:val="0"/>
          <w:marRight w:val="0"/>
          <w:marTop w:val="0"/>
          <w:marBottom w:val="0"/>
          <w:divBdr>
            <w:top w:val="none" w:sz="0" w:space="0" w:color="auto"/>
            <w:left w:val="none" w:sz="0" w:space="0" w:color="auto"/>
            <w:bottom w:val="none" w:sz="0" w:space="0" w:color="auto"/>
            <w:right w:val="none" w:sz="0" w:space="0" w:color="auto"/>
          </w:divBdr>
        </w:div>
        <w:div w:id="1995835272">
          <w:marLeft w:val="0"/>
          <w:marRight w:val="0"/>
          <w:marTop w:val="0"/>
          <w:marBottom w:val="0"/>
          <w:divBdr>
            <w:top w:val="none" w:sz="0" w:space="0" w:color="auto"/>
            <w:left w:val="none" w:sz="0" w:space="0" w:color="auto"/>
            <w:bottom w:val="none" w:sz="0" w:space="0" w:color="auto"/>
            <w:right w:val="none" w:sz="0" w:space="0" w:color="auto"/>
          </w:divBdr>
        </w:div>
        <w:div w:id="2051106831">
          <w:marLeft w:val="0"/>
          <w:marRight w:val="0"/>
          <w:marTop w:val="0"/>
          <w:marBottom w:val="0"/>
          <w:divBdr>
            <w:top w:val="none" w:sz="0" w:space="0" w:color="auto"/>
            <w:left w:val="none" w:sz="0" w:space="0" w:color="auto"/>
            <w:bottom w:val="none" w:sz="0" w:space="0" w:color="auto"/>
            <w:right w:val="none" w:sz="0" w:space="0" w:color="auto"/>
          </w:divBdr>
        </w:div>
      </w:divsChild>
    </w:div>
    <w:div w:id="2088575423">
      <w:bodyDiv w:val="1"/>
      <w:marLeft w:val="0"/>
      <w:marRight w:val="0"/>
      <w:marTop w:val="0"/>
      <w:marBottom w:val="0"/>
      <w:divBdr>
        <w:top w:val="none" w:sz="0" w:space="0" w:color="auto"/>
        <w:left w:val="none" w:sz="0" w:space="0" w:color="auto"/>
        <w:bottom w:val="none" w:sz="0" w:space="0" w:color="auto"/>
        <w:right w:val="none" w:sz="0" w:space="0" w:color="auto"/>
      </w:divBdr>
    </w:div>
    <w:div w:id="2097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80A3-5296-42D4-AE12-FC80D5C8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3278</Words>
  <Characters>18097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REPORT</vt:lpstr>
    </vt:vector>
  </TitlesOfParts>
  <Company>Parliament of South Africa</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akakaza</dc:creator>
  <cp:lastModifiedBy>Asanda</cp:lastModifiedBy>
  <cp:revision>2</cp:revision>
  <cp:lastPrinted>2017-05-15T10:44:00Z</cp:lastPrinted>
  <dcterms:created xsi:type="dcterms:W3CDTF">2018-05-10T09:29:00Z</dcterms:created>
  <dcterms:modified xsi:type="dcterms:W3CDTF">2018-05-10T09:29:00Z</dcterms:modified>
</cp:coreProperties>
</file>