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B48E" w14:textId="77777777" w:rsidR="000D7A00" w:rsidRDefault="000D7A00" w:rsidP="00FC1414">
      <w:pPr>
        <w:widowControl w:val="0"/>
        <w:autoSpaceDE w:val="0"/>
        <w:autoSpaceDN w:val="0"/>
        <w:adjustRightInd w:val="0"/>
      </w:pPr>
    </w:p>
    <w:p w14:paraId="637DC4A8" w14:textId="72CF9E78" w:rsidR="00FC1414" w:rsidRPr="009600E5" w:rsidRDefault="000D7A00" w:rsidP="00FC1414">
      <w:pPr>
        <w:widowControl w:val="0"/>
        <w:autoSpaceDE w:val="0"/>
        <w:autoSpaceDN w:val="0"/>
        <w:adjustRightInd w:val="0"/>
        <w:rPr>
          <w:rFonts w:eastAsia="MS Mincho" w:cs="Arial"/>
          <w:b/>
          <w:bCs/>
          <w:sz w:val="24"/>
          <w:szCs w:val="24"/>
          <w:lang w:val="en-US"/>
        </w:rPr>
      </w:pPr>
      <w:r w:rsidRPr="000D7A00">
        <w:rPr>
          <w:rFonts w:eastAsia="MS Mincho" w:cs="Arial"/>
          <w:b/>
          <w:bCs/>
          <w:sz w:val="24"/>
          <w:szCs w:val="24"/>
          <w:lang w:val="en-US"/>
        </w:rPr>
        <w:t>2</w:t>
      </w:r>
      <w:r w:rsidR="001B6B4F">
        <w:rPr>
          <w:rFonts w:eastAsia="MS Mincho" w:cs="Arial"/>
          <w:b/>
          <w:bCs/>
          <w:sz w:val="24"/>
          <w:szCs w:val="24"/>
          <w:lang w:val="en-US"/>
        </w:rPr>
        <w:t>9</w:t>
      </w:r>
      <w:r w:rsidRPr="000D7A00">
        <w:rPr>
          <w:rFonts w:eastAsia="MS Mincho" w:cs="Arial"/>
          <w:b/>
          <w:bCs/>
          <w:sz w:val="24"/>
          <w:szCs w:val="24"/>
          <w:lang w:val="en-US"/>
        </w:rPr>
        <w:t xml:space="preserve"> May</w:t>
      </w:r>
      <w:r w:rsidR="00FC1414" w:rsidRPr="009600E5">
        <w:rPr>
          <w:rFonts w:eastAsia="MS Mincho" w:cs="Arial"/>
          <w:b/>
          <w:bCs/>
          <w:sz w:val="24"/>
          <w:szCs w:val="24"/>
          <w:lang w:val="en-US"/>
        </w:rPr>
        <w:t xml:space="preserve"> 2018</w:t>
      </w:r>
    </w:p>
    <w:p w14:paraId="6AEE5565" w14:textId="77777777" w:rsidR="00FC1414" w:rsidRPr="009600E5" w:rsidRDefault="00FC1414" w:rsidP="00FC1414">
      <w:pPr>
        <w:widowControl w:val="0"/>
        <w:autoSpaceDE w:val="0"/>
        <w:autoSpaceDN w:val="0"/>
        <w:adjustRightInd w:val="0"/>
        <w:rPr>
          <w:rFonts w:eastAsia="MS Mincho" w:cs="Arial"/>
          <w:b/>
          <w:bCs/>
          <w:sz w:val="24"/>
          <w:szCs w:val="24"/>
          <w:lang w:val="en-US"/>
        </w:rPr>
      </w:pPr>
    </w:p>
    <w:p w14:paraId="1D9B429D" w14:textId="77777777" w:rsidR="000D7A00" w:rsidRPr="00945BD3" w:rsidRDefault="000D7A00" w:rsidP="000D7A00">
      <w:pPr>
        <w:pStyle w:val="ResearchTitle"/>
        <w:jc w:val="center"/>
        <w:rPr>
          <w:rFonts w:cs="Arial"/>
          <w:lang w:val="en-GB"/>
        </w:rPr>
      </w:pPr>
    </w:p>
    <w:p w14:paraId="68573209" w14:textId="65AC6E79" w:rsidR="000D7A00" w:rsidRPr="00945BD3" w:rsidRDefault="000D7A00" w:rsidP="000D7A00">
      <w:pPr>
        <w:pStyle w:val="ResearchTitle"/>
        <w:rPr>
          <w:rFonts w:cs="Arial"/>
          <w:lang w:val="en-GB"/>
        </w:rPr>
      </w:pPr>
      <w:r>
        <w:rPr>
          <w:rFonts w:cs="Arial"/>
          <w:szCs w:val="24"/>
        </w:rPr>
        <w:t xml:space="preserve">SUMMARY </w:t>
      </w:r>
      <w:r w:rsidRPr="00945BD3">
        <w:rPr>
          <w:rFonts w:cs="Arial"/>
          <w:szCs w:val="24"/>
        </w:rPr>
        <w:t>PAPER</w:t>
      </w:r>
      <w:r w:rsidRPr="00945BD3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–</w:t>
      </w:r>
      <w:r w:rsidRPr="00945BD3">
        <w:rPr>
          <w:rFonts w:cs="Arial"/>
          <w:b w:val="0"/>
          <w:szCs w:val="24"/>
        </w:rPr>
        <w:t xml:space="preserve"> </w:t>
      </w:r>
      <w:r w:rsidR="006F7EFF">
        <w:rPr>
          <w:rFonts w:cs="Arial"/>
          <w:lang w:val="en-GB"/>
        </w:rPr>
        <w:t>response</w:t>
      </w:r>
      <w:r w:rsidR="004575B3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BY </w:t>
      </w:r>
      <w:r w:rsidR="006F7EFF">
        <w:rPr>
          <w:rFonts w:cs="Arial"/>
          <w:lang w:val="en-GB"/>
        </w:rPr>
        <w:t>capitec TO QUESTIONS RAISED BY MEMBERS OF THE STANDING committee ON FINANCE</w:t>
      </w:r>
    </w:p>
    <w:p w14:paraId="74277B87" w14:textId="77777777" w:rsidR="000D7A00" w:rsidRPr="00945BD3" w:rsidRDefault="000D7A00" w:rsidP="000D7A00">
      <w:pPr>
        <w:rPr>
          <w:rFonts w:eastAsia="Times New Roman"/>
          <w:color w:val="000000"/>
          <w:spacing w:val="6"/>
          <w:lang w:eastAsia="en-GB"/>
        </w:rPr>
      </w:pPr>
    </w:p>
    <w:p w14:paraId="29BAD857" w14:textId="1E7BB9FA" w:rsidR="000D7A00" w:rsidRDefault="000D7A00" w:rsidP="000D7A00">
      <w:pPr>
        <w:rPr>
          <w:rFonts w:eastAsia="Times New Roman"/>
          <w:color w:val="000000"/>
          <w:spacing w:val="6"/>
          <w:lang w:eastAsia="en-GB"/>
        </w:rPr>
      </w:pPr>
      <w:r>
        <w:rPr>
          <w:rFonts w:eastAsia="Times New Roman"/>
          <w:color w:val="000000"/>
          <w:spacing w:val="6"/>
          <w:lang w:eastAsia="en-GB"/>
        </w:rPr>
        <w:t xml:space="preserve">This brief provides </w:t>
      </w:r>
      <w:r w:rsidR="006F7EFF">
        <w:rPr>
          <w:rFonts w:eastAsia="Times New Roman"/>
          <w:color w:val="000000"/>
          <w:spacing w:val="6"/>
          <w:lang w:eastAsia="en-GB"/>
        </w:rPr>
        <w:t>matrix summary</w:t>
      </w:r>
      <w:r>
        <w:rPr>
          <w:rFonts w:eastAsia="Times New Roman"/>
          <w:color w:val="000000"/>
          <w:spacing w:val="6"/>
          <w:lang w:eastAsia="en-GB"/>
        </w:rPr>
        <w:t xml:space="preserve"> of the </w:t>
      </w:r>
      <w:r w:rsidR="006F7EFF">
        <w:rPr>
          <w:rFonts w:eastAsia="Times New Roman"/>
          <w:color w:val="000000"/>
          <w:spacing w:val="6"/>
          <w:lang w:eastAsia="en-GB"/>
        </w:rPr>
        <w:t>responses</w:t>
      </w:r>
      <w:r>
        <w:rPr>
          <w:rFonts w:eastAsia="Times New Roman"/>
          <w:color w:val="000000"/>
          <w:spacing w:val="6"/>
          <w:lang w:eastAsia="en-GB"/>
        </w:rPr>
        <w:t xml:space="preserve"> by </w:t>
      </w:r>
      <w:proofErr w:type="spellStart"/>
      <w:r w:rsidR="006F7EFF">
        <w:rPr>
          <w:rFonts w:eastAsia="Times New Roman"/>
          <w:color w:val="000000"/>
          <w:spacing w:val="6"/>
          <w:lang w:eastAsia="en-GB"/>
        </w:rPr>
        <w:t>Capitec</w:t>
      </w:r>
      <w:proofErr w:type="spellEnd"/>
      <w:r w:rsidR="006F7EFF">
        <w:rPr>
          <w:rFonts w:eastAsia="Times New Roman"/>
          <w:color w:val="000000"/>
          <w:spacing w:val="6"/>
          <w:lang w:eastAsia="en-GB"/>
        </w:rPr>
        <w:t xml:space="preserve"> to questions raised by Members of Parliament</w:t>
      </w:r>
    </w:p>
    <w:p w14:paraId="000A4379" w14:textId="42B351B0" w:rsidR="000D7A00" w:rsidRDefault="000D7A00" w:rsidP="000D7A00">
      <w:pPr>
        <w:rPr>
          <w:rFonts w:eastAsia="Times New Roman"/>
          <w:color w:val="000000"/>
          <w:spacing w:val="6"/>
          <w:lang w:eastAsia="en-GB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687"/>
        <w:gridCol w:w="6662"/>
      </w:tblGrid>
      <w:tr w:rsidR="006F7EFF" w:rsidRPr="006F7EFF" w14:paraId="21026CD3" w14:textId="77777777" w:rsidTr="006F7EFF">
        <w:trPr>
          <w:trHeight w:val="983"/>
        </w:trPr>
        <w:tc>
          <w:tcPr>
            <w:tcW w:w="10349" w:type="dxa"/>
            <w:gridSpan w:val="2"/>
            <w:shd w:val="clear" w:color="auto" w:fill="F7CAAC"/>
          </w:tcPr>
          <w:p w14:paraId="207741DE" w14:textId="77777777" w:rsidR="006F7EFF" w:rsidRPr="006F7EFF" w:rsidRDefault="006F7EFF" w:rsidP="006F7EFF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</w:rPr>
            </w:pPr>
          </w:p>
          <w:p w14:paraId="1A26A9CF" w14:textId="6B2932AA" w:rsidR="006F7EFF" w:rsidRPr="006F7EFF" w:rsidRDefault="006F7EFF" w:rsidP="006F7EFF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EF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Consolidated responses from </w:t>
            </w:r>
            <w:proofErr w:type="spellStart"/>
            <w:r w:rsidRPr="006F7EFF">
              <w:rPr>
                <w:rFonts w:ascii="Calibri" w:eastAsia="Calibri" w:hAnsi="Calibri" w:cs="Times New Roman"/>
                <w:b/>
                <w:sz w:val="28"/>
                <w:szCs w:val="28"/>
              </w:rPr>
              <w:t>Capitec</w:t>
            </w:r>
            <w:proofErr w:type="spellEnd"/>
            <w:r w:rsidRPr="006F7EF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on the issues raised by the Standing Committee on Finance</w:t>
            </w:r>
            <w:r w:rsidR="008242EB">
              <w:rPr>
                <w:rFonts w:ascii="Calibri" w:eastAsia="Calibri" w:hAnsi="Calibri" w:cs="Times New Roman"/>
                <w:b/>
                <w:sz w:val="28"/>
                <w:szCs w:val="28"/>
              </w:rPr>
              <w:t>- 20 M</w:t>
            </w:r>
            <w:bookmarkStart w:id="0" w:name="_GoBack"/>
            <w:bookmarkEnd w:id="0"/>
            <w:r w:rsidR="002D0CF5">
              <w:rPr>
                <w:rFonts w:ascii="Calibri" w:eastAsia="Calibri" w:hAnsi="Calibri" w:cs="Times New Roman"/>
                <w:b/>
                <w:sz w:val="28"/>
                <w:szCs w:val="28"/>
              </w:rPr>
              <w:t>arch 2018</w:t>
            </w:r>
          </w:p>
          <w:p w14:paraId="584D1A9A" w14:textId="77777777" w:rsidR="006F7EFF" w:rsidRPr="006F7EFF" w:rsidRDefault="006F7EFF" w:rsidP="006F7EFF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6F7EFF" w:rsidRPr="006F7EFF" w14:paraId="7297A5E1" w14:textId="77777777" w:rsidTr="006F7EFF">
        <w:tc>
          <w:tcPr>
            <w:tcW w:w="3687" w:type="dxa"/>
            <w:shd w:val="clear" w:color="auto" w:fill="9CC2E5"/>
          </w:tcPr>
          <w:p w14:paraId="75159D30" w14:textId="77777777" w:rsidR="006F7EFF" w:rsidRPr="006F7EFF" w:rsidRDefault="006F7EFF" w:rsidP="006F7EFF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EFF">
              <w:rPr>
                <w:rFonts w:ascii="Calibri" w:eastAsia="Calibri" w:hAnsi="Calibri" w:cs="Times New Roman"/>
                <w:b/>
                <w:sz w:val="28"/>
                <w:szCs w:val="28"/>
              </w:rPr>
              <w:t>Issue</w:t>
            </w:r>
          </w:p>
        </w:tc>
        <w:tc>
          <w:tcPr>
            <w:tcW w:w="6662" w:type="dxa"/>
            <w:shd w:val="clear" w:color="auto" w:fill="9CC2E5"/>
          </w:tcPr>
          <w:p w14:paraId="593C1FAA" w14:textId="77777777" w:rsidR="006F7EFF" w:rsidRPr="006F7EFF" w:rsidRDefault="006F7EFF" w:rsidP="006F7EFF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F7EFF">
              <w:rPr>
                <w:rFonts w:ascii="Calibri" w:eastAsia="Calibri" w:hAnsi="Calibri" w:cs="Times New Roman"/>
                <w:b/>
                <w:sz w:val="28"/>
                <w:szCs w:val="28"/>
              </w:rPr>
              <w:t>Response</w:t>
            </w:r>
          </w:p>
        </w:tc>
      </w:tr>
      <w:tr w:rsidR="006F7EFF" w:rsidRPr="006F7EFF" w14:paraId="471A35EC" w14:textId="77777777" w:rsidTr="00E265D8">
        <w:tc>
          <w:tcPr>
            <w:tcW w:w="3687" w:type="dxa"/>
          </w:tcPr>
          <w:p w14:paraId="3EC3A2DF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Seriousness with which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treated Viceroy Claims</w:t>
            </w:r>
          </w:p>
          <w:p w14:paraId="724C21D8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6DBB5DB1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480643D0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33646DC9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2ED48F16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2B821B61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396130A8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60945D65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Viceroy report subject to review</w:t>
            </w:r>
          </w:p>
          <w:p w14:paraId="36CFC6A8" w14:textId="77777777" w:rsidR="006F7EFF" w:rsidRPr="00DE69A6" w:rsidRDefault="006F7EFF" w:rsidP="006F7EFF">
            <w:pPr>
              <w:numPr>
                <w:ilvl w:val="0"/>
                <w:numId w:val="48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The Viceroy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report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 xml:space="preserve"> affidavits suggest that a review be done by Parliament.</w:t>
            </w:r>
          </w:p>
          <w:p w14:paraId="5C04E223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644104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treated Viceroy claims with extreme seriousness. The bank tested the allegations of Viceroy internally.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also gives a sequence of events and action taken in addressing these allegations. </w:t>
            </w:r>
          </w:p>
          <w:p w14:paraId="1B1F0A4D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These include:</w:t>
            </w:r>
          </w:p>
          <w:p w14:paraId="10DAE944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Interaction with SARB</w:t>
            </w:r>
          </w:p>
          <w:p w14:paraId="39339F82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Various SENS( Stock Exchange News Service) feed issued on the day addressing the allegations</w:t>
            </w:r>
          </w:p>
          <w:p w14:paraId="0C7B14D9" w14:textId="77777777" w:rsidR="006F7EFF" w:rsidRPr="00DE69A6" w:rsidRDefault="006F7EFF" w:rsidP="006F7EFF">
            <w:pPr>
              <w:spacing w:line="240" w:lineRule="auto"/>
              <w:ind w:left="360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68DB7B68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All court cases cited in the report are matters that are sub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judice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. Viceroy did not see fit to ask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on any of the allegations as quoted and inferences drawn thereof.</w:t>
            </w:r>
          </w:p>
        </w:tc>
      </w:tr>
      <w:tr w:rsidR="006F7EFF" w:rsidRPr="006F7EFF" w14:paraId="5F173383" w14:textId="77777777" w:rsidTr="00E265D8">
        <w:tc>
          <w:tcPr>
            <w:tcW w:w="3687" w:type="dxa"/>
          </w:tcPr>
          <w:p w14:paraId="53938336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Audit Fees</w:t>
            </w:r>
          </w:p>
          <w:p w14:paraId="5D1D9EB5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Why are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audit fees lower than other banks</w:t>
            </w:r>
          </w:p>
          <w:p w14:paraId="545E7BC4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02545A1C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7911A5CE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3512D48A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2E70708D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2A9A9077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06A4E466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7EDAD53F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Origination Fees</w:t>
            </w:r>
          </w:p>
          <w:p w14:paraId="2C33DAEF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Origination fees comprise 23% of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income</w:t>
            </w:r>
          </w:p>
          <w:p w14:paraId="5C62BED7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Does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charge multiple origination fees</w:t>
            </w:r>
          </w:p>
          <w:p w14:paraId="53402AE7" w14:textId="20BE612E" w:rsidR="006F7EFF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42A2DE8E" w14:textId="7D40B3F1" w:rsidR="00DE69A6" w:rsidRDefault="00DE69A6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364413E5" w14:textId="77777777" w:rsidR="00DE69A6" w:rsidRPr="00DE69A6" w:rsidRDefault="00DE69A6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5FBAAFDD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Disproportionate Income</w:t>
            </w:r>
          </w:p>
          <w:p w14:paraId="17F9AA39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Disproportionate income (36%) out of the loan book</w:t>
            </w:r>
          </w:p>
        </w:tc>
        <w:tc>
          <w:tcPr>
            <w:tcW w:w="6662" w:type="dxa"/>
          </w:tcPr>
          <w:p w14:paraId="600406A0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lastRenderedPageBreak/>
              <w:t>It is a mono line retail banking business with operations only in SA. There is no CIB or IB hence no treasury operations.</w:t>
            </w:r>
          </w:p>
          <w:p w14:paraId="157F11A1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Balance Sheet is verifiable as that rests in fixed interest investments in other SA banks</w:t>
            </w:r>
          </w:p>
          <w:p w14:paraId="46D3F760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has a single integrated system, simple products and stores client information directly on their system electronically using fingerprints. </w:t>
            </w:r>
          </w:p>
          <w:p w14:paraId="4CC5E5F5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Auditors can cover large areas of business with sophisticated computer assisted auditing techniques, providing high levels of assurance at reduced costs. </w:t>
            </w:r>
          </w:p>
          <w:p w14:paraId="5F13B7CD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127F1E79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Incorrect- amount to R836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million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of R16. 071 billion total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income which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 xml:space="preserve"> is 5.2% of total lending and investment income. Page 209 of AR</w:t>
            </w:r>
          </w:p>
          <w:p w14:paraId="31C0CA1F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Incorrect- does not charge excessive and illegal interest rates. NCR reviewed the product details and were satisfied with the product. </w:t>
            </w:r>
          </w:p>
          <w:p w14:paraId="4C16C9A6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2142BC99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184A0483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Income received on loan book complies with legal requirements set by NCA. Interest caps on unsecured credit is 27.55 and credit insurance could add up to 5.4% to these rates. </w:t>
            </w:r>
          </w:p>
          <w:p w14:paraId="6A9BE1A4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792C386D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Calculation performed to arrive at income derived out of loan book ignores the impact of income earned during the year on loans that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are written off or repaid during the year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>.</w:t>
            </w:r>
          </w:p>
          <w:p w14:paraId="307DA45C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  <w:tr w:rsidR="006F7EFF" w:rsidRPr="006F7EFF" w14:paraId="2177289F" w14:textId="77777777" w:rsidTr="00E265D8">
        <w:tc>
          <w:tcPr>
            <w:tcW w:w="3687" w:type="dxa"/>
          </w:tcPr>
          <w:p w14:paraId="18201D7B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lastRenderedPageBreak/>
              <w:t xml:space="preserve">Conflict of interest - Link between Directors Steinhoff and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</w:p>
          <w:p w14:paraId="2317B8F3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610040B5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Shareholding </w:t>
            </w:r>
          </w:p>
        </w:tc>
        <w:tc>
          <w:tcPr>
            <w:tcW w:w="6662" w:type="dxa"/>
          </w:tcPr>
          <w:p w14:paraId="61BF5610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No common directors between Steinhoff and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. Markus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Jooste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resigned in 2012 with possible conflict of interest when Steinhoff joined JD Group. </w:t>
            </w:r>
          </w:p>
          <w:p w14:paraId="04559CC0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636B2BAB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Four founding directors are still on the board. Details of shareholding in AR </w:t>
            </w:r>
          </w:p>
        </w:tc>
      </w:tr>
      <w:tr w:rsidR="006F7EFF" w:rsidRPr="006F7EFF" w14:paraId="4658D3D8" w14:textId="77777777" w:rsidTr="00E265D8">
        <w:tc>
          <w:tcPr>
            <w:tcW w:w="3687" w:type="dxa"/>
          </w:tcPr>
          <w:p w14:paraId="735E2C02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Capital Adequacy </w:t>
            </w:r>
          </w:p>
          <w:p w14:paraId="7ECB372B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Inference that Capital Adequacy Ratio is high due to “billionaires being behind it”</w:t>
            </w:r>
          </w:p>
        </w:tc>
        <w:tc>
          <w:tcPr>
            <w:tcW w:w="6662" w:type="dxa"/>
          </w:tcPr>
          <w:p w14:paraId="551062EF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Capital Adequacy determined by risk weighted assets (function of assets on B/S multiplied riskiness in each asset class and capital supply. A high adequacy ratio protects investors and depositors should there be significant losses.</w:t>
            </w:r>
          </w:p>
          <w:p w14:paraId="70B03D78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34330BD9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High capital adequacy ratio and founders wealth are both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as a result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 xml:space="preserve"> of the bank success over the years. </w:t>
            </w:r>
          </w:p>
          <w:p w14:paraId="255A4300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Bank started with R250 million and capital of R18.8 billion has been retained from reinvested profits.</w:t>
            </w:r>
          </w:p>
          <w:p w14:paraId="12C90F33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6F7EFF" w:rsidRPr="006F7EFF" w14:paraId="4F42B734" w14:textId="77777777" w:rsidTr="00E265D8">
        <w:tc>
          <w:tcPr>
            <w:tcW w:w="3687" w:type="dxa"/>
          </w:tcPr>
          <w:p w14:paraId="58C3E7C6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Competitive Environment</w:t>
            </w:r>
          </w:p>
          <w:p w14:paraId="6E9F7CC1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Is it sabotage that Viceroy is releasing these reports</w:t>
            </w:r>
          </w:p>
        </w:tc>
        <w:tc>
          <w:tcPr>
            <w:tcW w:w="6662" w:type="dxa"/>
          </w:tcPr>
          <w:p w14:paraId="7781F28B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notes the possibility of Viceroy sabotage by profiting through short selling transactions but have no evidence to support it. FSB’s investigation will provide clarity</w:t>
            </w:r>
          </w:p>
        </w:tc>
      </w:tr>
      <w:tr w:rsidR="006F7EFF" w:rsidRPr="006F7EFF" w14:paraId="118AA973" w14:textId="77777777" w:rsidTr="00E265D8">
        <w:tc>
          <w:tcPr>
            <w:tcW w:w="3687" w:type="dxa"/>
          </w:tcPr>
          <w:p w14:paraId="4D7B37B5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Summit Financial Advisors</w:t>
            </w:r>
          </w:p>
          <w:p w14:paraId="0B14F13A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Did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appoint Summit as consumer protection advisor?</w:t>
            </w:r>
          </w:p>
        </w:tc>
        <w:tc>
          <w:tcPr>
            <w:tcW w:w="6662" w:type="dxa"/>
          </w:tcPr>
          <w:p w14:paraId="3D76E2B6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appointed Summit to assist its employees on matters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including: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 xml:space="preserve"> credit report summary, financial health monitor, debt check and financial advice.</w:t>
            </w:r>
          </w:p>
          <w:p w14:paraId="14E43324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pad for services Summit provided to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employees.</w:t>
            </w:r>
          </w:p>
        </w:tc>
      </w:tr>
      <w:tr w:rsidR="006F7EFF" w:rsidRPr="006F7EFF" w14:paraId="066877C8" w14:textId="77777777" w:rsidTr="00E265D8">
        <w:tc>
          <w:tcPr>
            <w:tcW w:w="3687" w:type="dxa"/>
          </w:tcPr>
          <w:p w14:paraId="0F934B31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Illegal Lending Practice</w:t>
            </w:r>
          </w:p>
          <w:p w14:paraId="20B842F0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57ECA423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2C61C056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3D1C731E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07791181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Loans</w:t>
            </w:r>
          </w:p>
          <w:p w14:paraId="4AA13FE7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provided loans from R150 000 to R10 500 for monthly paid workers</w:t>
            </w:r>
          </w:p>
          <w:p w14:paraId="271D6A0B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2E79FBC4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0F5D7AC2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103B145C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lends extent credit to clients in order to repay arrear loans</w:t>
            </w:r>
          </w:p>
          <w:p w14:paraId="4588C385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2AC1A4B4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Extend of cured loans</w:t>
            </w:r>
          </w:p>
          <w:p w14:paraId="61D849A2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418DA730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7253C662" w14:textId="6CBC0F08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059993C1" w14:textId="29D4AAFA" w:rsidR="00DE69A6" w:rsidRDefault="00DE69A6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5EB00582" w14:textId="77777777" w:rsidR="004F1991" w:rsidRPr="00DE69A6" w:rsidRDefault="004F1991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12EE97AA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663D042F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4DD67E74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Garnishee Orders </w:t>
            </w:r>
          </w:p>
          <w:p w14:paraId="38BDF9E3" w14:textId="77777777" w:rsidR="006F7EFF" w:rsidRPr="00DE69A6" w:rsidRDefault="006F7EFF" w:rsidP="006F7EFF">
            <w:pPr>
              <w:spacing w:line="240" w:lineRule="auto"/>
              <w:ind w:left="720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Does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issue garnishee orders</w:t>
            </w:r>
          </w:p>
          <w:p w14:paraId="6B2859D2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060ABDC3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5F47EDA2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65744E5E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Debit Order Runs</w:t>
            </w:r>
          </w:p>
          <w:p w14:paraId="39EF6948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Preference given to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30A6AFAC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debit orders</w:t>
            </w:r>
          </w:p>
          <w:p w14:paraId="05AE1C06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0375D10C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0E8124F2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0B730B52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5785ED21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47E6E880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0072445B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Illegal Credit Scheme</w:t>
            </w:r>
          </w:p>
          <w:p w14:paraId="3AB4FFF8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operates an illegal credit scheme and should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notbe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allowed to continue under current management?</w:t>
            </w:r>
          </w:p>
        </w:tc>
        <w:tc>
          <w:tcPr>
            <w:tcW w:w="6662" w:type="dxa"/>
          </w:tcPr>
          <w:p w14:paraId="4CCCADAD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lastRenderedPageBreak/>
              <w:t xml:space="preserve">Providing multiple loans to a single client are in not contravention of the NCA. The CEO of NCR did not find instances of reckless credit by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>.</w:t>
            </w:r>
          </w:p>
          <w:p w14:paraId="632FB052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378C17E6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147DB1CB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During the platinum mining strike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assisted mine workers in the following way:</w:t>
            </w:r>
          </w:p>
          <w:p w14:paraId="351A670E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Offered payment break rescheduling during strike to provide relief to clients</w:t>
            </w:r>
          </w:p>
          <w:p w14:paraId="50F0414D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did not hand over accounts to External Debt Collectors</w:t>
            </w:r>
          </w:p>
          <w:p w14:paraId="2C06102C" w14:textId="77777777" w:rsidR="006F7EFF" w:rsidRPr="00DE69A6" w:rsidRDefault="006F7EFF" w:rsidP="006F7EFF">
            <w:pPr>
              <w:numPr>
                <w:ilvl w:val="0"/>
                <w:numId w:val="47"/>
              </w:numPr>
              <w:spacing w:line="240" w:lineRule="auto"/>
              <w:contextualSpacing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No new credit was granted to striking mine workers</w:t>
            </w:r>
          </w:p>
          <w:p w14:paraId="7FA742B8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4EB78BC6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7279F960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does not extend credit to clients that are in arrears. </w:t>
            </w:r>
          </w:p>
          <w:p w14:paraId="4C60DEE5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3B53DD52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1B5E5C5F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0E0A6A3A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referred to “cured” in response to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Benguela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 xml:space="preserve"> Global Fund Managers and Viceroy. This term is used to clients that were in arrears and have paid up their arrears instalments. No credit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is extended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 xml:space="preserve"> to clients that are in arrears with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  <w:r w:rsidRPr="00DE69A6">
              <w:rPr>
                <w:rFonts w:eastAsia="Calibri" w:cs="Arial"/>
                <w:sz w:val="24"/>
                <w:szCs w:val="24"/>
              </w:rPr>
              <w:t>.</w:t>
            </w:r>
          </w:p>
          <w:p w14:paraId="4099F203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6CE626BE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54693611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Garnishee orders (emolument attachment orders- EAO)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are not used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 xml:space="preserve"> to collect debt. Only 1.5% of clients are collected using garnishee orders.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They are used to collect debt as last resort by external debt collectors (EDC)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 xml:space="preserve">. </w:t>
            </w:r>
          </w:p>
          <w:p w14:paraId="634C0B81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77625230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11F80515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Non- Authenticated Early Debit Orders (NAEDO’s)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are used by many credit providers and regulated by Payment Association South Africa (PASA)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 xml:space="preserve">. Credit providers are not allowed to prefer their debits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over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 xml:space="preserve"> other credit providers. These debit order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are randomised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 xml:space="preserve">. Participants who utilise NAEDO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are audited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>.</w:t>
            </w:r>
          </w:p>
          <w:p w14:paraId="72E7C407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b/>
                <w:sz w:val="24"/>
                <w:szCs w:val="24"/>
              </w:rPr>
            </w:pPr>
          </w:p>
          <w:p w14:paraId="405832BC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b/>
                <w:sz w:val="24"/>
                <w:szCs w:val="24"/>
              </w:rPr>
            </w:pPr>
          </w:p>
          <w:p w14:paraId="129F293F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b/>
                <w:sz w:val="24"/>
                <w:szCs w:val="24"/>
              </w:rPr>
            </w:pPr>
          </w:p>
          <w:p w14:paraId="7EFE0C48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Banks are highly regulated in SA hence no basis in fact that it operates an illegal credit scheme. </w:t>
            </w:r>
          </w:p>
          <w:p w14:paraId="732A2169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 xml:space="preserve">Regulators would have detected wrong- doing and appropriate sanction </w:t>
            </w:r>
            <w:proofErr w:type="gramStart"/>
            <w:r w:rsidRPr="00DE69A6">
              <w:rPr>
                <w:rFonts w:eastAsia="Calibri" w:cs="Arial"/>
                <w:sz w:val="24"/>
                <w:szCs w:val="24"/>
              </w:rPr>
              <w:t>would have been applied</w:t>
            </w:r>
            <w:proofErr w:type="gramEnd"/>
            <w:r w:rsidRPr="00DE69A6">
              <w:rPr>
                <w:rFonts w:eastAsia="Calibri" w:cs="Arial"/>
                <w:sz w:val="24"/>
                <w:szCs w:val="24"/>
              </w:rPr>
              <w:t xml:space="preserve">. </w:t>
            </w:r>
          </w:p>
          <w:p w14:paraId="3250B1B5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5CBE2A45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b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Client base rose to 10 million and acted within the ambit of all legislation</w:t>
            </w:r>
            <w:r w:rsidRPr="00DE69A6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6F7EFF" w:rsidRPr="006F7EFF" w14:paraId="7B951775" w14:textId="77777777" w:rsidTr="00E265D8">
        <w:tc>
          <w:tcPr>
            <w:tcW w:w="3687" w:type="dxa"/>
          </w:tcPr>
          <w:p w14:paraId="70C7D78B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lastRenderedPageBreak/>
              <w:t xml:space="preserve">Systems Review of </w:t>
            </w:r>
            <w:proofErr w:type="spellStart"/>
            <w:r w:rsidRPr="00DE69A6">
              <w:rPr>
                <w:rFonts w:eastAsia="Calibri" w:cs="Arial"/>
                <w:sz w:val="24"/>
                <w:szCs w:val="24"/>
              </w:rPr>
              <w:t>Capitec</w:t>
            </w:r>
            <w:proofErr w:type="spellEnd"/>
          </w:p>
        </w:tc>
        <w:tc>
          <w:tcPr>
            <w:tcW w:w="6662" w:type="dxa"/>
          </w:tcPr>
          <w:p w14:paraId="3DA4EFEC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Monitoring and investigation of specific complaints and queries is one approach by NCR.</w:t>
            </w:r>
          </w:p>
        </w:tc>
      </w:tr>
      <w:tr w:rsidR="006F7EFF" w:rsidRPr="006F7EFF" w14:paraId="52B49559" w14:textId="77777777" w:rsidTr="00E265D8">
        <w:tc>
          <w:tcPr>
            <w:tcW w:w="3687" w:type="dxa"/>
          </w:tcPr>
          <w:p w14:paraId="21B1E4D5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Credit Methodology</w:t>
            </w:r>
          </w:p>
          <w:p w14:paraId="40A486A3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2CDEB18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Credit methodology disclosed in 2018 AR- internally developed and continually reviewed; open for inspection by SARB, periodically reviewed. Credit methodology includes looking at governance, rescheduling, products and channels.</w:t>
            </w:r>
          </w:p>
          <w:p w14:paraId="30C09CF6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  <w:p w14:paraId="68524768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  <w:r w:rsidRPr="00DE69A6">
              <w:rPr>
                <w:rFonts w:eastAsia="Calibri" w:cs="Arial"/>
                <w:sz w:val="24"/>
                <w:szCs w:val="24"/>
              </w:rPr>
              <w:t>Credit granting at ATM is subject to a court case.</w:t>
            </w:r>
          </w:p>
          <w:p w14:paraId="378A60E9" w14:textId="77777777" w:rsidR="006F7EFF" w:rsidRPr="00DE69A6" w:rsidRDefault="006F7EFF" w:rsidP="006F7EFF">
            <w:pPr>
              <w:spacing w:line="240" w:lineRule="auto"/>
              <w:jc w:val="left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74519684" w14:textId="79084507" w:rsidR="006F7EFF" w:rsidRDefault="006F7EFF" w:rsidP="000D7A00">
      <w:pPr>
        <w:rPr>
          <w:rFonts w:eastAsia="Times New Roman"/>
          <w:color w:val="000000"/>
          <w:spacing w:val="6"/>
          <w:lang w:eastAsia="en-GB"/>
        </w:rPr>
      </w:pPr>
    </w:p>
    <w:p w14:paraId="4D4D2024" w14:textId="77777777" w:rsidR="006F7EFF" w:rsidRPr="00DE69A6" w:rsidRDefault="006F7EFF" w:rsidP="000D7A00">
      <w:pPr>
        <w:rPr>
          <w:rFonts w:eastAsia="Times New Roman" w:cs="Arial"/>
          <w:color w:val="000000"/>
          <w:spacing w:val="6"/>
          <w:lang w:eastAsia="en-GB"/>
        </w:rPr>
      </w:pPr>
    </w:p>
    <w:p w14:paraId="1F2A1AAE" w14:textId="77777777" w:rsidR="000D7A00" w:rsidRPr="00DE69A6" w:rsidRDefault="000D7A00" w:rsidP="000D7A00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14:paraId="2D4E4F64" w14:textId="42950F72" w:rsidR="000D7A00" w:rsidRPr="00DE69A6" w:rsidRDefault="006F7EFF" w:rsidP="000D7A00">
      <w:pPr>
        <w:spacing w:line="360" w:lineRule="auto"/>
        <w:rPr>
          <w:rFonts w:cs="Arial"/>
          <w:b/>
          <w:color w:val="000000" w:themeColor="text1"/>
          <w:sz w:val="24"/>
          <w:szCs w:val="24"/>
        </w:rPr>
      </w:pPr>
      <w:r w:rsidRPr="00DE69A6">
        <w:rPr>
          <w:rFonts w:cs="Arial"/>
          <w:b/>
          <w:color w:val="000000" w:themeColor="text1"/>
          <w:sz w:val="24"/>
          <w:szCs w:val="24"/>
        </w:rPr>
        <w:lastRenderedPageBreak/>
        <w:t>Source</w:t>
      </w:r>
      <w:r w:rsidR="000D7A00" w:rsidRPr="00DE69A6">
        <w:rPr>
          <w:rFonts w:cs="Arial"/>
          <w:b/>
          <w:color w:val="000000" w:themeColor="text1"/>
          <w:sz w:val="24"/>
          <w:szCs w:val="24"/>
        </w:rPr>
        <w:t>:</w:t>
      </w:r>
    </w:p>
    <w:p w14:paraId="68C053EE" w14:textId="7514407C" w:rsidR="000D7A00" w:rsidRPr="00DE69A6" w:rsidRDefault="006F7EFF" w:rsidP="006F7EFF">
      <w:pPr>
        <w:spacing w:line="360" w:lineRule="auto"/>
        <w:rPr>
          <w:rFonts w:cs="Arial"/>
          <w:color w:val="000000" w:themeColor="text1"/>
          <w:sz w:val="24"/>
          <w:szCs w:val="24"/>
        </w:rPr>
      </w:pPr>
      <w:proofErr w:type="spellStart"/>
      <w:r w:rsidRPr="00DE69A6">
        <w:rPr>
          <w:rFonts w:cs="Arial"/>
          <w:color w:val="000000" w:themeColor="text1"/>
          <w:sz w:val="24"/>
          <w:szCs w:val="24"/>
        </w:rPr>
        <w:t>Capitec</w:t>
      </w:r>
      <w:proofErr w:type="spellEnd"/>
      <w:r w:rsidRPr="00DE69A6">
        <w:rPr>
          <w:rFonts w:cs="Arial"/>
          <w:color w:val="000000" w:themeColor="text1"/>
          <w:sz w:val="24"/>
          <w:szCs w:val="24"/>
        </w:rPr>
        <w:t xml:space="preserve">, </w:t>
      </w:r>
      <w:r w:rsidR="000D7A00" w:rsidRPr="00DE69A6">
        <w:rPr>
          <w:rFonts w:cs="Arial"/>
          <w:color w:val="000000" w:themeColor="text1"/>
          <w:sz w:val="24"/>
          <w:szCs w:val="24"/>
        </w:rPr>
        <w:t>2018</w:t>
      </w:r>
      <w:r w:rsidRPr="00DE69A6">
        <w:rPr>
          <w:rFonts w:cs="Arial"/>
          <w:color w:val="000000" w:themeColor="text1"/>
          <w:sz w:val="24"/>
          <w:szCs w:val="24"/>
        </w:rPr>
        <w:t xml:space="preserve"> Formal response to questions raised by Members of Parliament</w:t>
      </w:r>
      <w:r w:rsidR="000D7A00" w:rsidRPr="00DE69A6">
        <w:rPr>
          <w:rFonts w:cs="Arial"/>
          <w:color w:val="000000" w:themeColor="text1"/>
          <w:sz w:val="24"/>
          <w:szCs w:val="24"/>
        </w:rPr>
        <w:t xml:space="preserve"> </w:t>
      </w:r>
    </w:p>
    <w:p w14:paraId="3560C47A" w14:textId="77777777" w:rsidR="000D7A00" w:rsidRPr="000B327D" w:rsidRDefault="000D7A00" w:rsidP="000D7A00">
      <w:pPr>
        <w:spacing w:after="160" w:line="360" w:lineRule="auto"/>
        <w:rPr>
          <w:rFonts w:ascii="Arial Narrow" w:hAnsi="Arial Narrow" w:cs="Helvetica"/>
          <w:color w:val="000000" w:themeColor="text1"/>
          <w:sz w:val="24"/>
          <w:szCs w:val="24"/>
        </w:rPr>
      </w:pPr>
    </w:p>
    <w:p w14:paraId="5C5E4F31" w14:textId="77777777" w:rsidR="000D7A00" w:rsidRPr="000B327D" w:rsidRDefault="000D7A00" w:rsidP="000D7A00">
      <w:pPr>
        <w:spacing w:line="360" w:lineRule="auto"/>
        <w:rPr>
          <w:rFonts w:ascii="Arial Narrow" w:hAnsi="Arial Narrow" w:cs="Helvetica"/>
          <w:color w:val="000000" w:themeColor="text1"/>
          <w:sz w:val="24"/>
          <w:szCs w:val="24"/>
        </w:rPr>
      </w:pPr>
    </w:p>
    <w:p w14:paraId="348C5E00" w14:textId="77777777" w:rsidR="000D7A00" w:rsidRDefault="000D7A00" w:rsidP="000D7A00">
      <w:pPr>
        <w:rPr>
          <w:rFonts w:eastAsia="Times New Roman"/>
          <w:color w:val="000000"/>
          <w:spacing w:val="6"/>
          <w:lang w:eastAsia="en-GB"/>
        </w:rPr>
      </w:pPr>
    </w:p>
    <w:sectPr w:rsidR="000D7A00" w:rsidSect="00103A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02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72E12" w14:textId="77777777" w:rsidR="00DA72B8" w:rsidRDefault="00DA72B8" w:rsidP="00BE1544">
      <w:pPr>
        <w:spacing w:line="240" w:lineRule="auto"/>
      </w:pPr>
      <w:r>
        <w:separator/>
      </w:r>
    </w:p>
  </w:endnote>
  <w:endnote w:type="continuationSeparator" w:id="0">
    <w:p w14:paraId="4C93FBB5" w14:textId="77777777" w:rsidR="00DA72B8" w:rsidRDefault="00DA72B8" w:rsidP="00BE1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02478"/>
      <w:docPartObj>
        <w:docPartGallery w:val="Page Numbers (Bottom of Page)"/>
        <w:docPartUnique/>
      </w:docPartObj>
    </w:sdtPr>
    <w:sdtEndPr/>
    <w:sdtContent>
      <w:sdt>
        <w:sdtPr>
          <w:id w:val="-1381250211"/>
          <w:docPartObj>
            <w:docPartGallery w:val="Page Numbers (Top of Page)"/>
            <w:docPartUnique/>
          </w:docPartObj>
        </w:sdtPr>
        <w:sdtEndPr/>
        <w:sdtContent>
          <w:p w14:paraId="7B7A09D2" w14:textId="77777777" w:rsidR="0026349C" w:rsidRPr="00596222" w:rsidRDefault="0026349C" w:rsidP="00BE1544">
            <w:pPr>
              <w:pStyle w:val="Footer"/>
              <w:rPr>
                <w:rFonts w:cs="Arial"/>
                <w:b/>
                <w:sz w:val="16"/>
                <w:szCs w:val="16"/>
              </w:rPr>
            </w:pPr>
            <w:r w:rsidRPr="00BE1544">
              <w:rPr>
                <w:rFonts w:cs="Arial"/>
                <w:b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B473F0" wp14:editId="3BD06E71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10039188</wp:posOffset>
                      </wp:positionV>
                      <wp:extent cx="5677786" cy="0"/>
                      <wp:effectExtent l="0" t="0" r="3746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77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10A00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790.5pt" to="447.05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" strokecolor="#70ad47 [3209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596222">
              <w:rPr>
                <w:rFonts w:cs="Arial"/>
                <w:b/>
                <w:sz w:val="16"/>
                <w:szCs w:val="16"/>
              </w:rPr>
              <w:t xml:space="preserve">Research Unit: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4A80" w14:textId="77777777" w:rsidR="0026349C" w:rsidRPr="00BE1544" w:rsidRDefault="0026349C">
    <w:pPr>
      <w:pStyle w:val="Footer"/>
      <w:rPr>
        <w:rFonts w:cs="Arial"/>
        <w:sz w:val="16"/>
        <w:szCs w:val="16"/>
      </w:rPr>
    </w:pPr>
    <w:r>
      <w:rPr>
        <w:rFonts w:cs="Arial"/>
        <w:b/>
        <w:noProof/>
        <w:sz w:val="16"/>
        <w:szCs w:val="16"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CCA6A" wp14:editId="385DFB35">
              <wp:simplePos x="0" y="0"/>
              <wp:positionH relativeFrom="margin">
                <wp:posOffset>16510</wp:posOffset>
              </wp:positionH>
              <wp:positionV relativeFrom="page">
                <wp:posOffset>10032838</wp:posOffset>
              </wp:positionV>
              <wp:extent cx="5677786" cy="0"/>
              <wp:effectExtent l="0" t="0" r="374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7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1A7CB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3pt,790pt" to="448.35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" strokecolor="#70ad47 [3209]" strokeweight=".5pt">
              <v:stroke joinstyle="miter"/>
              <w10:wrap anchorx="margin" anchory="page"/>
            </v:line>
          </w:pict>
        </mc:Fallback>
      </mc:AlternateContent>
    </w:r>
    <w:r w:rsidRPr="00BE1544">
      <w:rPr>
        <w:rFonts w:cs="Arial"/>
        <w:b/>
        <w:sz w:val="16"/>
        <w:szCs w:val="16"/>
      </w:rPr>
      <w:t>Research Unit</w:t>
    </w:r>
    <w:r>
      <w:rPr>
        <w:rFonts w:cs="Arial"/>
        <w:b/>
        <w:sz w:val="16"/>
        <w:szCs w:val="16"/>
      </w:rPr>
      <w:t xml:space="preserve"> </w:t>
    </w:r>
    <w:r w:rsidRPr="00BE1544">
      <w:rPr>
        <w:rFonts w:cs="Arial"/>
        <w:b/>
        <w:sz w:val="16"/>
        <w:szCs w:val="16"/>
      </w:rPr>
      <w:t>|</w:t>
    </w:r>
    <w:r w:rsidRPr="00BE1544">
      <w:rPr>
        <w:rFonts w:cs="Arial"/>
        <w:sz w:val="16"/>
        <w:szCs w:val="16"/>
      </w:rPr>
      <w:t xml:space="preserve"> </w:t>
    </w:r>
    <w:r w:rsidR="00514919">
      <w:rPr>
        <w:rFonts w:cs="Arial"/>
        <w:sz w:val="16"/>
        <w:szCs w:val="16"/>
      </w:rPr>
      <w:tab/>
    </w:r>
    <w:r w:rsidR="00514919">
      <w:rPr>
        <w:rFonts w:cs="Arial"/>
        <w:sz w:val="16"/>
        <w:szCs w:val="16"/>
      </w:rPr>
      <w:tab/>
    </w:r>
    <w:r w:rsidRPr="00BE1544">
      <w:rPr>
        <w:rFonts w:cs="Arial"/>
        <w:sz w:val="16"/>
        <w:szCs w:val="16"/>
      </w:rPr>
      <w:t xml:space="preserve">Contact details: 021 403 </w:t>
    </w:r>
    <w:r>
      <w:rPr>
        <w:rFonts w:cs="Arial"/>
        <w:sz w:val="16"/>
        <w:szCs w:val="16"/>
      </w:rPr>
      <w:t>8017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9172" w14:textId="77777777" w:rsidR="00DA72B8" w:rsidRDefault="00DA72B8" w:rsidP="00BE1544">
      <w:pPr>
        <w:spacing w:line="240" w:lineRule="auto"/>
      </w:pPr>
      <w:r>
        <w:separator/>
      </w:r>
    </w:p>
  </w:footnote>
  <w:footnote w:type="continuationSeparator" w:id="0">
    <w:p w14:paraId="2F0928AA" w14:textId="77777777" w:rsidR="00DA72B8" w:rsidRDefault="00DA72B8" w:rsidP="00BE1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21B6" w14:textId="77777777" w:rsidR="0026349C" w:rsidRDefault="0026349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73BFFCE2" wp14:editId="27554E95">
          <wp:simplePos x="0" y="0"/>
          <wp:positionH relativeFrom="margin">
            <wp:posOffset>4931410</wp:posOffset>
          </wp:positionH>
          <wp:positionV relativeFrom="page">
            <wp:posOffset>344643</wp:posOffset>
          </wp:positionV>
          <wp:extent cx="800100" cy="824230"/>
          <wp:effectExtent l="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547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F17DC" w14:textId="77777777" w:rsidR="0026349C" w:rsidRDefault="00596222">
    <w:pPr>
      <w:pStyle w:val="Header"/>
    </w:pPr>
    <w:r>
      <w:t>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045A" w14:textId="77777777" w:rsidR="0026349C" w:rsidRDefault="0026349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4629BDFE" wp14:editId="4A6A840D">
          <wp:simplePos x="0" y="0"/>
          <wp:positionH relativeFrom="margin">
            <wp:posOffset>-82388</wp:posOffset>
          </wp:positionH>
          <wp:positionV relativeFrom="page">
            <wp:posOffset>411480</wp:posOffset>
          </wp:positionV>
          <wp:extent cx="2543810" cy="824230"/>
          <wp:effectExtent l="0" t="0" r="889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0288" behindDoc="1" locked="0" layoutInCell="1" allowOverlap="1" wp14:anchorId="7358CB33" wp14:editId="3078539F">
          <wp:simplePos x="0" y="0"/>
          <wp:positionH relativeFrom="margin">
            <wp:posOffset>3557743</wp:posOffset>
          </wp:positionH>
          <wp:positionV relativeFrom="page">
            <wp:posOffset>560070</wp:posOffset>
          </wp:positionV>
          <wp:extent cx="2279650" cy="611505"/>
          <wp:effectExtent l="0" t="0" r="6350" b="0"/>
          <wp:wrapSquare wrapText="bothSides"/>
          <wp:docPr id="7" name="Picture 7" descr="RESEARCH-UNIT-RGB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-UNIT-RGB-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438"/>
    <w:multiLevelType w:val="multilevel"/>
    <w:tmpl w:val="BEEAB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14AAB"/>
    <w:multiLevelType w:val="hybridMultilevel"/>
    <w:tmpl w:val="60C4A858"/>
    <w:lvl w:ilvl="0" w:tplc="3138B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6B2"/>
    <w:multiLevelType w:val="hybridMultilevel"/>
    <w:tmpl w:val="5E2E8B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43AD6"/>
    <w:multiLevelType w:val="hybridMultilevel"/>
    <w:tmpl w:val="2DFEC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292"/>
    <w:multiLevelType w:val="hybridMultilevel"/>
    <w:tmpl w:val="94CE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462F"/>
    <w:multiLevelType w:val="hybridMultilevel"/>
    <w:tmpl w:val="BBECDDA4"/>
    <w:lvl w:ilvl="0" w:tplc="395CD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37CC"/>
    <w:multiLevelType w:val="hybridMultilevel"/>
    <w:tmpl w:val="BD2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F4482"/>
    <w:multiLevelType w:val="hybridMultilevel"/>
    <w:tmpl w:val="F30239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06A2"/>
    <w:multiLevelType w:val="multilevel"/>
    <w:tmpl w:val="F35E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7D473E"/>
    <w:multiLevelType w:val="multilevel"/>
    <w:tmpl w:val="A71C52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7DD386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F0135A"/>
    <w:multiLevelType w:val="hybridMultilevel"/>
    <w:tmpl w:val="D6DAF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8368EA"/>
    <w:multiLevelType w:val="hybridMultilevel"/>
    <w:tmpl w:val="6E4E0A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64F75"/>
    <w:multiLevelType w:val="hybridMultilevel"/>
    <w:tmpl w:val="C00AB6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25265EC"/>
    <w:multiLevelType w:val="multilevel"/>
    <w:tmpl w:val="9CF28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47F5AEC"/>
    <w:multiLevelType w:val="hybridMultilevel"/>
    <w:tmpl w:val="05E2F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41D4E"/>
    <w:multiLevelType w:val="hybridMultilevel"/>
    <w:tmpl w:val="BD585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8354D0"/>
    <w:multiLevelType w:val="hybridMultilevel"/>
    <w:tmpl w:val="AC5A67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2707A"/>
    <w:multiLevelType w:val="hybridMultilevel"/>
    <w:tmpl w:val="F25684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93560"/>
    <w:multiLevelType w:val="hybridMultilevel"/>
    <w:tmpl w:val="53D0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A3234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C350E07"/>
    <w:multiLevelType w:val="hybridMultilevel"/>
    <w:tmpl w:val="A0E626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52037"/>
    <w:multiLevelType w:val="hybridMultilevel"/>
    <w:tmpl w:val="F0BC1752"/>
    <w:lvl w:ilvl="0" w:tplc="BCBAD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16860"/>
    <w:multiLevelType w:val="hybridMultilevel"/>
    <w:tmpl w:val="D0A8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21B8"/>
    <w:multiLevelType w:val="hybridMultilevel"/>
    <w:tmpl w:val="784A200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245FF"/>
    <w:multiLevelType w:val="multilevel"/>
    <w:tmpl w:val="B55070A8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D7AB5"/>
    <w:multiLevelType w:val="hybridMultilevel"/>
    <w:tmpl w:val="A53C95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93F3B"/>
    <w:multiLevelType w:val="hybridMultilevel"/>
    <w:tmpl w:val="8F4E3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D2570"/>
    <w:multiLevelType w:val="multilevel"/>
    <w:tmpl w:val="1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9" w15:restartNumberingAfterBreak="0">
    <w:nsid w:val="551C5042"/>
    <w:multiLevelType w:val="hybridMultilevel"/>
    <w:tmpl w:val="77883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527453"/>
    <w:multiLevelType w:val="hybridMultilevel"/>
    <w:tmpl w:val="574C8770"/>
    <w:lvl w:ilvl="0" w:tplc="2B0A65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6624A"/>
    <w:multiLevelType w:val="hybridMultilevel"/>
    <w:tmpl w:val="AB988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F285F"/>
    <w:multiLevelType w:val="hybridMultilevel"/>
    <w:tmpl w:val="C8A0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02D3D"/>
    <w:multiLevelType w:val="hybridMultilevel"/>
    <w:tmpl w:val="CD1E9F9C"/>
    <w:lvl w:ilvl="0" w:tplc="C180F32C">
      <w:start w:val="1"/>
      <w:numFmt w:val="lowerRoman"/>
      <w:lvlText w:val="(%1)"/>
      <w:lvlJc w:val="left"/>
      <w:pPr>
        <w:ind w:left="90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1D97F37"/>
    <w:multiLevelType w:val="hybridMultilevel"/>
    <w:tmpl w:val="5EBE1C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81F49"/>
    <w:multiLevelType w:val="hybridMultilevel"/>
    <w:tmpl w:val="CC3214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6712D9"/>
    <w:multiLevelType w:val="hybridMultilevel"/>
    <w:tmpl w:val="9096439A"/>
    <w:lvl w:ilvl="0" w:tplc="2B0A65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6E2"/>
    <w:multiLevelType w:val="hybridMultilevel"/>
    <w:tmpl w:val="AC9C4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01519"/>
    <w:multiLevelType w:val="multilevel"/>
    <w:tmpl w:val="1E589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B1A2413"/>
    <w:multiLevelType w:val="hybridMultilevel"/>
    <w:tmpl w:val="9FE48BA6"/>
    <w:lvl w:ilvl="0" w:tplc="7382BDE6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875F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365D55"/>
    <w:multiLevelType w:val="hybridMultilevel"/>
    <w:tmpl w:val="9B9C20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37F1C"/>
    <w:multiLevelType w:val="hybridMultilevel"/>
    <w:tmpl w:val="72663CB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E67FBE"/>
    <w:multiLevelType w:val="hybridMultilevel"/>
    <w:tmpl w:val="FDF09B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C521A"/>
    <w:multiLevelType w:val="hybridMultilevel"/>
    <w:tmpl w:val="CC72EB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814DA"/>
    <w:multiLevelType w:val="hybridMultilevel"/>
    <w:tmpl w:val="315030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47693"/>
    <w:multiLevelType w:val="hybridMultilevel"/>
    <w:tmpl w:val="5118690E"/>
    <w:lvl w:ilvl="0" w:tplc="2B0A65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D5A18"/>
    <w:multiLevelType w:val="hybridMultilevel"/>
    <w:tmpl w:val="1E40F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28"/>
  </w:num>
  <w:num w:numId="4">
    <w:abstractNumId w:val="35"/>
  </w:num>
  <w:num w:numId="5">
    <w:abstractNumId w:val="24"/>
  </w:num>
  <w:num w:numId="6">
    <w:abstractNumId w:val="40"/>
  </w:num>
  <w:num w:numId="7">
    <w:abstractNumId w:val="25"/>
  </w:num>
  <w:num w:numId="8">
    <w:abstractNumId w:val="20"/>
  </w:num>
  <w:num w:numId="9">
    <w:abstractNumId w:val="2"/>
  </w:num>
  <w:num w:numId="10">
    <w:abstractNumId w:val="31"/>
  </w:num>
  <w:num w:numId="11">
    <w:abstractNumId w:val="15"/>
  </w:num>
  <w:num w:numId="12">
    <w:abstractNumId w:val="34"/>
  </w:num>
  <w:num w:numId="13">
    <w:abstractNumId w:val="47"/>
  </w:num>
  <w:num w:numId="14">
    <w:abstractNumId w:val="42"/>
  </w:num>
  <w:num w:numId="15">
    <w:abstractNumId w:val="10"/>
  </w:num>
  <w:num w:numId="16">
    <w:abstractNumId w:val="33"/>
  </w:num>
  <w:num w:numId="17">
    <w:abstractNumId w:val="39"/>
  </w:num>
  <w:num w:numId="18">
    <w:abstractNumId w:val="29"/>
  </w:num>
  <w:num w:numId="19">
    <w:abstractNumId w:val="30"/>
  </w:num>
  <w:num w:numId="20">
    <w:abstractNumId w:val="23"/>
  </w:num>
  <w:num w:numId="21">
    <w:abstractNumId w:val="36"/>
  </w:num>
  <w:num w:numId="22">
    <w:abstractNumId w:val="46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"/>
  </w:num>
  <w:num w:numId="28">
    <w:abstractNumId w:val="44"/>
  </w:num>
  <w:num w:numId="29">
    <w:abstractNumId w:val="37"/>
  </w:num>
  <w:num w:numId="30">
    <w:abstractNumId w:val="45"/>
  </w:num>
  <w:num w:numId="31">
    <w:abstractNumId w:val="7"/>
  </w:num>
  <w:num w:numId="32">
    <w:abstractNumId w:val="26"/>
  </w:num>
  <w:num w:numId="33">
    <w:abstractNumId w:val="12"/>
  </w:num>
  <w:num w:numId="34">
    <w:abstractNumId w:val="18"/>
  </w:num>
  <w:num w:numId="35">
    <w:abstractNumId w:val="1"/>
  </w:num>
  <w:num w:numId="36">
    <w:abstractNumId w:val="43"/>
  </w:num>
  <w:num w:numId="37">
    <w:abstractNumId w:val="9"/>
  </w:num>
  <w:num w:numId="38">
    <w:abstractNumId w:val="8"/>
  </w:num>
  <w:num w:numId="39">
    <w:abstractNumId w:val="17"/>
  </w:num>
  <w:num w:numId="40">
    <w:abstractNumId w:val="6"/>
  </w:num>
  <w:num w:numId="41">
    <w:abstractNumId w:val="4"/>
  </w:num>
  <w:num w:numId="42">
    <w:abstractNumId w:val="19"/>
  </w:num>
  <w:num w:numId="43">
    <w:abstractNumId w:val="11"/>
  </w:num>
  <w:num w:numId="44">
    <w:abstractNumId w:val="16"/>
  </w:num>
  <w:num w:numId="45">
    <w:abstractNumId w:val="27"/>
  </w:num>
  <w:num w:numId="46">
    <w:abstractNumId w:val="14"/>
  </w:num>
  <w:num w:numId="47">
    <w:abstractNumId w:val="2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0C"/>
    <w:rsid w:val="0001102D"/>
    <w:rsid w:val="00011DA1"/>
    <w:rsid w:val="00021A79"/>
    <w:rsid w:val="00034B99"/>
    <w:rsid w:val="00040042"/>
    <w:rsid w:val="0004431C"/>
    <w:rsid w:val="000446B0"/>
    <w:rsid w:val="0004494C"/>
    <w:rsid w:val="00052B47"/>
    <w:rsid w:val="00054A92"/>
    <w:rsid w:val="00055604"/>
    <w:rsid w:val="00061078"/>
    <w:rsid w:val="00061D29"/>
    <w:rsid w:val="00067A47"/>
    <w:rsid w:val="000A1AB7"/>
    <w:rsid w:val="000A3FCD"/>
    <w:rsid w:val="000A6A42"/>
    <w:rsid w:val="000B1817"/>
    <w:rsid w:val="000B329D"/>
    <w:rsid w:val="000B648B"/>
    <w:rsid w:val="000B6EC2"/>
    <w:rsid w:val="000C41C0"/>
    <w:rsid w:val="000C7A34"/>
    <w:rsid w:val="000C7CDA"/>
    <w:rsid w:val="000D10D7"/>
    <w:rsid w:val="000D5C4D"/>
    <w:rsid w:val="000D7A00"/>
    <w:rsid w:val="000D7C72"/>
    <w:rsid w:val="000E672B"/>
    <w:rsid w:val="000F0ECE"/>
    <w:rsid w:val="000F326F"/>
    <w:rsid w:val="00103894"/>
    <w:rsid w:val="00103ADF"/>
    <w:rsid w:val="00112D46"/>
    <w:rsid w:val="001352B4"/>
    <w:rsid w:val="001365E0"/>
    <w:rsid w:val="00142CEB"/>
    <w:rsid w:val="001454D2"/>
    <w:rsid w:val="00153B94"/>
    <w:rsid w:val="00171FDE"/>
    <w:rsid w:val="00177880"/>
    <w:rsid w:val="00184D13"/>
    <w:rsid w:val="00186280"/>
    <w:rsid w:val="00187098"/>
    <w:rsid w:val="00191AF0"/>
    <w:rsid w:val="001B6B4F"/>
    <w:rsid w:val="001B6D76"/>
    <w:rsid w:val="001F7BAD"/>
    <w:rsid w:val="00212E0E"/>
    <w:rsid w:val="00255330"/>
    <w:rsid w:val="00260B4F"/>
    <w:rsid w:val="0026349C"/>
    <w:rsid w:val="002732CD"/>
    <w:rsid w:val="00290A64"/>
    <w:rsid w:val="00296E6A"/>
    <w:rsid w:val="002A0835"/>
    <w:rsid w:val="002B006D"/>
    <w:rsid w:val="002B08CF"/>
    <w:rsid w:val="002B29AC"/>
    <w:rsid w:val="002B456A"/>
    <w:rsid w:val="002B6150"/>
    <w:rsid w:val="002B65B3"/>
    <w:rsid w:val="002C25D3"/>
    <w:rsid w:val="002D0CF5"/>
    <w:rsid w:val="002D6EE7"/>
    <w:rsid w:val="002F1450"/>
    <w:rsid w:val="002F2187"/>
    <w:rsid w:val="0031278C"/>
    <w:rsid w:val="00337E58"/>
    <w:rsid w:val="0034606F"/>
    <w:rsid w:val="0035488C"/>
    <w:rsid w:val="003674A1"/>
    <w:rsid w:val="00377228"/>
    <w:rsid w:val="00377ACD"/>
    <w:rsid w:val="00383E4B"/>
    <w:rsid w:val="003939BE"/>
    <w:rsid w:val="003A6436"/>
    <w:rsid w:val="003B226A"/>
    <w:rsid w:val="003C0A40"/>
    <w:rsid w:val="003C27CD"/>
    <w:rsid w:val="003C3F5B"/>
    <w:rsid w:val="003F4E3F"/>
    <w:rsid w:val="003F7A76"/>
    <w:rsid w:val="00402E74"/>
    <w:rsid w:val="00404E95"/>
    <w:rsid w:val="00425EA7"/>
    <w:rsid w:val="004333D9"/>
    <w:rsid w:val="00445296"/>
    <w:rsid w:val="00451CAC"/>
    <w:rsid w:val="004575B3"/>
    <w:rsid w:val="00462C35"/>
    <w:rsid w:val="0047089E"/>
    <w:rsid w:val="00477082"/>
    <w:rsid w:val="004B2AC0"/>
    <w:rsid w:val="004C17E7"/>
    <w:rsid w:val="004E1AC6"/>
    <w:rsid w:val="004E2BA2"/>
    <w:rsid w:val="004F1991"/>
    <w:rsid w:val="004F5C45"/>
    <w:rsid w:val="004F6E7C"/>
    <w:rsid w:val="005012F7"/>
    <w:rsid w:val="005028B1"/>
    <w:rsid w:val="00514919"/>
    <w:rsid w:val="00526849"/>
    <w:rsid w:val="00537071"/>
    <w:rsid w:val="0056542F"/>
    <w:rsid w:val="0056571B"/>
    <w:rsid w:val="00573D1D"/>
    <w:rsid w:val="00574827"/>
    <w:rsid w:val="0057729D"/>
    <w:rsid w:val="00596222"/>
    <w:rsid w:val="005A00DE"/>
    <w:rsid w:val="005C4E9B"/>
    <w:rsid w:val="005C6109"/>
    <w:rsid w:val="005E068D"/>
    <w:rsid w:val="005E476C"/>
    <w:rsid w:val="005E544A"/>
    <w:rsid w:val="006163FE"/>
    <w:rsid w:val="00630D3E"/>
    <w:rsid w:val="00663F6C"/>
    <w:rsid w:val="00667D16"/>
    <w:rsid w:val="00684805"/>
    <w:rsid w:val="006C4E48"/>
    <w:rsid w:val="006D044A"/>
    <w:rsid w:val="006E0F0E"/>
    <w:rsid w:val="006F31A3"/>
    <w:rsid w:val="006F5E2B"/>
    <w:rsid w:val="006F7EFF"/>
    <w:rsid w:val="00702501"/>
    <w:rsid w:val="0070516B"/>
    <w:rsid w:val="00761CB7"/>
    <w:rsid w:val="00764580"/>
    <w:rsid w:val="007678EB"/>
    <w:rsid w:val="00784FB2"/>
    <w:rsid w:val="007A7A90"/>
    <w:rsid w:val="007A7F0B"/>
    <w:rsid w:val="007F1B8C"/>
    <w:rsid w:val="0080250B"/>
    <w:rsid w:val="00805998"/>
    <w:rsid w:val="00810ACC"/>
    <w:rsid w:val="008175AD"/>
    <w:rsid w:val="008242EB"/>
    <w:rsid w:val="0082503B"/>
    <w:rsid w:val="00837FCF"/>
    <w:rsid w:val="00845F0C"/>
    <w:rsid w:val="00851BCD"/>
    <w:rsid w:val="0088044E"/>
    <w:rsid w:val="008817A9"/>
    <w:rsid w:val="00882C8E"/>
    <w:rsid w:val="00893EE9"/>
    <w:rsid w:val="00896E7D"/>
    <w:rsid w:val="008A1185"/>
    <w:rsid w:val="008A3394"/>
    <w:rsid w:val="008A51A4"/>
    <w:rsid w:val="008E0C71"/>
    <w:rsid w:val="008E7551"/>
    <w:rsid w:val="008F01AD"/>
    <w:rsid w:val="0091625A"/>
    <w:rsid w:val="0093556E"/>
    <w:rsid w:val="00955B90"/>
    <w:rsid w:val="009600E5"/>
    <w:rsid w:val="00961360"/>
    <w:rsid w:val="00971DD5"/>
    <w:rsid w:val="00992D9A"/>
    <w:rsid w:val="0099420E"/>
    <w:rsid w:val="009A2690"/>
    <w:rsid w:val="009B2A77"/>
    <w:rsid w:val="009D2102"/>
    <w:rsid w:val="009E0C94"/>
    <w:rsid w:val="009E5DE3"/>
    <w:rsid w:val="009F39DD"/>
    <w:rsid w:val="00A02733"/>
    <w:rsid w:val="00A13FA5"/>
    <w:rsid w:val="00A43698"/>
    <w:rsid w:val="00A65351"/>
    <w:rsid w:val="00A730F8"/>
    <w:rsid w:val="00A82CA1"/>
    <w:rsid w:val="00A906F8"/>
    <w:rsid w:val="00AA0324"/>
    <w:rsid w:val="00AA2350"/>
    <w:rsid w:val="00AC465D"/>
    <w:rsid w:val="00AD0A4E"/>
    <w:rsid w:val="00AD5B5B"/>
    <w:rsid w:val="00AE60E1"/>
    <w:rsid w:val="00AE6B13"/>
    <w:rsid w:val="00AF1C89"/>
    <w:rsid w:val="00B17D6D"/>
    <w:rsid w:val="00B21D3A"/>
    <w:rsid w:val="00B22812"/>
    <w:rsid w:val="00B71B61"/>
    <w:rsid w:val="00B725AB"/>
    <w:rsid w:val="00B75CDB"/>
    <w:rsid w:val="00B9302E"/>
    <w:rsid w:val="00B95622"/>
    <w:rsid w:val="00BB6B4B"/>
    <w:rsid w:val="00BD4E0D"/>
    <w:rsid w:val="00BE1544"/>
    <w:rsid w:val="00BE65C0"/>
    <w:rsid w:val="00BF3AFB"/>
    <w:rsid w:val="00C035FC"/>
    <w:rsid w:val="00C300C4"/>
    <w:rsid w:val="00C35177"/>
    <w:rsid w:val="00C47800"/>
    <w:rsid w:val="00C533B8"/>
    <w:rsid w:val="00C61BA5"/>
    <w:rsid w:val="00C76ABD"/>
    <w:rsid w:val="00C80FCC"/>
    <w:rsid w:val="00CA47B0"/>
    <w:rsid w:val="00CA59EA"/>
    <w:rsid w:val="00CE26E6"/>
    <w:rsid w:val="00CF49BB"/>
    <w:rsid w:val="00D03EB2"/>
    <w:rsid w:val="00D12839"/>
    <w:rsid w:val="00D313A3"/>
    <w:rsid w:val="00D31A7F"/>
    <w:rsid w:val="00D323E9"/>
    <w:rsid w:val="00D352B0"/>
    <w:rsid w:val="00D621EC"/>
    <w:rsid w:val="00D7164D"/>
    <w:rsid w:val="00D95324"/>
    <w:rsid w:val="00DA70FE"/>
    <w:rsid w:val="00DA72B8"/>
    <w:rsid w:val="00DA79E4"/>
    <w:rsid w:val="00DB162D"/>
    <w:rsid w:val="00DE69A6"/>
    <w:rsid w:val="00DF6443"/>
    <w:rsid w:val="00E06676"/>
    <w:rsid w:val="00E079AD"/>
    <w:rsid w:val="00E158E4"/>
    <w:rsid w:val="00E2666D"/>
    <w:rsid w:val="00E2749A"/>
    <w:rsid w:val="00E462B0"/>
    <w:rsid w:val="00E60C1F"/>
    <w:rsid w:val="00E618AD"/>
    <w:rsid w:val="00E6785E"/>
    <w:rsid w:val="00E86D26"/>
    <w:rsid w:val="00EA5262"/>
    <w:rsid w:val="00EA796E"/>
    <w:rsid w:val="00EB5BBC"/>
    <w:rsid w:val="00EB6723"/>
    <w:rsid w:val="00EC191C"/>
    <w:rsid w:val="00EC1AF4"/>
    <w:rsid w:val="00EC4E94"/>
    <w:rsid w:val="00EC560A"/>
    <w:rsid w:val="00EC7532"/>
    <w:rsid w:val="00ED73EC"/>
    <w:rsid w:val="00EE2470"/>
    <w:rsid w:val="00EF36A1"/>
    <w:rsid w:val="00EF374D"/>
    <w:rsid w:val="00F07F50"/>
    <w:rsid w:val="00F14BC4"/>
    <w:rsid w:val="00F35173"/>
    <w:rsid w:val="00F521D3"/>
    <w:rsid w:val="00F54387"/>
    <w:rsid w:val="00F62866"/>
    <w:rsid w:val="00F734D9"/>
    <w:rsid w:val="00FC1378"/>
    <w:rsid w:val="00FC1414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EFB626"/>
  <w15:chartTrackingRefBased/>
  <w15:docId w15:val="{47381D9A-C9A9-4188-96DF-71ED500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04"/>
    <w:pPr>
      <w:spacing w:after="0" w:line="280" w:lineRule="exact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028B1"/>
    <w:pPr>
      <w:keepNext/>
      <w:keepLines/>
      <w:spacing w:before="240"/>
      <w:outlineLvl w:val="0"/>
    </w:pPr>
    <w:rPr>
      <w:rFonts w:eastAsiaTheme="majorEastAsia" w:cstheme="majorBidi"/>
      <w:b/>
      <w:caps/>
      <w:color w:val="538135" w:themeColor="accent6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028B1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538135" w:themeColor="accent6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52B47"/>
    <w:pPr>
      <w:keepNext/>
      <w:keepLines/>
      <w:outlineLvl w:val="2"/>
    </w:pPr>
    <w:rPr>
      <w:rFonts w:eastAsiaTheme="majorEastAsia" w:cstheme="majorBidi"/>
      <w:b/>
      <w:i/>
      <w:color w:val="538135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E0C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E0C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E0C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E0C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E0C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E0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5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44"/>
  </w:style>
  <w:style w:type="paragraph" w:styleId="Footer">
    <w:name w:val="footer"/>
    <w:basedOn w:val="Normal"/>
    <w:link w:val="FooterChar"/>
    <w:uiPriority w:val="99"/>
    <w:unhideWhenUsed/>
    <w:rsid w:val="00BE15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44"/>
  </w:style>
  <w:style w:type="paragraph" w:customStyle="1" w:styleId="ResearchTitle">
    <w:name w:val="Research Title"/>
    <w:basedOn w:val="Normal"/>
    <w:link w:val="ResearchTitleChar"/>
    <w:rsid w:val="008A1185"/>
    <w:rPr>
      <w:b/>
      <w:caps/>
      <w:color w:val="538135" w:themeColor="accent6" w:themeShade="BF"/>
      <w:sz w:val="24"/>
    </w:rPr>
  </w:style>
  <w:style w:type="paragraph" w:customStyle="1" w:styleId="ReseachMainHeading">
    <w:name w:val="Reseach Main Heading"/>
    <w:basedOn w:val="ResearchTitle"/>
    <w:link w:val="ReseachMainHeadingChar"/>
    <w:rsid w:val="005E068D"/>
    <w:rPr>
      <w:sz w:val="22"/>
    </w:rPr>
  </w:style>
  <w:style w:type="character" w:customStyle="1" w:styleId="ResearchTitleChar">
    <w:name w:val="Research Title Char"/>
    <w:basedOn w:val="DefaultParagraphFont"/>
    <w:link w:val="ResearchTitle"/>
    <w:rsid w:val="008A1185"/>
    <w:rPr>
      <w:rFonts w:ascii="Arial" w:hAnsi="Arial"/>
      <w:b/>
      <w:caps/>
      <w:color w:val="538135" w:themeColor="accent6" w:themeShade="BF"/>
      <w:sz w:val="24"/>
    </w:rPr>
  </w:style>
  <w:style w:type="paragraph" w:customStyle="1" w:styleId="ResearchSubheading">
    <w:name w:val="Research Sub heading"/>
    <w:basedOn w:val="ReseachMainHeading"/>
    <w:link w:val="ResearchSubheadingChar"/>
    <w:rsid w:val="005E068D"/>
    <w:rPr>
      <w:b w:val="0"/>
      <w:caps w:val="0"/>
    </w:rPr>
  </w:style>
  <w:style w:type="character" w:customStyle="1" w:styleId="ReseachMainHeadingChar">
    <w:name w:val="Reseach Main Heading Char"/>
    <w:basedOn w:val="ResearchTitleChar"/>
    <w:link w:val="ReseachMainHeading"/>
    <w:rsid w:val="005E068D"/>
    <w:rPr>
      <w:rFonts w:ascii="Arial" w:hAnsi="Arial"/>
      <w:b/>
      <w:caps/>
      <w:color w:val="538135" w:themeColor="accent6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28B1"/>
    <w:rPr>
      <w:rFonts w:ascii="Arial" w:eastAsiaTheme="majorEastAsia" w:hAnsi="Arial" w:cstheme="majorBidi"/>
      <w:b/>
      <w:caps/>
      <w:color w:val="538135" w:themeColor="accent6" w:themeShade="BF"/>
      <w:szCs w:val="32"/>
    </w:rPr>
  </w:style>
  <w:style w:type="character" w:customStyle="1" w:styleId="ResearchSubheadingChar">
    <w:name w:val="Research Sub heading Char"/>
    <w:basedOn w:val="ReseachMainHeadingChar"/>
    <w:link w:val="ResearchSubheading"/>
    <w:rsid w:val="005E068D"/>
    <w:rPr>
      <w:rFonts w:ascii="Arial" w:hAnsi="Arial"/>
      <w:b w:val="0"/>
      <w:caps w:val="0"/>
      <w:color w:val="538135" w:themeColor="accent6" w:themeShade="BF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2B47"/>
    <w:pPr>
      <w:outlineLvl w:val="9"/>
    </w:pPr>
    <w:rPr>
      <w:caps w:val="0"/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2B47"/>
    <w:pPr>
      <w:spacing w:after="100"/>
    </w:pPr>
    <w:rPr>
      <w:b/>
      <w:cap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5E0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28B1"/>
    <w:rPr>
      <w:rFonts w:ascii="Arial" w:eastAsiaTheme="majorEastAsia" w:hAnsi="Arial" w:cstheme="majorBidi"/>
      <w:b/>
      <w:color w:val="538135" w:themeColor="accent6" w:themeShade="BF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127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0C94"/>
    <w:pPr>
      <w:spacing w:after="100" w:line="240" w:lineRule="exact"/>
      <w:ind w:left="442"/>
    </w:pPr>
    <w:rPr>
      <w:rFonts w:eastAsiaTheme="min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93EE9"/>
    <w:pPr>
      <w:spacing w:line="240" w:lineRule="auto"/>
      <w:contextualSpacing/>
    </w:pPr>
    <w:rPr>
      <w:rFonts w:eastAsiaTheme="majorEastAsia" w:cstheme="majorBidi"/>
      <w:b/>
      <w:caps/>
      <w:color w:val="538135" w:themeColor="accent6" w:themeShade="BF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EE9"/>
    <w:rPr>
      <w:rFonts w:ascii="Arial" w:eastAsiaTheme="majorEastAsia" w:hAnsi="Arial" w:cstheme="majorBidi"/>
      <w:b/>
      <w:caps/>
      <w:color w:val="538135" w:themeColor="accent6" w:themeShade="BF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93E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EE9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rsid w:val="00052B47"/>
    <w:rPr>
      <w:rFonts w:ascii="Arial" w:eastAsiaTheme="majorEastAsia" w:hAnsi="Arial" w:cstheme="majorBidi"/>
      <w:b/>
      <w:i/>
      <w:color w:val="538135" w:themeColor="accent6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C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C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C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C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9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9302E"/>
    <w:pPr>
      <w:numPr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rsid w:val="00052B47"/>
    <w:pPr>
      <w:jc w:val="left"/>
    </w:pPr>
    <w:rPr>
      <w:rFonts w:eastAsia="Times New Roman" w:cs="Times New Roman"/>
      <w:color w:val="00000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47"/>
    <w:rPr>
      <w:rFonts w:ascii="Arial" w:eastAsia="Times New Roman" w:hAnsi="Arial" w:cs="Times New Roman"/>
      <w:color w:val="000000"/>
      <w:sz w:val="20"/>
      <w:szCs w:val="20"/>
      <w:lang w:val="en-GB" w:eastAsia="en-GB"/>
    </w:rPr>
  </w:style>
  <w:style w:type="paragraph" w:customStyle="1" w:styleId="Default">
    <w:name w:val="Default"/>
    <w:rsid w:val="00684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9">
    <w:name w:val="Pa9"/>
    <w:basedOn w:val="Default"/>
    <w:next w:val="Default"/>
    <w:uiPriority w:val="99"/>
    <w:rsid w:val="00684805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84805"/>
    <w:pPr>
      <w:spacing w:line="221" w:lineRule="atLeast"/>
    </w:pPr>
    <w:rPr>
      <w:color w:val="auto"/>
    </w:rPr>
  </w:style>
  <w:style w:type="character" w:customStyle="1" w:styleId="A12">
    <w:name w:val="A12"/>
    <w:uiPriority w:val="99"/>
    <w:rsid w:val="00684805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A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12D46"/>
    <w:pPr>
      <w:spacing w:line="240" w:lineRule="auto"/>
      <w:jc w:val="left"/>
    </w:pPr>
    <w:rPr>
      <w:rFonts w:eastAsia="Times New Roman" w:cs="Arial"/>
      <w:b/>
      <w:bCs/>
      <w:sz w:val="20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112D46"/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C1378"/>
  </w:style>
  <w:style w:type="paragraph" w:styleId="FootnoteText">
    <w:name w:val="footnote text"/>
    <w:basedOn w:val="Normal"/>
    <w:link w:val="FootnoteTextChar"/>
    <w:uiPriority w:val="99"/>
    <w:semiHidden/>
    <w:unhideWhenUsed/>
    <w:rsid w:val="00FC137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378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C1378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FC1378"/>
    <w:pPr>
      <w:autoSpaceDE w:val="0"/>
      <w:autoSpaceDN w:val="0"/>
      <w:adjustRightInd w:val="0"/>
      <w:spacing w:line="201" w:lineRule="atLeast"/>
      <w:jc w:val="left"/>
    </w:pPr>
    <w:rPr>
      <w:rFonts w:ascii="Dax" w:eastAsia="Calibri" w:hAnsi="Dax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13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378"/>
    <w:pPr>
      <w:spacing w:after="160" w:line="240" w:lineRule="auto"/>
      <w:jc w:val="both"/>
    </w:pPr>
    <w:rPr>
      <w:rFonts w:eastAsiaTheme="minorHAnsi" w:cstheme="minorBidi"/>
      <w:b/>
      <w:bCs/>
      <w:color w:val="auto"/>
      <w:lang w:val="en-Z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378"/>
    <w:rPr>
      <w:rFonts w:ascii="Arial" w:eastAsia="Times New Roman" w:hAnsi="Arial" w:cs="Times New Roman"/>
      <w:b/>
      <w:bCs/>
      <w:color w:val="000000"/>
      <w:sz w:val="20"/>
      <w:szCs w:val="20"/>
      <w:lang w:val="en-GB" w:eastAsia="en-GB"/>
    </w:rPr>
  </w:style>
  <w:style w:type="paragraph" w:customStyle="1" w:styleId="FirstPara">
    <w:name w:val="First Para"/>
    <w:basedOn w:val="Normal"/>
    <w:next w:val="MainPara"/>
    <w:link w:val="FirstParaChar"/>
    <w:rsid w:val="00596222"/>
    <w:pPr>
      <w:spacing w:before="240" w:line="3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ainPara">
    <w:name w:val="Main Para"/>
    <w:basedOn w:val="Normal"/>
    <w:rsid w:val="00596222"/>
    <w:pPr>
      <w:spacing w:before="240" w:line="360" w:lineRule="exact"/>
      <w:ind w:left="20" w:firstLine="3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irstParaChar">
    <w:name w:val="First Para Char"/>
    <w:link w:val="FirstPara"/>
    <w:rsid w:val="0059622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3">
    <w:name w:val="A3"/>
    <w:uiPriority w:val="99"/>
    <w:rsid w:val="000B6EC2"/>
    <w:rPr>
      <w:rFonts w:cs="Myriad Pro Light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491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91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4919"/>
    <w:rPr>
      <w:vertAlign w:val="superscript"/>
    </w:rPr>
  </w:style>
  <w:style w:type="paragraph" w:customStyle="1" w:styleId="Pa10">
    <w:name w:val="Pa10"/>
    <w:basedOn w:val="Default"/>
    <w:next w:val="Default"/>
    <w:uiPriority w:val="99"/>
    <w:rsid w:val="00337E58"/>
    <w:pPr>
      <w:spacing w:line="181" w:lineRule="atLeast"/>
    </w:pPr>
    <w:rPr>
      <w:rFonts w:ascii="Myriad Pro Light" w:hAnsi="Myriad Pro Light" w:cstheme="minorBidi"/>
      <w:color w:val="auto"/>
    </w:rPr>
  </w:style>
  <w:style w:type="paragraph" w:styleId="Revision">
    <w:name w:val="Revision"/>
    <w:hidden/>
    <w:uiPriority w:val="99"/>
    <w:semiHidden/>
    <w:rsid w:val="00DA79E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amela\Desktop\Desktop%20documents\Budget%20Analysis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D476-862D-4F54-94DF-B58E4114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Analysis 2016 template.dotx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Manamela</dc:creator>
  <cp:keywords/>
  <dc:description/>
  <cp:lastModifiedBy>Antonia Manamela</cp:lastModifiedBy>
  <cp:revision>4</cp:revision>
  <cp:lastPrinted>2016-02-19T12:31:00Z</cp:lastPrinted>
  <dcterms:created xsi:type="dcterms:W3CDTF">2018-05-29T14:18:00Z</dcterms:created>
  <dcterms:modified xsi:type="dcterms:W3CDTF">2018-05-29T14:23:00Z</dcterms:modified>
</cp:coreProperties>
</file>