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C7" w:rsidRDefault="00FD57C7" w:rsidP="002B3EE0">
      <w:pPr>
        <w:spacing w:line="280" w:lineRule="exact"/>
        <w:jc w:val="both"/>
        <w:rPr>
          <w:sz w:val="24"/>
          <w:szCs w:val="24"/>
        </w:rPr>
      </w:pPr>
      <w:r w:rsidRPr="000C5A3A">
        <w:rPr>
          <w:rFonts w:cs="Arial"/>
          <w:b/>
          <w:noProof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-799465</wp:posOffset>
            </wp:positionV>
            <wp:extent cx="2351405" cy="800100"/>
            <wp:effectExtent l="19050" t="0" r="0" b="0"/>
            <wp:wrapNone/>
            <wp:docPr id="1" name="Picture 3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A3A">
        <w:rPr>
          <w:rFonts w:cs="Arial"/>
          <w:b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-733425</wp:posOffset>
            </wp:positionH>
            <wp:positionV relativeFrom="topMargin">
              <wp:align>bottom</wp:align>
            </wp:positionV>
            <wp:extent cx="2534285" cy="82359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</w:t>
      </w:r>
    </w:p>
    <w:p w:rsidR="00FD57C7" w:rsidRDefault="00FD57C7" w:rsidP="002B3EE0">
      <w:pPr>
        <w:spacing w:line="280" w:lineRule="exact"/>
        <w:jc w:val="both"/>
        <w:rPr>
          <w:sz w:val="24"/>
          <w:szCs w:val="24"/>
        </w:rPr>
      </w:pPr>
    </w:p>
    <w:p w:rsidR="00FD57C7" w:rsidRPr="00FD57C7" w:rsidRDefault="00FD57C7" w:rsidP="002B3EE0">
      <w:pPr>
        <w:spacing w:line="28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FD57C7">
        <w:rPr>
          <w:b/>
          <w:sz w:val="24"/>
          <w:szCs w:val="24"/>
        </w:rPr>
        <w:t>April 2018</w:t>
      </w:r>
    </w:p>
    <w:p w:rsidR="00FD57C7" w:rsidRDefault="00FD57C7" w:rsidP="002B3EE0">
      <w:pPr>
        <w:spacing w:line="280" w:lineRule="exact"/>
        <w:jc w:val="both"/>
        <w:rPr>
          <w:sz w:val="24"/>
          <w:szCs w:val="24"/>
        </w:rPr>
      </w:pPr>
    </w:p>
    <w:p w:rsidR="00FD57C7" w:rsidRPr="0060495E" w:rsidRDefault="00FD57C7" w:rsidP="0060495E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0495E">
        <w:rPr>
          <w:rFonts w:cs="Arial"/>
          <w:b/>
          <w:sz w:val="24"/>
          <w:szCs w:val="24"/>
        </w:rPr>
        <w:t>SUMMARISED POINTS OF THE REPORT ON SEX WORKER’S SUMMIT</w:t>
      </w:r>
    </w:p>
    <w:p w:rsidR="00FD57C7" w:rsidRPr="0060495E" w:rsidRDefault="00FD57C7" w:rsidP="0060495E">
      <w:pPr>
        <w:spacing w:line="360" w:lineRule="auto"/>
        <w:jc w:val="both"/>
        <w:rPr>
          <w:rFonts w:cs="Arial"/>
          <w:sz w:val="24"/>
          <w:szCs w:val="24"/>
        </w:rPr>
      </w:pPr>
    </w:p>
    <w:p w:rsidR="00FD57C7" w:rsidRPr="0060495E" w:rsidRDefault="00946311" w:rsidP="0060495E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FD57C7" w:rsidRPr="0060495E">
        <w:rPr>
          <w:rFonts w:cs="Arial"/>
          <w:sz w:val="24"/>
          <w:szCs w:val="24"/>
        </w:rPr>
        <w:t xml:space="preserve"> </w:t>
      </w:r>
      <w:r w:rsidR="00334EFB" w:rsidRPr="0060495E">
        <w:rPr>
          <w:rFonts w:cs="Arial"/>
          <w:sz w:val="24"/>
          <w:szCs w:val="24"/>
        </w:rPr>
        <w:t xml:space="preserve">MPWC </w:t>
      </w:r>
      <w:r w:rsidR="00334EFB">
        <w:rPr>
          <w:rFonts w:cs="Arial"/>
          <w:sz w:val="24"/>
          <w:szCs w:val="24"/>
        </w:rPr>
        <w:t>hosted</w:t>
      </w:r>
      <w:r>
        <w:rPr>
          <w:rFonts w:cs="Arial"/>
          <w:sz w:val="24"/>
          <w:szCs w:val="24"/>
        </w:rPr>
        <w:t xml:space="preserve"> the summit on sex work </w:t>
      </w:r>
      <w:r w:rsidR="00FD57C7" w:rsidRPr="0060495E">
        <w:rPr>
          <w:rFonts w:cs="Arial"/>
          <w:sz w:val="24"/>
          <w:szCs w:val="24"/>
        </w:rPr>
        <w:t xml:space="preserve">on 05 March </w:t>
      </w:r>
      <w:r w:rsidRPr="0060495E">
        <w:rPr>
          <w:rFonts w:cs="Arial"/>
          <w:sz w:val="24"/>
          <w:szCs w:val="24"/>
        </w:rPr>
        <w:t>2018.</w:t>
      </w:r>
    </w:p>
    <w:p w:rsidR="00FD57C7" w:rsidRPr="0060495E" w:rsidRDefault="00FD57C7" w:rsidP="0060495E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>The aim for hosting this summit was to allow all the affected critical stakeholders to respond on the report and recommendation</w:t>
      </w:r>
      <w:r w:rsidR="00334EFB">
        <w:rPr>
          <w:rFonts w:cs="Arial"/>
          <w:sz w:val="24"/>
          <w:szCs w:val="24"/>
        </w:rPr>
        <w:t>s</w:t>
      </w:r>
      <w:r w:rsidRPr="0060495E">
        <w:rPr>
          <w:rFonts w:cs="Arial"/>
          <w:sz w:val="24"/>
          <w:szCs w:val="24"/>
        </w:rPr>
        <w:t xml:space="preserve"> by the South African Law reform Commission report on adult prostitution</w:t>
      </w:r>
      <w:r w:rsidR="00946311">
        <w:rPr>
          <w:rFonts w:cs="Arial"/>
          <w:sz w:val="24"/>
          <w:szCs w:val="24"/>
        </w:rPr>
        <w:t>.</w:t>
      </w:r>
    </w:p>
    <w:p w:rsidR="00FD57C7" w:rsidRPr="0060495E" w:rsidRDefault="00FD57C7" w:rsidP="0060495E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>The report by Law reform was released to the public domain on 27 May 2017</w:t>
      </w:r>
      <w:r w:rsidR="00946311">
        <w:rPr>
          <w:rFonts w:cs="Arial"/>
          <w:sz w:val="24"/>
          <w:szCs w:val="24"/>
        </w:rPr>
        <w:t>.</w:t>
      </w:r>
    </w:p>
    <w:p w:rsidR="00074F1E" w:rsidRPr="0060495E" w:rsidRDefault="00FD57C7" w:rsidP="0060495E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 xml:space="preserve">The MPWC decided to host the summit as the majority of the affected critical stakeholders had voiced their dissatisfaction </w:t>
      </w:r>
      <w:r w:rsidR="00074F1E" w:rsidRPr="0060495E">
        <w:rPr>
          <w:rFonts w:cs="Arial"/>
          <w:sz w:val="24"/>
          <w:szCs w:val="24"/>
        </w:rPr>
        <w:t>about</w:t>
      </w:r>
      <w:r w:rsidRPr="0060495E">
        <w:rPr>
          <w:rFonts w:cs="Arial"/>
          <w:sz w:val="24"/>
          <w:szCs w:val="24"/>
        </w:rPr>
        <w:t xml:space="preserve"> the recommendations by the Law reform Commission.</w:t>
      </w:r>
    </w:p>
    <w:p w:rsidR="00074F1E" w:rsidRPr="0060495E" w:rsidRDefault="00074F1E" w:rsidP="0060495E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>The Law reform report recommendations</w:t>
      </w:r>
      <w:r w:rsidR="007E1D20">
        <w:rPr>
          <w:rFonts w:cs="Arial"/>
          <w:sz w:val="24"/>
          <w:szCs w:val="24"/>
        </w:rPr>
        <w:t xml:space="preserve"> are about</w:t>
      </w:r>
      <w:r w:rsidRPr="0060495E">
        <w:rPr>
          <w:rFonts w:cs="Arial"/>
          <w:sz w:val="24"/>
          <w:szCs w:val="24"/>
        </w:rPr>
        <w:t xml:space="preserve"> two legislative</w:t>
      </w:r>
      <w:r w:rsidR="0060495E">
        <w:rPr>
          <w:rFonts w:cs="Arial"/>
          <w:sz w:val="24"/>
          <w:szCs w:val="24"/>
        </w:rPr>
        <w:t xml:space="preserve"> reform</w:t>
      </w:r>
      <w:r w:rsidRPr="0060495E">
        <w:rPr>
          <w:rFonts w:cs="Arial"/>
          <w:sz w:val="24"/>
          <w:szCs w:val="24"/>
        </w:rPr>
        <w:t xml:space="preserve"> </w:t>
      </w:r>
      <w:r w:rsidR="0060495E">
        <w:rPr>
          <w:rFonts w:cs="Arial"/>
          <w:sz w:val="24"/>
          <w:szCs w:val="24"/>
        </w:rPr>
        <w:t>options</w:t>
      </w:r>
      <w:r w:rsidRPr="0060495E">
        <w:rPr>
          <w:rFonts w:cs="Arial"/>
          <w:sz w:val="24"/>
          <w:szCs w:val="24"/>
        </w:rPr>
        <w:t xml:space="preserve">. </w:t>
      </w:r>
    </w:p>
    <w:p w:rsidR="00074F1E" w:rsidRPr="0060495E" w:rsidRDefault="00074F1E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 xml:space="preserve">The first recommended option is partial </w:t>
      </w:r>
      <w:r w:rsidR="0060495E">
        <w:rPr>
          <w:rFonts w:cs="Arial"/>
          <w:sz w:val="24"/>
          <w:szCs w:val="24"/>
        </w:rPr>
        <w:t>criminalisation (buyer</w:t>
      </w:r>
      <w:r w:rsidRPr="0060495E">
        <w:rPr>
          <w:rFonts w:cs="Arial"/>
          <w:sz w:val="24"/>
          <w:szCs w:val="24"/>
        </w:rPr>
        <w:t xml:space="preserve"> cri</w:t>
      </w:r>
      <w:r w:rsidR="00946311">
        <w:rPr>
          <w:rFonts w:cs="Arial"/>
          <w:sz w:val="24"/>
          <w:szCs w:val="24"/>
        </w:rPr>
        <w:t>minalised and not the seller)</w:t>
      </w:r>
      <w:r w:rsidRPr="0060495E">
        <w:rPr>
          <w:rFonts w:cs="Arial"/>
          <w:sz w:val="24"/>
          <w:szCs w:val="24"/>
        </w:rPr>
        <w:t xml:space="preserve">. </w:t>
      </w:r>
    </w:p>
    <w:p w:rsidR="00074F1E" w:rsidRPr="0060495E" w:rsidRDefault="00074F1E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>The second option recommended is continued criminalisation with diversion programmes.</w:t>
      </w:r>
    </w:p>
    <w:p w:rsidR="00074F1E" w:rsidRPr="0060495E" w:rsidRDefault="00074F1E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>The MPWC had planned to host the summit in October/November 2017 and had started with publicising the event, but a number of critical stakeholders pleaded for more time in order to prepare their presentations.</w:t>
      </w:r>
    </w:p>
    <w:p w:rsidR="00074F1E" w:rsidRPr="0060495E" w:rsidRDefault="00946311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agreement was reached </w:t>
      </w:r>
      <w:r w:rsidR="00074F1E" w:rsidRPr="0060495E">
        <w:rPr>
          <w:rFonts w:cs="Arial"/>
          <w:sz w:val="24"/>
          <w:szCs w:val="24"/>
        </w:rPr>
        <w:t>to host the summit in March 2018.</w:t>
      </w:r>
    </w:p>
    <w:p w:rsidR="00074F1E" w:rsidRPr="0060495E" w:rsidRDefault="00074F1E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 xml:space="preserve">In preparation for the </w:t>
      </w:r>
      <w:r w:rsidR="003D78C9" w:rsidRPr="0060495E">
        <w:rPr>
          <w:rFonts w:cs="Arial"/>
          <w:sz w:val="24"/>
          <w:szCs w:val="24"/>
        </w:rPr>
        <w:t>summit</w:t>
      </w:r>
      <w:r w:rsidR="00946311" w:rsidRPr="0060495E">
        <w:rPr>
          <w:rFonts w:cs="Arial"/>
          <w:sz w:val="24"/>
          <w:szCs w:val="24"/>
        </w:rPr>
        <w:t>, media</w:t>
      </w:r>
      <w:r w:rsidRPr="0060495E">
        <w:rPr>
          <w:rFonts w:cs="Arial"/>
          <w:sz w:val="24"/>
          <w:szCs w:val="24"/>
        </w:rPr>
        <w:t xml:space="preserve"> alerts were released to inform everyone interested about the summit.</w:t>
      </w:r>
    </w:p>
    <w:p w:rsidR="00074F1E" w:rsidRPr="0060495E" w:rsidRDefault="00946311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Stakeholders had</w:t>
      </w:r>
      <w:r w:rsidR="00074F1E" w:rsidRPr="0060495E">
        <w:rPr>
          <w:rFonts w:cs="Arial"/>
          <w:sz w:val="24"/>
          <w:szCs w:val="24"/>
        </w:rPr>
        <w:t xml:space="preserve"> to submit their written presentations in advance before the date of the summit.</w:t>
      </w:r>
    </w:p>
    <w:p w:rsidR="00074F1E" w:rsidRPr="0060495E" w:rsidRDefault="00074F1E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sz w:val="24"/>
          <w:szCs w:val="24"/>
        </w:rPr>
        <w:t xml:space="preserve">The MPWC </w:t>
      </w:r>
      <w:r w:rsidR="002B3EE0" w:rsidRPr="0060495E">
        <w:rPr>
          <w:rFonts w:cs="Arial"/>
          <w:sz w:val="24"/>
          <w:szCs w:val="24"/>
        </w:rPr>
        <w:t xml:space="preserve">received </w:t>
      </w:r>
      <w:r w:rsidRPr="0060495E">
        <w:rPr>
          <w:rFonts w:cs="Arial"/>
          <w:sz w:val="24"/>
          <w:szCs w:val="24"/>
        </w:rPr>
        <w:t>62</w:t>
      </w:r>
      <w:r w:rsidR="002B3EE0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written submissions and 32 of them had indicated their availability f</w:t>
      </w: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or verbal representations on the day of</w:t>
      </w:r>
      <w:r w:rsidR="002B3EE0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the summit. </w:t>
      </w:r>
    </w:p>
    <w:p w:rsidR="002B3EE0" w:rsidRPr="0060495E" w:rsidRDefault="003D78C9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On the day of the summit, </w:t>
      </w:r>
      <w:r w:rsidR="002B3EE0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30 stake</w:t>
      </w: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holders were available for oral presentations</w:t>
      </w:r>
      <w:r w:rsidR="002B3EE0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. </w:t>
      </w:r>
    </w:p>
    <w:p w:rsidR="003D78C9" w:rsidRPr="0060495E" w:rsidRDefault="003D78C9" w:rsidP="006049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lastRenderedPageBreak/>
        <w:t>The presentations both written and oral revealed the following:</w:t>
      </w:r>
    </w:p>
    <w:p w:rsidR="003D78C9" w:rsidRPr="0060495E" w:rsidRDefault="003D78C9" w:rsidP="0060495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Thirty seven (37) organisations and/or individuals voiced their support for full decriminalisation of sex work</w:t>
      </w:r>
    </w:p>
    <w:p w:rsidR="003D78C9" w:rsidRPr="0060495E" w:rsidRDefault="003D78C9" w:rsidP="0060495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cs="Arial"/>
          <w:color w:val="auto"/>
          <w:spacing w:val="0"/>
          <w:sz w:val="24"/>
          <w:szCs w:val="24"/>
          <w:lang w:eastAsia="en-US"/>
        </w:rPr>
        <w:t>Fourteen (14) organisations and/or individuals voiced their support for continued crimina</w:t>
      </w:r>
      <w:r w:rsidR="007E1D20">
        <w:rPr>
          <w:rFonts w:cs="Arial"/>
          <w:color w:val="auto"/>
          <w:spacing w:val="0"/>
          <w:sz w:val="24"/>
          <w:szCs w:val="24"/>
          <w:lang w:eastAsia="en-US"/>
        </w:rPr>
        <w:t>lisation.</w:t>
      </w:r>
    </w:p>
    <w:p w:rsidR="003D78C9" w:rsidRPr="0060495E" w:rsidRDefault="003D78C9" w:rsidP="0060495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Six (06) organisations and/or individuals communicated their choice for partial criminalisation</w:t>
      </w:r>
      <w:r w:rsidR="007E1D20">
        <w:rPr>
          <w:rFonts w:cs="Arial"/>
          <w:color w:val="auto"/>
          <w:spacing w:val="0"/>
          <w:sz w:val="24"/>
          <w:szCs w:val="24"/>
          <w:lang w:val="en-GB" w:eastAsia="en-US"/>
        </w:rPr>
        <w:t>.</w:t>
      </w:r>
    </w:p>
    <w:p w:rsidR="003D78C9" w:rsidRPr="0060495E" w:rsidRDefault="003D78C9" w:rsidP="0060495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Three (03) organizations were of the view that criminalisation should be coupled with diversion programmes.</w:t>
      </w:r>
    </w:p>
    <w:p w:rsidR="003D78C9" w:rsidRPr="0060495E" w:rsidRDefault="003D78C9" w:rsidP="0060495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Two (02) stakeholders did not voice any preference in relation to legal model on sex work; instead, they commented on the SALRC report and voiced concern over </w:t>
      </w:r>
      <w:r w:rsidR="007E1D20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the </w:t>
      </w:r>
      <w:r w:rsidR="007E1D20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poor </w:t>
      </w: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quality of the report.</w:t>
      </w:r>
    </w:p>
    <w:p w:rsidR="003D78C9" w:rsidRPr="0060495E" w:rsidRDefault="003D78C9" w:rsidP="0060495E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4"/>
          <w:szCs w:val="24"/>
        </w:rPr>
      </w:pPr>
    </w:p>
    <w:p w:rsidR="002B3EE0" w:rsidRPr="0060495E" w:rsidRDefault="003D78C9" w:rsidP="00604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Before presentations by stakeholders,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the SALRC represented by</w:t>
      </w:r>
      <w:r w:rsidR="002B3EE0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Ms</w:t>
      </w:r>
      <w:r w:rsidR="00CD49C1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</w:t>
      </w:r>
      <w:proofErr w:type="spellStart"/>
      <w:r w:rsidR="00CD49C1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Dale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ne</w:t>
      </w:r>
      <w:proofErr w:type="spellEnd"/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C</w:t>
      </w:r>
      <w:r w:rsidR="00334EFB">
        <w:rPr>
          <w:rFonts w:cs="Arial"/>
          <w:color w:val="auto"/>
          <w:spacing w:val="0"/>
          <w:sz w:val="24"/>
          <w:szCs w:val="24"/>
          <w:lang w:val="en-GB" w:eastAsia="en-US"/>
        </w:rPr>
        <w:t>lark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present</w:t>
      </w:r>
      <w:r w:rsidR="00334EFB">
        <w:rPr>
          <w:rFonts w:cs="Arial"/>
          <w:color w:val="auto"/>
          <w:spacing w:val="0"/>
          <w:sz w:val="24"/>
          <w:szCs w:val="24"/>
          <w:lang w:val="en-GB" w:eastAsia="en-US"/>
        </w:rPr>
        <w:t>ed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a status update in relation to its recommendations. She reported as follows:</w:t>
      </w:r>
    </w:p>
    <w:p w:rsidR="00423B9D" w:rsidRPr="0060495E" w:rsidRDefault="00334EFB" w:rsidP="0060495E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The</w:t>
      </w:r>
      <w:r w:rsidR="00CD49C1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Department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of Justice</w:t>
      </w:r>
      <w:r w:rsidR="00CD49C1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was busy evaluating the recommendations contained in the Project 107 report on adult prostitution. </w:t>
      </w:r>
    </w:p>
    <w:p w:rsidR="007E1D20" w:rsidRDefault="00CD49C1" w:rsidP="007E1D20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T</w:t>
      </w: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>he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Department as part of its eval</w:t>
      </w:r>
      <w:r w:rsidR="00334EFB">
        <w:rPr>
          <w:rFonts w:cs="Arial"/>
          <w:color w:val="auto"/>
          <w:spacing w:val="0"/>
          <w:sz w:val="24"/>
          <w:szCs w:val="24"/>
          <w:lang w:val="en-GB" w:eastAsia="en-US"/>
        </w:rPr>
        <w:t>uation of the Report will</w:t>
      </w:r>
      <w:r w:rsidR="00423B9D"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conduct further</w:t>
      </w:r>
      <w:r w:rsidRPr="0060495E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research, more broad public consultations and more meet</w:t>
      </w:r>
      <w:r w:rsidR="007E1D20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ings with affected stakeholders </w:t>
      </w:r>
      <w:r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>She further advised that the purpose of evaluating the report is to balance current and previous views,</w:t>
      </w:r>
    </w:p>
    <w:p w:rsidR="00CD49C1" w:rsidRPr="007E1D20" w:rsidRDefault="00CD49C1" w:rsidP="007E1D20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jc w:val="both"/>
        <w:rPr>
          <w:rFonts w:cs="Arial"/>
          <w:color w:val="auto"/>
          <w:spacing w:val="0"/>
          <w:sz w:val="24"/>
          <w:szCs w:val="24"/>
          <w:lang w:val="en-GB" w:eastAsia="en-US"/>
        </w:rPr>
      </w:pPr>
      <w:r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</w:t>
      </w:r>
      <w:r w:rsidR="007E1D20"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>A</w:t>
      </w:r>
      <w:r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>nd</w:t>
      </w:r>
      <w:r w:rsidR="007E1D20">
        <w:rPr>
          <w:rFonts w:cs="Arial"/>
          <w:color w:val="auto"/>
          <w:spacing w:val="0"/>
          <w:sz w:val="24"/>
          <w:szCs w:val="24"/>
          <w:lang w:val="en-GB" w:eastAsia="en-US"/>
        </w:rPr>
        <w:t>,</w:t>
      </w:r>
      <w:r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that the Department is planning on opening public consultation</w:t>
      </w:r>
      <w:r w:rsidR="00423B9D"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>s</w:t>
      </w:r>
      <w:r w:rsidRPr="007E1D20">
        <w:rPr>
          <w:rFonts w:cs="Arial"/>
          <w:color w:val="auto"/>
          <w:spacing w:val="0"/>
          <w:sz w:val="24"/>
          <w:szCs w:val="24"/>
          <w:lang w:val="en-GB" w:eastAsia="en-US"/>
        </w:rPr>
        <w:t xml:space="preserve"> on the draft legislative proposal by the second half of year 2018.</w:t>
      </w:r>
    </w:p>
    <w:p w:rsidR="00423B9D" w:rsidRPr="00334EFB" w:rsidRDefault="00423B9D" w:rsidP="00334E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 w:rsidRPr="0060495E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The steering committee had agreed that on the day of the summit, they will just engage with the stakeholders, but the steering committee will</w:t>
      </w:r>
      <w:r w:rsidR="007E1D20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meet at a later stage</w:t>
      </w:r>
      <w:r w:rsidRPr="0060495E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and further engage on what transpired and </w:t>
      </w:r>
      <w:r w:rsidR="00334EFB" w:rsidRPr="0060495E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design</w:t>
      </w:r>
      <w:r w:rsidRPr="0060495E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a way forward.</w:t>
      </w:r>
    </w:p>
    <w:p w:rsidR="00423B9D" w:rsidRPr="00334EFB" w:rsidRDefault="00334EFB" w:rsidP="00334E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Before hosting the summit, there were media reports </w:t>
      </w:r>
      <w:r w:rsidR="007E1D20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about a</w:t>
      </w: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decision to decriminalise sex work by the ANC</w:t>
      </w:r>
      <w:r w:rsidR="00423B9D" w:rsidRPr="0060495E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elective conference</w:t>
      </w:r>
      <w:r w:rsidR="007E1D20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.</w:t>
      </w:r>
    </w:p>
    <w:p w:rsidR="00423B9D" w:rsidRPr="007E1D20" w:rsidRDefault="00423B9D" w:rsidP="007E1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 w:rsidRPr="0060495E">
        <w:rPr>
          <w:rFonts w:cs="Arial"/>
          <w:sz w:val="24"/>
          <w:szCs w:val="24"/>
        </w:rPr>
        <w:t xml:space="preserve">When the summit was </w:t>
      </w:r>
      <w:r w:rsidR="00334EFB" w:rsidRPr="0060495E">
        <w:rPr>
          <w:rFonts w:cs="Arial"/>
          <w:sz w:val="24"/>
          <w:szCs w:val="24"/>
        </w:rPr>
        <w:t>hosted,</w:t>
      </w:r>
      <w:r w:rsidRPr="0060495E">
        <w:rPr>
          <w:rFonts w:cs="Arial"/>
          <w:sz w:val="24"/>
          <w:szCs w:val="24"/>
        </w:rPr>
        <w:t xml:space="preserve"> the Conference resolutions were not yet available</w:t>
      </w:r>
      <w:r w:rsidR="00334EFB">
        <w:rPr>
          <w:rFonts w:cs="Arial"/>
          <w:sz w:val="24"/>
          <w:szCs w:val="24"/>
        </w:rPr>
        <w:t>.</w:t>
      </w:r>
    </w:p>
    <w:p w:rsidR="0060495E" w:rsidRPr="00001677" w:rsidRDefault="00423B9D" w:rsidP="000016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 w:rsidRPr="0060495E">
        <w:rPr>
          <w:rFonts w:cs="Arial"/>
          <w:sz w:val="24"/>
          <w:szCs w:val="24"/>
        </w:rPr>
        <w:t>Now the Confe</w:t>
      </w:r>
      <w:r w:rsidR="0060495E" w:rsidRPr="0060495E">
        <w:rPr>
          <w:rFonts w:cs="Arial"/>
          <w:sz w:val="24"/>
          <w:szCs w:val="24"/>
        </w:rPr>
        <w:t>rence resolutions are available.</w:t>
      </w:r>
    </w:p>
    <w:p w:rsidR="0060495E" w:rsidRPr="0060495E" w:rsidRDefault="0060495E" w:rsidP="006049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color w:val="auto"/>
          <w:spacing w:val="0"/>
          <w:sz w:val="24"/>
          <w:szCs w:val="24"/>
          <w:lang w:val="en-US" w:eastAsia="en-US"/>
        </w:rPr>
      </w:pPr>
      <w:r w:rsidRPr="0060495E">
        <w:rPr>
          <w:rFonts w:cs="Arial"/>
          <w:sz w:val="24"/>
          <w:szCs w:val="24"/>
        </w:rPr>
        <w:t xml:space="preserve">Resolution </w:t>
      </w:r>
      <w:r w:rsidRPr="0060495E">
        <w:rPr>
          <w:rFonts w:eastAsiaTheme="minorHAnsi" w:cs="Arial"/>
          <w:color w:val="auto"/>
          <w:spacing w:val="0"/>
          <w:sz w:val="24"/>
          <w:szCs w:val="24"/>
          <w:lang w:val="en-US" w:eastAsia="en-US"/>
        </w:rPr>
        <w:t>2.28 of the social transformation reads as follows</w:t>
      </w:r>
    </w:p>
    <w:p w:rsidR="0060495E" w:rsidRPr="0060495E" w:rsidRDefault="0060495E" w:rsidP="0060495E">
      <w:pPr>
        <w:pStyle w:val="ListParagraph"/>
        <w:spacing w:line="360" w:lineRule="auto"/>
        <w:rPr>
          <w:rFonts w:eastAsiaTheme="minorHAnsi" w:cs="Arial"/>
          <w:color w:val="auto"/>
          <w:spacing w:val="0"/>
          <w:sz w:val="24"/>
          <w:szCs w:val="24"/>
          <w:lang w:val="en-US" w:eastAsia="en-US"/>
        </w:rPr>
      </w:pPr>
    </w:p>
    <w:p w:rsidR="0060495E" w:rsidRPr="0060495E" w:rsidRDefault="0060495E" w:rsidP="0060495E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color w:val="auto"/>
          <w:spacing w:val="0"/>
          <w:sz w:val="24"/>
          <w:szCs w:val="24"/>
          <w:lang w:val="en-US" w:eastAsia="en-US"/>
        </w:rPr>
      </w:pPr>
      <w:r w:rsidRPr="0060495E">
        <w:rPr>
          <w:rFonts w:eastAsiaTheme="minorHAnsi" w:cs="Arial"/>
          <w:color w:val="auto"/>
          <w:spacing w:val="0"/>
          <w:sz w:val="24"/>
          <w:szCs w:val="24"/>
          <w:lang w:val="en-US" w:eastAsia="en-US"/>
        </w:rPr>
        <w:t xml:space="preserve">        “</w:t>
      </w:r>
      <w:r w:rsidRPr="0060495E">
        <w:rPr>
          <w:rFonts w:eastAsiaTheme="minorHAnsi" w:cs="Arial"/>
          <w:b/>
          <w:i/>
          <w:color w:val="auto"/>
          <w:spacing w:val="0"/>
          <w:sz w:val="24"/>
          <w:szCs w:val="24"/>
          <w:lang w:val="en-US" w:eastAsia="en-US"/>
        </w:rPr>
        <w:t xml:space="preserve">The calls to </w:t>
      </w:r>
      <w:proofErr w:type="spellStart"/>
      <w:r w:rsidRPr="0060495E">
        <w:rPr>
          <w:rFonts w:eastAsiaTheme="minorHAnsi" w:cs="Arial"/>
          <w:b/>
          <w:i/>
          <w:color w:val="auto"/>
          <w:spacing w:val="0"/>
          <w:sz w:val="24"/>
          <w:szCs w:val="24"/>
          <w:lang w:val="en-US" w:eastAsia="en-US"/>
        </w:rPr>
        <w:t>decriminalise</w:t>
      </w:r>
      <w:proofErr w:type="spellEnd"/>
      <w:r w:rsidRPr="0060495E">
        <w:rPr>
          <w:rFonts w:eastAsiaTheme="minorHAnsi" w:cs="Arial"/>
          <w:b/>
          <w:i/>
          <w:color w:val="auto"/>
          <w:spacing w:val="0"/>
          <w:sz w:val="24"/>
          <w:szCs w:val="24"/>
          <w:lang w:val="en-US" w:eastAsia="en-US"/>
        </w:rPr>
        <w:t xml:space="preserve"> Sex work must be subjected to a high level discussion and engagement with relevant multiple stakeholders, and to continue to engage society on this to determine the societal norm. Sex workers must be protected</w:t>
      </w:r>
      <w:r w:rsidRPr="0060495E">
        <w:rPr>
          <w:rFonts w:eastAsiaTheme="minorHAnsi" w:cs="Arial"/>
          <w:color w:val="auto"/>
          <w:spacing w:val="0"/>
          <w:sz w:val="24"/>
          <w:szCs w:val="24"/>
          <w:lang w:val="en-US" w:eastAsia="en-US"/>
        </w:rPr>
        <w:t>.”</w:t>
      </w:r>
    </w:p>
    <w:p w:rsidR="007E1D20" w:rsidRDefault="007E1D20" w:rsidP="007E1D2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</w:p>
    <w:p w:rsidR="007E1D20" w:rsidRDefault="007E1D20" w:rsidP="007E1D2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Way forward</w:t>
      </w:r>
    </w:p>
    <w:p w:rsidR="007E1D20" w:rsidRDefault="007E1D20" w:rsidP="007E1D20">
      <w:p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The steering committee to provide a way forward taking into consideration the following:</w:t>
      </w:r>
    </w:p>
    <w:p w:rsidR="007E1D20" w:rsidRDefault="007E1D20" w:rsidP="007E1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The MPWC was mandated by the women’s parliament resolutions to advocate for the decriminalisation of sex work</w:t>
      </w:r>
    </w:p>
    <w:p w:rsidR="007E1D20" w:rsidRDefault="007E1D20" w:rsidP="007E1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It was then that the MPWC publicly voiced its support for decriminalisation of sex work</w:t>
      </w:r>
    </w:p>
    <w:p w:rsidR="007E1D20" w:rsidRPr="007E1D20" w:rsidRDefault="0041703A" w:rsidP="007E1D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Calibri" w:cs="Arial"/>
          <w:color w:val="000000"/>
          <w:spacing w:val="0"/>
          <w:sz w:val="24"/>
          <w:szCs w:val="24"/>
          <w:lang w:val="en-GB" w:eastAsia="en-US"/>
        </w:rPr>
      </w:pP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The ANC resolution of</w:t>
      </w:r>
      <w:r w:rsidR="007E1D20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sex work</w:t>
      </w: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as reported in the media is not depicted in the </w:t>
      </w:r>
      <w:proofErr w:type="spellStart"/>
      <w:r w:rsidR="007E1D20"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th</w:t>
      </w:r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e</w:t>
      </w:r>
      <w:proofErr w:type="spellEnd"/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 xml:space="preserve"> way the resolution is actual written</w:t>
      </w:r>
      <w:bookmarkStart w:id="0" w:name="_GoBack"/>
      <w:bookmarkEnd w:id="0"/>
      <w:r>
        <w:rPr>
          <w:rFonts w:eastAsia="Calibri" w:cs="Arial"/>
          <w:color w:val="000000"/>
          <w:spacing w:val="0"/>
          <w:sz w:val="24"/>
          <w:szCs w:val="24"/>
          <w:lang w:val="en-GB" w:eastAsia="en-US"/>
        </w:rPr>
        <w:t>.</w:t>
      </w:r>
    </w:p>
    <w:sectPr w:rsidR="007E1D20" w:rsidRPr="007E1D20" w:rsidSect="00D23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2B4"/>
    <w:multiLevelType w:val="hybridMultilevel"/>
    <w:tmpl w:val="5AFE13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5D54"/>
    <w:multiLevelType w:val="hybridMultilevel"/>
    <w:tmpl w:val="75128EE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121F5"/>
    <w:multiLevelType w:val="hybridMultilevel"/>
    <w:tmpl w:val="6122F0E4"/>
    <w:lvl w:ilvl="0" w:tplc="FFDC5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C79"/>
    <w:multiLevelType w:val="hybridMultilevel"/>
    <w:tmpl w:val="D12AB646"/>
    <w:lvl w:ilvl="0" w:tplc="250E0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C674E"/>
    <w:multiLevelType w:val="hybridMultilevel"/>
    <w:tmpl w:val="88407E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C6C1F"/>
    <w:multiLevelType w:val="hybridMultilevel"/>
    <w:tmpl w:val="B650A4BA"/>
    <w:lvl w:ilvl="0" w:tplc="0A1C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E5925"/>
    <w:multiLevelType w:val="hybridMultilevel"/>
    <w:tmpl w:val="687E1E0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434E0"/>
    <w:multiLevelType w:val="hybridMultilevel"/>
    <w:tmpl w:val="B504FAC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044B7C"/>
    <w:multiLevelType w:val="hybridMultilevel"/>
    <w:tmpl w:val="0EAAF63E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CC453C"/>
    <w:multiLevelType w:val="hybridMultilevel"/>
    <w:tmpl w:val="2CE0DA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1293CE">
      <w:start w:val="6"/>
      <w:numFmt w:val="bullet"/>
      <w:lvlText w:val="•"/>
      <w:lvlJc w:val="left"/>
      <w:pPr>
        <w:ind w:left="1875" w:hanging="435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DD5AF9"/>
    <w:multiLevelType w:val="hybridMultilevel"/>
    <w:tmpl w:val="1E3AF542"/>
    <w:lvl w:ilvl="0" w:tplc="390609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53054"/>
    <w:multiLevelType w:val="hybridMultilevel"/>
    <w:tmpl w:val="63AE72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EE0"/>
    <w:rsid w:val="00001677"/>
    <w:rsid w:val="00074F1E"/>
    <w:rsid w:val="00094B44"/>
    <w:rsid w:val="00203DA0"/>
    <w:rsid w:val="002B3EE0"/>
    <w:rsid w:val="00334EFB"/>
    <w:rsid w:val="003D78C9"/>
    <w:rsid w:val="0041703A"/>
    <w:rsid w:val="00423B9D"/>
    <w:rsid w:val="0060495E"/>
    <w:rsid w:val="007E1D20"/>
    <w:rsid w:val="00946311"/>
    <w:rsid w:val="00A955B0"/>
    <w:rsid w:val="00CD49C1"/>
    <w:rsid w:val="00D23F1D"/>
    <w:rsid w:val="00EE27E1"/>
    <w:rsid w:val="00F9739C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E0"/>
    <w:pPr>
      <w:spacing w:before="0" w:after="0"/>
    </w:pPr>
    <w:rPr>
      <w:rFonts w:ascii="Arial" w:eastAsia="Times New Roman" w:hAnsi="Arial" w:cs="Times New Roman"/>
      <w:color w:val="001F00"/>
      <w:spacing w:val="6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E0"/>
    <w:pPr>
      <w:ind w:left="720"/>
      <w:contextualSpacing/>
    </w:pPr>
  </w:style>
  <w:style w:type="paragraph" w:customStyle="1" w:styleId="NormalUpper">
    <w:name w:val="Normal Upper"/>
    <w:basedOn w:val="Normal"/>
    <w:rsid w:val="00A955B0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Tembakazi Mpapela</dc:creator>
  <cp:lastModifiedBy>PUMZA</cp:lastModifiedBy>
  <cp:revision>2</cp:revision>
  <dcterms:created xsi:type="dcterms:W3CDTF">2018-05-02T10:10:00Z</dcterms:created>
  <dcterms:modified xsi:type="dcterms:W3CDTF">2018-05-02T10:10:00Z</dcterms:modified>
</cp:coreProperties>
</file>