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D777" w14:textId="77777777" w:rsidR="00123BA0" w:rsidRPr="00DE53D3" w:rsidRDefault="00DE53D3" w:rsidP="00DE53D3">
      <w:pPr>
        <w:ind w:left="450" w:hanging="450"/>
        <w:jc w:val="both"/>
        <w:rPr>
          <w:rFonts w:ascii="Times New Roman" w:hAnsi="Times New Roman"/>
          <w:b/>
          <w:color w:val="auto"/>
          <w:sz w:val="28"/>
          <w:szCs w:val="28"/>
          <w:lang w:val="en-US"/>
        </w:rPr>
      </w:pPr>
      <w:bookmarkStart w:id="0" w:name="_GoBack"/>
      <w:bookmarkEnd w:id="0"/>
      <w:r w:rsidRPr="00DE53D3">
        <w:rPr>
          <w:rFonts w:ascii="Times New Roman" w:hAnsi="Times New Roman"/>
          <w:b/>
          <w:color w:val="auto"/>
          <w:sz w:val="28"/>
          <w:szCs w:val="28"/>
          <w:lang w:val="en-US"/>
        </w:rPr>
        <w:t>4.</w:t>
      </w:r>
      <w:r w:rsidRPr="00DE53D3">
        <w:rPr>
          <w:rFonts w:ascii="Times New Roman" w:hAnsi="Times New Roman"/>
          <w:b/>
          <w:color w:val="auto"/>
          <w:sz w:val="28"/>
          <w:szCs w:val="28"/>
          <w:lang w:val="en-US"/>
        </w:rPr>
        <w:tab/>
      </w:r>
      <w:r w:rsidR="00422827" w:rsidRPr="00DE53D3">
        <w:rPr>
          <w:rFonts w:ascii="Times New Roman" w:hAnsi="Times New Roman"/>
          <w:b/>
          <w:color w:val="auto"/>
          <w:sz w:val="28"/>
          <w:szCs w:val="28"/>
          <w:lang w:val="en-US"/>
        </w:rPr>
        <w:t>REPORT OF THE PORTFOLIO COMMI</w:t>
      </w:r>
      <w:r w:rsidR="007D5072" w:rsidRPr="00DE53D3">
        <w:rPr>
          <w:rFonts w:ascii="Times New Roman" w:hAnsi="Times New Roman"/>
          <w:b/>
          <w:color w:val="auto"/>
          <w:sz w:val="28"/>
          <w:szCs w:val="28"/>
          <w:lang w:val="en-US"/>
        </w:rPr>
        <w:t xml:space="preserve">TTEE ON HEALTH ON </w:t>
      </w:r>
      <w:r w:rsidR="00814332" w:rsidRPr="00DE53D3">
        <w:rPr>
          <w:rFonts w:ascii="Times New Roman" w:hAnsi="Times New Roman"/>
          <w:b/>
          <w:color w:val="auto"/>
          <w:sz w:val="28"/>
          <w:szCs w:val="28"/>
          <w:lang w:val="en-US"/>
        </w:rPr>
        <w:t xml:space="preserve">THE </w:t>
      </w:r>
      <w:r w:rsidR="00F17F8F" w:rsidRPr="00DE53D3">
        <w:rPr>
          <w:rFonts w:ascii="Times New Roman" w:hAnsi="Times New Roman"/>
          <w:b/>
          <w:color w:val="auto"/>
          <w:sz w:val="28"/>
          <w:szCs w:val="28"/>
          <w:lang w:val="en-US"/>
        </w:rPr>
        <w:t>ANNUAL PERFORMANCE PLAN OF THE DEPARTMENT OF HEALTH, ITS ENT</w:t>
      </w:r>
      <w:r w:rsidR="00E342FE" w:rsidRPr="00DE53D3">
        <w:rPr>
          <w:rFonts w:ascii="Times New Roman" w:hAnsi="Times New Roman"/>
          <w:b/>
          <w:color w:val="auto"/>
          <w:sz w:val="28"/>
          <w:szCs w:val="28"/>
          <w:lang w:val="en-US"/>
        </w:rPr>
        <w:t>I</w:t>
      </w:r>
      <w:r w:rsidR="00F17F8F" w:rsidRPr="00DE53D3">
        <w:rPr>
          <w:rFonts w:ascii="Times New Roman" w:hAnsi="Times New Roman"/>
          <w:b/>
          <w:color w:val="auto"/>
          <w:sz w:val="28"/>
          <w:szCs w:val="28"/>
          <w:lang w:val="en-US"/>
        </w:rPr>
        <w:t>TIES (201</w:t>
      </w:r>
      <w:r w:rsidR="00516A2A" w:rsidRPr="00DE53D3">
        <w:rPr>
          <w:rFonts w:ascii="Times New Roman" w:hAnsi="Times New Roman"/>
          <w:b/>
          <w:color w:val="auto"/>
          <w:sz w:val="28"/>
          <w:szCs w:val="28"/>
          <w:lang w:val="en-US"/>
        </w:rPr>
        <w:t>8</w:t>
      </w:r>
      <w:r w:rsidR="00575DF6" w:rsidRPr="00DE53D3">
        <w:rPr>
          <w:rFonts w:ascii="Times New Roman" w:hAnsi="Times New Roman"/>
          <w:b/>
          <w:color w:val="auto"/>
          <w:sz w:val="28"/>
          <w:szCs w:val="28"/>
          <w:lang w:val="en-US"/>
        </w:rPr>
        <w:t>/1</w:t>
      </w:r>
      <w:r w:rsidR="00516A2A" w:rsidRPr="00DE53D3">
        <w:rPr>
          <w:rFonts w:ascii="Times New Roman" w:hAnsi="Times New Roman"/>
          <w:b/>
          <w:color w:val="auto"/>
          <w:sz w:val="28"/>
          <w:szCs w:val="28"/>
          <w:lang w:val="en-US"/>
        </w:rPr>
        <w:t>9</w:t>
      </w:r>
      <w:r w:rsidR="00575DF6" w:rsidRPr="00DE53D3">
        <w:rPr>
          <w:rFonts w:ascii="Times New Roman" w:hAnsi="Times New Roman"/>
          <w:b/>
          <w:color w:val="auto"/>
          <w:sz w:val="28"/>
          <w:szCs w:val="28"/>
          <w:lang w:val="en-US"/>
        </w:rPr>
        <w:t xml:space="preserve"> </w:t>
      </w:r>
      <w:r w:rsidR="00F17F8F" w:rsidRPr="00DE53D3">
        <w:rPr>
          <w:rFonts w:ascii="Times New Roman" w:hAnsi="Times New Roman"/>
          <w:b/>
          <w:color w:val="auto"/>
          <w:sz w:val="28"/>
          <w:szCs w:val="28"/>
          <w:lang w:val="en-US"/>
        </w:rPr>
        <w:t>-</w:t>
      </w:r>
      <w:r w:rsidR="00575DF6" w:rsidRPr="00DE53D3">
        <w:rPr>
          <w:rFonts w:ascii="Times New Roman" w:hAnsi="Times New Roman"/>
          <w:b/>
          <w:color w:val="auto"/>
          <w:sz w:val="28"/>
          <w:szCs w:val="28"/>
          <w:lang w:val="en-US"/>
        </w:rPr>
        <w:t xml:space="preserve"> </w:t>
      </w:r>
      <w:r w:rsidR="0090344B" w:rsidRPr="00DE53D3">
        <w:rPr>
          <w:rFonts w:ascii="Times New Roman" w:hAnsi="Times New Roman"/>
          <w:b/>
          <w:color w:val="auto"/>
          <w:sz w:val="28"/>
          <w:szCs w:val="28"/>
          <w:lang w:val="en-US"/>
        </w:rPr>
        <w:t>2020</w:t>
      </w:r>
      <w:r w:rsidR="00F17F8F" w:rsidRPr="00DE53D3">
        <w:rPr>
          <w:rFonts w:ascii="Times New Roman" w:hAnsi="Times New Roman"/>
          <w:b/>
          <w:color w:val="auto"/>
          <w:sz w:val="28"/>
          <w:szCs w:val="28"/>
          <w:lang w:val="en-US"/>
        </w:rPr>
        <w:t>/</w:t>
      </w:r>
      <w:r w:rsidR="0090344B" w:rsidRPr="00DE53D3">
        <w:rPr>
          <w:rFonts w:ascii="Times New Roman" w:hAnsi="Times New Roman"/>
          <w:b/>
          <w:color w:val="auto"/>
          <w:sz w:val="28"/>
          <w:szCs w:val="28"/>
          <w:lang w:val="en-US"/>
        </w:rPr>
        <w:t>2021</w:t>
      </w:r>
      <w:r w:rsidR="00F17F8F" w:rsidRPr="00DE53D3">
        <w:rPr>
          <w:rFonts w:ascii="Times New Roman" w:hAnsi="Times New Roman"/>
          <w:b/>
          <w:color w:val="auto"/>
          <w:sz w:val="28"/>
          <w:szCs w:val="28"/>
          <w:lang w:val="en-US"/>
        </w:rPr>
        <w:t xml:space="preserve">) AND </w:t>
      </w:r>
      <w:r w:rsidR="007D5072" w:rsidRPr="00DE53D3">
        <w:rPr>
          <w:rFonts w:ascii="Times New Roman" w:hAnsi="Times New Roman"/>
          <w:b/>
          <w:color w:val="auto"/>
          <w:sz w:val="28"/>
          <w:szCs w:val="28"/>
          <w:lang w:val="en-US"/>
        </w:rPr>
        <w:t>VOTE 16</w:t>
      </w:r>
      <w:r w:rsidR="00814332" w:rsidRPr="00DE53D3">
        <w:rPr>
          <w:rFonts w:ascii="Times New Roman" w:hAnsi="Times New Roman"/>
          <w:b/>
          <w:color w:val="auto"/>
          <w:sz w:val="28"/>
          <w:szCs w:val="28"/>
          <w:lang w:val="en-US"/>
        </w:rPr>
        <w:t>, DATED</w:t>
      </w:r>
      <w:r w:rsidR="00B30378" w:rsidRPr="00DE53D3">
        <w:rPr>
          <w:rFonts w:ascii="Times New Roman" w:hAnsi="Times New Roman"/>
          <w:b/>
          <w:color w:val="auto"/>
          <w:sz w:val="28"/>
          <w:szCs w:val="28"/>
          <w:lang w:val="en-US"/>
        </w:rPr>
        <w:t xml:space="preserve"> </w:t>
      </w:r>
      <w:r w:rsidR="00434631" w:rsidRPr="00DE53D3">
        <w:rPr>
          <w:rFonts w:ascii="Times New Roman" w:hAnsi="Times New Roman"/>
          <w:b/>
          <w:color w:val="auto"/>
          <w:sz w:val="28"/>
          <w:szCs w:val="28"/>
          <w:lang w:val="en-US"/>
        </w:rPr>
        <w:t xml:space="preserve">25 APRIL </w:t>
      </w:r>
      <w:r w:rsidR="0090344B" w:rsidRPr="00DE53D3">
        <w:rPr>
          <w:rFonts w:ascii="Times New Roman" w:hAnsi="Times New Roman"/>
          <w:b/>
          <w:color w:val="auto"/>
          <w:sz w:val="28"/>
          <w:szCs w:val="28"/>
          <w:lang w:val="en-US"/>
        </w:rPr>
        <w:t>2018</w:t>
      </w:r>
    </w:p>
    <w:p w14:paraId="157BBED5" w14:textId="77777777" w:rsidR="007D5F79" w:rsidRPr="0093633A" w:rsidRDefault="007D5F79" w:rsidP="00941E30">
      <w:pPr>
        <w:jc w:val="both"/>
        <w:rPr>
          <w:rFonts w:ascii="Times New Roman" w:hAnsi="Times New Roman"/>
          <w:b/>
          <w:color w:val="auto"/>
          <w:sz w:val="24"/>
          <w:szCs w:val="24"/>
          <w:lang w:val="en-US"/>
        </w:rPr>
      </w:pPr>
    </w:p>
    <w:p w14:paraId="4754B99C" w14:textId="77777777" w:rsidR="00773871" w:rsidRPr="0093633A" w:rsidRDefault="00FF5990">
      <w:pPr>
        <w:autoSpaceDE w:val="0"/>
        <w:autoSpaceDN w:val="0"/>
        <w:adjustRightInd w:val="0"/>
        <w:spacing w:line="360" w:lineRule="auto"/>
        <w:jc w:val="both"/>
        <w:rPr>
          <w:rFonts w:ascii="Times New Roman" w:hAnsi="Times New Roman"/>
          <w:color w:val="auto"/>
          <w:sz w:val="24"/>
          <w:szCs w:val="24"/>
        </w:rPr>
      </w:pPr>
      <w:r w:rsidRPr="0093633A">
        <w:rPr>
          <w:rFonts w:ascii="Times New Roman" w:hAnsi="Times New Roman"/>
          <w:color w:val="auto"/>
          <w:sz w:val="24"/>
          <w:szCs w:val="24"/>
        </w:rPr>
        <w:t>The Portfolio Committ</w:t>
      </w:r>
      <w:r w:rsidR="00613BB6" w:rsidRPr="0093633A">
        <w:rPr>
          <w:rFonts w:ascii="Times New Roman" w:hAnsi="Times New Roman"/>
          <w:color w:val="auto"/>
          <w:sz w:val="24"/>
          <w:szCs w:val="24"/>
        </w:rPr>
        <w:t>ee on Health</w:t>
      </w:r>
      <w:r w:rsidR="00944228" w:rsidRPr="0093633A">
        <w:rPr>
          <w:rFonts w:ascii="Times New Roman" w:hAnsi="Times New Roman"/>
          <w:color w:val="auto"/>
          <w:sz w:val="24"/>
          <w:szCs w:val="24"/>
        </w:rPr>
        <w:t xml:space="preserve"> (the Committee)</w:t>
      </w:r>
      <w:r w:rsidR="00613BB6" w:rsidRPr="0093633A">
        <w:rPr>
          <w:rFonts w:ascii="Times New Roman" w:hAnsi="Times New Roman"/>
          <w:color w:val="auto"/>
          <w:sz w:val="24"/>
          <w:szCs w:val="24"/>
        </w:rPr>
        <w:t xml:space="preserve">, having considered </w:t>
      </w:r>
      <w:r w:rsidR="007D5F79" w:rsidRPr="0093633A">
        <w:rPr>
          <w:rFonts w:ascii="Times New Roman" w:hAnsi="Times New Roman"/>
          <w:color w:val="auto"/>
          <w:sz w:val="24"/>
          <w:szCs w:val="24"/>
        </w:rPr>
        <w:t xml:space="preserve">Budget Vote 16: Health, together with </w:t>
      </w:r>
      <w:r w:rsidR="00613BB6" w:rsidRPr="0093633A">
        <w:rPr>
          <w:rFonts w:ascii="Times New Roman" w:hAnsi="Times New Roman"/>
          <w:color w:val="auto"/>
          <w:sz w:val="24"/>
          <w:szCs w:val="24"/>
        </w:rPr>
        <w:t xml:space="preserve">the </w:t>
      </w:r>
      <w:r w:rsidRPr="0093633A">
        <w:rPr>
          <w:rFonts w:ascii="Times New Roman" w:hAnsi="Times New Roman"/>
          <w:color w:val="auto"/>
          <w:sz w:val="24"/>
          <w:szCs w:val="24"/>
        </w:rPr>
        <w:t>Annual Performance Plan</w:t>
      </w:r>
      <w:r w:rsidR="00D86349" w:rsidRPr="0093633A">
        <w:rPr>
          <w:rFonts w:ascii="Times New Roman" w:hAnsi="Times New Roman"/>
          <w:color w:val="auto"/>
          <w:sz w:val="24"/>
          <w:szCs w:val="24"/>
        </w:rPr>
        <w:t xml:space="preserve"> (APP)</w:t>
      </w:r>
      <w:r w:rsidRPr="0093633A">
        <w:rPr>
          <w:rFonts w:ascii="Times New Roman" w:hAnsi="Times New Roman"/>
          <w:color w:val="auto"/>
          <w:sz w:val="24"/>
          <w:szCs w:val="24"/>
        </w:rPr>
        <w:t xml:space="preserve"> of the Department of Health</w:t>
      </w:r>
      <w:r w:rsidR="00B15F43" w:rsidRPr="0093633A">
        <w:rPr>
          <w:rFonts w:ascii="Times New Roman" w:hAnsi="Times New Roman"/>
          <w:color w:val="auto"/>
          <w:sz w:val="24"/>
          <w:szCs w:val="24"/>
        </w:rPr>
        <w:t xml:space="preserve"> </w:t>
      </w:r>
      <w:r w:rsidR="00E342FE" w:rsidRPr="0093633A">
        <w:rPr>
          <w:rFonts w:ascii="Times New Roman" w:hAnsi="Times New Roman"/>
          <w:color w:val="auto"/>
          <w:sz w:val="24"/>
          <w:szCs w:val="24"/>
        </w:rPr>
        <w:t xml:space="preserve">(the Department) </w:t>
      </w:r>
      <w:r w:rsidR="00B15F43" w:rsidRPr="0093633A">
        <w:rPr>
          <w:rFonts w:ascii="Times New Roman" w:hAnsi="Times New Roman"/>
          <w:color w:val="auto"/>
          <w:sz w:val="24"/>
          <w:szCs w:val="24"/>
        </w:rPr>
        <w:t xml:space="preserve">and </w:t>
      </w:r>
      <w:r w:rsidR="00516A2A" w:rsidRPr="0093633A">
        <w:rPr>
          <w:rFonts w:ascii="Times New Roman" w:hAnsi="Times New Roman"/>
          <w:color w:val="auto"/>
          <w:sz w:val="24"/>
          <w:szCs w:val="24"/>
        </w:rPr>
        <w:t xml:space="preserve">six </w:t>
      </w:r>
      <w:r w:rsidR="00B15F43" w:rsidRPr="0093633A">
        <w:rPr>
          <w:rFonts w:ascii="Times New Roman" w:hAnsi="Times New Roman"/>
          <w:color w:val="auto"/>
          <w:sz w:val="24"/>
          <w:szCs w:val="24"/>
        </w:rPr>
        <w:t>entities (</w:t>
      </w:r>
      <w:r w:rsidR="00516A2A" w:rsidRPr="0093633A">
        <w:rPr>
          <w:rFonts w:ascii="Times New Roman" w:hAnsi="Times New Roman"/>
          <w:color w:val="auto"/>
          <w:sz w:val="24"/>
          <w:szCs w:val="24"/>
        </w:rPr>
        <w:t xml:space="preserve">South African Health Products Regulatory Authority, </w:t>
      </w:r>
      <w:r w:rsidR="00302A94" w:rsidRPr="0093633A">
        <w:rPr>
          <w:rFonts w:ascii="Times New Roman" w:hAnsi="Times New Roman"/>
          <w:color w:val="auto"/>
          <w:sz w:val="24"/>
          <w:szCs w:val="24"/>
        </w:rPr>
        <w:t xml:space="preserve">South African </w:t>
      </w:r>
      <w:r w:rsidR="00613BB6" w:rsidRPr="0093633A">
        <w:rPr>
          <w:rFonts w:ascii="Times New Roman" w:hAnsi="Times New Roman"/>
          <w:color w:val="auto"/>
          <w:sz w:val="24"/>
          <w:szCs w:val="24"/>
        </w:rPr>
        <w:t>Medical Research Council,</w:t>
      </w:r>
      <w:r w:rsidR="00573EA3" w:rsidRPr="0093633A">
        <w:rPr>
          <w:rFonts w:ascii="Times New Roman" w:hAnsi="Times New Roman"/>
          <w:color w:val="auto"/>
          <w:sz w:val="24"/>
          <w:szCs w:val="24"/>
        </w:rPr>
        <w:t xml:space="preserve"> </w:t>
      </w:r>
      <w:r w:rsidR="00516A2A" w:rsidRPr="0093633A">
        <w:rPr>
          <w:rFonts w:ascii="Times New Roman" w:hAnsi="Times New Roman"/>
          <w:color w:val="auto"/>
          <w:sz w:val="24"/>
          <w:szCs w:val="24"/>
        </w:rPr>
        <w:t xml:space="preserve">Office of Health Standards Compliance, Council for Medical Schemes, </w:t>
      </w:r>
      <w:r w:rsidR="00573EA3" w:rsidRPr="0093633A">
        <w:rPr>
          <w:rFonts w:ascii="Times New Roman" w:hAnsi="Times New Roman"/>
          <w:color w:val="auto"/>
          <w:sz w:val="24"/>
          <w:szCs w:val="24"/>
        </w:rPr>
        <w:t>National Health Laboratory Service</w:t>
      </w:r>
      <w:r w:rsidR="00516A2A" w:rsidRPr="0093633A">
        <w:rPr>
          <w:rFonts w:ascii="Times New Roman" w:hAnsi="Times New Roman"/>
          <w:color w:val="auto"/>
          <w:sz w:val="24"/>
          <w:szCs w:val="24"/>
        </w:rPr>
        <w:t xml:space="preserve"> and</w:t>
      </w:r>
      <w:r w:rsidR="00E27877" w:rsidRPr="0093633A">
        <w:rPr>
          <w:rFonts w:ascii="Times New Roman" w:hAnsi="Times New Roman"/>
          <w:color w:val="auto"/>
          <w:sz w:val="24"/>
          <w:szCs w:val="24"/>
        </w:rPr>
        <w:t xml:space="preserve"> the</w:t>
      </w:r>
      <w:r w:rsidR="00516A2A" w:rsidRPr="0093633A">
        <w:rPr>
          <w:rFonts w:ascii="Times New Roman" w:hAnsi="Times New Roman"/>
          <w:color w:val="auto"/>
          <w:sz w:val="24"/>
          <w:szCs w:val="24"/>
        </w:rPr>
        <w:t xml:space="preserve"> Compensation Commissioner for Occupational Diseases),</w:t>
      </w:r>
      <w:r w:rsidRPr="0093633A">
        <w:rPr>
          <w:rFonts w:ascii="Times New Roman" w:hAnsi="Times New Roman"/>
          <w:color w:val="auto"/>
          <w:sz w:val="24"/>
          <w:szCs w:val="24"/>
        </w:rPr>
        <w:t xml:space="preserve"> reports as follows:</w:t>
      </w:r>
    </w:p>
    <w:p w14:paraId="18617369" w14:textId="77777777" w:rsidR="00190806" w:rsidRPr="0093633A" w:rsidRDefault="00190806">
      <w:pPr>
        <w:autoSpaceDE w:val="0"/>
        <w:autoSpaceDN w:val="0"/>
        <w:adjustRightInd w:val="0"/>
        <w:spacing w:line="360" w:lineRule="auto"/>
        <w:jc w:val="both"/>
        <w:rPr>
          <w:rFonts w:ascii="Times New Roman" w:hAnsi="Times New Roman"/>
          <w:color w:val="auto"/>
          <w:sz w:val="24"/>
          <w:szCs w:val="24"/>
        </w:rPr>
      </w:pPr>
    </w:p>
    <w:p w14:paraId="6D953F89" w14:textId="77777777" w:rsidR="00422827" w:rsidRPr="0093633A" w:rsidRDefault="00635C48">
      <w:pPr>
        <w:numPr>
          <w:ilvl w:val="0"/>
          <w:numId w:val="1"/>
        </w:numPr>
        <w:autoSpaceDE w:val="0"/>
        <w:autoSpaceDN w:val="0"/>
        <w:adjustRightInd w:val="0"/>
        <w:spacing w:line="360" w:lineRule="auto"/>
        <w:jc w:val="both"/>
        <w:rPr>
          <w:rFonts w:ascii="Times New Roman" w:hAnsi="Times New Roman"/>
          <w:color w:val="auto"/>
          <w:sz w:val="24"/>
          <w:szCs w:val="24"/>
        </w:rPr>
      </w:pPr>
      <w:r w:rsidRPr="0093633A">
        <w:rPr>
          <w:rFonts w:ascii="Times New Roman" w:hAnsi="Times New Roman"/>
          <w:b/>
          <w:color w:val="auto"/>
          <w:sz w:val="24"/>
          <w:szCs w:val="24"/>
          <w:lang w:val="en-US"/>
        </w:rPr>
        <w:t xml:space="preserve">INTRODUCTION </w:t>
      </w:r>
    </w:p>
    <w:p w14:paraId="11B3540C" w14:textId="77777777" w:rsidR="00B74F4B" w:rsidRPr="0093633A" w:rsidRDefault="00B74F4B">
      <w:pPr>
        <w:pStyle w:val="ListParagraph"/>
        <w:autoSpaceDE w:val="0"/>
        <w:autoSpaceDN w:val="0"/>
        <w:adjustRightInd w:val="0"/>
        <w:spacing w:line="360" w:lineRule="auto"/>
        <w:ind w:left="0"/>
        <w:jc w:val="both"/>
        <w:rPr>
          <w:rFonts w:ascii="Times New Roman" w:hAnsi="Times New Roman"/>
          <w:b/>
          <w:color w:val="auto"/>
          <w:sz w:val="24"/>
          <w:szCs w:val="24"/>
          <w:lang w:val="en-US"/>
        </w:rPr>
      </w:pPr>
    </w:p>
    <w:p w14:paraId="27AC0BC8" w14:textId="77777777" w:rsidR="00176FE0" w:rsidRPr="0093633A" w:rsidRDefault="00CA18EB">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93633A">
        <w:rPr>
          <w:rFonts w:ascii="Times New Roman" w:hAnsi="Times New Roman"/>
          <w:color w:val="auto"/>
          <w:spacing w:val="0"/>
          <w:sz w:val="24"/>
          <w:szCs w:val="24"/>
          <w:lang w:val="en-ZA" w:eastAsia="en-ZA"/>
        </w:rPr>
        <w:t xml:space="preserve">The Constitution of South Africa (Act No. 108 of 1996) recognizes that </w:t>
      </w:r>
      <w:r w:rsidR="00A30E03" w:rsidRPr="0093633A">
        <w:rPr>
          <w:rFonts w:ascii="Times New Roman" w:hAnsi="Times New Roman"/>
          <w:color w:val="auto"/>
          <w:spacing w:val="0"/>
          <w:sz w:val="24"/>
          <w:szCs w:val="24"/>
          <w:lang w:val="en-ZA" w:eastAsia="en-ZA"/>
        </w:rPr>
        <w:t>Parliament</w:t>
      </w:r>
      <w:r w:rsidRPr="0093633A">
        <w:rPr>
          <w:rFonts w:ascii="Times New Roman" w:hAnsi="Times New Roman"/>
          <w:color w:val="auto"/>
          <w:spacing w:val="0"/>
          <w:sz w:val="24"/>
          <w:szCs w:val="24"/>
          <w:lang w:val="en-ZA" w:eastAsia="en-ZA"/>
        </w:rPr>
        <w:t xml:space="preserve"> has an important role to play in overseeing the performance of government departments and public entities. </w:t>
      </w:r>
      <w:r w:rsidR="00FB0E7A">
        <w:rPr>
          <w:rFonts w:ascii="Times New Roman" w:hAnsi="Times New Roman"/>
          <w:color w:val="auto"/>
          <w:spacing w:val="0"/>
          <w:sz w:val="24"/>
          <w:szCs w:val="24"/>
          <w:lang w:val="en-ZA" w:eastAsia="en-ZA"/>
        </w:rPr>
        <w:t>Through</w:t>
      </w:r>
      <w:r w:rsidR="00E27877" w:rsidRPr="0093633A">
        <w:rPr>
          <w:rFonts w:ascii="Times New Roman" w:hAnsi="Times New Roman"/>
          <w:color w:val="auto"/>
          <w:spacing w:val="0"/>
          <w:sz w:val="24"/>
          <w:szCs w:val="24"/>
          <w:lang w:val="en-ZA" w:eastAsia="en-ZA"/>
        </w:rPr>
        <w:t xml:space="preserve"> </w:t>
      </w:r>
      <w:r w:rsidR="00FB0E7A">
        <w:rPr>
          <w:rFonts w:ascii="Times New Roman" w:hAnsi="Times New Roman"/>
          <w:color w:val="auto"/>
          <w:spacing w:val="0"/>
          <w:sz w:val="24"/>
          <w:szCs w:val="24"/>
          <w:lang w:val="en-ZA" w:eastAsia="en-ZA"/>
        </w:rPr>
        <w:t>the review of</w:t>
      </w:r>
      <w:r w:rsidR="00E27877" w:rsidRPr="0093633A">
        <w:rPr>
          <w:rFonts w:ascii="Times New Roman" w:hAnsi="Times New Roman"/>
          <w:color w:val="auto"/>
          <w:spacing w:val="0"/>
          <w:sz w:val="24"/>
          <w:szCs w:val="24"/>
          <w:lang w:val="en-ZA" w:eastAsia="en-ZA"/>
        </w:rPr>
        <w:t xml:space="preserve"> </w:t>
      </w:r>
      <w:r w:rsidR="006516AA" w:rsidRPr="0093633A">
        <w:rPr>
          <w:rFonts w:ascii="Times New Roman" w:hAnsi="Times New Roman"/>
          <w:color w:val="auto"/>
          <w:spacing w:val="0"/>
          <w:sz w:val="24"/>
          <w:szCs w:val="24"/>
          <w:lang w:val="en-ZA" w:eastAsia="en-ZA"/>
        </w:rPr>
        <w:t xml:space="preserve">strategic plans, </w:t>
      </w:r>
      <w:r w:rsidR="00E27877" w:rsidRPr="0093633A">
        <w:rPr>
          <w:rFonts w:ascii="Times New Roman" w:hAnsi="Times New Roman"/>
          <w:color w:val="auto"/>
          <w:spacing w:val="0"/>
          <w:sz w:val="24"/>
          <w:szCs w:val="24"/>
          <w:lang w:val="en-ZA" w:eastAsia="en-ZA"/>
        </w:rPr>
        <w:t>annual</w:t>
      </w:r>
      <w:r w:rsidR="006516AA" w:rsidRPr="0093633A">
        <w:rPr>
          <w:rFonts w:ascii="Times New Roman" w:hAnsi="Times New Roman"/>
          <w:color w:val="auto"/>
          <w:spacing w:val="0"/>
          <w:sz w:val="24"/>
          <w:szCs w:val="24"/>
          <w:lang w:val="en-ZA" w:eastAsia="en-ZA"/>
        </w:rPr>
        <w:t xml:space="preserve"> performance plans, annual budget</w:t>
      </w:r>
      <w:r w:rsidR="00DD204F" w:rsidRPr="0093633A">
        <w:rPr>
          <w:rFonts w:ascii="Times New Roman" w:hAnsi="Times New Roman"/>
          <w:color w:val="auto"/>
          <w:spacing w:val="0"/>
          <w:sz w:val="24"/>
          <w:szCs w:val="24"/>
          <w:lang w:val="en-ZA" w:eastAsia="en-ZA"/>
        </w:rPr>
        <w:t xml:space="preserve"> and medium-term expenditure framework allocation and needs</w:t>
      </w:r>
      <w:r w:rsidR="00E27877" w:rsidRPr="0093633A">
        <w:rPr>
          <w:rFonts w:ascii="Times New Roman" w:hAnsi="Times New Roman"/>
          <w:color w:val="auto"/>
          <w:spacing w:val="0"/>
          <w:sz w:val="24"/>
          <w:szCs w:val="24"/>
          <w:lang w:val="en-ZA" w:eastAsia="en-ZA"/>
        </w:rPr>
        <w:t xml:space="preserve">. </w:t>
      </w:r>
    </w:p>
    <w:p w14:paraId="0E4CACB5" w14:textId="77777777" w:rsidR="00944228" w:rsidRPr="0093633A" w:rsidRDefault="00944228">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p>
    <w:p w14:paraId="2E8A664F" w14:textId="77777777" w:rsidR="00CA18EB" w:rsidRPr="0093633A" w:rsidRDefault="00944228">
      <w:pPr>
        <w:spacing w:line="360" w:lineRule="auto"/>
        <w:jc w:val="both"/>
        <w:rPr>
          <w:rFonts w:ascii="Times New Roman" w:hAnsi="Times New Roman"/>
          <w:color w:val="auto"/>
          <w:spacing w:val="0"/>
          <w:sz w:val="24"/>
          <w:szCs w:val="24"/>
          <w:lang w:val="en-ZA" w:eastAsia="en-ZA"/>
        </w:rPr>
      </w:pPr>
      <w:r w:rsidRPr="0093633A">
        <w:rPr>
          <w:rFonts w:ascii="Times New Roman" w:hAnsi="Times New Roman"/>
          <w:color w:val="auto"/>
          <w:spacing w:val="0"/>
          <w:sz w:val="24"/>
          <w:szCs w:val="24"/>
          <w:lang w:val="en-ZA" w:eastAsia="en-ZA"/>
        </w:rPr>
        <w:t xml:space="preserve">This report </w:t>
      </w:r>
      <w:r w:rsidR="004A5F9C" w:rsidRPr="0093633A">
        <w:rPr>
          <w:rFonts w:ascii="Times New Roman" w:hAnsi="Times New Roman"/>
          <w:color w:val="auto"/>
          <w:spacing w:val="0"/>
          <w:sz w:val="24"/>
          <w:szCs w:val="24"/>
          <w:lang w:val="en-ZA" w:eastAsia="en-ZA"/>
        </w:rPr>
        <w:t>summarises</w:t>
      </w:r>
      <w:r w:rsidRPr="0093633A">
        <w:rPr>
          <w:rFonts w:ascii="Times New Roman" w:hAnsi="Times New Roman"/>
          <w:color w:val="auto"/>
          <w:spacing w:val="0"/>
          <w:sz w:val="24"/>
          <w:szCs w:val="24"/>
          <w:lang w:val="en-ZA" w:eastAsia="en-ZA"/>
        </w:rPr>
        <w:t xml:space="preserve"> </w:t>
      </w:r>
      <w:r w:rsidR="004A5F9C" w:rsidRPr="0093633A">
        <w:rPr>
          <w:rFonts w:ascii="Times New Roman" w:hAnsi="Times New Roman"/>
          <w:color w:val="auto"/>
          <w:spacing w:val="0"/>
          <w:sz w:val="24"/>
          <w:szCs w:val="24"/>
          <w:lang w:val="en-ZA" w:eastAsia="en-ZA"/>
        </w:rPr>
        <w:t>presentations</w:t>
      </w:r>
      <w:r w:rsidR="00F109D6" w:rsidRPr="0093633A">
        <w:rPr>
          <w:rFonts w:ascii="Times New Roman" w:hAnsi="Times New Roman"/>
          <w:color w:val="auto"/>
          <w:spacing w:val="0"/>
          <w:sz w:val="24"/>
          <w:szCs w:val="24"/>
          <w:lang w:val="en-ZA" w:eastAsia="en-ZA"/>
        </w:rPr>
        <w:t xml:space="preserve"> </w:t>
      </w:r>
      <w:r w:rsidR="004A5F9C" w:rsidRPr="0093633A">
        <w:rPr>
          <w:rFonts w:ascii="Times New Roman" w:hAnsi="Times New Roman"/>
          <w:color w:val="auto"/>
          <w:spacing w:val="0"/>
          <w:sz w:val="24"/>
          <w:szCs w:val="24"/>
          <w:lang w:val="en-ZA" w:eastAsia="en-ZA"/>
        </w:rPr>
        <w:t>received from</w:t>
      </w:r>
      <w:r w:rsidRPr="0093633A">
        <w:rPr>
          <w:rFonts w:ascii="Times New Roman" w:hAnsi="Times New Roman"/>
          <w:color w:val="auto"/>
          <w:spacing w:val="0"/>
          <w:sz w:val="24"/>
          <w:szCs w:val="24"/>
          <w:lang w:val="en-ZA" w:eastAsia="en-ZA"/>
        </w:rPr>
        <w:t xml:space="preserve"> the Department</w:t>
      </w:r>
      <w:r w:rsidR="00E27877" w:rsidRPr="0093633A">
        <w:rPr>
          <w:rFonts w:ascii="Times New Roman" w:hAnsi="Times New Roman"/>
          <w:color w:val="auto"/>
          <w:spacing w:val="0"/>
          <w:sz w:val="24"/>
          <w:szCs w:val="24"/>
          <w:lang w:val="en-ZA" w:eastAsia="en-ZA"/>
        </w:rPr>
        <w:t xml:space="preserve"> </w:t>
      </w:r>
      <w:r w:rsidR="004A5F9C" w:rsidRPr="0093633A">
        <w:rPr>
          <w:rFonts w:ascii="Times New Roman" w:hAnsi="Times New Roman"/>
          <w:color w:val="auto"/>
          <w:spacing w:val="0"/>
          <w:sz w:val="24"/>
          <w:szCs w:val="24"/>
          <w:lang w:val="en-ZA" w:eastAsia="en-ZA"/>
        </w:rPr>
        <w:t>and its</w:t>
      </w:r>
      <w:r w:rsidR="00E27877" w:rsidRPr="0093633A">
        <w:rPr>
          <w:rFonts w:ascii="Times New Roman" w:hAnsi="Times New Roman"/>
          <w:color w:val="auto"/>
          <w:spacing w:val="0"/>
          <w:sz w:val="24"/>
          <w:szCs w:val="24"/>
          <w:lang w:val="en-ZA" w:eastAsia="en-ZA"/>
        </w:rPr>
        <w:t xml:space="preserve"> entities</w:t>
      </w:r>
      <w:r w:rsidR="004A5F9C" w:rsidRPr="0093633A">
        <w:rPr>
          <w:rFonts w:ascii="Times New Roman" w:hAnsi="Times New Roman"/>
          <w:color w:val="auto"/>
          <w:spacing w:val="0"/>
          <w:sz w:val="24"/>
          <w:szCs w:val="24"/>
          <w:lang w:val="en-ZA" w:eastAsia="en-ZA"/>
        </w:rPr>
        <w:t>,</w:t>
      </w:r>
      <w:r w:rsidR="00E27877" w:rsidRPr="0093633A">
        <w:rPr>
          <w:rFonts w:ascii="Times New Roman" w:hAnsi="Times New Roman"/>
          <w:color w:val="auto"/>
          <w:spacing w:val="0"/>
          <w:sz w:val="24"/>
          <w:szCs w:val="24"/>
          <w:lang w:val="en-ZA" w:eastAsia="en-ZA"/>
        </w:rPr>
        <w:t xml:space="preserve"> </w:t>
      </w:r>
      <w:r w:rsidR="00BA6445" w:rsidRPr="0093633A">
        <w:rPr>
          <w:rFonts w:ascii="Times New Roman" w:hAnsi="Times New Roman"/>
          <w:color w:val="auto"/>
          <w:spacing w:val="0"/>
          <w:sz w:val="24"/>
          <w:szCs w:val="24"/>
          <w:lang w:val="en-ZA" w:eastAsia="en-ZA"/>
        </w:rPr>
        <w:t xml:space="preserve">focusing </w:t>
      </w:r>
      <w:r w:rsidR="00EB4F85" w:rsidRPr="0093633A">
        <w:rPr>
          <w:rFonts w:ascii="Times New Roman" w:hAnsi="Times New Roman"/>
          <w:color w:val="auto"/>
          <w:spacing w:val="0"/>
          <w:sz w:val="24"/>
          <w:szCs w:val="24"/>
          <w:lang w:val="en-ZA" w:eastAsia="en-ZA"/>
        </w:rPr>
        <w:t>on their</w:t>
      </w:r>
      <w:r w:rsidR="00C603D7" w:rsidRPr="0093633A">
        <w:rPr>
          <w:rFonts w:ascii="Times New Roman" w:hAnsi="Times New Roman"/>
          <w:color w:val="auto"/>
          <w:spacing w:val="0"/>
          <w:sz w:val="24"/>
          <w:szCs w:val="24"/>
          <w:lang w:val="en-ZA" w:eastAsia="en-ZA"/>
        </w:rPr>
        <w:t xml:space="preserve"> </w:t>
      </w:r>
      <w:r w:rsidR="00BA6445" w:rsidRPr="0093633A">
        <w:rPr>
          <w:rFonts w:ascii="Times New Roman" w:hAnsi="Times New Roman"/>
          <w:color w:val="auto"/>
          <w:spacing w:val="0"/>
          <w:sz w:val="24"/>
          <w:szCs w:val="24"/>
          <w:lang w:val="en-ZA" w:eastAsia="en-ZA"/>
        </w:rPr>
        <w:t>201</w:t>
      </w:r>
      <w:r w:rsidR="00516A2A" w:rsidRPr="0093633A">
        <w:rPr>
          <w:rFonts w:ascii="Times New Roman" w:hAnsi="Times New Roman"/>
          <w:color w:val="auto"/>
          <w:spacing w:val="0"/>
          <w:sz w:val="24"/>
          <w:szCs w:val="24"/>
          <w:lang w:val="en-ZA" w:eastAsia="en-ZA"/>
        </w:rPr>
        <w:t>8</w:t>
      </w:r>
      <w:r w:rsidR="00BA6445" w:rsidRPr="0093633A">
        <w:rPr>
          <w:rFonts w:ascii="Times New Roman" w:hAnsi="Times New Roman"/>
          <w:color w:val="auto"/>
          <w:spacing w:val="0"/>
          <w:sz w:val="24"/>
          <w:szCs w:val="24"/>
          <w:lang w:val="en-ZA" w:eastAsia="en-ZA"/>
        </w:rPr>
        <w:t>/1</w:t>
      </w:r>
      <w:r w:rsidR="00516A2A" w:rsidRPr="0093633A">
        <w:rPr>
          <w:rFonts w:ascii="Times New Roman" w:hAnsi="Times New Roman"/>
          <w:color w:val="auto"/>
          <w:spacing w:val="0"/>
          <w:sz w:val="24"/>
          <w:szCs w:val="24"/>
          <w:lang w:val="en-ZA" w:eastAsia="en-ZA"/>
        </w:rPr>
        <w:t>9</w:t>
      </w:r>
      <w:r w:rsidR="00573EA3" w:rsidRPr="0093633A">
        <w:rPr>
          <w:rFonts w:ascii="Times New Roman" w:hAnsi="Times New Roman"/>
          <w:color w:val="auto"/>
          <w:spacing w:val="0"/>
          <w:sz w:val="24"/>
          <w:szCs w:val="24"/>
          <w:lang w:val="en-ZA" w:eastAsia="en-ZA"/>
        </w:rPr>
        <w:t xml:space="preserve"> </w:t>
      </w:r>
      <w:r w:rsidR="00BA6445" w:rsidRPr="0093633A">
        <w:rPr>
          <w:rFonts w:ascii="Times New Roman" w:hAnsi="Times New Roman"/>
          <w:color w:val="auto"/>
          <w:spacing w:val="0"/>
          <w:sz w:val="24"/>
          <w:szCs w:val="24"/>
          <w:lang w:val="en-ZA" w:eastAsia="en-ZA"/>
        </w:rPr>
        <w:t>Annual Performance Plan</w:t>
      </w:r>
      <w:r w:rsidR="00E27877" w:rsidRPr="0093633A">
        <w:rPr>
          <w:rFonts w:ascii="Times New Roman" w:hAnsi="Times New Roman"/>
          <w:color w:val="auto"/>
          <w:spacing w:val="0"/>
          <w:sz w:val="24"/>
          <w:szCs w:val="24"/>
          <w:lang w:val="en-ZA" w:eastAsia="en-ZA"/>
        </w:rPr>
        <w:t>s</w:t>
      </w:r>
      <w:r w:rsidR="00C603D7" w:rsidRPr="0093633A">
        <w:rPr>
          <w:rFonts w:ascii="Times New Roman" w:hAnsi="Times New Roman"/>
          <w:color w:val="auto"/>
          <w:spacing w:val="0"/>
          <w:sz w:val="24"/>
          <w:szCs w:val="24"/>
          <w:lang w:val="en-ZA" w:eastAsia="en-ZA"/>
        </w:rPr>
        <w:t xml:space="preserve"> and Budget</w:t>
      </w:r>
      <w:r w:rsidR="00FB0E7A">
        <w:rPr>
          <w:rFonts w:ascii="Times New Roman" w:hAnsi="Times New Roman"/>
          <w:color w:val="auto"/>
          <w:spacing w:val="0"/>
          <w:sz w:val="24"/>
          <w:szCs w:val="24"/>
          <w:lang w:val="en-ZA" w:eastAsia="en-ZA"/>
        </w:rPr>
        <w:t xml:space="preserve"> as well as</w:t>
      </w:r>
      <w:r w:rsidR="00651B61" w:rsidRPr="0093633A">
        <w:rPr>
          <w:rFonts w:ascii="Times New Roman" w:hAnsi="Times New Roman"/>
          <w:color w:val="auto"/>
          <w:spacing w:val="0"/>
          <w:sz w:val="24"/>
          <w:szCs w:val="24"/>
          <w:lang w:val="en-ZA" w:eastAsia="en-ZA"/>
        </w:rPr>
        <w:t xml:space="preserve"> </w:t>
      </w:r>
      <w:r w:rsidR="00853799" w:rsidRPr="0093633A">
        <w:rPr>
          <w:rFonts w:ascii="Times New Roman" w:hAnsi="Times New Roman"/>
          <w:color w:val="auto"/>
          <w:spacing w:val="0"/>
          <w:sz w:val="24"/>
          <w:szCs w:val="24"/>
          <w:lang w:val="en-ZA" w:eastAsia="en-ZA"/>
        </w:rPr>
        <w:t>allocations</w:t>
      </w:r>
      <w:r w:rsidR="00DD204F" w:rsidRPr="0093633A">
        <w:rPr>
          <w:rFonts w:ascii="Times New Roman" w:hAnsi="Times New Roman"/>
          <w:color w:val="auto"/>
          <w:spacing w:val="0"/>
          <w:sz w:val="24"/>
          <w:szCs w:val="24"/>
          <w:lang w:val="en-ZA" w:eastAsia="en-ZA"/>
        </w:rPr>
        <w:t xml:space="preserve"> </w:t>
      </w:r>
      <w:r w:rsidR="001A0F11" w:rsidRPr="0093633A">
        <w:rPr>
          <w:rFonts w:ascii="Times New Roman" w:hAnsi="Times New Roman"/>
          <w:color w:val="auto"/>
          <w:spacing w:val="0"/>
          <w:sz w:val="24"/>
          <w:szCs w:val="24"/>
          <w:lang w:val="en-ZA" w:eastAsia="en-ZA"/>
        </w:rPr>
        <w:t>over the</w:t>
      </w:r>
      <w:r w:rsidR="004A5F9C" w:rsidRPr="0093633A">
        <w:rPr>
          <w:rFonts w:ascii="Times New Roman" w:hAnsi="Times New Roman"/>
          <w:color w:val="auto"/>
          <w:spacing w:val="0"/>
          <w:sz w:val="24"/>
          <w:szCs w:val="24"/>
          <w:lang w:val="en-ZA" w:eastAsia="en-ZA"/>
        </w:rPr>
        <w:t xml:space="preserve"> </w:t>
      </w:r>
      <w:r w:rsidR="00BA6445" w:rsidRPr="0093633A">
        <w:rPr>
          <w:rFonts w:ascii="Times New Roman" w:hAnsi="Times New Roman"/>
          <w:color w:val="auto"/>
          <w:spacing w:val="0"/>
          <w:sz w:val="24"/>
          <w:szCs w:val="24"/>
          <w:lang w:val="en-ZA" w:eastAsia="en-ZA"/>
        </w:rPr>
        <w:t>MTE</w:t>
      </w:r>
      <w:r w:rsidR="007F2328" w:rsidRPr="0093633A">
        <w:rPr>
          <w:rFonts w:ascii="Times New Roman" w:hAnsi="Times New Roman"/>
          <w:color w:val="auto"/>
          <w:spacing w:val="0"/>
          <w:sz w:val="24"/>
          <w:szCs w:val="24"/>
          <w:lang w:val="en-ZA" w:eastAsia="en-ZA"/>
        </w:rPr>
        <w:t>F</w:t>
      </w:r>
      <w:r w:rsidR="00BA6445" w:rsidRPr="0093633A">
        <w:rPr>
          <w:rFonts w:ascii="Times New Roman" w:hAnsi="Times New Roman"/>
          <w:color w:val="auto"/>
          <w:spacing w:val="0"/>
          <w:sz w:val="24"/>
          <w:szCs w:val="24"/>
          <w:lang w:val="en-ZA" w:eastAsia="en-ZA"/>
        </w:rPr>
        <w:t xml:space="preserve">. </w:t>
      </w:r>
      <w:r w:rsidR="00C3399F" w:rsidRPr="0093633A">
        <w:rPr>
          <w:rFonts w:ascii="Times New Roman" w:hAnsi="Times New Roman"/>
          <w:color w:val="auto"/>
          <w:spacing w:val="0"/>
          <w:sz w:val="24"/>
          <w:szCs w:val="24"/>
          <w:lang w:val="en-ZA" w:eastAsia="en-ZA"/>
        </w:rPr>
        <w:t>In addition</w:t>
      </w:r>
      <w:r w:rsidR="002465EB" w:rsidRPr="0093633A">
        <w:rPr>
          <w:rFonts w:ascii="Times New Roman" w:hAnsi="Times New Roman"/>
          <w:color w:val="auto"/>
          <w:spacing w:val="0"/>
          <w:sz w:val="24"/>
          <w:szCs w:val="24"/>
          <w:lang w:val="en-ZA" w:eastAsia="en-ZA"/>
        </w:rPr>
        <w:t>,</w:t>
      </w:r>
      <w:r w:rsidR="00C3399F" w:rsidRPr="0093633A">
        <w:rPr>
          <w:rFonts w:ascii="Times New Roman" w:hAnsi="Times New Roman"/>
          <w:color w:val="auto"/>
          <w:spacing w:val="0"/>
          <w:sz w:val="24"/>
          <w:szCs w:val="24"/>
          <w:lang w:val="en-ZA" w:eastAsia="en-ZA"/>
        </w:rPr>
        <w:t xml:space="preserve"> the Committee</w:t>
      </w:r>
      <w:r w:rsidR="00D86349" w:rsidRPr="0093633A">
        <w:rPr>
          <w:rFonts w:ascii="Times New Roman" w:hAnsi="Times New Roman"/>
          <w:color w:val="auto"/>
          <w:spacing w:val="0"/>
          <w:sz w:val="24"/>
          <w:szCs w:val="24"/>
          <w:lang w:val="en-ZA" w:eastAsia="en-ZA"/>
        </w:rPr>
        <w:t xml:space="preserve"> </w:t>
      </w:r>
      <w:r w:rsidR="00F109D6" w:rsidRPr="0093633A">
        <w:rPr>
          <w:rFonts w:ascii="Times New Roman" w:hAnsi="Times New Roman"/>
          <w:color w:val="auto"/>
          <w:spacing w:val="0"/>
          <w:sz w:val="24"/>
          <w:szCs w:val="24"/>
          <w:lang w:val="en-ZA" w:eastAsia="en-ZA"/>
        </w:rPr>
        <w:t xml:space="preserve">was </w:t>
      </w:r>
      <w:r w:rsidR="003C32A8">
        <w:rPr>
          <w:rFonts w:ascii="Times New Roman" w:hAnsi="Times New Roman"/>
          <w:color w:val="auto"/>
          <w:spacing w:val="0"/>
          <w:sz w:val="24"/>
          <w:szCs w:val="24"/>
          <w:lang w:val="en-ZA" w:eastAsia="en-ZA"/>
        </w:rPr>
        <w:t xml:space="preserve">also </w:t>
      </w:r>
      <w:r w:rsidR="00F109D6" w:rsidRPr="0093633A">
        <w:rPr>
          <w:rFonts w:ascii="Times New Roman" w:hAnsi="Times New Roman"/>
          <w:color w:val="auto"/>
          <w:spacing w:val="0"/>
          <w:sz w:val="24"/>
          <w:szCs w:val="24"/>
          <w:lang w:val="en-ZA" w:eastAsia="en-ZA"/>
        </w:rPr>
        <w:t xml:space="preserve">briefed by </w:t>
      </w:r>
      <w:r w:rsidR="005A1449" w:rsidRPr="0093633A">
        <w:rPr>
          <w:rFonts w:ascii="Times New Roman" w:hAnsi="Times New Roman"/>
          <w:color w:val="auto"/>
          <w:spacing w:val="0"/>
          <w:sz w:val="24"/>
          <w:szCs w:val="24"/>
          <w:lang w:val="en-ZA" w:eastAsia="en-ZA"/>
        </w:rPr>
        <w:t>the</w:t>
      </w:r>
      <w:r w:rsidR="00BA10A2" w:rsidRPr="0093633A">
        <w:rPr>
          <w:rFonts w:ascii="Times New Roman" w:hAnsi="Times New Roman"/>
          <w:color w:val="auto"/>
          <w:spacing w:val="0"/>
          <w:sz w:val="24"/>
          <w:szCs w:val="24"/>
          <w:lang w:val="en-ZA" w:eastAsia="en-ZA"/>
        </w:rPr>
        <w:t xml:space="preserve"> </w:t>
      </w:r>
      <w:r w:rsidR="00963AE7" w:rsidRPr="0093633A">
        <w:rPr>
          <w:rFonts w:ascii="Times New Roman" w:hAnsi="Times New Roman"/>
          <w:color w:val="auto"/>
          <w:spacing w:val="0"/>
          <w:sz w:val="24"/>
          <w:szCs w:val="24"/>
          <w:lang w:val="en-ZA" w:eastAsia="en-ZA"/>
        </w:rPr>
        <w:t>Auditor General South Africa (AGSA)</w:t>
      </w:r>
      <w:r w:rsidR="00146542">
        <w:rPr>
          <w:rFonts w:ascii="Times New Roman" w:hAnsi="Times New Roman"/>
          <w:color w:val="auto"/>
          <w:spacing w:val="0"/>
          <w:sz w:val="24"/>
          <w:szCs w:val="24"/>
          <w:lang w:val="en-ZA" w:eastAsia="en-ZA"/>
        </w:rPr>
        <w:t xml:space="preserve"> and </w:t>
      </w:r>
      <w:r w:rsidR="00BA10A2" w:rsidRPr="0093633A">
        <w:rPr>
          <w:rFonts w:ascii="Times New Roman" w:hAnsi="Times New Roman"/>
          <w:color w:val="auto"/>
          <w:spacing w:val="0"/>
          <w:sz w:val="24"/>
          <w:szCs w:val="24"/>
          <w:lang w:val="en-ZA" w:eastAsia="en-ZA"/>
        </w:rPr>
        <w:t>Financial and Fiscal Commission</w:t>
      </w:r>
      <w:r w:rsidR="00963AE7" w:rsidRPr="0093633A">
        <w:rPr>
          <w:rFonts w:ascii="Times New Roman" w:hAnsi="Times New Roman"/>
          <w:color w:val="auto"/>
          <w:spacing w:val="0"/>
          <w:sz w:val="24"/>
          <w:szCs w:val="24"/>
          <w:lang w:val="en-ZA" w:eastAsia="en-ZA"/>
        </w:rPr>
        <w:t xml:space="preserve"> (FFC) </w:t>
      </w:r>
      <w:r w:rsidR="00516A2A" w:rsidRPr="0093633A">
        <w:rPr>
          <w:rFonts w:ascii="Times New Roman" w:hAnsi="Times New Roman"/>
          <w:color w:val="auto"/>
          <w:spacing w:val="0"/>
          <w:sz w:val="24"/>
          <w:szCs w:val="24"/>
          <w:lang w:val="en-ZA" w:eastAsia="en-ZA"/>
        </w:rPr>
        <w:t>on</w:t>
      </w:r>
      <w:r w:rsidR="00963AE7" w:rsidRPr="0093633A">
        <w:rPr>
          <w:rFonts w:ascii="Times New Roman" w:hAnsi="Times New Roman"/>
          <w:color w:val="auto"/>
          <w:spacing w:val="0"/>
          <w:sz w:val="24"/>
          <w:szCs w:val="24"/>
          <w:lang w:val="en-ZA" w:eastAsia="en-ZA"/>
        </w:rPr>
        <w:t xml:space="preserve"> their analysis </w:t>
      </w:r>
      <w:r w:rsidR="007F1B7C" w:rsidRPr="0093633A">
        <w:rPr>
          <w:rFonts w:ascii="Times New Roman" w:hAnsi="Times New Roman"/>
          <w:color w:val="auto"/>
          <w:spacing w:val="0"/>
          <w:sz w:val="24"/>
          <w:szCs w:val="24"/>
          <w:lang w:val="en-ZA" w:eastAsia="en-ZA"/>
        </w:rPr>
        <w:t>of</w:t>
      </w:r>
      <w:r w:rsidR="005A1449" w:rsidRPr="0093633A">
        <w:rPr>
          <w:rFonts w:ascii="Times New Roman" w:hAnsi="Times New Roman"/>
          <w:color w:val="auto"/>
          <w:spacing w:val="0"/>
          <w:sz w:val="24"/>
          <w:szCs w:val="24"/>
          <w:lang w:val="en-ZA" w:eastAsia="en-ZA"/>
        </w:rPr>
        <w:t xml:space="preserve"> the </w:t>
      </w:r>
      <w:r w:rsidR="00651B61" w:rsidRPr="0093633A">
        <w:rPr>
          <w:rFonts w:ascii="Times New Roman" w:hAnsi="Times New Roman"/>
          <w:color w:val="auto"/>
          <w:spacing w:val="0"/>
          <w:sz w:val="24"/>
          <w:szCs w:val="24"/>
          <w:lang w:val="en-ZA" w:eastAsia="en-ZA"/>
        </w:rPr>
        <w:t>APP</w:t>
      </w:r>
      <w:r w:rsidR="004A5F9C" w:rsidRPr="0093633A">
        <w:rPr>
          <w:rFonts w:ascii="Times New Roman" w:hAnsi="Times New Roman"/>
          <w:color w:val="auto"/>
          <w:spacing w:val="0"/>
          <w:sz w:val="24"/>
          <w:szCs w:val="24"/>
          <w:lang w:val="en-ZA" w:eastAsia="en-ZA"/>
        </w:rPr>
        <w:t>s</w:t>
      </w:r>
      <w:r w:rsidR="00C3399F" w:rsidRPr="0093633A">
        <w:rPr>
          <w:rFonts w:ascii="Times New Roman" w:hAnsi="Times New Roman"/>
          <w:color w:val="auto"/>
          <w:spacing w:val="0"/>
          <w:sz w:val="24"/>
          <w:szCs w:val="24"/>
          <w:lang w:val="en-ZA" w:eastAsia="en-ZA"/>
        </w:rPr>
        <w:t>. The report details the deliberations</w:t>
      </w:r>
      <w:r w:rsidR="00963AE7" w:rsidRPr="0093633A">
        <w:rPr>
          <w:rFonts w:ascii="Times New Roman" w:hAnsi="Times New Roman"/>
          <w:color w:val="auto"/>
          <w:spacing w:val="0"/>
          <w:sz w:val="24"/>
          <w:szCs w:val="24"/>
          <w:lang w:val="en-ZA" w:eastAsia="en-ZA"/>
        </w:rPr>
        <w:t xml:space="preserve">, </w:t>
      </w:r>
      <w:r w:rsidR="00F109D6" w:rsidRPr="0093633A">
        <w:rPr>
          <w:rFonts w:ascii="Times New Roman" w:hAnsi="Times New Roman"/>
          <w:color w:val="auto"/>
          <w:spacing w:val="0"/>
          <w:sz w:val="24"/>
          <w:szCs w:val="24"/>
          <w:lang w:val="en-ZA" w:eastAsia="en-ZA"/>
        </w:rPr>
        <w:t xml:space="preserve">observations </w:t>
      </w:r>
      <w:r w:rsidR="00C3399F" w:rsidRPr="0093633A">
        <w:rPr>
          <w:rFonts w:ascii="Times New Roman" w:hAnsi="Times New Roman"/>
          <w:color w:val="auto"/>
          <w:spacing w:val="0"/>
          <w:sz w:val="24"/>
          <w:szCs w:val="24"/>
          <w:lang w:val="en-ZA" w:eastAsia="en-ZA"/>
        </w:rPr>
        <w:t>and recommendations made by the Committee relating to V</w:t>
      </w:r>
      <w:r w:rsidR="00BA6445" w:rsidRPr="0093633A">
        <w:rPr>
          <w:rFonts w:ascii="Times New Roman" w:hAnsi="Times New Roman"/>
          <w:color w:val="auto"/>
          <w:spacing w:val="0"/>
          <w:sz w:val="24"/>
          <w:szCs w:val="24"/>
          <w:lang w:val="en-ZA" w:eastAsia="en-ZA"/>
        </w:rPr>
        <w:t>ote</w:t>
      </w:r>
      <w:r w:rsidR="00C3399F" w:rsidRPr="0093633A">
        <w:rPr>
          <w:rFonts w:ascii="Times New Roman" w:hAnsi="Times New Roman"/>
          <w:color w:val="auto"/>
          <w:spacing w:val="0"/>
          <w:sz w:val="24"/>
          <w:szCs w:val="24"/>
          <w:lang w:val="en-ZA" w:eastAsia="en-ZA"/>
        </w:rPr>
        <w:t xml:space="preserve"> 16</w:t>
      </w:r>
      <w:r w:rsidR="00BA10A2" w:rsidRPr="0093633A">
        <w:rPr>
          <w:rFonts w:ascii="Times New Roman" w:hAnsi="Times New Roman"/>
          <w:color w:val="auto"/>
          <w:spacing w:val="0"/>
          <w:sz w:val="24"/>
          <w:szCs w:val="24"/>
          <w:lang w:val="en-ZA" w:eastAsia="en-ZA"/>
        </w:rPr>
        <w:t xml:space="preserve">.  </w:t>
      </w:r>
    </w:p>
    <w:p w14:paraId="0E83B447" w14:textId="77777777" w:rsidR="00437A0B" w:rsidRDefault="00437A0B" w:rsidP="00941E30">
      <w:pPr>
        <w:jc w:val="both"/>
        <w:rPr>
          <w:rFonts w:ascii="Times New Roman" w:hAnsi="Times New Roman"/>
          <w:b/>
          <w:color w:val="auto"/>
          <w:spacing w:val="0"/>
          <w:sz w:val="24"/>
          <w:szCs w:val="24"/>
          <w:lang w:val="en-ZA" w:eastAsia="en-ZA"/>
        </w:rPr>
      </w:pPr>
    </w:p>
    <w:p w14:paraId="6DA7B785" w14:textId="77777777" w:rsidR="00CA18EB" w:rsidRPr="0093633A" w:rsidRDefault="00635C48" w:rsidP="00941E30">
      <w:pPr>
        <w:numPr>
          <w:ilvl w:val="0"/>
          <w:numId w:val="1"/>
        </w:numPr>
        <w:jc w:val="both"/>
        <w:rPr>
          <w:rFonts w:ascii="Times New Roman" w:hAnsi="Times New Roman"/>
          <w:b/>
          <w:color w:val="auto"/>
          <w:spacing w:val="0"/>
          <w:sz w:val="24"/>
          <w:szCs w:val="24"/>
          <w:lang w:val="en-ZA" w:eastAsia="en-ZA"/>
        </w:rPr>
      </w:pPr>
      <w:r w:rsidRPr="0093633A">
        <w:rPr>
          <w:rFonts w:ascii="Times New Roman" w:hAnsi="Times New Roman"/>
          <w:b/>
          <w:color w:val="auto"/>
          <w:spacing w:val="0"/>
          <w:sz w:val="24"/>
          <w:szCs w:val="24"/>
          <w:lang w:val="en-ZA" w:eastAsia="en-ZA"/>
        </w:rPr>
        <w:t xml:space="preserve">CONSIDERATION OF THE ANNUAL PERFORMANCE PLAN AND BUDGET </w:t>
      </w:r>
      <w:r w:rsidR="004676B5" w:rsidRPr="0093633A">
        <w:rPr>
          <w:rFonts w:ascii="Times New Roman" w:hAnsi="Times New Roman"/>
          <w:b/>
          <w:color w:val="auto"/>
          <w:spacing w:val="0"/>
          <w:sz w:val="24"/>
          <w:szCs w:val="24"/>
          <w:lang w:val="en-ZA" w:eastAsia="en-ZA"/>
        </w:rPr>
        <w:t>OF THE DEPARTMENT</w:t>
      </w:r>
    </w:p>
    <w:p w14:paraId="56385E34" w14:textId="77777777" w:rsidR="00CA18EB" w:rsidRPr="0093633A" w:rsidRDefault="00CA18EB" w:rsidP="00941E30">
      <w:pPr>
        <w:jc w:val="both"/>
        <w:rPr>
          <w:rFonts w:ascii="Times New Roman" w:hAnsi="Times New Roman"/>
          <w:b/>
          <w:color w:val="auto"/>
          <w:spacing w:val="0"/>
          <w:sz w:val="24"/>
          <w:szCs w:val="24"/>
          <w:lang w:val="en-ZA" w:eastAsia="en-ZA"/>
        </w:rPr>
      </w:pPr>
    </w:p>
    <w:p w14:paraId="4B82D884" w14:textId="77777777" w:rsidR="00380662" w:rsidRDefault="00BA10A2">
      <w:pPr>
        <w:spacing w:line="360" w:lineRule="auto"/>
        <w:jc w:val="both"/>
        <w:rPr>
          <w:rFonts w:ascii="Times New Roman" w:hAnsi="Times New Roman"/>
          <w:color w:val="auto"/>
          <w:sz w:val="24"/>
          <w:szCs w:val="24"/>
          <w:lang w:val="en-US"/>
        </w:rPr>
      </w:pPr>
      <w:r w:rsidRPr="0093633A">
        <w:rPr>
          <w:rFonts w:ascii="Times New Roman" w:hAnsi="Times New Roman"/>
          <w:color w:val="auto"/>
          <w:sz w:val="24"/>
          <w:szCs w:val="24"/>
          <w:lang w:val="en-US"/>
        </w:rPr>
        <w:t xml:space="preserve">On </w:t>
      </w:r>
      <w:r w:rsidR="00417534" w:rsidRPr="0093633A">
        <w:rPr>
          <w:rFonts w:ascii="Times New Roman" w:hAnsi="Times New Roman"/>
          <w:color w:val="auto"/>
          <w:sz w:val="24"/>
          <w:szCs w:val="24"/>
          <w:lang w:val="en-US"/>
        </w:rPr>
        <w:t xml:space="preserve">19 April 2018, </w:t>
      </w:r>
      <w:r w:rsidRPr="0093633A">
        <w:rPr>
          <w:rFonts w:ascii="Times New Roman" w:hAnsi="Times New Roman"/>
          <w:color w:val="auto"/>
          <w:sz w:val="24"/>
          <w:szCs w:val="24"/>
          <w:lang w:val="en-US"/>
        </w:rPr>
        <w:t xml:space="preserve">the </w:t>
      </w:r>
      <w:r w:rsidR="00963AE7" w:rsidRPr="0093633A">
        <w:rPr>
          <w:rFonts w:ascii="Times New Roman" w:hAnsi="Times New Roman"/>
          <w:color w:val="auto"/>
          <w:sz w:val="24"/>
          <w:szCs w:val="24"/>
          <w:lang w:val="en-US"/>
        </w:rPr>
        <w:t xml:space="preserve">Portfolio Committee engaged </w:t>
      </w:r>
      <w:r w:rsidR="000C551E" w:rsidRPr="0093633A">
        <w:rPr>
          <w:rFonts w:ascii="Times New Roman" w:hAnsi="Times New Roman"/>
          <w:color w:val="auto"/>
          <w:sz w:val="24"/>
          <w:szCs w:val="24"/>
          <w:lang w:val="en-US"/>
        </w:rPr>
        <w:t>the Department</w:t>
      </w:r>
      <w:r w:rsidRPr="0093633A">
        <w:rPr>
          <w:rFonts w:ascii="Times New Roman" w:hAnsi="Times New Roman"/>
          <w:color w:val="auto"/>
          <w:sz w:val="24"/>
          <w:szCs w:val="24"/>
          <w:lang w:val="en-US"/>
        </w:rPr>
        <w:t xml:space="preserve"> </w:t>
      </w:r>
      <w:r w:rsidR="000C551E" w:rsidRPr="0093633A">
        <w:rPr>
          <w:rFonts w:ascii="Times New Roman" w:hAnsi="Times New Roman"/>
          <w:color w:val="auto"/>
          <w:sz w:val="24"/>
          <w:szCs w:val="24"/>
          <w:lang w:val="en-US"/>
        </w:rPr>
        <w:t xml:space="preserve">on </w:t>
      </w:r>
      <w:r w:rsidR="00437A0B" w:rsidRPr="0093633A">
        <w:rPr>
          <w:rFonts w:ascii="Times New Roman" w:hAnsi="Times New Roman"/>
          <w:color w:val="auto"/>
          <w:sz w:val="24"/>
          <w:szCs w:val="24"/>
          <w:lang w:val="en-US"/>
        </w:rPr>
        <w:t xml:space="preserve">its </w:t>
      </w:r>
      <w:r w:rsidR="00F360B0" w:rsidRPr="0093633A">
        <w:rPr>
          <w:rFonts w:ascii="Times New Roman" w:hAnsi="Times New Roman"/>
          <w:color w:val="auto"/>
          <w:sz w:val="24"/>
          <w:szCs w:val="24"/>
          <w:lang w:val="en-US"/>
        </w:rPr>
        <w:t>A</w:t>
      </w:r>
      <w:r w:rsidR="000C551E" w:rsidRPr="0093633A">
        <w:rPr>
          <w:rFonts w:ascii="Times New Roman" w:hAnsi="Times New Roman"/>
          <w:color w:val="auto"/>
          <w:sz w:val="24"/>
          <w:szCs w:val="24"/>
          <w:lang w:val="en-US"/>
        </w:rPr>
        <w:t xml:space="preserve">nnual </w:t>
      </w:r>
      <w:r w:rsidR="00F360B0" w:rsidRPr="0093633A">
        <w:rPr>
          <w:rFonts w:ascii="Times New Roman" w:hAnsi="Times New Roman"/>
          <w:color w:val="auto"/>
          <w:sz w:val="24"/>
          <w:szCs w:val="24"/>
          <w:lang w:val="en-US"/>
        </w:rPr>
        <w:t>P</w:t>
      </w:r>
      <w:r w:rsidR="000C551E" w:rsidRPr="0093633A">
        <w:rPr>
          <w:rFonts w:ascii="Times New Roman" w:hAnsi="Times New Roman"/>
          <w:color w:val="auto"/>
          <w:sz w:val="24"/>
          <w:szCs w:val="24"/>
          <w:lang w:val="en-US"/>
        </w:rPr>
        <w:t xml:space="preserve">erformance </w:t>
      </w:r>
      <w:r w:rsidR="00F360B0" w:rsidRPr="0093633A">
        <w:rPr>
          <w:rFonts w:ascii="Times New Roman" w:hAnsi="Times New Roman"/>
          <w:color w:val="auto"/>
          <w:sz w:val="24"/>
          <w:szCs w:val="24"/>
          <w:lang w:val="en-US"/>
        </w:rPr>
        <w:t>P</w:t>
      </w:r>
      <w:r w:rsidR="000C551E" w:rsidRPr="0093633A">
        <w:rPr>
          <w:rFonts w:ascii="Times New Roman" w:hAnsi="Times New Roman"/>
          <w:color w:val="auto"/>
          <w:sz w:val="24"/>
          <w:szCs w:val="24"/>
          <w:lang w:val="en-US"/>
        </w:rPr>
        <w:t xml:space="preserve">lan and budget </w:t>
      </w:r>
      <w:r w:rsidR="00FF2A6E" w:rsidRPr="0093633A">
        <w:rPr>
          <w:rFonts w:ascii="Times New Roman" w:hAnsi="Times New Roman"/>
          <w:color w:val="auto"/>
          <w:sz w:val="24"/>
          <w:szCs w:val="24"/>
          <w:lang w:val="en-US"/>
        </w:rPr>
        <w:t xml:space="preserve">for </w:t>
      </w:r>
      <w:r w:rsidR="001A12A1" w:rsidRPr="0093633A">
        <w:rPr>
          <w:rFonts w:ascii="Times New Roman" w:hAnsi="Times New Roman"/>
          <w:color w:val="auto"/>
          <w:sz w:val="24"/>
          <w:szCs w:val="24"/>
          <w:lang w:val="en-US"/>
        </w:rPr>
        <w:t>201</w:t>
      </w:r>
      <w:r w:rsidR="001A12A1">
        <w:rPr>
          <w:rFonts w:ascii="Times New Roman" w:hAnsi="Times New Roman"/>
          <w:color w:val="auto"/>
          <w:sz w:val="24"/>
          <w:szCs w:val="24"/>
          <w:lang w:val="en-US"/>
        </w:rPr>
        <w:t>8</w:t>
      </w:r>
      <w:r w:rsidR="00FF2A6E" w:rsidRPr="0093633A">
        <w:rPr>
          <w:rFonts w:ascii="Times New Roman" w:hAnsi="Times New Roman"/>
          <w:color w:val="auto"/>
          <w:sz w:val="24"/>
          <w:szCs w:val="24"/>
          <w:lang w:val="en-US"/>
        </w:rPr>
        <w:t>/1</w:t>
      </w:r>
      <w:r w:rsidR="001A12A1">
        <w:rPr>
          <w:rFonts w:ascii="Times New Roman" w:hAnsi="Times New Roman"/>
          <w:color w:val="auto"/>
          <w:sz w:val="24"/>
          <w:szCs w:val="24"/>
          <w:lang w:val="en-US"/>
        </w:rPr>
        <w:t>9</w:t>
      </w:r>
      <w:r w:rsidR="000C551E" w:rsidRPr="0093633A">
        <w:rPr>
          <w:rFonts w:ascii="Times New Roman" w:hAnsi="Times New Roman"/>
          <w:color w:val="auto"/>
          <w:sz w:val="24"/>
          <w:szCs w:val="24"/>
          <w:lang w:val="en-US"/>
        </w:rPr>
        <w:t xml:space="preserve">.   </w:t>
      </w:r>
      <w:r w:rsidR="006F5D72" w:rsidRPr="0093633A">
        <w:rPr>
          <w:rFonts w:ascii="Times New Roman" w:hAnsi="Times New Roman"/>
          <w:color w:val="auto"/>
          <w:sz w:val="24"/>
          <w:szCs w:val="24"/>
          <w:lang w:val="en-US"/>
        </w:rPr>
        <w:t xml:space="preserve"> </w:t>
      </w:r>
    </w:p>
    <w:p w14:paraId="75B921CE" w14:textId="77777777" w:rsidR="006916B9" w:rsidRDefault="006916B9" w:rsidP="00941E30">
      <w:pPr>
        <w:jc w:val="both"/>
        <w:rPr>
          <w:rFonts w:ascii="Times New Roman" w:hAnsi="Times New Roman"/>
          <w:color w:val="auto"/>
          <w:sz w:val="24"/>
          <w:szCs w:val="24"/>
          <w:lang w:val="en-US"/>
        </w:rPr>
      </w:pPr>
    </w:p>
    <w:p w14:paraId="5A52E494" w14:textId="77777777" w:rsidR="00773871" w:rsidRPr="0093633A" w:rsidRDefault="00635C48" w:rsidP="00941E30">
      <w:pPr>
        <w:numPr>
          <w:ilvl w:val="0"/>
          <w:numId w:val="1"/>
        </w:numPr>
        <w:jc w:val="both"/>
        <w:rPr>
          <w:rFonts w:ascii="Times New Roman" w:hAnsi="Times New Roman"/>
          <w:b/>
          <w:color w:val="auto"/>
          <w:sz w:val="24"/>
          <w:szCs w:val="24"/>
          <w:lang w:val="en-US"/>
        </w:rPr>
      </w:pPr>
      <w:r w:rsidRPr="0093633A">
        <w:rPr>
          <w:rFonts w:ascii="Times New Roman" w:hAnsi="Times New Roman"/>
          <w:b/>
          <w:color w:val="auto"/>
          <w:sz w:val="24"/>
          <w:szCs w:val="24"/>
          <w:lang w:val="en-US"/>
        </w:rPr>
        <w:t xml:space="preserve">OVERVIEW OF THE DEPARTMENT OF HEALTH </w:t>
      </w:r>
    </w:p>
    <w:p w14:paraId="3917EEA3" w14:textId="77777777" w:rsidR="00424476" w:rsidRPr="0093633A" w:rsidRDefault="00424476" w:rsidP="00941E30">
      <w:pPr>
        <w:ind w:left="720"/>
        <w:jc w:val="both"/>
        <w:rPr>
          <w:rFonts w:ascii="Times New Roman" w:hAnsi="Times New Roman"/>
          <w:b/>
          <w:color w:val="auto"/>
          <w:sz w:val="24"/>
          <w:szCs w:val="24"/>
          <w:lang w:val="en-US"/>
        </w:rPr>
      </w:pPr>
    </w:p>
    <w:p w14:paraId="662ABA21" w14:textId="77777777" w:rsidR="00F333AB" w:rsidRPr="0093633A" w:rsidRDefault="00F333AB">
      <w:pPr>
        <w:pStyle w:val="ListParagraph"/>
        <w:autoSpaceDE w:val="0"/>
        <w:autoSpaceDN w:val="0"/>
        <w:adjustRightInd w:val="0"/>
        <w:spacing w:line="360" w:lineRule="auto"/>
        <w:ind w:left="0"/>
        <w:jc w:val="both"/>
        <w:rPr>
          <w:rFonts w:ascii="Times New Roman" w:hAnsi="Times New Roman"/>
          <w:color w:val="auto"/>
          <w:spacing w:val="0"/>
          <w:sz w:val="24"/>
          <w:szCs w:val="24"/>
          <w:lang w:val="en-ZA" w:eastAsia="en-ZA"/>
        </w:rPr>
      </w:pPr>
      <w:r w:rsidRPr="0093633A">
        <w:rPr>
          <w:rFonts w:ascii="Times New Roman" w:hAnsi="Times New Roman"/>
          <w:color w:val="auto"/>
          <w:spacing w:val="0"/>
          <w:sz w:val="24"/>
          <w:szCs w:val="24"/>
          <w:lang w:val="en-ZA" w:eastAsia="en-ZA"/>
        </w:rPr>
        <w:t xml:space="preserve">The Department aims to provide leadership and coordination of health services to promote the health of all people of South Africa through an accessible, caring and high quality health system based on primary health care approach.  The </w:t>
      </w:r>
      <w:r w:rsidR="00E737C6" w:rsidRPr="0093633A">
        <w:rPr>
          <w:rFonts w:ascii="Times New Roman" w:hAnsi="Times New Roman"/>
          <w:color w:val="auto"/>
          <w:spacing w:val="0"/>
          <w:sz w:val="24"/>
          <w:szCs w:val="24"/>
          <w:lang w:val="en-ZA" w:eastAsia="en-ZA"/>
        </w:rPr>
        <w:t>D</w:t>
      </w:r>
      <w:r w:rsidRPr="0093633A">
        <w:rPr>
          <w:rFonts w:ascii="Times New Roman" w:hAnsi="Times New Roman"/>
          <w:color w:val="auto"/>
          <w:spacing w:val="0"/>
          <w:sz w:val="24"/>
          <w:szCs w:val="24"/>
          <w:lang w:val="en-ZA" w:eastAsia="en-ZA"/>
        </w:rPr>
        <w:t xml:space="preserve">epartment derives its </w:t>
      </w:r>
      <w:r w:rsidR="0084718D" w:rsidRPr="0093633A">
        <w:rPr>
          <w:rFonts w:ascii="Times New Roman" w:hAnsi="Times New Roman"/>
          <w:color w:val="auto"/>
          <w:spacing w:val="0"/>
          <w:sz w:val="24"/>
          <w:szCs w:val="24"/>
          <w:lang w:val="en-ZA" w:eastAsia="en-ZA"/>
        </w:rPr>
        <w:t xml:space="preserve">annual </w:t>
      </w:r>
      <w:r w:rsidR="0084718D" w:rsidRPr="0093633A">
        <w:rPr>
          <w:rFonts w:ascii="Times New Roman" w:hAnsi="Times New Roman"/>
          <w:color w:val="auto"/>
          <w:spacing w:val="0"/>
          <w:sz w:val="24"/>
          <w:szCs w:val="24"/>
          <w:lang w:val="en-ZA" w:eastAsia="en-ZA"/>
        </w:rPr>
        <w:lastRenderedPageBreak/>
        <w:t xml:space="preserve">performance plan for </w:t>
      </w:r>
      <w:r w:rsidR="004E2A7C" w:rsidRPr="0093633A">
        <w:rPr>
          <w:rFonts w:ascii="Times New Roman" w:hAnsi="Times New Roman"/>
          <w:color w:val="auto"/>
          <w:spacing w:val="0"/>
          <w:sz w:val="24"/>
          <w:szCs w:val="24"/>
          <w:lang w:val="en-ZA" w:eastAsia="en-ZA"/>
        </w:rPr>
        <w:t>2018</w:t>
      </w:r>
      <w:r w:rsidR="0084718D" w:rsidRPr="0093633A">
        <w:rPr>
          <w:rFonts w:ascii="Times New Roman" w:hAnsi="Times New Roman"/>
          <w:color w:val="auto"/>
          <w:spacing w:val="0"/>
          <w:sz w:val="24"/>
          <w:szCs w:val="24"/>
          <w:lang w:val="en-ZA" w:eastAsia="en-ZA"/>
        </w:rPr>
        <w:t>/</w:t>
      </w:r>
      <w:r w:rsidR="004E2A7C" w:rsidRPr="0093633A">
        <w:rPr>
          <w:rFonts w:ascii="Times New Roman" w:hAnsi="Times New Roman"/>
          <w:color w:val="auto"/>
          <w:spacing w:val="0"/>
          <w:sz w:val="24"/>
          <w:szCs w:val="24"/>
          <w:lang w:val="en-ZA" w:eastAsia="en-ZA"/>
        </w:rPr>
        <w:t xml:space="preserve">19 </w:t>
      </w:r>
      <w:r w:rsidR="0084718D" w:rsidRPr="0093633A">
        <w:rPr>
          <w:rFonts w:ascii="Times New Roman" w:hAnsi="Times New Roman"/>
          <w:color w:val="auto"/>
          <w:spacing w:val="0"/>
          <w:sz w:val="24"/>
          <w:szCs w:val="24"/>
          <w:lang w:val="en-ZA" w:eastAsia="en-ZA"/>
        </w:rPr>
        <w:t>financial year</w:t>
      </w:r>
      <w:r w:rsidRPr="0093633A">
        <w:rPr>
          <w:rFonts w:ascii="Times New Roman" w:hAnsi="Times New Roman"/>
          <w:color w:val="auto"/>
          <w:spacing w:val="0"/>
          <w:sz w:val="24"/>
          <w:szCs w:val="24"/>
          <w:lang w:val="en-ZA" w:eastAsia="en-ZA"/>
        </w:rPr>
        <w:t xml:space="preserve"> from the</w:t>
      </w:r>
      <w:r w:rsidR="001E5733" w:rsidRPr="0093633A">
        <w:rPr>
          <w:rFonts w:ascii="Times New Roman" w:hAnsi="Times New Roman"/>
          <w:color w:val="auto"/>
          <w:spacing w:val="0"/>
          <w:sz w:val="24"/>
          <w:szCs w:val="24"/>
          <w:lang w:val="en-ZA" w:eastAsia="en-ZA"/>
        </w:rPr>
        <w:t xml:space="preserve"> </w:t>
      </w:r>
      <w:r w:rsidR="003C2ABC">
        <w:rPr>
          <w:rFonts w:ascii="Times New Roman" w:hAnsi="Times New Roman"/>
          <w:color w:val="auto"/>
          <w:spacing w:val="0"/>
          <w:sz w:val="24"/>
          <w:szCs w:val="24"/>
          <w:lang w:val="en-ZA" w:eastAsia="en-ZA"/>
        </w:rPr>
        <w:t xml:space="preserve">2018 </w:t>
      </w:r>
      <w:r w:rsidR="001E5733" w:rsidRPr="0093633A">
        <w:rPr>
          <w:rFonts w:ascii="Times New Roman" w:hAnsi="Times New Roman"/>
          <w:color w:val="auto"/>
          <w:spacing w:val="0"/>
          <w:sz w:val="24"/>
          <w:szCs w:val="24"/>
          <w:lang w:val="en-ZA" w:eastAsia="en-ZA"/>
        </w:rPr>
        <w:t>State of the Nation Address (SONA),</w:t>
      </w:r>
      <w:r w:rsidRPr="0093633A">
        <w:rPr>
          <w:rFonts w:ascii="Times New Roman" w:hAnsi="Times New Roman"/>
          <w:color w:val="auto"/>
          <w:spacing w:val="0"/>
          <w:sz w:val="24"/>
          <w:szCs w:val="24"/>
          <w:lang w:val="en-ZA" w:eastAsia="en-ZA"/>
        </w:rPr>
        <w:t xml:space="preserve"> National Development Plan (NDP)</w:t>
      </w:r>
      <w:r w:rsidR="006A2D38" w:rsidRPr="0093633A">
        <w:rPr>
          <w:rFonts w:ascii="Times New Roman" w:hAnsi="Times New Roman"/>
          <w:color w:val="auto"/>
          <w:sz w:val="24"/>
          <w:szCs w:val="24"/>
        </w:rPr>
        <w:t xml:space="preserve"> </w:t>
      </w:r>
      <w:r w:rsidR="006D68AD" w:rsidRPr="0093633A">
        <w:rPr>
          <w:rFonts w:ascii="Times New Roman" w:hAnsi="Times New Roman"/>
          <w:color w:val="auto"/>
          <w:sz w:val="24"/>
          <w:szCs w:val="24"/>
        </w:rPr>
        <w:t>Vision</w:t>
      </w:r>
      <w:r w:rsidR="004C587B" w:rsidRPr="0093633A">
        <w:rPr>
          <w:rFonts w:ascii="Times New Roman" w:hAnsi="Times New Roman"/>
          <w:color w:val="auto"/>
          <w:sz w:val="24"/>
          <w:szCs w:val="24"/>
        </w:rPr>
        <w:t>-</w:t>
      </w:r>
      <w:r w:rsidR="006A2D38" w:rsidRPr="0093633A">
        <w:rPr>
          <w:rFonts w:ascii="Times New Roman" w:hAnsi="Times New Roman"/>
          <w:color w:val="auto"/>
          <w:sz w:val="24"/>
          <w:szCs w:val="24"/>
        </w:rPr>
        <w:t>2030</w:t>
      </w:r>
      <w:r w:rsidRPr="0093633A">
        <w:rPr>
          <w:rFonts w:ascii="Times New Roman" w:hAnsi="Times New Roman"/>
          <w:color w:val="auto"/>
          <w:spacing w:val="0"/>
          <w:sz w:val="24"/>
          <w:szCs w:val="24"/>
          <w:lang w:val="en-ZA" w:eastAsia="en-ZA"/>
        </w:rPr>
        <w:t xml:space="preserve">, </w:t>
      </w:r>
      <w:r w:rsidR="004C587B" w:rsidRPr="0093633A">
        <w:rPr>
          <w:rFonts w:ascii="Times New Roman" w:hAnsi="Times New Roman"/>
          <w:color w:val="auto"/>
          <w:spacing w:val="0"/>
          <w:sz w:val="24"/>
          <w:szCs w:val="24"/>
          <w:lang w:val="en-ZA" w:eastAsia="en-ZA"/>
        </w:rPr>
        <w:t xml:space="preserve">the </w:t>
      </w:r>
      <w:r w:rsidR="00911A7D" w:rsidRPr="0093633A">
        <w:rPr>
          <w:rFonts w:ascii="Times New Roman" w:hAnsi="Times New Roman"/>
          <w:color w:val="auto"/>
          <w:spacing w:val="0"/>
          <w:sz w:val="24"/>
          <w:szCs w:val="24"/>
          <w:lang w:val="en-ZA" w:eastAsia="en-ZA"/>
        </w:rPr>
        <w:t>M</w:t>
      </w:r>
      <w:r w:rsidR="004C587B" w:rsidRPr="0093633A">
        <w:rPr>
          <w:rFonts w:ascii="Times New Roman" w:hAnsi="Times New Roman"/>
          <w:color w:val="auto"/>
          <w:spacing w:val="0"/>
          <w:sz w:val="24"/>
          <w:szCs w:val="24"/>
          <w:lang w:val="en-ZA" w:eastAsia="en-ZA"/>
        </w:rPr>
        <w:t>edium-</w:t>
      </w:r>
      <w:r w:rsidR="00911A7D" w:rsidRPr="0093633A">
        <w:rPr>
          <w:rFonts w:ascii="Times New Roman" w:hAnsi="Times New Roman"/>
          <w:color w:val="auto"/>
          <w:spacing w:val="0"/>
          <w:sz w:val="24"/>
          <w:szCs w:val="24"/>
          <w:lang w:val="en-ZA" w:eastAsia="en-ZA"/>
        </w:rPr>
        <w:t>T</w:t>
      </w:r>
      <w:r w:rsidR="004C587B" w:rsidRPr="0093633A">
        <w:rPr>
          <w:rFonts w:ascii="Times New Roman" w:hAnsi="Times New Roman"/>
          <w:color w:val="auto"/>
          <w:spacing w:val="0"/>
          <w:sz w:val="24"/>
          <w:szCs w:val="24"/>
          <w:lang w:val="en-ZA" w:eastAsia="en-ZA"/>
        </w:rPr>
        <w:t xml:space="preserve">erm </w:t>
      </w:r>
      <w:r w:rsidR="005C140C" w:rsidRPr="0093633A">
        <w:rPr>
          <w:rFonts w:ascii="Times New Roman" w:hAnsi="Times New Roman"/>
          <w:color w:val="auto"/>
          <w:spacing w:val="0"/>
          <w:sz w:val="24"/>
          <w:szCs w:val="24"/>
          <w:lang w:val="en-ZA" w:eastAsia="en-ZA"/>
        </w:rPr>
        <w:t>Strategic</w:t>
      </w:r>
      <w:r w:rsidR="004C587B" w:rsidRPr="0093633A">
        <w:rPr>
          <w:rFonts w:ascii="Times New Roman" w:hAnsi="Times New Roman"/>
          <w:color w:val="auto"/>
          <w:spacing w:val="0"/>
          <w:sz w:val="24"/>
          <w:szCs w:val="24"/>
          <w:lang w:val="en-ZA" w:eastAsia="en-ZA"/>
        </w:rPr>
        <w:t xml:space="preserve"> </w:t>
      </w:r>
      <w:r w:rsidR="00911A7D" w:rsidRPr="0093633A">
        <w:rPr>
          <w:rFonts w:ascii="Times New Roman" w:hAnsi="Times New Roman"/>
          <w:color w:val="auto"/>
          <w:spacing w:val="0"/>
          <w:sz w:val="24"/>
          <w:szCs w:val="24"/>
          <w:lang w:val="en-ZA" w:eastAsia="en-ZA"/>
        </w:rPr>
        <w:t>F</w:t>
      </w:r>
      <w:r w:rsidR="004C587B" w:rsidRPr="0093633A">
        <w:rPr>
          <w:rFonts w:ascii="Times New Roman" w:hAnsi="Times New Roman"/>
          <w:color w:val="auto"/>
          <w:spacing w:val="0"/>
          <w:sz w:val="24"/>
          <w:szCs w:val="24"/>
          <w:lang w:val="en-ZA" w:eastAsia="en-ZA"/>
        </w:rPr>
        <w:t>ramework</w:t>
      </w:r>
      <w:r w:rsidR="007A1EFE" w:rsidRPr="0093633A">
        <w:rPr>
          <w:rFonts w:ascii="Times New Roman" w:hAnsi="Times New Roman"/>
          <w:color w:val="auto"/>
          <w:spacing w:val="0"/>
          <w:sz w:val="24"/>
          <w:szCs w:val="24"/>
          <w:lang w:val="en-ZA" w:eastAsia="en-ZA"/>
        </w:rPr>
        <w:t xml:space="preserve"> (2014-2019)</w:t>
      </w:r>
      <w:r w:rsidR="004C587B" w:rsidRPr="0093633A">
        <w:rPr>
          <w:rFonts w:ascii="Times New Roman" w:hAnsi="Times New Roman"/>
          <w:color w:val="auto"/>
          <w:spacing w:val="0"/>
          <w:sz w:val="24"/>
          <w:szCs w:val="24"/>
          <w:lang w:val="en-ZA" w:eastAsia="en-ZA"/>
        </w:rPr>
        <w:t>,</w:t>
      </w:r>
      <w:r w:rsidR="00911A7D" w:rsidRPr="0093633A">
        <w:rPr>
          <w:rFonts w:ascii="Times New Roman" w:hAnsi="Times New Roman"/>
          <w:color w:val="auto"/>
          <w:spacing w:val="0"/>
          <w:sz w:val="24"/>
          <w:szCs w:val="24"/>
          <w:lang w:val="en-ZA" w:eastAsia="en-ZA"/>
        </w:rPr>
        <w:t xml:space="preserve"> </w:t>
      </w:r>
      <w:r w:rsidRPr="0093633A">
        <w:rPr>
          <w:rFonts w:ascii="Times New Roman" w:hAnsi="Times New Roman"/>
          <w:color w:val="auto"/>
          <w:spacing w:val="0"/>
          <w:sz w:val="24"/>
          <w:szCs w:val="24"/>
          <w:lang w:val="en-ZA" w:eastAsia="en-ZA"/>
        </w:rPr>
        <w:t>the Minister of Finance budget speech</w:t>
      </w:r>
      <w:r w:rsidR="00C5513F" w:rsidRPr="0093633A">
        <w:rPr>
          <w:rFonts w:ascii="Times New Roman" w:hAnsi="Times New Roman"/>
          <w:color w:val="auto"/>
          <w:spacing w:val="0"/>
          <w:sz w:val="24"/>
          <w:szCs w:val="24"/>
          <w:lang w:val="en-ZA" w:eastAsia="en-ZA"/>
        </w:rPr>
        <w:t xml:space="preserve"> (201</w:t>
      </w:r>
      <w:r w:rsidR="00417534" w:rsidRPr="0093633A">
        <w:rPr>
          <w:rFonts w:ascii="Times New Roman" w:hAnsi="Times New Roman"/>
          <w:color w:val="auto"/>
          <w:spacing w:val="0"/>
          <w:sz w:val="24"/>
          <w:szCs w:val="24"/>
          <w:lang w:val="en-ZA" w:eastAsia="en-ZA"/>
        </w:rPr>
        <w:t>8</w:t>
      </w:r>
      <w:r w:rsidR="00C5513F" w:rsidRPr="0093633A">
        <w:rPr>
          <w:rFonts w:ascii="Times New Roman" w:hAnsi="Times New Roman"/>
          <w:color w:val="auto"/>
          <w:spacing w:val="0"/>
          <w:sz w:val="24"/>
          <w:szCs w:val="24"/>
          <w:lang w:val="en-ZA" w:eastAsia="en-ZA"/>
        </w:rPr>
        <w:t>)</w:t>
      </w:r>
      <w:r w:rsidR="00245D22" w:rsidRPr="0093633A">
        <w:rPr>
          <w:rFonts w:ascii="Times New Roman" w:hAnsi="Times New Roman"/>
          <w:color w:val="auto"/>
          <w:spacing w:val="0"/>
          <w:sz w:val="24"/>
          <w:szCs w:val="24"/>
          <w:lang w:val="en-ZA" w:eastAsia="en-ZA"/>
        </w:rPr>
        <w:t xml:space="preserve"> and</w:t>
      </w:r>
      <w:r w:rsidR="001E5733" w:rsidRPr="0093633A">
        <w:rPr>
          <w:rFonts w:ascii="Times New Roman" w:hAnsi="Times New Roman"/>
          <w:color w:val="auto"/>
          <w:spacing w:val="0"/>
          <w:sz w:val="24"/>
          <w:szCs w:val="24"/>
          <w:lang w:val="en-ZA" w:eastAsia="en-ZA"/>
        </w:rPr>
        <w:t xml:space="preserve"> the Department’s </w:t>
      </w:r>
      <w:r w:rsidR="00C5513F" w:rsidRPr="0093633A">
        <w:rPr>
          <w:rFonts w:ascii="Times New Roman" w:hAnsi="Times New Roman"/>
          <w:color w:val="auto"/>
          <w:spacing w:val="0"/>
          <w:sz w:val="24"/>
          <w:szCs w:val="24"/>
          <w:lang w:val="en-ZA" w:eastAsia="en-ZA"/>
        </w:rPr>
        <w:t xml:space="preserve">planned </w:t>
      </w:r>
      <w:r w:rsidR="001E5733" w:rsidRPr="0093633A">
        <w:rPr>
          <w:rFonts w:ascii="Times New Roman" w:hAnsi="Times New Roman"/>
          <w:color w:val="auto"/>
          <w:spacing w:val="0"/>
          <w:sz w:val="24"/>
          <w:szCs w:val="24"/>
          <w:lang w:val="en-ZA" w:eastAsia="en-ZA"/>
        </w:rPr>
        <w:t>policy initiatives</w:t>
      </w:r>
      <w:r w:rsidR="00245D22" w:rsidRPr="0093633A">
        <w:rPr>
          <w:rFonts w:ascii="Times New Roman" w:hAnsi="Times New Roman"/>
          <w:color w:val="auto"/>
          <w:spacing w:val="0"/>
          <w:sz w:val="24"/>
          <w:szCs w:val="24"/>
          <w:lang w:val="en-ZA" w:eastAsia="en-ZA"/>
        </w:rPr>
        <w:t xml:space="preserve"> </w:t>
      </w:r>
      <w:r w:rsidR="00C5513F" w:rsidRPr="0093633A">
        <w:rPr>
          <w:rFonts w:ascii="Times New Roman" w:hAnsi="Times New Roman"/>
          <w:color w:val="auto"/>
          <w:spacing w:val="0"/>
          <w:sz w:val="24"/>
          <w:szCs w:val="24"/>
          <w:lang w:val="en-ZA" w:eastAsia="en-ZA"/>
        </w:rPr>
        <w:t xml:space="preserve">and </w:t>
      </w:r>
      <w:r w:rsidR="00245D22" w:rsidRPr="0093633A">
        <w:rPr>
          <w:rFonts w:ascii="Times New Roman" w:hAnsi="Times New Roman"/>
          <w:color w:val="auto"/>
          <w:spacing w:val="0"/>
          <w:sz w:val="24"/>
          <w:szCs w:val="24"/>
          <w:lang w:val="en-ZA" w:eastAsia="en-ZA"/>
        </w:rPr>
        <w:t>other relevant policies</w:t>
      </w:r>
      <w:r w:rsidRPr="0093633A">
        <w:rPr>
          <w:rFonts w:ascii="Times New Roman" w:hAnsi="Times New Roman"/>
          <w:color w:val="auto"/>
          <w:spacing w:val="0"/>
          <w:sz w:val="24"/>
          <w:szCs w:val="24"/>
          <w:lang w:val="en-ZA" w:eastAsia="en-ZA"/>
        </w:rPr>
        <w:t>.</w:t>
      </w:r>
      <w:r w:rsidR="006D68AD" w:rsidRPr="0093633A">
        <w:rPr>
          <w:rFonts w:ascii="Times New Roman" w:hAnsi="Times New Roman"/>
          <w:color w:val="auto"/>
          <w:spacing w:val="0"/>
          <w:sz w:val="24"/>
          <w:szCs w:val="24"/>
          <w:lang w:val="en-ZA" w:eastAsia="en-ZA"/>
        </w:rPr>
        <w:t xml:space="preserve"> </w:t>
      </w:r>
    </w:p>
    <w:p w14:paraId="103378CE" w14:textId="77777777" w:rsidR="00B010F9" w:rsidRPr="00085BAF" w:rsidRDefault="00B010F9" w:rsidP="00941E30">
      <w:pPr>
        <w:jc w:val="both"/>
        <w:rPr>
          <w:rFonts w:ascii="Times New Roman" w:hAnsi="Times New Roman"/>
          <w:color w:val="auto"/>
          <w:spacing w:val="0"/>
          <w:sz w:val="24"/>
          <w:szCs w:val="24"/>
          <w:lang w:eastAsia="en-ZA"/>
        </w:rPr>
      </w:pPr>
    </w:p>
    <w:p w14:paraId="21AE3122" w14:textId="77777777" w:rsidR="00B067C3" w:rsidRPr="0093633A" w:rsidRDefault="00C36539" w:rsidP="00085BAF">
      <w:pPr>
        <w:rPr>
          <w:rFonts w:ascii="Times New Roman" w:hAnsi="Times New Roman"/>
          <w:b/>
          <w:color w:val="auto"/>
          <w:sz w:val="24"/>
          <w:szCs w:val="24"/>
        </w:rPr>
      </w:pPr>
      <w:r w:rsidRPr="0093633A">
        <w:rPr>
          <w:rFonts w:ascii="Times New Roman" w:hAnsi="Times New Roman"/>
          <w:b/>
          <w:color w:val="auto"/>
          <w:sz w:val="24"/>
          <w:szCs w:val="24"/>
        </w:rPr>
        <w:t xml:space="preserve">3.1. </w:t>
      </w:r>
      <w:r w:rsidR="00B067C3" w:rsidRPr="0093633A">
        <w:rPr>
          <w:rFonts w:ascii="Times New Roman" w:hAnsi="Times New Roman"/>
          <w:b/>
          <w:color w:val="auto"/>
          <w:sz w:val="24"/>
          <w:szCs w:val="24"/>
        </w:rPr>
        <w:tab/>
      </w:r>
      <w:r w:rsidR="000E6F5E" w:rsidRPr="0093633A">
        <w:rPr>
          <w:rFonts w:ascii="Times New Roman" w:hAnsi="Times New Roman"/>
          <w:b/>
          <w:color w:val="auto"/>
          <w:sz w:val="24"/>
          <w:szCs w:val="24"/>
        </w:rPr>
        <w:t>Department of Health Planned</w:t>
      </w:r>
      <w:r w:rsidR="00B067C3" w:rsidRPr="0093633A">
        <w:rPr>
          <w:rFonts w:ascii="Times New Roman" w:hAnsi="Times New Roman"/>
          <w:b/>
          <w:color w:val="auto"/>
          <w:sz w:val="24"/>
          <w:szCs w:val="24"/>
        </w:rPr>
        <w:t xml:space="preserve"> Policy Initiative</w:t>
      </w:r>
      <w:r w:rsidR="00A23551" w:rsidRPr="0093633A">
        <w:rPr>
          <w:rFonts w:ascii="Times New Roman" w:hAnsi="Times New Roman"/>
          <w:b/>
          <w:color w:val="auto"/>
          <w:sz w:val="24"/>
          <w:szCs w:val="24"/>
        </w:rPr>
        <w:t>s</w:t>
      </w:r>
    </w:p>
    <w:p w14:paraId="329FA4F8" w14:textId="77777777" w:rsidR="000E6F5E" w:rsidRPr="00941E30" w:rsidRDefault="000E6F5E" w:rsidP="00085BAF">
      <w:pPr>
        <w:rPr>
          <w:rFonts w:ascii="Times New Roman" w:hAnsi="Times New Roman"/>
          <w:bCs/>
          <w:sz w:val="24"/>
        </w:rPr>
      </w:pPr>
    </w:p>
    <w:p w14:paraId="318879BD" w14:textId="77777777" w:rsidR="000E6F5E" w:rsidRDefault="000E6F5E" w:rsidP="00941E30">
      <w:pPr>
        <w:spacing w:line="360" w:lineRule="auto"/>
        <w:rPr>
          <w:rFonts w:ascii="Times New Roman" w:hAnsi="Times New Roman"/>
          <w:bCs/>
          <w:sz w:val="24"/>
        </w:rPr>
      </w:pPr>
      <w:r w:rsidRPr="00941E30">
        <w:rPr>
          <w:rFonts w:ascii="Times New Roman" w:hAnsi="Times New Roman"/>
          <w:bCs/>
          <w:sz w:val="24"/>
        </w:rPr>
        <w:t>The key policy priorities of the Department include the following:</w:t>
      </w:r>
    </w:p>
    <w:p w14:paraId="5BB3119D" w14:textId="77777777" w:rsidR="003A0B31" w:rsidRDefault="003A0B31">
      <w:pPr>
        <w:rPr>
          <w:rFonts w:ascii="Times New Roman" w:hAnsi="Times New Roman"/>
          <w:bCs/>
          <w:sz w:val="24"/>
        </w:rPr>
      </w:pPr>
    </w:p>
    <w:p w14:paraId="7FB79896" w14:textId="77777777" w:rsidR="00E377CA" w:rsidRDefault="000E6F5E" w:rsidP="009845AF">
      <w:pPr>
        <w:numPr>
          <w:ilvl w:val="0"/>
          <w:numId w:val="13"/>
        </w:numPr>
        <w:spacing w:line="360" w:lineRule="auto"/>
        <w:jc w:val="both"/>
        <w:rPr>
          <w:rFonts w:ascii="Times New Roman" w:hAnsi="Times New Roman"/>
          <w:bCs/>
          <w:sz w:val="24"/>
        </w:rPr>
      </w:pPr>
      <w:r w:rsidRPr="00607541">
        <w:rPr>
          <w:rFonts w:ascii="Times New Roman" w:hAnsi="Times New Roman"/>
          <w:b/>
          <w:bCs/>
          <w:sz w:val="24"/>
        </w:rPr>
        <w:t>Implementation of the National Health Insurance (NHI).</w:t>
      </w:r>
      <w:r w:rsidRPr="00607541">
        <w:rPr>
          <w:rFonts w:ascii="Times New Roman" w:hAnsi="Times New Roman"/>
          <w:bCs/>
          <w:sz w:val="24"/>
        </w:rPr>
        <w:t xml:space="preserve"> The first phase of a 5-year preparatory work plan to improve health systems performance</w:t>
      </w:r>
      <w:r w:rsidR="00CA26D1" w:rsidRPr="0064345E">
        <w:rPr>
          <w:rFonts w:ascii="Times New Roman" w:hAnsi="Times New Roman"/>
          <w:bCs/>
          <w:sz w:val="24"/>
        </w:rPr>
        <w:t>, interventions to</w:t>
      </w:r>
      <w:r w:rsidRPr="00607541">
        <w:rPr>
          <w:rFonts w:ascii="Times New Roman" w:hAnsi="Times New Roman"/>
          <w:bCs/>
          <w:sz w:val="24"/>
        </w:rPr>
        <w:t xml:space="preserve"> improve service delivery</w:t>
      </w:r>
      <w:r w:rsidR="00CA26D1" w:rsidRPr="00607541">
        <w:rPr>
          <w:rFonts w:ascii="Times New Roman" w:hAnsi="Times New Roman"/>
          <w:bCs/>
          <w:sz w:val="24"/>
        </w:rPr>
        <w:t xml:space="preserve"> and provision,</w:t>
      </w:r>
      <w:r w:rsidRPr="00607541">
        <w:rPr>
          <w:rFonts w:ascii="Times New Roman" w:hAnsi="Times New Roman"/>
          <w:bCs/>
          <w:sz w:val="24"/>
        </w:rPr>
        <w:t xml:space="preserve"> has been implemented</w:t>
      </w:r>
      <w:r w:rsidR="00CA26D1" w:rsidRPr="00607541">
        <w:rPr>
          <w:rFonts w:ascii="Times New Roman" w:hAnsi="Times New Roman"/>
          <w:bCs/>
          <w:sz w:val="24"/>
        </w:rPr>
        <w:t xml:space="preserve"> at all levels of the health system</w:t>
      </w:r>
      <w:r w:rsidRPr="00607541">
        <w:rPr>
          <w:rFonts w:ascii="Times New Roman" w:hAnsi="Times New Roman"/>
          <w:bCs/>
          <w:sz w:val="24"/>
        </w:rPr>
        <w:t xml:space="preserve">. </w:t>
      </w:r>
    </w:p>
    <w:p w14:paraId="4165A98E" w14:textId="77777777" w:rsidR="00607541" w:rsidRPr="00607541" w:rsidRDefault="00607541" w:rsidP="009845AF">
      <w:pPr>
        <w:ind w:left="720"/>
        <w:jc w:val="both"/>
        <w:rPr>
          <w:rFonts w:ascii="Times New Roman" w:hAnsi="Times New Roman"/>
          <w:bCs/>
          <w:sz w:val="24"/>
        </w:rPr>
      </w:pPr>
    </w:p>
    <w:p w14:paraId="74267830" w14:textId="77777777" w:rsidR="00E377CA" w:rsidRPr="00941E30" w:rsidRDefault="00E377CA" w:rsidP="00E377CA">
      <w:pPr>
        <w:spacing w:line="360" w:lineRule="auto"/>
        <w:ind w:left="720"/>
        <w:jc w:val="both"/>
        <w:rPr>
          <w:rFonts w:ascii="Times New Roman" w:hAnsi="Times New Roman"/>
          <w:bCs/>
          <w:sz w:val="24"/>
        </w:rPr>
      </w:pPr>
      <w:r>
        <w:rPr>
          <w:rFonts w:ascii="Times New Roman" w:hAnsi="Times New Roman"/>
          <w:bCs/>
          <w:sz w:val="24"/>
        </w:rPr>
        <w:t xml:space="preserve">The Minister of Health published the White Paper on NHI for public </w:t>
      </w:r>
      <w:r w:rsidR="00607541">
        <w:rPr>
          <w:rFonts w:ascii="Times New Roman" w:hAnsi="Times New Roman"/>
          <w:bCs/>
          <w:sz w:val="24"/>
        </w:rPr>
        <w:t>comments in December 2015</w:t>
      </w:r>
      <w:r>
        <w:rPr>
          <w:rFonts w:ascii="Times New Roman" w:hAnsi="Times New Roman"/>
          <w:bCs/>
          <w:sz w:val="24"/>
        </w:rPr>
        <w:t>. In addition, the Department</w:t>
      </w:r>
      <w:r w:rsidR="00607541">
        <w:rPr>
          <w:rFonts w:ascii="Times New Roman" w:hAnsi="Times New Roman"/>
          <w:bCs/>
          <w:sz w:val="24"/>
        </w:rPr>
        <w:t xml:space="preserve"> has set up 6 NHI work </w:t>
      </w:r>
      <w:r>
        <w:rPr>
          <w:rFonts w:ascii="Times New Roman" w:hAnsi="Times New Roman"/>
          <w:bCs/>
          <w:sz w:val="24"/>
        </w:rPr>
        <w:t xml:space="preserve">streams. The public </w:t>
      </w:r>
      <w:r w:rsidR="00607541">
        <w:rPr>
          <w:rFonts w:ascii="Times New Roman" w:hAnsi="Times New Roman"/>
          <w:bCs/>
          <w:sz w:val="24"/>
        </w:rPr>
        <w:t>comments</w:t>
      </w:r>
      <w:r>
        <w:rPr>
          <w:rFonts w:ascii="Times New Roman" w:hAnsi="Times New Roman"/>
          <w:bCs/>
          <w:sz w:val="24"/>
        </w:rPr>
        <w:t xml:space="preserve"> and </w:t>
      </w:r>
      <w:r w:rsidR="00607541">
        <w:rPr>
          <w:rFonts w:ascii="Times New Roman" w:hAnsi="Times New Roman"/>
          <w:bCs/>
          <w:sz w:val="24"/>
        </w:rPr>
        <w:t>recommendations from the NHI work streams contributed to the development of the NHI policy. In June 2017, the NHI Policy of South Africa was gazetted as the official policy on NHI. An evaluation of the first phase of NHI is currently underway and the report will be finalised during 2018/19 financial year.</w:t>
      </w:r>
    </w:p>
    <w:p w14:paraId="02DDADD8" w14:textId="77777777" w:rsidR="000E6F5E" w:rsidRPr="00941E30" w:rsidRDefault="000E6F5E">
      <w:pPr>
        <w:ind w:left="720"/>
        <w:rPr>
          <w:rFonts w:ascii="Times New Roman" w:hAnsi="Times New Roman"/>
          <w:bCs/>
          <w:sz w:val="24"/>
        </w:rPr>
      </w:pPr>
    </w:p>
    <w:p w14:paraId="0D62FA3C" w14:textId="77777777" w:rsidR="000E6F5E" w:rsidRPr="009845AF" w:rsidRDefault="000E6F5E" w:rsidP="009845AF">
      <w:pPr>
        <w:spacing w:line="360" w:lineRule="auto"/>
        <w:ind w:left="720"/>
        <w:jc w:val="both"/>
        <w:rPr>
          <w:rFonts w:ascii="Times New Roman" w:hAnsi="Times New Roman"/>
          <w:bCs/>
          <w:color w:val="FF0000"/>
          <w:sz w:val="24"/>
        </w:rPr>
      </w:pPr>
      <w:r w:rsidRPr="00941E30">
        <w:rPr>
          <w:rFonts w:ascii="Times New Roman" w:hAnsi="Times New Roman"/>
          <w:bCs/>
          <w:sz w:val="24"/>
        </w:rPr>
        <w:t xml:space="preserve">The </w:t>
      </w:r>
      <w:r w:rsidR="0084298D">
        <w:rPr>
          <w:rFonts w:ascii="Times New Roman" w:hAnsi="Times New Roman"/>
          <w:bCs/>
          <w:sz w:val="24"/>
        </w:rPr>
        <w:t xml:space="preserve">second </w:t>
      </w:r>
      <w:r w:rsidRPr="00941E30">
        <w:rPr>
          <w:rFonts w:ascii="Times New Roman" w:hAnsi="Times New Roman"/>
          <w:bCs/>
          <w:sz w:val="24"/>
        </w:rPr>
        <w:t xml:space="preserve">phase will </w:t>
      </w:r>
      <w:r w:rsidR="0084298D">
        <w:rPr>
          <w:rFonts w:ascii="Times New Roman" w:hAnsi="Times New Roman"/>
          <w:bCs/>
          <w:sz w:val="24"/>
        </w:rPr>
        <w:t>entail development of systems and processes to ensure effective functioning and administration of the NHI Fund</w:t>
      </w:r>
      <w:r w:rsidRPr="00941E30">
        <w:rPr>
          <w:rFonts w:ascii="Times New Roman" w:hAnsi="Times New Roman"/>
          <w:bCs/>
          <w:sz w:val="24"/>
        </w:rPr>
        <w:t xml:space="preserve">. </w:t>
      </w:r>
      <w:r w:rsidR="00125554">
        <w:rPr>
          <w:rFonts w:ascii="Times New Roman" w:hAnsi="Times New Roman"/>
          <w:bCs/>
          <w:sz w:val="24"/>
        </w:rPr>
        <w:t xml:space="preserve">The NHI Fund will pool revenue and purchase health services, through contracting health service providers accredited by the Office of Health Standards Compliance. In addition, an implementation team will be </w:t>
      </w:r>
      <w:r w:rsidR="00837E16">
        <w:rPr>
          <w:rFonts w:ascii="Times New Roman" w:hAnsi="Times New Roman"/>
          <w:bCs/>
          <w:sz w:val="24"/>
        </w:rPr>
        <w:t>e</w:t>
      </w:r>
      <w:r w:rsidR="00125554">
        <w:rPr>
          <w:rFonts w:ascii="Times New Roman" w:hAnsi="Times New Roman"/>
          <w:bCs/>
          <w:sz w:val="24"/>
        </w:rPr>
        <w:t xml:space="preserve">stablished as a government component reporting to the Minister of Health. </w:t>
      </w:r>
      <w:r w:rsidRPr="009845AF">
        <w:rPr>
          <w:rFonts w:ascii="Times New Roman" w:hAnsi="Times New Roman"/>
          <w:bCs/>
          <w:color w:val="FF0000"/>
          <w:sz w:val="24"/>
        </w:rPr>
        <w:t xml:space="preserve">  </w:t>
      </w:r>
    </w:p>
    <w:p w14:paraId="29267D35" w14:textId="77777777" w:rsidR="000E6F5E" w:rsidRPr="00941E30" w:rsidRDefault="000E6F5E" w:rsidP="00941E30">
      <w:pPr>
        <w:numPr>
          <w:ilvl w:val="0"/>
          <w:numId w:val="13"/>
        </w:numPr>
        <w:spacing w:line="360" w:lineRule="auto"/>
        <w:jc w:val="both"/>
        <w:rPr>
          <w:rFonts w:ascii="Times New Roman" w:hAnsi="Times New Roman"/>
          <w:bCs/>
          <w:sz w:val="24"/>
        </w:rPr>
      </w:pPr>
      <w:r w:rsidRPr="00941E30">
        <w:rPr>
          <w:rFonts w:ascii="Times New Roman" w:hAnsi="Times New Roman"/>
          <w:b/>
          <w:bCs/>
          <w:sz w:val="24"/>
        </w:rPr>
        <w:t>South African Health Products Regulatory Authority (SAHPRA).</w:t>
      </w:r>
      <w:r w:rsidRPr="00941E30">
        <w:rPr>
          <w:rFonts w:ascii="Times New Roman" w:hAnsi="Times New Roman"/>
          <w:bCs/>
          <w:sz w:val="24"/>
        </w:rPr>
        <w:t xml:space="preserve"> SAHPRA is established as a Section 3A Public Entity, meaning that it will be able to retain funds generated from applications, in order to </w:t>
      </w:r>
      <w:r w:rsidRPr="00085BAF">
        <w:rPr>
          <w:rFonts w:ascii="Times New Roman" w:hAnsi="Times New Roman"/>
          <w:bCs/>
          <w:sz w:val="24"/>
        </w:rPr>
        <w:t>acquire</w:t>
      </w:r>
      <w:r w:rsidRPr="00941E30">
        <w:rPr>
          <w:rFonts w:ascii="Times New Roman" w:hAnsi="Times New Roman"/>
          <w:bCs/>
          <w:sz w:val="24"/>
        </w:rPr>
        <w:t xml:space="preserve"> experts on a full-time basis. The key focus areas over the medium-term will be to evaluate and register pharmaceuticals, and medical devices, manage and co-ordinate the registration process, ensuring access to safe medicines and continue regulatory compliance. </w:t>
      </w:r>
    </w:p>
    <w:p w14:paraId="449E2794" w14:textId="77777777" w:rsidR="000E6F5E" w:rsidRPr="00941E30" w:rsidRDefault="000E6F5E" w:rsidP="00941E30">
      <w:pPr>
        <w:numPr>
          <w:ilvl w:val="0"/>
          <w:numId w:val="13"/>
        </w:numPr>
        <w:spacing w:line="360" w:lineRule="auto"/>
        <w:jc w:val="both"/>
        <w:rPr>
          <w:rFonts w:ascii="Times New Roman" w:hAnsi="Times New Roman"/>
          <w:bCs/>
          <w:color w:val="auto"/>
          <w:sz w:val="24"/>
        </w:rPr>
      </w:pPr>
      <w:r w:rsidRPr="00941E30">
        <w:rPr>
          <w:rFonts w:ascii="Times New Roman" w:hAnsi="Times New Roman"/>
          <w:b/>
          <w:bCs/>
          <w:color w:val="auto"/>
          <w:sz w:val="24"/>
        </w:rPr>
        <w:lastRenderedPageBreak/>
        <w:t>Operation Phakisa and Ideal Clinic Initiative.</w:t>
      </w:r>
      <w:r w:rsidRPr="00941E30">
        <w:rPr>
          <w:rFonts w:ascii="Times New Roman" w:hAnsi="Times New Roman"/>
          <w:bCs/>
          <w:color w:val="auto"/>
          <w:sz w:val="24"/>
        </w:rPr>
        <w:t xml:space="preserve"> </w:t>
      </w:r>
      <w:r w:rsidR="004220F7" w:rsidRPr="00941E30">
        <w:rPr>
          <w:rFonts w:ascii="Times New Roman" w:hAnsi="Times New Roman"/>
          <w:bCs/>
          <w:color w:val="auto"/>
          <w:sz w:val="24"/>
        </w:rPr>
        <w:t xml:space="preserve">The </w:t>
      </w:r>
      <w:r w:rsidRPr="00941E30">
        <w:rPr>
          <w:rFonts w:ascii="Times New Roman" w:hAnsi="Times New Roman"/>
          <w:bCs/>
          <w:color w:val="auto"/>
          <w:sz w:val="24"/>
        </w:rPr>
        <w:t>Ideal Clinic</w:t>
      </w:r>
      <w:r w:rsidR="004220F7" w:rsidRPr="00941E30">
        <w:rPr>
          <w:rFonts w:ascii="Times New Roman" w:hAnsi="Times New Roman"/>
          <w:bCs/>
          <w:color w:val="auto"/>
          <w:sz w:val="24"/>
        </w:rPr>
        <w:t xml:space="preserve"> Realisation and Maintenance programme began in 2013 with the aim to ensure</w:t>
      </w:r>
      <w:r w:rsidRPr="00941E30">
        <w:rPr>
          <w:rFonts w:ascii="Times New Roman" w:hAnsi="Times New Roman"/>
          <w:bCs/>
          <w:color w:val="auto"/>
          <w:sz w:val="24"/>
        </w:rPr>
        <w:t xml:space="preserve"> </w:t>
      </w:r>
      <w:r w:rsidR="006667F5">
        <w:rPr>
          <w:rFonts w:ascii="Times New Roman" w:hAnsi="Times New Roman"/>
          <w:bCs/>
          <w:color w:val="auto"/>
          <w:sz w:val="24"/>
        </w:rPr>
        <w:t xml:space="preserve">that </w:t>
      </w:r>
      <w:r w:rsidR="001278C5" w:rsidRPr="00085BAF">
        <w:rPr>
          <w:rFonts w:ascii="Times New Roman" w:hAnsi="Times New Roman"/>
          <w:bCs/>
          <w:color w:val="auto"/>
          <w:sz w:val="24"/>
        </w:rPr>
        <w:t xml:space="preserve">Primary Health Care </w:t>
      </w:r>
      <w:r w:rsidR="001278C5" w:rsidRPr="0093633A">
        <w:rPr>
          <w:rFonts w:ascii="Times New Roman" w:hAnsi="Times New Roman"/>
          <w:bCs/>
          <w:color w:val="auto"/>
          <w:sz w:val="24"/>
        </w:rPr>
        <w:t xml:space="preserve">(PHC) </w:t>
      </w:r>
      <w:r w:rsidR="004220F7" w:rsidRPr="00941E30">
        <w:rPr>
          <w:rFonts w:ascii="Times New Roman" w:hAnsi="Times New Roman"/>
          <w:bCs/>
          <w:color w:val="auto"/>
          <w:sz w:val="24"/>
        </w:rPr>
        <w:t>facilities</w:t>
      </w:r>
      <w:r w:rsidRPr="00941E30">
        <w:rPr>
          <w:rFonts w:ascii="Times New Roman" w:hAnsi="Times New Roman"/>
          <w:bCs/>
          <w:color w:val="auto"/>
          <w:sz w:val="24"/>
        </w:rPr>
        <w:t xml:space="preserve"> </w:t>
      </w:r>
      <w:r w:rsidR="006667F5">
        <w:rPr>
          <w:rFonts w:ascii="Times New Roman" w:hAnsi="Times New Roman"/>
          <w:bCs/>
          <w:color w:val="auto"/>
          <w:sz w:val="24"/>
        </w:rPr>
        <w:t>has</w:t>
      </w:r>
      <w:r w:rsidR="004220F7" w:rsidRPr="00941E30">
        <w:rPr>
          <w:rFonts w:ascii="Times New Roman" w:hAnsi="Times New Roman"/>
          <w:bCs/>
          <w:color w:val="auto"/>
          <w:sz w:val="24"/>
        </w:rPr>
        <w:t xml:space="preserve"> good</w:t>
      </w:r>
      <w:r w:rsidRPr="00941E30">
        <w:rPr>
          <w:rFonts w:ascii="Times New Roman" w:hAnsi="Times New Roman"/>
          <w:bCs/>
          <w:color w:val="auto"/>
          <w:sz w:val="24"/>
        </w:rPr>
        <w:t xml:space="preserve"> infrastructure, human resources and systems in place. An improved and effective PHC system is seen as key to improving the health outcomes of the country in the most cost-effective manner.  </w:t>
      </w:r>
    </w:p>
    <w:p w14:paraId="026143FE" w14:textId="77777777" w:rsidR="00D0390F" w:rsidRPr="0093633A" w:rsidRDefault="00D0390F">
      <w:pPr>
        <w:spacing w:line="360" w:lineRule="auto"/>
        <w:ind w:left="567" w:hanging="425"/>
        <w:jc w:val="both"/>
        <w:rPr>
          <w:rFonts w:ascii="Times New Roman" w:hAnsi="Times New Roman"/>
          <w:color w:val="auto"/>
          <w:spacing w:val="0"/>
          <w:sz w:val="24"/>
          <w:szCs w:val="24"/>
          <w:lang w:eastAsia="en-ZA"/>
        </w:rPr>
      </w:pPr>
    </w:p>
    <w:p w14:paraId="687A17FA" w14:textId="77777777" w:rsidR="00BE17FE" w:rsidRPr="00941E30" w:rsidRDefault="0093633A" w:rsidP="00941E30">
      <w:pPr>
        <w:spacing w:line="360" w:lineRule="auto"/>
        <w:rPr>
          <w:rFonts w:ascii="Times New Roman" w:eastAsia="Batang" w:hAnsi="Times New Roman"/>
          <w:b/>
          <w:sz w:val="24"/>
          <w:szCs w:val="24"/>
          <w:lang w:eastAsia="ko-KR"/>
        </w:rPr>
      </w:pPr>
      <w:r>
        <w:rPr>
          <w:rFonts w:ascii="Times New Roman" w:hAnsi="Times New Roman"/>
          <w:b/>
          <w:color w:val="auto"/>
          <w:spacing w:val="0"/>
          <w:sz w:val="24"/>
          <w:szCs w:val="24"/>
          <w:lang w:eastAsia="en-ZA"/>
        </w:rPr>
        <w:t xml:space="preserve">3.2. </w:t>
      </w:r>
      <w:r w:rsidR="00572C30" w:rsidRPr="00941E30">
        <w:rPr>
          <w:rFonts w:ascii="Times New Roman" w:eastAsia="Batang" w:hAnsi="Times New Roman"/>
          <w:b/>
          <w:sz w:val="24"/>
          <w:szCs w:val="24"/>
          <w:lang w:eastAsia="ko-KR"/>
        </w:rPr>
        <w:t xml:space="preserve">Annual Performance </w:t>
      </w:r>
      <w:r w:rsidR="006916B9">
        <w:rPr>
          <w:rFonts w:ascii="Times New Roman" w:eastAsia="Batang" w:hAnsi="Times New Roman"/>
          <w:b/>
          <w:sz w:val="24"/>
          <w:szCs w:val="24"/>
          <w:lang w:eastAsia="ko-KR"/>
        </w:rPr>
        <w:t>Indicators for</w:t>
      </w:r>
      <w:r w:rsidR="006916B9" w:rsidRPr="00941E30">
        <w:rPr>
          <w:rFonts w:ascii="Times New Roman" w:eastAsia="Batang" w:hAnsi="Times New Roman"/>
          <w:b/>
          <w:sz w:val="24"/>
          <w:szCs w:val="24"/>
          <w:lang w:eastAsia="ko-KR"/>
        </w:rPr>
        <w:t xml:space="preserve"> </w:t>
      </w:r>
      <w:r w:rsidR="00572C30" w:rsidRPr="00941E30">
        <w:rPr>
          <w:rFonts w:ascii="Times New Roman" w:eastAsia="Batang" w:hAnsi="Times New Roman"/>
          <w:b/>
          <w:sz w:val="24"/>
          <w:szCs w:val="24"/>
          <w:lang w:eastAsia="ko-KR"/>
        </w:rPr>
        <w:t>201</w:t>
      </w:r>
      <w:r w:rsidR="000A59C9" w:rsidRPr="00941E30">
        <w:rPr>
          <w:rFonts w:ascii="Times New Roman" w:eastAsia="Batang" w:hAnsi="Times New Roman"/>
          <w:b/>
          <w:sz w:val="24"/>
          <w:szCs w:val="24"/>
          <w:lang w:eastAsia="ko-KR"/>
        </w:rPr>
        <w:t>8</w:t>
      </w:r>
      <w:r w:rsidR="00572C30" w:rsidRPr="00941E30">
        <w:rPr>
          <w:rFonts w:ascii="Times New Roman" w:eastAsia="Batang" w:hAnsi="Times New Roman"/>
          <w:b/>
          <w:sz w:val="24"/>
          <w:szCs w:val="24"/>
          <w:lang w:eastAsia="ko-KR"/>
        </w:rPr>
        <w:t>/1</w:t>
      </w:r>
      <w:r w:rsidR="000A59C9" w:rsidRPr="00941E30">
        <w:rPr>
          <w:rFonts w:ascii="Times New Roman" w:eastAsia="Batang" w:hAnsi="Times New Roman"/>
          <w:b/>
          <w:sz w:val="24"/>
          <w:szCs w:val="24"/>
          <w:lang w:eastAsia="ko-KR"/>
        </w:rPr>
        <w:t>9</w:t>
      </w:r>
    </w:p>
    <w:p w14:paraId="2EF6AE36" w14:textId="77777777" w:rsidR="00F6399D" w:rsidRPr="00085BAF" w:rsidRDefault="00F6399D" w:rsidP="00941E30">
      <w:pPr>
        <w:jc w:val="both"/>
        <w:rPr>
          <w:rFonts w:ascii="Times New Roman" w:eastAsia="Batang" w:hAnsi="Times New Roman"/>
          <w:b/>
          <w:color w:val="auto"/>
          <w:sz w:val="24"/>
          <w:szCs w:val="24"/>
          <w:lang w:eastAsia="ko-KR"/>
        </w:rPr>
      </w:pPr>
    </w:p>
    <w:p w14:paraId="488616AC" w14:textId="77777777" w:rsidR="003A0B31" w:rsidRPr="002D4630" w:rsidRDefault="003A0B31" w:rsidP="003A0B31">
      <w:pPr>
        <w:rPr>
          <w:rFonts w:ascii="Times New Roman" w:hAnsi="Times New Roman"/>
          <w:bCs/>
          <w:color w:val="auto"/>
          <w:sz w:val="24"/>
          <w:szCs w:val="24"/>
        </w:rPr>
      </w:pPr>
      <w:r w:rsidRPr="002D4630">
        <w:rPr>
          <w:rFonts w:ascii="Times New Roman" w:hAnsi="Times New Roman"/>
          <w:bCs/>
          <w:color w:val="auto"/>
          <w:sz w:val="24"/>
          <w:szCs w:val="24"/>
        </w:rPr>
        <w:t>Some of the key</w:t>
      </w:r>
      <w:r>
        <w:rPr>
          <w:rFonts w:ascii="Times New Roman" w:hAnsi="Times New Roman"/>
          <w:bCs/>
          <w:color w:val="auto"/>
          <w:sz w:val="24"/>
          <w:szCs w:val="24"/>
        </w:rPr>
        <w:t xml:space="preserve"> performance</w:t>
      </w:r>
      <w:r w:rsidRPr="002D4630">
        <w:rPr>
          <w:rFonts w:ascii="Times New Roman" w:hAnsi="Times New Roman"/>
          <w:bCs/>
          <w:color w:val="auto"/>
          <w:sz w:val="24"/>
          <w:szCs w:val="24"/>
        </w:rPr>
        <w:t xml:space="preserve"> indicators </w:t>
      </w:r>
      <w:r>
        <w:rPr>
          <w:rFonts w:ascii="Times New Roman" w:hAnsi="Times New Roman"/>
          <w:bCs/>
          <w:color w:val="auto"/>
          <w:sz w:val="24"/>
          <w:szCs w:val="24"/>
        </w:rPr>
        <w:t>under each programme are as follows</w:t>
      </w:r>
      <w:r w:rsidRPr="002D4630">
        <w:rPr>
          <w:rFonts w:ascii="Times New Roman" w:hAnsi="Times New Roman"/>
          <w:bCs/>
          <w:color w:val="auto"/>
          <w:sz w:val="24"/>
          <w:szCs w:val="24"/>
        </w:rPr>
        <w:t xml:space="preserve">: </w:t>
      </w:r>
    </w:p>
    <w:p w14:paraId="5B20A225" w14:textId="77777777" w:rsidR="00BE17FE" w:rsidRDefault="00BE17FE" w:rsidP="00941E30">
      <w:pPr>
        <w:jc w:val="both"/>
        <w:rPr>
          <w:rFonts w:ascii="Times New Roman" w:eastAsia="Batang" w:hAnsi="Times New Roman"/>
          <w:color w:val="auto"/>
          <w:sz w:val="24"/>
          <w:szCs w:val="24"/>
          <w:lang w:eastAsia="ko-KR"/>
        </w:rPr>
      </w:pPr>
    </w:p>
    <w:p w14:paraId="0DF9413B" w14:textId="77777777" w:rsidR="00DD3DA6" w:rsidRPr="0093633A" w:rsidRDefault="00DD3DA6" w:rsidP="00941E30">
      <w:pPr>
        <w:jc w:val="both"/>
        <w:rPr>
          <w:rFonts w:ascii="Times New Roman" w:eastAsia="Batang" w:hAnsi="Times New Roman"/>
          <w:b/>
          <w:color w:val="auto"/>
          <w:sz w:val="24"/>
          <w:szCs w:val="24"/>
          <w:lang w:eastAsia="ko-KR"/>
        </w:rPr>
      </w:pPr>
      <w:r w:rsidRPr="0093633A">
        <w:rPr>
          <w:rFonts w:ascii="Times New Roman" w:eastAsia="Batang" w:hAnsi="Times New Roman"/>
          <w:b/>
          <w:color w:val="auto"/>
          <w:sz w:val="24"/>
          <w:szCs w:val="24"/>
          <w:lang w:eastAsia="ko-KR"/>
        </w:rPr>
        <w:t xml:space="preserve">Programme 1: Administration </w:t>
      </w:r>
    </w:p>
    <w:p w14:paraId="2E483B78" w14:textId="77777777" w:rsidR="0036144D" w:rsidRPr="0093633A" w:rsidRDefault="0036144D" w:rsidP="00941E30">
      <w:pPr>
        <w:jc w:val="both"/>
        <w:rPr>
          <w:rFonts w:ascii="Times New Roman" w:eastAsia="Batang" w:hAnsi="Times New Roman"/>
          <w:b/>
          <w:color w:val="auto"/>
          <w:sz w:val="24"/>
          <w:szCs w:val="24"/>
          <w:lang w:eastAsia="ko-KR"/>
        </w:rPr>
      </w:pPr>
    </w:p>
    <w:p w14:paraId="241E2590" w14:textId="77777777" w:rsidR="005F7ECF" w:rsidRDefault="00ED5BFE">
      <w:p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 xml:space="preserve">The purpose of the administration programme is </w:t>
      </w:r>
      <w:r w:rsidR="00274A09" w:rsidRPr="0093633A">
        <w:rPr>
          <w:rFonts w:ascii="Times New Roman" w:eastAsia="Batang" w:hAnsi="Times New Roman"/>
          <w:color w:val="auto"/>
          <w:sz w:val="24"/>
          <w:szCs w:val="24"/>
          <w:lang w:eastAsia="ko-KR"/>
        </w:rPr>
        <w:t>to provide support services to the National Department of Health. These include: Human resources development and management, labour relations services, information communication technology services, property management services, security services, legal services</w:t>
      </w:r>
      <w:r w:rsidR="007B1A32" w:rsidRPr="0093633A">
        <w:rPr>
          <w:rFonts w:ascii="Times New Roman" w:eastAsia="Batang" w:hAnsi="Times New Roman"/>
          <w:color w:val="auto"/>
          <w:sz w:val="24"/>
          <w:szCs w:val="24"/>
          <w:lang w:eastAsia="ko-KR"/>
        </w:rPr>
        <w:t>,</w:t>
      </w:r>
      <w:r w:rsidR="00274A09" w:rsidRPr="0093633A">
        <w:rPr>
          <w:rFonts w:ascii="Times New Roman" w:eastAsia="Batang" w:hAnsi="Times New Roman"/>
          <w:color w:val="auto"/>
          <w:sz w:val="24"/>
          <w:szCs w:val="24"/>
          <w:lang w:eastAsia="ko-KR"/>
        </w:rPr>
        <w:t xml:space="preserve"> supply chain management and financial management services.</w:t>
      </w:r>
      <w:r w:rsidR="005A1869" w:rsidRPr="0093633A">
        <w:rPr>
          <w:rFonts w:ascii="Times New Roman" w:eastAsia="Batang" w:hAnsi="Times New Roman"/>
          <w:color w:val="auto"/>
          <w:sz w:val="24"/>
          <w:szCs w:val="24"/>
          <w:lang w:eastAsia="ko-KR"/>
        </w:rPr>
        <w:t xml:space="preserve"> </w:t>
      </w:r>
      <w:r w:rsidR="00635C48" w:rsidRPr="0093633A">
        <w:rPr>
          <w:rFonts w:ascii="Times New Roman" w:eastAsia="Batang" w:hAnsi="Times New Roman"/>
          <w:color w:val="auto"/>
          <w:sz w:val="24"/>
          <w:szCs w:val="24"/>
          <w:lang w:eastAsia="ko-KR"/>
        </w:rPr>
        <w:t>The D</w:t>
      </w:r>
      <w:r w:rsidR="00452E9E" w:rsidRPr="0093633A">
        <w:rPr>
          <w:rFonts w:ascii="Times New Roman" w:eastAsia="Batang" w:hAnsi="Times New Roman"/>
          <w:color w:val="auto"/>
          <w:sz w:val="24"/>
          <w:szCs w:val="24"/>
          <w:lang w:eastAsia="ko-KR"/>
        </w:rPr>
        <w:t xml:space="preserve">epartment </w:t>
      </w:r>
      <w:r w:rsidR="003A0B31">
        <w:rPr>
          <w:rFonts w:ascii="Times New Roman" w:eastAsia="Batang" w:hAnsi="Times New Roman"/>
          <w:color w:val="auto"/>
          <w:sz w:val="24"/>
          <w:szCs w:val="24"/>
          <w:lang w:eastAsia="ko-KR"/>
        </w:rPr>
        <w:t>plans</w:t>
      </w:r>
      <w:r w:rsidR="006D4774" w:rsidRPr="0093633A">
        <w:rPr>
          <w:rFonts w:ascii="Times New Roman" w:eastAsia="Batang" w:hAnsi="Times New Roman"/>
          <w:color w:val="auto"/>
          <w:sz w:val="24"/>
          <w:szCs w:val="24"/>
          <w:lang w:eastAsia="ko-KR"/>
        </w:rPr>
        <w:t xml:space="preserve"> </w:t>
      </w:r>
      <w:r w:rsidR="003A0B31">
        <w:rPr>
          <w:rFonts w:ascii="Times New Roman" w:eastAsia="Batang" w:hAnsi="Times New Roman"/>
          <w:color w:val="auto"/>
          <w:sz w:val="24"/>
          <w:szCs w:val="24"/>
          <w:lang w:eastAsia="ko-KR"/>
        </w:rPr>
        <w:t>for the</w:t>
      </w:r>
      <w:r w:rsidR="005F7ECF" w:rsidRPr="0093633A">
        <w:rPr>
          <w:rFonts w:ascii="Times New Roman" w:eastAsia="Batang" w:hAnsi="Times New Roman"/>
          <w:color w:val="auto"/>
          <w:sz w:val="24"/>
          <w:szCs w:val="24"/>
          <w:lang w:eastAsia="ko-KR"/>
        </w:rPr>
        <w:t xml:space="preserve"> current financial year</w:t>
      </w:r>
      <w:r w:rsidR="0009447E" w:rsidRPr="0093633A">
        <w:rPr>
          <w:rFonts w:ascii="Times New Roman" w:eastAsia="Batang" w:hAnsi="Times New Roman"/>
          <w:color w:val="auto"/>
          <w:sz w:val="24"/>
          <w:szCs w:val="24"/>
          <w:lang w:eastAsia="ko-KR"/>
        </w:rPr>
        <w:t xml:space="preserve"> (201</w:t>
      </w:r>
      <w:r w:rsidR="000A59C9" w:rsidRPr="0093633A">
        <w:rPr>
          <w:rFonts w:ascii="Times New Roman" w:eastAsia="Batang" w:hAnsi="Times New Roman"/>
          <w:color w:val="auto"/>
          <w:sz w:val="24"/>
          <w:szCs w:val="24"/>
          <w:lang w:eastAsia="ko-KR"/>
        </w:rPr>
        <w:t>8</w:t>
      </w:r>
      <w:r w:rsidR="00D32662" w:rsidRPr="0093633A">
        <w:rPr>
          <w:rFonts w:ascii="Times New Roman" w:eastAsia="Batang" w:hAnsi="Times New Roman"/>
          <w:color w:val="auto"/>
          <w:sz w:val="24"/>
          <w:szCs w:val="24"/>
          <w:lang w:eastAsia="ko-KR"/>
        </w:rPr>
        <w:t>/1</w:t>
      </w:r>
      <w:r w:rsidR="000A59C9" w:rsidRPr="0093633A">
        <w:rPr>
          <w:rFonts w:ascii="Times New Roman" w:eastAsia="Batang" w:hAnsi="Times New Roman"/>
          <w:color w:val="auto"/>
          <w:sz w:val="24"/>
          <w:szCs w:val="24"/>
          <w:lang w:eastAsia="ko-KR"/>
        </w:rPr>
        <w:t>9</w:t>
      </w:r>
      <w:r w:rsidR="00D32662" w:rsidRPr="0093633A">
        <w:rPr>
          <w:rFonts w:ascii="Times New Roman" w:eastAsia="Batang" w:hAnsi="Times New Roman"/>
          <w:color w:val="auto"/>
          <w:sz w:val="24"/>
          <w:szCs w:val="24"/>
          <w:lang w:eastAsia="ko-KR"/>
        </w:rPr>
        <w:t>)</w:t>
      </w:r>
      <w:r w:rsidR="003A0B31">
        <w:rPr>
          <w:rFonts w:ascii="Times New Roman" w:eastAsia="Batang" w:hAnsi="Times New Roman"/>
          <w:color w:val="auto"/>
          <w:sz w:val="24"/>
          <w:szCs w:val="24"/>
          <w:lang w:eastAsia="ko-KR"/>
        </w:rPr>
        <w:t xml:space="preserve"> are</w:t>
      </w:r>
      <w:r w:rsidR="005F7ECF" w:rsidRPr="0093633A">
        <w:rPr>
          <w:rFonts w:ascii="Times New Roman" w:eastAsia="Batang" w:hAnsi="Times New Roman"/>
          <w:color w:val="auto"/>
          <w:sz w:val="24"/>
          <w:szCs w:val="24"/>
          <w:lang w:eastAsia="ko-KR"/>
        </w:rPr>
        <w:t>:</w:t>
      </w:r>
    </w:p>
    <w:p w14:paraId="3393DD48" w14:textId="77777777" w:rsidR="00D77A33" w:rsidRPr="0093633A" w:rsidRDefault="00D77A33" w:rsidP="00941E30">
      <w:pPr>
        <w:jc w:val="both"/>
        <w:rPr>
          <w:rFonts w:ascii="Times New Roman" w:eastAsia="Batang" w:hAnsi="Times New Roman"/>
          <w:color w:val="auto"/>
          <w:sz w:val="24"/>
          <w:szCs w:val="24"/>
          <w:lang w:eastAsia="ko-KR"/>
        </w:rPr>
      </w:pPr>
    </w:p>
    <w:p w14:paraId="4A9CD013" w14:textId="77777777" w:rsidR="0007753C" w:rsidRPr="0093633A" w:rsidRDefault="003A0B31">
      <w:pPr>
        <w:numPr>
          <w:ilvl w:val="0"/>
          <w:numId w:val="14"/>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To obtain</w:t>
      </w:r>
      <w:r w:rsidR="00BF6B3F" w:rsidRPr="0093633A">
        <w:rPr>
          <w:rFonts w:ascii="Times New Roman" w:eastAsia="Batang" w:hAnsi="Times New Roman"/>
          <w:color w:val="auto"/>
          <w:sz w:val="24"/>
          <w:szCs w:val="24"/>
          <w:lang w:eastAsia="ko-KR"/>
        </w:rPr>
        <w:t xml:space="preserve"> </w:t>
      </w:r>
      <w:r w:rsidR="000A59C9" w:rsidRPr="0093633A">
        <w:rPr>
          <w:rFonts w:ascii="Times New Roman" w:eastAsia="Batang" w:hAnsi="Times New Roman"/>
          <w:color w:val="auto"/>
          <w:sz w:val="24"/>
          <w:szCs w:val="24"/>
          <w:lang w:eastAsia="ko-KR"/>
        </w:rPr>
        <w:t>a clean audit opinion</w:t>
      </w:r>
      <w:r w:rsidR="00917347" w:rsidRPr="0093633A">
        <w:rPr>
          <w:rFonts w:ascii="Times New Roman" w:eastAsia="Batang" w:hAnsi="Times New Roman"/>
          <w:color w:val="auto"/>
          <w:sz w:val="24"/>
          <w:szCs w:val="24"/>
          <w:lang w:eastAsia="ko-KR"/>
        </w:rPr>
        <w:t>.</w:t>
      </w:r>
    </w:p>
    <w:p w14:paraId="7CE7363A" w14:textId="77777777" w:rsidR="00275285" w:rsidRPr="00085BAF" w:rsidRDefault="003A0B31">
      <w:pPr>
        <w:numPr>
          <w:ilvl w:val="0"/>
          <w:numId w:val="14"/>
        </w:numPr>
        <w:spacing w:line="360" w:lineRule="auto"/>
        <w:jc w:val="both"/>
        <w:rPr>
          <w:rFonts w:ascii="Times New Roman" w:eastAsia="Batang" w:hAnsi="Times New Roman"/>
          <w:color w:val="auto"/>
          <w:sz w:val="24"/>
          <w:szCs w:val="24"/>
          <w:lang w:eastAsia="ko-KR"/>
        </w:rPr>
      </w:pPr>
      <w:r>
        <w:rPr>
          <w:rFonts w:ascii="Times New Roman" w:hAnsi="Times New Roman"/>
          <w:bCs/>
          <w:color w:val="auto"/>
          <w:sz w:val="24"/>
        </w:rPr>
        <w:t>To ensure improvements in audit outcomes</w:t>
      </w:r>
      <w:r w:rsidR="0007753C" w:rsidRPr="00941E30">
        <w:rPr>
          <w:rFonts w:ascii="Times New Roman" w:hAnsi="Times New Roman"/>
          <w:bCs/>
          <w:color w:val="auto"/>
          <w:sz w:val="24"/>
        </w:rPr>
        <w:t xml:space="preserve"> for at le</w:t>
      </w:r>
      <w:r w:rsidR="00D77A33">
        <w:rPr>
          <w:rFonts w:ascii="Times New Roman" w:hAnsi="Times New Roman"/>
          <w:bCs/>
          <w:color w:val="auto"/>
          <w:sz w:val="24"/>
        </w:rPr>
        <w:t>ast five provincial departments.</w:t>
      </w:r>
    </w:p>
    <w:p w14:paraId="4D183A4B" w14:textId="77777777" w:rsidR="00104807" w:rsidRPr="0093633A" w:rsidRDefault="00917347" w:rsidP="00941E30">
      <w:pPr>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 xml:space="preserve"> </w:t>
      </w:r>
    </w:p>
    <w:p w14:paraId="35812663" w14:textId="77777777" w:rsidR="00D13288" w:rsidRPr="0093633A" w:rsidRDefault="00D13288" w:rsidP="00941E30">
      <w:pPr>
        <w:jc w:val="both"/>
        <w:rPr>
          <w:rFonts w:ascii="Times New Roman" w:eastAsia="Batang" w:hAnsi="Times New Roman"/>
          <w:b/>
          <w:color w:val="auto"/>
          <w:sz w:val="24"/>
          <w:szCs w:val="24"/>
          <w:lang w:eastAsia="ko-KR"/>
        </w:rPr>
      </w:pPr>
      <w:r w:rsidRPr="0093633A">
        <w:rPr>
          <w:rFonts w:ascii="Times New Roman" w:eastAsia="Batang" w:hAnsi="Times New Roman"/>
          <w:b/>
          <w:color w:val="auto"/>
          <w:sz w:val="24"/>
          <w:szCs w:val="24"/>
          <w:lang w:eastAsia="ko-KR"/>
        </w:rPr>
        <w:t xml:space="preserve">Programme 2: National Health Insurance, Health Planning and Systems Enablement </w:t>
      </w:r>
    </w:p>
    <w:p w14:paraId="36AA8752" w14:textId="77777777" w:rsidR="00917347" w:rsidRPr="0093633A" w:rsidRDefault="00917347" w:rsidP="00941E30">
      <w:pPr>
        <w:jc w:val="both"/>
        <w:rPr>
          <w:rFonts w:ascii="Times New Roman" w:eastAsia="Batang" w:hAnsi="Times New Roman"/>
          <w:b/>
          <w:color w:val="auto"/>
          <w:sz w:val="24"/>
          <w:szCs w:val="24"/>
          <w:lang w:eastAsia="ko-KR"/>
        </w:rPr>
      </w:pPr>
    </w:p>
    <w:p w14:paraId="47162915" w14:textId="77777777" w:rsidR="00917347" w:rsidRDefault="004046B3">
      <w:pPr>
        <w:spacing w:line="360" w:lineRule="auto"/>
        <w:jc w:val="both"/>
        <w:rPr>
          <w:rFonts w:ascii="Times New Roman" w:eastAsia="Batang" w:hAnsi="Times New Roman"/>
          <w:color w:val="auto"/>
          <w:sz w:val="24"/>
          <w:szCs w:val="24"/>
          <w:lang w:eastAsia="ko-KR"/>
        </w:rPr>
      </w:pPr>
      <w:r w:rsidRPr="00EB7F4C">
        <w:rPr>
          <w:rFonts w:ascii="Times New Roman" w:eastAsia="Calibri" w:hAnsi="Times New Roman"/>
          <w:color w:val="auto"/>
          <w:spacing w:val="0"/>
          <w:sz w:val="24"/>
          <w:szCs w:val="24"/>
          <w:lang w:val="en-ZA" w:eastAsia="en-US"/>
        </w:rPr>
        <w:t xml:space="preserve">The purpose of the </w:t>
      </w:r>
      <w:r w:rsidR="00435879" w:rsidRPr="00EB7F4C">
        <w:rPr>
          <w:rFonts w:ascii="Times New Roman" w:eastAsia="Calibri" w:hAnsi="Times New Roman"/>
          <w:color w:val="auto"/>
          <w:spacing w:val="0"/>
          <w:sz w:val="24"/>
          <w:szCs w:val="24"/>
          <w:lang w:val="en-ZA" w:eastAsia="en-US"/>
        </w:rPr>
        <w:t>National Health Insurance (NHI), Health Planning and Systems Enablement Programme</w:t>
      </w:r>
      <w:r w:rsidRPr="00EB7F4C">
        <w:rPr>
          <w:rFonts w:ascii="Times New Roman" w:eastAsia="Calibri" w:hAnsi="Times New Roman"/>
          <w:color w:val="auto"/>
          <w:spacing w:val="0"/>
          <w:sz w:val="24"/>
          <w:szCs w:val="24"/>
          <w:lang w:val="en-ZA" w:eastAsia="en-US"/>
        </w:rPr>
        <w:t xml:space="preserve"> is</w:t>
      </w:r>
      <w:r w:rsidR="00435879" w:rsidRPr="00EB7F4C">
        <w:rPr>
          <w:rFonts w:ascii="Times New Roman" w:eastAsia="Calibri" w:hAnsi="Times New Roman"/>
          <w:color w:val="auto"/>
          <w:spacing w:val="0"/>
          <w:sz w:val="24"/>
          <w:szCs w:val="24"/>
          <w:lang w:val="en-ZA" w:eastAsia="en-US"/>
        </w:rPr>
        <w:t xml:space="preserve"> to improve access to quality health services through </w:t>
      </w:r>
      <w:r w:rsidRPr="00EB7F4C">
        <w:rPr>
          <w:rFonts w:ascii="Times New Roman" w:eastAsia="Calibri" w:hAnsi="Times New Roman"/>
          <w:color w:val="auto"/>
          <w:spacing w:val="0"/>
          <w:sz w:val="24"/>
          <w:szCs w:val="24"/>
          <w:lang w:val="en-ZA" w:eastAsia="en-US"/>
        </w:rPr>
        <w:t xml:space="preserve">the development and implementation of policies to achieve universal health coverage, health financing reform, integrated health systems planning, monitoring and evaluation and research. </w:t>
      </w:r>
      <w:r w:rsidR="005E0A53" w:rsidRPr="00EB7F4C">
        <w:rPr>
          <w:rFonts w:ascii="Times New Roman" w:eastAsia="Batang" w:hAnsi="Times New Roman"/>
          <w:color w:val="auto"/>
          <w:sz w:val="24"/>
          <w:szCs w:val="24"/>
          <w:lang w:eastAsia="ko-KR"/>
        </w:rPr>
        <w:t>Under Programme 2</w:t>
      </w:r>
      <w:r w:rsidR="003A1C84" w:rsidRPr="00EB7F4C">
        <w:rPr>
          <w:rFonts w:ascii="Times New Roman" w:eastAsia="Batang" w:hAnsi="Times New Roman"/>
          <w:color w:val="auto"/>
          <w:sz w:val="24"/>
          <w:szCs w:val="24"/>
          <w:lang w:eastAsia="ko-KR"/>
        </w:rPr>
        <w:t>,</w:t>
      </w:r>
      <w:r w:rsidR="005E0A53" w:rsidRPr="00EB7F4C">
        <w:rPr>
          <w:rFonts w:ascii="Times New Roman" w:eastAsia="Batang" w:hAnsi="Times New Roman"/>
          <w:color w:val="auto"/>
          <w:sz w:val="24"/>
          <w:szCs w:val="24"/>
          <w:lang w:eastAsia="ko-KR"/>
        </w:rPr>
        <w:t xml:space="preserve"> the</w:t>
      </w:r>
      <w:r w:rsidR="006D4774" w:rsidRPr="00EB7F4C">
        <w:rPr>
          <w:rFonts w:ascii="Times New Roman" w:eastAsia="Batang" w:hAnsi="Times New Roman"/>
          <w:color w:val="auto"/>
          <w:sz w:val="24"/>
          <w:szCs w:val="24"/>
          <w:lang w:eastAsia="ko-KR"/>
        </w:rPr>
        <w:t xml:space="preserve"> Department plans to achieve the following</w:t>
      </w:r>
      <w:r w:rsidR="00D77A33">
        <w:rPr>
          <w:rFonts w:ascii="Times New Roman" w:eastAsia="Batang" w:hAnsi="Times New Roman"/>
          <w:color w:val="auto"/>
          <w:sz w:val="24"/>
          <w:szCs w:val="24"/>
          <w:lang w:eastAsia="ko-KR"/>
        </w:rPr>
        <w:t>:</w:t>
      </w:r>
      <w:r w:rsidR="00840ABB" w:rsidRPr="00EB7F4C">
        <w:rPr>
          <w:rFonts w:ascii="Times New Roman" w:eastAsia="Batang" w:hAnsi="Times New Roman"/>
          <w:color w:val="auto"/>
          <w:sz w:val="24"/>
          <w:szCs w:val="24"/>
          <w:lang w:eastAsia="ko-KR"/>
        </w:rPr>
        <w:t xml:space="preserve"> </w:t>
      </w:r>
    </w:p>
    <w:p w14:paraId="3832F1BB" w14:textId="77777777" w:rsidR="00D77A33" w:rsidRPr="00EB7F4C" w:rsidRDefault="00D77A33" w:rsidP="00941E30">
      <w:pPr>
        <w:jc w:val="both"/>
        <w:rPr>
          <w:rFonts w:ascii="Times New Roman" w:eastAsia="Batang" w:hAnsi="Times New Roman"/>
          <w:color w:val="auto"/>
          <w:sz w:val="24"/>
          <w:szCs w:val="24"/>
          <w:lang w:eastAsia="ko-KR"/>
        </w:rPr>
      </w:pPr>
    </w:p>
    <w:p w14:paraId="15706A61" w14:textId="77777777" w:rsidR="004046B3" w:rsidRPr="0093633A" w:rsidRDefault="001A12A1">
      <w:pPr>
        <w:numPr>
          <w:ilvl w:val="0"/>
          <w:numId w:val="5"/>
        </w:numPr>
        <w:spacing w:line="360" w:lineRule="auto"/>
        <w:ind w:left="714" w:hanging="357"/>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The</w:t>
      </w:r>
      <w:r w:rsidRPr="0093633A">
        <w:rPr>
          <w:rFonts w:ascii="Times New Roman" w:eastAsia="Batang" w:hAnsi="Times New Roman"/>
          <w:color w:val="auto"/>
          <w:sz w:val="24"/>
          <w:szCs w:val="24"/>
          <w:lang w:eastAsia="ko-KR"/>
        </w:rPr>
        <w:t xml:space="preserve"> </w:t>
      </w:r>
      <w:r w:rsidR="004046B3" w:rsidRPr="0093633A">
        <w:rPr>
          <w:rFonts w:ascii="Times New Roman" w:eastAsia="Batang" w:hAnsi="Times New Roman"/>
          <w:color w:val="auto"/>
          <w:sz w:val="24"/>
          <w:szCs w:val="24"/>
          <w:lang w:eastAsia="ko-KR"/>
        </w:rPr>
        <w:t>draft NHI Bill will be gazetted for public comments.</w:t>
      </w:r>
    </w:p>
    <w:p w14:paraId="14ADBDBE" w14:textId="77777777" w:rsidR="00917347" w:rsidRPr="0093633A" w:rsidRDefault="00917347">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Private health providers will be contracted to provide health services.</w:t>
      </w:r>
    </w:p>
    <w:p w14:paraId="6854E5D5" w14:textId="77777777" w:rsidR="00917347" w:rsidRPr="0093633A" w:rsidRDefault="00917347">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The eHealth Strategy </w:t>
      </w:r>
      <w:r w:rsidR="001278C5" w:rsidRPr="0093633A">
        <w:rPr>
          <w:rFonts w:ascii="Times New Roman" w:eastAsia="Batang" w:hAnsi="Times New Roman"/>
          <w:color w:val="auto"/>
          <w:sz w:val="24"/>
          <w:szCs w:val="24"/>
          <w:lang w:eastAsia="ko-KR"/>
        </w:rPr>
        <w:t>(</w:t>
      </w:r>
      <w:r w:rsidRPr="0093633A">
        <w:rPr>
          <w:rFonts w:ascii="Times New Roman" w:eastAsia="Batang" w:hAnsi="Times New Roman"/>
          <w:color w:val="auto"/>
          <w:sz w:val="24"/>
          <w:szCs w:val="24"/>
          <w:lang w:eastAsia="ko-KR"/>
        </w:rPr>
        <w:t>2019-2023</w:t>
      </w:r>
      <w:r w:rsidR="001278C5" w:rsidRPr="0093633A">
        <w:rPr>
          <w:rFonts w:ascii="Times New Roman" w:eastAsia="Batang" w:hAnsi="Times New Roman"/>
          <w:color w:val="auto"/>
          <w:sz w:val="24"/>
          <w:szCs w:val="24"/>
          <w:lang w:eastAsia="ko-KR"/>
        </w:rPr>
        <w:t>)</w:t>
      </w:r>
      <w:r w:rsidRPr="0093633A">
        <w:rPr>
          <w:rFonts w:ascii="Times New Roman" w:eastAsia="Batang" w:hAnsi="Times New Roman"/>
          <w:color w:val="auto"/>
          <w:sz w:val="24"/>
          <w:szCs w:val="24"/>
          <w:lang w:eastAsia="ko-KR"/>
        </w:rPr>
        <w:t xml:space="preserve"> will be published.</w:t>
      </w:r>
    </w:p>
    <w:p w14:paraId="1C0204FB" w14:textId="77777777" w:rsidR="00917347" w:rsidRPr="00941E30" w:rsidRDefault="001278C5">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lastRenderedPageBreak/>
        <w:t>3000</w:t>
      </w:r>
      <w:r w:rsidR="00917347" w:rsidRPr="0093633A">
        <w:rPr>
          <w:rFonts w:ascii="Times New Roman" w:eastAsia="Batang" w:hAnsi="Times New Roman"/>
          <w:color w:val="auto"/>
          <w:sz w:val="24"/>
          <w:szCs w:val="24"/>
          <w:lang w:eastAsia="ko-KR"/>
        </w:rPr>
        <w:t xml:space="preserve"> </w:t>
      </w:r>
      <w:r w:rsidRPr="0093633A">
        <w:rPr>
          <w:rFonts w:ascii="Times New Roman" w:eastAsia="Batang" w:hAnsi="Times New Roman"/>
          <w:color w:val="auto"/>
          <w:sz w:val="24"/>
          <w:szCs w:val="24"/>
          <w:lang w:eastAsia="ko-KR"/>
        </w:rPr>
        <w:t xml:space="preserve">PHC </w:t>
      </w:r>
      <w:r w:rsidR="00917347" w:rsidRPr="0093633A">
        <w:rPr>
          <w:rFonts w:ascii="Times New Roman" w:eastAsia="Batang" w:hAnsi="Times New Roman"/>
          <w:color w:val="auto"/>
          <w:sz w:val="24"/>
          <w:szCs w:val="24"/>
          <w:lang w:eastAsia="ko-KR"/>
        </w:rPr>
        <w:t>facilities</w:t>
      </w:r>
      <w:r w:rsidRPr="0093633A">
        <w:rPr>
          <w:rFonts w:ascii="Times New Roman" w:eastAsia="Batang" w:hAnsi="Times New Roman"/>
          <w:color w:val="auto"/>
          <w:sz w:val="24"/>
          <w:szCs w:val="24"/>
          <w:lang w:eastAsia="ko-KR"/>
        </w:rPr>
        <w:t xml:space="preserve"> already using the health patient registration system (HPRS) </w:t>
      </w:r>
      <w:r w:rsidR="00917347" w:rsidRPr="0093633A">
        <w:rPr>
          <w:rFonts w:ascii="Times New Roman" w:eastAsia="Batang" w:hAnsi="Times New Roman"/>
          <w:color w:val="auto"/>
          <w:sz w:val="24"/>
          <w:szCs w:val="24"/>
          <w:lang w:eastAsia="ko-KR"/>
        </w:rPr>
        <w:t>will be maintained</w:t>
      </w:r>
      <w:r w:rsidRPr="0093633A">
        <w:rPr>
          <w:rFonts w:ascii="Times New Roman" w:eastAsia="Batang" w:hAnsi="Times New Roman"/>
          <w:color w:val="auto"/>
          <w:sz w:val="24"/>
          <w:szCs w:val="24"/>
          <w:lang w:eastAsia="ko-KR"/>
        </w:rPr>
        <w:t xml:space="preserve"> and an a</w:t>
      </w:r>
      <w:r w:rsidR="00917347" w:rsidRPr="0093633A">
        <w:rPr>
          <w:rFonts w:ascii="Times New Roman" w:eastAsia="Batang" w:hAnsi="Times New Roman"/>
          <w:color w:val="auto"/>
          <w:sz w:val="24"/>
          <w:szCs w:val="24"/>
          <w:lang w:eastAsia="ko-KR"/>
        </w:rPr>
        <w:t xml:space="preserve">dditional 470 </w:t>
      </w:r>
      <w:r w:rsidRPr="0093633A">
        <w:rPr>
          <w:rFonts w:ascii="Times New Roman" w:eastAsia="Batang" w:hAnsi="Times New Roman"/>
          <w:color w:val="auto"/>
          <w:sz w:val="24"/>
          <w:szCs w:val="24"/>
          <w:lang w:eastAsia="ko-KR"/>
        </w:rPr>
        <w:t xml:space="preserve">PHC facilities </w:t>
      </w:r>
      <w:r w:rsidR="00917347" w:rsidRPr="0093633A">
        <w:rPr>
          <w:rFonts w:ascii="Times New Roman" w:eastAsia="Batang" w:hAnsi="Times New Roman"/>
          <w:color w:val="auto"/>
          <w:sz w:val="24"/>
          <w:szCs w:val="24"/>
          <w:lang w:eastAsia="ko-KR"/>
        </w:rPr>
        <w:t>and 22 hospitals will implement HPRS.</w:t>
      </w:r>
    </w:p>
    <w:p w14:paraId="1485DA8B" w14:textId="77777777" w:rsidR="008A5AD8" w:rsidRPr="00941E30" w:rsidRDefault="008A5AD8">
      <w:pPr>
        <w:numPr>
          <w:ilvl w:val="0"/>
          <w:numId w:val="5"/>
        </w:numPr>
        <w:spacing w:line="360" w:lineRule="auto"/>
        <w:ind w:left="714" w:hanging="357"/>
        <w:jc w:val="both"/>
        <w:rPr>
          <w:rFonts w:ascii="Times New Roman" w:eastAsia="Batang" w:hAnsi="Times New Roman"/>
          <w:b/>
          <w:color w:val="auto"/>
          <w:sz w:val="24"/>
          <w:szCs w:val="24"/>
          <w:lang w:eastAsia="ko-KR"/>
        </w:rPr>
      </w:pPr>
      <w:r w:rsidRPr="00085BAF">
        <w:rPr>
          <w:rFonts w:ascii="Times New Roman" w:eastAsia="Batang" w:hAnsi="Times New Roman"/>
          <w:color w:val="auto"/>
          <w:sz w:val="24"/>
          <w:szCs w:val="24"/>
          <w:lang w:eastAsia="ko-KR"/>
        </w:rPr>
        <w:t>35 million patients will be registered on the HPRS.</w:t>
      </w:r>
    </w:p>
    <w:p w14:paraId="6E1DB34D" w14:textId="77777777" w:rsidR="008A5AD8" w:rsidRPr="0093633A" w:rsidRDefault="008A5AD8">
      <w:pPr>
        <w:numPr>
          <w:ilvl w:val="0"/>
          <w:numId w:val="5"/>
        </w:numPr>
        <w:spacing w:line="360" w:lineRule="auto"/>
        <w:ind w:left="714" w:hanging="357"/>
        <w:jc w:val="both"/>
        <w:rPr>
          <w:rFonts w:ascii="Times New Roman" w:eastAsia="Batang" w:hAnsi="Times New Roman"/>
          <w:b/>
          <w:color w:val="auto"/>
          <w:sz w:val="24"/>
          <w:szCs w:val="24"/>
          <w:lang w:eastAsia="ko-KR"/>
        </w:rPr>
      </w:pPr>
      <w:r w:rsidRPr="00085BAF">
        <w:rPr>
          <w:rFonts w:ascii="Times New Roman" w:eastAsia="Batang" w:hAnsi="Times New Roman"/>
          <w:color w:val="auto"/>
          <w:sz w:val="24"/>
          <w:szCs w:val="24"/>
          <w:lang w:eastAsia="ko-KR"/>
        </w:rPr>
        <w:t>3625 health facilities will be reporting stock availability at the national surveillance centre.</w:t>
      </w:r>
    </w:p>
    <w:p w14:paraId="047482A5" w14:textId="77777777" w:rsidR="00917347" w:rsidRPr="0093633A" w:rsidRDefault="00917347">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2</w:t>
      </w:r>
      <w:r w:rsidR="008A5AD8" w:rsidRPr="0093633A">
        <w:rPr>
          <w:rFonts w:ascii="Times New Roman" w:eastAsia="Batang" w:hAnsi="Times New Roman"/>
          <w:color w:val="auto"/>
          <w:sz w:val="24"/>
          <w:szCs w:val="24"/>
          <w:lang w:eastAsia="ko-KR"/>
        </w:rPr>
        <w:t>.</w:t>
      </w:r>
      <w:r w:rsidRPr="0093633A">
        <w:rPr>
          <w:rFonts w:ascii="Times New Roman" w:eastAsia="Batang" w:hAnsi="Times New Roman"/>
          <w:color w:val="auto"/>
          <w:sz w:val="24"/>
          <w:szCs w:val="24"/>
          <w:lang w:eastAsia="ko-KR"/>
        </w:rPr>
        <w:t>5</w:t>
      </w:r>
      <w:r w:rsidR="008A5AD8" w:rsidRPr="0093633A">
        <w:rPr>
          <w:rFonts w:ascii="Times New Roman" w:eastAsia="Batang" w:hAnsi="Times New Roman"/>
          <w:color w:val="auto"/>
          <w:sz w:val="24"/>
          <w:szCs w:val="24"/>
          <w:lang w:eastAsia="ko-KR"/>
        </w:rPr>
        <w:t xml:space="preserve"> million </w:t>
      </w:r>
      <w:r w:rsidRPr="0093633A">
        <w:rPr>
          <w:rFonts w:ascii="Times New Roman" w:eastAsia="Batang" w:hAnsi="Times New Roman"/>
          <w:color w:val="auto"/>
          <w:sz w:val="24"/>
          <w:szCs w:val="24"/>
          <w:lang w:eastAsia="ko-KR"/>
        </w:rPr>
        <w:t xml:space="preserve">patients will be enrolled for receiving medicines </w:t>
      </w:r>
      <w:r w:rsidR="007A3997">
        <w:rPr>
          <w:rFonts w:ascii="Times New Roman" w:eastAsia="Batang" w:hAnsi="Times New Roman"/>
          <w:color w:val="auto"/>
          <w:sz w:val="24"/>
          <w:szCs w:val="24"/>
          <w:lang w:eastAsia="ko-KR"/>
        </w:rPr>
        <w:t>through</w:t>
      </w:r>
      <w:r w:rsidR="007A3997" w:rsidRPr="0093633A">
        <w:rPr>
          <w:rFonts w:ascii="Times New Roman" w:eastAsia="Batang" w:hAnsi="Times New Roman"/>
          <w:color w:val="auto"/>
          <w:sz w:val="24"/>
          <w:szCs w:val="24"/>
          <w:lang w:eastAsia="ko-KR"/>
        </w:rPr>
        <w:t xml:space="preserve"> </w:t>
      </w:r>
      <w:r w:rsidRPr="0093633A">
        <w:rPr>
          <w:rFonts w:ascii="Times New Roman" w:eastAsia="Batang" w:hAnsi="Times New Roman"/>
          <w:color w:val="auto"/>
          <w:sz w:val="24"/>
          <w:szCs w:val="24"/>
          <w:lang w:eastAsia="ko-KR"/>
        </w:rPr>
        <w:t xml:space="preserve">the centralised chronic medicine dispensing (CCMDD) programme. </w:t>
      </w:r>
    </w:p>
    <w:p w14:paraId="04C49630" w14:textId="77777777" w:rsidR="00917347" w:rsidRPr="0093633A" w:rsidRDefault="008A5AD8">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S</w:t>
      </w:r>
      <w:r w:rsidR="00917347" w:rsidRPr="0093633A">
        <w:rPr>
          <w:rFonts w:ascii="Times New Roman" w:eastAsia="Batang" w:hAnsi="Times New Roman"/>
          <w:color w:val="auto"/>
          <w:sz w:val="24"/>
          <w:szCs w:val="24"/>
          <w:lang w:eastAsia="ko-KR"/>
        </w:rPr>
        <w:t xml:space="preserve">urveillance system for monitoring </w:t>
      </w:r>
      <w:r w:rsidRPr="0093633A">
        <w:rPr>
          <w:rFonts w:ascii="Times New Roman" w:eastAsia="Batang" w:hAnsi="Times New Roman"/>
          <w:color w:val="auto"/>
          <w:sz w:val="24"/>
          <w:szCs w:val="24"/>
          <w:lang w:eastAsia="ko-KR"/>
        </w:rPr>
        <w:t xml:space="preserve">antimicrobial </w:t>
      </w:r>
      <w:r w:rsidR="00917347" w:rsidRPr="0093633A">
        <w:rPr>
          <w:rFonts w:ascii="Times New Roman" w:eastAsia="Batang" w:hAnsi="Times New Roman"/>
          <w:color w:val="auto"/>
          <w:sz w:val="24"/>
          <w:szCs w:val="24"/>
          <w:lang w:eastAsia="ko-KR"/>
        </w:rPr>
        <w:t xml:space="preserve">resistance </w:t>
      </w:r>
      <w:r w:rsidRPr="0093633A">
        <w:rPr>
          <w:rFonts w:ascii="Times New Roman" w:eastAsia="Batang" w:hAnsi="Times New Roman"/>
          <w:color w:val="auto"/>
          <w:sz w:val="24"/>
          <w:szCs w:val="24"/>
          <w:lang w:eastAsia="ko-KR"/>
        </w:rPr>
        <w:t xml:space="preserve">will be accessible </w:t>
      </w:r>
      <w:r w:rsidR="00917347" w:rsidRPr="0093633A">
        <w:rPr>
          <w:rFonts w:ascii="Times New Roman" w:eastAsia="Batang" w:hAnsi="Times New Roman"/>
          <w:color w:val="auto"/>
          <w:sz w:val="24"/>
          <w:szCs w:val="24"/>
          <w:lang w:eastAsia="ko-KR"/>
        </w:rPr>
        <w:t>to three Provincial Departments of Health.</w:t>
      </w:r>
    </w:p>
    <w:p w14:paraId="04C2634B" w14:textId="77777777" w:rsidR="00917347" w:rsidRPr="0093633A" w:rsidRDefault="00917347">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The Tradit</w:t>
      </w:r>
      <w:r w:rsidR="007D59D4" w:rsidRPr="0093633A">
        <w:rPr>
          <w:rFonts w:ascii="Times New Roman" w:eastAsia="Batang" w:hAnsi="Times New Roman"/>
          <w:color w:val="auto"/>
          <w:sz w:val="24"/>
          <w:szCs w:val="24"/>
          <w:lang w:eastAsia="ko-KR"/>
        </w:rPr>
        <w:t>ional Health Practitioners Amendment Bill will be published for comment</w:t>
      </w:r>
      <w:r w:rsidR="00CD0171" w:rsidRPr="0093633A">
        <w:rPr>
          <w:rFonts w:ascii="Times New Roman" w:eastAsia="Batang" w:hAnsi="Times New Roman"/>
          <w:color w:val="auto"/>
          <w:sz w:val="24"/>
          <w:szCs w:val="24"/>
          <w:lang w:eastAsia="ko-KR"/>
        </w:rPr>
        <w:t>s</w:t>
      </w:r>
      <w:r w:rsidR="007D59D4" w:rsidRPr="0093633A">
        <w:rPr>
          <w:rFonts w:ascii="Times New Roman" w:eastAsia="Batang" w:hAnsi="Times New Roman"/>
          <w:color w:val="auto"/>
          <w:sz w:val="24"/>
          <w:szCs w:val="24"/>
          <w:lang w:eastAsia="ko-KR"/>
        </w:rPr>
        <w:t>.</w:t>
      </w:r>
    </w:p>
    <w:p w14:paraId="3067DC09" w14:textId="77777777" w:rsidR="007D59D4" w:rsidRPr="0093633A" w:rsidRDefault="007D59D4">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The 2018/19 annual </w:t>
      </w:r>
      <w:r w:rsidR="00CD0171" w:rsidRPr="0093633A">
        <w:rPr>
          <w:rFonts w:ascii="Times New Roman" w:eastAsia="Batang" w:hAnsi="Times New Roman"/>
          <w:color w:val="auto"/>
          <w:sz w:val="24"/>
          <w:szCs w:val="24"/>
          <w:lang w:eastAsia="ko-KR"/>
        </w:rPr>
        <w:t xml:space="preserve">single exit </w:t>
      </w:r>
      <w:r w:rsidRPr="0093633A">
        <w:rPr>
          <w:rFonts w:ascii="Times New Roman" w:eastAsia="Batang" w:hAnsi="Times New Roman"/>
          <w:color w:val="auto"/>
          <w:sz w:val="24"/>
          <w:szCs w:val="24"/>
          <w:lang w:eastAsia="ko-KR"/>
        </w:rPr>
        <w:t>price adjustments will be gazetted and implemented.</w:t>
      </w:r>
    </w:p>
    <w:p w14:paraId="1B710A0E" w14:textId="77777777" w:rsidR="007D59D4" w:rsidRPr="0093633A" w:rsidRDefault="003A60D5">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1500</w:t>
      </w:r>
      <w:r w:rsidR="007D59D4" w:rsidRPr="0093633A">
        <w:rPr>
          <w:rFonts w:ascii="Times New Roman" w:eastAsia="Batang" w:hAnsi="Times New Roman"/>
          <w:color w:val="auto"/>
          <w:sz w:val="24"/>
          <w:szCs w:val="24"/>
          <w:lang w:eastAsia="ko-KR"/>
        </w:rPr>
        <w:t xml:space="preserve"> PHC facilities will conduct patient experience of care surveys.</w:t>
      </w:r>
    </w:p>
    <w:p w14:paraId="5A9B8B2F" w14:textId="77777777" w:rsidR="0037275E" w:rsidRPr="0093633A" w:rsidRDefault="007D59D4">
      <w:pPr>
        <w:numPr>
          <w:ilvl w:val="0"/>
          <w:numId w:val="5"/>
        </w:numPr>
        <w:spacing w:line="360" w:lineRule="auto"/>
        <w:ind w:left="714" w:hanging="357"/>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The NHI Phase 1 evaluation report </w:t>
      </w:r>
      <w:r w:rsidR="00837E16">
        <w:rPr>
          <w:rFonts w:ascii="Times New Roman" w:eastAsia="Batang" w:hAnsi="Times New Roman"/>
          <w:color w:val="auto"/>
          <w:sz w:val="24"/>
          <w:szCs w:val="24"/>
          <w:lang w:eastAsia="ko-KR"/>
        </w:rPr>
        <w:t>will</w:t>
      </w:r>
      <w:r w:rsidR="00837E16" w:rsidRPr="0093633A">
        <w:rPr>
          <w:rFonts w:ascii="Times New Roman" w:eastAsia="Batang" w:hAnsi="Times New Roman"/>
          <w:color w:val="auto"/>
          <w:sz w:val="24"/>
          <w:szCs w:val="24"/>
          <w:lang w:eastAsia="ko-KR"/>
        </w:rPr>
        <w:t xml:space="preserve"> </w:t>
      </w:r>
      <w:r w:rsidRPr="0093633A">
        <w:rPr>
          <w:rFonts w:ascii="Times New Roman" w:eastAsia="Batang" w:hAnsi="Times New Roman"/>
          <w:color w:val="auto"/>
          <w:sz w:val="24"/>
          <w:szCs w:val="24"/>
          <w:lang w:eastAsia="ko-KR"/>
        </w:rPr>
        <w:t>be published.</w:t>
      </w:r>
    </w:p>
    <w:p w14:paraId="1C376A96" w14:textId="77777777" w:rsidR="00847A27" w:rsidRPr="0093633A" w:rsidRDefault="00847A27" w:rsidP="00941E30">
      <w:pPr>
        <w:ind w:left="357"/>
        <w:jc w:val="both"/>
        <w:rPr>
          <w:rFonts w:ascii="Times New Roman" w:eastAsia="Batang" w:hAnsi="Times New Roman"/>
          <w:b/>
          <w:color w:val="auto"/>
          <w:sz w:val="24"/>
          <w:szCs w:val="24"/>
          <w:lang w:eastAsia="ko-KR"/>
        </w:rPr>
      </w:pPr>
    </w:p>
    <w:p w14:paraId="1500AE2C" w14:textId="77777777" w:rsidR="00D551AB" w:rsidRPr="0093633A" w:rsidRDefault="00D551AB" w:rsidP="00941E30">
      <w:pPr>
        <w:jc w:val="both"/>
        <w:rPr>
          <w:rFonts w:ascii="Times New Roman" w:eastAsia="Batang" w:hAnsi="Times New Roman"/>
          <w:b/>
          <w:color w:val="auto"/>
          <w:sz w:val="24"/>
          <w:szCs w:val="24"/>
          <w:lang w:eastAsia="ko-KR"/>
        </w:rPr>
      </w:pPr>
      <w:r w:rsidRPr="0093633A">
        <w:rPr>
          <w:rFonts w:ascii="Times New Roman" w:eastAsia="Batang" w:hAnsi="Times New Roman"/>
          <w:b/>
          <w:color w:val="auto"/>
          <w:sz w:val="24"/>
          <w:szCs w:val="24"/>
          <w:lang w:eastAsia="ko-KR"/>
        </w:rPr>
        <w:t>Programme 3: HIV/AIDS, TB and Maternal and Child Health</w:t>
      </w:r>
    </w:p>
    <w:p w14:paraId="562691DE" w14:textId="77777777" w:rsidR="00D551AB" w:rsidRPr="0093633A" w:rsidRDefault="00D551AB" w:rsidP="00941E30">
      <w:pPr>
        <w:pStyle w:val="ListParagraph"/>
        <w:jc w:val="both"/>
        <w:rPr>
          <w:rFonts w:ascii="Times New Roman" w:eastAsia="Batang" w:hAnsi="Times New Roman"/>
          <w:b/>
          <w:color w:val="auto"/>
          <w:sz w:val="24"/>
          <w:szCs w:val="24"/>
          <w:lang w:eastAsia="ko-KR"/>
        </w:rPr>
      </w:pPr>
    </w:p>
    <w:p w14:paraId="20B6E138" w14:textId="77777777" w:rsidR="00B37A96" w:rsidRDefault="00A60FA6">
      <w:pPr>
        <w:spacing w:line="360" w:lineRule="auto"/>
        <w:jc w:val="both"/>
        <w:rPr>
          <w:rFonts w:ascii="Times New Roman" w:hAnsi="Times New Roman"/>
          <w:color w:val="auto"/>
          <w:sz w:val="24"/>
          <w:szCs w:val="24"/>
        </w:rPr>
      </w:pPr>
      <w:r w:rsidRPr="0093633A">
        <w:rPr>
          <w:rFonts w:ascii="Times New Roman" w:eastAsia="Batang" w:hAnsi="Times New Roman"/>
          <w:color w:val="auto"/>
          <w:sz w:val="24"/>
          <w:szCs w:val="24"/>
          <w:lang w:eastAsia="ko-KR"/>
        </w:rPr>
        <w:t>The purpose of HIV/AI</w:t>
      </w:r>
      <w:r w:rsidR="007F4303">
        <w:rPr>
          <w:rFonts w:ascii="Times New Roman" w:eastAsia="Batang" w:hAnsi="Times New Roman"/>
          <w:color w:val="auto"/>
          <w:sz w:val="24"/>
          <w:szCs w:val="24"/>
          <w:lang w:eastAsia="ko-KR"/>
        </w:rPr>
        <w:t>D</w:t>
      </w:r>
      <w:r w:rsidRPr="0093633A">
        <w:rPr>
          <w:rFonts w:ascii="Times New Roman" w:eastAsia="Batang" w:hAnsi="Times New Roman"/>
          <w:color w:val="auto"/>
          <w:sz w:val="24"/>
          <w:szCs w:val="24"/>
          <w:lang w:eastAsia="ko-KR"/>
        </w:rPr>
        <w:t xml:space="preserve">S, TB and Maternal and Child Health programme is to develop and monitor implementation of national policies, guidelines, norms and standards, and targets for the national responses needed to decrease the burden of disease associated with burden of HIV and TB epidemics; to minimise maternal and child mortality and morbidity; and to optimise good health for children, adolescents and women; and monitor and evaluate the outcomes and impact of these. </w:t>
      </w:r>
      <w:r w:rsidR="00B37A96" w:rsidRPr="0093633A">
        <w:rPr>
          <w:rFonts w:ascii="Times New Roman" w:hAnsi="Times New Roman"/>
          <w:color w:val="auto"/>
          <w:sz w:val="24"/>
          <w:szCs w:val="24"/>
        </w:rPr>
        <w:t>Targets under Programme 3 for the current financial year (201</w:t>
      </w:r>
      <w:r w:rsidR="007D59D4" w:rsidRPr="0093633A">
        <w:rPr>
          <w:rFonts w:ascii="Times New Roman" w:hAnsi="Times New Roman"/>
          <w:color w:val="auto"/>
          <w:sz w:val="24"/>
          <w:szCs w:val="24"/>
        </w:rPr>
        <w:t>8</w:t>
      </w:r>
      <w:r w:rsidR="00B37A96" w:rsidRPr="0093633A">
        <w:rPr>
          <w:rFonts w:ascii="Times New Roman" w:hAnsi="Times New Roman"/>
          <w:color w:val="auto"/>
          <w:sz w:val="24"/>
          <w:szCs w:val="24"/>
        </w:rPr>
        <w:t>/1</w:t>
      </w:r>
      <w:r w:rsidR="007D59D4" w:rsidRPr="0093633A">
        <w:rPr>
          <w:rFonts w:ascii="Times New Roman" w:hAnsi="Times New Roman"/>
          <w:color w:val="auto"/>
          <w:sz w:val="24"/>
          <w:szCs w:val="24"/>
        </w:rPr>
        <w:t>9</w:t>
      </w:r>
      <w:r w:rsidR="00B37A96" w:rsidRPr="0093633A">
        <w:rPr>
          <w:rFonts w:ascii="Times New Roman" w:hAnsi="Times New Roman"/>
          <w:color w:val="auto"/>
          <w:sz w:val="24"/>
          <w:szCs w:val="24"/>
        </w:rPr>
        <w:t xml:space="preserve">) are as follows: </w:t>
      </w:r>
    </w:p>
    <w:p w14:paraId="22EAE694" w14:textId="77777777" w:rsidR="00D77A33" w:rsidRPr="0093633A" w:rsidRDefault="00D77A33" w:rsidP="00941E30">
      <w:pPr>
        <w:jc w:val="both"/>
        <w:rPr>
          <w:rFonts w:ascii="Times New Roman" w:eastAsia="Batang" w:hAnsi="Times New Roman"/>
          <w:color w:val="auto"/>
          <w:sz w:val="24"/>
          <w:szCs w:val="24"/>
          <w:lang w:eastAsia="ko-KR"/>
        </w:rPr>
      </w:pPr>
    </w:p>
    <w:p w14:paraId="289C8F50" w14:textId="77777777" w:rsidR="00A42E3F" w:rsidRPr="0093633A" w:rsidRDefault="000B693C">
      <w:pPr>
        <w:pStyle w:val="ListParagraph"/>
        <w:numPr>
          <w:ilvl w:val="0"/>
          <w:numId w:val="15"/>
        </w:numPr>
        <w:spacing w:line="360" w:lineRule="auto"/>
        <w:jc w:val="both"/>
        <w:rPr>
          <w:rFonts w:ascii="Times New Roman" w:hAnsi="Times New Roman"/>
          <w:color w:val="auto"/>
          <w:sz w:val="24"/>
          <w:szCs w:val="24"/>
        </w:rPr>
      </w:pPr>
      <w:r w:rsidRPr="0093633A">
        <w:rPr>
          <w:rFonts w:ascii="Times New Roman" w:hAnsi="Times New Roman"/>
          <w:color w:val="auto"/>
          <w:sz w:val="24"/>
          <w:szCs w:val="24"/>
        </w:rPr>
        <w:t>On implementing prevention and treatment interventions to reduce the burden of HIV, STI and TB infections</w:t>
      </w:r>
      <w:r w:rsidR="001D7B40" w:rsidRPr="0093633A">
        <w:rPr>
          <w:rFonts w:ascii="Times New Roman" w:hAnsi="Times New Roman"/>
          <w:color w:val="auto"/>
          <w:sz w:val="24"/>
          <w:szCs w:val="24"/>
        </w:rPr>
        <w:t xml:space="preserve">, the following will be achieved: 5 million patients remaining on ART; 14 million people reached in the national health screening and testing campaign; 600 </w:t>
      </w:r>
      <w:r w:rsidR="007F4303">
        <w:rPr>
          <w:rFonts w:ascii="Times New Roman" w:hAnsi="Times New Roman"/>
          <w:color w:val="auto"/>
          <w:sz w:val="24"/>
          <w:szCs w:val="24"/>
        </w:rPr>
        <w:t>0</w:t>
      </w:r>
      <w:r w:rsidR="001D7B40" w:rsidRPr="0093633A">
        <w:rPr>
          <w:rFonts w:ascii="Times New Roman" w:hAnsi="Times New Roman"/>
          <w:color w:val="auto"/>
          <w:sz w:val="24"/>
          <w:szCs w:val="24"/>
        </w:rPr>
        <w:t xml:space="preserve">00 medical male circumcision performed; and 80 000 new TB cases found.  </w:t>
      </w:r>
    </w:p>
    <w:p w14:paraId="1932B7D9" w14:textId="77777777" w:rsidR="00A42E3F" w:rsidRPr="0093633A" w:rsidRDefault="00837E16">
      <w:pPr>
        <w:pStyle w:val="ListParagraph"/>
        <w:numPr>
          <w:ilvl w:val="0"/>
          <w:numId w:val="15"/>
        </w:numPr>
        <w:spacing w:line="360" w:lineRule="auto"/>
        <w:jc w:val="both"/>
        <w:rPr>
          <w:rFonts w:ascii="Times New Roman" w:hAnsi="Times New Roman"/>
          <w:color w:val="auto"/>
          <w:sz w:val="24"/>
          <w:szCs w:val="24"/>
        </w:rPr>
      </w:pPr>
      <w:r>
        <w:rPr>
          <w:rFonts w:ascii="Times New Roman" w:hAnsi="Times New Roman"/>
          <w:color w:val="auto"/>
          <w:sz w:val="24"/>
          <w:szCs w:val="24"/>
        </w:rPr>
        <w:t>The EPI coverage</w:t>
      </w:r>
      <w:r w:rsidRPr="0093633A">
        <w:rPr>
          <w:rFonts w:ascii="Times New Roman" w:hAnsi="Times New Roman"/>
          <w:color w:val="auto"/>
          <w:sz w:val="24"/>
          <w:szCs w:val="24"/>
        </w:rPr>
        <w:t xml:space="preserve"> </w:t>
      </w:r>
      <w:r w:rsidR="001D7B40" w:rsidRPr="0093633A">
        <w:rPr>
          <w:rFonts w:ascii="Times New Roman" w:hAnsi="Times New Roman"/>
          <w:color w:val="auto"/>
          <w:sz w:val="24"/>
          <w:szCs w:val="24"/>
        </w:rPr>
        <w:t>s</w:t>
      </w:r>
      <w:r w:rsidR="00A42E3F" w:rsidRPr="0093633A">
        <w:rPr>
          <w:rFonts w:ascii="Times New Roman" w:hAnsi="Times New Roman"/>
          <w:color w:val="auto"/>
          <w:sz w:val="24"/>
          <w:szCs w:val="24"/>
        </w:rPr>
        <w:t>urvey protocol will be developed and field work completed.</w:t>
      </w:r>
    </w:p>
    <w:p w14:paraId="49C3B3C2" w14:textId="77777777" w:rsidR="00A42E3F" w:rsidRPr="0093633A" w:rsidRDefault="001D7B40">
      <w:pPr>
        <w:pStyle w:val="ListParagraph"/>
        <w:numPr>
          <w:ilvl w:val="0"/>
          <w:numId w:val="15"/>
        </w:numPr>
        <w:spacing w:line="360" w:lineRule="auto"/>
        <w:jc w:val="both"/>
        <w:rPr>
          <w:rFonts w:ascii="Times New Roman" w:hAnsi="Times New Roman"/>
          <w:color w:val="auto"/>
          <w:sz w:val="24"/>
          <w:szCs w:val="24"/>
        </w:rPr>
      </w:pPr>
      <w:r w:rsidRPr="0093633A">
        <w:rPr>
          <w:rFonts w:ascii="Times New Roman" w:hAnsi="Times New Roman"/>
          <w:color w:val="auto"/>
          <w:sz w:val="24"/>
          <w:szCs w:val="24"/>
        </w:rPr>
        <w:lastRenderedPageBreak/>
        <w:t>In reducing under 5 mortality rate, i</w:t>
      </w:r>
      <w:r w:rsidR="00A42E3F" w:rsidRPr="0093633A">
        <w:rPr>
          <w:rFonts w:ascii="Times New Roman" w:hAnsi="Times New Roman"/>
          <w:color w:val="auto"/>
          <w:sz w:val="24"/>
          <w:szCs w:val="24"/>
        </w:rPr>
        <w:t>mplementation plans will be developed in partnership with Provincial Departments of Health and three provincial trainings will be conducted.</w:t>
      </w:r>
    </w:p>
    <w:p w14:paraId="73D3EE98" w14:textId="77777777" w:rsidR="00662CA5" w:rsidRPr="0093633A" w:rsidRDefault="00662CA5" w:rsidP="00941E30">
      <w:pPr>
        <w:jc w:val="both"/>
        <w:rPr>
          <w:rFonts w:ascii="Times New Roman" w:hAnsi="Times New Roman"/>
          <w:color w:val="auto"/>
          <w:sz w:val="24"/>
          <w:szCs w:val="24"/>
        </w:rPr>
      </w:pPr>
    </w:p>
    <w:p w14:paraId="2475243F" w14:textId="77777777" w:rsidR="00042343" w:rsidRPr="0093633A" w:rsidRDefault="00042343" w:rsidP="00941E30">
      <w:pPr>
        <w:jc w:val="both"/>
        <w:rPr>
          <w:rFonts w:ascii="Times New Roman" w:eastAsia="Batang" w:hAnsi="Times New Roman"/>
          <w:b/>
          <w:color w:val="auto"/>
          <w:sz w:val="24"/>
          <w:szCs w:val="24"/>
          <w:lang w:eastAsia="ko-KR"/>
        </w:rPr>
      </w:pPr>
      <w:r w:rsidRPr="00085BAF">
        <w:rPr>
          <w:rFonts w:ascii="Times New Roman" w:eastAsia="Batang" w:hAnsi="Times New Roman"/>
          <w:b/>
          <w:color w:val="auto"/>
          <w:sz w:val="24"/>
          <w:szCs w:val="24"/>
          <w:lang w:eastAsia="ko-KR"/>
        </w:rPr>
        <w:t xml:space="preserve">Programme 4: </w:t>
      </w:r>
      <w:r w:rsidR="00D90DB3" w:rsidRPr="0093633A">
        <w:rPr>
          <w:rFonts w:ascii="Times New Roman" w:eastAsia="Batang" w:hAnsi="Times New Roman"/>
          <w:b/>
          <w:color w:val="auto"/>
          <w:sz w:val="24"/>
          <w:szCs w:val="24"/>
          <w:lang w:eastAsia="ko-KR"/>
        </w:rPr>
        <w:t>Primary Health Care Services (PHC)</w:t>
      </w:r>
    </w:p>
    <w:p w14:paraId="3CFC556F" w14:textId="77777777" w:rsidR="00D90DB3" w:rsidRPr="0093633A" w:rsidRDefault="00D90DB3" w:rsidP="00941E30">
      <w:pPr>
        <w:ind w:left="360"/>
        <w:jc w:val="both"/>
        <w:rPr>
          <w:rFonts w:ascii="Times New Roman" w:eastAsia="Batang" w:hAnsi="Times New Roman"/>
          <w:b/>
          <w:color w:val="auto"/>
          <w:sz w:val="24"/>
          <w:szCs w:val="24"/>
          <w:lang w:eastAsia="ko-KR"/>
        </w:rPr>
      </w:pPr>
    </w:p>
    <w:p w14:paraId="37666748" w14:textId="77777777" w:rsidR="00041CAB" w:rsidRDefault="00672E4A">
      <w:pPr>
        <w:spacing w:line="360" w:lineRule="auto"/>
        <w:jc w:val="both"/>
        <w:rPr>
          <w:rFonts w:ascii="Times New Roman" w:hAnsi="Times New Roman"/>
          <w:color w:val="auto"/>
          <w:sz w:val="24"/>
          <w:szCs w:val="24"/>
        </w:rPr>
      </w:pPr>
      <w:r w:rsidRPr="0093633A">
        <w:rPr>
          <w:rFonts w:ascii="Times New Roman" w:eastAsia="Batang" w:hAnsi="Times New Roman"/>
          <w:color w:val="auto"/>
          <w:sz w:val="24"/>
          <w:szCs w:val="24"/>
          <w:lang w:eastAsia="ko-KR"/>
        </w:rPr>
        <w:t xml:space="preserve">The purpose of Primary Health Care Service Programme is to develop and oversee the implementation of legislation, policies, systems and norms and standards for a uniform well-functioning district health system, environmental health services, communicable disease control, non-communicable disease control as well as health promotion and nutrition programmes. </w:t>
      </w:r>
      <w:r w:rsidR="00041CAB" w:rsidRPr="0093633A">
        <w:rPr>
          <w:rFonts w:ascii="Times New Roman" w:eastAsia="Batang" w:hAnsi="Times New Roman"/>
          <w:color w:val="auto"/>
          <w:sz w:val="24"/>
          <w:szCs w:val="24"/>
          <w:lang w:eastAsia="ko-KR"/>
        </w:rPr>
        <w:t>T</w:t>
      </w:r>
      <w:r w:rsidR="00624899" w:rsidRPr="0093633A">
        <w:rPr>
          <w:rFonts w:ascii="Times New Roman" w:eastAsia="Batang" w:hAnsi="Times New Roman"/>
          <w:color w:val="auto"/>
          <w:sz w:val="24"/>
          <w:szCs w:val="24"/>
          <w:lang w:eastAsia="ko-KR"/>
        </w:rPr>
        <w:t>he t</w:t>
      </w:r>
      <w:r w:rsidR="00041CAB" w:rsidRPr="0093633A">
        <w:rPr>
          <w:rFonts w:ascii="Times New Roman" w:hAnsi="Times New Roman"/>
          <w:color w:val="auto"/>
          <w:sz w:val="24"/>
          <w:szCs w:val="24"/>
        </w:rPr>
        <w:t xml:space="preserve">argets </w:t>
      </w:r>
      <w:r w:rsidR="00624899" w:rsidRPr="0093633A">
        <w:rPr>
          <w:rFonts w:ascii="Times New Roman" w:hAnsi="Times New Roman"/>
          <w:color w:val="auto"/>
          <w:sz w:val="24"/>
          <w:szCs w:val="24"/>
        </w:rPr>
        <w:t xml:space="preserve">for </w:t>
      </w:r>
      <w:r w:rsidR="00041CAB" w:rsidRPr="0093633A">
        <w:rPr>
          <w:rFonts w:ascii="Times New Roman" w:hAnsi="Times New Roman"/>
          <w:color w:val="auto"/>
          <w:sz w:val="24"/>
          <w:szCs w:val="24"/>
        </w:rPr>
        <w:t xml:space="preserve">Programme 4 for </w:t>
      </w:r>
      <w:r w:rsidR="006E76BD" w:rsidRPr="0093633A">
        <w:rPr>
          <w:rFonts w:ascii="Times New Roman" w:hAnsi="Times New Roman"/>
          <w:color w:val="auto"/>
          <w:sz w:val="24"/>
          <w:szCs w:val="24"/>
        </w:rPr>
        <w:t>2018</w:t>
      </w:r>
      <w:r w:rsidR="00624899" w:rsidRPr="0093633A">
        <w:rPr>
          <w:rFonts w:ascii="Times New Roman" w:hAnsi="Times New Roman"/>
          <w:color w:val="auto"/>
          <w:sz w:val="24"/>
          <w:szCs w:val="24"/>
        </w:rPr>
        <w:t>/</w:t>
      </w:r>
      <w:r w:rsidR="006E76BD" w:rsidRPr="0093633A">
        <w:rPr>
          <w:rFonts w:ascii="Times New Roman" w:hAnsi="Times New Roman"/>
          <w:color w:val="auto"/>
          <w:sz w:val="24"/>
          <w:szCs w:val="24"/>
        </w:rPr>
        <w:t xml:space="preserve">19 </w:t>
      </w:r>
      <w:r w:rsidR="00041CAB" w:rsidRPr="0093633A">
        <w:rPr>
          <w:rFonts w:ascii="Times New Roman" w:hAnsi="Times New Roman"/>
          <w:color w:val="auto"/>
          <w:sz w:val="24"/>
          <w:szCs w:val="24"/>
        </w:rPr>
        <w:t>financial year</w:t>
      </w:r>
      <w:r w:rsidR="00624899" w:rsidRPr="0093633A">
        <w:rPr>
          <w:rFonts w:ascii="Times New Roman" w:hAnsi="Times New Roman"/>
          <w:color w:val="auto"/>
          <w:sz w:val="24"/>
          <w:szCs w:val="24"/>
        </w:rPr>
        <w:t xml:space="preserve"> are</w:t>
      </w:r>
      <w:r w:rsidR="005D5EAD" w:rsidRPr="0093633A">
        <w:rPr>
          <w:rFonts w:ascii="Times New Roman" w:hAnsi="Times New Roman"/>
          <w:color w:val="auto"/>
          <w:sz w:val="24"/>
          <w:szCs w:val="24"/>
        </w:rPr>
        <w:t xml:space="preserve"> as follows: </w:t>
      </w:r>
      <w:r w:rsidR="00041CAB" w:rsidRPr="0093633A">
        <w:rPr>
          <w:rFonts w:ascii="Times New Roman" w:hAnsi="Times New Roman"/>
          <w:color w:val="auto"/>
          <w:sz w:val="24"/>
          <w:szCs w:val="24"/>
        </w:rPr>
        <w:t xml:space="preserve"> </w:t>
      </w:r>
    </w:p>
    <w:p w14:paraId="6E94F478" w14:textId="77777777" w:rsidR="00D77A33" w:rsidRPr="0093633A" w:rsidRDefault="00D77A33" w:rsidP="00941E30">
      <w:pPr>
        <w:jc w:val="both"/>
        <w:rPr>
          <w:rFonts w:ascii="Times New Roman" w:eastAsia="Batang" w:hAnsi="Times New Roman"/>
          <w:color w:val="auto"/>
          <w:sz w:val="24"/>
          <w:szCs w:val="24"/>
          <w:lang w:eastAsia="ko-KR"/>
        </w:rPr>
      </w:pPr>
    </w:p>
    <w:p w14:paraId="63738C17" w14:textId="77777777" w:rsidR="005D5EAD" w:rsidRPr="0093633A" w:rsidRDefault="00C95A76">
      <w:pPr>
        <w:numPr>
          <w:ilvl w:val="0"/>
          <w:numId w:val="6"/>
        </w:num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 xml:space="preserve">The National </w:t>
      </w:r>
      <w:r w:rsidR="005D5EAD" w:rsidRPr="0093633A">
        <w:rPr>
          <w:rFonts w:ascii="Times New Roman" w:eastAsia="Batang" w:hAnsi="Times New Roman"/>
          <w:color w:val="auto"/>
          <w:sz w:val="24"/>
          <w:szCs w:val="24"/>
          <w:lang w:eastAsia="ko-KR"/>
        </w:rPr>
        <w:t xml:space="preserve">Malaria </w:t>
      </w:r>
      <w:r w:rsidRPr="0093633A">
        <w:rPr>
          <w:rFonts w:ascii="Times New Roman" w:eastAsia="Batang" w:hAnsi="Times New Roman"/>
          <w:color w:val="auto"/>
          <w:sz w:val="24"/>
          <w:szCs w:val="24"/>
          <w:lang w:eastAsia="ko-KR"/>
        </w:rPr>
        <w:t xml:space="preserve">Elimination Strategic Plan </w:t>
      </w:r>
      <w:r w:rsidR="005D5EAD" w:rsidRPr="0093633A">
        <w:rPr>
          <w:rFonts w:ascii="Times New Roman" w:eastAsia="Batang" w:hAnsi="Times New Roman"/>
          <w:color w:val="auto"/>
          <w:sz w:val="24"/>
          <w:szCs w:val="24"/>
          <w:lang w:eastAsia="ko-KR"/>
        </w:rPr>
        <w:t>for South Africa will be published.</w:t>
      </w:r>
    </w:p>
    <w:p w14:paraId="62D228CB" w14:textId="77777777" w:rsidR="005D5EAD" w:rsidRPr="0093633A" w:rsidRDefault="00837E16">
      <w:pPr>
        <w:numPr>
          <w:ilvl w:val="0"/>
          <w:numId w:val="6"/>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T</w:t>
      </w:r>
      <w:r w:rsidR="00126895" w:rsidRPr="0093633A">
        <w:rPr>
          <w:rFonts w:ascii="Times New Roman" w:eastAsia="Batang" w:hAnsi="Times New Roman"/>
          <w:color w:val="auto"/>
          <w:sz w:val="24"/>
          <w:szCs w:val="24"/>
          <w:lang w:eastAsia="ko-KR"/>
        </w:rPr>
        <w:t>he w</w:t>
      </w:r>
      <w:r w:rsidR="005D5EAD" w:rsidRPr="0093633A">
        <w:rPr>
          <w:rFonts w:ascii="Times New Roman" w:eastAsia="Batang" w:hAnsi="Times New Roman"/>
          <w:color w:val="auto"/>
          <w:sz w:val="24"/>
          <w:szCs w:val="24"/>
          <w:lang w:eastAsia="ko-KR"/>
        </w:rPr>
        <w:t>ork plan for</w:t>
      </w:r>
      <w:r w:rsidR="00126895" w:rsidRPr="0093633A">
        <w:rPr>
          <w:rFonts w:ascii="Times New Roman" w:eastAsia="Batang" w:hAnsi="Times New Roman"/>
          <w:color w:val="auto"/>
          <w:sz w:val="24"/>
          <w:szCs w:val="24"/>
          <w:lang w:eastAsia="ko-KR"/>
        </w:rPr>
        <w:t xml:space="preserve"> the</w:t>
      </w:r>
      <w:r w:rsidR="005D5EAD" w:rsidRPr="0093633A">
        <w:rPr>
          <w:rFonts w:ascii="Times New Roman" w:eastAsia="Batang" w:hAnsi="Times New Roman"/>
          <w:color w:val="auto"/>
          <w:sz w:val="24"/>
          <w:szCs w:val="24"/>
          <w:lang w:eastAsia="ko-KR"/>
        </w:rPr>
        <w:t xml:space="preserve"> </w:t>
      </w:r>
      <w:r w:rsidR="00126895" w:rsidRPr="0093633A">
        <w:rPr>
          <w:rFonts w:ascii="Times New Roman" w:eastAsia="Batang" w:hAnsi="Times New Roman"/>
          <w:color w:val="auto"/>
          <w:sz w:val="24"/>
          <w:szCs w:val="24"/>
          <w:lang w:eastAsia="ko-KR"/>
        </w:rPr>
        <w:t xml:space="preserve">International Health Regulations </w:t>
      </w:r>
      <w:r w:rsidR="005D5EAD" w:rsidRPr="0093633A">
        <w:rPr>
          <w:rFonts w:ascii="Times New Roman" w:eastAsia="Batang" w:hAnsi="Times New Roman"/>
          <w:color w:val="auto"/>
          <w:sz w:val="24"/>
          <w:szCs w:val="24"/>
          <w:lang w:eastAsia="ko-KR"/>
        </w:rPr>
        <w:t>Joint External Evaluation recommendations</w:t>
      </w:r>
      <w:r>
        <w:rPr>
          <w:rFonts w:ascii="Times New Roman" w:eastAsia="Batang" w:hAnsi="Times New Roman"/>
          <w:color w:val="auto"/>
          <w:sz w:val="24"/>
          <w:szCs w:val="24"/>
          <w:lang w:eastAsia="ko-KR"/>
        </w:rPr>
        <w:t xml:space="preserve"> will be developed</w:t>
      </w:r>
      <w:r w:rsidR="005D5EAD" w:rsidRPr="0093633A">
        <w:rPr>
          <w:rFonts w:ascii="Times New Roman" w:eastAsia="Batang" w:hAnsi="Times New Roman"/>
          <w:color w:val="auto"/>
          <w:sz w:val="24"/>
          <w:szCs w:val="24"/>
          <w:lang w:eastAsia="ko-KR"/>
        </w:rPr>
        <w:t>.</w:t>
      </w:r>
    </w:p>
    <w:p w14:paraId="3373D6CD" w14:textId="77777777" w:rsidR="005D5EAD" w:rsidRPr="0093633A" w:rsidRDefault="007D6FB2">
      <w:pPr>
        <w:numPr>
          <w:ilvl w:val="0"/>
          <w:numId w:val="6"/>
        </w:num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On strengthening district governance, p</w:t>
      </w:r>
      <w:r w:rsidR="005D5EAD" w:rsidRPr="0093633A">
        <w:rPr>
          <w:rFonts w:ascii="Times New Roman" w:eastAsia="Batang" w:hAnsi="Times New Roman"/>
          <w:color w:val="auto"/>
          <w:sz w:val="24"/>
          <w:szCs w:val="24"/>
          <w:lang w:eastAsia="ko-KR"/>
        </w:rPr>
        <w:t xml:space="preserve">lans will be developed for ten district structures to meet the minimum requirements of the </w:t>
      </w:r>
      <w:r w:rsidR="00E708E9" w:rsidRPr="0093633A">
        <w:rPr>
          <w:rFonts w:ascii="Times New Roman" w:eastAsia="Batang" w:hAnsi="Times New Roman"/>
          <w:color w:val="auto"/>
          <w:sz w:val="24"/>
          <w:szCs w:val="24"/>
          <w:lang w:eastAsia="ko-KR"/>
        </w:rPr>
        <w:t xml:space="preserve">District Health Management Office structure </w:t>
      </w:r>
      <w:r w:rsidR="005D5EAD" w:rsidRPr="0093633A">
        <w:rPr>
          <w:rFonts w:ascii="Times New Roman" w:eastAsia="Batang" w:hAnsi="Times New Roman"/>
          <w:color w:val="auto"/>
          <w:sz w:val="24"/>
          <w:szCs w:val="24"/>
          <w:lang w:eastAsia="ko-KR"/>
        </w:rPr>
        <w:t>guidelines.</w:t>
      </w:r>
    </w:p>
    <w:p w14:paraId="7E045541" w14:textId="77777777" w:rsidR="005D5EAD" w:rsidRPr="0093633A" w:rsidRDefault="000F32A5">
      <w:pPr>
        <w:numPr>
          <w:ilvl w:val="0"/>
          <w:numId w:val="6"/>
        </w:num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On</w:t>
      </w:r>
      <w:r w:rsidR="00837E16">
        <w:rPr>
          <w:rFonts w:ascii="Times New Roman" w:eastAsia="Batang" w:hAnsi="Times New Roman"/>
          <w:color w:val="auto"/>
          <w:sz w:val="24"/>
          <w:szCs w:val="24"/>
          <w:lang w:eastAsia="ko-KR"/>
        </w:rPr>
        <w:t xml:space="preserve"> the</w:t>
      </w:r>
      <w:r w:rsidRPr="0093633A">
        <w:rPr>
          <w:rFonts w:ascii="Times New Roman" w:eastAsia="Batang" w:hAnsi="Times New Roman"/>
          <w:color w:val="auto"/>
          <w:sz w:val="24"/>
          <w:szCs w:val="24"/>
          <w:lang w:eastAsia="ko-KR"/>
        </w:rPr>
        <w:t xml:space="preserve"> Ideal Clinic programme, </w:t>
      </w:r>
      <w:r w:rsidR="005D5EAD" w:rsidRPr="0093633A">
        <w:rPr>
          <w:rFonts w:ascii="Times New Roman" w:eastAsia="Batang" w:hAnsi="Times New Roman"/>
          <w:color w:val="auto"/>
          <w:sz w:val="24"/>
          <w:szCs w:val="24"/>
          <w:lang w:eastAsia="ko-KR"/>
        </w:rPr>
        <w:t xml:space="preserve">1400 primary health care facilities in the 52 districts </w:t>
      </w:r>
      <w:r w:rsidR="007D6FB2" w:rsidRPr="0093633A">
        <w:rPr>
          <w:rFonts w:ascii="Times New Roman" w:eastAsia="Batang" w:hAnsi="Times New Roman"/>
          <w:color w:val="auto"/>
          <w:sz w:val="24"/>
          <w:szCs w:val="24"/>
          <w:lang w:eastAsia="ko-KR"/>
        </w:rPr>
        <w:t>to</w:t>
      </w:r>
      <w:r w:rsidR="00E665C3" w:rsidRPr="0093633A">
        <w:rPr>
          <w:rFonts w:ascii="Times New Roman" w:eastAsia="Batang" w:hAnsi="Times New Roman"/>
          <w:color w:val="auto"/>
          <w:sz w:val="24"/>
          <w:szCs w:val="24"/>
          <w:lang w:eastAsia="ko-KR"/>
        </w:rPr>
        <w:t xml:space="preserve"> </w:t>
      </w:r>
      <w:r w:rsidR="005D5EAD" w:rsidRPr="0093633A">
        <w:rPr>
          <w:rFonts w:ascii="Times New Roman" w:eastAsia="Batang" w:hAnsi="Times New Roman"/>
          <w:color w:val="auto"/>
          <w:sz w:val="24"/>
          <w:szCs w:val="24"/>
          <w:lang w:eastAsia="ko-KR"/>
        </w:rPr>
        <w:t>qualify as Ideal Clinics.</w:t>
      </w:r>
    </w:p>
    <w:p w14:paraId="07479634" w14:textId="77777777" w:rsidR="005D5EAD" w:rsidRPr="0093633A" w:rsidRDefault="000F32A5">
      <w:pPr>
        <w:numPr>
          <w:ilvl w:val="0"/>
          <w:numId w:val="6"/>
        </w:num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In improving accessibility of PHC services to people with disabilities, 40%</w:t>
      </w:r>
      <w:r w:rsidR="005D5EAD" w:rsidRPr="0093633A">
        <w:rPr>
          <w:rFonts w:ascii="Times New Roman" w:eastAsia="Batang" w:hAnsi="Times New Roman"/>
          <w:color w:val="auto"/>
          <w:sz w:val="24"/>
          <w:szCs w:val="24"/>
          <w:lang w:eastAsia="ko-KR"/>
        </w:rPr>
        <w:t xml:space="preserve"> of 3400 primary health care facilities will be accessible to people with disabilities.</w:t>
      </w:r>
    </w:p>
    <w:p w14:paraId="6059F878" w14:textId="77777777" w:rsidR="005D5EAD" w:rsidRPr="0093633A" w:rsidRDefault="00EB382C">
      <w:pPr>
        <w:numPr>
          <w:ilvl w:val="0"/>
          <w:numId w:val="6"/>
        </w:num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 xml:space="preserve">In improving quality of services at district hospitals, the </w:t>
      </w:r>
      <w:r w:rsidR="005D5EAD" w:rsidRPr="0093633A">
        <w:rPr>
          <w:rFonts w:ascii="Times New Roman" w:eastAsia="Batang" w:hAnsi="Times New Roman"/>
          <w:color w:val="auto"/>
          <w:sz w:val="24"/>
          <w:szCs w:val="24"/>
          <w:lang w:eastAsia="ko-KR"/>
        </w:rPr>
        <w:t>status of all district hospitals will be determined against the ideal district hospital</w:t>
      </w:r>
      <w:r w:rsidRPr="0093633A">
        <w:rPr>
          <w:rFonts w:ascii="Times New Roman" w:eastAsia="Batang" w:hAnsi="Times New Roman"/>
          <w:color w:val="auto"/>
          <w:sz w:val="24"/>
          <w:szCs w:val="24"/>
          <w:lang w:eastAsia="ko-KR"/>
        </w:rPr>
        <w:t xml:space="preserve"> framework</w:t>
      </w:r>
      <w:r w:rsidR="005D5EAD" w:rsidRPr="0093633A">
        <w:rPr>
          <w:rFonts w:ascii="Times New Roman" w:eastAsia="Batang" w:hAnsi="Times New Roman"/>
          <w:color w:val="auto"/>
          <w:sz w:val="24"/>
          <w:szCs w:val="24"/>
          <w:lang w:eastAsia="ko-KR"/>
        </w:rPr>
        <w:t>.</w:t>
      </w:r>
    </w:p>
    <w:p w14:paraId="769DFA8B" w14:textId="77777777" w:rsidR="005D5EAD" w:rsidRPr="0093633A" w:rsidRDefault="00125554">
      <w:pPr>
        <w:numPr>
          <w:ilvl w:val="0"/>
          <w:numId w:val="6"/>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78</w:t>
      </w:r>
      <w:r w:rsidR="005D5EAD" w:rsidRPr="0093633A">
        <w:rPr>
          <w:rFonts w:ascii="Times New Roman" w:eastAsia="Batang" w:hAnsi="Times New Roman"/>
          <w:color w:val="auto"/>
          <w:sz w:val="24"/>
          <w:szCs w:val="24"/>
          <w:lang w:eastAsia="ko-KR"/>
        </w:rPr>
        <w:t xml:space="preserve"> </w:t>
      </w:r>
      <w:r w:rsidR="00906C4C" w:rsidRPr="0093633A">
        <w:rPr>
          <w:rFonts w:ascii="Times New Roman" w:eastAsia="Batang" w:hAnsi="Times New Roman"/>
          <w:color w:val="auto"/>
          <w:sz w:val="24"/>
          <w:szCs w:val="24"/>
          <w:lang w:eastAsia="ko-KR"/>
        </w:rPr>
        <w:t xml:space="preserve">major </w:t>
      </w:r>
      <w:r w:rsidR="005D5EAD" w:rsidRPr="0093633A">
        <w:rPr>
          <w:rFonts w:ascii="Times New Roman" w:eastAsia="Batang" w:hAnsi="Times New Roman"/>
          <w:color w:val="auto"/>
          <w:sz w:val="24"/>
          <w:szCs w:val="24"/>
          <w:lang w:eastAsia="ko-KR"/>
        </w:rPr>
        <w:t xml:space="preserve">Health Care Risk Waste (HCRW) generating public health facilities (hospitals that generate more than 2 </w:t>
      </w:r>
      <w:r w:rsidR="007F4303" w:rsidRPr="0093633A">
        <w:rPr>
          <w:rFonts w:ascii="Times New Roman" w:eastAsia="Batang" w:hAnsi="Times New Roman"/>
          <w:color w:val="auto"/>
          <w:sz w:val="24"/>
          <w:szCs w:val="24"/>
          <w:lang w:eastAsia="ko-KR"/>
        </w:rPr>
        <w:t>k</w:t>
      </w:r>
      <w:r w:rsidR="007F4303">
        <w:rPr>
          <w:rFonts w:ascii="Times New Roman" w:eastAsia="Batang" w:hAnsi="Times New Roman"/>
          <w:color w:val="auto"/>
          <w:sz w:val="24"/>
          <w:szCs w:val="24"/>
          <w:lang w:eastAsia="ko-KR"/>
        </w:rPr>
        <w:t>ilogram</w:t>
      </w:r>
      <w:r w:rsidR="00204B3C">
        <w:rPr>
          <w:rFonts w:ascii="Times New Roman" w:eastAsia="Batang" w:hAnsi="Times New Roman"/>
          <w:color w:val="auto"/>
          <w:sz w:val="24"/>
          <w:szCs w:val="24"/>
          <w:lang w:eastAsia="ko-KR"/>
        </w:rPr>
        <w:t>s</w:t>
      </w:r>
      <w:r w:rsidR="007F4303" w:rsidRPr="0093633A">
        <w:rPr>
          <w:rFonts w:ascii="Times New Roman" w:eastAsia="Batang" w:hAnsi="Times New Roman"/>
          <w:color w:val="auto"/>
          <w:sz w:val="24"/>
          <w:szCs w:val="24"/>
          <w:lang w:eastAsia="ko-KR"/>
        </w:rPr>
        <w:t xml:space="preserve"> </w:t>
      </w:r>
      <w:r w:rsidR="005D5EAD" w:rsidRPr="0093633A">
        <w:rPr>
          <w:rFonts w:ascii="Times New Roman" w:eastAsia="Batang" w:hAnsi="Times New Roman"/>
          <w:color w:val="auto"/>
          <w:sz w:val="24"/>
          <w:szCs w:val="24"/>
          <w:lang w:eastAsia="ko-KR"/>
        </w:rPr>
        <w:t>per day</w:t>
      </w:r>
      <w:r w:rsidR="00906C4C" w:rsidRPr="0093633A">
        <w:rPr>
          <w:rFonts w:ascii="Times New Roman" w:eastAsia="Batang" w:hAnsi="Times New Roman"/>
          <w:color w:val="auto"/>
          <w:sz w:val="24"/>
          <w:szCs w:val="24"/>
          <w:lang w:eastAsia="ko-KR"/>
        </w:rPr>
        <w:t>)</w:t>
      </w:r>
      <w:r w:rsidR="005D5EAD" w:rsidRPr="0093633A">
        <w:rPr>
          <w:rFonts w:ascii="Times New Roman" w:eastAsia="Batang" w:hAnsi="Times New Roman"/>
          <w:color w:val="auto"/>
          <w:sz w:val="24"/>
          <w:szCs w:val="24"/>
          <w:lang w:eastAsia="ko-KR"/>
        </w:rPr>
        <w:t xml:space="preserve"> will be assessed for adherence to HCRW norms and standards.</w:t>
      </w:r>
    </w:p>
    <w:p w14:paraId="25A1965E" w14:textId="77777777" w:rsidR="005D5EAD" w:rsidRPr="0093633A" w:rsidRDefault="00125554">
      <w:pPr>
        <w:numPr>
          <w:ilvl w:val="0"/>
          <w:numId w:val="6"/>
        </w:numPr>
        <w:spacing w:line="360" w:lineRule="auto"/>
        <w:jc w:val="both"/>
        <w:rPr>
          <w:rFonts w:ascii="Times New Roman" w:eastAsia="Batang" w:hAnsi="Times New Roman"/>
          <w:color w:val="auto"/>
          <w:sz w:val="24"/>
          <w:szCs w:val="24"/>
          <w:lang w:eastAsia="ko-KR"/>
        </w:rPr>
      </w:pPr>
      <w:r>
        <w:rPr>
          <w:rFonts w:ascii="Times New Roman" w:eastAsia="Batang" w:hAnsi="Times New Roman"/>
          <w:color w:val="auto"/>
          <w:sz w:val="24"/>
          <w:szCs w:val="24"/>
          <w:lang w:eastAsia="ko-KR"/>
        </w:rPr>
        <w:t>21</w:t>
      </w:r>
      <w:r w:rsidR="005D5EAD" w:rsidRPr="0093633A">
        <w:rPr>
          <w:rFonts w:ascii="Times New Roman" w:eastAsia="Batang" w:hAnsi="Times New Roman"/>
          <w:color w:val="auto"/>
          <w:sz w:val="24"/>
          <w:szCs w:val="24"/>
          <w:lang w:eastAsia="ko-KR"/>
        </w:rPr>
        <w:t xml:space="preserve"> municipalities will be randomly selected and audited against environmental health norms and standards.</w:t>
      </w:r>
    </w:p>
    <w:p w14:paraId="43124EF8" w14:textId="77777777" w:rsidR="005D5EAD" w:rsidRPr="0093633A" w:rsidRDefault="00906C4C">
      <w:pPr>
        <w:numPr>
          <w:ilvl w:val="0"/>
          <w:numId w:val="6"/>
        </w:numPr>
        <w:spacing w:line="360" w:lineRule="auto"/>
        <w:jc w:val="both"/>
        <w:rPr>
          <w:rFonts w:ascii="Times New Roman" w:eastAsia="Batang" w:hAnsi="Times New Roman"/>
          <w:color w:val="auto"/>
          <w:sz w:val="24"/>
          <w:szCs w:val="24"/>
          <w:lang w:eastAsia="ko-KR"/>
        </w:rPr>
      </w:pPr>
      <w:r w:rsidRPr="0093633A">
        <w:rPr>
          <w:rFonts w:ascii="Times New Roman" w:eastAsia="Batang" w:hAnsi="Times New Roman"/>
          <w:color w:val="auto"/>
          <w:sz w:val="24"/>
          <w:szCs w:val="24"/>
          <w:lang w:eastAsia="ko-KR"/>
        </w:rPr>
        <w:t>In strengthening mental health services, f</w:t>
      </w:r>
      <w:r w:rsidR="005D5EAD" w:rsidRPr="0093633A">
        <w:rPr>
          <w:rFonts w:ascii="Times New Roman" w:eastAsia="Batang" w:hAnsi="Times New Roman"/>
          <w:color w:val="auto"/>
          <w:sz w:val="24"/>
          <w:szCs w:val="24"/>
          <w:lang w:eastAsia="ko-KR"/>
        </w:rPr>
        <w:t>ifteen district mental health teams will be established.</w:t>
      </w:r>
    </w:p>
    <w:p w14:paraId="306C4A20" w14:textId="77777777" w:rsidR="00F7385C" w:rsidRPr="0093633A" w:rsidRDefault="00F7385C" w:rsidP="00941E30">
      <w:pPr>
        <w:ind w:left="786"/>
        <w:jc w:val="both"/>
        <w:rPr>
          <w:rFonts w:ascii="Times New Roman" w:eastAsia="Batang" w:hAnsi="Times New Roman"/>
          <w:color w:val="auto"/>
          <w:sz w:val="24"/>
          <w:szCs w:val="24"/>
          <w:lang w:eastAsia="ko-KR"/>
        </w:rPr>
      </w:pPr>
    </w:p>
    <w:p w14:paraId="456472C9" w14:textId="77777777" w:rsidR="00042343" w:rsidRPr="0093633A" w:rsidRDefault="009E190E" w:rsidP="00941E30">
      <w:pPr>
        <w:jc w:val="both"/>
        <w:rPr>
          <w:rFonts w:ascii="Times New Roman" w:eastAsia="Batang" w:hAnsi="Times New Roman"/>
          <w:b/>
          <w:color w:val="auto"/>
          <w:sz w:val="24"/>
          <w:szCs w:val="24"/>
          <w:lang w:eastAsia="ko-KR"/>
        </w:rPr>
      </w:pPr>
      <w:r w:rsidRPr="0093633A">
        <w:rPr>
          <w:rFonts w:ascii="Times New Roman" w:eastAsia="Batang" w:hAnsi="Times New Roman"/>
          <w:b/>
          <w:color w:val="auto"/>
          <w:sz w:val="24"/>
          <w:szCs w:val="24"/>
          <w:lang w:eastAsia="ko-KR"/>
        </w:rPr>
        <w:lastRenderedPageBreak/>
        <w:t>Programme 5: Hospital, Tertiary Health Services and Human Resource Development</w:t>
      </w:r>
    </w:p>
    <w:p w14:paraId="39945599" w14:textId="77777777" w:rsidR="001E094F" w:rsidRPr="0093633A" w:rsidRDefault="001E094F" w:rsidP="00941E30">
      <w:pPr>
        <w:jc w:val="both"/>
        <w:rPr>
          <w:rFonts w:ascii="Times New Roman" w:eastAsia="Batang" w:hAnsi="Times New Roman"/>
          <w:b/>
          <w:color w:val="auto"/>
          <w:sz w:val="24"/>
          <w:szCs w:val="24"/>
          <w:lang w:eastAsia="ko-KR"/>
        </w:rPr>
      </w:pPr>
    </w:p>
    <w:p w14:paraId="0AA49A7D" w14:textId="77777777" w:rsidR="00102B81" w:rsidRDefault="00102B81">
      <w:pPr>
        <w:spacing w:line="360" w:lineRule="auto"/>
        <w:jc w:val="both"/>
        <w:rPr>
          <w:rFonts w:ascii="Times New Roman" w:hAnsi="Times New Roman"/>
          <w:color w:val="auto"/>
          <w:sz w:val="24"/>
          <w:szCs w:val="24"/>
        </w:rPr>
      </w:pPr>
      <w:r w:rsidRPr="0093633A">
        <w:rPr>
          <w:rFonts w:ascii="Times New Roman" w:eastAsia="Batang" w:hAnsi="Times New Roman"/>
          <w:color w:val="auto"/>
          <w:sz w:val="24"/>
          <w:szCs w:val="24"/>
          <w:lang w:eastAsia="ko-KR"/>
        </w:rPr>
        <w:t xml:space="preserve">The purpose of this programme is to develop policies, delivery models and clinical protocols for hospitals and emergency medical services. </w:t>
      </w:r>
      <w:r w:rsidR="00F7385C" w:rsidRPr="0093633A">
        <w:rPr>
          <w:rFonts w:ascii="Times New Roman" w:eastAsia="Batang" w:hAnsi="Times New Roman"/>
          <w:color w:val="auto"/>
          <w:sz w:val="24"/>
          <w:szCs w:val="24"/>
          <w:lang w:eastAsia="ko-KR"/>
        </w:rPr>
        <w:t>It is also to e</w:t>
      </w:r>
      <w:r w:rsidRPr="0093633A">
        <w:rPr>
          <w:rFonts w:ascii="Times New Roman" w:eastAsia="Batang" w:hAnsi="Times New Roman"/>
          <w:color w:val="auto"/>
          <w:sz w:val="24"/>
          <w:szCs w:val="24"/>
          <w:lang w:eastAsia="ko-KR"/>
        </w:rPr>
        <w:t>nsure alignment of academic medical centres with health workforce programmes, training of health professionals and to ensure the planning of health infrastructure meet the health needs of the country.</w:t>
      </w:r>
      <w:r w:rsidR="00F7385C" w:rsidRPr="0093633A">
        <w:rPr>
          <w:rFonts w:ascii="Times New Roman" w:eastAsia="Batang" w:hAnsi="Times New Roman"/>
          <w:color w:val="auto"/>
          <w:sz w:val="24"/>
          <w:szCs w:val="24"/>
          <w:lang w:eastAsia="ko-KR"/>
        </w:rPr>
        <w:t xml:space="preserve">  This programme will also assist the government to achieve the population health goals of the country through nursing and midwifery, by the provision of expert policy and technical advice and recommendations on the role of nurses in attainment of desired health outputs.</w:t>
      </w:r>
      <w:r w:rsidRPr="0093633A">
        <w:rPr>
          <w:rFonts w:ascii="Times New Roman" w:eastAsia="Batang" w:hAnsi="Times New Roman"/>
          <w:color w:val="auto"/>
          <w:sz w:val="24"/>
          <w:szCs w:val="24"/>
          <w:lang w:eastAsia="ko-KR"/>
        </w:rPr>
        <w:t xml:space="preserve"> Below are</w:t>
      </w:r>
      <w:r w:rsidRPr="0093633A">
        <w:rPr>
          <w:rFonts w:ascii="Times New Roman" w:hAnsi="Times New Roman"/>
          <w:color w:val="auto"/>
          <w:sz w:val="24"/>
          <w:szCs w:val="24"/>
        </w:rPr>
        <w:t xml:space="preserve"> targets</w:t>
      </w:r>
      <w:r w:rsidR="00EB4817" w:rsidRPr="0093633A">
        <w:rPr>
          <w:rFonts w:ascii="Times New Roman" w:hAnsi="Times New Roman"/>
          <w:color w:val="auto"/>
          <w:sz w:val="24"/>
          <w:szCs w:val="24"/>
        </w:rPr>
        <w:t xml:space="preserve"> for 2018/19</w:t>
      </w:r>
      <w:r w:rsidRPr="0093633A">
        <w:rPr>
          <w:rFonts w:ascii="Times New Roman" w:hAnsi="Times New Roman"/>
          <w:color w:val="auto"/>
          <w:sz w:val="24"/>
          <w:szCs w:val="24"/>
        </w:rPr>
        <w:t xml:space="preserve"> under Programme 5: </w:t>
      </w:r>
    </w:p>
    <w:p w14:paraId="67C760F5" w14:textId="77777777" w:rsidR="00D77A33" w:rsidRPr="0093633A" w:rsidRDefault="00D77A33" w:rsidP="00941E30">
      <w:pPr>
        <w:jc w:val="both"/>
        <w:rPr>
          <w:rFonts w:ascii="Times New Roman" w:eastAsia="Batang" w:hAnsi="Times New Roman"/>
          <w:color w:val="auto"/>
          <w:sz w:val="24"/>
          <w:szCs w:val="24"/>
          <w:lang w:eastAsia="ko-KR"/>
        </w:rPr>
      </w:pPr>
    </w:p>
    <w:p w14:paraId="66DF9601" w14:textId="77777777" w:rsidR="005D06B5" w:rsidRPr="0093633A" w:rsidRDefault="00B233A7">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Ensure that </w:t>
      </w:r>
      <w:r w:rsidR="005D06B5" w:rsidRPr="0093633A">
        <w:rPr>
          <w:rFonts w:ascii="Times New Roman" w:eastAsia="Batang" w:hAnsi="Times New Roman"/>
          <w:color w:val="auto"/>
          <w:sz w:val="24"/>
          <w:szCs w:val="24"/>
          <w:lang w:eastAsia="ko-KR"/>
        </w:rPr>
        <w:t xml:space="preserve">Guidelines on </w:t>
      </w:r>
      <w:r w:rsidRPr="0093633A">
        <w:rPr>
          <w:rFonts w:ascii="Times New Roman" w:eastAsia="Batang" w:hAnsi="Times New Roman"/>
          <w:color w:val="auto"/>
          <w:sz w:val="24"/>
          <w:szCs w:val="24"/>
          <w:lang w:eastAsia="ko-KR"/>
        </w:rPr>
        <w:t>Organisational Structures</w:t>
      </w:r>
      <w:r w:rsidR="005D06B5" w:rsidRPr="0093633A">
        <w:rPr>
          <w:rFonts w:ascii="Times New Roman" w:eastAsia="Batang" w:hAnsi="Times New Roman"/>
          <w:color w:val="auto"/>
          <w:sz w:val="24"/>
          <w:szCs w:val="24"/>
          <w:lang w:eastAsia="ko-KR"/>
        </w:rPr>
        <w:t xml:space="preserve"> for central hospitals </w:t>
      </w:r>
      <w:r w:rsidRPr="0093633A">
        <w:rPr>
          <w:rFonts w:ascii="Times New Roman" w:eastAsia="Batang" w:hAnsi="Times New Roman"/>
          <w:color w:val="auto"/>
          <w:sz w:val="24"/>
          <w:szCs w:val="24"/>
          <w:lang w:eastAsia="ko-KR"/>
        </w:rPr>
        <w:t>are</w:t>
      </w:r>
      <w:r w:rsidR="005D06B5" w:rsidRPr="0093633A">
        <w:rPr>
          <w:rFonts w:ascii="Times New Roman" w:eastAsia="Batang" w:hAnsi="Times New Roman"/>
          <w:color w:val="auto"/>
          <w:sz w:val="24"/>
          <w:szCs w:val="24"/>
          <w:lang w:eastAsia="ko-KR"/>
        </w:rPr>
        <w:t xml:space="preserve"> approved by </w:t>
      </w:r>
      <w:r w:rsidRPr="0093633A">
        <w:rPr>
          <w:rFonts w:ascii="Times New Roman" w:eastAsia="Batang" w:hAnsi="Times New Roman"/>
          <w:color w:val="auto"/>
          <w:sz w:val="24"/>
          <w:szCs w:val="24"/>
          <w:lang w:eastAsia="ko-KR"/>
        </w:rPr>
        <w:t xml:space="preserve">Technical </w:t>
      </w:r>
      <w:r w:rsidR="005D06B5" w:rsidRPr="0093633A">
        <w:rPr>
          <w:rFonts w:ascii="Times New Roman" w:eastAsia="Batang" w:hAnsi="Times New Roman"/>
          <w:color w:val="auto"/>
          <w:sz w:val="24"/>
          <w:szCs w:val="24"/>
          <w:lang w:eastAsia="ko-KR"/>
        </w:rPr>
        <w:t>N</w:t>
      </w:r>
      <w:r w:rsidRPr="0093633A">
        <w:rPr>
          <w:rFonts w:ascii="Times New Roman" w:eastAsia="Batang" w:hAnsi="Times New Roman"/>
          <w:color w:val="auto"/>
          <w:sz w:val="24"/>
          <w:szCs w:val="24"/>
          <w:lang w:eastAsia="ko-KR"/>
        </w:rPr>
        <w:t xml:space="preserve">ational </w:t>
      </w:r>
      <w:r w:rsidR="005D06B5" w:rsidRPr="0093633A">
        <w:rPr>
          <w:rFonts w:ascii="Times New Roman" w:eastAsia="Batang" w:hAnsi="Times New Roman"/>
          <w:color w:val="auto"/>
          <w:sz w:val="24"/>
          <w:szCs w:val="24"/>
          <w:lang w:eastAsia="ko-KR"/>
        </w:rPr>
        <w:t>H</w:t>
      </w:r>
      <w:r w:rsidRPr="0093633A">
        <w:rPr>
          <w:rFonts w:ascii="Times New Roman" w:eastAsia="Batang" w:hAnsi="Times New Roman"/>
          <w:color w:val="auto"/>
          <w:sz w:val="24"/>
          <w:szCs w:val="24"/>
          <w:lang w:eastAsia="ko-KR"/>
        </w:rPr>
        <w:t xml:space="preserve">ealth </w:t>
      </w:r>
      <w:r w:rsidR="005D06B5" w:rsidRPr="0093633A">
        <w:rPr>
          <w:rFonts w:ascii="Times New Roman" w:eastAsia="Batang" w:hAnsi="Times New Roman"/>
          <w:color w:val="auto"/>
          <w:sz w:val="24"/>
          <w:szCs w:val="24"/>
          <w:lang w:eastAsia="ko-KR"/>
        </w:rPr>
        <w:t>C</w:t>
      </w:r>
      <w:r w:rsidRPr="0093633A">
        <w:rPr>
          <w:rFonts w:ascii="Times New Roman" w:eastAsia="Batang" w:hAnsi="Times New Roman"/>
          <w:color w:val="auto"/>
          <w:sz w:val="24"/>
          <w:szCs w:val="24"/>
          <w:lang w:eastAsia="ko-KR"/>
        </w:rPr>
        <w:t>ouncil</w:t>
      </w:r>
      <w:r w:rsidR="005D06B5" w:rsidRPr="0093633A">
        <w:rPr>
          <w:rFonts w:ascii="Times New Roman" w:eastAsia="Batang" w:hAnsi="Times New Roman"/>
          <w:color w:val="auto"/>
          <w:sz w:val="24"/>
          <w:szCs w:val="24"/>
          <w:lang w:eastAsia="ko-KR"/>
        </w:rPr>
        <w:t>.</w:t>
      </w:r>
    </w:p>
    <w:p w14:paraId="2A8A9FFF" w14:textId="77777777" w:rsidR="005D06B5" w:rsidRPr="0093633A" w:rsidRDefault="008346DE">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In ensuring quality health care through compliance to National Core Standards (NCS), ten </w:t>
      </w:r>
      <w:r w:rsidR="005D06B5" w:rsidRPr="0093633A">
        <w:rPr>
          <w:rFonts w:ascii="Times New Roman" w:eastAsia="Batang" w:hAnsi="Times New Roman"/>
          <w:color w:val="auto"/>
          <w:sz w:val="24"/>
          <w:szCs w:val="24"/>
          <w:lang w:eastAsia="ko-KR"/>
        </w:rPr>
        <w:t>central hospitals will be assessed.</w:t>
      </w:r>
    </w:p>
    <w:p w14:paraId="2328C83D" w14:textId="77777777" w:rsidR="005D06B5" w:rsidRPr="0093633A" w:rsidRDefault="00A2466F">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Oncology service improvement plan for public hospitals will be developed.</w:t>
      </w:r>
    </w:p>
    <w:p w14:paraId="6E969463" w14:textId="77777777" w:rsidR="00A2466F" w:rsidRPr="0093633A" w:rsidRDefault="00A2466F">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Obstetric service improvement plan for public hospitals will be developed.</w:t>
      </w:r>
    </w:p>
    <w:p w14:paraId="21C79E11" w14:textId="77777777" w:rsidR="00A2466F" w:rsidRPr="0093633A" w:rsidRDefault="00125554">
      <w:pPr>
        <w:numPr>
          <w:ilvl w:val="0"/>
          <w:numId w:val="7"/>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9</w:t>
      </w:r>
      <w:r w:rsidRPr="0093633A">
        <w:rPr>
          <w:rFonts w:ascii="Times New Roman" w:eastAsia="Batang" w:hAnsi="Times New Roman"/>
          <w:color w:val="auto"/>
          <w:sz w:val="24"/>
          <w:szCs w:val="24"/>
          <w:lang w:eastAsia="ko-KR"/>
        </w:rPr>
        <w:t xml:space="preserve"> </w:t>
      </w:r>
      <w:r w:rsidR="00A2466F" w:rsidRPr="0093633A">
        <w:rPr>
          <w:rFonts w:ascii="Times New Roman" w:eastAsia="Batang" w:hAnsi="Times New Roman"/>
          <w:color w:val="auto"/>
          <w:sz w:val="24"/>
          <w:szCs w:val="24"/>
          <w:lang w:eastAsia="ko-KR"/>
        </w:rPr>
        <w:t>Provincial Departments of Health will be monitored for compliance with Emergency Medical Services (EMS) regulations using</w:t>
      </w:r>
      <w:r w:rsidR="00837E16">
        <w:rPr>
          <w:rFonts w:ascii="Times New Roman" w:eastAsia="Batang" w:hAnsi="Times New Roman"/>
          <w:color w:val="auto"/>
          <w:sz w:val="24"/>
          <w:szCs w:val="24"/>
          <w:lang w:eastAsia="ko-KR"/>
        </w:rPr>
        <w:t xml:space="preserve"> the</w:t>
      </w:r>
      <w:r w:rsidR="00A2466F" w:rsidRPr="0093633A">
        <w:rPr>
          <w:rFonts w:ascii="Times New Roman" w:eastAsia="Batang" w:hAnsi="Times New Roman"/>
          <w:color w:val="auto"/>
          <w:sz w:val="24"/>
          <w:szCs w:val="24"/>
          <w:lang w:eastAsia="ko-KR"/>
        </w:rPr>
        <w:t xml:space="preserve"> approved checklist</w:t>
      </w:r>
      <w:r w:rsidR="008346DE" w:rsidRPr="0093633A">
        <w:rPr>
          <w:rFonts w:ascii="Times New Roman" w:eastAsia="Batang" w:hAnsi="Times New Roman"/>
          <w:color w:val="auto"/>
          <w:sz w:val="24"/>
          <w:szCs w:val="24"/>
          <w:lang w:eastAsia="ko-KR"/>
        </w:rPr>
        <w:t>.</w:t>
      </w:r>
      <w:r w:rsidR="00A2466F" w:rsidRPr="0093633A">
        <w:rPr>
          <w:rFonts w:ascii="Times New Roman" w:eastAsia="Batang" w:hAnsi="Times New Roman"/>
          <w:color w:val="auto"/>
          <w:sz w:val="24"/>
          <w:szCs w:val="24"/>
          <w:lang w:eastAsia="ko-KR"/>
        </w:rPr>
        <w:t xml:space="preserve"> </w:t>
      </w:r>
      <w:r w:rsidR="008346DE" w:rsidRPr="0093633A">
        <w:rPr>
          <w:rFonts w:ascii="Times New Roman" w:eastAsia="Batang" w:hAnsi="Times New Roman"/>
          <w:color w:val="auto"/>
          <w:sz w:val="24"/>
          <w:szCs w:val="24"/>
          <w:lang w:eastAsia="ko-KR"/>
        </w:rPr>
        <w:t>N</w:t>
      </w:r>
      <w:r w:rsidR="00B51E0D" w:rsidRPr="0093633A">
        <w:rPr>
          <w:rFonts w:ascii="Times New Roman" w:eastAsia="Batang" w:hAnsi="Times New Roman"/>
          <w:color w:val="auto"/>
          <w:sz w:val="24"/>
          <w:szCs w:val="24"/>
          <w:lang w:eastAsia="ko-KR"/>
        </w:rPr>
        <w:t>ine EMS improvement plans will be developed.</w:t>
      </w:r>
    </w:p>
    <w:p w14:paraId="0207AEA6" w14:textId="77777777" w:rsidR="00B51E0D" w:rsidRPr="0093633A" w:rsidRDefault="00AB04CC">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On health infrastructure,</w:t>
      </w:r>
      <w:r w:rsidR="008346DE" w:rsidRPr="0093633A">
        <w:rPr>
          <w:rFonts w:ascii="Times New Roman" w:eastAsia="Batang" w:hAnsi="Times New Roman"/>
          <w:color w:val="auto"/>
          <w:sz w:val="24"/>
          <w:szCs w:val="24"/>
          <w:lang w:eastAsia="ko-KR"/>
        </w:rPr>
        <w:t xml:space="preserve"> 400</w:t>
      </w:r>
      <w:r w:rsidR="00B51E0D" w:rsidRPr="0093633A">
        <w:rPr>
          <w:rFonts w:ascii="Times New Roman" w:eastAsia="Batang" w:hAnsi="Times New Roman"/>
          <w:color w:val="auto"/>
          <w:sz w:val="24"/>
          <w:szCs w:val="24"/>
          <w:lang w:eastAsia="ko-KR"/>
        </w:rPr>
        <w:t xml:space="preserve"> facilities will</w:t>
      </w:r>
      <w:r w:rsidR="008346DE" w:rsidRPr="0093633A">
        <w:rPr>
          <w:rFonts w:ascii="Times New Roman" w:eastAsia="Batang" w:hAnsi="Times New Roman"/>
          <w:color w:val="auto"/>
          <w:sz w:val="24"/>
          <w:szCs w:val="24"/>
          <w:lang w:eastAsia="ko-KR"/>
        </w:rPr>
        <w:t xml:space="preserve"> </w:t>
      </w:r>
      <w:r w:rsidR="00B51E0D" w:rsidRPr="0093633A">
        <w:rPr>
          <w:rFonts w:ascii="Times New Roman" w:eastAsia="Batang" w:hAnsi="Times New Roman"/>
          <w:color w:val="auto"/>
          <w:sz w:val="24"/>
          <w:szCs w:val="24"/>
          <w:lang w:eastAsia="ko-KR"/>
        </w:rPr>
        <w:t>compl</w:t>
      </w:r>
      <w:r w:rsidR="008346DE" w:rsidRPr="0093633A">
        <w:rPr>
          <w:rFonts w:ascii="Times New Roman" w:eastAsia="Batang" w:hAnsi="Times New Roman"/>
          <w:color w:val="auto"/>
          <w:sz w:val="24"/>
          <w:szCs w:val="24"/>
          <w:lang w:eastAsia="ko-KR"/>
        </w:rPr>
        <w:t>y</w:t>
      </w:r>
      <w:r w:rsidR="00B51E0D" w:rsidRPr="0093633A">
        <w:rPr>
          <w:rFonts w:ascii="Times New Roman" w:eastAsia="Batang" w:hAnsi="Times New Roman"/>
          <w:color w:val="auto"/>
          <w:sz w:val="24"/>
          <w:szCs w:val="24"/>
          <w:lang w:eastAsia="ko-KR"/>
        </w:rPr>
        <w:t xml:space="preserve"> with infrastructure norms and standards</w:t>
      </w:r>
      <w:r w:rsidR="008346DE" w:rsidRPr="0093633A">
        <w:rPr>
          <w:rFonts w:ascii="Times New Roman" w:eastAsia="Batang" w:hAnsi="Times New Roman"/>
          <w:color w:val="auto"/>
          <w:sz w:val="24"/>
          <w:szCs w:val="24"/>
          <w:lang w:eastAsia="ko-KR"/>
        </w:rPr>
        <w:t>; 20</w:t>
      </w:r>
      <w:r w:rsidR="00B51E0D" w:rsidRPr="0093633A">
        <w:rPr>
          <w:rFonts w:ascii="Times New Roman" w:eastAsia="Batang" w:hAnsi="Times New Roman"/>
          <w:color w:val="auto"/>
          <w:sz w:val="24"/>
          <w:szCs w:val="24"/>
          <w:lang w:eastAsia="ko-KR"/>
        </w:rPr>
        <w:t xml:space="preserve"> clinics and community health centres will be constructed or revitalised</w:t>
      </w:r>
      <w:r w:rsidR="008346DE" w:rsidRPr="0093633A">
        <w:rPr>
          <w:rFonts w:ascii="Times New Roman" w:eastAsia="Batang" w:hAnsi="Times New Roman"/>
          <w:color w:val="auto"/>
          <w:sz w:val="24"/>
          <w:szCs w:val="24"/>
          <w:lang w:eastAsia="ko-KR"/>
        </w:rPr>
        <w:t>; t</w:t>
      </w:r>
      <w:r w:rsidR="00B51E0D" w:rsidRPr="0093633A">
        <w:rPr>
          <w:rFonts w:ascii="Times New Roman" w:eastAsia="Batang" w:hAnsi="Times New Roman"/>
          <w:color w:val="auto"/>
          <w:sz w:val="24"/>
          <w:szCs w:val="24"/>
          <w:lang w:eastAsia="ko-KR"/>
        </w:rPr>
        <w:t>wo hospitals will be constructed or revitalised</w:t>
      </w:r>
      <w:r w:rsidR="008346DE" w:rsidRPr="0093633A">
        <w:rPr>
          <w:rFonts w:ascii="Times New Roman" w:eastAsia="Batang" w:hAnsi="Times New Roman"/>
          <w:color w:val="auto"/>
          <w:sz w:val="24"/>
          <w:szCs w:val="24"/>
          <w:lang w:eastAsia="ko-KR"/>
        </w:rPr>
        <w:t xml:space="preserve">; </w:t>
      </w:r>
      <w:r w:rsidR="00F727B4" w:rsidRPr="0093633A">
        <w:rPr>
          <w:rFonts w:ascii="Times New Roman" w:eastAsia="Batang" w:hAnsi="Times New Roman"/>
          <w:color w:val="auto"/>
          <w:sz w:val="24"/>
          <w:szCs w:val="24"/>
          <w:lang w:eastAsia="ko-KR"/>
        </w:rPr>
        <w:t>125</w:t>
      </w:r>
      <w:r w:rsidR="00B51E0D" w:rsidRPr="0093633A">
        <w:rPr>
          <w:rFonts w:ascii="Times New Roman" w:eastAsia="Batang" w:hAnsi="Times New Roman"/>
          <w:color w:val="auto"/>
          <w:sz w:val="24"/>
          <w:szCs w:val="24"/>
          <w:lang w:eastAsia="ko-KR"/>
        </w:rPr>
        <w:t xml:space="preserve"> facilities in the NHI district will be maintained, repaired and/or refurbished</w:t>
      </w:r>
      <w:r w:rsidR="00F727B4" w:rsidRPr="0093633A">
        <w:rPr>
          <w:rFonts w:ascii="Times New Roman" w:eastAsia="Batang" w:hAnsi="Times New Roman"/>
          <w:color w:val="auto"/>
          <w:sz w:val="24"/>
          <w:szCs w:val="24"/>
          <w:lang w:eastAsia="ko-KR"/>
        </w:rPr>
        <w:t>; and 100</w:t>
      </w:r>
      <w:r w:rsidR="00B51E0D" w:rsidRPr="0093633A">
        <w:rPr>
          <w:rFonts w:ascii="Times New Roman" w:eastAsia="Batang" w:hAnsi="Times New Roman"/>
          <w:color w:val="auto"/>
          <w:sz w:val="24"/>
          <w:szCs w:val="24"/>
          <w:lang w:eastAsia="ko-KR"/>
        </w:rPr>
        <w:t xml:space="preserve"> facilities will be maintained, repaired and/or refurbished outside </w:t>
      </w:r>
      <w:r w:rsidR="00F727B4" w:rsidRPr="0093633A">
        <w:rPr>
          <w:rFonts w:ascii="Times New Roman" w:eastAsia="Batang" w:hAnsi="Times New Roman"/>
          <w:color w:val="auto"/>
          <w:sz w:val="24"/>
          <w:szCs w:val="24"/>
          <w:lang w:eastAsia="ko-KR"/>
        </w:rPr>
        <w:t xml:space="preserve">the </w:t>
      </w:r>
      <w:r w:rsidR="00B51E0D" w:rsidRPr="0093633A">
        <w:rPr>
          <w:rFonts w:ascii="Times New Roman" w:eastAsia="Batang" w:hAnsi="Times New Roman"/>
          <w:color w:val="auto"/>
          <w:sz w:val="24"/>
          <w:szCs w:val="24"/>
          <w:lang w:eastAsia="ko-KR"/>
        </w:rPr>
        <w:t>NHI pilot district.</w:t>
      </w:r>
    </w:p>
    <w:p w14:paraId="7BC3B9D1" w14:textId="77777777" w:rsidR="00B51E0D" w:rsidRPr="0093633A" w:rsidRDefault="00837E16">
      <w:pPr>
        <w:numPr>
          <w:ilvl w:val="0"/>
          <w:numId w:val="7"/>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D</w:t>
      </w:r>
      <w:r w:rsidR="00B51E0D" w:rsidRPr="0093633A">
        <w:rPr>
          <w:rFonts w:ascii="Times New Roman" w:eastAsia="Batang" w:hAnsi="Times New Roman"/>
          <w:color w:val="auto"/>
          <w:sz w:val="24"/>
          <w:szCs w:val="24"/>
          <w:lang w:eastAsia="ko-KR"/>
        </w:rPr>
        <w:t>raft Human Resource Regulations will be submitted to NHC for consideration.</w:t>
      </w:r>
    </w:p>
    <w:p w14:paraId="1EBC8AE1" w14:textId="77777777" w:rsidR="00B51E0D" w:rsidRPr="0093633A" w:rsidRDefault="004D0BDE">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Ensure that 100%</w:t>
      </w:r>
      <w:r w:rsidR="00B51E0D" w:rsidRPr="0093633A">
        <w:rPr>
          <w:rFonts w:ascii="Times New Roman" w:eastAsia="Batang" w:hAnsi="Times New Roman"/>
          <w:color w:val="auto"/>
          <w:sz w:val="24"/>
          <w:szCs w:val="24"/>
          <w:lang w:eastAsia="ko-KR"/>
        </w:rPr>
        <w:t xml:space="preserve"> of South African Medical Interns and Community </w:t>
      </w:r>
      <w:r w:rsidR="00154ACF">
        <w:rPr>
          <w:rFonts w:ascii="Times New Roman" w:eastAsia="Batang" w:hAnsi="Times New Roman"/>
          <w:color w:val="auto"/>
          <w:sz w:val="24"/>
          <w:szCs w:val="24"/>
          <w:lang w:eastAsia="ko-KR"/>
        </w:rPr>
        <w:t>S</w:t>
      </w:r>
      <w:r w:rsidR="00154ACF" w:rsidRPr="0093633A">
        <w:rPr>
          <w:rFonts w:ascii="Times New Roman" w:eastAsia="Batang" w:hAnsi="Times New Roman"/>
          <w:color w:val="auto"/>
          <w:sz w:val="24"/>
          <w:szCs w:val="24"/>
          <w:lang w:eastAsia="ko-KR"/>
        </w:rPr>
        <w:t xml:space="preserve">ervice </w:t>
      </w:r>
      <w:r w:rsidR="00B51E0D" w:rsidRPr="0093633A">
        <w:rPr>
          <w:rFonts w:ascii="Times New Roman" w:eastAsia="Batang" w:hAnsi="Times New Roman"/>
          <w:color w:val="auto"/>
          <w:sz w:val="24"/>
          <w:szCs w:val="24"/>
          <w:lang w:eastAsia="ko-KR"/>
        </w:rPr>
        <w:t xml:space="preserve">personnel who studied at South African Universities </w:t>
      </w:r>
      <w:r w:rsidRPr="0093633A">
        <w:rPr>
          <w:rFonts w:ascii="Times New Roman" w:eastAsia="Batang" w:hAnsi="Times New Roman"/>
          <w:color w:val="auto"/>
          <w:sz w:val="24"/>
          <w:szCs w:val="24"/>
          <w:lang w:eastAsia="ko-KR"/>
        </w:rPr>
        <w:t xml:space="preserve">are </w:t>
      </w:r>
      <w:r w:rsidR="00B51E0D" w:rsidRPr="0093633A">
        <w:rPr>
          <w:rFonts w:ascii="Times New Roman" w:eastAsia="Batang" w:hAnsi="Times New Roman"/>
          <w:color w:val="auto"/>
          <w:sz w:val="24"/>
          <w:szCs w:val="24"/>
          <w:lang w:eastAsia="ko-KR"/>
        </w:rPr>
        <w:t xml:space="preserve">allocated for placement by October and April </w:t>
      </w:r>
      <w:r w:rsidR="00B51E0D" w:rsidRPr="00085BAF">
        <w:rPr>
          <w:rFonts w:ascii="Times New Roman" w:eastAsia="Batang" w:hAnsi="Times New Roman"/>
          <w:color w:val="auto"/>
          <w:sz w:val="24"/>
          <w:szCs w:val="24"/>
          <w:lang w:eastAsia="ko-KR"/>
        </w:rPr>
        <w:t>respectively.</w:t>
      </w:r>
    </w:p>
    <w:p w14:paraId="42289F32" w14:textId="77777777" w:rsidR="00B51E0D" w:rsidRPr="0093633A" w:rsidRDefault="00B51E0D">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The Human Resources for Health Strategic </w:t>
      </w:r>
      <w:r w:rsidR="00AB6DE2" w:rsidRPr="0093633A">
        <w:rPr>
          <w:rFonts w:ascii="Times New Roman" w:eastAsia="Batang" w:hAnsi="Times New Roman"/>
          <w:color w:val="auto"/>
          <w:sz w:val="24"/>
          <w:szCs w:val="24"/>
          <w:lang w:eastAsia="ko-KR"/>
        </w:rPr>
        <w:t xml:space="preserve">Plan </w:t>
      </w:r>
      <w:r w:rsidR="00374ED9">
        <w:rPr>
          <w:rFonts w:ascii="Times New Roman" w:eastAsia="Batang" w:hAnsi="Times New Roman"/>
          <w:color w:val="auto"/>
          <w:sz w:val="24"/>
          <w:szCs w:val="24"/>
          <w:lang w:eastAsia="ko-KR"/>
        </w:rPr>
        <w:t xml:space="preserve">for </w:t>
      </w:r>
      <w:r w:rsidRPr="0093633A">
        <w:rPr>
          <w:rFonts w:ascii="Times New Roman" w:eastAsia="Batang" w:hAnsi="Times New Roman"/>
          <w:color w:val="auto"/>
          <w:sz w:val="24"/>
          <w:szCs w:val="24"/>
          <w:lang w:eastAsia="ko-KR"/>
        </w:rPr>
        <w:t>2019 - 2024 will be drafted.</w:t>
      </w:r>
    </w:p>
    <w:p w14:paraId="2B70299E" w14:textId="77777777" w:rsidR="00B51E0D" w:rsidRPr="0093633A" w:rsidRDefault="00B51E0D">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All students returning from Cuba during 2018/19 will be placed for final clinical training in the local medical schools.</w:t>
      </w:r>
    </w:p>
    <w:p w14:paraId="08F94DD2" w14:textId="77777777" w:rsidR="00B51E0D" w:rsidRPr="0093633A" w:rsidRDefault="00125554">
      <w:pPr>
        <w:numPr>
          <w:ilvl w:val="0"/>
          <w:numId w:val="7"/>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 xml:space="preserve">150 </w:t>
      </w:r>
      <w:r w:rsidR="00837E16">
        <w:rPr>
          <w:rFonts w:ascii="Times New Roman" w:eastAsia="Batang" w:hAnsi="Times New Roman"/>
          <w:color w:val="auto"/>
          <w:sz w:val="24"/>
          <w:szCs w:val="24"/>
          <w:lang w:eastAsia="ko-KR"/>
        </w:rPr>
        <w:t xml:space="preserve">Hospital </w:t>
      </w:r>
      <w:r w:rsidR="00B51E0D" w:rsidRPr="0093633A">
        <w:rPr>
          <w:rFonts w:ascii="Times New Roman" w:eastAsia="Batang" w:hAnsi="Times New Roman"/>
          <w:color w:val="auto"/>
          <w:sz w:val="24"/>
          <w:szCs w:val="24"/>
          <w:lang w:eastAsia="ko-KR"/>
        </w:rPr>
        <w:t>and 900 PHC managers will access the knowledge hub information system for coaching and mentoring.</w:t>
      </w:r>
    </w:p>
    <w:p w14:paraId="5F2B2656" w14:textId="77777777" w:rsidR="003461A4" w:rsidRPr="0093633A" w:rsidRDefault="005227A8">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In strengthening Nursing Education and Training and Practice</w:t>
      </w:r>
      <w:r w:rsidR="00AB04CC" w:rsidRPr="0093633A">
        <w:rPr>
          <w:rFonts w:ascii="Times New Roman" w:eastAsia="Batang" w:hAnsi="Times New Roman"/>
          <w:color w:val="auto"/>
          <w:sz w:val="24"/>
          <w:szCs w:val="24"/>
          <w:lang w:eastAsia="ko-KR"/>
        </w:rPr>
        <w:t xml:space="preserve">, </w:t>
      </w:r>
      <w:r w:rsidRPr="0093633A">
        <w:rPr>
          <w:rFonts w:ascii="Times New Roman" w:eastAsia="Batang" w:hAnsi="Times New Roman"/>
          <w:color w:val="auto"/>
          <w:sz w:val="24"/>
          <w:szCs w:val="24"/>
          <w:lang w:eastAsia="ko-KR"/>
        </w:rPr>
        <w:t xml:space="preserve">nine </w:t>
      </w:r>
      <w:r w:rsidR="003461A4" w:rsidRPr="0093633A">
        <w:rPr>
          <w:rFonts w:ascii="Times New Roman" w:eastAsia="Batang" w:hAnsi="Times New Roman"/>
          <w:color w:val="auto"/>
          <w:sz w:val="24"/>
          <w:szCs w:val="24"/>
          <w:lang w:eastAsia="ko-KR"/>
        </w:rPr>
        <w:t xml:space="preserve">of the 17 remaining colleges </w:t>
      </w:r>
      <w:r w:rsidR="00837E16">
        <w:rPr>
          <w:rFonts w:ascii="Times New Roman" w:eastAsia="Batang" w:hAnsi="Times New Roman"/>
          <w:color w:val="auto"/>
          <w:sz w:val="24"/>
          <w:szCs w:val="24"/>
          <w:lang w:eastAsia="ko-KR"/>
        </w:rPr>
        <w:t xml:space="preserve">will </w:t>
      </w:r>
      <w:r w:rsidR="003461A4" w:rsidRPr="0093633A">
        <w:rPr>
          <w:rFonts w:ascii="Times New Roman" w:eastAsia="Batang" w:hAnsi="Times New Roman"/>
          <w:color w:val="auto"/>
          <w:sz w:val="24"/>
          <w:szCs w:val="24"/>
          <w:lang w:eastAsia="ko-KR"/>
        </w:rPr>
        <w:t xml:space="preserve">have customised curricula for the new </w:t>
      </w:r>
      <w:r w:rsidRPr="0093633A">
        <w:rPr>
          <w:rFonts w:ascii="Times New Roman" w:eastAsia="Batang" w:hAnsi="Times New Roman"/>
          <w:color w:val="auto"/>
          <w:sz w:val="24"/>
          <w:szCs w:val="24"/>
          <w:lang w:eastAsia="ko-KR"/>
        </w:rPr>
        <w:t>3-year</w:t>
      </w:r>
      <w:r w:rsidR="003461A4" w:rsidRPr="0093633A">
        <w:rPr>
          <w:rFonts w:ascii="Times New Roman" w:eastAsia="Batang" w:hAnsi="Times New Roman"/>
          <w:color w:val="auto"/>
          <w:sz w:val="24"/>
          <w:szCs w:val="24"/>
          <w:lang w:eastAsia="ko-KR"/>
        </w:rPr>
        <w:t xml:space="preserve"> diploma in </w:t>
      </w:r>
      <w:r w:rsidRPr="0093633A">
        <w:rPr>
          <w:rFonts w:ascii="Times New Roman" w:eastAsia="Batang" w:hAnsi="Times New Roman"/>
          <w:color w:val="auto"/>
          <w:sz w:val="24"/>
          <w:szCs w:val="24"/>
          <w:lang w:eastAsia="ko-KR"/>
        </w:rPr>
        <w:t>General Nursing</w:t>
      </w:r>
      <w:r w:rsidR="00AB04CC" w:rsidRPr="0093633A">
        <w:rPr>
          <w:rFonts w:ascii="Times New Roman" w:eastAsia="Batang" w:hAnsi="Times New Roman"/>
          <w:color w:val="auto"/>
          <w:sz w:val="24"/>
          <w:szCs w:val="24"/>
          <w:lang w:eastAsia="ko-KR"/>
        </w:rPr>
        <w:t>; n</w:t>
      </w:r>
      <w:r w:rsidR="003461A4" w:rsidRPr="0093633A">
        <w:rPr>
          <w:rFonts w:ascii="Times New Roman" w:eastAsia="Batang" w:hAnsi="Times New Roman"/>
          <w:color w:val="auto"/>
          <w:sz w:val="24"/>
          <w:szCs w:val="24"/>
          <w:lang w:eastAsia="ko-KR"/>
        </w:rPr>
        <w:t>ew courses will commence in 2019 academic year</w:t>
      </w:r>
      <w:r w:rsidR="00AB04CC" w:rsidRPr="0093633A">
        <w:rPr>
          <w:rFonts w:ascii="Times New Roman" w:eastAsia="Batang" w:hAnsi="Times New Roman"/>
          <w:color w:val="auto"/>
          <w:sz w:val="24"/>
          <w:szCs w:val="24"/>
          <w:lang w:eastAsia="ko-KR"/>
        </w:rPr>
        <w:t>;</w:t>
      </w:r>
      <w:r w:rsidRPr="0093633A">
        <w:rPr>
          <w:rFonts w:ascii="Times New Roman" w:eastAsia="Batang" w:hAnsi="Times New Roman"/>
          <w:color w:val="auto"/>
          <w:sz w:val="24"/>
          <w:szCs w:val="24"/>
          <w:lang w:eastAsia="ko-KR"/>
        </w:rPr>
        <w:t xml:space="preserve"> and n</w:t>
      </w:r>
      <w:r w:rsidR="003461A4" w:rsidRPr="0093633A">
        <w:rPr>
          <w:rFonts w:ascii="Times New Roman" w:eastAsia="Batang" w:hAnsi="Times New Roman"/>
          <w:color w:val="auto"/>
          <w:sz w:val="24"/>
          <w:szCs w:val="24"/>
          <w:lang w:eastAsia="ko-KR"/>
        </w:rPr>
        <w:t>orms and standards for clinical training platform will be approved.</w:t>
      </w:r>
    </w:p>
    <w:p w14:paraId="156AA229" w14:textId="77777777" w:rsidR="00E11CFE" w:rsidRPr="0093633A" w:rsidRDefault="00AB04CC">
      <w:pPr>
        <w:numPr>
          <w:ilvl w:val="0"/>
          <w:numId w:val="7"/>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In eliminating the backlog of blood alcohol tests and toxicology tests</w:t>
      </w:r>
      <w:r w:rsidR="00837E16">
        <w:rPr>
          <w:rFonts w:ascii="Times New Roman" w:eastAsia="Batang" w:hAnsi="Times New Roman"/>
          <w:color w:val="auto"/>
          <w:sz w:val="24"/>
          <w:szCs w:val="24"/>
          <w:lang w:eastAsia="ko-KR"/>
        </w:rPr>
        <w:t>,</w:t>
      </w:r>
      <w:r w:rsidRPr="0093633A">
        <w:rPr>
          <w:rFonts w:ascii="Times New Roman" w:eastAsia="Batang" w:hAnsi="Times New Roman"/>
          <w:color w:val="auto"/>
          <w:sz w:val="24"/>
          <w:szCs w:val="24"/>
          <w:lang w:eastAsia="ko-KR"/>
        </w:rPr>
        <w:t xml:space="preserve"> 100%</w:t>
      </w:r>
      <w:r w:rsidR="003461A4" w:rsidRPr="0093633A">
        <w:rPr>
          <w:rFonts w:ascii="Times New Roman" w:eastAsia="Batang" w:hAnsi="Times New Roman"/>
          <w:color w:val="auto"/>
          <w:sz w:val="24"/>
          <w:szCs w:val="24"/>
          <w:lang w:eastAsia="ko-KR"/>
        </w:rPr>
        <w:t xml:space="preserve"> backlog will be eliminated for blood alcohol tests in Johannesburg laboratory</w:t>
      </w:r>
      <w:r w:rsidRPr="0093633A">
        <w:rPr>
          <w:rFonts w:ascii="Times New Roman" w:eastAsia="Batang" w:hAnsi="Times New Roman"/>
          <w:color w:val="auto"/>
          <w:sz w:val="24"/>
          <w:szCs w:val="24"/>
          <w:lang w:eastAsia="ko-KR"/>
        </w:rPr>
        <w:t xml:space="preserve"> and 60%</w:t>
      </w:r>
      <w:r w:rsidR="003461A4" w:rsidRPr="0093633A">
        <w:rPr>
          <w:rFonts w:ascii="Times New Roman" w:eastAsia="Batang" w:hAnsi="Times New Roman"/>
          <w:color w:val="auto"/>
          <w:sz w:val="24"/>
          <w:szCs w:val="24"/>
          <w:lang w:eastAsia="ko-KR"/>
        </w:rPr>
        <w:t xml:space="preserve"> backlog for toxicology tests</w:t>
      </w:r>
      <w:r w:rsidRPr="0093633A">
        <w:rPr>
          <w:rFonts w:ascii="Times New Roman" w:eastAsia="Batang" w:hAnsi="Times New Roman"/>
          <w:color w:val="auto"/>
          <w:sz w:val="24"/>
          <w:szCs w:val="24"/>
          <w:lang w:eastAsia="ko-KR"/>
        </w:rPr>
        <w:t xml:space="preserve"> eliminated</w:t>
      </w:r>
      <w:r w:rsidR="003461A4" w:rsidRPr="0093633A">
        <w:rPr>
          <w:rFonts w:ascii="Times New Roman" w:eastAsia="Batang" w:hAnsi="Times New Roman"/>
          <w:color w:val="auto"/>
          <w:sz w:val="24"/>
          <w:szCs w:val="24"/>
          <w:lang w:eastAsia="ko-KR"/>
        </w:rPr>
        <w:t>.</w:t>
      </w:r>
      <w:r w:rsidR="00B51E0D" w:rsidRPr="0093633A">
        <w:rPr>
          <w:rFonts w:ascii="Times New Roman" w:eastAsia="Batang" w:hAnsi="Times New Roman"/>
          <w:color w:val="auto"/>
          <w:sz w:val="24"/>
          <w:szCs w:val="24"/>
          <w:lang w:eastAsia="ko-KR"/>
        </w:rPr>
        <w:t xml:space="preserve"> </w:t>
      </w:r>
    </w:p>
    <w:p w14:paraId="36DBCE78" w14:textId="77777777" w:rsidR="00F7385C" w:rsidRPr="0093633A" w:rsidRDefault="00F7385C" w:rsidP="00941E30">
      <w:pPr>
        <w:ind w:left="720"/>
        <w:jc w:val="both"/>
        <w:rPr>
          <w:rFonts w:ascii="Times New Roman" w:eastAsia="Batang" w:hAnsi="Times New Roman"/>
          <w:b/>
          <w:color w:val="auto"/>
          <w:sz w:val="24"/>
          <w:szCs w:val="24"/>
          <w:lang w:eastAsia="ko-KR"/>
        </w:rPr>
      </w:pPr>
    </w:p>
    <w:p w14:paraId="298CA7B0" w14:textId="77777777" w:rsidR="003E1D1A" w:rsidRPr="0093633A" w:rsidRDefault="007A44CA" w:rsidP="00941E30">
      <w:pPr>
        <w:jc w:val="both"/>
        <w:rPr>
          <w:rFonts w:ascii="Times New Roman" w:eastAsia="Batang" w:hAnsi="Times New Roman"/>
          <w:b/>
          <w:color w:val="auto"/>
          <w:sz w:val="24"/>
          <w:szCs w:val="24"/>
          <w:lang w:eastAsia="ko-KR"/>
        </w:rPr>
      </w:pPr>
      <w:r w:rsidRPr="0093633A">
        <w:rPr>
          <w:rFonts w:ascii="Times New Roman" w:eastAsia="Batang" w:hAnsi="Times New Roman"/>
          <w:b/>
          <w:color w:val="auto"/>
          <w:sz w:val="24"/>
          <w:szCs w:val="24"/>
          <w:lang w:eastAsia="ko-KR"/>
        </w:rPr>
        <w:t>Programme 6: Health Regulation and Compliance Management</w:t>
      </w:r>
    </w:p>
    <w:p w14:paraId="1409D977" w14:textId="77777777" w:rsidR="007A44CA" w:rsidRPr="0093633A" w:rsidRDefault="007A44CA" w:rsidP="00941E30">
      <w:pPr>
        <w:jc w:val="both"/>
        <w:rPr>
          <w:rFonts w:ascii="Times New Roman" w:eastAsia="Batang" w:hAnsi="Times New Roman"/>
          <w:b/>
          <w:color w:val="auto"/>
          <w:sz w:val="24"/>
          <w:szCs w:val="24"/>
          <w:lang w:eastAsia="ko-KR"/>
        </w:rPr>
      </w:pPr>
    </w:p>
    <w:p w14:paraId="58E86B7E" w14:textId="77777777" w:rsidR="00210F2E" w:rsidRDefault="00210F2E">
      <w:pPr>
        <w:spacing w:line="360" w:lineRule="auto"/>
        <w:jc w:val="both"/>
        <w:rPr>
          <w:rFonts w:ascii="Times New Roman" w:hAnsi="Times New Roman"/>
          <w:color w:val="auto"/>
          <w:sz w:val="24"/>
          <w:szCs w:val="24"/>
        </w:rPr>
      </w:pPr>
      <w:r w:rsidRPr="0093633A">
        <w:rPr>
          <w:rFonts w:ascii="Times New Roman" w:eastAsia="Batang" w:hAnsi="Times New Roman"/>
          <w:color w:val="auto"/>
          <w:sz w:val="24"/>
          <w:szCs w:val="24"/>
          <w:lang w:eastAsia="ko-KR"/>
        </w:rPr>
        <w:t xml:space="preserve">The purpose of this programme is to regulate </w:t>
      </w:r>
      <w:r w:rsidR="00BD6959" w:rsidRPr="0093633A">
        <w:rPr>
          <w:rFonts w:ascii="Times New Roman" w:eastAsia="Batang" w:hAnsi="Times New Roman"/>
          <w:color w:val="auto"/>
          <w:sz w:val="24"/>
          <w:szCs w:val="24"/>
          <w:lang w:eastAsia="ko-KR"/>
        </w:rPr>
        <w:t xml:space="preserve">the scale of food and to ensure accountability and compliance by public entities and statutory health professional councils in accordance with applicable legislative prescripts. </w:t>
      </w:r>
      <w:r w:rsidRPr="0093633A">
        <w:rPr>
          <w:rFonts w:ascii="Times New Roman" w:hAnsi="Times New Roman"/>
          <w:color w:val="auto"/>
          <w:sz w:val="24"/>
          <w:szCs w:val="24"/>
        </w:rPr>
        <w:t>Targets under Programme 6 for the current financial year (201</w:t>
      </w:r>
      <w:r w:rsidR="00830C78" w:rsidRPr="0093633A">
        <w:rPr>
          <w:rFonts w:ascii="Times New Roman" w:hAnsi="Times New Roman"/>
          <w:color w:val="auto"/>
          <w:sz w:val="24"/>
          <w:szCs w:val="24"/>
        </w:rPr>
        <w:t>8</w:t>
      </w:r>
      <w:r w:rsidRPr="0093633A">
        <w:rPr>
          <w:rFonts w:ascii="Times New Roman" w:hAnsi="Times New Roman"/>
          <w:color w:val="auto"/>
          <w:sz w:val="24"/>
          <w:szCs w:val="24"/>
        </w:rPr>
        <w:t>/1</w:t>
      </w:r>
      <w:r w:rsidR="00830C78" w:rsidRPr="0093633A">
        <w:rPr>
          <w:rFonts w:ascii="Times New Roman" w:hAnsi="Times New Roman"/>
          <w:color w:val="auto"/>
          <w:sz w:val="24"/>
          <w:szCs w:val="24"/>
        </w:rPr>
        <w:t>9</w:t>
      </w:r>
      <w:r w:rsidRPr="0093633A">
        <w:rPr>
          <w:rFonts w:ascii="Times New Roman" w:hAnsi="Times New Roman"/>
          <w:color w:val="auto"/>
          <w:sz w:val="24"/>
          <w:szCs w:val="24"/>
        </w:rPr>
        <w:t>)</w:t>
      </w:r>
      <w:r w:rsidR="00E83C5A" w:rsidRPr="0093633A">
        <w:rPr>
          <w:rFonts w:ascii="Times New Roman" w:hAnsi="Times New Roman"/>
          <w:color w:val="auto"/>
          <w:sz w:val="24"/>
          <w:szCs w:val="24"/>
        </w:rPr>
        <w:t xml:space="preserve"> include</w:t>
      </w:r>
      <w:r w:rsidRPr="0093633A">
        <w:rPr>
          <w:rFonts w:ascii="Times New Roman" w:hAnsi="Times New Roman"/>
          <w:color w:val="auto"/>
          <w:sz w:val="24"/>
          <w:szCs w:val="24"/>
        </w:rPr>
        <w:t xml:space="preserve">: </w:t>
      </w:r>
    </w:p>
    <w:p w14:paraId="6770A2A1" w14:textId="77777777" w:rsidR="00D77A33" w:rsidRPr="0093633A" w:rsidRDefault="00D77A33" w:rsidP="00941E30">
      <w:pPr>
        <w:jc w:val="both"/>
        <w:rPr>
          <w:rFonts w:ascii="Times New Roman" w:eastAsia="Batang" w:hAnsi="Times New Roman"/>
          <w:color w:val="auto"/>
          <w:sz w:val="24"/>
          <w:szCs w:val="24"/>
          <w:lang w:eastAsia="ko-KR"/>
        </w:rPr>
      </w:pPr>
    </w:p>
    <w:p w14:paraId="671BDCDE" w14:textId="77777777" w:rsidR="00830C78" w:rsidRPr="0093633A" w:rsidRDefault="00830C78">
      <w:pPr>
        <w:numPr>
          <w:ilvl w:val="0"/>
          <w:numId w:val="8"/>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 xml:space="preserve">The National Public Health Institute of South Africa (NAPHISA) Act </w:t>
      </w:r>
      <w:r w:rsidR="00727F58" w:rsidRPr="0093633A">
        <w:rPr>
          <w:rFonts w:ascii="Times New Roman" w:eastAsia="Batang" w:hAnsi="Times New Roman"/>
          <w:color w:val="auto"/>
          <w:sz w:val="24"/>
          <w:szCs w:val="24"/>
          <w:lang w:eastAsia="ko-KR"/>
        </w:rPr>
        <w:t>is</w:t>
      </w:r>
      <w:r w:rsidRPr="0093633A">
        <w:rPr>
          <w:rFonts w:ascii="Times New Roman" w:eastAsia="Batang" w:hAnsi="Times New Roman"/>
          <w:color w:val="auto"/>
          <w:sz w:val="24"/>
          <w:szCs w:val="24"/>
          <w:lang w:eastAsia="ko-KR"/>
        </w:rPr>
        <w:t xml:space="preserve"> promulgated into law.</w:t>
      </w:r>
    </w:p>
    <w:p w14:paraId="32F51D72" w14:textId="77777777" w:rsidR="00830C78" w:rsidRPr="0093633A" w:rsidRDefault="00830C78">
      <w:pPr>
        <w:numPr>
          <w:ilvl w:val="0"/>
          <w:numId w:val="8"/>
        </w:numPr>
        <w:spacing w:line="360" w:lineRule="auto"/>
        <w:jc w:val="both"/>
        <w:rPr>
          <w:rFonts w:ascii="Times New Roman" w:eastAsia="Batang" w:hAnsi="Times New Roman"/>
          <w:b/>
          <w:color w:val="auto"/>
          <w:sz w:val="24"/>
          <w:szCs w:val="24"/>
          <w:lang w:eastAsia="ko-KR"/>
        </w:rPr>
      </w:pPr>
      <w:r w:rsidRPr="0093633A">
        <w:rPr>
          <w:rFonts w:ascii="Times New Roman" w:eastAsia="Batang" w:hAnsi="Times New Roman"/>
          <w:color w:val="auto"/>
          <w:sz w:val="24"/>
          <w:szCs w:val="24"/>
          <w:lang w:eastAsia="ko-KR"/>
        </w:rPr>
        <w:t>Biannual governance progress reports will be produced of all health entities and councils.</w:t>
      </w:r>
    </w:p>
    <w:p w14:paraId="00776E5E" w14:textId="77777777" w:rsidR="00A51B1C" w:rsidRPr="0093633A" w:rsidRDefault="009B2B73">
      <w:pPr>
        <w:numPr>
          <w:ilvl w:val="0"/>
          <w:numId w:val="8"/>
        </w:numPr>
        <w:spacing w:line="360" w:lineRule="auto"/>
        <w:jc w:val="both"/>
        <w:rPr>
          <w:rFonts w:ascii="Times New Roman" w:eastAsia="Batang" w:hAnsi="Times New Roman"/>
          <w:b/>
          <w:color w:val="auto"/>
          <w:sz w:val="24"/>
          <w:szCs w:val="24"/>
          <w:lang w:eastAsia="ko-KR"/>
        </w:rPr>
      </w:pPr>
      <w:r>
        <w:rPr>
          <w:rFonts w:ascii="Times New Roman" w:eastAsia="Batang" w:hAnsi="Times New Roman"/>
          <w:color w:val="auto"/>
          <w:sz w:val="24"/>
          <w:szCs w:val="24"/>
          <w:lang w:eastAsia="ko-KR"/>
        </w:rPr>
        <w:t>A</w:t>
      </w:r>
      <w:r w:rsidR="00727F58" w:rsidRPr="0093633A">
        <w:rPr>
          <w:rFonts w:ascii="Times New Roman" w:eastAsia="Batang" w:hAnsi="Times New Roman"/>
          <w:color w:val="auto"/>
          <w:sz w:val="24"/>
          <w:szCs w:val="24"/>
          <w:lang w:eastAsia="ko-KR"/>
        </w:rPr>
        <w:t xml:space="preserve"> </w:t>
      </w:r>
      <w:r w:rsidR="00830C78" w:rsidRPr="0093633A">
        <w:rPr>
          <w:rFonts w:ascii="Times New Roman" w:eastAsia="Batang" w:hAnsi="Times New Roman"/>
          <w:color w:val="auto"/>
          <w:sz w:val="24"/>
          <w:szCs w:val="24"/>
          <w:lang w:eastAsia="ko-KR"/>
        </w:rPr>
        <w:t xml:space="preserve">handbook for </w:t>
      </w:r>
      <w:r>
        <w:rPr>
          <w:rFonts w:ascii="Times New Roman" w:eastAsia="Batang" w:hAnsi="Times New Roman"/>
          <w:color w:val="auto"/>
          <w:sz w:val="24"/>
          <w:szCs w:val="24"/>
          <w:lang w:eastAsia="ko-KR"/>
        </w:rPr>
        <w:t xml:space="preserve">Board </w:t>
      </w:r>
      <w:r w:rsidRPr="0093633A">
        <w:rPr>
          <w:rFonts w:ascii="Times New Roman" w:eastAsia="Batang" w:hAnsi="Times New Roman"/>
          <w:color w:val="auto"/>
          <w:sz w:val="24"/>
          <w:szCs w:val="24"/>
          <w:lang w:eastAsia="ko-KR"/>
        </w:rPr>
        <w:t>members</w:t>
      </w:r>
      <w:r>
        <w:rPr>
          <w:rFonts w:ascii="Times New Roman" w:eastAsia="Batang" w:hAnsi="Times New Roman"/>
          <w:color w:val="auto"/>
          <w:sz w:val="24"/>
          <w:szCs w:val="24"/>
          <w:lang w:eastAsia="ko-KR"/>
        </w:rPr>
        <w:t xml:space="preserve"> serving on public health entities and statutory professional councils  will be developed</w:t>
      </w:r>
      <w:r w:rsidR="00830C78" w:rsidRPr="0093633A">
        <w:rPr>
          <w:rFonts w:ascii="Times New Roman" w:eastAsia="Batang" w:hAnsi="Times New Roman"/>
          <w:color w:val="auto"/>
          <w:sz w:val="24"/>
          <w:szCs w:val="24"/>
          <w:lang w:eastAsia="ko-KR"/>
        </w:rPr>
        <w:t>.</w:t>
      </w:r>
    </w:p>
    <w:p w14:paraId="00D1B85C" w14:textId="77777777" w:rsidR="00A970B0" w:rsidRDefault="00A970B0" w:rsidP="00085BAF">
      <w:pPr>
        <w:jc w:val="both"/>
        <w:rPr>
          <w:rFonts w:ascii="Times New Roman" w:eastAsia="Batang" w:hAnsi="Times New Roman"/>
          <w:color w:val="auto"/>
          <w:sz w:val="24"/>
          <w:szCs w:val="24"/>
          <w:lang w:eastAsia="ko-KR"/>
        </w:rPr>
      </w:pPr>
    </w:p>
    <w:p w14:paraId="089A5B59" w14:textId="77777777" w:rsidR="00AB1A9A" w:rsidRPr="00B010F9" w:rsidRDefault="00B010F9" w:rsidP="00941E30">
      <w:pPr>
        <w:pStyle w:val="ListParagraph"/>
        <w:numPr>
          <w:ilvl w:val="1"/>
          <w:numId w:val="80"/>
        </w:numPr>
        <w:rPr>
          <w:rFonts w:ascii="Times New Roman" w:hAnsi="Times New Roman"/>
          <w:b/>
          <w:color w:val="auto"/>
          <w:sz w:val="24"/>
          <w:lang w:val="en-US"/>
        </w:rPr>
      </w:pPr>
      <w:r w:rsidRPr="00B010F9">
        <w:rPr>
          <w:rFonts w:ascii="Times New Roman" w:hAnsi="Times New Roman"/>
          <w:b/>
          <w:color w:val="auto"/>
          <w:sz w:val="24"/>
          <w:lang w:val="en-US"/>
        </w:rPr>
        <w:t xml:space="preserve">Budget </w:t>
      </w:r>
      <w:r w:rsidR="006916B9">
        <w:rPr>
          <w:rFonts w:ascii="Times New Roman" w:hAnsi="Times New Roman"/>
          <w:b/>
          <w:color w:val="auto"/>
          <w:sz w:val="24"/>
          <w:lang w:val="en-US"/>
        </w:rPr>
        <w:t>Overview</w:t>
      </w:r>
    </w:p>
    <w:p w14:paraId="24AF0D9B" w14:textId="77777777" w:rsidR="008177E6" w:rsidRPr="0093633A" w:rsidRDefault="008177E6" w:rsidP="00941E30">
      <w:pPr>
        <w:pStyle w:val="Heading2"/>
        <w:keepLines/>
        <w:numPr>
          <w:ilvl w:val="0"/>
          <w:numId w:val="0"/>
        </w:numPr>
        <w:ind w:left="576" w:hanging="576"/>
        <w:rPr>
          <w:rFonts w:ascii="Times New Roman" w:hAnsi="Times New Roman" w:cs="Times New Roman"/>
          <w:b w:val="0"/>
          <w:bCs w:val="0"/>
          <w:iCs w:val="0"/>
          <w:color w:val="auto"/>
          <w:sz w:val="24"/>
          <w:szCs w:val="24"/>
        </w:rPr>
      </w:pPr>
      <w:bookmarkStart w:id="1" w:name="_Toc511650445"/>
    </w:p>
    <w:p w14:paraId="6AA9BB36" w14:textId="77777777" w:rsidR="008177E6" w:rsidRPr="00941E30" w:rsidRDefault="008177E6" w:rsidP="00941E30">
      <w:pPr>
        <w:pStyle w:val="Heading2"/>
        <w:keepLines/>
        <w:numPr>
          <w:ilvl w:val="2"/>
          <w:numId w:val="80"/>
        </w:numPr>
        <w:rPr>
          <w:rFonts w:ascii="Times New Roman" w:hAnsi="Times New Roman" w:cs="Times New Roman"/>
          <w:sz w:val="24"/>
          <w:szCs w:val="24"/>
        </w:rPr>
      </w:pPr>
      <w:r w:rsidRPr="00941E30">
        <w:rPr>
          <w:rFonts w:ascii="Times New Roman" w:hAnsi="Times New Roman" w:cs="Times New Roman"/>
          <w:sz w:val="24"/>
          <w:szCs w:val="24"/>
        </w:rPr>
        <w:t>Consolidated Health Budget</w:t>
      </w:r>
      <w:bookmarkEnd w:id="1"/>
    </w:p>
    <w:p w14:paraId="0C7FE76E" w14:textId="77777777" w:rsidR="008177E6" w:rsidRPr="00941E30" w:rsidRDefault="008177E6" w:rsidP="00085BAF">
      <w:pPr>
        <w:rPr>
          <w:rFonts w:ascii="Times New Roman" w:hAnsi="Times New Roman"/>
          <w:sz w:val="24"/>
          <w:szCs w:val="24"/>
        </w:rPr>
      </w:pPr>
    </w:p>
    <w:p w14:paraId="21DE0E27" w14:textId="77777777" w:rsidR="00374ED9" w:rsidRDefault="008177E6" w:rsidP="00941E30">
      <w:pPr>
        <w:spacing w:line="360" w:lineRule="auto"/>
        <w:jc w:val="both"/>
        <w:rPr>
          <w:rFonts w:ascii="Times New Roman" w:hAnsi="Times New Roman"/>
          <w:sz w:val="24"/>
          <w:szCs w:val="24"/>
        </w:rPr>
      </w:pPr>
      <w:r w:rsidRPr="00941E30">
        <w:rPr>
          <w:rFonts w:ascii="Times New Roman" w:hAnsi="Times New Roman"/>
          <w:sz w:val="24"/>
          <w:szCs w:val="24"/>
        </w:rPr>
        <w:t>The public health budget spans across the national department, its entities and the provincial departments of health. The consolidated budget totals R205.4 billion.</w:t>
      </w:r>
      <w:r w:rsidR="006916B9">
        <w:rPr>
          <w:rFonts w:ascii="Times New Roman" w:hAnsi="Times New Roman"/>
          <w:sz w:val="24"/>
          <w:szCs w:val="24"/>
        </w:rPr>
        <w:t xml:space="preserve"> </w:t>
      </w:r>
    </w:p>
    <w:p w14:paraId="5ED1A191" w14:textId="77777777" w:rsidR="00374ED9" w:rsidRDefault="00374ED9" w:rsidP="00941E30">
      <w:pPr>
        <w:jc w:val="both"/>
        <w:rPr>
          <w:rFonts w:ascii="Times New Roman" w:hAnsi="Times New Roman"/>
          <w:sz w:val="24"/>
          <w:szCs w:val="24"/>
        </w:rPr>
      </w:pPr>
    </w:p>
    <w:p w14:paraId="2B3028BF" w14:textId="77777777" w:rsidR="008177E6" w:rsidRPr="00941E30" w:rsidRDefault="002C3F7F" w:rsidP="00941E30">
      <w:pPr>
        <w:spacing w:line="360" w:lineRule="auto"/>
        <w:jc w:val="both"/>
        <w:rPr>
          <w:rFonts w:ascii="Times New Roman" w:hAnsi="Times New Roman"/>
          <w:sz w:val="24"/>
          <w:szCs w:val="24"/>
        </w:rPr>
      </w:pPr>
      <w:r>
        <w:rPr>
          <w:rFonts w:ascii="Times New Roman" w:hAnsi="Times New Roman"/>
          <w:sz w:val="24"/>
          <w:szCs w:val="24"/>
        </w:rPr>
        <w:t>Economic classification:</w:t>
      </w:r>
    </w:p>
    <w:p w14:paraId="7197DE88" w14:textId="77777777" w:rsidR="008177E6" w:rsidRPr="0093633A" w:rsidRDefault="008177E6" w:rsidP="00941E30">
      <w:pPr>
        <w:pStyle w:val="ListParagraph"/>
        <w:numPr>
          <w:ilvl w:val="0"/>
          <w:numId w:val="28"/>
        </w:numPr>
        <w:spacing w:line="360" w:lineRule="auto"/>
        <w:jc w:val="both"/>
        <w:rPr>
          <w:rFonts w:ascii="Times New Roman" w:hAnsi="Times New Roman"/>
          <w:sz w:val="24"/>
          <w:szCs w:val="24"/>
        </w:rPr>
      </w:pPr>
      <w:r w:rsidRPr="0093633A">
        <w:rPr>
          <w:rFonts w:ascii="Times New Roman" w:hAnsi="Times New Roman"/>
          <w:sz w:val="24"/>
          <w:szCs w:val="24"/>
        </w:rPr>
        <w:t xml:space="preserve">A significant </w:t>
      </w:r>
      <w:r w:rsidR="006B7A44" w:rsidRPr="0093633A">
        <w:rPr>
          <w:rFonts w:ascii="Times New Roman" w:hAnsi="Times New Roman"/>
          <w:sz w:val="24"/>
          <w:szCs w:val="24"/>
        </w:rPr>
        <w:t xml:space="preserve">portion </w:t>
      </w:r>
      <w:r w:rsidRPr="0093633A">
        <w:rPr>
          <w:rFonts w:ascii="Times New Roman" w:hAnsi="Times New Roman"/>
          <w:sz w:val="24"/>
          <w:szCs w:val="24"/>
        </w:rPr>
        <w:t>of the consolidated health expenditure (62.7</w:t>
      </w:r>
      <w:r w:rsidR="00104807">
        <w:rPr>
          <w:rFonts w:ascii="Times New Roman" w:hAnsi="Times New Roman"/>
          <w:sz w:val="24"/>
          <w:szCs w:val="24"/>
        </w:rPr>
        <w:t>%</w:t>
      </w:r>
      <w:r w:rsidRPr="0093633A">
        <w:rPr>
          <w:rFonts w:ascii="Times New Roman" w:hAnsi="Times New Roman"/>
          <w:sz w:val="24"/>
          <w:szCs w:val="24"/>
        </w:rPr>
        <w:t>) is dedicated to Compensation of Employees, which totals R128.8 billion.</w:t>
      </w:r>
    </w:p>
    <w:p w14:paraId="6A40FB9E" w14:textId="77777777" w:rsidR="008177E6" w:rsidRPr="0093633A" w:rsidRDefault="008177E6" w:rsidP="00941E30">
      <w:pPr>
        <w:pStyle w:val="ListParagraph"/>
        <w:numPr>
          <w:ilvl w:val="0"/>
          <w:numId w:val="28"/>
        </w:numPr>
        <w:spacing w:line="360" w:lineRule="auto"/>
        <w:jc w:val="both"/>
        <w:rPr>
          <w:rFonts w:ascii="Times New Roman" w:hAnsi="Times New Roman"/>
          <w:sz w:val="24"/>
          <w:szCs w:val="24"/>
        </w:rPr>
      </w:pPr>
      <w:r w:rsidRPr="0093633A">
        <w:rPr>
          <w:rFonts w:ascii="Times New Roman" w:hAnsi="Times New Roman"/>
          <w:sz w:val="24"/>
          <w:szCs w:val="24"/>
        </w:rPr>
        <w:t>Consolidated health expenditure on Goods and Services totals R57.4 billion for 2018/19, which constitutes 27.9</w:t>
      </w:r>
      <w:r w:rsidR="00104807">
        <w:rPr>
          <w:rFonts w:ascii="Times New Roman" w:hAnsi="Times New Roman"/>
          <w:sz w:val="24"/>
          <w:szCs w:val="24"/>
        </w:rPr>
        <w:t>%</w:t>
      </w:r>
      <w:r w:rsidRPr="0093633A">
        <w:rPr>
          <w:rFonts w:ascii="Times New Roman" w:hAnsi="Times New Roman"/>
          <w:sz w:val="24"/>
          <w:szCs w:val="24"/>
        </w:rPr>
        <w:t xml:space="preserve"> of health expenditure. </w:t>
      </w:r>
    </w:p>
    <w:p w14:paraId="5A01D21C" w14:textId="77777777" w:rsidR="008177E6" w:rsidRPr="0093633A" w:rsidRDefault="008177E6" w:rsidP="00941E30">
      <w:pPr>
        <w:pStyle w:val="ListParagraph"/>
        <w:numPr>
          <w:ilvl w:val="0"/>
          <w:numId w:val="28"/>
        </w:numPr>
        <w:spacing w:line="360" w:lineRule="auto"/>
        <w:jc w:val="both"/>
        <w:rPr>
          <w:rFonts w:ascii="Times New Roman" w:hAnsi="Times New Roman"/>
          <w:sz w:val="24"/>
          <w:szCs w:val="24"/>
        </w:rPr>
      </w:pPr>
      <w:r w:rsidRPr="0093633A">
        <w:rPr>
          <w:rFonts w:ascii="Times New Roman" w:hAnsi="Times New Roman"/>
          <w:sz w:val="24"/>
          <w:szCs w:val="24"/>
        </w:rPr>
        <w:t>Consolidated health expenditure also makes provision for R12.9 billion (6.3</w:t>
      </w:r>
      <w:r w:rsidR="00104807">
        <w:rPr>
          <w:rFonts w:ascii="Times New Roman" w:hAnsi="Times New Roman"/>
          <w:sz w:val="24"/>
          <w:szCs w:val="24"/>
        </w:rPr>
        <w:t>%</w:t>
      </w:r>
      <w:r w:rsidRPr="0093633A">
        <w:rPr>
          <w:rFonts w:ascii="Times New Roman" w:hAnsi="Times New Roman"/>
          <w:sz w:val="24"/>
          <w:szCs w:val="24"/>
        </w:rPr>
        <w:t xml:space="preserve">) allocated to Capital spending and transfers, and R6.3 billion for </w:t>
      </w:r>
      <w:r w:rsidR="006844A0">
        <w:rPr>
          <w:rFonts w:ascii="Times New Roman" w:hAnsi="Times New Roman"/>
          <w:sz w:val="24"/>
          <w:szCs w:val="24"/>
        </w:rPr>
        <w:t>c</w:t>
      </w:r>
      <w:r w:rsidR="006844A0" w:rsidRPr="0093633A">
        <w:rPr>
          <w:rFonts w:ascii="Times New Roman" w:hAnsi="Times New Roman"/>
          <w:sz w:val="24"/>
          <w:szCs w:val="24"/>
        </w:rPr>
        <w:t xml:space="preserve">urrent </w:t>
      </w:r>
      <w:r w:rsidRPr="0093633A">
        <w:rPr>
          <w:rFonts w:ascii="Times New Roman" w:hAnsi="Times New Roman"/>
          <w:sz w:val="24"/>
          <w:szCs w:val="24"/>
        </w:rPr>
        <w:t>transfers and subsidies (3.1</w:t>
      </w:r>
      <w:r w:rsidR="00104807">
        <w:rPr>
          <w:rFonts w:ascii="Times New Roman" w:hAnsi="Times New Roman"/>
          <w:sz w:val="24"/>
          <w:szCs w:val="24"/>
        </w:rPr>
        <w:t>%</w:t>
      </w:r>
      <w:r w:rsidRPr="0093633A">
        <w:rPr>
          <w:rFonts w:ascii="Times New Roman" w:hAnsi="Times New Roman"/>
          <w:sz w:val="24"/>
          <w:szCs w:val="24"/>
        </w:rPr>
        <w:t>).</w:t>
      </w:r>
      <w:r w:rsidR="008E0D47" w:rsidRPr="0093633A">
        <w:rPr>
          <w:rFonts w:ascii="Times New Roman" w:hAnsi="Times New Roman"/>
          <w:sz w:val="24"/>
          <w:szCs w:val="24"/>
        </w:rPr>
        <w:t xml:space="preserve">  </w:t>
      </w:r>
    </w:p>
    <w:p w14:paraId="12E663BA" w14:textId="77777777" w:rsidR="00755106" w:rsidRPr="00941E30" w:rsidRDefault="00755106">
      <w:pPr>
        <w:rPr>
          <w:rFonts w:ascii="Times New Roman" w:hAnsi="Times New Roman"/>
        </w:rPr>
      </w:pPr>
    </w:p>
    <w:p w14:paraId="2B8C8B19" w14:textId="77777777" w:rsidR="00755106" w:rsidRPr="00941E30" w:rsidRDefault="00A934AF" w:rsidP="00941E30">
      <w:pPr>
        <w:pStyle w:val="ListParagraph"/>
        <w:numPr>
          <w:ilvl w:val="2"/>
          <w:numId w:val="80"/>
        </w:numPr>
        <w:rPr>
          <w:rFonts w:ascii="Times New Roman" w:hAnsi="Times New Roman"/>
          <w:b/>
          <w:sz w:val="24"/>
          <w:szCs w:val="24"/>
        </w:rPr>
      </w:pPr>
      <w:r w:rsidRPr="00085BAF">
        <w:rPr>
          <w:rFonts w:ascii="Times New Roman" w:hAnsi="Times New Roman"/>
          <w:b/>
          <w:sz w:val="24"/>
          <w:szCs w:val="24"/>
        </w:rPr>
        <w:t>N</w:t>
      </w:r>
      <w:r w:rsidRPr="00941E30">
        <w:rPr>
          <w:rFonts w:ascii="Times New Roman" w:hAnsi="Times New Roman"/>
          <w:b/>
          <w:sz w:val="24"/>
          <w:szCs w:val="24"/>
        </w:rPr>
        <w:t>D</w:t>
      </w:r>
      <w:r w:rsidRPr="00085BAF">
        <w:rPr>
          <w:rFonts w:ascii="Times New Roman" w:hAnsi="Times New Roman"/>
          <w:b/>
          <w:sz w:val="24"/>
          <w:szCs w:val="24"/>
        </w:rPr>
        <w:t>o</w:t>
      </w:r>
      <w:r w:rsidRPr="00941E30">
        <w:rPr>
          <w:rFonts w:ascii="Times New Roman" w:hAnsi="Times New Roman"/>
          <w:b/>
          <w:sz w:val="24"/>
          <w:szCs w:val="24"/>
        </w:rPr>
        <w:t xml:space="preserve">H Budget </w:t>
      </w:r>
    </w:p>
    <w:p w14:paraId="49C0FE38" w14:textId="77777777" w:rsidR="00A934AF" w:rsidRPr="00085BAF" w:rsidRDefault="00A934AF" w:rsidP="00941E30">
      <w:pPr>
        <w:jc w:val="both"/>
        <w:rPr>
          <w:rFonts w:ascii="Times New Roman" w:hAnsi="Times New Roman"/>
          <w:sz w:val="24"/>
          <w:szCs w:val="24"/>
        </w:rPr>
      </w:pPr>
    </w:p>
    <w:p w14:paraId="0BE596C5" w14:textId="77777777" w:rsidR="00A934AF" w:rsidRPr="00941E30" w:rsidRDefault="00A934AF" w:rsidP="00941E30">
      <w:pPr>
        <w:spacing w:line="360" w:lineRule="auto"/>
        <w:jc w:val="both"/>
        <w:rPr>
          <w:rFonts w:ascii="Times New Roman" w:hAnsi="Times New Roman"/>
          <w:sz w:val="24"/>
          <w:szCs w:val="24"/>
        </w:rPr>
      </w:pPr>
      <w:r w:rsidRPr="00941E30">
        <w:rPr>
          <w:rFonts w:ascii="Times New Roman" w:hAnsi="Times New Roman"/>
          <w:sz w:val="24"/>
          <w:szCs w:val="24"/>
        </w:rPr>
        <w:t>The Department receives R47.1 billion for 2018/19, up from R42.6 billion in 2017/18. This represents an increase of 10.5</w:t>
      </w:r>
      <w:r w:rsidR="00104807">
        <w:rPr>
          <w:rFonts w:ascii="Times New Roman" w:hAnsi="Times New Roman"/>
          <w:sz w:val="24"/>
          <w:szCs w:val="24"/>
        </w:rPr>
        <w:t>%</w:t>
      </w:r>
      <w:r w:rsidRPr="00941E30">
        <w:rPr>
          <w:rFonts w:ascii="Times New Roman" w:hAnsi="Times New Roman"/>
          <w:sz w:val="24"/>
          <w:szCs w:val="24"/>
        </w:rPr>
        <w:t xml:space="preserve"> in nominal terms (4.8</w:t>
      </w:r>
      <w:r w:rsidR="00104807">
        <w:rPr>
          <w:rFonts w:ascii="Times New Roman" w:hAnsi="Times New Roman"/>
          <w:sz w:val="24"/>
          <w:szCs w:val="24"/>
        </w:rPr>
        <w:t>%</w:t>
      </w:r>
      <w:r w:rsidRPr="00941E30">
        <w:rPr>
          <w:rFonts w:ascii="Times New Roman" w:hAnsi="Times New Roman"/>
          <w:sz w:val="24"/>
          <w:szCs w:val="24"/>
        </w:rPr>
        <w:t xml:space="preserve"> in real terms). </w:t>
      </w:r>
    </w:p>
    <w:p w14:paraId="01D5B0AD" w14:textId="77777777" w:rsidR="00755106" w:rsidRPr="00941E30" w:rsidRDefault="00755106" w:rsidP="00085BAF">
      <w:pPr>
        <w:rPr>
          <w:rFonts w:ascii="Times New Roman" w:hAnsi="Times New Roman"/>
          <w:b/>
          <w:sz w:val="24"/>
          <w:szCs w:val="24"/>
        </w:rPr>
      </w:pPr>
    </w:p>
    <w:p w14:paraId="7DE79DA8" w14:textId="77777777" w:rsidR="00755106" w:rsidRPr="00941E30" w:rsidRDefault="00F31BBE" w:rsidP="00941E30">
      <w:pPr>
        <w:spacing w:after="120"/>
        <w:jc w:val="both"/>
        <w:rPr>
          <w:rFonts w:ascii="Times New Roman" w:hAnsi="Times New Roman"/>
          <w:b/>
          <w:sz w:val="20"/>
          <w:szCs w:val="20"/>
        </w:rPr>
      </w:pPr>
      <w:r w:rsidRPr="00F31BBE">
        <w:rPr>
          <w:rFonts w:ascii="Times New Roman" w:hAnsi="Times New Roman"/>
          <w:noProof/>
          <w:sz w:val="20"/>
          <w:szCs w:val="20"/>
          <w:lang w:val="en-ZA" w:eastAsia="en-ZA"/>
        </w:rPr>
        <w:drawing>
          <wp:anchor distT="0" distB="0" distL="114300" distR="114300" simplePos="0" relativeHeight="251683840" behindDoc="0" locked="0" layoutInCell="1" allowOverlap="1" wp14:anchorId="0F82DE0F" wp14:editId="2A8D95DB">
            <wp:simplePos x="0" y="0"/>
            <wp:positionH relativeFrom="margin">
              <wp:align>right</wp:align>
            </wp:positionH>
            <wp:positionV relativeFrom="paragraph">
              <wp:posOffset>199390</wp:posOffset>
            </wp:positionV>
            <wp:extent cx="5724525" cy="1976120"/>
            <wp:effectExtent l="0" t="0" r="9525" b="508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4AF" w:rsidRPr="00941E30">
        <w:rPr>
          <w:rFonts w:ascii="Times New Roman" w:hAnsi="Times New Roman"/>
          <w:b/>
          <w:sz w:val="20"/>
          <w:szCs w:val="20"/>
        </w:rPr>
        <w:t xml:space="preserve">Table </w:t>
      </w:r>
      <w:r w:rsidR="006916B9">
        <w:rPr>
          <w:rFonts w:ascii="Times New Roman" w:hAnsi="Times New Roman"/>
          <w:b/>
          <w:sz w:val="20"/>
          <w:szCs w:val="20"/>
        </w:rPr>
        <w:t>1</w:t>
      </w:r>
      <w:r w:rsidR="00A934AF" w:rsidRPr="00941E30">
        <w:rPr>
          <w:rFonts w:ascii="Times New Roman" w:hAnsi="Times New Roman"/>
          <w:b/>
          <w:sz w:val="20"/>
          <w:szCs w:val="20"/>
        </w:rPr>
        <w:t xml:space="preserve">: </w:t>
      </w:r>
      <w:r w:rsidR="00755106" w:rsidRPr="00941E30">
        <w:rPr>
          <w:rFonts w:ascii="Times New Roman" w:hAnsi="Times New Roman"/>
          <w:b/>
          <w:sz w:val="20"/>
          <w:szCs w:val="20"/>
        </w:rPr>
        <w:t xml:space="preserve">National Department of Health Budget </w:t>
      </w:r>
      <w:r>
        <w:rPr>
          <w:rFonts w:ascii="Times New Roman" w:hAnsi="Times New Roman"/>
          <w:b/>
          <w:sz w:val="20"/>
          <w:szCs w:val="20"/>
        </w:rPr>
        <w:t>(</w:t>
      </w:r>
      <w:r w:rsidR="00EC3415">
        <w:rPr>
          <w:rFonts w:ascii="Times New Roman" w:hAnsi="Times New Roman"/>
          <w:b/>
          <w:sz w:val="20"/>
          <w:szCs w:val="20"/>
        </w:rPr>
        <w:t>2018/19</w:t>
      </w:r>
      <w:r>
        <w:rPr>
          <w:rFonts w:ascii="Times New Roman" w:hAnsi="Times New Roman"/>
          <w:b/>
          <w:sz w:val="20"/>
          <w:szCs w:val="20"/>
        </w:rPr>
        <w:t>)</w:t>
      </w:r>
    </w:p>
    <w:p w14:paraId="39983ACF" w14:textId="77777777" w:rsidR="008177E6" w:rsidRPr="00941E30" w:rsidRDefault="008177E6" w:rsidP="00941E30">
      <w:pPr>
        <w:pStyle w:val="ListParagraph"/>
        <w:jc w:val="both"/>
        <w:rPr>
          <w:rFonts w:ascii="Times New Roman" w:hAnsi="Times New Roman"/>
        </w:rPr>
      </w:pPr>
    </w:p>
    <w:p w14:paraId="2014DCA9" w14:textId="77777777" w:rsidR="004707D8" w:rsidRPr="00941E30" w:rsidRDefault="004707D8" w:rsidP="00941E30">
      <w:pPr>
        <w:spacing w:line="360" w:lineRule="auto"/>
        <w:jc w:val="both"/>
        <w:rPr>
          <w:rFonts w:ascii="Times New Roman" w:hAnsi="Times New Roman"/>
          <w:color w:val="000000" w:themeColor="text1"/>
          <w:sz w:val="24"/>
          <w:szCs w:val="24"/>
        </w:rPr>
      </w:pPr>
      <w:r w:rsidRPr="00941E30">
        <w:rPr>
          <w:rFonts w:ascii="Times New Roman" w:hAnsi="Times New Roman"/>
          <w:color w:val="000000" w:themeColor="text1"/>
          <w:sz w:val="24"/>
          <w:szCs w:val="24"/>
        </w:rPr>
        <w:t>The two largest programmes, namely Programme 3: HIV and AIDS, TB, Maternal and Child Health (R20.7 billion) and Programme 5: Hospitals, Tertiary Services and Human Resource Development (R22.1 billion), jointly constitute 90.9</w:t>
      </w:r>
      <w:r w:rsidR="00104807">
        <w:rPr>
          <w:rFonts w:ascii="Times New Roman" w:hAnsi="Times New Roman"/>
          <w:color w:val="000000" w:themeColor="text1"/>
          <w:sz w:val="24"/>
          <w:szCs w:val="24"/>
        </w:rPr>
        <w:t>%</w:t>
      </w:r>
      <w:r w:rsidRPr="00941E30">
        <w:rPr>
          <w:rFonts w:ascii="Times New Roman" w:hAnsi="Times New Roman"/>
          <w:color w:val="000000" w:themeColor="text1"/>
          <w:sz w:val="24"/>
          <w:szCs w:val="24"/>
        </w:rPr>
        <w:t xml:space="preserve"> of the total budget allocation to the Department. Programme 4: Primary Health Care Services, receives the smallest allocation (R301.7 million), which is less than 1</w:t>
      </w:r>
      <w:r w:rsidR="00104807">
        <w:rPr>
          <w:rFonts w:ascii="Times New Roman" w:hAnsi="Times New Roman"/>
          <w:color w:val="000000" w:themeColor="text1"/>
          <w:sz w:val="24"/>
          <w:szCs w:val="24"/>
        </w:rPr>
        <w:t>%</w:t>
      </w:r>
      <w:r w:rsidRPr="00941E30">
        <w:rPr>
          <w:rFonts w:ascii="Times New Roman" w:hAnsi="Times New Roman"/>
          <w:color w:val="000000" w:themeColor="text1"/>
          <w:sz w:val="24"/>
          <w:szCs w:val="24"/>
        </w:rPr>
        <w:t xml:space="preserve"> (0.64</w:t>
      </w:r>
      <w:r w:rsidR="00104807">
        <w:rPr>
          <w:rFonts w:ascii="Times New Roman" w:hAnsi="Times New Roman"/>
          <w:color w:val="000000" w:themeColor="text1"/>
          <w:sz w:val="24"/>
          <w:szCs w:val="24"/>
        </w:rPr>
        <w:t>%</w:t>
      </w:r>
      <w:r w:rsidRPr="00941E30">
        <w:rPr>
          <w:rFonts w:ascii="Times New Roman" w:hAnsi="Times New Roman"/>
          <w:color w:val="000000" w:themeColor="text1"/>
          <w:sz w:val="24"/>
          <w:szCs w:val="24"/>
        </w:rPr>
        <w:t xml:space="preserve">) of the Department’s budget. </w:t>
      </w:r>
    </w:p>
    <w:p w14:paraId="5B62017B" w14:textId="77777777" w:rsidR="004707D8" w:rsidRPr="00941E30" w:rsidRDefault="004707D8" w:rsidP="00941E30">
      <w:pPr>
        <w:spacing w:line="360" w:lineRule="auto"/>
        <w:jc w:val="both"/>
        <w:rPr>
          <w:rFonts w:ascii="Times New Roman" w:hAnsi="Times New Roman"/>
          <w:color w:val="000000" w:themeColor="text1"/>
          <w:sz w:val="24"/>
          <w:szCs w:val="24"/>
        </w:rPr>
      </w:pPr>
    </w:p>
    <w:p w14:paraId="59DFAD77" w14:textId="77777777" w:rsidR="00450333" w:rsidRDefault="004707D8" w:rsidP="00941E30">
      <w:pPr>
        <w:spacing w:line="360" w:lineRule="auto"/>
        <w:jc w:val="both"/>
        <w:rPr>
          <w:rFonts w:ascii="Times New Roman" w:hAnsi="Times New Roman"/>
        </w:rPr>
      </w:pPr>
      <w:r w:rsidRPr="00941E30">
        <w:rPr>
          <w:rFonts w:ascii="Times New Roman" w:hAnsi="Times New Roman"/>
          <w:color w:val="000000" w:themeColor="text1"/>
          <w:sz w:val="24"/>
          <w:szCs w:val="24"/>
        </w:rPr>
        <w:t xml:space="preserve">In terms of economic classification, the bulk of the </w:t>
      </w:r>
      <w:r w:rsidR="00F31BBE">
        <w:rPr>
          <w:rFonts w:ascii="Times New Roman" w:hAnsi="Times New Roman"/>
          <w:color w:val="000000" w:themeColor="text1"/>
          <w:sz w:val="24"/>
          <w:szCs w:val="24"/>
        </w:rPr>
        <w:t>Department’s</w:t>
      </w:r>
      <w:r w:rsidRPr="00941E30">
        <w:rPr>
          <w:rFonts w:ascii="Times New Roman" w:hAnsi="Times New Roman"/>
          <w:color w:val="000000" w:themeColor="text1"/>
          <w:sz w:val="24"/>
          <w:szCs w:val="24"/>
        </w:rPr>
        <w:t xml:space="preserve"> budget (R43.1 billion or 91.3</w:t>
      </w:r>
      <w:r w:rsidR="00104807">
        <w:rPr>
          <w:rFonts w:ascii="Times New Roman" w:hAnsi="Times New Roman"/>
          <w:color w:val="000000" w:themeColor="text1"/>
          <w:sz w:val="24"/>
          <w:szCs w:val="24"/>
        </w:rPr>
        <w:t>%</w:t>
      </w:r>
      <w:r w:rsidRPr="00941E30">
        <w:rPr>
          <w:rFonts w:ascii="Times New Roman" w:hAnsi="Times New Roman"/>
          <w:color w:val="000000" w:themeColor="text1"/>
          <w:sz w:val="24"/>
          <w:szCs w:val="24"/>
        </w:rPr>
        <w:t xml:space="preserve">) consists of transfers and subsidies to provinces and municipalities, and departmental agencies and accounts. This figure includes R195.9 million to non-profit institutions, and R1.7 billion to departmental agencies and accounts. </w:t>
      </w:r>
    </w:p>
    <w:p w14:paraId="750E89A4" w14:textId="77777777" w:rsidR="00450333" w:rsidRDefault="00450333" w:rsidP="00941E30">
      <w:pPr>
        <w:jc w:val="both"/>
        <w:rPr>
          <w:rFonts w:ascii="Times New Roman" w:hAnsi="Times New Roman"/>
        </w:rPr>
      </w:pPr>
    </w:p>
    <w:p w14:paraId="49C3497F" w14:textId="77777777" w:rsidR="000313E1" w:rsidRDefault="000313E1" w:rsidP="00941E30">
      <w:pPr>
        <w:jc w:val="both"/>
        <w:rPr>
          <w:rFonts w:ascii="Times New Roman" w:hAnsi="Times New Roman"/>
        </w:rPr>
      </w:pPr>
    </w:p>
    <w:p w14:paraId="63E75CC9" w14:textId="77777777" w:rsidR="00F034AB" w:rsidRPr="0093633A" w:rsidRDefault="006916B9" w:rsidP="00941E30">
      <w:pPr>
        <w:pStyle w:val="Heading2"/>
        <w:keepLines/>
        <w:numPr>
          <w:ilvl w:val="2"/>
          <w:numId w:val="80"/>
        </w:numPr>
        <w:rPr>
          <w:rFonts w:ascii="Times New Roman" w:hAnsi="Times New Roman" w:cs="Times New Roman"/>
          <w:sz w:val="24"/>
          <w:szCs w:val="24"/>
        </w:rPr>
      </w:pPr>
      <w:r w:rsidRPr="00941E30">
        <w:rPr>
          <w:rFonts w:ascii="Times New Roman" w:hAnsi="Times New Roman"/>
          <w:sz w:val="24"/>
          <w:szCs w:val="24"/>
        </w:rPr>
        <w:t xml:space="preserve">Budget by </w:t>
      </w:r>
      <w:bookmarkStart w:id="2" w:name="_Toc511650447"/>
      <w:r w:rsidRPr="006916B9">
        <w:rPr>
          <w:rFonts w:ascii="Times New Roman" w:hAnsi="Times New Roman" w:cs="Times New Roman"/>
          <w:sz w:val="24"/>
          <w:szCs w:val="24"/>
        </w:rPr>
        <w:t>p</w:t>
      </w:r>
      <w:r w:rsidR="00F034AB" w:rsidRPr="006916B9">
        <w:rPr>
          <w:rFonts w:ascii="Times New Roman" w:hAnsi="Times New Roman" w:cs="Times New Roman"/>
          <w:sz w:val="24"/>
          <w:szCs w:val="24"/>
        </w:rPr>
        <w:t>rogramme</w:t>
      </w:r>
      <w:r w:rsidR="00F034AB" w:rsidRPr="0093633A">
        <w:rPr>
          <w:rFonts w:ascii="Times New Roman" w:hAnsi="Times New Roman" w:cs="Times New Roman"/>
          <w:sz w:val="24"/>
          <w:szCs w:val="24"/>
        </w:rPr>
        <w:t xml:space="preserve"> </w:t>
      </w:r>
      <w:bookmarkEnd w:id="2"/>
    </w:p>
    <w:p w14:paraId="3DDF6815" w14:textId="77777777" w:rsidR="00B010F9" w:rsidRDefault="00B010F9" w:rsidP="00085BAF"/>
    <w:p w14:paraId="3EA8B808" w14:textId="77777777" w:rsidR="00B010F9" w:rsidRPr="00941E30" w:rsidRDefault="00B010F9"/>
    <w:p w14:paraId="69A8F2E8" w14:textId="77777777" w:rsidR="00CC3331" w:rsidRPr="0093633A" w:rsidRDefault="00F034AB" w:rsidP="00941E30">
      <w:pPr>
        <w:pStyle w:val="Heading3"/>
        <w:keepLines/>
        <w:numPr>
          <w:ilvl w:val="0"/>
          <w:numId w:val="0"/>
        </w:numPr>
        <w:spacing w:before="0" w:after="0"/>
        <w:jc w:val="both"/>
        <w:rPr>
          <w:rFonts w:ascii="Times New Roman" w:hAnsi="Times New Roman" w:cs="Times New Roman"/>
          <w:sz w:val="24"/>
          <w:szCs w:val="24"/>
        </w:rPr>
      </w:pPr>
      <w:bookmarkStart w:id="3" w:name="_Toc511650448"/>
      <w:r w:rsidRPr="00085BAF">
        <w:rPr>
          <w:rFonts w:ascii="Times New Roman" w:hAnsi="Times New Roman" w:cs="Times New Roman"/>
          <w:sz w:val="24"/>
          <w:szCs w:val="24"/>
        </w:rPr>
        <w:t>Programme 1: Administration</w:t>
      </w:r>
      <w:bookmarkEnd w:id="3"/>
      <w:r w:rsidRPr="00085BAF">
        <w:rPr>
          <w:rFonts w:ascii="Times New Roman" w:hAnsi="Times New Roman" w:cs="Times New Roman"/>
          <w:sz w:val="24"/>
          <w:szCs w:val="24"/>
        </w:rPr>
        <w:t xml:space="preserve"> </w:t>
      </w:r>
    </w:p>
    <w:p w14:paraId="117B8C9E" w14:textId="77777777" w:rsidR="00F034AB" w:rsidRPr="00085BAF" w:rsidRDefault="00F034AB" w:rsidP="00941E30">
      <w:pPr>
        <w:pStyle w:val="Heading3"/>
        <w:keepLines/>
        <w:numPr>
          <w:ilvl w:val="0"/>
          <w:numId w:val="0"/>
        </w:numPr>
        <w:spacing w:before="0" w:after="0"/>
        <w:ind w:left="720"/>
        <w:jc w:val="both"/>
        <w:rPr>
          <w:rFonts w:ascii="Times New Roman" w:hAnsi="Times New Roman" w:cs="Times New Roman"/>
          <w:sz w:val="24"/>
          <w:szCs w:val="24"/>
        </w:rPr>
      </w:pPr>
      <w:r w:rsidRPr="00941E30">
        <w:rPr>
          <w:rFonts w:ascii="Times New Roman" w:hAnsi="Times New Roman" w:cs="Times New Roman"/>
          <w:noProof/>
          <w:lang w:val="en-ZA" w:eastAsia="en-ZA"/>
        </w:rPr>
        <w:drawing>
          <wp:anchor distT="0" distB="0" distL="114300" distR="114300" simplePos="0" relativeHeight="251688960" behindDoc="0" locked="0" layoutInCell="1" allowOverlap="1" wp14:anchorId="14BAB313" wp14:editId="5974A270">
            <wp:simplePos x="0" y="0"/>
            <wp:positionH relativeFrom="margin">
              <wp:align>left</wp:align>
            </wp:positionH>
            <wp:positionV relativeFrom="paragraph">
              <wp:posOffset>375672</wp:posOffset>
            </wp:positionV>
            <wp:extent cx="5730875" cy="1396365"/>
            <wp:effectExtent l="0" t="0" r="317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396365"/>
                    </a:xfrm>
                    <a:prstGeom prst="rect">
                      <a:avLst/>
                    </a:prstGeom>
                    <a:noFill/>
                  </pic:spPr>
                </pic:pic>
              </a:graphicData>
            </a:graphic>
          </wp:anchor>
        </w:drawing>
      </w:r>
      <w:r w:rsidR="00A934AF" w:rsidRPr="00941E30">
        <w:rPr>
          <w:rFonts w:ascii="Times New Roman" w:hAnsi="Times New Roman" w:cs="Times New Roman"/>
          <w:noProof/>
          <w:lang w:val="en-ZA" w:eastAsia="en-ZA"/>
        </w:rPr>
        <mc:AlternateContent>
          <mc:Choice Requires="wps">
            <w:drawing>
              <wp:anchor distT="0" distB="0" distL="114300" distR="114300" simplePos="0" relativeHeight="251687936" behindDoc="0" locked="0" layoutInCell="1" allowOverlap="1" wp14:anchorId="6A8887EA" wp14:editId="12D3050F">
                <wp:simplePos x="0" y="0"/>
                <wp:positionH relativeFrom="margin">
                  <wp:align>left</wp:align>
                </wp:positionH>
                <wp:positionV relativeFrom="paragraph">
                  <wp:posOffset>225204</wp:posOffset>
                </wp:positionV>
                <wp:extent cx="5730875" cy="140970"/>
                <wp:effectExtent l="0" t="0" r="3175" b="0"/>
                <wp:wrapTopAndBottom/>
                <wp:docPr id="6" name="Text Box 6"/>
                <wp:cNvGraphicFramePr/>
                <a:graphic xmlns:a="http://schemas.openxmlformats.org/drawingml/2006/main">
                  <a:graphicData uri="http://schemas.microsoft.com/office/word/2010/wordprocessingShape">
                    <wps:wsp>
                      <wps:cNvSpPr txBox="1"/>
                      <wps:spPr>
                        <a:xfrm>
                          <a:off x="0" y="0"/>
                          <a:ext cx="5730875" cy="140970"/>
                        </a:xfrm>
                        <a:prstGeom prst="rect">
                          <a:avLst/>
                        </a:prstGeom>
                        <a:solidFill>
                          <a:prstClr val="white"/>
                        </a:solidFill>
                        <a:ln>
                          <a:noFill/>
                        </a:ln>
                      </wps:spPr>
                      <wps:txbx>
                        <w:txbxContent>
                          <w:p w14:paraId="70B16FD3" w14:textId="77777777" w:rsidR="00CC75C4" w:rsidRPr="00941E30" w:rsidRDefault="00CC75C4" w:rsidP="00F034AB">
                            <w:pPr>
                              <w:pStyle w:val="Caption"/>
                              <w:rPr>
                                <w:rFonts w:ascii="Times New Roman" w:hAnsi="Times New Roman"/>
                                <w:noProof/>
                              </w:rPr>
                            </w:pPr>
                            <w:r w:rsidRPr="00941E30">
                              <w:rPr>
                                <w:rFonts w:ascii="Times New Roman" w:hAnsi="Times New Roman"/>
                              </w:rPr>
                              <w:t xml:space="preserve">Table </w:t>
                            </w:r>
                            <w:r>
                              <w:rPr>
                                <w:rFonts w:ascii="Times New Roman" w:hAnsi="Times New Roman"/>
                              </w:rPr>
                              <w:t>2</w:t>
                            </w:r>
                            <w:r w:rsidRPr="00941E30">
                              <w:rPr>
                                <w:rFonts w:ascii="Times New Roman" w:hAnsi="Times New Roman"/>
                              </w:rPr>
                              <w:t>: Administration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C190A57" id="_x0000_t202" coordsize="21600,21600" o:spt="202" path="m,l,21600r21600,l21600,xe">
                <v:stroke joinstyle="miter"/>
                <v:path gradientshapeok="t" o:connecttype="rect"/>
              </v:shapetype>
              <v:shape id="Text Box 6" o:spid="_x0000_s1026" type="#_x0000_t202" style="position:absolute;left:0;text-align:left;margin-left:0;margin-top:17.75pt;width:451.25pt;height:11.1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" stroked="f">
                <v:textbox inset="0,0,0,0">
                  <w:txbxContent>
                    <w:p w:rsidR="00CC75C4" w:rsidRPr="00941E30" w:rsidRDefault="00CC75C4" w:rsidP="00F034AB">
                      <w:pPr>
                        <w:pStyle w:val="Caption"/>
                        <w:rPr>
                          <w:rFonts w:ascii="Times New Roman" w:hAnsi="Times New Roman"/>
                          <w:noProof/>
                        </w:rPr>
                      </w:pPr>
                      <w:r w:rsidRPr="00941E30">
                        <w:rPr>
                          <w:rFonts w:ascii="Times New Roman" w:hAnsi="Times New Roman"/>
                        </w:rPr>
                        <w:t xml:space="preserve">Table </w:t>
                      </w:r>
                      <w:r>
                        <w:rPr>
                          <w:rFonts w:ascii="Times New Roman" w:hAnsi="Times New Roman"/>
                        </w:rPr>
                        <w:t>2</w:t>
                      </w:r>
                      <w:r w:rsidRPr="00941E30">
                        <w:rPr>
                          <w:rFonts w:ascii="Times New Roman" w:hAnsi="Times New Roman"/>
                        </w:rPr>
                        <w:t>: Administration</w:t>
                      </w:r>
                    </w:p>
                  </w:txbxContent>
                </v:textbox>
                <w10:wrap type="topAndBottom" anchorx="margin"/>
              </v:shape>
            </w:pict>
          </mc:Fallback>
        </mc:AlternateContent>
      </w:r>
    </w:p>
    <w:p w14:paraId="4BCE572C" w14:textId="77777777" w:rsidR="00F034AB" w:rsidRPr="0093633A" w:rsidRDefault="00F034AB" w:rsidP="00085BAF">
      <w:pPr>
        <w:rPr>
          <w:rFonts w:ascii="Times New Roman" w:hAnsi="Times New Roman"/>
          <w:sz w:val="24"/>
          <w:szCs w:val="24"/>
        </w:rPr>
      </w:pPr>
    </w:p>
    <w:p w14:paraId="45F321A7" w14:textId="77777777" w:rsidR="00F034AB" w:rsidRPr="00085BAF" w:rsidRDefault="00F034AB" w:rsidP="00941E30">
      <w:pPr>
        <w:spacing w:line="360" w:lineRule="auto"/>
        <w:jc w:val="both"/>
        <w:rPr>
          <w:rFonts w:ascii="Times New Roman" w:hAnsi="Times New Roman"/>
          <w:sz w:val="24"/>
          <w:szCs w:val="24"/>
        </w:rPr>
      </w:pPr>
      <w:r w:rsidRPr="0093633A">
        <w:rPr>
          <w:rFonts w:ascii="Times New Roman" w:hAnsi="Times New Roman"/>
          <w:sz w:val="24"/>
          <w:szCs w:val="24"/>
        </w:rPr>
        <w:t>Programme 1’s expenditure increases by 7.0</w:t>
      </w:r>
      <w:r w:rsidR="00104807">
        <w:rPr>
          <w:rFonts w:ascii="Times New Roman" w:hAnsi="Times New Roman"/>
          <w:sz w:val="24"/>
          <w:szCs w:val="24"/>
        </w:rPr>
        <w:t>%</w:t>
      </w:r>
      <w:r w:rsidRPr="0093633A">
        <w:rPr>
          <w:rFonts w:ascii="Times New Roman" w:hAnsi="Times New Roman"/>
          <w:sz w:val="24"/>
          <w:szCs w:val="24"/>
        </w:rPr>
        <w:t xml:space="preserve"> in nominal terms (increasing by 1.4</w:t>
      </w:r>
      <w:r w:rsidR="00104807">
        <w:rPr>
          <w:rFonts w:ascii="Times New Roman" w:hAnsi="Times New Roman"/>
          <w:sz w:val="24"/>
          <w:szCs w:val="24"/>
        </w:rPr>
        <w:t>%</w:t>
      </w:r>
      <w:r w:rsidRPr="0093633A">
        <w:rPr>
          <w:rFonts w:ascii="Times New Roman" w:hAnsi="Times New Roman"/>
          <w:sz w:val="24"/>
          <w:szCs w:val="24"/>
        </w:rPr>
        <w:t xml:space="preserve"> in real terms) from R514.8 million previously to R550.8 million in 2018/19. The largest sub-programme is </w:t>
      </w:r>
      <w:r w:rsidRPr="00941E30">
        <w:rPr>
          <w:rFonts w:ascii="Times New Roman" w:hAnsi="Times New Roman"/>
          <w:sz w:val="24"/>
          <w:szCs w:val="24"/>
        </w:rPr>
        <w:t>Corporate Services,</w:t>
      </w:r>
      <w:r w:rsidRPr="00085BAF">
        <w:rPr>
          <w:rFonts w:ascii="Times New Roman" w:hAnsi="Times New Roman"/>
          <w:sz w:val="24"/>
          <w:szCs w:val="24"/>
        </w:rPr>
        <w:t xml:space="preserve"> of which the allocation increases by 4.0</w:t>
      </w:r>
      <w:r w:rsidR="00104807">
        <w:rPr>
          <w:rFonts w:ascii="Times New Roman" w:hAnsi="Times New Roman"/>
          <w:sz w:val="24"/>
          <w:szCs w:val="24"/>
        </w:rPr>
        <w:t>%</w:t>
      </w:r>
      <w:r w:rsidRPr="00085BAF">
        <w:rPr>
          <w:rFonts w:ascii="Times New Roman" w:hAnsi="Times New Roman"/>
          <w:sz w:val="24"/>
          <w:szCs w:val="24"/>
        </w:rPr>
        <w:t xml:space="preserve"> in nominal terms, but decreases by 1.4</w:t>
      </w:r>
      <w:r w:rsidR="00104807">
        <w:rPr>
          <w:rFonts w:ascii="Times New Roman" w:hAnsi="Times New Roman"/>
          <w:sz w:val="24"/>
          <w:szCs w:val="24"/>
        </w:rPr>
        <w:t>%</w:t>
      </w:r>
      <w:r w:rsidRPr="00085BAF">
        <w:rPr>
          <w:rFonts w:ascii="Times New Roman" w:hAnsi="Times New Roman"/>
          <w:sz w:val="24"/>
          <w:szCs w:val="24"/>
        </w:rPr>
        <w:t xml:space="preserve"> in real terms. </w:t>
      </w:r>
      <w:r w:rsidRPr="0093633A">
        <w:rPr>
          <w:rFonts w:ascii="Times New Roman" w:hAnsi="Times New Roman"/>
          <w:sz w:val="24"/>
          <w:szCs w:val="24"/>
        </w:rPr>
        <w:t xml:space="preserve">The only sub-programme that experiences a nominal percentage decrease is the </w:t>
      </w:r>
      <w:r w:rsidRPr="00941E30">
        <w:rPr>
          <w:rFonts w:ascii="Times New Roman" w:hAnsi="Times New Roman"/>
          <w:sz w:val="24"/>
          <w:szCs w:val="24"/>
        </w:rPr>
        <w:t>Ministry</w:t>
      </w:r>
      <w:r w:rsidRPr="00085BAF">
        <w:rPr>
          <w:rFonts w:ascii="Times New Roman" w:hAnsi="Times New Roman"/>
          <w:sz w:val="24"/>
          <w:szCs w:val="24"/>
        </w:rPr>
        <w:t xml:space="preserve"> sub-programme.</w:t>
      </w:r>
    </w:p>
    <w:p w14:paraId="1B5EE860" w14:textId="77777777" w:rsidR="00726E47" w:rsidRDefault="00726E47">
      <w:pPr>
        <w:jc w:val="both"/>
        <w:rPr>
          <w:rFonts w:ascii="Times New Roman" w:hAnsi="Times New Roman"/>
          <w:sz w:val="24"/>
          <w:szCs w:val="24"/>
        </w:rPr>
      </w:pPr>
    </w:p>
    <w:p w14:paraId="23056326" w14:textId="77777777" w:rsidR="00F034AB" w:rsidRPr="0093633A" w:rsidRDefault="00F034AB" w:rsidP="00941E30">
      <w:pPr>
        <w:spacing w:line="360" w:lineRule="auto"/>
        <w:jc w:val="both"/>
        <w:rPr>
          <w:rFonts w:ascii="Times New Roman" w:hAnsi="Times New Roman"/>
          <w:sz w:val="24"/>
          <w:szCs w:val="24"/>
        </w:rPr>
      </w:pPr>
      <w:r w:rsidRPr="0093633A">
        <w:rPr>
          <w:rFonts w:ascii="Times New Roman" w:hAnsi="Times New Roman"/>
          <w:sz w:val="24"/>
          <w:szCs w:val="24"/>
        </w:rPr>
        <w:t>In terms of economic classification, 97.5</w:t>
      </w:r>
      <w:r w:rsidR="00104807">
        <w:rPr>
          <w:rFonts w:ascii="Times New Roman" w:hAnsi="Times New Roman"/>
          <w:sz w:val="24"/>
          <w:szCs w:val="24"/>
        </w:rPr>
        <w:t>%</w:t>
      </w:r>
      <w:r w:rsidRPr="0093633A">
        <w:rPr>
          <w:rFonts w:ascii="Times New Roman" w:hAnsi="Times New Roman"/>
          <w:sz w:val="24"/>
          <w:szCs w:val="24"/>
        </w:rPr>
        <w:t xml:space="preserve"> of the budget is allocated to current payments. Compensation of employees amounts to R209.2 million, while R328.1 million is allocated to Goods and Services. This includes R155.7 million for operating leases.</w:t>
      </w:r>
    </w:p>
    <w:p w14:paraId="20B96C18" w14:textId="77777777" w:rsidR="00926A13" w:rsidRPr="0093633A" w:rsidRDefault="00926A13" w:rsidP="00941E30">
      <w:pPr>
        <w:jc w:val="both"/>
        <w:rPr>
          <w:rFonts w:ascii="Times New Roman" w:hAnsi="Times New Roman"/>
          <w:sz w:val="24"/>
          <w:szCs w:val="24"/>
        </w:rPr>
      </w:pPr>
    </w:p>
    <w:p w14:paraId="04748C8B" w14:textId="77777777" w:rsidR="00877DBC" w:rsidRPr="00B010F9" w:rsidRDefault="00CC3331" w:rsidP="00941E30">
      <w:pPr>
        <w:rPr>
          <w:rFonts w:ascii="Times New Roman" w:hAnsi="Times New Roman"/>
          <w:b/>
          <w:sz w:val="24"/>
          <w:szCs w:val="24"/>
        </w:rPr>
      </w:pPr>
      <w:r w:rsidRPr="00B010F9">
        <w:rPr>
          <w:rFonts w:ascii="Times New Roman" w:hAnsi="Times New Roman"/>
          <w:b/>
          <w:sz w:val="24"/>
          <w:szCs w:val="24"/>
        </w:rPr>
        <w:t>Programme 2: National Health Insurance, Health Planning and Systems Enablement</w:t>
      </w:r>
    </w:p>
    <w:p w14:paraId="06407057" w14:textId="77777777" w:rsidR="00CC3331" w:rsidRPr="0093633A" w:rsidRDefault="00CC3331" w:rsidP="00085BAF">
      <w:pPr>
        <w:rPr>
          <w:rFonts w:ascii="Times New Roman" w:hAnsi="Times New Roman"/>
          <w:b/>
          <w:sz w:val="24"/>
          <w:szCs w:val="24"/>
        </w:rPr>
      </w:pPr>
    </w:p>
    <w:p w14:paraId="712263CA" w14:textId="77777777" w:rsidR="00A934AF" w:rsidRPr="00085BAF" w:rsidRDefault="00A934AF">
      <w:pPr>
        <w:rPr>
          <w:rFonts w:ascii="Times New Roman" w:hAnsi="Times New Roman"/>
          <w:b/>
          <w:sz w:val="24"/>
          <w:szCs w:val="24"/>
        </w:rPr>
      </w:pPr>
      <w:r w:rsidRPr="00941E30">
        <w:rPr>
          <w:rFonts w:ascii="Times New Roman" w:hAnsi="Times New Roman"/>
          <w:noProof/>
          <w:sz w:val="14"/>
          <w:lang w:val="en-ZA" w:eastAsia="en-ZA"/>
        </w:rPr>
        <w:drawing>
          <wp:anchor distT="0" distB="0" distL="114300" distR="114300" simplePos="0" relativeHeight="251691008" behindDoc="0" locked="0" layoutInCell="1" allowOverlap="1" wp14:anchorId="4475DD40" wp14:editId="78B5C10E">
            <wp:simplePos x="0" y="0"/>
            <wp:positionH relativeFrom="margin">
              <wp:align>left</wp:align>
            </wp:positionH>
            <wp:positionV relativeFrom="paragraph">
              <wp:posOffset>174625</wp:posOffset>
            </wp:positionV>
            <wp:extent cx="5749290" cy="1731645"/>
            <wp:effectExtent l="0" t="0" r="381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290" cy="1731645"/>
                    </a:xfrm>
                    <a:prstGeom prst="rect">
                      <a:avLst/>
                    </a:prstGeom>
                    <a:noFill/>
                  </pic:spPr>
                </pic:pic>
              </a:graphicData>
            </a:graphic>
          </wp:anchor>
        </w:drawing>
      </w:r>
      <w:r w:rsidRPr="00941E30">
        <w:rPr>
          <w:rFonts w:ascii="Times New Roman" w:hAnsi="Times New Roman"/>
          <w:b/>
          <w:sz w:val="20"/>
          <w:szCs w:val="24"/>
        </w:rPr>
        <w:t>Table</w:t>
      </w:r>
      <w:r w:rsidRPr="00941E30">
        <w:rPr>
          <w:rFonts w:ascii="Times New Roman" w:hAnsi="Times New Roman"/>
          <w:b/>
          <w:sz w:val="20"/>
          <w:szCs w:val="20"/>
        </w:rPr>
        <w:t xml:space="preserve"> </w:t>
      </w:r>
      <w:r w:rsidR="006916B9">
        <w:rPr>
          <w:rFonts w:ascii="Times New Roman" w:hAnsi="Times New Roman"/>
          <w:b/>
          <w:sz w:val="20"/>
          <w:szCs w:val="20"/>
        </w:rPr>
        <w:t>3</w:t>
      </w:r>
      <w:r w:rsidRPr="00941E30">
        <w:rPr>
          <w:rFonts w:ascii="Times New Roman" w:hAnsi="Times New Roman"/>
          <w:b/>
          <w:sz w:val="20"/>
          <w:szCs w:val="20"/>
        </w:rPr>
        <w:t>: National Health Insurance, Health Planning and Systems Enablement</w:t>
      </w:r>
    </w:p>
    <w:p w14:paraId="4F5B2056" w14:textId="77777777" w:rsidR="00E67E05" w:rsidRPr="0093633A" w:rsidRDefault="00E67E05">
      <w:pPr>
        <w:rPr>
          <w:rFonts w:ascii="Times New Roman" w:hAnsi="Times New Roman"/>
          <w:b/>
          <w:sz w:val="24"/>
          <w:szCs w:val="24"/>
        </w:rPr>
      </w:pPr>
    </w:p>
    <w:p w14:paraId="75F46911" w14:textId="77777777" w:rsidR="00E67E05" w:rsidRPr="0093633A" w:rsidRDefault="00E67E05" w:rsidP="00941E30">
      <w:pPr>
        <w:spacing w:line="360" w:lineRule="auto"/>
        <w:jc w:val="both"/>
        <w:rPr>
          <w:rFonts w:ascii="Times New Roman" w:hAnsi="Times New Roman"/>
          <w:sz w:val="24"/>
          <w:szCs w:val="24"/>
        </w:rPr>
      </w:pPr>
      <w:r w:rsidRPr="0093633A">
        <w:rPr>
          <w:rFonts w:ascii="Times New Roman" w:hAnsi="Times New Roman"/>
          <w:sz w:val="24"/>
          <w:szCs w:val="24"/>
        </w:rPr>
        <w:t>This programme budget increases significantly by 78.8</w:t>
      </w:r>
      <w:r w:rsidR="00104807">
        <w:rPr>
          <w:rFonts w:ascii="Times New Roman" w:hAnsi="Times New Roman"/>
          <w:sz w:val="24"/>
          <w:szCs w:val="24"/>
        </w:rPr>
        <w:t>%</w:t>
      </w:r>
      <w:r w:rsidRPr="0093633A">
        <w:rPr>
          <w:rFonts w:ascii="Times New Roman" w:hAnsi="Times New Roman"/>
          <w:sz w:val="24"/>
          <w:szCs w:val="24"/>
        </w:rPr>
        <w:t xml:space="preserve"> in nominal terms (69.5</w:t>
      </w:r>
      <w:r w:rsidR="00104807">
        <w:rPr>
          <w:rFonts w:ascii="Times New Roman" w:hAnsi="Times New Roman"/>
          <w:sz w:val="24"/>
          <w:szCs w:val="24"/>
        </w:rPr>
        <w:t>%</w:t>
      </w:r>
      <w:r w:rsidRPr="0093633A">
        <w:rPr>
          <w:rFonts w:ascii="Times New Roman" w:hAnsi="Times New Roman"/>
          <w:sz w:val="24"/>
          <w:szCs w:val="24"/>
        </w:rPr>
        <w:t xml:space="preserve"> in real terms), due largely to increased funding for the Health financing and NHI sub-programme which increases by 165.5</w:t>
      </w:r>
      <w:r w:rsidR="00104807">
        <w:rPr>
          <w:rFonts w:ascii="Times New Roman" w:hAnsi="Times New Roman"/>
          <w:sz w:val="24"/>
          <w:szCs w:val="24"/>
        </w:rPr>
        <w:t>%</w:t>
      </w:r>
      <w:r w:rsidRPr="0093633A">
        <w:rPr>
          <w:rFonts w:ascii="Times New Roman" w:hAnsi="Times New Roman"/>
          <w:sz w:val="24"/>
          <w:szCs w:val="24"/>
        </w:rPr>
        <w:t xml:space="preserve"> in nominal terms (151.6</w:t>
      </w:r>
      <w:r w:rsidR="00104807">
        <w:rPr>
          <w:rFonts w:ascii="Times New Roman" w:hAnsi="Times New Roman"/>
          <w:sz w:val="24"/>
          <w:szCs w:val="24"/>
        </w:rPr>
        <w:t>%</w:t>
      </w:r>
      <w:r w:rsidRPr="0093633A">
        <w:rPr>
          <w:rFonts w:ascii="Times New Roman" w:hAnsi="Times New Roman"/>
          <w:sz w:val="24"/>
          <w:szCs w:val="24"/>
        </w:rPr>
        <w:t xml:space="preserve"> in real terms).  NHI allocations are now centralised resulting in significantly lower budgets for the Technical Policy and Planning sub-programme (78.1</w:t>
      </w:r>
      <w:r w:rsidR="00104807">
        <w:rPr>
          <w:rFonts w:ascii="Times New Roman" w:hAnsi="Times New Roman"/>
          <w:sz w:val="24"/>
          <w:szCs w:val="24"/>
        </w:rPr>
        <w:t>%</w:t>
      </w:r>
      <w:r w:rsidRPr="0093633A">
        <w:rPr>
          <w:rFonts w:ascii="Times New Roman" w:hAnsi="Times New Roman"/>
          <w:sz w:val="24"/>
          <w:szCs w:val="24"/>
        </w:rPr>
        <w:t xml:space="preserve"> nominal decreases) and sector-wide procurement sub-programme (66.8</w:t>
      </w:r>
      <w:r w:rsidR="00104807">
        <w:rPr>
          <w:rFonts w:ascii="Times New Roman" w:hAnsi="Times New Roman"/>
          <w:sz w:val="24"/>
          <w:szCs w:val="24"/>
        </w:rPr>
        <w:t>%</w:t>
      </w:r>
      <w:r w:rsidRPr="0093633A">
        <w:rPr>
          <w:rFonts w:ascii="Times New Roman" w:hAnsi="Times New Roman"/>
          <w:sz w:val="24"/>
          <w:szCs w:val="24"/>
        </w:rPr>
        <w:t xml:space="preserve"> nominal decrease).</w:t>
      </w:r>
    </w:p>
    <w:p w14:paraId="3C6FAB9C" w14:textId="77777777" w:rsidR="00E67E05" w:rsidRPr="0093633A" w:rsidRDefault="00E67E05">
      <w:pPr>
        <w:jc w:val="both"/>
        <w:rPr>
          <w:rFonts w:ascii="Times New Roman" w:hAnsi="Times New Roman"/>
          <w:sz w:val="24"/>
          <w:szCs w:val="24"/>
        </w:rPr>
      </w:pPr>
    </w:p>
    <w:p w14:paraId="23175205" w14:textId="77777777" w:rsidR="00E67E05" w:rsidRPr="00085BAF" w:rsidRDefault="00E67E05" w:rsidP="00941E30">
      <w:pPr>
        <w:jc w:val="both"/>
        <w:rPr>
          <w:rFonts w:ascii="Times New Roman" w:hAnsi="Times New Roman"/>
          <w:b/>
          <w:sz w:val="24"/>
          <w:szCs w:val="24"/>
        </w:rPr>
      </w:pPr>
      <w:r w:rsidRPr="00085BAF">
        <w:rPr>
          <w:rFonts w:ascii="Times New Roman" w:hAnsi="Times New Roman"/>
          <w:b/>
          <w:sz w:val="24"/>
          <w:szCs w:val="24"/>
        </w:rPr>
        <w:t xml:space="preserve">Programme 3: HIV and AIDS, TB, Maternal and Child Health </w:t>
      </w:r>
    </w:p>
    <w:p w14:paraId="50B25532" w14:textId="77777777" w:rsidR="008702EC" w:rsidRPr="0093633A" w:rsidRDefault="008702EC" w:rsidP="00941E30">
      <w:pPr>
        <w:jc w:val="both"/>
        <w:rPr>
          <w:rFonts w:ascii="Times New Roman" w:hAnsi="Times New Roman"/>
          <w:sz w:val="24"/>
          <w:szCs w:val="24"/>
        </w:rPr>
      </w:pPr>
    </w:p>
    <w:p w14:paraId="647B2EA9" w14:textId="77777777" w:rsidR="008702EC" w:rsidRPr="00941E30" w:rsidRDefault="008702EC" w:rsidP="00941E30">
      <w:pPr>
        <w:spacing w:line="360" w:lineRule="auto"/>
        <w:jc w:val="both"/>
        <w:rPr>
          <w:rFonts w:ascii="Times New Roman" w:hAnsi="Times New Roman"/>
          <w:sz w:val="24"/>
          <w:szCs w:val="24"/>
        </w:rPr>
      </w:pPr>
      <w:r w:rsidRPr="00941E30">
        <w:rPr>
          <w:rFonts w:ascii="Times New Roman" w:hAnsi="Times New Roman"/>
          <w:sz w:val="24"/>
          <w:szCs w:val="24"/>
        </w:rPr>
        <w:t>The bulk of this programme’s budget, 98.7</w:t>
      </w:r>
      <w:r w:rsidR="00104807">
        <w:rPr>
          <w:rFonts w:ascii="Times New Roman" w:hAnsi="Times New Roman"/>
          <w:sz w:val="24"/>
          <w:szCs w:val="24"/>
        </w:rPr>
        <w:t>%</w:t>
      </w:r>
      <w:r w:rsidRPr="00941E30">
        <w:rPr>
          <w:rFonts w:ascii="Times New Roman" w:hAnsi="Times New Roman"/>
          <w:sz w:val="24"/>
          <w:szCs w:val="24"/>
        </w:rPr>
        <w:t>, is allocated to the HIV and AIDS sub-programme, amounting to R20.4 billion in 2018/19. This represents a nominal increase of 13.4</w:t>
      </w:r>
      <w:r w:rsidR="00104807">
        <w:rPr>
          <w:rFonts w:ascii="Times New Roman" w:hAnsi="Times New Roman"/>
          <w:sz w:val="24"/>
          <w:szCs w:val="24"/>
        </w:rPr>
        <w:t>%</w:t>
      </w:r>
      <w:r w:rsidRPr="00941E30">
        <w:rPr>
          <w:rFonts w:ascii="Times New Roman" w:hAnsi="Times New Roman"/>
          <w:sz w:val="24"/>
          <w:szCs w:val="24"/>
        </w:rPr>
        <w:t>, (7.5</w:t>
      </w:r>
      <w:r w:rsidR="00104807">
        <w:rPr>
          <w:rFonts w:ascii="Times New Roman" w:hAnsi="Times New Roman"/>
          <w:sz w:val="24"/>
          <w:szCs w:val="24"/>
        </w:rPr>
        <w:t>%</w:t>
      </w:r>
      <w:r w:rsidRPr="00941E30">
        <w:rPr>
          <w:rFonts w:ascii="Times New Roman" w:hAnsi="Times New Roman"/>
          <w:sz w:val="24"/>
          <w:szCs w:val="24"/>
        </w:rPr>
        <w:t xml:space="preserve"> in real terms). The remaining four sub-programmes combined receive less than 1.3 </w:t>
      </w:r>
      <w:r w:rsidR="00104807">
        <w:rPr>
          <w:rFonts w:ascii="Times New Roman" w:hAnsi="Times New Roman"/>
          <w:sz w:val="24"/>
          <w:szCs w:val="24"/>
        </w:rPr>
        <w:t>%</w:t>
      </w:r>
      <w:r w:rsidRPr="00941E30">
        <w:rPr>
          <w:rFonts w:ascii="Times New Roman" w:hAnsi="Times New Roman"/>
          <w:sz w:val="24"/>
          <w:szCs w:val="24"/>
        </w:rPr>
        <w:t xml:space="preserve"> of the programme’s budget. Community Health Workers have been included in the Comprehensive HIV and AIDS, and TB conditional grant. </w:t>
      </w:r>
    </w:p>
    <w:p w14:paraId="64B9FEE1" w14:textId="77777777" w:rsidR="00726E47" w:rsidRPr="00085BAF" w:rsidRDefault="00726E47" w:rsidP="00941E30">
      <w:pPr>
        <w:spacing w:line="360" w:lineRule="auto"/>
        <w:jc w:val="both"/>
        <w:rPr>
          <w:rFonts w:ascii="Times New Roman" w:hAnsi="Times New Roman"/>
          <w:b/>
          <w:sz w:val="24"/>
          <w:szCs w:val="24"/>
        </w:rPr>
      </w:pPr>
    </w:p>
    <w:p w14:paraId="4E73F6BF" w14:textId="77777777" w:rsidR="00E67E05" w:rsidRPr="00941E30" w:rsidRDefault="00E67E05">
      <w:pPr>
        <w:jc w:val="both"/>
        <w:rPr>
          <w:rFonts w:ascii="Times New Roman" w:hAnsi="Times New Roman"/>
          <w:b/>
          <w:sz w:val="20"/>
          <w:szCs w:val="20"/>
        </w:rPr>
      </w:pPr>
      <w:r w:rsidRPr="00941E30">
        <w:rPr>
          <w:rFonts w:ascii="Times New Roman" w:hAnsi="Times New Roman"/>
          <w:noProof/>
          <w:sz w:val="14"/>
          <w:lang w:val="en-ZA" w:eastAsia="en-ZA"/>
        </w:rPr>
        <w:drawing>
          <wp:anchor distT="0" distB="0" distL="114300" distR="114300" simplePos="0" relativeHeight="251693056" behindDoc="0" locked="0" layoutInCell="1" allowOverlap="1" wp14:anchorId="6FBC29FF" wp14:editId="20A41BD7">
            <wp:simplePos x="0" y="0"/>
            <wp:positionH relativeFrom="margin">
              <wp:align>right</wp:align>
            </wp:positionH>
            <wp:positionV relativeFrom="paragraph">
              <wp:posOffset>208915</wp:posOffset>
            </wp:positionV>
            <wp:extent cx="5730875" cy="1633855"/>
            <wp:effectExtent l="0" t="0" r="317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1633855"/>
                    </a:xfrm>
                    <a:prstGeom prst="rect">
                      <a:avLst/>
                    </a:prstGeom>
                    <a:noFill/>
                  </pic:spPr>
                </pic:pic>
              </a:graphicData>
            </a:graphic>
          </wp:anchor>
        </w:drawing>
      </w:r>
      <w:r w:rsidR="008702EC" w:rsidRPr="00941E30">
        <w:rPr>
          <w:rFonts w:ascii="Times New Roman" w:hAnsi="Times New Roman"/>
          <w:b/>
          <w:sz w:val="20"/>
          <w:szCs w:val="24"/>
        </w:rPr>
        <w:t xml:space="preserve">Table </w:t>
      </w:r>
      <w:r w:rsidR="00726E47">
        <w:rPr>
          <w:rFonts w:ascii="Times New Roman" w:hAnsi="Times New Roman"/>
          <w:b/>
          <w:sz w:val="20"/>
          <w:szCs w:val="24"/>
        </w:rPr>
        <w:t>4</w:t>
      </w:r>
      <w:r w:rsidR="008702EC" w:rsidRPr="00941E30">
        <w:rPr>
          <w:rFonts w:ascii="Times New Roman" w:hAnsi="Times New Roman"/>
          <w:b/>
          <w:sz w:val="20"/>
          <w:szCs w:val="24"/>
        </w:rPr>
        <w:t>: HIV and AIDS, TB, Maternal and Child Health</w:t>
      </w:r>
    </w:p>
    <w:p w14:paraId="51CDE4A3" w14:textId="77777777" w:rsidR="000E13D9" w:rsidRPr="0093633A" w:rsidRDefault="000E13D9">
      <w:pPr>
        <w:jc w:val="both"/>
        <w:rPr>
          <w:rFonts w:ascii="Times New Roman" w:hAnsi="Times New Roman"/>
          <w:sz w:val="24"/>
          <w:szCs w:val="24"/>
        </w:rPr>
      </w:pPr>
    </w:p>
    <w:p w14:paraId="62C92697" w14:textId="77777777" w:rsidR="000E13D9" w:rsidRPr="0093633A" w:rsidRDefault="000E13D9"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 </w:t>
      </w:r>
      <w:r w:rsidRPr="00941E30">
        <w:rPr>
          <w:rFonts w:ascii="Times New Roman" w:hAnsi="Times New Roman"/>
          <w:sz w:val="24"/>
          <w:szCs w:val="24"/>
        </w:rPr>
        <w:t>TB</w:t>
      </w:r>
      <w:r w:rsidRPr="00085BAF">
        <w:rPr>
          <w:rFonts w:ascii="Times New Roman" w:hAnsi="Times New Roman"/>
          <w:sz w:val="24"/>
          <w:szCs w:val="24"/>
        </w:rPr>
        <w:t xml:space="preserve"> sub-programme increases only slightly in nominal terms but decreases by 2</w:t>
      </w:r>
      <w:r w:rsidR="00104807">
        <w:rPr>
          <w:rFonts w:ascii="Times New Roman" w:hAnsi="Times New Roman"/>
          <w:sz w:val="24"/>
          <w:szCs w:val="24"/>
        </w:rPr>
        <w:t>%</w:t>
      </w:r>
      <w:r w:rsidRPr="00085BAF">
        <w:rPr>
          <w:rFonts w:ascii="Times New Roman" w:hAnsi="Times New Roman"/>
          <w:sz w:val="24"/>
          <w:szCs w:val="24"/>
        </w:rPr>
        <w:t xml:space="preserve"> in real terms. This is of concern given the stat</w:t>
      </w:r>
      <w:r w:rsidRPr="0093633A">
        <w:rPr>
          <w:rFonts w:ascii="Times New Roman" w:hAnsi="Times New Roman"/>
          <w:sz w:val="24"/>
          <w:szCs w:val="24"/>
        </w:rPr>
        <w:t xml:space="preserve">ed priority of tackling TB, and the high co-morbidity rate with HIV and AIDS. </w:t>
      </w:r>
    </w:p>
    <w:p w14:paraId="59DA65D7" w14:textId="77777777" w:rsidR="000E13D9" w:rsidRPr="0093633A" w:rsidRDefault="000E13D9">
      <w:pPr>
        <w:jc w:val="both"/>
        <w:rPr>
          <w:rFonts w:ascii="Times New Roman" w:hAnsi="Times New Roman"/>
          <w:sz w:val="24"/>
          <w:szCs w:val="24"/>
        </w:rPr>
      </w:pPr>
    </w:p>
    <w:p w14:paraId="2A81D408" w14:textId="77777777" w:rsidR="000E13D9" w:rsidRPr="0093633A" w:rsidRDefault="000E13D9"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 </w:t>
      </w:r>
      <w:r w:rsidRPr="00941E30">
        <w:rPr>
          <w:rFonts w:ascii="Times New Roman" w:hAnsi="Times New Roman"/>
          <w:sz w:val="24"/>
          <w:szCs w:val="24"/>
        </w:rPr>
        <w:t>Women’s Maternal and Reproductive Health</w:t>
      </w:r>
      <w:r w:rsidRPr="00085BAF">
        <w:rPr>
          <w:rFonts w:ascii="Times New Roman" w:hAnsi="Times New Roman"/>
          <w:sz w:val="24"/>
          <w:szCs w:val="24"/>
        </w:rPr>
        <w:t xml:space="preserve"> sub-programme is responsible for, amongst other things, reducing maternal mortality and improving access to sexual and reproductive</w:t>
      </w:r>
      <w:r w:rsidRPr="0093633A">
        <w:rPr>
          <w:rFonts w:ascii="Times New Roman" w:hAnsi="Times New Roman"/>
          <w:sz w:val="24"/>
          <w:szCs w:val="24"/>
        </w:rPr>
        <w:t xml:space="preserve"> health services. This sub-programme received 0.1</w:t>
      </w:r>
      <w:r w:rsidR="00104807">
        <w:rPr>
          <w:rFonts w:ascii="Times New Roman" w:hAnsi="Times New Roman"/>
          <w:sz w:val="24"/>
          <w:szCs w:val="24"/>
        </w:rPr>
        <w:t>%</w:t>
      </w:r>
      <w:r w:rsidRPr="0093633A">
        <w:rPr>
          <w:rFonts w:ascii="Times New Roman" w:hAnsi="Times New Roman"/>
          <w:sz w:val="24"/>
          <w:szCs w:val="24"/>
        </w:rPr>
        <w:t xml:space="preserve"> of the programme budget. It receives R1.7</w:t>
      </w:r>
      <w:r w:rsidR="00FD111A">
        <w:rPr>
          <w:rFonts w:ascii="Times New Roman" w:hAnsi="Times New Roman"/>
          <w:sz w:val="24"/>
          <w:szCs w:val="24"/>
        </w:rPr>
        <w:t xml:space="preserve"> </w:t>
      </w:r>
      <w:r w:rsidRPr="0093633A">
        <w:rPr>
          <w:rFonts w:ascii="Times New Roman" w:hAnsi="Times New Roman"/>
          <w:sz w:val="24"/>
          <w:szCs w:val="24"/>
        </w:rPr>
        <w:t>million more than last year, which represents a 3.6</w:t>
      </w:r>
      <w:r w:rsidR="00104807">
        <w:rPr>
          <w:rFonts w:ascii="Times New Roman" w:hAnsi="Times New Roman"/>
          <w:sz w:val="24"/>
          <w:szCs w:val="24"/>
        </w:rPr>
        <w:t>%</w:t>
      </w:r>
      <w:r w:rsidRPr="0093633A">
        <w:rPr>
          <w:rFonts w:ascii="Times New Roman" w:hAnsi="Times New Roman"/>
          <w:sz w:val="24"/>
          <w:szCs w:val="24"/>
        </w:rPr>
        <w:t xml:space="preserve"> real increase.</w:t>
      </w:r>
    </w:p>
    <w:p w14:paraId="51AFF219" w14:textId="77777777" w:rsidR="000E13D9" w:rsidRPr="0093633A" w:rsidRDefault="000E13D9">
      <w:pPr>
        <w:jc w:val="both"/>
        <w:rPr>
          <w:rFonts w:ascii="Times New Roman" w:hAnsi="Times New Roman"/>
          <w:sz w:val="24"/>
          <w:szCs w:val="24"/>
        </w:rPr>
      </w:pPr>
    </w:p>
    <w:p w14:paraId="65E795F3" w14:textId="77777777" w:rsidR="000E13D9" w:rsidRPr="0093633A" w:rsidRDefault="000E13D9"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 </w:t>
      </w:r>
      <w:r w:rsidRPr="00941E30">
        <w:rPr>
          <w:rFonts w:ascii="Times New Roman" w:hAnsi="Times New Roman"/>
          <w:sz w:val="24"/>
          <w:szCs w:val="24"/>
        </w:rPr>
        <w:t>Child, Youth and School Health</w:t>
      </w:r>
      <w:r w:rsidRPr="00085BAF">
        <w:rPr>
          <w:rFonts w:ascii="Times New Roman" w:hAnsi="Times New Roman"/>
          <w:sz w:val="24"/>
          <w:szCs w:val="24"/>
        </w:rPr>
        <w:t xml:space="preserve"> sub-programme increases with 1.1 </w:t>
      </w:r>
      <w:r w:rsidR="00104807">
        <w:rPr>
          <w:rFonts w:ascii="Times New Roman" w:hAnsi="Times New Roman"/>
          <w:sz w:val="24"/>
          <w:szCs w:val="24"/>
        </w:rPr>
        <w:t>%</w:t>
      </w:r>
      <w:r w:rsidRPr="00085BAF">
        <w:rPr>
          <w:rFonts w:ascii="Times New Roman" w:hAnsi="Times New Roman"/>
          <w:sz w:val="24"/>
          <w:szCs w:val="24"/>
        </w:rPr>
        <w:t xml:space="preserve"> in</w:t>
      </w:r>
      <w:r w:rsidRPr="0093633A">
        <w:rPr>
          <w:rFonts w:ascii="Times New Roman" w:hAnsi="Times New Roman"/>
          <w:sz w:val="24"/>
          <w:szCs w:val="24"/>
        </w:rPr>
        <w:t xml:space="preserve"> nominal terms (declining by 4.2</w:t>
      </w:r>
      <w:r w:rsidR="00104807">
        <w:rPr>
          <w:rFonts w:ascii="Times New Roman" w:hAnsi="Times New Roman"/>
          <w:sz w:val="24"/>
          <w:szCs w:val="24"/>
        </w:rPr>
        <w:t>%</w:t>
      </w:r>
      <w:r w:rsidRPr="0093633A">
        <w:rPr>
          <w:rFonts w:ascii="Times New Roman" w:hAnsi="Times New Roman"/>
          <w:sz w:val="24"/>
          <w:szCs w:val="24"/>
        </w:rPr>
        <w:t xml:space="preserve"> in real terms). A significant portion of the allocated budget funds the roll-out of the Human Papilloma Virus (HPV) Vaccine</w:t>
      </w:r>
      <w:r w:rsidR="00FD111A">
        <w:rPr>
          <w:rFonts w:ascii="Times New Roman" w:hAnsi="Times New Roman"/>
          <w:sz w:val="24"/>
          <w:szCs w:val="24"/>
        </w:rPr>
        <w:t>.</w:t>
      </w:r>
      <w:r w:rsidRPr="0093633A">
        <w:rPr>
          <w:rFonts w:ascii="Times New Roman" w:hAnsi="Times New Roman"/>
          <w:sz w:val="24"/>
          <w:szCs w:val="24"/>
        </w:rPr>
        <w:t xml:space="preserve"> </w:t>
      </w:r>
      <w:r w:rsidR="00FD111A">
        <w:rPr>
          <w:rFonts w:ascii="Times New Roman" w:hAnsi="Times New Roman"/>
          <w:sz w:val="24"/>
          <w:szCs w:val="24"/>
        </w:rPr>
        <w:t xml:space="preserve"> T</w:t>
      </w:r>
      <w:r w:rsidRPr="0093633A">
        <w:rPr>
          <w:rFonts w:ascii="Times New Roman" w:hAnsi="Times New Roman"/>
          <w:sz w:val="24"/>
          <w:szCs w:val="24"/>
        </w:rPr>
        <w:t>his in-kind grant has been converted to a direct conditional grant. This sub-programme develops and monitors policies and guidelines, and sets norms and standards for child health. Each province also has a unit which is responsible for facilitating implementation at provincial level. The cluster focuses on, amongst other things</w:t>
      </w:r>
      <w:r w:rsidR="00FD111A">
        <w:rPr>
          <w:rFonts w:ascii="Times New Roman" w:hAnsi="Times New Roman"/>
          <w:sz w:val="24"/>
          <w:szCs w:val="24"/>
        </w:rPr>
        <w:t>,</w:t>
      </w:r>
      <w:r w:rsidRPr="0093633A">
        <w:rPr>
          <w:rFonts w:ascii="Times New Roman" w:hAnsi="Times New Roman"/>
          <w:sz w:val="24"/>
          <w:szCs w:val="24"/>
        </w:rPr>
        <w:t xml:space="preserve"> reducing under 5 years of age mortality</w:t>
      </w:r>
      <w:r w:rsidR="00FD111A">
        <w:rPr>
          <w:rFonts w:ascii="Times New Roman" w:hAnsi="Times New Roman"/>
          <w:sz w:val="24"/>
          <w:szCs w:val="24"/>
        </w:rPr>
        <w:t>;</w:t>
      </w:r>
      <w:r w:rsidRPr="0093633A">
        <w:rPr>
          <w:rFonts w:ascii="Times New Roman" w:hAnsi="Times New Roman"/>
          <w:sz w:val="24"/>
          <w:szCs w:val="24"/>
        </w:rPr>
        <w:t xml:space="preserve"> increasing the number of children with HIV on treatment</w:t>
      </w:r>
      <w:r w:rsidR="00FD111A">
        <w:rPr>
          <w:rFonts w:ascii="Times New Roman" w:hAnsi="Times New Roman"/>
          <w:sz w:val="24"/>
          <w:szCs w:val="24"/>
        </w:rPr>
        <w:t>;</w:t>
      </w:r>
      <w:r w:rsidRPr="0093633A">
        <w:rPr>
          <w:rFonts w:ascii="Times New Roman" w:hAnsi="Times New Roman"/>
          <w:sz w:val="24"/>
          <w:szCs w:val="24"/>
        </w:rPr>
        <w:t xml:space="preserve"> strengthening youth health services</w:t>
      </w:r>
      <w:r w:rsidR="00FD111A">
        <w:rPr>
          <w:rFonts w:ascii="Times New Roman" w:hAnsi="Times New Roman"/>
          <w:sz w:val="24"/>
          <w:szCs w:val="24"/>
        </w:rPr>
        <w:t>;</w:t>
      </w:r>
      <w:r w:rsidRPr="0093633A">
        <w:rPr>
          <w:rFonts w:ascii="Times New Roman" w:hAnsi="Times New Roman"/>
          <w:sz w:val="24"/>
          <w:szCs w:val="24"/>
        </w:rPr>
        <w:t xml:space="preserve"> including ensuring that health services are youth friendly</w:t>
      </w:r>
      <w:r w:rsidR="00FD111A">
        <w:rPr>
          <w:rFonts w:ascii="Times New Roman" w:hAnsi="Times New Roman"/>
          <w:sz w:val="24"/>
          <w:szCs w:val="24"/>
        </w:rPr>
        <w:t>;</w:t>
      </w:r>
      <w:r w:rsidRPr="0093633A">
        <w:rPr>
          <w:rFonts w:ascii="Times New Roman" w:hAnsi="Times New Roman"/>
          <w:sz w:val="24"/>
          <w:szCs w:val="24"/>
        </w:rPr>
        <w:t xml:space="preserve"> and strengthening school health services. </w:t>
      </w:r>
    </w:p>
    <w:p w14:paraId="00708890" w14:textId="77777777" w:rsidR="000E13D9" w:rsidRPr="0093633A" w:rsidRDefault="000E13D9">
      <w:pPr>
        <w:jc w:val="both"/>
        <w:rPr>
          <w:rFonts w:ascii="Times New Roman" w:hAnsi="Times New Roman"/>
          <w:sz w:val="24"/>
          <w:szCs w:val="24"/>
        </w:rPr>
      </w:pPr>
    </w:p>
    <w:p w14:paraId="7833A465" w14:textId="77777777" w:rsidR="000E13D9" w:rsidRPr="0093633A" w:rsidRDefault="000E13D9"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Capital budgets were reduced to reallocate to Information Communication Technology to maintain current systems. </w:t>
      </w:r>
    </w:p>
    <w:p w14:paraId="7036BDB6" w14:textId="77777777" w:rsidR="00877DBC" w:rsidRPr="0093633A" w:rsidRDefault="00877DBC" w:rsidP="00941E30">
      <w:pPr>
        <w:jc w:val="both"/>
        <w:rPr>
          <w:rFonts w:ascii="Times New Roman" w:hAnsi="Times New Roman"/>
          <w:sz w:val="24"/>
          <w:szCs w:val="24"/>
        </w:rPr>
      </w:pPr>
    </w:p>
    <w:p w14:paraId="7F18E0A1" w14:textId="77777777" w:rsidR="00DE53D3" w:rsidRDefault="00DE53D3">
      <w:pPr>
        <w:rPr>
          <w:rFonts w:ascii="Times New Roman" w:hAnsi="Times New Roman"/>
          <w:b/>
          <w:sz w:val="24"/>
          <w:szCs w:val="24"/>
        </w:rPr>
      </w:pPr>
      <w:r>
        <w:rPr>
          <w:rFonts w:ascii="Times New Roman" w:hAnsi="Times New Roman"/>
          <w:b/>
          <w:sz w:val="24"/>
          <w:szCs w:val="24"/>
        </w:rPr>
        <w:br w:type="page"/>
      </w:r>
    </w:p>
    <w:p w14:paraId="786E87E1" w14:textId="77777777" w:rsidR="000E13D9" w:rsidRPr="00B010F9" w:rsidRDefault="000E13D9" w:rsidP="00941E30">
      <w:pPr>
        <w:rPr>
          <w:rFonts w:ascii="Times New Roman" w:hAnsi="Times New Roman"/>
          <w:b/>
          <w:sz w:val="24"/>
          <w:szCs w:val="24"/>
        </w:rPr>
      </w:pPr>
      <w:r w:rsidRPr="00B010F9">
        <w:rPr>
          <w:rFonts w:ascii="Times New Roman" w:hAnsi="Times New Roman"/>
          <w:b/>
          <w:sz w:val="24"/>
          <w:szCs w:val="24"/>
        </w:rPr>
        <w:t xml:space="preserve">Programme 4: Primary Health Care Services </w:t>
      </w:r>
    </w:p>
    <w:p w14:paraId="435FCBA2" w14:textId="77777777" w:rsidR="003E0B60" w:rsidRDefault="003E0B60" w:rsidP="00085BAF">
      <w:pPr>
        <w:rPr>
          <w:rFonts w:ascii="Times New Roman" w:hAnsi="Times New Roman"/>
        </w:rPr>
      </w:pPr>
    </w:p>
    <w:p w14:paraId="4D13DA4C" w14:textId="77777777" w:rsidR="003E0B60" w:rsidRPr="00941E30" w:rsidRDefault="003E0B60" w:rsidP="00085BAF">
      <w:pPr>
        <w:rPr>
          <w:rFonts w:ascii="Times New Roman" w:hAnsi="Times New Roman"/>
          <w:b/>
          <w:sz w:val="20"/>
          <w:szCs w:val="20"/>
        </w:rPr>
      </w:pPr>
      <w:r w:rsidRPr="00941E30">
        <w:rPr>
          <w:rFonts w:ascii="Times New Roman" w:hAnsi="Times New Roman"/>
          <w:b/>
          <w:noProof/>
          <w:lang w:val="en-ZA" w:eastAsia="en-ZA"/>
        </w:rPr>
        <w:drawing>
          <wp:anchor distT="0" distB="0" distL="114300" distR="114300" simplePos="0" relativeHeight="251697152" behindDoc="0" locked="0" layoutInCell="1" allowOverlap="1" wp14:anchorId="52CCD8DA" wp14:editId="17A8038E">
            <wp:simplePos x="0" y="0"/>
            <wp:positionH relativeFrom="margin">
              <wp:align>right</wp:align>
            </wp:positionH>
            <wp:positionV relativeFrom="paragraph">
              <wp:posOffset>208915</wp:posOffset>
            </wp:positionV>
            <wp:extent cx="5730875" cy="1865630"/>
            <wp:effectExtent l="0" t="0" r="317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1865630"/>
                    </a:xfrm>
                    <a:prstGeom prst="rect">
                      <a:avLst/>
                    </a:prstGeom>
                    <a:noFill/>
                  </pic:spPr>
                </pic:pic>
              </a:graphicData>
            </a:graphic>
          </wp:anchor>
        </w:drawing>
      </w:r>
      <w:r w:rsidRPr="00941E30">
        <w:rPr>
          <w:rFonts w:ascii="Times New Roman" w:hAnsi="Times New Roman"/>
          <w:b/>
          <w:noProof/>
          <w:lang w:val="en-ZA" w:eastAsia="en-ZA"/>
        </w:rPr>
        <mc:AlternateContent>
          <mc:Choice Requires="wps">
            <w:drawing>
              <wp:anchor distT="0" distB="0" distL="114300" distR="114300" simplePos="0" relativeHeight="251695104" behindDoc="0" locked="0" layoutInCell="1" allowOverlap="1" wp14:anchorId="239D28B1" wp14:editId="5F2EDA6D">
                <wp:simplePos x="0" y="0"/>
                <wp:positionH relativeFrom="margin">
                  <wp:align>right</wp:align>
                </wp:positionH>
                <wp:positionV relativeFrom="paragraph">
                  <wp:posOffset>175565</wp:posOffset>
                </wp:positionV>
                <wp:extent cx="5730875" cy="146050"/>
                <wp:effectExtent l="0" t="0" r="3175" b="6350"/>
                <wp:wrapTopAndBottom/>
                <wp:docPr id="11" name="Text Box 11"/>
                <wp:cNvGraphicFramePr/>
                <a:graphic xmlns:a="http://schemas.openxmlformats.org/drawingml/2006/main">
                  <a:graphicData uri="http://schemas.microsoft.com/office/word/2010/wordprocessingShape">
                    <wps:wsp>
                      <wps:cNvSpPr txBox="1"/>
                      <wps:spPr>
                        <a:xfrm>
                          <a:off x="0" y="0"/>
                          <a:ext cx="5730875" cy="146050"/>
                        </a:xfrm>
                        <a:prstGeom prst="rect">
                          <a:avLst/>
                        </a:prstGeom>
                        <a:solidFill>
                          <a:prstClr val="white"/>
                        </a:solidFill>
                        <a:ln>
                          <a:noFill/>
                        </a:ln>
                      </wps:spPr>
                      <wps:txbx>
                        <w:txbxContent>
                          <w:p w14:paraId="64A175BC" w14:textId="77777777" w:rsidR="00CC75C4" w:rsidRPr="008016ED" w:rsidRDefault="00CC75C4" w:rsidP="003E0B6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2EC875C3" id="Text Box 11" o:spid="_x0000_s1027" type="#_x0000_t202" style="position:absolute;margin-left:400.05pt;margin-top:13.8pt;width:451.25pt;height:11.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" stroked="f">
                <v:textbox inset="0,0,0,0">
                  <w:txbxContent>
                    <w:p w:rsidR="00CC75C4" w:rsidRPr="008016ED" w:rsidRDefault="00CC75C4" w:rsidP="003E0B60">
                      <w:pPr>
                        <w:pStyle w:val="Caption"/>
                        <w:rPr>
                          <w:noProof/>
                        </w:rPr>
                      </w:pPr>
                    </w:p>
                  </w:txbxContent>
                </v:textbox>
                <w10:wrap type="topAndBottom" anchorx="margin"/>
              </v:shape>
            </w:pict>
          </mc:Fallback>
        </mc:AlternateContent>
      </w:r>
      <w:r w:rsidR="00B010F9" w:rsidRPr="00941E30">
        <w:rPr>
          <w:rFonts w:ascii="Times New Roman" w:hAnsi="Times New Roman"/>
          <w:b/>
        </w:rPr>
        <w:t>T</w:t>
      </w:r>
      <w:r w:rsidR="00B010F9" w:rsidRPr="00941E30">
        <w:rPr>
          <w:rFonts w:ascii="Times New Roman" w:hAnsi="Times New Roman"/>
          <w:b/>
          <w:sz w:val="20"/>
          <w:szCs w:val="20"/>
        </w:rPr>
        <w:t xml:space="preserve">able </w:t>
      </w:r>
      <w:r w:rsidR="00726E47">
        <w:rPr>
          <w:rFonts w:ascii="Times New Roman" w:hAnsi="Times New Roman"/>
          <w:b/>
          <w:sz w:val="20"/>
          <w:szCs w:val="20"/>
        </w:rPr>
        <w:t>5</w:t>
      </w:r>
      <w:r w:rsidR="00B010F9" w:rsidRPr="00941E30">
        <w:rPr>
          <w:rFonts w:ascii="Times New Roman" w:hAnsi="Times New Roman"/>
          <w:b/>
          <w:sz w:val="20"/>
          <w:szCs w:val="20"/>
        </w:rPr>
        <w:t>: Primary Health Care Services</w:t>
      </w:r>
    </w:p>
    <w:p w14:paraId="0DAA644A" w14:textId="77777777" w:rsidR="000E13D9" w:rsidRPr="00941E30" w:rsidRDefault="000E13D9" w:rsidP="00941E30">
      <w:pPr>
        <w:jc w:val="both"/>
        <w:rPr>
          <w:rFonts w:ascii="Times New Roman" w:hAnsi="Times New Roman"/>
          <w:b/>
        </w:rPr>
      </w:pPr>
    </w:p>
    <w:p w14:paraId="5CD613B8" w14:textId="77777777" w:rsidR="00FB1E9E" w:rsidRPr="00B010F9" w:rsidRDefault="00FB1E9E" w:rsidP="00941E30">
      <w:pPr>
        <w:spacing w:line="360" w:lineRule="auto"/>
        <w:jc w:val="both"/>
        <w:rPr>
          <w:rFonts w:ascii="Times New Roman" w:hAnsi="Times New Roman"/>
          <w:sz w:val="24"/>
          <w:szCs w:val="24"/>
        </w:rPr>
      </w:pPr>
      <w:r w:rsidRPr="00085BAF">
        <w:rPr>
          <w:rFonts w:ascii="Times New Roman" w:hAnsi="Times New Roman"/>
          <w:sz w:val="24"/>
          <w:szCs w:val="24"/>
        </w:rPr>
        <w:t>This Programme’s budget increases by 14.3</w:t>
      </w:r>
      <w:r w:rsidR="00104807">
        <w:rPr>
          <w:rFonts w:ascii="Times New Roman" w:hAnsi="Times New Roman"/>
          <w:sz w:val="24"/>
          <w:szCs w:val="24"/>
        </w:rPr>
        <w:t>%</w:t>
      </w:r>
      <w:r w:rsidRPr="00085BAF">
        <w:rPr>
          <w:rFonts w:ascii="Times New Roman" w:hAnsi="Times New Roman"/>
          <w:sz w:val="24"/>
          <w:szCs w:val="24"/>
        </w:rPr>
        <w:t xml:space="preserve"> in nominal terms (8.4</w:t>
      </w:r>
      <w:r w:rsidR="00104807">
        <w:rPr>
          <w:rFonts w:ascii="Times New Roman" w:hAnsi="Times New Roman"/>
          <w:sz w:val="24"/>
          <w:szCs w:val="24"/>
        </w:rPr>
        <w:t>%</w:t>
      </w:r>
      <w:r w:rsidRPr="00B010F9">
        <w:rPr>
          <w:rFonts w:ascii="Times New Roman" w:hAnsi="Times New Roman"/>
          <w:sz w:val="24"/>
          <w:szCs w:val="24"/>
        </w:rPr>
        <w:t xml:space="preserve"> in real terms).</w:t>
      </w:r>
    </w:p>
    <w:p w14:paraId="1BBF5376" w14:textId="77777777" w:rsidR="00FB1E9E" w:rsidRPr="00B010F9" w:rsidRDefault="00FB1E9E">
      <w:pPr>
        <w:jc w:val="both"/>
        <w:rPr>
          <w:rFonts w:ascii="Times New Roman" w:hAnsi="Times New Roman"/>
          <w:sz w:val="24"/>
          <w:szCs w:val="24"/>
        </w:rPr>
      </w:pPr>
    </w:p>
    <w:p w14:paraId="15F192A3" w14:textId="77777777" w:rsidR="00FB1E9E" w:rsidRPr="00B010F9" w:rsidRDefault="00FB1E9E" w:rsidP="00941E30">
      <w:pPr>
        <w:spacing w:line="360" w:lineRule="auto"/>
        <w:jc w:val="both"/>
        <w:rPr>
          <w:rFonts w:ascii="Times New Roman" w:hAnsi="Times New Roman"/>
          <w:sz w:val="24"/>
          <w:szCs w:val="24"/>
        </w:rPr>
      </w:pPr>
      <w:r w:rsidRPr="00B010F9">
        <w:rPr>
          <w:rFonts w:ascii="Times New Roman" w:hAnsi="Times New Roman"/>
          <w:sz w:val="24"/>
          <w:szCs w:val="24"/>
        </w:rPr>
        <w:t xml:space="preserve">The </w:t>
      </w:r>
      <w:r w:rsidRPr="00941E30">
        <w:rPr>
          <w:rFonts w:ascii="Times New Roman" w:hAnsi="Times New Roman"/>
          <w:sz w:val="24"/>
          <w:szCs w:val="24"/>
        </w:rPr>
        <w:t>Non-Communicable Diseases</w:t>
      </w:r>
      <w:r w:rsidRPr="00085BAF">
        <w:rPr>
          <w:rFonts w:ascii="Times New Roman" w:hAnsi="Times New Roman"/>
          <w:sz w:val="24"/>
          <w:szCs w:val="24"/>
        </w:rPr>
        <w:t xml:space="preserve"> sub-programme allocation increases from R22.5 million in 2017/18 to R74.2 million, an increase of 230</w:t>
      </w:r>
      <w:r w:rsidR="00104807">
        <w:rPr>
          <w:rFonts w:ascii="Times New Roman" w:hAnsi="Times New Roman"/>
          <w:sz w:val="24"/>
          <w:szCs w:val="24"/>
        </w:rPr>
        <w:t>%</w:t>
      </w:r>
      <w:r w:rsidRPr="00085BAF">
        <w:rPr>
          <w:rFonts w:ascii="Times New Roman" w:hAnsi="Times New Roman"/>
          <w:sz w:val="24"/>
          <w:szCs w:val="24"/>
        </w:rPr>
        <w:t xml:space="preserve"> in nominal terms (212.6</w:t>
      </w:r>
      <w:r w:rsidR="00104807">
        <w:rPr>
          <w:rFonts w:ascii="Times New Roman" w:hAnsi="Times New Roman"/>
          <w:sz w:val="24"/>
          <w:szCs w:val="24"/>
        </w:rPr>
        <w:t>%</w:t>
      </w:r>
      <w:r w:rsidRPr="00085BAF">
        <w:rPr>
          <w:rFonts w:ascii="Times New Roman" w:hAnsi="Times New Roman"/>
          <w:sz w:val="24"/>
          <w:szCs w:val="24"/>
        </w:rPr>
        <w:t xml:space="preserve"> in real terms). This increase is to support chronic disease p</w:t>
      </w:r>
      <w:r w:rsidRPr="00B010F9">
        <w:rPr>
          <w:rFonts w:ascii="Times New Roman" w:hAnsi="Times New Roman"/>
          <w:sz w:val="24"/>
          <w:szCs w:val="24"/>
        </w:rPr>
        <w:t xml:space="preserve">revention and health promotion. </w:t>
      </w:r>
    </w:p>
    <w:p w14:paraId="6F93369A" w14:textId="77777777" w:rsidR="00FB1E9E" w:rsidRPr="00B010F9" w:rsidRDefault="00FB1E9E">
      <w:pPr>
        <w:jc w:val="both"/>
        <w:rPr>
          <w:rFonts w:ascii="Times New Roman" w:hAnsi="Times New Roman"/>
          <w:sz w:val="24"/>
          <w:szCs w:val="24"/>
        </w:rPr>
      </w:pPr>
    </w:p>
    <w:p w14:paraId="7DA2A568" w14:textId="77777777" w:rsidR="00FB1E9E" w:rsidRPr="00B010F9" w:rsidRDefault="00FB1E9E" w:rsidP="00941E30">
      <w:pPr>
        <w:spacing w:line="360" w:lineRule="auto"/>
        <w:jc w:val="both"/>
        <w:rPr>
          <w:rFonts w:ascii="Times New Roman" w:hAnsi="Times New Roman"/>
          <w:sz w:val="24"/>
          <w:szCs w:val="24"/>
        </w:rPr>
      </w:pPr>
      <w:r w:rsidRPr="00B010F9">
        <w:rPr>
          <w:rFonts w:ascii="Times New Roman" w:hAnsi="Times New Roman"/>
          <w:sz w:val="24"/>
          <w:szCs w:val="24"/>
        </w:rPr>
        <w:t xml:space="preserve">The </w:t>
      </w:r>
      <w:r w:rsidRPr="00941E30">
        <w:rPr>
          <w:rFonts w:ascii="Times New Roman" w:hAnsi="Times New Roman"/>
          <w:sz w:val="24"/>
          <w:szCs w:val="24"/>
        </w:rPr>
        <w:t>District Health Services</w:t>
      </w:r>
      <w:r w:rsidRPr="00085BAF">
        <w:rPr>
          <w:rFonts w:ascii="Times New Roman" w:hAnsi="Times New Roman"/>
          <w:sz w:val="24"/>
          <w:szCs w:val="24"/>
        </w:rPr>
        <w:t xml:space="preserve"> sub-programme declines by 77.1</w:t>
      </w:r>
      <w:r w:rsidR="00104807">
        <w:rPr>
          <w:rFonts w:ascii="Times New Roman" w:hAnsi="Times New Roman"/>
          <w:sz w:val="24"/>
          <w:szCs w:val="24"/>
        </w:rPr>
        <w:t>%</w:t>
      </w:r>
      <w:r w:rsidRPr="00085BAF">
        <w:rPr>
          <w:rFonts w:ascii="Times New Roman" w:hAnsi="Times New Roman"/>
          <w:sz w:val="24"/>
          <w:szCs w:val="24"/>
        </w:rPr>
        <w:t xml:space="preserve"> nominally (78.3 </w:t>
      </w:r>
      <w:r w:rsidR="00104807">
        <w:rPr>
          <w:rFonts w:ascii="Times New Roman" w:hAnsi="Times New Roman"/>
          <w:sz w:val="24"/>
          <w:szCs w:val="24"/>
        </w:rPr>
        <w:t>%</w:t>
      </w:r>
      <w:r w:rsidRPr="00085BAF">
        <w:rPr>
          <w:rFonts w:ascii="Times New Roman" w:hAnsi="Times New Roman"/>
          <w:sz w:val="24"/>
          <w:szCs w:val="24"/>
        </w:rPr>
        <w:t xml:space="preserve"> in real terms) from R46.3 million to R10.6 million. It is also one of only two sub-programmes that experience real decrease, th</w:t>
      </w:r>
      <w:r w:rsidRPr="00B010F9">
        <w:rPr>
          <w:rFonts w:ascii="Times New Roman" w:hAnsi="Times New Roman"/>
          <w:sz w:val="24"/>
          <w:szCs w:val="24"/>
        </w:rPr>
        <w:t xml:space="preserve">e other being </w:t>
      </w:r>
      <w:r w:rsidRPr="00941E30">
        <w:rPr>
          <w:rFonts w:ascii="Times New Roman" w:hAnsi="Times New Roman"/>
          <w:sz w:val="24"/>
          <w:szCs w:val="24"/>
        </w:rPr>
        <w:t>Health Promotion and Nutrition</w:t>
      </w:r>
      <w:r w:rsidR="00104807" w:rsidRPr="00941E30">
        <w:rPr>
          <w:rFonts w:ascii="Times New Roman" w:hAnsi="Times New Roman"/>
          <w:sz w:val="24"/>
          <w:szCs w:val="24"/>
        </w:rPr>
        <w:t xml:space="preserve"> </w:t>
      </w:r>
      <w:r w:rsidRPr="00B010F9">
        <w:rPr>
          <w:rFonts w:ascii="Times New Roman" w:hAnsi="Times New Roman"/>
          <w:sz w:val="24"/>
          <w:szCs w:val="24"/>
        </w:rPr>
        <w:t>which decreases by 6.1</w:t>
      </w:r>
      <w:r w:rsidR="00104807">
        <w:rPr>
          <w:rFonts w:ascii="Times New Roman" w:hAnsi="Times New Roman"/>
          <w:sz w:val="24"/>
          <w:szCs w:val="24"/>
        </w:rPr>
        <w:t>%</w:t>
      </w:r>
      <w:r w:rsidRPr="00B010F9">
        <w:rPr>
          <w:rFonts w:ascii="Times New Roman" w:hAnsi="Times New Roman"/>
          <w:sz w:val="24"/>
          <w:szCs w:val="24"/>
        </w:rPr>
        <w:t xml:space="preserve"> in nominal terms (11</w:t>
      </w:r>
      <w:r w:rsidR="00104807">
        <w:rPr>
          <w:rFonts w:ascii="Times New Roman" w:hAnsi="Times New Roman"/>
          <w:sz w:val="24"/>
          <w:szCs w:val="24"/>
        </w:rPr>
        <w:t>%</w:t>
      </w:r>
      <w:r w:rsidRPr="00B010F9">
        <w:rPr>
          <w:rFonts w:ascii="Times New Roman" w:hAnsi="Times New Roman"/>
          <w:sz w:val="24"/>
          <w:szCs w:val="24"/>
        </w:rPr>
        <w:t xml:space="preserve"> in real terms) from R26.3 million in 2017/18 to R24.7 million in 2018/19).</w:t>
      </w:r>
    </w:p>
    <w:p w14:paraId="63B08389" w14:textId="77777777" w:rsidR="00FB1E9E" w:rsidRDefault="00FB1E9E">
      <w:pPr>
        <w:jc w:val="both"/>
        <w:rPr>
          <w:rFonts w:ascii="Times New Roman" w:hAnsi="Times New Roman"/>
          <w:sz w:val="24"/>
          <w:szCs w:val="24"/>
        </w:rPr>
      </w:pPr>
    </w:p>
    <w:p w14:paraId="05B3093F" w14:textId="77777777" w:rsidR="00FB1E9E" w:rsidRDefault="00FB1E9E" w:rsidP="00941E30">
      <w:pPr>
        <w:jc w:val="both"/>
        <w:rPr>
          <w:rFonts w:ascii="Times New Roman" w:hAnsi="Times New Roman"/>
          <w:b/>
          <w:sz w:val="24"/>
          <w:szCs w:val="24"/>
        </w:rPr>
      </w:pPr>
      <w:r w:rsidRPr="00B010F9">
        <w:rPr>
          <w:rFonts w:ascii="Times New Roman" w:hAnsi="Times New Roman"/>
          <w:b/>
          <w:sz w:val="24"/>
          <w:szCs w:val="24"/>
        </w:rPr>
        <w:t xml:space="preserve">Programme 5: Hospitals, Tertiary Health Services and Human Resources Development </w:t>
      </w:r>
    </w:p>
    <w:p w14:paraId="40766DA2" w14:textId="77777777" w:rsidR="00B010F9" w:rsidRDefault="000313E1" w:rsidP="00941E30">
      <w:pPr>
        <w:jc w:val="both"/>
        <w:rPr>
          <w:rFonts w:ascii="Times New Roman" w:hAnsi="Times New Roman"/>
          <w:b/>
          <w:sz w:val="24"/>
          <w:szCs w:val="24"/>
        </w:rPr>
      </w:pPr>
      <w:r w:rsidRPr="00941E30">
        <w:rPr>
          <w:rFonts w:ascii="Times New Roman" w:hAnsi="Times New Roman"/>
          <w:noProof/>
          <w:lang w:val="en-ZA" w:eastAsia="en-ZA"/>
        </w:rPr>
        <mc:AlternateContent>
          <mc:Choice Requires="wps">
            <w:drawing>
              <wp:anchor distT="0" distB="0" distL="114300" distR="114300" simplePos="0" relativeHeight="251708416" behindDoc="0" locked="0" layoutInCell="1" allowOverlap="1" wp14:anchorId="237E766B" wp14:editId="4591B326">
                <wp:simplePos x="0" y="0"/>
                <wp:positionH relativeFrom="margin">
                  <wp:align>right</wp:align>
                </wp:positionH>
                <wp:positionV relativeFrom="paragraph">
                  <wp:posOffset>336550</wp:posOffset>
                </wp:positionV>
                <wp:extent cx="5730875" cy="155575"/>
                <wp:effectExtent l="0" t="0" r="3175" b="0"/>
                <wp:wrapTopAndBottom/>
                <wp:docPr id="4" name="Text Box 4"/>
                <wp:cNvGraphicFramePr/>
                <a:graphic xmlns:a="http://schemas.openxmlformats.org/drawingml/2006/main">
                  <a:graphicData uri="http://schemas.microsoft.com/office/word/2010/wordprocessingShape">
                    <wps:wsp>
                      <wps:cNvSpPr txBox="1"/>
                      <wps:spPr>
                        <a:xfrm>
                          <a:off x="0" y="0"/>
                          <a:ext cx="5730875" cy="155575"/>
                        </a:xfrm>
                        <a:prstGeom prst="rect">
                          <a:avLst/>
                        </a:prstGeom>
                        <a:solidFill>
                          <a:prstClr val="white"/>
                        </a:solidFill>
                        <a:ln>
                          <a:noFill/>
                        </a:ln>
                      </wps:spPr>
                      <wps:txbx>
                        <w:txbxContent>
                          <w:p w14:paraId="14EE4E41" w14:textId="77777777" w:rsidR="00CC75C4" w:rsidRPr="00941E30" w:rsidRDefault="00CC75C4" w:rsidP="00B010F9">
                            <w:pPr>
                              <w:pStyle w:val="Caption"/>
                              <w:rPr>
                                <w:rFonts w:ascii="Times New Roman" w:hAnsi="Times New Roman"/>
                                <w:noProof/>
                              </w:rPr>
                            </w:pPr>
                            <w:r w:rsidRPr="00941E30">
                              <w:rPr>
                                <w:rFonts w:ascii="Times New Roman" w:hAnsi="Times New Roman"/>
                                <w:noProof/>
                              </w:rPr>
                              <w:t xml:space="preserve"> Table </w:t>
                            </w:r>
                            <w:r>
                              <w:rPr>
                                <w:rFonts w:ascii="Times New Roman" w:hAnsi="Times New Roman"/>
                                <w:noProof/>
                              </w:rPr>
                              <w:t>6</w:t>
                            </w:r>
                            <w:r w:rsidRPr="00941E30">
                              <w:rPr>
                                <w:rFonts w:ascii="Times New Roman" w:hAnsi="Times New Roman"/>
                                <w:noProof/>
                              </w:rPr>
                              <w:t>: Hospitals, Teriary Health Services and Human Resources Development</w:t>
                            </w:r>
                            <w:r w:rsidRPr="00941E30">
                              <w:rPr>
                                <w:rFonts w:ascii="Times New Roman" w:hAnsi="Times New Roman"/>
                                <w:noProof/>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3D1129AF" id="Text Box 4" o:spid="_x0000_s1028" type="#_x0000_t202" style="position:absolute;left:0;text-align:left;margin-left:400.05pt;margin-top:26.5pt;width:451.25pt;height:12.25pt;z-index:2517084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" stroked="f">
                <v:textbox inset="0,0,0,0">
                  <w:txbxContent>
                    <w:p w:rsidR="00CC75C4" w:rsidRPr="00941E30" w:rsidRDefault="00CC75C4" w:rsidP="00B010F9">
                      <w:pPr>
                        <w:pStyle w:val="Caption"/>
                        <w:rPr>
                          <w:rFonts w:ascii="Times New Roman" w:hAnsi="Times New Roman"/>
                          <w:noProof/>
                        </w:rPr>
                      </w:pPr>
                      <w:r w:rsidRPr="00941E30">
                        <w:rPr>
                          <w:rFonts w:ascii="Times New Roman" w:hAnsi="Times New Roman"/>
                          <w:noProof/>
                        </w:rPr>
                        <w:t xml:space="preserve"> Table </w:t>
                      </w:r>
                      <w:r>
                        <w:rPr>
                          <w:rFonts w:ascii="Times New Roman" w:hAnsi="Times New Roman"/>
                          <w:noProof/>
                        </w:rPr>
                        <w:t>6</w:t>
                      </w:r>
                      <w:r w:rsidRPr="00941E30">
                        <w:rPr>
                          <w:rFonts w:ascii="Times New Roman" w:hAnsi="Times New Roman"/>
                          <w:noProof/>
                        </w:rPr>
                        <w:t>: Hospitals, Teriary Health Services and Human Resources Development</w:t>
                      </w:r>
                      <w:r w:rsidRPr="00941E30">
                        <w:rPr>
                          <w:rFonts w:ascii="Times New Roman" w:hAnsi="Times New Roman"/>
                          <w:noProof/>
                        </w:rPr>
                        <w:br/>
                      </w:r>
                    </w:p>
                  </w:txbxContent>
                </v:textbox>
                <w10:wrap type="topAndBottom" anchorx="margin"/>
              </v:shape>
            </w:pict>
          </mc:Fallback>
        </mc:AlternateContent>
      </w:r>
      <w:r w:rsidRPr="00941E30">
        <w:rPr>
          <w:rFonts w:ascii="Times New Roman" w:hAnsi="Times New Roman"/>
          <w:noProof/>
          <w:lang w:val="en-ZA" w:eastAsia="en-ZA"/>
        </w:rPr>
        <w:drawing>
          <wp:anchor distT="0" distB="0" distL="114300" distR="114300" simplePos="0" relativeHeight="251699200" behindDoc="0" locked="0" layoutInCell="1" allowOverlap="1" wp14:anchorId="01928F33" wp14:editId="6E8C5B8F">
            <wp:simplePos x="0" y="0"/>
            <wp:positionH relativeFrom="margin">
              <wp:align>right</wp:align>
            </wp:positionH>
            <wp:positionV relativeFrom="paragraph">
              <wp:posOffset>561975</wp:posOffset>
            </wp:positionV>
            <wp:extent cx="5730875" cy="209740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2097405"/>
                    </a:xfrm>
                    <a:prstGeom prst="rect">
                      <a:avLst/>
                    </a:prstGeom>
                    <a:noFill/>
                  </pic:spPr>
                </pic:pic>
              </a:graphicData>
            </a:graphic>
          </wp:anchor>
        </w:drawing>
      </w:r>
    </w:p>
    <w:p w14:paraId="1A58BF17" w14:textId="77777777" w:rsidR="00B010F9" w:rsidRPr="00085BAF" w:rsidRDefault="00B010F9" w:rsidP="00941E30">
      <w:pPr>
        <w:jc w:val="both"/>
        <w:rPr>
          <w:rFonts w:ascii="Times New Roman" w:hAnsi="Times New Roman"/>
          <w:b/>
          <w:sz w:val="24"/>
          <w:szCs w:val="24"/>
        </w:rPr>
      </w:pPr>
    </w:p>
    <w:p w14:paraId="59A783A9" w14:textId="77777777" w:rsidR="00F365AA" w:rsidRPr="00085BAF" w:rsidRDefault="00F365AA" w:rsidP="00941E30">
      <w:pPr>
        <w:spacing w:line="360" w:lineRule="auto"/>
        <w:jc w:val="both"/>
        <w:rPr>
          <w:rFonts w:ascii="Times New Roman" w:eastAsiaTheme="majorEastAsia" w:hAnsi="Times New Roman"/>
          <w:bCs/>
          <w:iCs/>
          <w:sz w:val="24"/>
          <w:szCs w:val="24"/>
        </w:rPr>
      </w:pPr>
      <w:r w:rsidRPr="00085BAF">
        <w:rPr>
          <w:rFonts w:ascii="Times New Roman" w:eastAsiaTheme="majorEastAsia" w:hAnsi="Times New Roman"/>
          <w:bCs/>
          <w:iCs/>
          <w:sz w:val="24"/>
          <w:szCs w:val="24"/>
        </w:rPr>
        <w:t>Total expenditure for Programme 5 grows from R20.9 billion in the 2017/18 financial year to R22.1 billion. The budget for this programme increases by 5.8</w:t>
      </w:r>
      <w:r w:rsidR="00104807">
        <w:rPr>
          <w:rFonts w:ascii="Times New Roman" w:eastAsiaTheme="majorEastAsia" w:hAnsi="Times New Roman"/>
          <w:bCs/>
          <w:iCs/>
          <w:sz w:val="24"/>
          <w:szCs w:val="24"/>
        </w:rPr>
        <w:t>%</w:t>
      </w:r>
      <w:r w:rsidRPr="00085BAF">
        <w:rPr>
          <w:rFonts w:ascii="Times New Roman" w:eastAsiaTheme="majorEastAsia" w:hAnsi="Times New Roman"/>
          <w:bCs/>
          <w:iCs/>
          <w:sz w:val="24"/>
          <w:szCs w:val="24"/>
        </w:rPr>
        <w:t xml:space="preserve"> in nominal terms, and 0.3</w:t>
      </w:r>
      <w:r w:rsidR="00104807">
        <w:rPr>
          <w:rFonts w:ascii="Times New Roman" w:eastAsiaTheme="majorEastAsia" w:hAnsi="Times New Roman"/>
          <w:bCs/>
          <w:iCs/>
          <w:sz w:val="24"/>
          <w:szCs w:val="24"/>
        </w:rPr>
        <w:t>%</w:t>
      </w:r>
      <w:r w:rsidRPr="00085BAF">
        <w:rPr>
          <w:rFonts w:ascii="Times New Roman" w:eastAsiaTheme="majorEastAsia" w:hAnsi="Times New Roman"/>
          <w:bCs/>
          <w:iCs/>
          <w:sz w:val="24"/>
          <w:szCs w:val="24"/>
        </w:rPr>
        <w:t xml:space="preserve"> in real terms.</w:t>
      </w:r>
    </w:p>
    <w:p w14:paraId="0A72CDFA" w14:textId="77777777" w:rsidR="00F365AA" w:rsidRPr="00B010F9" w:rsidRDefault="00F365AA">
      <w:pPr>
        <w:jc w:val="both"/>
        <w:rPr>
          <w:rFonts w:ascii="Times New Roman" w:eastAsiaTheme="majorEastAsia" w:hAnsi="Times New Roman"/>
          <w:bCs/>
          <w:iCs/>
          <w:sz w:val="24"/>
          <w:szCs w:val="24"/>
        </w:rPr>
      </w:pPr>
    </w:p>
    <w:p w14:paraId="7154B2A7" w14:textId="77777777" w:rsidR="00F365AA" w:rsidRPr="00085BAF" w:rsidRDefault="00F365AA" w:rsidP="00941E30">
      <w:pPr>
        <w:spacing w:line="360" w:lineRule="auto"/>
        <w:jc w:val="both"/>
        <w:rPr>
          <w:rFonts w:ascii="Times New Roman" w:eastAsiaTheme="majorEastAsia" w:hAnsi="Times New Roman"/>
          <w:bCs/>
          <w:iCs/>
          <w:sz w:val="24"/>
          <w:szCs w:val="24"/>
        </w:rPr>
      </w:pPr>
      <w:r w:rsidRPr="00B010F9">
        <w:rPr>
          <w:rFonts w:ascii="Times New Roman" w:eastAsiaTheme="majorEastAsia" w:hAnsi="Times New Roman"/>
          <w:bCs/>
          <w:iCs/>
          <w:sz w:val="24"/>
          <w:szCs w:val="24"/>
        </w:rPr>
        <w:t xml:space="preserve">The 2018/19 allocation to </w:t>
      </w:r>
      <w:r w:rsidRPr="00941E30">
        <w:rPr>
          <w:rFonts w:ascii="Times New Roman" w:eastAsiaTheme="majorEastAsia" w:hAnsi="Times New Roman"/>
          <w:bCs/>
          <w:iCs/>
          <w:sz w:val="24"/>
          <w:szCs w:val="24"/>
        </w:rPr>
        <w:t>Health Facilities Infrastructure Management</w:t>
      </w:r>
      <w:r w:rsidRPr="00085BAF">
        <w:rPr>
          <w:rFonts w:ascii="Times New Roman" w:eastAsiaTheme="majorEastAsia" w:hAnsi="Times New Roman"/>
          <w:bCs/>
          <w:iCs/>
          <w:sz w:val="24"/>
          <w:szCs w:val="24"/>
        </w:rPr>
        <w:t xml:space="preserve"> sub-programme increases by 4.9</w:t>
      </w:r>
      <w:r w:rsidR="00104807">
        <w:rPr>
          <w:rFonts w:ascii="Times New Roman" w:eastAsiaTheme="majorEastAsia" w:hAnsi="Times New Roman"/>
          <w:bCs/>
          <w:iCs/>
          <w:sz w:val="24"/>
          <w:szCs w:val="24"/>
        </w:rPr>
        <w:t>%</w:t>
      </w:r>
      <w:r w:rsidRPr="00085BAF">
        <w:rPr>
          <w:rFonts w:ascii="Times New Roman" w:eastAsiaTheme="majorEastAsia" w:hAnsi="Times New Roman"/>
          <w:bCs/>
          <w:iCs/>
          <w:sz w:val="24"/>
          <w:szCs w:val="24"/>
        </w:rPr>
        <w:t xml:space="preserve"> in nominal terms, declining by 0.5</w:t>
      </w:r>
      <w:r w:rsidR="00104807">
        <w:rPr>
          <w:rFonts w:ascii="Times New Roman" w:eastAsiaTheme="majorEastAsia" w:hAnsi="Times New Roman"/>
          <w:bCs/>
          <w:iCs/>
          <w:sz w:val="24"/>
          <w:szCs w:val="24"/>
        </w:rPr>
        <w:t>%</w:t>
      </w:r>
      <w:r w:rsidRPr="00085BAF">
        <w:rPr>
          <w:rFonts w:ascii="Times New Roman" w:eastAsiaTheme="majorEastAsia" w:hAnsi="Times New Roman"/>
          <w:bCs/>
          <w:iCs/>
          <w:sz w:val="24"/>
          <w:szCs w:val="24"/>
        </w:rPr>
        <w:t xml:space="preserve"> in real terms.  </w:t>
      </w:r>
    </w:p>
    <w:p w14:paraId="5956B1C5" w14:textId="77777777" w:rsidR="00F365AA" w:rsidRPr="00B010F9" w:rsidRDefault="00F365AA">
      <w:pPr>
        <w:jc w:val="both"/>
        <w:rPr>
          <w:rFonts w:ascii="Times New Roman" w:eastAsiaTheme="majorEastAsia" w:hAnsi="Times New Roman"/>
          <w:bCs/>
          <w:iCs/>
          <w:sz w:val="24"/>
          <w:szCs w:val="24"/>
        </w:rPr>
      </w:pPr>
    </w:p>
    <w:p w14:paraId="6DEEAB34" w14:textId="77777777" w:rsidR="00F365AA" w:rsidRPr="00085BAF" w:rsidRDefault="00F365AA" w:rsidP="00941E30">
      <w:pPr>
        <w:spacing w:line="360" w:lineRule="auto"/>
        <w:jc w:val="both"/>
        <w:rPr>
          <w:rFonts w:ascii="Times New Roman" w:eastAsiaTheme="majorEastAsia" w:hAnsi="Times New Roman"/>
          <w:bCs/>
          <w:iCs/>
          <w:sz w:val="24"/>
          <w:szCs w:val="24"/>
        </w:rPr>
      </w:pPr>
      <w:r w:rsidRPr="00B010F9">
        <w:rPr>
          <w:rFonts w:ascii="Times New Roman" w:eastAsiaTheme="majorEastAsia" w:hAnsi="Times New Roman"/>
          <w:bCs/>
          <w:iCs/>
          <w:sz w:val="24"/>
          <w:szCs w:val="24"/>
        </w:rPr>
        <w:t xml:space="preserve">The </w:t>
      </w:r>
      <w:r w:rsidRPr="00941E30">
        <w:rPr>
          <w:rFonts w:ascii="Times New Roman" w:eastAsiaTheme="majorEastAsia" w:hAnsi="Times New Roman"/>
          <w:bCs/>
          <w:iCs/>
          <w:sz w:val="24"/>
          <w:szCs w:val="24"/>
        </w:rPr>
        <w:t>Forensic Chemistry Laboratories</w:t>
      </w:r>
      <w:r w:rsidRPr="00085BAF">
        <w:rPr>
          <w:rFonts w:ascii="Times New Roman" w:eastAsiaTheme="majorEastAsia" w:hAnsi="Times New Roman"/>
          <w:bCs/>
          <w:iCs/>
          <w:sz w:val="24"/>
          <w:szCs w:val="24"/>
        </w:rPr>
        <w:t xml:space="preserve"> sub-programme allocation increases by 14.4</w:t>
      </w:r>
      <w:r w:rsidR="00104807">
        <w:rPr>
          <w:rFonts w:ascii="Times New Roman" w:eastAsiaTheme="majorEastAsia" w:hAnsi="Times New Roman"/>
          <w:bCs/>
          <w:iCs/>
          <w:sz w:val="24"/>
          <w:szCs w:val="24"/>
        </w:rPr>
        <w:t>%</w:t>
      </w:r>
      <w:r w:rsidRPr="00085BAF">
        <w:rPr>
          <w:rFonts w:ascii="Times New Roman" w:eastAsiaTheme="majorEastAsia" w:hAnsi="Times New Roman"/>
          <w:bCs/>
          <w:iCs/>
          <w:sz w:val="24"/>
          <w:szCs w:val="24"/>
        </w:rPr>
        <w:t xml:space="preserve"> in nominal terms (in</w:t>
      </w:r>
      <w:r w:rsidRPr="00B010F9">
        <w:rPr>
          <w:rFonts w:ascii="Times New Roman" w:eastAsiaTheme="majorEastAsia" w:hAnsi="Times New Roman"/>
          <w:bCs/>
          <w:iCs/>
          <w:sz w:val="24"/>
          <w:szCs w:val="24"/>
        </w:rPr>
        <w:t>creasing by 8.5</w:t>
      </w:r>
      <w:r w:rsidR="00104807">
        <w:rPr>
          <w:rFonts w:ascii="Times New Roman" w:eastAsiaTheme="majorEastAsia" w:hAnsi="Times New Roman"/>
          <w:bCs/>
          <w:iCs/>
          <w:sz w:val="24"/>
          <w:szCs w:val="24"/>
        </w:rPr>
        <w:t>%</w:t>
      </w:r>
      <w:r w:rsidRPr="00B010F9">
        <w:rPr>
          <w:rFonts w:ascii="Times New Roman" w:eastAsiaTheme="majorEastAsia" w:hAnsi="Times New Roman"/>
          <w:bCs/>
          <w:iCs/>
          <w:sz w:val="24"/>
          <w:szCs w:val="24"/>
        </w:rPr>
        <w:t xml:space="preserve"> in real terms</w:t>
      </w:r>
      <w:r w:rsidR="00CC6505">
        <w:rPr>
          <w:rFonts w:ascii="Times New Roman" w:eastAsiaTheme="majorEastAsia" w:hAnsi="Times New Roman"/>
          <w:bCs/>
          <w:iCs/>
          <w:sz w:val="24"/>
          <w:szCs w:val="24"/>
        </w:rPr>
        <w:t>)</w:t>
      </w:r>
      <w:r w:rsidRPr="00B010F9">
        <w:rPr>
          <w:rFonts w:ascii="Times New Roman" w:eastAsiaTheme="majorEastAsia" w:hAnsi="Times New Roman"/>
          <w:bCs/>
          <w:iCs/>
          <w:sz w:val="24"/>
          <w:szCs w:val="24"/>
        </w:rPr>
        <w:t xml:space="preserve">. The </w:t>
      </w:r>
      <w:r w:rsidRPr="00941E30">
        <w:rPr>
          <w:rFonts w:ascii="Times New Roman" w:eastAsiaTheme="majorEastAsia" w:hAnsi="Times New Roman"/>
          <w:bCs/>
          <w:iCs/>
          <w:sz w:val="24"/>
          <w:szCs w:val="24"/>
        </w:rPr>
        <w:t>Nursing Services</w:t>
      </w:r>
      <w:r w:rsidRPr="00085BAF">
        <w:rPr>
          <w:rFonts w:ascii="Times New Roman" w:eastAsiaTheme="majorEastAsia" w:hAnsi="Times New Roman"/>
          <w:bCs/>
          <w:iCs/>
          <w:sz w:val="24"/>
          <w:szCs w:val="24"/>
        </w:rPr>
        <w:t xml:space="preserve"> sub-programme exhibits the strongest growth, and increases by 37.9 </w:t>
      </w:r>
      <w:r w:rsidR="00104807">
        <w:rPr>
          <w:rFonts w:ascii="Times New Roman" w:eastAsiaTheme="majorEastAsia" w:hAnsi="Times New Roman"/>
          <w:bCs/>
          <w:iCs/>
          <w:sz w:val="24"/>
          <w:szCs w:val="24"/>
        </w:rPr>
        <w:t>%</w:t>
      </w:r>
      <w:r w:rsidRPr="00085BAF">
        <w:rPr>
          <w:rFonts w:ascii="Times New Roman" w:eastAsiaTheme="majorEastAsia" w:hAnsi="Times New Roman"/>
          <w:bCs/>
          <w:iCs/>
          <w:sz w:val="24"/>
          <w:szCs w:val="24"/>
        </w:rPr>
        <w:t xml:space="preserve"> in nominal terms from R6.6 million in 2017/18 to R9.1 million in 2018/19. </w:t>
      </w:r>
    </w:p>
    <w:p w14:paraId="782AE585" w14:textId="77777777" w:rsidR="000E13D9" w:rsidRDefault="000E13D9" w:rsidP="00941E30">
      <w:pPr>
        <w:jc w:val="both"/>
        <w:rPr>
          <w:rFonts w:ascii="Times New Roman" w:hAnsi="Times New Roman"/>
          <w:b/>
        </w:rPr>
      </w:pPr>
    </w:p>
    <w:p w14:paraId="20B4146E" w14:textId="77777777" w:rsidR="000313E1" w:rsidRPr="00941E30" w:rsidRDefault="000313E1" w:rsidP="00941E30">
      <w:pPr>
        <w:jc w:val="both"/>
        <w:rPr>
          <w:rFonts w:ascii="Times New Roman" w:hAnsi="Times New Roman"/>
          <w:b/>
        </w:rPr>
      </w:pPr>
    </w:p>
    <w:p w14:paraId="37809634" w14:textId="77777777" w:rsidR="00424D19" w:rsidRPr="0093633A" w:rsidRDefault="000313E1" w:rsidP="00941E30">
      <w:pPr>
        <w:jc w:val="both"/>
        <w:rPr>
          <w:rFonts w:ascii="Times New Roman" w:hAnsi="Times New Roman"/>
          <w:b/>
          <w:sz w:val="24"/>
          <w:szCs w:val="24"/>
        </w:rPr>
      </w:pPr>
      <w:r w:rsidRPr="00941E30">
        <w:rPr>
          <w:rFonts w:ascii="Times New Roman" w:hAnsi="Times New Roman"/>
          <w:noProof/>
          <w:lang w:val="en-ZA" w:eastAsia="en-ZA"/>
        </w:rPr>
        <w:drawing>
          <wp:anchor distT="0" distB="0" distL="114300" distR="114300" simplePos="0" relativeHeight="251702272" behindDoc="0" locked="0" layoutInCell="1" allowOverlap="1" wp14:anchorId="19A17A75" wp14:editId="62E3A31C">
            <wp:simplePos x="0" y="0"/>
            <wp:positionH relativeFrom="margin">
              <wp:align>right</wp:align>
            </wp:positionH>
            <wp:positionV relativeFrom="paragraph">
              <wp:posOffset>598805</wp:posOffset>
            </wp:positionV>
            <wp:extent cx="5730875" cy="1865630"/>
            <wp:effectExtent l="0" t="0" r="3175"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1865630"/>
                    </a:xfrm>
                    <a:prstGeom prst="rect">
                      <a:avLst/>
                    </a:prstGeom>
                    <a:noFill/>
                  </pic:spPr>
                </pic:pic>
              </a:graphicData>
            </a:graphic>
          </wp:anchor>
        </w:drawing>
      </w:r>
      <w:r w:rsidR="00973EAF" w:rsidRPr="00085BAF">
        <w:rPr>
          <w:rFonts w:ascii="Times New Roman" w:hAnsi="Times New Roman"/>
          <w:b/>
          <w:sz w:val="24"/>
          <w:szCs w:val="24"/>
        </w:rPr>
        <w:t>Programme 6: Health Regulation and Compli</w:t>
      </w:r>
      <w:r w:rsidR="00973EAF" w:rsidRPr="0093633A">
        <w:rPr>
          <w:rFonts w:ascii="Times New Roman" w:hAnsi="Times New Roman"/>
          <w:b/>
          <w:sz w:val="24"/>
          <w:szCs w:val="24"/>
        </w:rPr>
        <w:t>ance Management</w:t>
      </w:r>
    </w:p>
    <w:p w14:paraId="5B0F255A" w14:textId="77777777" w:rsidR="00424D19" w:rsidRPr="00085BAF" w:rsidRDefault="000313E1" w:rsidP="00941E30">
      <w:pPr>
        <w:jc w:val="both"/>
        <w:rPr>
          <w:rFonts w:ascii="Times New Roman" w:hAnsi="Times New Roman"/>
          <w:b/>
          <w:sz w:val="24"/>
          <w:szCs w:val="24"/>
        </w:rPr>
      </w:pPr>
      <w:r w:rsidRPr="00941E30">
        <w:rPr>
          <w:rFonts w:ascii="Times New Roman" w:hAnsi="Times New Roman"/>
          <w:noProof/>
          <w:lang w:val="en-ZA" w:eastAsia="en-ZA"/>
        </w:rPr>
        <mc:AlternateContent>
          <mc:Choice Requires="wps">
            <w:drawing>
              <wp:anchor distT="0" distB="0" distL="114300" distR="114300" simplePos="0" relativeHeight="251701248" behindDoc="0" locked="0" layoutInCell="1" allowOverlap="1" wp14:anchorId="51F54363" wp14:editId="4926FB1D">
                <wp:simplePos x="0" y="0"/>
                <wp:positionH relativeFrom="margin">
                  <wp:align>right</wp:align>
                </wp:positionH>
                <wp:positionV relativeFrom="paragraph">
                  <wp:posOffset>245110</wp:posOffset>
                </wp:positionV>
                <wp:extent cx="5730875" cy="155575"/>
                <wp:effectExtent l="0" t="0" r="3175" b="0"/>
                <wp:wrapTopAndBottom/>
                <wp:docPr id="25" name="Text Box 25"/>
                <wp:cNvGraphicFramePr/>
                <a:graphic xmlns:a="http://schemas.openxmlformats.org/drawingml/2006/main">
                  <a:graphicData uri="http://schemas.microsoft.com/office/word/2010/wordprocessingShape">
                    <wps:wsp>
                      <wps:cNvSpPr txBox="1"/>
                      <wps:spPr>
                        <a:xfrm>
                          <a:off x="0" y="0"/>
                          <a:ext cx="5730875" cy="155575"/>
                        </a:xfrm>
                        <a:prstGeom prst="rect">
                          <a:avLst/>
                        </a:prstGeom>
                        <a:solidFill>
                          <a:prstClr val="white"/>
                        </a:solidFill>
                        <a:ln>
                          <a:noFill/>
                        </a:ln>
                      </wps:spPr>
                      <wps:txbx>
                        <w:txbxContent>
                          <w:p w14:paraId="5A8B8E0C" w14:textId="77777777" w:rsidR="00CC75C4" w:rsidRPr="00941E30" w:rsidRDefault="00CC75C4" w:rsidP="00424D19">
                            <w:pPr>
                              <w:pStyle w:val="Caption"/>
                              <w:rPr>
                                <w:rFonts w:ascii="Times New Roman" w:hAnsi="Times New Roman"/>
                                <w:noProof/>
                              </w:rPr>
                            </w:pPr>
                            <w:r>
                              <w:rPr>
                                <w:noProof/>
                              </w:rPr>
                              <w:t xml:space="preserve"> </w:t>
                            </w:r>
                            <w:r w:rsidRPr="00941E30">
                              <w:rPr>
                                <w:rFonts w:ascii="Times New Roman" w:hAnsi="Times New Roman"/>
                                <w:noProof/>
                              </w:rPr>
                              <w:t xml:space="preserve">Table </w:t>
                            </w:r>
                            <w:r>
                              <w:rPr>
                                <w:rFonts w:ascii="Times New Roman" w:hAnsi="Times New Roman"/>
                                <w:noProof/>
                              </w:rPr>
                              <w:t>7</w:t>
                            </w:r>
                            <w:r w:rsidRPr="00941E30">
                              <w:rPr>
                                <w:rFonts w:ascii="Times New Roman" w:hAnsi="Times New Roman"/>
                                <w:noProof/>
                              </w:rPr>
                              <w:t xml:space="preserve">: Health Regulation and Complinance Managment </w:t>
                            </w:r>
                            <w:r w:rsidRPr="00941E30">
                              <w:rPr>
                                <w:rFonts w:ascii="Times New Roman" w:hAnsi="Times New Roman"/>
                                <w:noProof/>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CFB785E" id="Text Box 25" o:spid="_x0000_s1029" type="#_x0000_t202" style="position:absolute;left:0;text-align:left;margin-left:400.05pt;margin-top:19.3pt;width:451.25pt;height:12.25pt;z-index:2517012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" stroked="f">
                <v:textbox inset="0,0,0,0">
                  <w:txbxContent>
                    <w:p w:rsidR="00CC75C4" w:rsidRPr="00941E30" w:rsidRDefault="00CC75C4" w:rsidP="00424D19">
                      <w:pPr>
                        <w:pStyle w:val="Caption"/>
                        <w:rPr>
                          <w:rFonts w:ascii="Times New Roman" w:hAnsi="Times New Roman"/>
                          <w:noProof/>
                        </w:rPr>
                      </w:pPr>
                      <w:r>
                        <w:rPr>
                          <w:noProof/>
                        </w:rPr>
                        <w:t xml:space="preserve"> </w:t>
                      </w:r>
                      <w:r w:rsidRPr="00941E30">
                        <w:rPr>
                          <w:rFonts w:ascii="Times New Roman" w:hAnsi="Times New Roman"/>
                          <w:noProof/>
                        </w:rPr>
                        <w:t xml:space="preserve">Table </w:t>
                      </w:r>
                      <w:r>
                        <w:rPr>
                          <w:rFonts w:ascii="Times New Roman" w:hAnsi="Times New Roman"/>
                          <w:noProof/>
                        </w:rPr>
                        <w:t>7</w:t>
                      </w:r>
                      <w:r w:rsidRPr="00941E30">
                        <w:rPr>
                          <w:rFonts w:ascii="Times New Roman" w:hAnsi="Times New Roman"/>
                          <w:noProof/>
                        </w:rPr>
                        <w:t xml:space="preserve">: Health Regulation and Complinance Managment </w:t>
                      </w:r>
                      <w:r w:rsidRPr="00941E30">
                        <w:rPr>
                          <w:rFonts w:ascii="Times New Roman" w:hAnsi="Times New Roman"/>
                          <w:noProof/>
                        </w:rPr>
                        <w:br/>
                      </w:r>
                    </w:p>
                  </w:txbxContent>
                </v:textbox>
                <w10:wrap type="topAndBottom" anchorx="margin"/>
              </v:shape>
            </w:pict>
          </mc:Fallback>
        </mc:AlternateContent>
      </w:r>
    </w:p>
    <w:p w14:paraId="6F18CD14" w14:textId="77777777" w:rsidR="00424D19" w:rsidRPr="00085BAF" w:rsidRDefault="00424D19" w:rsidP="006A253C">
      <w:pPr>
        <w:spacing w:line="360" w:lineRule="auto"/>
        <w:rPr>
          <w:rFonts w:ascii="Times New Roman" w:hAnsi="Times New Roman"/>
          <w:sz w:val="24"/>
          <w:szCs w:val="24"/>
        </w:rPr>
      </w:pPr>
      <w:r w:rsidRPr="00941E30">
        <w:rPr>
          <w:rFonts w:ascii="Times New Roman" w:hAnsi="Times New Roman"/>
        </w:rPr>
        <w:t xml:space="preserve"> </w:t>
      </w:r>
      <w:r w:rsidRPr="00085BAF">
        <w:rPr>
          <w:rFonts w:ascii="Times New Roman" w:hAnsi="Times New Roman"/>
          <w:sz w:val="24"/>
          <w:szCs w:val="24"/>
        </w:rPr>
        <w:t>Programme 6 grows slightly (2.8</w:t>
      </w:r>
      <w:r w:rsidR="00104807">
        <w:rPr>
          <w:rFonts w:ascii="Times New Roman" w:hAnsi="Times New Roman"/>
          <w:sz w:val="24"/>
          <w:szCs w:val="24"/>
        </w:rPr>
        <w:t>%</w:t>
      </w:r>
      <w:r w:rsidRPr="00085BAF">
        <w:rPr>
          <w:rFonts w:ascii="Times New Roman" w:hAnsi="Times New Roman"/>
          <w:sz w:val="24"/>
          <w:szCs w:val="24"/>
        </w:rPr>
        <w:t xml:space="preserve"> in nominal terms) from R1.7 billion to R1.8 billion. </w:t>
      </w:r>
    </w:p>
    <w:p w14:paraId="25805AE0" w14:textId="77777777" w:rsidR="00424D19" w:rsidRPr="0093633A" w:rsidRDefault="00424D19">
      <w:pPr>
        <w:jc w:val="both"/>
        <w:rPr>
          <w:rFonts w:ascii="Times New Roman" w:hAnsi="Times New Roman"/>
          <w:sz w:val="24"/>
          <w:szCs w:val="24"/>
        </w:rPr>
      </w:pPr>
    </w:p>
    <w:p w14:paraId="482AF859" w14:textId="77777777" w:rsidR="00424D19" w:rsidRPr="0093633A" w:rsidRDefault="00CC6505" w:rsidP="00941E30">
      <w:pPr>
        <w:spacing w:line="360" w:lineRule="auto"/>
        <w:jc w:val="both"/>
        <w:rPr>
          <w:rFonts w:ascii="Times New Roman" w:hAnsi="Times New Roman"/>
          <w:sz w:val="24"/>
          <w:szCs w:val="24"/>
        </w:rPr>
      </w:pPr>
      <w:r>
        <w:rPr>
          <w:rFonts w:ascii="Times New Roman" w:hAnsi="Times New Roman"/>
          <w:sz w:val="24"/>
          <w:szCs w:val="24"/>
        </w:rPr>
        <w:t>Budget allocation</w:t>
      </w:r>
      <w:r w:rsidRPr="0093633A">
        <w:rPr>
          <w:rFonts w:ascii="Times New Roman" w:hAnsi="Times New Roman"/>
          <w:sz w:val="24"/>
          <w:szCs w:val="24"/>
        </w:rPr>
        <w:t xml:space="preserve"> </w:t>
      </w:r>
      <w:r w:rsidR="00424D19" w:rsidRPr="0093633A">
        <w:rPr>
          <w:rFonts w:ascii="Times New Roman" w:hAnsi="Times New Roman"/>
          <w:sz w:val="24"/>
          <w:szCs w:val="24"/>
        </w:rPr>
        <w:t xml:space="preserve">under Programme 6 is dominated by the </w:t>
      </w:r>
      <w:r w:rsidR="00424D19" w:rsidRPr="00941E30">
        <w:rPr>
          <w:rFonts w:ascii="Times New Roman" w:hAnsi="Times New Roman"/>
          <w:sz w:val="24"/>
          <w:szCs w:val="24"/>
        </w:rPr>
        <w:t>Public Entities Management</w:t>
      </w:r>
      <w:r w:rsidR="00424D19" w:rsidRPr="00085BAF">
        <w:rPr>
          <w:rFonts w:ascii="Times New Roman" w:hAnsi="Times New Roman"/>
          <w:sz w:val="24"/>
          <w:szCs w:val="24"/>
        </w:rPr>
        <w:t xml:space="preserve"> sub-programme, which receives 94.6</w:t>
      </w:r>
      <w:r w:rsidR="00104807">
        <w:rPr>
          <w:rFonts w:ascii="Times New Roman" w:hAnsi="Times New Roman"/>
          <w:sz w:val="24"/>
          <w:szCs w:val="24"/>
        </w:rPr>
        <w:t>%</w:t>
      </w:r>
      <w:r w:rsidR="00424D19" w:rsidRPr="0093633A">
        <w:rPr>
          <w:rFonts w:ascii="Times New Roman" w:hAnsi="Times New Roman"/>
          <w:sz w:val="24"/>
          <w:szCs w:val="24"/>
        </w:rPr>
        <w:t>, amounting to R1.68 billion. This constitutes a 12.2</w:t>
      </w:r>
      <w:r w:rsidR="00104807">
        <w:rPr>
          <w:rFonts w:ascii="Times New Roman" w:hAnsi="Times New Roman"/>
          <w:sz w:val="24"/>
          <w:szCs w:val="24"/>
        </w:rPr>
        <w:t>%</w:t>
      </w:r>
      <w:r w:rsidR="00424D19" w:rsidRPr="0093633A">
        <w:rPr>
          <w:rFonts w:ascii="Times New Roman" w:hAnsi="Times New Roman"/>
          <w:sz w:val="24"/>
          <w:szCs w:val="24"/>
        </w:rPr>
        <w:t xml:space="preserve"> nominal and 6.4</w:t>
      </w:r>
      <w:r w:rsidR="00104807">
        <w:rPr>
          <w:rFonts w:ascii="Times New Roman" w:hAnsi="Times New Roman"/>
          <w:sz w:val="24"/>
          <w:szCs w:val="24"/>
        </w:rPr>
        <w:t>%</w:t>
      </w:r>
      <w:r w:rsidR="00424D19" w:rsidRPr="0093633A">
        <w:rPr>
          <w:rFonts w:ascii="Times New Roman" w:hAnsi="Times New Roman"/>
          <w:sz w:val="24"/>
          <w:szCs w:val="24"/>
        </w:rPr>
        <w:t xml:space="preserve"> real increase. </w:t>
      </w:r>
      <w:r w:rsidR="001D0478">
        <w:rPr>
          <w:rFonts w:ascii="Times New Roman" w:hAnsi="Times New Roman"/>
          <w:sz w:val="24"/>
          <w:szCs w:val="24"/>
        </w:rPr>
        <w:t>The allocation to</w:t>
      </w:r>
      <w:r w:rsidR="00424D19" w:rsidRPr="0093633A">
        <w:rPr>
          <w:rFonts w:ascii="Times New Roman" w:hAnsi="Times New Roman"/>
          <w:sz w:val="24"/>
          <w:szCs w:val="24"/>
        </w:rPr>
        <w:t xml:space="preserve"> this sub-programme consist of transfers to entities and statutory councils falling within the mandate of health legislation. </w:t>
      </w:r>
    </w:p>
    <w:p w14:paraId="33865848" w14:textId="77777777" w:rsidR="004E2A7C" w:rsidRDefault="004E2A7C" w:rsidP="00941E30">
      <w:pPr>
        <w:jc w:val="both"/>
        <w:rPr>
          <w:rFonts w:ascii="Times New Roman" w:eastAsia="Calibri" w:hAnsi="Times New Roman"/>
          <w:color w:val="auto"/>
          <w:spacing w:val="0"/>
          <w:sz w:val="24"/>
          <w:szCs w:val="24"/>
          <w:lang w:val="en-ZA" w:eastAsia="en-US"/>
        </w:rPr>
      </w:pPr>
    </w:p>
    <w:p w14:paraId="43F595DA" w14:textId="77777777" w:rsidR="005B0C10" w:rsidRPr="0093633A" w:rsidRDefault="005B0C10" w:rsidP="00941E30">
      <w:pPr>
        <w:jc w:val="both"/>
        <w:rPr>
          <w:rFonts w:ascii="Times New Roman" w:eastAsia="Calibri" w:hAnsi="Times New Roman"/>
          <w:color w:val="auto"/>
          <w:spacing w:val="0"/>
          <w:sz w:val="24"/>
          <w:szCs w:val="24"/>
          <w:lang w:val="en-ZA" w:eastAsia="en-US"/>
        </w:rPr>
      </w:pPr>
    </w:p>
    <w:p w14:paraId="3F82A1EA" w14:textId="77777777" w:rsidR="000725E2" w:rsidRPr="0093633A" w:rsidRDefault="00E244FA" w:rsidP="00941E30">
      <w:pPr>
        <w:pStyle w:val="Heading1"/>
        <w:numPr>
          <w:ilvl w:val="0"/>
          <w:numId w:val="80"/>
        </w:numPr>
        <w:jc w:val="both"/>
        <w:rPr>
          <w:rFonts w:ascii="Times New Roman" w:hAnsi="Times New Roman" w:cs="Times New Roman"/>
          <w:color w:val="auto"/>
          <w:sz w:val="24"/>
          <w:szCs w:val="24"/>
          <w:lang w:val="en-US"/>
        </w:rPr>
      </w:pPr>
      <w:r w:rsidRPr="0093633A">
        <w:rPr>
          <w:rFonts w:ascii="Times New Roman" w:hAnsi="Times New Roman" w:cs="Times New Roman"/>
          <w:color w:val="auto"/>
          <w:spacing w:val="0"/>
          <w:sz w:val="24"/>
          <w:szCs w:val="24"/>
          <w:lang w:eastAsia="en-US"/>
        </w:rPr>
        <w:t xml:space="preserve">CONSIDERATION OF </w:t>
      </w:r>
      <w:r w:rsidRPr="0093633A">
        <w:rPr>
          <w:rFonts w:ascii="Times New Roman" w:hAnsi="Times New Roman" w:cs="Times New Roman"/>
          <w:color w:val="auto"/>
          <w:sz w:val="24"/>
          <w:szCs w:val="24"/>
          <w:lang w:val="en-US"/>
        </w:rPr>
        <w:t>THE ANNUAL PERFORMANCE PLANS AND BUD</w:t>
      </w:r>
      <w:r w:rsidR="0070084D" w:rsidRPr="0093633A">
        <w:rPr>
          <w:rFonts w:ascii="Times New Roman" w:hAnsi="Times New Roman" w:cs="Times New Roman"/>
          <w:color w:val="auto"/>
          <w:sz w:val="24"/>
          <w:szCs w:val="24"/>
          <w:lang w:val="en-US"/>
        </w:rPr>
        <w:t>G</w:t>
      </w:r>
      <w:r w:rsidRPr="0093633A">
        <w:rPr>
          <w:rFonts w:ascii="Times New Roman" w:hAnsi="Times New Roman" w:cs="Times New Roman"/>
          <w:color w:val="auto"/>
          <w:sz w:val="24"/>
          <w:szCs w:val="24"/>
          <w:lang w:val="en-US"/>
        </w:rPr>
        <w:t>ET OF ENTITIES</w:t>
      </w:r>
    </w:p>
    <w:p w14:paraId="118A600F" w14:textId="77777777" w:rsidR="00B631CC" w:rsidRDefault="00B631CC" w:rsidP="00085BAF">
      <w:pPr>
        <w:rPr>
          <w:rFonts w:ascii="Times New Roman" w:hAnsi="Times New Roman"/>
          <w:color w:val="auto"/>
          <w:sz w:val="24"/>
          <w:szCs w:val="24"/>
          <w:lang w:val="en-US" w:eastAsia="en-US"/>
        </w:rPr>
      </w:pPr>
    </w:p>
    <w:p w14:paraId="0493CEF5" w14:textId="77777777" w:rsidR="00805293" w:rsidRDefault="00B631CC" w:rsidP="00941E30">
      <w:pPr>
        <w:spacing w:line="360" w:lineRule="auto"/>
        <w:rPr>
          <w:rFonts w:ascii="Times New Roman" w:hAnsi="Times New Roman"/>
          <w:color w:val="auto"/>
          <w:sz w:val="24"/>
          <w:szCs w:val="24"/>
          <w:lang w:val="en-US" w:eastAsia="en-US"/>
        </w:rPr>
      </w:pPr>
      <w:r>
        <w:rPr>
          <w:rFonts w:ascii="Times New Roman" w:hAnsi="Times New Roman"/>
          <w:color w:val="auto"/>
          <w:sz w:val="24"/>
          <w:szCs w:val="24"/>
          <w:lang w:val="en-US" w:eastAsia="en-US"/>
        </w:rPr>
        <w:t>The Committee consid</w:t>
      </w:r>
      <w:r w:rsidR="004C69B3">
        <w:rPr>
          <w:rFonts w:ascii="Times New Roman" w:hAnsi="Times New Roman"/>
          <w:color w:val="auto"/>
          <w:sz w:val="24"/>
          <w:szCs w:val="24"/>
          <w:lang w:val="en-US" w:eastAsia="en-US"/>
        </w:rPr>
        <w:t xml:space="preserve">ered the </w:t>
      </w:r>
      <w:r w:rsidR="00726E47">
        <w:rPr>
          <w:rFonts w:ascii="Times New Roman" w:hAnsi="Times New Roman"/>
          <w:color w:val="auto"/>
          <w:sz w:val="24"/>
          <w:szCs w:val="24"/>
          <w:lang w:val="en-US" w:eastAsia="en-US"/>
        </w:rPr>
        <w:t xml:space="preserve">revised strategic plans, </w:t>
      </w:r>
      <w:r w:rsidR="004C69B3">
        <w:rPr>
          <w:rFonts w:ascii="Times New Roman" w:hAnsi="Times New Roman"/>
          <w:color w:val="auto"/>
          <w:sz w:val="24"/>
          <w:szCs w:val="24"/>
          <w:lang w:val="en-US" w:eastAsia="en-US"/>
        </w:rPr>
        <w:t xml:space="preserve">APPs and budget of </w:t>
      </w:r>
      <w:r w:rsidR="00853D3D">
        <w:rPr>
          <w:rFonts w:ascii="Times New Roman" w:hAnsi="Times New Roman"/>
          <w:color w:val="auto"/>
          <w:sz w:val="24"/>
          <w:szCs w:val="24"/>
          <w:lang w:val="en-US" w:eastAsia="en-US"/>
        </w:rPr>
        <w:t>six</w:t>
      </w:r>
      <w:r>
        <w:rPr>
          <w:rFonts w:ascii="Times New Roman" w:hAnsi="Times New Roman"/>
          <w:color w:val="auto"/>
          <w:sz w:val="24"/>
          <w:szCs w:val="24"/>
          <w:lang w:val="en-US" w:eastAsia="en-US"/>
        </w:rPr>
        <w:t xml:space="preserve"> entities and reports as follows:</w:t>
      </w:r>
    </w:p>
    <w:p w14:paraId="357746A0" w14:textId="77777777" w:rsidR="00726E47" w:rsidRPr="0093633A" w:rsidRDefault="00726E47" w:rsidP="00085BAF">
      <w:pPr>
        <w:rPr>
          <w:rFonts w:ascii="Times New Roman" w:hAnsi="Times New Roman"/>
          <w:color w:val="auto"/>
          <w:sz w:val="24"/>
          <w:szCs w:val="24"/>
          <w:lang w:val="en-US" w:eastAsia="en-US"/>
        </w:rPr>
      </w:pPr>
    </w:p>
    <w:p w14:paraId="3BDD35C0" w14:textId="77777777" w:rsidR="00F44126" w:rsidRPr="00941E30" w:rsidRDefault="0093633A" w:rsidP="00941E30">
      <w:pPr>
        <w:pStyle w:val="Heading1"/>
        <w:numPr>
          <w:ilvl w:val="1"/>
          <w:numId w:val="90"/>
        </w:numPr>
        <w:shd w:val="clear" w:color="auto" w:fill="D9D9D9" w:themeFill="background1" w:themeFillShade="D9"/>
        <w:rPr>
          <w:rFonts w:ascii="Times New Roman" w:hAnsi="Times New Roman"/>
          <w:b w:val="0"/>
          <w:bCs w:val="0"/>
          <w:kern w:val="0"/>
          <w:lang w:eastAsia="en-US"/>
        </w:rPr>
      </w:pPr>
      <w:r w:rsidRPr="00941E30">
        <w:rPr>
          <w:rFonts w:ascii="Times New Roman" w:hAnsi="Times New Roman"/>
          <w:sz w:val="24"/>
          <w:lang w:eastAsia="en-US"/>
        </w:rPr>
        <w:t xml:space="preserve">South African Health Products Regulatory Authority </w:t>
      </w:r>
    </w:p>
    <w:p w14:paraId="3063E77C" w14:textId="77777777" w:rsidR="0093633A" w:rsidRDefault="0093633A" w:rsidP="00941E30">
      <w:pPr>
        <w:pStyle w:val="Heading2"/>
        <w:numPr>
          <w:ilvl w:val="0"/>
          <w:numId w:val="0"/>
        </w:numPr>
        <w:jc w:val="both"/>
        <w:rPr>
          <w:rFonts w:ascii="Times New Roman" w:hAnsi="Times New Roman" w:cs="Times New Roman"/>
          <w:sz w:val="24"/>
          <w:szCs w:val="24"/>
        </w:rPr>
      </w:pPr>
    </w:p>
    <w:p w14:paraId="03B446A2" w14:textId="77777777" w:rsidR="00535363" w:rsidRPr="0093633A" w:rsidRDefault="00535363"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 South African Health Products Regulatory Authority (SAHPRA) came into being on </w:t>
      </w:r>
      <w:r w:rsidR="005D04BA">
        <w:rPr>
          <w:rFonts w:ascii="Times New Roman" w:hAnsi="Times New Roman"/>
          <w:sz w:val="24"/>
          <w:szCs w:val="24"/>
        </w:rPr>
        <w:t>0</w:t>
      </w:r>
      <w:r w:rsidRPr="0093633A">
        <w:rPr>
          <w:rFonts w:ascii="Times New Roman" w:hAnsi="Times New Roman"/>
          <w:sz w:val="24"/>
          <w:szCs w:val="24"/>
        </w:rPr>
        <w:t>1</w:t>
      </w:r>
      <w:r w:rsidR="005D04BA">
        <w:rPr>
          <w:rFonts w:ascii="Times New Roman" w:hAnsi="Times New Roman"/>
          <w:sz w:val="24"/>
          <w:szCs w:val="24"/>
        </w:rPr>
        <w:t xml:space="preserve"> </w:t>
      </w:r>
      <w:r w:rsidRPr="0093633A">
        <w:rPr>
          <w:rFonts w:ascii="Times New Roman" w:hAnsi="Times New Roman"/>
          <w:sz w:val="24"/>
          <w:szCs w:val="24"/>
        </w:rPr>
        <w:t>February 2018 after the Medicines and Control Council (MCC) was dissolved.  The Medicines and Related Substances Act, (No.</w:t>
      </w:r>
      <w:r w:rsidR="00B631CC">
        <w:rPr>
          <w:rFonts w:ascii="Times New Roman" w:hAnsi="Times New Roman"/>
          <w:sz w:val="24"/>
          <w:szCs w:val="24"/>
        </w:rPr>
        <w:t xml:space="preserve"> </w:t>
      </w:r>
      <w:r w:rsidRPr="0093633A">
        <w:rPr>
          <w:rFonts w:ascii="Times New Roman" w:hAnsi="Times New Roman"/>
          <w:sz w:val="24"/>
          <w:szCs w:val="24"/>
        </w:rPr>
        <w:t xml:space="preserve">101 of 1965), (as amended by Act 72 of 2008, together with Act 14 of 2015), provides for the establishment of SAHPRA, a Schedule 3A public entity, which will operate as a separate juristic entity, outside of the National Department of Health. SAHPRA will be responsible for monitoring, evaluation, regulation, investigation, inspection, registration and control of medicines, scheduled substances, clinical trials, medical devices and related matters in the public interest. </w:t>
      </w:r>
    </w:p>
    <w:p w14:paraId="36066C60" w14:textId="77777777" w:rsidR="00535363" w:rsidRPr="0093633A" w:rsidRDefault="00535363" w:rsidP="00941E30">
      <w:pPr>
        <w:spacing w:line="360" w:lineRule="auto"/>
        <w:jc w:val="both"/>
        <w:rPr>
          <w:rFonts w:ascii="Times New Roman" w:hAnsi="Times New Roman"/>
          <w:sz w:val="24"/>
          <w:szCs w:val="24"/>
        </w:rPr>
      </w:pPr>
    </w:p>
    <w:p w14:paraId="2F786935" w14:textId="77777777" w:rsidR="00204307" w:rsidRPr="0093633A" w:rsidRDefault="00535363" w:rsidP="00941E30">
      <w:pPr>
        <w:spacing w:line="360" w:lineRule="auto"/>
        <w:jc w:val="both"/>
        <w:rPr>
          <w:rFonts w:ascii="Times New Roman" w:hAnsi="Times New Roman"/>
          <w:sz w:val="24"/>
          <w:szCs w:val="24"/>
        </w:rPr>
      </w:pPr>
      <w:r w:rsidRPr="0093633A">
        <w:rPr>
          <w:rFonts w:ascii="Times New Roman" w:hAnsi="Times New Roman"/>
          <w:sz w:val="24"/>
          <w:szCs w:val="24"/>
        </w:rPr>
        <w:t>The new SAHPRA legislation aligns South Africa with other international regulatory authorities and is designed to support a regulatory framework that addresses the changing needs of the South African public. The Authority aims to become more transparent with better accountability and communication to all its stakeholders, including civil society and the general public, health-care professionals, academia and industry.</w:t>
      </w:r>
    </w:p>
    <w:p w14:paraId="3968D0EC" w14:textId="77777777" w:rsidR="00F44126" w:rsidRPr="0093633A" w:rsidRDefault="00F44126">
      <w:pPr>
        <w:jc w:val="both"/>
        <w:rPr>
          <w:rFonts w:ascii="Times New Roman" w:hAnsi="Times New Roman"/>
          <w:sz w:val="24"/>
          <w:szCs w:val="24"/>
        </w:rPr>
      </w:pPr>
    </w:p>
    <w:p w14:paraId="0523D032" w14:textId="77777777" w:rsidR="00F44126" w:rsidRPr="0093633A" w:rsidRDefault="00F44126" w:rsidP="00941E30">
      <w:pPr>
        <w:pStyle w:val="Heading2"/>
        <w:numPr>
          <w:ilvl w:val="0"/>
          <w:numId w:val="0"/>
        </w:numPr>
        <w:jc w:val="both"/>
        <w:rPr>
          <w:rFonts w:ascii="Times New Roman" w:hAnsi="Times New Roman" w:cs="Times New Roman"/>
          <w:sz w:val="24"/>
          <w:szCs w:val="24"/>
        </w:rPr>
      </w:pPr>
      <w:r w:rsidRPr="0093633A">
        <w:rPr>
          <w:rFonts w:ascii="Times New Roman" w:hAnsi="Times New Roman" w:cs="Times New Roman"/>
          <w:sz w:val="24"/>
          <w:szCs w:val="24"/>
        </w:rPr>
        <w:t xml:space="preserve">Situational Analysis </w:t>
      </w:r>
    </w:p>
    <w:p w14:paraId="49F6B534" w14:textId="77777777" w:rsidR="00F44126" w:rsidRPr="0093633A" w:rsidRDefault="00F44126" w:rsidP="00085BAF">
      <w:pPr>
        <w:jc w:val="both"/>
        <w:rPr>
          <w:rFonts w:ascii="Times New Roman" w:hAnsi="Times New Roman"/>
          <w:sz w:val="24"/>
          <w:szCs w:val="24"/>
        </w:rPr>
      </w:pPr>
    </w:p>
    <w:p w14:paraId="189257B9" w14:textId="77777777" w:rsidR="00F44126" w:rsidRPr="0093633A" w:rsidRDefault="00F44126"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SAHPRA recognises a number of key areas which would affect its performance. This includes amongst others: </w:t>
      </w:r>
    </w:p>
    <w:p w14:paraId="413C00CA" w14:textId="77777777" w:rsidR="00F44126" w:rsidRDefault="00F44126">
      <w:pPr>
        <w:jc w:val="both"/>
        <w:rPr>
          <w:rFonts w:ascii="Times New Roman" w:hAnsi="Times New Roman"/>
          <w:sz w:val="24"/>
          <w:szCs w:val="24"/>
        </w:rPr>
      </w:pPr>
    </w:p>
    <w:p w14:paraId="35F72225" w14:textId="77777777" w:rsidR="008C6699" w:rsidRPr="00941E30" w:rsidRDefault="00F44126" w:rsidP="00941E30">
      <w:pPr>
        <w:spacing w:line="360" w:lineRule="auto"/>
        <w:jc w:val="both"/>
        <w:rPr>
          <w:rFonts w:ascii="Times New Roman" w:hAnsi="Times New Roman"/>
          <w:sz w:val="24"/>
          <w:szCs w:val="24"/>
          <w:lang w:val="en-ZA"/>
        </w:rPr>
      </w:pPr>
      <w:r w:rsidRPr="00941E30">
        <w:rPr>
          <w:rFonts w:ascii="Times New Roman" w:hAnsi="Times New Roman"/>
          <w:sz w:val="24"/>
          <w:szCs w:val="24"/>
        </w:rPr>
        <w:t>Backlogs in Medicines Registration Applications:</w:t>
      </w:r>
      <w:r w:rsidRPr="008C6699">
        <w:rPr>
          <w:rFonts w:ascii="Times New Roman" w:hAnsi="Times New Roman"/>
          <w:sz w:val="24"/>
          <w:szCs w:val="24"/>
        </w:rPr>
        <w:t xml:space="preserve"> </w:t>
      </w:r>
    </w:p>
    <w:p w14:paraId="64E5BA55" w14:textId="77777777" w:rsidR="002B501C" w:rsidRPr="008C6699" w:rsidRDefault="00FF37C8">
      <w:pPr>
        <w:numPr>
          <w:ilvl w:val="0"/>
          <w:numId w:val="33"/>
        </w:numPr>
        <w:spacing w:line="360" w:lineRule="auto"/>
        <w:jc w:val="both"/>
        <w:rPr>
          <w:rFonts w:ascii="Times New Roman" w:hAnsi="Times New Roman"/>
          <w:sz w:val="24"/>
          <w:szCs w:val="24"/>
          <w:lang w:val="en-ZA"/>
        </w:rPr>
      </w:pPr>
      <w:r w:rsidRPr="008C6699">
        <w:rPr>
          <w:rFonts w:ascii="Times New Roman" w:hAnsi="Times New Roman"/>
          <w:sz w:val="24"/>
          <w:szCs w:val="24"/>
          <w:lang w:val="en-ZA"/>
        </w:rPr>
        <w:t xml:space="preserve">The SAHPRA Board has established a Technical Operations and Regulatory Strategy (TORS) Committee with a mandate to develop an integrated plan to address the backlog using approaches that will </w:t>
      </w:r>
      <w:r w:rsidRPr="008C6699">
        <w:rPr>
          <w:rFonts w:ascii="Times New Roman" w:hAnsi="Times New Roman"/>
          <w:sz w:val="24"/>
          <w:szCs w:val="24"/>
          <w:lang w:val="en-US"/>
        </w:rPr>
        <w:t xml:space="preserve">allow regulatory assessment of all products in a defined, achievable but ambitious timeline. </w:t>
      </w:r>
    </w:p>
    <w:p w14:paraId="5C2A475D" w14:textId="77777777" w:rsidR="002B501C" w:rsidRPr="008C6699" w:rsidRDefault="00FF37C8" w:rsidP="008C6699">
      <w:pPr>
        <w:numPr>
          <w:ilvl w:val="0"/>
          <w:numId w:val="33"/>
        </w:numPr>
        <w:spacing w:line="360" w:lineRule="auto"/>
        <w:jc w:val="both"/>
        <w:rPr>
          <w:rFonts w:ascii="Times New Roman" w:hAnsi="Times New Roman"/>
          <w:sz w:val="24"/>
          <w:szCs w:val="24"/>
          <w:lang w:val="en-ZA"/>
        </w:rPr>
      </w:pPr>
      <w:r w:rsidRPr="008C6699">
        <w:rPr>
          <w:rFonts w:ascii="Times New Roman" w:hAnsi="Times New Roman"/>
          <w:sz w:val="24"/>
          <w:szCs w:val="24"/>
          <w:lang w:val="en-US"/>
        </w:rPr>
        <w:t xml:space="preserve">This </w:t>
      </w:r>
      <w:r w:rsidRPr="008C6699">
        <w:rPr>
          <w:rFonts w:ascii="Times New Roman" w:hAnsi="Times New Roman"/>
          <w:sz w:val="24"/>
          <w:szCs w:val="24"/>
          <w:lang w:val="en-ZA"/>
        </w:rPr>
        <w:t xml:space="preserve">work </w:t>
      </w:r>
      <w:r w:rsidRPr="008C6699">
        <w:rPr>
          <w:rFonts w:ascii="Times New Roman" w:hAnsi="Times New Roman"/>
          <w:sz w:val="24"/>
          <w:szCs w:val="24"/>
          <w:lang w:val="en-US"/>
        </w:rPr>
        <w:t xml:space="preserve">will be financed from the envisaged increase in revenue generated through increased fees. The new fee structure will be a departure from the historical fees charged in the MCC era, </w:t>
      </w:r>
      <w:r w:rsidRPr="008C6699">
        <w:rPr>
          <w:rFonts w:ascii="Times New Roman" w:hAnsi="Times New Roman"/>
          <w:sz w:val="24"/>
          <w:szCs w:val="24"/>
          <w:lang w:val="en-ZA"/>
        </w:rPr>
        <w:t xml:space="preserve">and will enable </w:t>
      </w:r>
      <w:r w:rsidRPr="008C6699">
        <w:rPr>
          <w:rFonts w:ascii="Times New Roman" w:hAnsi="Times New Roman"/>
          <w:sz w:val="24"/>
          <w:szCs w:val="24"/>
          <w:lang w:val="en-US"/>
        </w:rPr>
        <w:t xml:space="preserve">establishment of a bold, refocused operational framework. </w:t>
      </w:r>
    </w:p>
    <w:p w14:paraId="5D00979F" w14:textId="77777777" w:rsidR="008C6699" w:rsidRDefault="00F44126" w:rsidP="00941E30">
      <w:pPr>
        <w:numPr>
          <w:ilvl w:val="0"/>
          <w:numId w:val="33"/>
        </w:numPr>
        <w:spacing w:line="360" w:lineRule="auto"/>
        <w:jc w:val="both"/>
        <w:rPr>
          <w:rFonts w:ascii="Times New Roman" w:hAnsi="Times New Roman"/>
          <w:sz w:val="24"/>
          <w:szCs w:val="24"/>
        </w:rPr>
      </w:pPr>
      <w:r w:rsidRPr="008C6699">
        <w:rPr>
          <w:rFonts w:ascii="Times New Roman" w:hAnsi="Times New Roman"/>
          <w:sz w:val="24"/>
          <w:szCs w:val="24"/>
        </w:rPr>
        <w:t xml:space="preserve">Post registration </w:t>
      </w:r>
      <w:r w:rsidRPr="00941E30">
        <w:rPr>
          <w:rFonts w:ascii="Times New Roman" w:hAnsi="Times New Roman"/>
          <w:sz w:val="24"/>
          <w:szCs w:val="24"/>
        </w:rPr>
        <w:t>amendments to packaging information</w:t>
      </w:r>
      <w:r w:rsidRPr="008C6699">
        <w:rPr>
          <w:rFonts w:ascii="Times New Roman" w:hAnsi="Times New Roman"/>
          <w:sz w:val="24"/>
          <w:szCs w:val="24"/>
        </w:rPr>
        <w:t xml:space="preserve"> etc. remains a significant cause of backlogs. This requires more technical evaluators to handle the volume of requests. Currently, </w:t>
      </w:r>
      <w:r w:rsidRPr="00941E30">
        <w:rPr>
          <w:rFonts w:ascii="Times New Roman" w:hAnsi="Times New Roman"/>
          <w:sz w:val="24"/>
          <w:szCs w:val="24"/>
        </w:rPr>
        <w:t>very few full-time in-house staff work as evaluators</w:t>
      </w:r>
      <w:r w:rsidRPr="008C6699">
        <w:rPr>
          <w:rFonts w:ascii="Times New Roman" w:hAnsi="Times New Roman"/>
          <w:sz w:val="24"/>
          <w:szCs w:val="24"/>
        </w:rPr>
        <w:t>.</w:t>
      </w:r>
    </w:p>
    <w:p w14:paraId="7AC58A9F" w14:textId="77777777" w:rsidR="008C6699" w:rsidRDefault="008C6699" w:rsidP="00941E30">
      <w:pPr>
        <w:ind w:left="720"/>
        <w:jc w:val="both"/>
        <w:rPr>
          <w:rFonts w:ascii="Times New Roman" w:hAnsi="Times New Roman"/>
          <w:sz w:val="24"/>
          <w:szCs w:val="24"/>
        </w:rPr>
      </w:pPr>
    </w:p>
    <w:p w14:paraId="0763EA21" w14:textId="77777777" w:rsidR="008C6699" w:rsidRDefault="00F44126" w:rsidP="003A46DA">
      <w:pPr>
        <w:spacing w:line="360" w:lineRule="auto"/>
        <w:jc w:val="both"/>
        <w:rPr>
          <w:rFonts w:ascii="Times New Roman" w:hAnsi="Times New Roman"/>
          <w:sz w:val="24"/>
          <w:szCs w:val="24"/>
        </w:rPr>
      </w:pPr>
      <w:r w:rsidRPr="00941E30">
        <w:rPr>
          <w:rFonts w:ascii="Times New Roman" w:hAnsi="Times New Roman"/>
          <w:sz w:val="24"/>
          <w:szCs w:val="24"/>
        </w:rPr>
        <w:t>Medical devices</w:t>
      </w:r>
      <w:r w:rsidR="008C6699">
        <w:rPr>
          <w:rFonts w:ascii="Times New Roman" w:hAnsi="Times New Roman"/>
          <w:sz w:val="24"/>
          <w:szCs w:val="24"/>
        </w:rPr>
        <w:t xml:space="preserve">: </w:t>
      </w:r>
      <w:r w:rsidRPr="00085BAF">
        <w:rPr>
          <w:rFonts w:ascii="Times New Roman" w:hAnsi="Times New Roman"/>
          <w:sz w:val="24"/>
          <w:szCs w:val="24"/>
        </w:rPr>
        <w:t xml:space="preserve"> </w:t>
      </w:r>
    </w:p>
    <w:p w14:paraId="1F19AAEA" w14:textId="77777777" w:rsidR="001A2FDE" w:rsidRDefault="00F44126" w:rsidP="00941E30">
      <w:pPr>
        <w:numPr>
          <w:ilvl w:val="0"/>
          <w:numId w:val="33"/>
        </w:numPr>
        <w:spacing w:line="360" w:lineRule="auto"/>
        <w:jc w:val="both"/>
        <w:rPr>
          <w:rFonts w:ascii="Times New Roman" w:hAnsi="Times New Roman"/>
          <w:sz w:val="24"/>
          <w:szCs w:val="24"/>
        </w:rPr>
      </w:pPr>
      <w:r w:rsidRPr="00085BAF">
        <w:rPr>
          <w:rFonts w:ascii="Times New Roman" w:hAnsi="Times New Roman"/>
          <w:sz w:val="24"/>
          <w:szCs w:val="24"/>
        </w:rPr>
        <w:t xml:space="preserve">There </w:t>
      </w:r>
      <w:r w:rsidR="001A2FDE" w:rsidRPr="00085BAF">
        <w:rPr>
          <w:rFonts w:ascii="Times New Roman" w:hAnsi="Times New Roman"/>
          <w:sz w:val="24"/>
          <w:szCs w:val="24"/>
        </w:rPr>
        <w:t>ha</w:t>
      </w:r>
      <w:r w:rsidR="001A2FDE">
        <w:rPr>
          <w:rFonts w:ascii="Times New Roman" w:hAnsi="Times New Roman"/>
          <w:sz w:val="24"/>
          <w:szCs w:val="24"/>
        </w:rPr>
        <w:t xml:space="preserve">s </w:t>
      </w:r>
      <w:r w:rsidRPr="00085BAF">
        <w:rPr>
          <w:rFonts w:ascii="Times New Roman" w:hAnsi="Times New Roman"/>
          <w:sz w:val="24"/>
          <w:szCs w:val="24"/>
        </w:rPr>
        <w:t xml:space="preserve">been over </w:t>
      </w:r>
      <w:r w:rsidR="001A2FDE">
        <w:rPr>
          <w:rFonts w:ascii="Times New Roman" w:hAnsi="Times New Roman"/>
          <w:sz w:val="24"/>
          <w:szCs w:val="24"/>
        </w:rPr>
        <w:t>1000</w:t>
      </w:r>
      <w:r w:rsidRPr="00085BAF">
        <w:rPr>
          <w:rFonts w:ascii="Times New Roman" w:hAnsi="Times New Roman"/>
          <w:sz w:val="24"/>
          <w:szCs w:val="24"/>
        </w:rPr>
        <w:t xml:space="preserve"> applications for establishment licences to date, and there is currently insufficient capacity to deal with the registration of medical devic</w:t>
      </w:r>
      <w:r w:rsidRPr="00162B1A">
        <w:rPr>
          <w:rFonts w:ascii="Times New Roman" w:hAnsi="Times New Roman"/>
          <w:sz w:val="24"/>
          <w:szCs w:val="24"/>
        </w:rPr>
        <w:t xml:space="preserve">es. </w:t>
      </w:r>
    </w:p>
    <w:p w14:paraId="36BE8BF4" w14:textId="77777777" w:rsidR="00F44126" w:rsidRDefault="00F44126" w:rsidP="00941E30">
      <w:pPr>
        <w:numPr>
          <w:ilvl w:val="0"/>
          <w:numId w:val="33"/>
        </w:numPr>
        <w:spacing w:line="360" w:lineRule="auto"/>
        <w:jc w:val="both"/>
        <w:rPr>
          <w:rFonts w:ascii="Times New Roman" w:hAnsi="Times New Roman"/>
          <w:sz w:val="24"/>
          <w:szCs w:val="24"/>
        </w:rPr>
      </w:pPr>
      <w:r w:rsidRPr="00162B1A">
        <w:rPr>
          <w:rFonts w:ascii="Times New Roman" w:hAnsi="Times New Roman"/>
          <w:sz w:val="24"/>
          <w:szCs w:val="24"/>
        </w:rPr>
        <w:t xml:space="preserve">The inspection and registration of these products would likely be conducted by identified conformity assessment bodies accredited by the South African National Accreditation System (SANAS). </w:t>
      </w:r>
    </w:p>
    <w:p w14:paraId="470BEB47" w14:textId="77777777" w:rsidR="008C6699" w:rsidRDefault="008C6699" w:rsidP="00941E30">
      <w:pPr>
        <w:ind w:left="720"/>
        <w:jc w:val="both"/>
        <w:rPr>
          <w:rFonts w:ascii="Times New Roman" w:hAnsi="Times New Roman"/>
          <w:sz w:val="24"/>
          <w:szCs w:val="24"/>
        </w:rPr>
      </w:pPr>
    </w:p>
    <w:p w14:paraId="2F4DE241" w14:textId="77777777" w:rsidR="008C6699" w:rsidRDefault="00F44126" w:rsidP="003A46DA">
      <w:pPr>
        <w:spacing w:line="360" w:lineRule="auto"/>
        <w:jc w:val="both"/>
        <w:rPr>
          <w:rFonts w:ascii="Times New Roman" w:hAnsi="Times New Roman"/>
          <w:sz w:val="24"/>
          <w:szCs w:val="24"/>
        </w:rPr>
      </w:pPr>
      <w:r w:rsidRPr="00941E30">
        <w:rPr>
          <w:rFonts w:ascii="Times New Roman" w:hAnsi="Times New Roman"/>
          <w:sz w:val="24"/>
          <w:szCs w:val="24"/>
        </w:rPr>
        <w:t>The regulation and control of Active Pharmaceutical Ingredients (API)</w:t>
      </w:r>
      <w:r w:rsidR="008C6699">
        <w:rPr>
          <w:rFonts w:ascii="Times New Roman" w:hAnsi="Times New Roman"/>
          <w:sz w:val="24"/>
          <w:szCs w:val="24"/>
        </w:rPr>
        <w:t>:</w:t>
      </w:r>
    </w:p>
    <w:p w14:paraId="59ED9AD3" w14:textId="77777777" w:rsidR="002B501C" w:rsidRPr="008C6699" w:rsidRDefault="00F44126" w:rsidP="008C6699">
      <w:pPr>
        <w:numPr>
          <w:ilvl w:val="0"/>
          <w:numId w:val="33"/>
        </w:numPr>
        <w:spacing w:line="360" w:lineRule="auto"/>
        <w:rPr>
          <w:rFonts w:ascii="Times New Roman" w:hAnsi="Times New Roman"/>
          <w:sz w:val="24"/>
          <w:szCs w:val="24"/>
          <w:lang w:val="en-ZA"/>
        </w:rPr>
      </w:pPr>
      <w:r w:rsidRPr="00941E30">
        <w:rPr>
          <w:rFonts w:ascii="Times New Roman" w:hAnsi="Times New Roman"/>
          <w:sz w:val="24"/>
          <w:szCs w:val="24"/>
        </w:rPr>
        <w:t xml:space="preserve"> </w:t>
      </w:r>
      <w:r w:rsidR="00FF37C8" w:rsidRPr="008C6699">
        <w:rPr>
          <w:rFonts w:ascii="Times New Roman" w:hAnsi="Times New Roman"/>
          <w:sz w:val="24"/>
          <w:szCs w:val="24"/>
          <w:lang w:val="en-ZA"/>
        </w:rPr>
        <w:t xml:space="preserve">Local production of APls is limited currently and experience in the inspection of API facilities needs to be improved.  </w:t>
      </w:r>
    </w:p>
    <w:p w14:paraId="0B5967DF" w14:textId="77777777" w:rsidR="002B501C" w:rsidRPr="008C6699" w:rsidRDefault="00FF37C8" w:rsidP="008C6699">
      <w:pPr>
        <w:numPr>
          <w:ilvl w:val="0"/>
          <w:numId w:val="33"/>
        </w:numPr>
        <w:tabs>
          <w:tab w:val="num" w:pos="720"/>
        </w:tabs>
        <w:spacing w:line="360" w:lineRule="auto"/>
        <w:jc w:val="both"/>
        <w:rPr>
          <w:rFonts w:ascii="Times New Roman" w:hAnsi="Times New Roman"/>
          <w:sz w:val="24"/>
          <w:szCs w:val="24"/>
          <w:lang w:val="en-ZA"/>
        </w:rPr>
      </w:pPr>
      <w:r w:rsidRPr="008C6699">
        <w:rPr>
          <w:rFonts w:ascii="Times New Roman" w:hAnsi="Times New Roman"/>
          <w:sz w:val="24"/>
          <w:szCs w:val="24"/>
          <w:lang w:val="en-ZA"/>
        </w:rPr>
        <w:t>Key initiatives to strengthen the capacity of inspectors to support inspections and assessment of API manufacturing sites are being implemented, including participation in international networks to ensure harmonization of API requirements.</w:t>
      </w:r>
    </w:p>
    <w:p w14:paraId="7FF299F8" w14:textId="77777777" w:rsidR="008F0730" w:rsidRPr="0093633A" w:rsidRDefault="008F0730">
      <w:pPr>
        <w:jc w:val="both"/>
        <w:rPr>
          <w:rFonts w:ascii="Times New Roman" w:hAnsi="Times New Roman"/>
          <w:sz w:val="24"/>
          <w:szCs w:val="24"/>
        </w:rPr>
      </w:pPr>
    </w:p>
    <w:p w14:paraId="1909B5A2" w14:textId="77777777" w:rsidR="004C69B3" w:rsidRDefault="006B5BC5" w:rsidP="00941E30">
      <w:pPr>
        <w:rPr>
          <w:rFonts w:ascii="Times New Roman" w:hAnsi="Times New Roman"/>
          <w:color w:val="auto"/>
          <w:kern w:val="32"/>
          <w:sz w:val="24"/>
          <w:szCs w:val="24"/>
        </w:rPr>
      </w:pPr>
      <w:r w:rsidRPr="00941E30">
        <w:rPr>
          <w:rFonts w:ascii="Times New Roman" w:hAnsi="Times New Roman"/>
          <w:b/>
          <w:bCs/>
          <w:color w:val="auto"/>
          <w:kern w:val="32"/>
          <w:sz w:val="24"/>
          <w:szCs w:val="24"/>
        </w:rPr>
        <w:t>Annual Performance Indicators for 2018/19</w:t>
      </w:r>
    </w:p>
    <w:p w14:paraId="2489C91E" w14:textId="77777777" w:rsidR="001C4E71" w:rsidRPr="00941E30" w:rsidRDefault="001C4E71" w:rsidP="00941E30">
      <w:pPr>
        <w:rPr>
          <w:color w:val="auto"/>
        </w:rPr>
      </w:pPr>
    </w:p>
    <w:p w14:paraId="54F53F64" w14:textId="77777777" w:rsidR="001C4E71" w:rsidRDefault="001C4E71" w:rsidP="001C4E71">
      <w:pPr>
        <w:autoSpaceDE w:val="0"/>
        <w:autoSpaceDN w:val="0"/>
        <w:adjustRightInd w:val="0"/>
        <w:spacing w:line="360" w:lineRule="auto"/>
        <w:jc w:val="both"/>
        <w:rPr>
          <w:rFonts w:ascii="Times New Roman" w:hAnsi="Times New Roman"/>
          <w:bCs/>
          <w:color w:val="000000"/>
          <w:sz w:val="24"/>
          <w:szCs w:val="24"/>
          <w:lang w:val="en-ZA" w:eastAsia="en-ZA"/>
        </w:rPr>
      </w:pPr>
      <w:r w:rsidRPr="0093633A">
        <w:rPr>
          <w:rFonts w:ascii="Times New Roman" w:hAnsi="Times New Roman"/>
          <w:bCs/>
          <w:color w:val="000000"/>
          <w:sz w:val="24"/>
          <w:szCs w:val="24"/>
          <w:lang w:val="en-ZA" w:eastAsia="en-ZA"/>
        </w:rPr>
        <w:t xml:space="preserve">The table below highlights some of the annual performance indicators of </w:t>
      </w:r>
      <w:r>
        <w:rPr>
          <w:rFonts w:ascii="Times New Roman" w:hAnsi="Times New Roman"/>
          <w:bCs/>
          <w:color w:val="000000"/>
          <w:sz w:val="24"/>
          <w:szCs w:val="24"/>
          <w:lang w:val="en-ZA" w:eastAsia="en-ZA"/>
        </w:rPr>
        <w:t>SAHPRA for 2018/19 financial year.</w:t>
      </w:r>
      <w:r w:rsidRPr="0093633A">
        <w:rPr>
          <w:rFonts w:ascii="Times New Roman" w:hAnsi="Times New Roman"/>
          <w:bCs/>
          <w:color w:val="000000"/>
          <w:sz w:val="24"/>
          <w:szCs w:val="24"/>
          <w:lang w:val="en-ZA" w:eastAsia="en-ZA"/>
        </w:rPr>
        <w:t xml:space="preserve">  </w:t>
      </w:r>
    </w:p>
    <w:p w14:paraId="5F8DC1B5" w14:textId="77777777" w:rsidR="006A253C" w:rsidRPr="0093633A" w:rsidRDefault="006A253C" w:rsidP="00DB5E8C">
      <w:pPr>
        <w:autoSpaceDE w:val="0"/>
        <w:autoSpaceDN w:val="0"/>
        <w:adjustRightInd w:val="0"/>
        <w:jc w:val="both"/>
        <w:rPr>
          <w:rFonts w:ascii="Times New Roman" w:hAnsi="Times New Roman"/>
          <w:bCs/>
          <w:color w:val="000000"/>
          <w:sz w:val="24"/>
          <w:szCs w:val="24"/>
          <w:lang w:val="en-ZA" w:eastAsia="en-ZA"/>
        </w:rPr>
      </w:pPr>
    </w:p>
    <w:p w14:paraId="5C4D298C" w14:textId="77777777" w:rsidR="00DB5E8C" w:rsidRPr="00DB5E8C" w:rsidRDefault="00DB5E8C" w:rsidP="00DB5E8C">
      <w:pPr>
        <w:spacing w:after="120"/>
        <w:jc w:val="both"/>
        <w:rPr>
          <w:rFonts w:ascii="Times New Roman" w:hAnsi="Times New Roman"/>
          <w:b/>
          <w:sz w:val="20"/>
          <w:szCs w:val="20"/>
        </w:rPr>
      </w:pPr>
      <w:r w:rsidRPr="00DB5E8C">
        <w:rPr>
          <w:rFonts w:ascii="Times New Roman" w:hAnsi="Times New Roman"/>
          <w:b/>
          <w:sz w:val="20"/>
          <w:szCs w:val="20"/>
        </w:rPr>
        <w:t>Table 8: Programme Performance Indicators and Targets for 2018/19</w:t>
      </w:r>
    </w:p>
    <w:tbl>
      <w:tblPr>
        <w:tblW w:w="9540" w:type="dxa"/>
        <w:tblInd w:w="-10" w:type="dxa"/>
        <w:tblLayout w:type="fixed"/>
        <w:tblCellMar>
          <w:left w:w="0" w:type="dxa"/>
          <w:right w:w="0" w:type="dxa"/>
        </w:tblCellMar>
        <w:tblLook w:val="0600" w:firstRow="0" w:lastRow="0" w:firstColumn="0" w:lastColumn="0" w:noHBand="1" w:noVBand="1"/>
      </w:tblPr>
      <w:tblGrid>
        <w:gridCol w:w="2430"/>
        <w:gridCol w:w="2340"/>
        <w:gridCol w:w="1350"/>
        <w:gridCol w:w="1170"/>
        <w:gridCol w:w="1080"/>
        <w:gridCol w:w="1170"/>
      </w:tblGrid>
      <w:tr w:rsidR="003B6126" w:rsidRPr="000C51B4" w14:paraId="6DB19F0D" w14:textId="77777777" w:rsidTr="003A46DA">
        <w:trPr>
          <w:trHeight w:val="368"/>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173FD62D"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Strategic Objective</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0708288F"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 xml:space="preserve">Programme Performance Indicator </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5F08AFDE"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 xml:space="preserve">Strategic Plan Target </w:t>
            </w:r>
          </w:p>
        </w:tc>
        <w:tc>
          <w:tcPr>
            <w:tcW w:w="3420" w:type="dxa"/>
            <w:gridSpan w:val="3"/>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6B4FC125"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 xml:space="preserve">Medium Term Target </w:t>
            </w:r>
          </w:p>
        </w:tc>
      </w:tr>
      <w:tr w:rsidR="003B6126" w:rsidRPr="000C51B4" w14:paraId="27B27AD9" w14:textId="77777777" w:rsidTr="003A46DA">
        <w:trPr>
          <w:trHeight w:val="325"/>
        </w:trPr>
        <w:tc>
          <w:tcPr>
            <w:tcW w:w="2430" w:type="dxa"/>
            <w:vMerge/>
            <w:tcBorders>
              <w:top w:val="single" w:sz="8" w:space="0" w:color="000000"/>
              <w:left w:val="single" w:sz="8" w:space="0" w:color="000000"/>
              <w:bottom w:val="single" w:sz="8" w:space="0" w:color="000000"/>
              <w:right w:val="single" w:sz="8" w:space="0" w:color="000000"/>
            </w:tcBorders>
            <w:vAlign w:val="center"/>
            <w:hideMark/>
          </w:tcPr>
          <w:p w14:paraId="522FA43E" w14:textId="77777777" w:rsidR="003B6126" w:rsidRPr="00941E30" w:rsidRDefault="003B6126" w:rsidP="0086606E">
            <w:pPr>
              <w:rPr>
                <w:rFonts w:ascii="Times New Roman" w:hAnsi="Times New Roman"/>
                <w:color w:val="auto"/>
              </w:rPr>
            </w:pPr>
          </w:p>
        </w:tc>
        <w:tc>
          <w:tcPr>
            <w:tcW w:w="2340" w:type="dxa"/>
            <w:vMerge/>
            <w:tcBorders>
              <w:top w:val="single" w:sz="8" w:space="0" w:color="000000"/>
              <w:left w:val="single" w:sz="8" w:space="0" w:color="000000"/>
              <w:bottom w:val="single" w:sz="8" w:space="0" w:color="000000"/>
              <w:right w:val="single" w:sz="8" w:space="0" w:color="000000"/>
            </w:tcBorders>
            <w:vAlign w:val="center"/>
            <w:hideMark/>
          </w:tcPr>
          <w:p w14:paraId="08BCB55E" w14:textId="77777777" w:rsidR="003B6126" w:rsidRPr="00941E30" w:rsidRDefault="003B6126" w:rsidP="0086606E">
            <w:pPr>
              <w:rPr>
                <w:rFonts w:ascii="Times New Roman" w:hAnsi="Times New Roman"/>
                <w:color w:val="auto"/>
              </w:rPr>
            </w:pPr>
          </w:p>
        </w:tc>
        <w:tc>
          <w:tcPr>
            <w:tcW w:w="1350" w:type="dxa"/>
            <w:vMerge/>
            <w:tcBorders>
              <w:top w:val="single" w:sz="8" w:space="0" w:color="000000"/>
              <w:left w:val="single" w:sz="8" w:space="0" w:color="000000"/>
              <w:bottom w:val="single" w:sz="8" w:space="0" w:color="000000"/>
              <w:right w:val="single" w:sz="8" w:space="0" w:color="000000"/>
            </w:tcBorders>
            <w:vAlign w:val="center"/>
            <w:hideMark/>
          </w:tcPr>
          <w:p w14:paraId="4A869EA1" w14:textId="77777777" w:rsidR="003B6126" w:rsidRPr="00941E30" w:rsidRDefault="003B6126" w:rsidP="0086606E">
            <w:pPr>
              <w:rPr>
                <w:rFonts w:ascii="Times New Roman" w:hAnsi="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29806B45"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2018/19</w:t>
            </w:r>
          </w:p>
        </w:tc>
        <w:tc>
          <w:tcPr>
            <w:tcW w:w="1080" w:type="dxa"/>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3E9FF54E"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2019/20</w:t>
            </w:r>
          </w:p>
        </w:tc>
        <w:tc>
          <w:tcPr>
            <w:tcW w:w="1170" w:type="dxa"/>
            <w:tcBorders>
              <w:top w:val="single" w:sz="8" w:space="0" w:color="000000"/>
              <w:left w:val="single" w:sz="8" w:space="0" w:color="000000"/>
              <w:bottom w:val="single" w:sz="8" w:space="0" w:color="000000"/>
              <w:right w:val="single" w:sz="8" w:space="0" w:color="000000"/>
            </w:tcBorders>
            <w:shd w:val="clear" w:color="auto" w:fill="E4EEF8"/>
            <w:tcMar>
              <w:top w:w="15" w:type="dxa"/>
              <w:left w:w="53" w:type="dxa"/>
              <w:bottom w:w="0" w:type="dxa"/>
              <w:right w:w="53" w:type="dxa"/>
            </w:tcMar>
            <w:vAlign w:val="center"/>
            <w:hideMark/>
          </w:tcPr>
          <w:p w14:paraId="199296DE" w14:textId="77777777" w:rsidR="003B6126" w:rsidRPr="00941E30" w:rsidRDefault="003B6126" w:rsidP="0086606E">
            <w:pPr>
              <w:rPr>
                <w:rFonts w:ascii="Times New Roman" w:hAnsi="Times New Roman"/>
                <w:color w:val="auto"/>
              </w:rPr>
            </w:pPr>
            <w:r w:rsidRPr="00941E30">
              <w:rPr>
                <w:rFonts w:ascii="Times New Roman" w:hAnsi="Times New Roman"/>
                <w:b/>
                <w:bCs/>
                <w:color w:val="auto"/>
              </w:rPr>
              <w:t>2020/21</w:t>
            </w:r>
          </w:p>
        </w:tc>
      </w:tr>
      <w:tr w:rsidR="003B6126" w:rsidRPr="000C51B4" w14:paraId="275CFB1D" w14:textId="77777777" w:rsidTr="00DB5E8C">
        <w:trPr>
          <w:trHeight w:val="253"/>
        </w:trPr>
        <w:tc>
          <w:tcPr>
            <w:tcW w:w="9540"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53" w:type="dxa"/>
              <w:bottom w:w="0" w:type="dxa"/>
              <w:right w:w="53" w:type="dxa"/>
            </w:tcMar>
            <w:vAlign w:val="center"/>
          </w:tcPr>
          <w:p w14:paraId="051F9327" w14:textId="77777777" w:rsidR="003B6126" w:rsidRPr="00941E30" w:rsidRDefault="003B6126" w:rsidP="0086606E">
            <w:pPr>
              <w:rPr>
                <w:rFonts w:ascii="Times New Roman" w:hAnsi="Times New Roman"/>
                <w:b/>
                <w:color w:val="auto"/>
              </w:rPr>
            </w:pPr>
            <w:r w:rsidRPr="00941E30">
              <w:rPr>
                <w:rFonts w:ascii="Times New Roman" w:hAnsi="Times New Roman"/>
                <w:b/>
                <w:color w:val="auto"/>
              </w:rPr>
              <w:t>PROGRAMME 1</w:t>
            </w:r>
          </w:p>
        </w:tc>
      </w:tr>
      <w:tr w:rsidR="003B6126" w:rsidRPr="000C51B4" w14:paraId="24DC5441" w14:textId="77777777" w:rsidTr="003A46DA">
        <w:trPr>
          <w:trHeight w:val="463"/>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51A4700"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Establish, in a phased approach, a fully functional Authority suitably staffed to execute the </w:t>
            </w:r>
            <w:r w:rsidR="00A53608" w:rsidRPr="00941E30">
              <w:rPr>
                <w:rFonts w:ascii="Times New Roman" w:hAnsi="Times New Roman"/>
                <w:color w:val="auto"/>
              </w:rPr>
              <w:t xml:space="preserve">mandate and goals of SAHPRA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C229F12"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funded positions filled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73D47BC" w14:textId="77777777" w:rsidR="003B6126" w:rsidRPr="00941E30" w:rsidRDefault="003B6126" w:rsidP="0086606E">
            <w:pPr>
              <w:rPr>
                <w:rFonts w:ascii="Times New Roman" w:hAnsi="Times New Roman"/>
                <w:color w:val="auto"/>
              </w:rPr>
            </w:pPr>
            <w:r w:rsidRPr="00941E30">
              <w:rPr>
                <w:rFonts w:ascii="Times New Roman" w:hAnsi="Times New Roman"/>
                <w:color w:val="auto"/>
              </w:rPr>
              <w:t>90 %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4F5DB1A" w14:textId="77777777" w:rsidR="003B6126" w:rsidRPr="00941E30" w:rsidRDefault="003B6126" w:rsidP="0086606E">
            <w:pPr>
              <w:rPr>
                <w:rFonts w:ascii="Times New Roman" w:hAnsi="Times New Roman"/>
                <w:color w:val="auto"/>
              </w:rPr>
            </w:pPr>
            <w:r w:rsidRPr="00941E30">
              <w:rPr>
                <w:rFonts w:ascii="Times New Roman" w:hAnsi="Times New Roman"/>
                <w:color w:val="auto"/>
              </w:rPr>
              <w:t>70 %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6E34C2F" w14:textId="77777777" w:rsidR="003B6126" w:rsidRPr="00941E30" w:rsidRDefault="003B6126" w:rsidP="0086606E">
            <w:pPr>
              <w:rPr>
                <w:rFonts w:ascii="Times New Roman" w:hAnsi="Times New Roman"/>
                <w:color w:val="auto"/>
              </w:rPr>
            </w:pPr>
            <w:r w:rsidRPr="00941E30">
              <w:rPr>
                <w:rFonts w:ascii="Times New Roman" w:hAnsi="Times New Roman"/>
                <w:color w:val="auto"/>
              </w:rPr>
              <w:t>80 %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8EE9BCF" w14:textId="77777777" w:rsidR="003B6126" w:rsidRPr="00941E30" w:rsidRDefault="003B6126" w:rsidP="0086606E">
            <w:pPr>
              <w:rPr>
                <w:rFonts w:ascii="Times New Roman" w:hAnsi="Times New Roman"/>
                <w:color w:val="auto"/>
              </w:rPr>
            </w:pPr>
            <w:r w:rsidRPr="00941E30">
              <w:rPr>
                <w:rFonts w:ascii="Times New Roman" w:hAnsi="Times New Roman"/>
                <w:color w:val="auto"/>
              </w:rPr>
              <w:t>80 %</w:t>
            </w:r>
          </w:p>
        </w:tc>
      </w:tr>
      <w:tr w:rsidR="003B6126" w:rsidRPr="000C51B4" w14:paraId="7A6F8901" w14:textId="77777777" w:rsidTr="003A46DA">
        <w:trPr>
          <w:trHeight w:val="550"/>
        </w:trPr>
        <w:tc>
          <w:tcPr>
            <w:tcW w:w="2430" w:type="dxa"/>
            <w:vMerge/>
            <w:tcBorders>
              <w:top w:val="single" w:sz="8" w:space="0" w:color="000000"/>
              <w:left w:val="single" w:sz="8" w:space="0" w:color="000000"/>
              <w:bottom w:val="single" w:sz="8" w:space="0" w:color="000000"/>
              <w:right w:val="single" w:sz="8" w:space="0" w:color="000000"/>
            </w:tcBorders>
            <w:vAlign w:val="center"/>
            <w:hideMark/>
          </w:tcPr>
          <w:p w14:paraId="33990559" w14:textId="77777777" w:rsidR="003B6126" w:rsidRPr="00941E30" w:rsidRDefault="003B6126" w:rsidP="0086606E">
            <w:pPr>
              <w:rPr>
                <w:rFonts w:ascii="Times New Roman" w:hAnsi="Times New Roman"/>
                <w:color w:val="auto"/>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106F08F8"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Staff trained as per annual training plan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0EB7B936" w14:textId="77777777" w:rsidR="003B6126" w:rsidRPr="00941E30" w:rsidRDefault="003B6126" w:rsidP="0086606E">
            <w:pPr>
              <w:rPr>
                <w:rFonts w:ascii="Times New Roman" w:hAnsi="Times New Roman"/>
                <w:color w:val="auto"/>
              </w:rPr>
            </w:pPr>
            <w:r w:rsidRPr="00941E30">
              <w:rPr>
                <w:rFonts w:ascii="Times New Roman" w:hAnsi="Times New Roman"/>
                <w:color w:val="auto"/>
              </w:rPr>
              <w:t>100 %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948F90D" w14:textId="77777777" w:rsidR="003B6126" w:rsidRPr="00941E30" w:rsidRDefault="003B6126" w:rsidP="0086606E">
            <w:pPr>
              <w:rPr>
                <w:rFonts w:ascii="Times New Roman" w:hAnsi="Times New Roman"/>
                <w:color w:val="auto"/>
              </w:rPr>
            </w:pPr>
            <w:r w:rsidRPr="00941E30">
              <w:rPr>
                <w:rFonts w:ascii="Times New Roman" w:hAnsi="Times New Roman"/>
                <w:color w:val="auto"/>
              </w:rPr>
              <w:t>60 %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F87368C" w14:textId="77777777" w:rsidR="003B6126" w:rsidRPr="00941E30" w:rsidRDefault="003B6126" w:rsidP="0086606E">
            <w:pPr>
              <w:rPr>
                <w:rFonts w:ascii="Times New Roman" w:hAnsi="Times New Roman"/>
                <w:color w:val="auto"/>
              </w:rPr>
            </w:pPr>
            <w:r w:rsidRPr="00941E30">
              <w:rPr>
                <w:rFonts w:ascii="Times New Roman" w:hAnsi="Times New Roman"/>
                <w:color w:val="auto"/>
              </w:rPr>
              <w:t>70 %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14475FF" w14:textId="77777777" w:rsidR="003B6126" w:rsidRPr="00941E30" w:rsidRDefault="003B6126" w:rsidP="0086606E">
            <w:pPr>
              <w:rPr>
                <w:rFonts w:ascii="Times New Roman" w:hAnsi="Times New Roman"/>
                <w:color w:val="auto"/>
              </w:rPr>
            </w:pPr>
            <w:r w:rsidRPr="00941E30">
              <w:rPr>
                <w:rFonts w:ascii="Times New Roman" w:hAnsi="Times New Roman"/>
                <w:color w:val="auto"/>
              </w:rPr>
              <w:t>80 %</w:t>
            </w:r>
          </w:p>
        </w:tc>
      </w:tr>
      <w:tr w:rsidR="003B6126" w:rsidRPr="000C51B4" w14:paraId="24718327" w14:textId="77777777" w:rsidTr="003A46DA">
        <w:trPr>
          <w:trHeight w:val="487"/>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23E7F59C" w14:textId="77777777" w:rsidR="003B6126" w:rsidRPr="00941E30" w:rsidRDefault="003B6126" w:rsidP="0086606E">
            <w:pPr>
              <w:rPr>
                <w:rFonts w:ascii="Times New Roman" w:hAnsi="Times New Roman"/>
                <w:color w:val="auto"/>
              </w:rPr>
            </w:pPr>
            <w:r w:rsidRPr="00941E30">
              <w:rPr>
                <w:rFonts w:ascii="Times New Roman" w:hAnsi="Times New Roman"/>
                <w:color w:val="auto"/>
              </w:rPr>
              <w:t>Maximise performance to improve organisational efficiency</w:t>
            </w:r>
          </w:p>
          <w:p w14:paraId="14C61A19" w14:textId="77777777" w:rsidR="003B6126" w:rsidRPr="00941E30" w:rsidRDefault="003B6126" w:rsidP="0086606E">
            <w:pPr>
              <w:rPr>
                <w:rFonts w:ascii="Times New Roman" w:hAnsi="Times New Roman"/>
                <w:color w:val="auto"/>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0EE3DBF2" w14:textId="77777777" w:rsidR="003B6126" w:rsidRPr="00941E30" w:rsidRDefault="003B6126" w:rsidP="0086606E">
            <w:pPr>
              <w:rPr>
                <w:rFonts w:ascii="Times New Roman" w:hAnsi="Times New Roman"/>
                <w:color w:val="auto"/>
              </w:rPr>
            </w:pPr>
            <w:r w:rsidRPr="00941E30">
              <w:rPr>
                <w:rFonts w:ascii="Times New Roman" w:hAnsi="Times New Roman"/>
                <w:color w:val="auto"/>
              </w:rPr>
              <w:t>% Employee performance agreements signed no later than 31 May of each financial year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679827E" w14:textId="77777777" w:rsidR="003B6126" w:rsidRPr="00941E30" w:rsidRDefault="003B6126" w:rsidP="0086606E">
            <w:pPr>
              <w:rPr>
                <w:rFonts w:ascii="Times New Roman" w:hAnsi="Times New Roman"/>
                <w:color w:val="auto"/>
              </w:rPr>
            </w:pPr>
            <w:r w:rsidRPr="00941E30">
              <w:rPr>
                <w:rFonts w:ascii="Times New Roman" w:hAnsi="Times New Roman"/>
                <w:color w:val="auto"/>
              </w:rPr>
              <w:t>100 %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0E9002BA" w14:textId="77777777" w:rsidR="003B6126" w:rsidRPr="00941E30" w:rsidRDefault="003B6126" w:rsidP="0086606E">
            <w:pPr>
              <w:rPr>
                <w:rFonts w:ascii="Times New Roman" w:hAnsi="Times New Roman"/>
                <w:color w:val="auto"/>
              </w:rPr>
            </w:pPr>
            <w:r w:rsidRPr="00941E30">
              <w:rPr>
                <w:rFonts w:ascii="Times New Roman" w:hAnsi="Times New Roman"/>
                <w:color w:val="auto"/>
              </w:rPr>
              <w:t>100 %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5C56313" w14:textId="77777777" w:rsidR="003B6126" w:rsidRPr="00941E30" w:rsidRDefault="003B6126" w:rsidP="0086606E">
            <w:pPr>
              <w:rPr>
                <w:rFonts w:ascii="Times New Roman" w:hAnsi="Times New Roman"/>
                <w:color w:val="auto"/>
              </w:rPr>
            </w:pPr>
            <w:r w:rsidRPr="00941E30">
              <w:rPr>
                <w:rFonts w:ascii="Times New Roman" w:hAnsi="Times New Roman"/>
                <w:color w:val="auto"/>
              </w:rPr>
              <w:t>100 %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076B102" w14:textId="77777777" w:rsidR="003B6126" w:rsidRPr="00941E30" w:rsidRDefault="003B6126" w:rsidP="0086606E">
            <w:pPr>
              <w:rPr>
                <w:rFonts w:ascii="Times New Roman" w:hAnsi="Times New Roman"/>
                <w:color w:val="auto"/>
              </w:rPr>
            </w:pPr>
            <w:r w:rsidRPr="00941E30">
              <w:rPr>
                <w:rFonts w:ascii="Times New Roman" w:hAnsi="Times New Roman"/>
                <w:color w:val="auto"/>
              </w:rPr>
              <w:t>100 %</w:t>
            </w:r>
          </w:p>
        </w:tc>
      </w:tr>
      <w:tr w:rsidR="003B6126" w:rsidRPr="000C51B4" w14:paraId="5824E74E" w14:textId="77777777" w:rsidTr="003A46DA">
        <w:trPr>
          <w:trHeight w:val="838"/>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1C13873" w14:textId="77777777" w:rsidR="003B6126" w:rsidRPr="00941E30" w:rsidRDefault="003B6126" w:rsidP="0086606E">
            <w:pPr>
              <w:rPr>
                <w:rFonts w:ascii="Times New Roman" w:hAnsi="Times New Roman"/>
                <w:color w:val="auto"/>
              </w:rPr>
            </w:pPr>
            <w:r w:rsidRPr="00941E30">
              <w:rPr>
                <w:rFonts w:ascii="Times New Roman" w:hAnsi="Times New Roman"/>
                <w:color w:val="auto"/>
              </w:rPr>
              <w:t>Develop a communication strategy to support improved external stakeholder</w:t>
            </w:r>
            <w:r w:rsidR="00A53608" w:rsidRPr="00941E30">
              <w:rPr>
                <w:rFonts w:ascii="Times New Roman" w:hAnsi="Times New Roman"/>
                <w:color w:val="auto"/>
              </w:rPr>
              <w:t xml:space="preserve"> interactions and relations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C9F5FFA" w14:textId="77777777" w:rsidR="003B6126" w:rsidRPr="00941E30" w:rsidRDefault="003B6126" w:rsidP="0086606E">
            <w:pPr>
              <w:rPr>
                <w:rFonts w:ascii="Times New Roman" w:hAnsi="Times New Roman"/>
                <w:color w:val="auto"/>
              </w:rPr>
            </w:pPr>
            <w:r w:rsidRPr="00941E30">
              <w:rPr>
                <w:rFonts w:ascii="Times New Roman" w:hAnsi="Times New Roman"/>
                <w:color w:val="auto"/>
              </w:rPr>
              <w:t>Communication strategy developed,  approved and published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931EF9B"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Approved communication strategy published in year one.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BC1FBD4" w14:textId="77777777" w:rsidR="003B6126" w:rsidRPr="00941E30" w:rsidRDefault="003B6126" w:rsidP="0086606E">
            <w:pPr>
              <w:rPr>
                <w:rFonts w:ascii="Times New Roman" w:hAnsi="Times New Roman"/>
                <w:color w:val="auto"/>
              </w:rPr>
            </w:pPr>
            <w:r w:rsidRPr="00941E30">
              <w:rPr>
                <w:rFonts w:ascii="Times New Roman" w:hAnsi="Times New Roman"/>
                <w:color w:val="auto"/>
              </w:rPr>
              <w:t>Approved communi</w:t>
            </w:r>
            <w:r w:rsidRPr="00941E30">
              <w:rPr>
                <w:rFonts w:ascii="Times New Roman" w:hAnsi="Times New Roman"/>
                <w:color w:val="auto"/>
              </w:rPr>
              <w:softHyphen/>
              <w:t>cation strategy published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1BE6CAC9" w14:textId="77777777" w:rsidR="003B6126" w:rsidRPr="00941E30" w:rsidRDefault="003B6126" w:rsidP="0086606E">
            <w:pPr>
              <w:rPr>
                <w:rFonts w:ascii="Times New Roman" w:hAnsi="Times New Roman"/>
                <w:color w:val="auto"/>
              </w:rPr>
            </w:pPr>
            <w:r w:rsidRPr="00941E30">
              <w:rPr>
                <w:rFonts w:ascii="Times New Roman" w:hAnsi="Times New Roman"/>
                <w:color w:val="auto"/>
              </w:rPr>
              <w:t>Communication strategy implemented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7FFE4187" w14:textId="77777777" w:rsidR="003B6126" w:rsidRPr="00941E30" w:rsidRDefault="003B6126" w:rsidP="0086606E">
            <w:pPr>
              <w:rPr>
                <w:rFonts w:ascii="Times New Roman" w:hAnsi="Times New Roman"/>
                <w:color w:val="auto"/>
              </w:rPr>
            </w:pPr>
            <w:r w:rsidRPr="00941E30">
              <w:rPr>
                <w:rFonts w:ascii="Times New Roman" w:hAnsi="Times New Roman"/>
                <w:color w:val="auto"/>
              </w:rPr>
              <w:t>Communication strategy implemented</w:t>
            </w:r>
          </w:p>
        </w:tc>
      </w:tr>
      <w:tr w:rsidR="003B6126" w:rsidRPr="000C51B4" w14:paraId="1980211F" w14:textId="77777777" w:rsidTr="003A46DA">
        <w:trPr>
          <w:trHeight w:val="77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1ACA8091"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Create public and stakeholder awareness </w:t>
            </w:r>
            <w:r w:rsidR="00A53608" w:rsidRPr="00941E30">
              <w:rPr>
                <w:rFonts w:ascii="Times New Roman" w:hAnsi="Times New Roman"/>
                <w:color w:val="auto"/>
              </w:rPr>
              <w:t xml:space="preserve">about the mandate of SAHPRA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5B2FD5C"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Number of media and communication events and stakeholder meetings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1EAEA597" w14:textId="77777777" w:rsidR="003B6126" w:rsidRPr="00941E30" w:rsidRDefault="003B6126" w:rsidP="0086606E">
            <w:pPr>
              <w:rPr>
                <w:rFonts w:ascii="Times New Roman" w:hAnsi="Times New Roman"/>
                <w:color w:val="auto"/>
              </w:rPr>
            </w:pPr>
            <w:r w:rsidRPr="00941E30">
              <w:rPr>
                <w:rFonts w:ascii="Times New Roman" w:hAnsi="Times New Roman"/>
                <w:color w:val="auto"/>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2D134C4D" w14:textId="77777777" w:rsidR="003B6126" w:rsidRPr="00941E30" w:rsidRDefault="003B6126" w:rsidP="0086606E">
            <w:pPr>
              <w:rPr>
                <w:rFonts w:ascii="Times New Roman" w:hAnsi="Times New Roman"/>
                <w:color w:val="auto"/>
              </w:rPr>
            </w:pPr>
            <w:r w:rsidRPr="00941E30">
              <w:rPr>
                <w:rFonts w:ascii="Times New Roman" w:hAnsi="Times New Roman"/>
                <w:color w:val="auto"/>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862F386" w14:textId="77777777" w:rsidR="003B6126" w:rsidRPr="00941E30" w:rsidRDefault="003B6126" w:rsidP="0086606E">
            <w:pPr>
              <w:rPr>
                <w:rFonts w:ascii="Times New Roman" w:hAnsi="Times New Roman"/>
                <w:color w:val="auto"/>
              </w:rPr>
            </w:pPr>
            <w:r w:rsidRPr="00941E30">
              <w:rPr>
                <w:rFonts w:ascii="Times New Roman" w:hAnsi="Times New Roman"/>
                <w:color w:val="auto"/>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7253571" w14:textId="77777777" w:rsidR="003B6126" w:rsidRPr="00941E30" w:rsidRDefault="003B6126" w:rsidP="0086606E">
            <w:pPr>
              <w:rPr>
                <w:rFonts w:ascii="Times New Roman" w:hAnsi="Times New Roman"/>
                <w:color w:val="auto"/>
              </w:rPr>
            </w:pPr>
            <w:r w:rsidRPr="00941E30">
              <w:rPr>
                <w:rFonts w:ascii="Times New Roman" w:hAnsi="Times New Roman"/>
                <w:color w:val="auto"/>
              </w:rPr>
              <w:t>4</w:t>
            </w:r>
          </w:p>
        </w:tc>
      </w:tr>
      <w:tr w:rsidR="003B6126" w:rsidRPr="000C51B4" w14:paraId="4F79BF45" w14:textId="77777777" w:rsidTr="003A46DA">
        <w:trPr>
          <w:trHeight w:val="68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3835968"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Implement good governance, oversight and accountability through appropriate delegation, including Financial Management and compliance with PFMA </w:t>
            </w:r>
            <w:r w:rsidR="00A53608" w:rsidRPr="00941E30">
              <w:rPr>
                <w:rFonts w:ascii="Times New Roman" w:hAnsi="Times New Roman"/>
                <w:color w:val="auto"/>
              </w:rPr>
              <w:t xml:space="preserve">requirements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109DEFF" w14:textId="77777777" w:rsidR="003B6126" w:rsidRPr="00941E30" w:rsidRDefault="003B6126" w:rsidP="0086606E">
            <w:pPr>
              <w:rPr>
                <w:rFonts w:ascii="Times New Roman" w:hAnsi="Times New Roman"/>
                <w:color w:val="auto"/>
              </w:rPr>
            </w:pPr>
            <w:r w:rsidRPr="00941E30">
              <w:rPr>
                <w:rFonts w:ascii="Times New Roman" w:hAnsi="Times New Roman"/>
                <w:color w:val="auto"/>
              </w:rPr>
              <w:t>Audit Outcome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2BCABE9" w14:textId="77777777" w:rsidR="003B6126" w:rsidRPr="00941E30" w:rsidRDefault="003B6126" w:rsidP="0086606E">
            <w:pPr>
              <w:rPr>
                <w:rFonts w:ascii="Times New Roman" w:hAnsi="Times New Roman"/>
                <w:color w:val="auto"/>
              </w:rPr>
            </w:pPr>
            <w:r w:rsidRPr="00941E30">
              <w:rPr>
                <w:rFonts w:ascii="Times New Roman" w:hAnsi="Times New Roman"/>
                <w:color w:val="auto"/>
              </w:rPr>
              <w:t>Unqualified audit report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0B1BEA3B" w14:textId="77777777" w:rsidR="003B6126" w:rsidRPr="00941E30" w:rsidRDefault="003B6126" w:rsidP="0086606E">
            <w:pPr>
              <w:rPr>
                <w:rFonts w:ascii="Times New Roman" w:hAnsi="Times New Roman"/>
                <w:color w:val="auto"/>
              </w:rPr>
            </w:pPr>
            <w:r w:rsidRPr="00941E30">
              <w:rPr>
                <w:rFonts w:ascii="Times New Roman" w:hAnsi="Times New Roman"/>
                <w:color w:val="auto"/>
              </w:rPr>
              <w:t>Unqualified audit report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8F59214" w14:textId="77777777" w:rsidR="003B6126" w:rsidRPr="00941E30" w:rsidRDefault="003B6126" w:rsidP="0086606E">
            <w:pPr>
              <w:rPr>
                <w:rFonts w:ascii="Times New Roman" w:hAnsi="Times New Roman"/>
                <w:color w:val="auto"/>
              </w:rPr>
            </w:pPr>
            <w:r w:rsidRPr="00941E30">
              <w:rPr>
                <w:rFonts w:ascii="Times New Roman" w:hAnsi="Times New Roman"/>
                <w:color w:val="auto"/>
              </w:rPr>
              <w:t>Unqualified audit report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0FF1EF65" w14:textId="77777777" w:rsidR="003B6126" w:rsidRPr="00941E30" w:rsidRDefault="003B6126" w:rsidP="0086606E">
            <w:pPr>
              <w:rPr>
                <w:rFonts w:ascii="Times New Roman" w:hAnsi="Times New Roman"/>
                <w:color w:val="auto"/>
              </w:rPr>
            </w:pPr>
            <w:r w:rsidRPr="00941E30">
              <w:rPr>
                <w:rFonts w:ascii="Times New Roman" w:hAnsi="Times New Roman"/>
                <w:color w:val="auto"/>
              </w:rPr>
              <w:t>Unqualified audit report</w:t>
            </w:r>
          </w:p>
        </w:tc>
      </w:tr>
      <w:tr w:rsidR="003B6126" w:rsidRPr="000C51B4" w14:paraId="61AF973F" w14:textId="77777777" w:rsidTr="003A46DA">
        <w:trPr>
          <w:trHeight w:val="86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0CABA225" w14:textId="77777777" w:rsidR="003B6126" w:rsidRPr="00941E30" w:rsidRDefault="003B6126" w:rsidP="0086606E">
            <w:pPr>
              <w:rPr>
                <w:rFonts w:ascii="Times New Roman" w:hAnsi="Times New Roman"/>
                <w:color w:val="auto"/>
              </w:rPr>
            </w:pPr>
            <w:r w:rsidRPr="00941E30">
              <w:rPr>
                <w:rFonts w:ascii="Times New Roman" w:hAnsi="Times New Roman"/>
                <w:color w:val="auto"/>
              </w:rPr>
              <w:t>Ensure that the monitoring and inspection of information stored on SAHPRA ICT facilities and services are performed in an appropr</w:t>
            </w:r>
            <w:r w:rsidR="00A53608" w:rsidRPr="00941E30">
              <w:rPr>
                <w:rFonts w:ascii="Times New Roman" w:hAnsi="Times New Roman"/>
                <w:color w:val="auto"/>
              </w:rPr>
              <w:t xml:space="preserve">iate and responsible manner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2F782462" w14:textId="77777777" w:rsidR="003B6126" w:rsidRPr="00941E30" w:rsidRDefault="003B6126" w:rsidP="0086606E">
            <w:pPr>
              <w:rPr>
                <w:rFonts w:ascii="Times New Roman" w:hAnsi="Times New Roman"/>
                <w:color w:val="auto"/>
              </w:rPr>
            </w:pPr>
            <w:r w:rsidRPr="00941E30">
              <w:rPr>
                <w:rFonts w:ascii="Times New Roman" w:hAnsi="Times New Roman"/>
                <w:color w:val="auto"/>
              </w:rPr>
              <w:t>ICT Policy developed and approved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2F188D42"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Approved ICT Policy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5BEFE5A8" w14:textId="77777777" w:rsidR="003B6126" w:rsidRPr="00941E30" w:rsidRDefault="003B6126" w:rsidP="0086606E">
            <w:pPr>
              <w:rPr>
                <w:rFonts w:ascii="Times New Roman" w:hAnsi="Times New Roman"/>
                <w:color w:val="auto"/>
              </w:rPr>
            </w:pPr>
            <w:r w:rsidRPr="00941E30">
              <w:rPr>
                <w:rFonts w:ascii="Times New Roman" w:hAnsi="Times New Roman"/>
                <w:color w:val="auto"/>
              </w:rPr>
              <w:t>Approved ICT Policy</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1D4A3F37" w14:textId="77777777" w:rsidR="003B6126" w:rsidRPr="00941E30" w:rsidRDefault="003B6126" w:rsidP="0086606E">
            <w:pPr>
              <w:rPr>
                <w:rFonts w:ascii="Times New Roman" w:hAnsi="Times New Roman"/>
                <w:color w:val="auto"/>
              </w:rPr>
            </w:pPr>
            <w:r w:rsidRPr="00941E30">
              <w:rPr>
                <w:rFonts w:ascii="Times New Roman" w:hAnsi="Times New Roman"/>
                <w:color w:val="auto"/>
              </w:rPr>
              <w:t>Implement ICT policy</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4467EB02"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Implement ICT policy  </w:t>
            </w:r>
          </w:p>
        </w:tc>
      </w:tr>
      <w:tr w:rsidR="003B6126" w:rsidRPr="000C51B4" w14:paraId="3B814B27" w14:textId="77777777" w:rsidTr="003A46DA">
        <w:trPr>
          <w:trHeight w:val="77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284A3ED4"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Ensure comprehensive plan that outlines how technology should be used to meet IT and SAHPRA </w:t>
            </w:r>
            <w:r w:rsidR="00A53608" w:rsidRPr="00941E30">
              <w:rPr>
                <w:rFonts w:ascii="Times New Roman" w:hAnsi="Times New Roman"/>
                <w:color w:val="auto"/>
              </w:rPr>
              <w:t xml:space="preserve">goals is in place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435916EB" w14:textId="77777777" w:rsidR="003B6126" w:rsidRPr="00941E30" w:rsidRDefault="003B6126" w:rsidP="0086606E">
            <w:pPr>
              <w:rPr>
                <w:rFonts w:ascii="Times New Roman" w:hAnsi="Times New Roman"/>
                <w:color w:val="auto"/>
              </w:rPr>
            </w:pPr>
            <w:r w:rsidRPr="00941E30">
              <w:rPr>
                <w:rFonts w:ascii="Times New Roman" w:hAnsi="Times New Roman"/>
                <w:color w:val="auto"/>
              </w:rPr>
              <w:t>ICT Strategy developed and approved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4BD10F49" w14:textId="77777777" w:rsidR="003B6126" w:rsidRPr="00941E30" w:rsidRDefault="003B6126" w:rsidP="0086606E">
            <w:pPr>
              <w:rPr>
                <w:rFonts w:ascii="Times New Roman" w:hAnsi="Times New Roman"/>
                <w:color w:val="auto"/>
              </w:rPr>
            </w:pPr>
            <w:r w:rsidRPr="00941E30">
              <w:rPr>
                <w:rFonts w:ascii="Times New Roman" w:hAnsi="Times New Roman"/>
                <w:color w:val="auto"/>
              </w:rPr>
              <w:t>Approved ICT Strategy</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2E443C29" w14:textId="77777777" w:rsidR="003B6126" w:rsidRPr="00941E30" w:rsidRDefault="003B6126" w:rsidP="0086606E">
            <w:pPr>
              <w:rPr>
                <w:rFonts w:ascii="Times New Roman" w:hAnsi="Times New Roman"/>
                <w:color w:val="auto"/>
              </w:rPr>
            </w:pPr>
            <w:r w:rsidRPr="00941E30">
              <w:rPr>
                <w:rFonts w:ascii="Times New Roman" w:hAnsi="Times New Roman"/>
                <w:color w:val="auto"/>
              </w:rPr>
              <w:t>Approved ICT Strategy</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0AC4C62B"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Implement ICT strategy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39F307DC" w14:textId="77777777" w:rsidR="003B6126" w:rsidRPr="00941E30" w:rsidRDefault="003B6126" w:rsidP="0086606E">
            <w:pPr>
              <w:rPr>
                <w:rFonts w:ascii="Times New Roman" w:hAnsi="Times New Roman"/>
                <w:color w:val="auto"/>
              </w:rPr>
            </w:pPr>
            <w:r w:rsidRPr="00941E30">
              <w:rPr>
                <w:rFonts w:ascii="Times New Roman" w:hAnsi="Times New Roman"/>
                <w:color w:val="auto"/>
              </w:rPr>
              <w:t>Implement ICT strategy</w:t>
            </w:r>
          </w:p>
        </w:tc>
      </w:tr>
      <w:tr w:rsidR="003B6126" w:rsidRPr="000C51B4" w14:paraId="5C4C1958" w14:textId="77777777" w:rsidTr="003A46DA">
        <w:trPr>
          <w:trHeight w:val="748"/>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6A2CF4E7" w14:textId="77777777" w:rsidR="003B6126" w:rsidRPr="00941E30" w:rsidRDefault="003B6126" w:rsidP="0086606E">
            <w:pPr>
              <w:rPr>
                <w:rFonts w:ascii="Times New Roman" w:hAnsi="Times New Roman"/>
                <w:color w:val="auto"/>
              </w:rPr>
            </w:pPr>
            <w:r w:rsidRPr="00941E30">
              <w:rPr>
                <w:rFonts w:ascii="Times New Roman" w:hAnsi="Times New Roman"/>
                <w:color w:val="auto"/>
              </w:rPr>
              <w:t>Share, cooperate and strengthen collaborative initiatives</w:t>
            </w:r>
            <w:r w:rsidR="00A53608" w:rsidRPr="00941E30">
              <w:rPr>
                <w:rFonts w:ascii="Times New Roman" w:hAnsi="Times New Roman"/>
                <w:color w:val="auto"/>
              </w:rPr>
              <w:t xml:space="preserve"> with relevant stakeholders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59BC24AC"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Number of collaborative relationships strengthened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21D7C3C3" w14:textId="77777777" w:rsidR="003B6126" w:rsidRPr="00941E30" w:rsidRDefault="003B6126" w:rsidP="0086606E">
            <w:pPr>
              <w:rPr>
                <w:rFonts w:ascii="Times New Roman" w:hAnsi="Times New Roman"/>
                <w:color w:val="auto"/>
              </w:rPr>
            </w:pPr>
            <w:r w:rsidRPr="00941E30">
              <w:rPr>
                <w:rFonts w:ascii="Times New Roman" w:hAnsi="Times New Roman"/>
                <w:color w:val="auto"/>
              </w:rPr>
              <w:t>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6D7DCB2E" w14:textId="77777777" w:rsidR="003B6126" w:rsidRPr="00941E30" w:rsidRDefault="003B6126" w:rsidP="0086606E">
            <w:pPr>
              <w:rPr>
                <w:rFonts w:ascii="Times New Roman" w:hAnsi="Times New Roman"/>
                <w:color w:val="auto"/>
              </w:rPr>
            </w:pPr>
            <w:r w:rsidRPr="00941E30">
              <w:rPr>
                <w:rFonts w:ascii="Times New Roman" w:hAnsi="Times New Roman"/>
                <w:color w:val="auto"/>
              </w:rPr>
              <w:t>2 MOUs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0DE89E86" w14:textId="77777777" w:rsidR="003B6126" w:rsidRPr="00941E30" w:rsidRDefault="003B6126" w:rsidP="0086606E">
            <w:pPr>
              <w:rPr>
                <w:rFonts w:ascii="Times New Roman" w:hAnsi="Times New Roman"/>
                <w:color w:val="auto"/>
              </w:rPr>
            </w:pPr>
            <w:r w:rsidRPr="00941E30">
              <w:rPr>
                <w:rFonts w:ascii="Times New Roman" w:hAnsi="Times New Roman"/>
                <w:color w:val="auto"/>
              </w:rPr>
              <w:t>2 MOUs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30162311" w14:textId="77777777" w:rsidR="003B6126" w:rsidRPr="00941E30" w:rsidRDefault="003B6126" w:rsidP="0086606E">
            <w:pPr>
              <w:rPr>
                <w:rFonts w:ascii="Times New Roman" w:hAnsi="Times New Roman"/>
                <w:color w:val="auto"/>
              </w:rPr>
            </w:pPr>
            <w:r w:rsidRPr="00941E30">
              <w:rPr>
                <w:rFonts w:ascii="Times New Roman" w:hAnsi="Times New Roman"/>
                <w:color w:val="auto"/>
              </w:rPr>
              <w:t>3 MOUs</w:t>
            </w:r>
          </w:p>
        </w:tc>
      </w:tr>
      <w:tr w:rsidR="003B6126" w:rsidRPr="000C51B4" w14:paraId="3122B181" w14:textId="77777777" w:rsidTr="003A46DA">
        <w:trPr>
          <w:trHeight w:val="883"/>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6E751A76" w14:textId="77777777" w:rsidR="003B6126" w:rsidRPr="00941E30" w:rsidRDefault="003B6126" w:rsidP="0086606E">
            <w:pPr>
              <w:rPr>
                <w:rFonts w:ascii="Times New Roman" w:hAnsi="Times New Roman"/>
                <w:color w:val="auto"/>
              </w:rPr>
            </w:pPr>
            <w:r w:rsidRPr="00941E30">
              <w:rPr>
                <w:rFonts w:ascii="Times New Roman" w:hAnsi="Times New Roman"/>
                <w:color w:val="auto"/>
              </w:rPr>
              <w:t>Enter into agreements with contract laboratories to support quality assu</w:t>
            </w:r>
            <w:r w:rsidR="00A53608" w:rsidRPr="00941E30">
              <w:rPr>
                <w:rFonts w:ascii="Times New Roman" w:hAnsi="Times New Roman"/>
                <w:color w:val="auto"/>
              </w:rPr>
              <w:t xml:space="preserve">rance and control functions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1D850460"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Number of service level agreements in place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130592BF" w14:textId="77777777" w:rsidR="003B6126" w:rsidRPr="00941E30" w:rsidRDefault="003B6126" w:rsidP="0086606E">
            <w:pPr>
              <w:rPr>
                <w:rFonts w:ascii="Times New Roman" w:hAnsi="Times New Roman"/>
                <w:color w:val="auto"/>
              </w:rPr>
            </w:pPr>
            <w:r w:rsidRPr="00941E30">
              <w:rPr>
                <w:rFonts w:ascii="Times New Roman" w:hAnsi="Times New Roman"/>
                <w:color w:val="auto"/>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57DB61E2" w14:textId="77777777" w:rsidR="003B6126" w:rsidRPr="00941E30" w:rsidRDefault="003B6126" w:rsidP="0086606E">
            <w:pPr>
              <w:rPr>
                <w:rFonts w:ascii="Times New Roman" w:hAnsi="Times New Roman"/>
                <w:color w:val="auto"/>
              </w:rPr>
            </w:pPr>
            <w:r w:rsidRPr="00941E30">
              <w:rPr>
                <w:rFonts w:ascii="Times New Roman" w:hAnsi="Times New Roman"/>
                <w:color w:val="auto"/>
              </w:rPr>
              <w:t>1 SLAs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1646F34C" w14:textId="77777777" w:rsidR="003B6126" w:rsidRPr="00941E30" w:rsidRDefault="003B6126" w:rsidP="0086606E">
            <w:pPr>
              <w:rPr>
                <w:rFonts w:ascii="Times New Roman" w:hAnsi="Times New Roman"/>
                <w:color w:val="auto"/>
              </w:rPr>
            </w:pPr>
            <w:r w:rsidRPr="00941E30">
              <w:rPr>
                <w:rFonts w:ascii="Times New Roman" w:hAnsi="Times New Roman"/>
                <w:color w:val="auto"/>
              </w:rPr>
              <w:t>2 SLAs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3AF05612" w14:textId="77777777" w:rsidR="003B6126" w:rsidRPr="00941E30" w:rsidRDefault="003B6126" w:rsidP="0086606E">
            <w:pPr>
              <w:rPr>
                <w:rFonts w:ascii="Times New Roman" w:hAnsi="Times New Roman"/>
                <w:color w:val="auto"/>
              </w:rPr>
            </w:pPr>
            <w:r w:rsidRPr="00941E30">
              <w:rPr>
                <w:rFonts w:ascii="Times New Roman" w:hAnsi="Times New Roman"/>
                <w:color w:val="auto"/>
              </w:rPr>
              <w:t>2 SLAs</w:t>
            </w:r>
          </w:p>
        </w:tc>
      </w:tr>
      <w:tr w:rsidR="003B6126" w:rsidRPr="000C51B4" w14:paraId="7F6A73E4" w14:textId="77777777" w:rsidTr="003A46DA">
        <w:trPr>
          <w:trHeight w:val="50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1B0067D9" w14:textId="77777777" w:rsidR="003B6126" w:rsidRPr="00941E30" w:rsidRDefault="003B6126" w:rsidP="0086606E">
            <w:pPr>
              <w:rPr>
                <w:rFonts w:ascii="Times New Roman" w:hAnsi="Times New Roman"/>
                <w:color w:val="auto"/>
              </w:rPr>
            </w:pPr>
            <w:r w:rsidRPr="00941E30">
              <w:rPr>
                <w:rFonts w:ascii="Times New Roman" w:hAnsi="Times New Roman"/>
                <w:color w:val="auto"/>
              </w:rPr>
              <w:t>Maintain medicine an</w:t>
            </w:r>
            <w:r w:rsidR="00A53608" w:rsidRPr="00941E30">
              <w:rPr>
                <w:rFonts w:ascii="Times New Roman" w:hAnsi="Times New Roman"/>
                <w:color w:val="auto"/>
              </w:rPr>
              <w:t xml:space="preserve">d medical device registers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799CBC55" w14:textId="77777777" w:rsidR="003B6126" w:rsidRPr="00941E30" w:rsidRDefault="003B6126" w:rsidP="0086606E">
            <w:pPr>
              <w:rPr>
                <w:rFonts w:ascii="Times New Roman" w:hAnsi="Times New Roman"/>
                <w:color w:val="auto"/>
              </w:rPr>
            </w:pPr>
            <w:r w:rsidRPr="00941E30">
              <w:rPr>
                <w:rFonts w:ascii="Times New Roman" w:hAnsi="Times New Roman"/>
                <w:color w:val="auto"/>
              </w:rPr>
              <w:t>Updated medicine and medical device registers published on the regulators website quarterly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0CF1F42E" w14:textId="77777777" w:rsidR="003B6126" w:rsidRPr="00941E30" w:rsidRDefault="003B6126" w:rsidP="0086606E">
            <w:pPr>
              <w:rPr>
                <w:rFonts w:ascii="Times New Roman" w:hAnsi="Times New Roman"/>
                <w:color w:val="auto"/>
              </w:rPr>
            </w:pPr>
            <w:r w:rsidRPr="00941E30">
              <w:rPr>
                <w:rFonts w:ascii="Times New Roman" w:hAnsi="Times New Roman"/>
                <w:color w:val="auto"/>
              </w:rPr>
              <w:t>Quarterly update reports published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39314062" w14:textId="77777777" w:rsidR="003B6126" w:rsidRPr="00941E30" w:rsidRDefault="003B6126" w:rsidP="0086606E">
            <w:pPr>
              <w:rPr>
                <w:rFonts w:ascii="Times New Roman" w:hAnsi="Times New Roman"/>
                <w:color w:val="auto"/>
              </w:rPr>
            </w:pPr>
            <w:r w:rsidRPr="00941E30">
              <w:rPr>
                <w:rFonts w:ascii="Times New Roman" w:hAnsi="Times New Roman"/>
                <w:color w:val="auto"/>
              </w:rPr>
              <w:t>Quarterly update reports published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317FC7DE" w14:textId="77777777" w:rsidR="003B6126" w:rsidRPr="00941E30" w:rsidRDefault="003B6126" w:rsidP="0086606E">
            <w:pPr>
              <w:rPr>
                <w:rFonts w:ascii="Times New Roman" w:hAnsi="Times New Roman"/>
                <w:color w:val="auto"/>
              </w:rPr>
            </w:pPr>
            <w:r w:rsidRPr="00941E30">
              <w:rPr>
                <w:rFonts w:ascii="Times New Roman" w:hAnsi="Times New Roman"/>
                <w:color w:val="auto"/>
              </w:rPr>
              <w:t>Quarterly update reports published</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14:paraId="0E236871" w14:textId="77777777" w:rsidR="003B6126" w:rsidRPr="00941E30" w:rsidRDefault="003B6126" w:rsidP="0086606E">
            <w:pPr>
              <w:rPr>
                <w:rFonts w:ascii="Times New Roman" w:hAnsi="Times New Roman"/>
                <w:color w:val="auto"/>
              </w:rPr>
            </w:pPr>
            <w:r w:rsidRPr="00941E30">
              <w:rPr>
                <w:rFonts w:ascii="Times New Roman" w:hAnsi="Times New Roman"/>
                <w:color w:val="auto"/>
              </w:rPr>
              <w:t>Quarterly update reports published</w:t>
            </w:r>
          </w:p>
        </w:tc>
      </w:tr>
      <w:tr w:rsidR="003B6126" w:rsidRPr="000C51B4" w14:paraId="67229047" w14:textId="77777777" w:rsidTr="00DB5E8C">
        <w:trPr>
          <w:trHeight w:val="298"/>
        </w:trPr>
        <w:tc>
          <w:tcPr>
            <w:tcW w:w="9540"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47" w:type="dxa"/>
              <w:bottom w:w="0" w:type="dxa"/>
              <w:right w:w="47" w:type="dxa"/>
            </w:tcMar>
            <w:vAlign w:val="center"/>
          </w:tcPr>
          <w:p w14:paraId="31ECDE8D" w14:textId="77777777" w:rsidR="003B6126" w:rsidRPr="00941E30" w:rsidRDefault="003B6126" w:rsidP="0086606E">
            <w:pPr>
              <w:rPr>
                <w:rFonts w:ascii="Times New Roman" w:hAnsi="Times New Roman"/>
                <w:color w:val="auto"/>
              </w:rPr>
            </w:pPr>
            <w:r w:rsidRPr="00941E30">
              <w:rPr>
                <w:rFonts w:ascii="Times New Roman" w:hAnsi="Times New Roman"/>
                <w:b/>
                <w:color w:val="auto"/>
              </w:rPr>
              <w:t>PROGRAMME 2</w:t>
            </w:r>
          </w:p>
        </w:tc>
      </w:tr>
      <w:tr w:rsidR="003B6126" w:rsidRPr="000C51B4" w14:paraId="69C40504" w14:textId="77777777" w:rsidTr="003A46DA">
        <w:trPr>
          <w:trHeight w:val="595"/>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405D174" w14:textId="77777777" w:rsidR="003B6126" w:rsidRPr="00941E30" w:rsidRDefault="003B6126" w:rsidP="008532E9">
            <w:pPr>
              <w:rPr>
                <w:rFonts w:ascii="Times New Roman" w:hAnsi="Times New Roman"/>
                <w:color w:val="auto"/>
              </w:rPr>
            </w:pPr>
            <w:r w:rsidRPr="00941E30">
              <w:rPr>
                <w:rFonts w:ascii="Times New Roman" w:hAnsi="Times New Roman"/>
                <w:color w:val="auto"/>
              </w:rPr>
              <w:t xml:space="preserve">Take regulatory decision on all Backlog Applications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E412AED"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Backlog Framework developed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518B37F" w14:textId="77777777" w:rsidR="003B6126" w:rsidRPr="00941E30" w:rsidRDefault="003B6126" w:rsidP="0086606E">
            <w:pPr>
              <w:rPr>
                <w:rFonts w:ascii="Times New Roman" w:hAnsi="Times New Roman"/>
                <w:color w:val="auto"/>
              </w:rPr>
            </w:pPr>
            <w:r w:rsidRPr="00941E30">
              <w:rPr>
                <w:rFonts w:ascii="Times New Roman" w:hAnsi="Times New Roman"/>
                <w:color w:val="auto"/>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FAACA1C" w14:textId="77777777" w:rsidR="003B6126" w:rsidRPr="00941E30" w:rsidRDefault="003B6126" w:rsidP="0086606E">
            <w:pPr>
              <w:rPr>
                <w:rFonts w:ascii="Times New Roman" w:hAnsi="Times New Roman"/>
                <w:color w:val="auto"/>
              </w:rPr>
            </w:pPr>
            <w:r w:rsidRPr="00941E30">
              <w:rPr>
                <w:rFonts w:ascii="Times New Roman" w:hAnsi="Times New Roman"/>
                <w:color w:val="auto"/>
              </w:rPr>
              <w:t>Backlog Framework developed and  implemented</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61845C5" w14:textId="77777777" w:rsidR="003B6126" w:rsidRPr="00941E30" w:rsidRDefault="003B6126" w:rsidP="0086606E">
            <w:pPr>
              <w:rPr>
                <w:rFonts w:ascii="Times New Roman" w:hAnsi="Times New Roman"/>
                <w:color w:val="auto"/>
              </w:rPr>
            </w:pPr>
            <w:r w:rsidRPr="00941E30">
              <w:rPr>
                <w:rFonts w:ascii="Times New Roman" w:hAnsi="Times New Roman"/>
                <w:color w:val="auto"/>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C39A036" w14:textId="77777777" w:rsidR="003B6126" w:rsidRPr="00941E30" w:rsidRDefault="003B6126" w:rsidP="0086606E">
            <w:pPr>
              <w:rPr>
                <w:rFonts w:ascii="Times New Roman" w:hAnsi="Times New Roman"/>
                <w:color w:val="auto"/>
              </w:rPr>
            </w:pPr>
            <w:r w:rsidRPr="00941E30">
              <w:rPr>
                <w:rFonts w:ascii="Times New Roman" w:hAnsi="Times New Roman"/>
                <w:color w:val="auto"/>
              </w:rPr>
              <w:t>-</w:t>
            </w:r>
          </w:p>
        </w:tc>
      </w:tr>
      <w:tr w:rsidR="003B6126" w:rsidRPr="000C51B4" w14:paraId="5A5CF5EA" w14:textId="77777777" w:rsidTr="003A46DA">
        <w:trPr>
          <w:trHeight w:val="685"/>
        </w:trPr>
        <w:tc>
          <w:tcPr>
            <w:tcW w:w="2430" w:type="dxa"/>
            <w:vMerge/>
            <w:tcBorders>
              <w:top w:val="single" w:sz="8" w:space="0" w:color="000000"/>
              <w:left w:val="single" w:sz="8" w:space="0" w:color="000000"/>
              <w:bottom w:val="single" w:sz="8" w:space="0" w:color="000000"/>
              <w:right w:val="single" w:sz="8" w:space="0" w:color="000000"/>
            </w:tcBorders>
            <w:vAlign w:val="center"/>
            <w:hideMark/>
          </w:tcPr>
          <w:p w14:paraId="20015CA5" w14:textId="77777777" w:rsidR="003B6126" w:rsidRPr="00941E30" w:rsidRDefault="003B6126" w:rsidP="0086606E">
            <w:pPr>
              <w:rPr>
                <w:rFonts w:ascii="Times New Roman" w:hAnsi="Times New Roman"/>
                <w:color w:val="auto"/>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F4BF8E2" w14:textId="77777777" w:rsidR="003B6126" w:rsidRPr="00941E30" w:rsidRDefault="003B6126" w:rsidP="0086606E">
            <w:pPr>
              <w:rPr>
                <w:rFonts w:ascii="Times New Roman" w:hAnsi="Times New Roman"/>
                <w:color w:val="auto"/>
              </w:rPr>
            </w:pPr>
            <w:r w:rsidRPr="00941E30">
              <w:rPr>
                <w:rFonts w:ascii="Times New Roman" w:hAnsi="Times New Roman"/>
                <w:color w:val="auto"/>
              </w:rPr>
              <w:t>% of Backlog Applications  with regulatory decisions taken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097F93A" w14:textId="77777777" w:rsidR="003B6126" w:rsidRPr="00941E30" w:rsidRDefault="003B6126" w:rsidP="0086606E">
            <w:pPr>
              <w:rPr>
                <w:rFonts w:ascii="Times New Roman" w:hAnsi="Times New Roman"/>
                <w:color w:val="auto"/>
              </w:rPr>
            </w:pPr>
            <w:r w:rsidRPr="00941E30">
              <w:rPr>
                <w:rFonts w:ascii="Times New Roman" w:hAnsi="Times New Roman"/>
                <w:color w:val="auto"/>
              </w:rPr>
              <w:t>All Backlog Applications prior to 1</w:t>
            </w:r>
            <w:r w:rsidRPr="00941E30">
              <w:rPr>
                <w:rFonts w:ascii="Times New Roman" w:hAnsi="Times New Roman"/>
                <w:color w:val="auto"/>
                <w:vertAlign w:val="superscript"/>
              </w:rPr>
              <w:t>st</w:t>
            </w:r>
            <w:r w:rsidRPr="00941E30">
              <w:rPr>
                <w:rFonts w:ascii="Times New Roman" w:hAnsi="Times New Roman"/>
                <w:color w:val="auto"/>
              </w:rPr>
              <w:t xml:space="preserve"> February 2018 with regulatory decisions taken</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140FB1C" w14:textId="77777777" w:rsidR="003B6126" w:rsidRPr="00941E30" w:rsidRDefault="003B6126" w:rsidP="0086606E">
            <w:pPr>
              <w:rPr>
                <w:rFonts w:ascii="Times New Roman" w:hAnsi="Times New Roman"/>
                <w:color w:val="auto"/>
              </w:rPr>
            </w:pPr>
            <w:r w:rsidRPr="00941E30">
              <w:rPr>
                <w:rFonts w:ascii="Times New Roman" w:hAnsi="Times New Roman"/>
                <w:color w:val="auto"/>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4EE6797" w14:textId="77777777" w:rsidR="003B6126" w:rsidRPr="00941E30" w:rsidRDefault="003B6126" w:rsidP="0086606E">
            <w:pPr>
              <w:rPr>
                <w:rFonts w:ascii="Times New Roman" w:hAnsi="Times New Roman"/>
                <w:color w:val="auto"/>
              </w:rPr>
            </w:pPr>
            <w:r w:rsidRPr="00941E30">
              <w:rPr>
                <w:rFonts w:ascii="Times New Roman" w:hAnsi="Times New Roman"/>
                <w:color w:val="auto"/>
              </w:rPr>
              <w:t>60 % Backlog Applications prior to 1</w:t>
            </w:r>
            <w:r w:rsidRPr="00941E30">
              <w:rPr>
                <w:rFonts w:ascii="Times New Roman" w:hAnsi="Times New Roman"/>
                <w:color w:val="auto"/>
                <w:vertAlign w:val="superscript"/>
              </w:rPr>
              <w:t>st</w:t>
            </w:r>
            <w:r w:rsidRPr="00941E30">
              <w:rPr>
                <w:rFonts w:ascii="Times New Roman" w:hAnsi="Times New Roman"/>
                <w:color w:val="auto"/>
              </w:rPr>
              <w:t xml:space="preserve"> February 2018 with regulatory decisions taken</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90906F7" w14:textId="77777777" w:rsidR="003B6126" w:rsidRPr="00941E30" w:rsidRDefault="003B6126" w:rsidP="0086606E">
            <w:pPr>
              <w:rPr>
                <w:rFonts w:ascii="Times New Roman" w:hAnsi="Times New Roman"/>
                <w:color w:val="auto"/>
              </w:rPr>
            </w:pPr>
            <w:r w:rsidRPr="00941E30">
              <w:rPr>
                <w:rFonts w:ascii="Times New Roman" w:hAnsi="Times New Roman"/>
                <w:color w:val="auto"/>
              </w:rPr>
              <w:t>80 % Backlog Applications prior to 1</w:t>
            </w:r>
            <w:r w:rsidRPr="00941E30">
              <w:rPr>
                <w:rFonts w:ascii="Times New Roman" w:hAnsi="Times New Roman"/>
                <w:color w:val="auto"/>
                <w:vertAlign w:val="superscript"/>
              </w:rPr>
              <w:t>st</w:t>
            </w:r>
            <w:r w:rsidRPr="00941E30">
              <w:rPr>
                <w:rFonts w:ascii="Times New Roman" w:hAnsi="Times New Roman"/>
                <w:color w:val="auto"/>
              </w:rPr>
              <w:t xml:space="preserve"> February 2018 with regulatory decisions taken</w:t>
            </w:r>
          </w:p>
        </w:tc>
      </w:tr>
      <w:tr w:rsidR="003B6126" w:rsidRPr="000C51B4" w14:paraId="5A04B1B3" w14:textId="77777777" w:rsidTr="003A46DA">
        <w:trPr>
          <w:trHeight w:val="1828"/>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B52F716" w14:textId="77777777" w:rsidR="003B6126" w:rsidRPr="00941E30" w:rsidRDefault="003B6126" w:rsidP="008532E9">
            <w:pPr>
              <w:rPr>
                <w:rFonts w:ascii="Times New Roman" w:hAnsi="Times New Roman"/>
                <w:color w:val="auto"/>
              </w:rPr>
            </w:pPr>
            <w:r w:rsidRPr="00941E30">
              <w:rPr>
                <w:rFonts w:ascii="Times New Roman" w:hAnsi="Times New Roman"/>
                <w:color w:val="auto"/>
              </w:rPr>
              <w:t>Issue of licence, permits, registration certificates, certificates of establishments and health products for applications received for Medicines and Medical Devices within a specified timeline after regulatory decision taken</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8DDE21A"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licence/permits/certificates issued within predefined timelines on quarterly basis.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337FAD9"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85%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59F5D54"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70%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DCC3B28" w14:textId="77777777" w:rsidR="003B6126" w:rsidRPr="00941E30" w:rsidRDefault="003B6126" w:rsidP="0086606E">
            <w:pPr>
              <w:rPr>
                <w:rFonts w:ascii="Times New Roman" w:hAnsi="Times New Roman"/>
                <w:color w:val="auto"/>
              </w:rPr>
            </w:pPr>
            <w:r w:rsidRPr="00941E30">
              <w:rPr>
                <w:rFonts w:ascii="Times New Roman" w:hAnsi="Times New Roman"/>
                <w:color w:val="auto"/>
              </w:rPr>
              <w:t>75%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F0626A0" w14:textId="77777777" w:rsidR="003B6126" w:rsidRPr="00941E30" w:rsidRDefault="003B6126" w:rsidP="0086606E">
            <w:pPr>
              <w:rPr>
                <w:rFonts w:ascii="Times New Roman" w:hAnsi="Times New Roman"/>
                <w:color w:val="auto"/>
              </w:rPr>
            </w:pPr>
            <w:r w:rsidRPr="00941E30">
              <w:rPr>
                <w:rFonts w:ascii="Times New Roman" w:hAnsi="Times New Roman"/>
                <w:color w:val="auto"/>
              </w:rPr>
              <w:t>80%</w:t>
            </w:r>
          </w:p>
        </w:tc>
      </w:tr>
      <w:tr w:rsidR="003B6126" w:rsidRPr="000C51B4" w14:paraId="0F19CFB8" w14:textId="77777777" w:rsidTr="00DB5E8C">
        <w:trPr>
          <w:trHeight w:val="298"/>
        </w:trPr>
        <w:tc>
          <w:tcPr>
            <w:tcW w:w="9540"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57" w:type="dxa"/>
              <w:bottom w:w="0" w:type="dxa"/>
              <w:right w:w="57" w:type="dxa"/>
            </w:tcMar>
            <w:vAlign w:val="center"/>
          </w:tcPr>
          <w:p w14:paraId="0121F753" w14:textId="77777777" w:rsidR="003B6126" w:rsidRPr="00941E30" w:rsidRDefault="003B6126" w:rsidP="0086606E">
            <w:pPr>
              <w:rPr>
                <w:rFonts w:ascii="Times New Roman" w:hAnsi="Times New Roman"/>
                <w:color w:val="auto"/>
              </w:rPr>
            </w:pPr>
            <w:r w:rsidRPr="00941E30">
              <w:rPr>
                <w:rFonts w:ascii="Times New Roman" w:hAnsi="Times New Roman"/>
                <w:b/>
                <w:color w:val="auto"/>
              </w:rPr>
              <w:t>PROGRAMME 3</w:t>
            </w:r>
          </w:p>
        </w:tc>
      </w:tr>
      <w:tr w:rsidR="003B6126" w:rsidRPr="000C51B4" w14:paraId="3FB53DBD" w14:textId="77777777" w:rsidTr="00DB5E8C">
        <w:trPr>
          <w:trHeight w:val="122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6C4291E5" w14:textId="77777777" w:rsidR="003B6126" w:rsidRPr="00941E30" w:rsidRDefault="003B6126" w:rsidP="0086606E">
            <w:pPr>
              <w:rPr>
                <w:rFonts w:ascii="Times New Roman" w:hAnsi="Times New Roman"/>
                <w:color w:val="auto"/>
              </w:rPr>
            </w:pPr>
            <w:r w:rsidRPr="00941E30">
              <w:rPr>
                <w:rFonts w:ascii="Times New Roman" w:hAnsi="Times New Roman"/>
                <w:color w:val="auto"/>
              </w:rPr>
              <w:t>Inspect establishments to ensure compliance with relevant GXP and established standards w</w:t>
            </w:r>
            <w:r w:rsidR="00A53608" w:rsidRPr="00941E30">
              <w:rPr>
                <w:rFonts w:ascii="Times New Roman" w:hAnsi="Times New Roman"/>
                <w:color w:val="auto"/>
              </w:rPr>
              <w:t xml:space="preserve">ithin pre-defined timelines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50E3F18B"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establishments due for inspection inspected annually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53B64094" w14:textId="77777777" w:rsidR="003B6126" w:rsidRPr="00941E30" w:rsidRDefault="003B6126" w:rsidP="0086606E">
            <w:pPr>
              <w:rPr>
                <w:rFonts w:ascii="Times New Roman" w:hAnsi="Times New Roman"/>
                <w:color w:val="auto"/>
              </w:rPr>
            </w:pPr>
            <w:r w:rsidRPr="00941E30">
              <w:rPr>
                <w:rFonts w:ascii="Times New Roman" w:hAnsi="Times New Roman"/>
                <w:color w:val="auto"/>
              </w:rPr>
              <w:t>60 %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11D85ADD" w14:textId="77777777" w:rsidR="003B6126" w:rsidRPr="00941E30" w:rsidRDefault="003B6126" w:rsidP="0086606E">
            <w:pPr>
              <w:rPr>
                <w:rFonts w:ascii="Times New Roman" w:hAnsi="Times New Roman"/>
                <w:color w:val="auto"/>
              </w:rPr>
            </w:pPr>
            <w:r w:rsidRPr="00941E30">
              <w:rPr>
                <w:rFonts w:ascii="Times New Roman" w:hAnsi="Times New Roman"/>
                <w:color w:val="auto"/>
              </w:rPr>
              <w:t>45 %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342295BF" w14:textId="77777777" w:rsidR="003B6126" w:rsidRPr="00941E30" w:rsidRDefault="003B6126" w:rsidP="0086606E">
            <w:pPr>
              <w:rPr>
                <w:rFonts w:ascii="Times New Roman" w:hAnsi="Times New Roman"/>
                <w:color w:val="auto"/>
              </w:rPr>
            </w:pPr>
            <w:r w:rsidRPr="00941E30">
              <w:rPr>
                <w:rFonts w:ascii="Times New Roman" w:hAnsi="Times New Roman"/>
                <w:color w:val="auto"/>
              </w:rPr>
              <w:t>50 %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2DD7827A" w14:textId="77777777" w:rsidR="003B6126" w:rsidRPr="00941E30" w:rsidRDefault="003B6126" w:rsidP="0086606E">
            <w:pPr>
              <w:rPr>
                <w:rFonts w:ascii="Times New Roman" w:hAnsi="Times New Roman"/>
                <w:color w:val="auto"/>
              </w:rPr>
            </w:pPr>
            <w:r w:rsidRPr="00941E30">
              <w:rPr>
                <w:rFonts w:ascii="Times New Roman" w:hAnsi="Times New Roman"/>
                <w:color w:val="auto"/>
              </w:rPr>
              <w:t>60 %</w:t>
            </w:r>
          </w:p>
        </w:tc>
      </w:tr>
      <w:tr w:rsidR="003B6126" w:rsidRPr="000C51B4" w14:paraId="1AC42F4A" w14:textId="77777777" w:rsidTr="00DB5E8C">
        <w:trPr>
          <w:trHeight w:val="104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270E5713" w14:textId="77777777" w:rsidR="003B6126" w:rsidRPr="00941E30" w:rsidRDefault="003B6126" w:rsidP="0086606E">
            <w:pPr>
              <w:rPr>
                <w:rFonts w:ascii="Times New Roman" w:hAnsi="Times New Roman"/>
                <w:color w:val="auto"/>
              </w:rPr>
            </w:pPr>
            <w:r w:rsidRPr="00941E30">
              <w:rPr>
                <w:rFonts w:ascii="Times New Roman" w:hAnsi="Times New Roman"/>
                <w:color w:val="auto"/>
              </w:rPr>
              <w:t>Inspect permit holders/ establishments of narcotic and psychotropic substances to ensure compliance with established standards w</w:t>
            </w:r>
            <w:r w:rsidR="00A53608" w:rsidRPr="00941E30">
              <w:rPr>
                <w:rFonts w:ascii="Times New Roman" w:hAnsi="Times New Roman"/>
                <w:color w:val="auto"/>
              </w:rPr>
              <w:t xml:space="preserve">ithin pre-defined timelines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6C2F3E74"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permit holders/establishments/sites of narcotic and psychotropic substances inspected annually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6B7BDE13" w14:textId="77777777" w:rsidR="003B6126" w:rsidRPr="00941E30" w:rsidRDefault="003B6126" w:rsidP="0086606E">
            <w:pPr>
              <w:rPr>
                <w:rFonts w:ascii="Times New Roman" w:hAnsi="Times New Roman"/>
                <w:color w:val="auto"/>
              </w:rPr>
            </w:pPr>
            <w:r w:rsidRPr="00941E30">
              <w:rPr>
                <w:rFonts w:ascii="Times New Roman" w:hAnsi="Times New Roman"/>
                <w:color w:val="auto"/>
              </w:rPr>
              <w:t>20 %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0A037B83" w14:textId="77777777" w:rsidR="003B6126" w:rsidRPr="00941E30" w:rsidRDefault="003B6126" w:rsidP="0086606E">
            <w:pPr>
              <w:rPr>
                <w:rFonts w:ascii="Times New Roman" w:hAnsi="Times New Roman"/>
                <w:color w:val="auto"/>
              </w:rPr>
            </w:pPr>
            <w:r w:rsidRPr="00941E30">
              <w:rPr>
                <w:rFonts w:ascii="Times New Roman" w:hAnsi="Times New Roman"/>
                <w:color w:val="auto"/>
              </w:rPr>
              <w:t>20 %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42A606C3" w14:textId="77777777" w:rsidR="003B6126" w:rsidRPr="00941E30" w:rsidRDefault="003B6126" w:rsidP="0086606E">
            <w:pPr>
              <w:rPr>
                <w:rFonts w:ascii="Times New Roman" w:hAnsi="Times New Roman"/>
                <w:color w:val="auto"/>
              </w:rPr>
            </w:pPr>
            <w:r w:rsidRPr="00941E30">
              <w:rPr>
                <w:rFonts w:ascii="Times New Roman" w:hAnsi="Times New Roman"/>
                <w:color w:val="auto"/>
              </w:rPr>
              <w:t>20 %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14:paraId="765E4D30" w14:textId="77777777" w:rsidR="003B6126" w:rsidRPr="00941E30" w:rsidRDefault="003B6126" w:rsidP="0086606E">
            <w:pPr>
              <w:rPr>
                <w:rFonts w:ascii="Times New Roman" w:hAnsi="Times New Roman"/>
                <w:color w:val="auto"/>
              </w:rPr>
            </w:pPr>
            <w:r w:rsidRPr="00941E30">
              <w:rPr>
                <w:rFonts w:ascii="Times New Roman" w:hAnsi="Times New Roman"/>
                <w:color w:val="auto"/>
              </w:rPr>
              <w:t>20 %</w:t>
            </w:r>
          </w:p>
        </w:tc>
      </w:tr>
      <w:tr w:rsidR="003B6126" w:rsidRPr="000C51B4" w14:paraId="66C1A0BB" w14:textId="77777777" w:rsidTr="00DB5E8C">
        <w:trPr>
          <w:trHeight w:val="307"/>
        </w:trPr>
        <w:tc>
          <w:tcPr>
            <w:tcW w:w="9540"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28" w:type="dxa"/>
              <w:bottom w:w="0" w:type="dxa"/>
              <w:right w:w="28" w:type="dxa"/>
            </w:tcMar>
          </w:tcPr>
          <w:p w14:paraId="7356DF4E" w14:textId="77777777" w:rsidR="003B6126" w:rsidRPr="00941E30" w:rsidRDefault="003B6126" w:rsidP="0086606E">
            <w:pPr>
              <w:rPr>
                <w:rFonts w:ascii="Times New Roman" w:hAnsi="Times New Roman"/>
                <w:color w:val="auto"/>
              </w:rPr>
            </w:pPr>
            <w:r w:rsidRPr="00941E30">
              <w:rPr>
                <w:rFonts w:ascii="Times New Roman" w:hAnsi="Times New Roman"/>
                <w:b/>
                <w:color w:val="auto"/>
              </w:rPr>
              <w:t>PROGRAMME 4</w:t>
            </w:r>
          </w:p>
        </w:tc>
      </w:tr>
      <w:tr w:rsidR="003B6126" w:rsidRPr="000C51B4" w14:paraId="54DCF207" w14:textId="77777777" w:rsidTr="00DB5E8C">
        <w:trPr>
          <w:trHeight w:val="86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D400744" w14:textId="77777777" w:rsidR="003B6126" w:rsidRPr="00941E30" w:rsidRDefault="003B6126" w:rsidP="0086606E">
            <w:pPr>
              <w:rPr>
                <w:rFonts w:ascii="Times New Roman" w:hAnsi="Times New Roman"/>
                <w:color w:val="auto"/>
              </w:rPr>
            </w:pPr>
            <w:r w:rsidRPr="00941E30">
              <w:rPr>
                <w:rFonts w:ascii="Times New Roman" w:hAnsi="Times New Roman"/>
                <w:color w:val="auto"/>
              </w:rPr>
              <w:t>Evaluate clinical trial protocols received in accord</w:t>
            </w:r>
            <w:r w:rsidR="00A53608" w:rsidRPr="00941E30">
              <w:rPr>
                <w:rFonts w:ascii="Times New Roman" w:hAnsi="Times New Roman"/>
                <w:color w:val="auto"/>
              </w:rPr>
              <w:t xml:space="preserve">ance with defined standards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6393AC" w14:textId="77777777" w:rsidR="003B6126" w:rsidRPr="00941E30" w:rsidRDefault="003B6126" w:rsidP="0086606E">
            <w:pPr>
              <w:rPr>
                <w:rFonts w:ascii="Times New Roman" w:hAnsi="Times New Roman"/>
                <w:color w:val="auto"/>
              </w:rPr>
            </w:pPr>
            <w:r w:rsidRPr="00941E30">
              <w:rPr>
                <w:rFonts w:ascii="Times New Roman" w:hAnsi="Times New Roman"/>
                <w:color w:val="auto"/>
              </w:rPr>
              <w:t>% of clinical trial applications evaluated within an evaluation cycle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324EA66" w14:textId="77777777" w:rsidR="003B6126" w:rsidRPr="00941E30" w:rsidRDefault="003B6126" w:rsidP="0086606E">
            <w:pPr>
              <w:rPr>
                <w:rFonts w:ascii="Times New Roman" w:hAnsi="Times New Roman"/>
                <w:color w:val="auto"/>
              </w:rPr>
            </w:pPr>
            <w:r w:rsidRPr="00941E30">
              <w:rPr>
                <w:rFonts w:ascii="Times New Roman" w:hAnsi="Times New Roman"/>
                <w:color w:val="auto"/>
              </w:rPr>
              <w:t>95%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A413EBF" w14:textId="77777777" w:rsidR="003B6126" w:rsidRPr="00941E30" w:rsidRDefault="003B6126" w:rsidP="0086606E">
            <w:pPr>
              <w:rPr>
                <w:rFonts w:ascii="Times New Roman" w:hAnsi="Times New Roman"/>
                <w:color w:val="auto"/>
              </w:rPr>
            </w:pPr>
            <w:r w:rsidRPr="00941E30">
              <w:rPr>
                <w:rFonts w:ascii="Times New Roman" w:hAnsi="Times New Roman"/>
                <w:color w:val="auto"/>
              </w:rPr>
              <w:t>85%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410EA3F" w14:textId="77777777" w:rsidR="003B6126" w:rsidRPr="00941E30" w:rsidRDefault="003B6126" w:rsidP="0086606E">
            <w:pPr>
              <w:rPr>
                <w:rFonts w:ascii="Times New Roman" w:hAnsi="Times New Roman"/>
                <w:color w:val="auto"/>
              </w:rPr>
            </w:pPr>
            <w:r w:rsidRPr="00941E30">
              <w:rPr>
                <w:rFonts w:ascii="Times New Roman" w:hAnsi="Times New Roman"/>
                <w:color w:val="auto"/>
              </w:rPr>
              <w:t>90%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7F749F5" w14:textId="77777777" w:rsidR="003B6126" w:rsidRPr="00941E30" w:rsidRDefault="003B6126" w:rsidP="0086606E">
            <w:pPr>
              <w:rPr>
                <w:rFonts w:ascii="Times New Roman" w:hAnsi="Times New Roman"/>
                <w:color w:val="auto"/>
              </w:rPr>
            </w:pPr>
            <w:r w:rsidRPr="00941E30">
              <w:rPr>
                <w:rFonts w:ascii="Times New Roman" w:hAnsi="Times New Roman"/>
                <w:color w:val="auto"/>
              </w:rPr>
              <w:t>95%</w:t>
            </w:r>
          </w:p>
        </w:tc>
      </w:tr>
      <w:tr w:rsidR="003B6126" w:rsidRPr="000C51B4" w14:paraId="668BBEE1" w14:textId="77777777" w:rsidTr="00DB5E8C">
        <w:trPr>
          <w:trHeight w:val="77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B3DCEF5" w14:textId="77777777" w:rsidR="003B6126" w:rsidRPr="00941E30" w:rsidRDefault="003B6126" w:rsidP="0086606E">
            <w:pPr>
              <w:rPr>
                <w:rFonts w:ascii="Times New Roman" w:hAnsi="Times New Roman"/>
                <w:color w:val="auto"/>
              </w:rPr>
            </w:pPr>
            <w:r w:rsidRPr="00941E30">
              <w:rPr>
                <w:rFonts w:ascii="Times New Roman" w:hAnsi="Times New Roman"/>
                <w:color w:val="auto"/>
              </w:rPr>
              <w:t>Evaluate clinical trial protocol amendments in accord</w:t>
            </w:r>
            <w:r w:rsidR="00A53608" w:rsidRPr="00941E30">
              <w:rPr>
                <w:rFonts w:ascii="Times New Roman" w:hAnsi="Times New Roman"/>
                <w:color w:val="auto"/>
              </w:rPr>
              <w:t xml:space="preserve">ance with defined standards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D3973BB" w14:textId="77777777" w:rsidR="003B6126" w:rsidRPr="00941E30" w:rsidRDefault="003B6126" w:rsidP="0086606E">
            <w:pPr>
              <w:rPr>
                <w:rFonts w:ascii="Times New Roman" w:hAnsi="Times New Roman"/>
                <w:color w:val="auto"/>
              </w:rPr>
            </w:pPr>
            <w:r w:rsidRPr="00941E30">
              <w:rPr>
                <w:rFonts w:ascii="Times New Roman" w:hAnsi="Times New Roman"/>
                <w:color w:val="auto"/>
              </w:rPr>
              <w:t>% of clinical trial protocol amendments evaluated within pre-defined timelines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019A7E6" w14:textId="77777777" w:rsidR="003B6126" w:rsidRPr="00941E30" w:rsidRDefault="003B6126" w:rsidP="0086606E">
            <w:pPr>
              <w:rPr>
                <w:rFonts w:ascii="Times New Roman" w:hAnsi="Times New Roman"/>
                <w:color w:val="auto"/>
              </w:rPr>
            </w:pPr>
            <w:r w:rsidRPr="00941E30">
              <w:rPr>
                <w:rFonts w:ascii="Times New Roman" w:hAnsi="Times New Roman"/>
                <w:color w:val="auto"/>
              </w:rPr>
              <w:t>75%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34AE9A9" w14:textId="77777777" w:rsidR="003B6126" w:rsidRPr="00941E30" w:rsidRDefault="003B6126" w:rsidP="0086606E">
            <w:pPr>
              <w:rPr>
                <w:rFonts w:ascii="Times New Roman" w:hAnsi="Times New Roman"/>
                <w:color w:val="auto"/>
              </w:rPr>
            </w:pPr>
            <w:r w:rsidRPr="00941E30">
              <w:rPr>
                <w:rFonts w:ascii="Times New Roman" w:hAnsi="Times New Roman"/>
                <w:color w:val="auto"/>
              </w:rPr>
              <w:t>72%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F2E0B2" w14:textId="77777777" w:rsidR="003B6126" w:rsidRPr="00941E30" w:rsidRDefault="003B6126" w:rsidP="0086606E">
            <w:pPr>
              <w:rPr>
                <w:rFonts w:ascii="Times New Roman" w:hAnsi="Times New Roman"/>
                <w:color w:val="auto"/>
              </w:rPr>
            </w:pPr>
            <w:r w:rsidRPr="00941E30">
              <w:rPr>
                <w:rFonts w:ascii="Times New Roman" w:hAnsi="Times New Roman"/>
                <w:color w:val="auto"/>
              </w:rPr>
              <w:t>73%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A2E082" w14:textId="77777777" w:rsidR="003B6126" w:rsidRPr="00941E30" w:rsidRDefault="003B6126" w:rsidP="0086606E">
            <w:pPr>
              <w:rPr>
                <w:rFonts w:ascii="Times New Roman" w:hAnsi="Times New Roman"/>
                <w:color w:val="auto"/>
              </w:rPr>
            </w:pPr>
            <w:r w:rsidRPr="00941E30">
              <w:rPr>
                <w:rFonts w:ascii="Times New Roman" w:hAnsi="Times New Roman"/>
                <w:color w:val="auto"/>
              </w:rPr>
              <w:t>74%</w:t>
            </w:r>
          </w:p>
        </w:tc>
      </w:tr>
      <w:tr w:rsidR="003B6126" w:rsidRPr="000C51B4" w14:paraId="0ACBC3BB" w14:textId="77777777" w:rsidTr="00DB5E8C">
        <w:trPr>
          <w:trHeight w:val="86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A26ADE9" w14:textId="77777777" w:rsidR="003B6126" w:rsidRPr="00941E30" w:rsidRDefault="003B6126" w:rsidP="0086606E">
            <w:pPr>
              <w:rPr>
                <w:rFonts w:ascii="Times New Roman" w:hAnsi="Times New Roman"/>
                <w:color w:val="auto"/>
              </w:rPr>
            </w:pPr>
            <w:r w:rsidRPr="00941E30">
              <w:rPr>
                <w:rFonts w:ascii="Times New Roman" w:hAnsi="Times New Roman"/>
                <w:color w:val="auto"/>
              </w:rPr>
              <w:t>Evaluate the applications received for sale of unregistered health products in accord</w:t>
            </w:r>
            <w:r w:rsidR="00A53608" w:rsidRPr="00941E30">
              <w:rPr>
                <w:rFonts w:ascii="Times New Roman" w:hAnsi="Times New Roman"/>
                <w:color w:val="auto"/>
              </w:rPr>
              <w:t xml:space="preserve">ance with defined standards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8EA73E6"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applications  for the sale of an unregistered health product evaluated within a specified timeline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56D177F" w14:textId="77777777" w:rsidR="003B6126" w:rsidRPr="00941E30" w:rsidRDefault="003B6126" w:rsidP="0086606E">
            <w:pPr>
              <w:rPr>
                <w:rFonts w:ascii="Times New Roman" w:hAnsi="Times New Roman"/>
                <w:color w:val="auto"/>
              </w:rPr>
            </w:pPr>
            <w:r w:rsidRPr="00941E30">
              <w:rPr>
                <w:rFonts w:ascii="Times New Roman" w:hAnsi="Times New Roman"/>
                <w:color w:val="auto"/>
              </w:rPr>
              <w:t>85%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52B2DEB" w14:textId="77777777" w:rsidR="003B6126" w:rsidRPr="00941E30" w:rsidRDefault="003B6126" w:rsidP="0086606E">
            <w:pPr>
              <w:rPr>
                <w:rFonts w:ascii="Times New Roman" w:hAnsi="Times New Roman"/>
                <w:color w:val="auto"/>
              </w:rPr>
            </w:pPr>
            <w:r w:rsidRPr="00941E30">
              <w:rPr>
                <w:rFonts w:ascii="Times New Roman" w:hAnsi="Times New Roman"/>
                <w:color w:val="auto"/>
              </w:rPr>
              <w:t>75%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48D4E7C" w14:textId="77777777" w:rsidR="003B6126" w:rsidRPr="00941E30" w:rsidRDefault="003B6126" w:rsidP="0086606E">
            <w:pPr>
              <w:rPr>
                <w:rFonts w:ascii="Times New Roman" w:hAnsi="Times New Roman"/>
                <w:color w:val="auto"/>
              </w:rPr>
            </w:pPr>
            <w:r w:rsidRPr="00941E30">
              <w:rPr>
                <w:rFonts w:ascii="Times New Roman" w:hAnsi="Times New Roman"/>
                <w:color w:val="auto"/>
              </w:rPr>
              <w:t>80%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C08DB24" w14:textId="77777777" w:rsidR="003B6126" w:rsidRPr="00941E30" w:rsidRDefault="003B6126" w:rsidP="0086606E">
            <w:pPr>
              <w:rPr>
                <w:rFonts w:ascii="Times New Roman" w:hAnsi="Times New Roman"/>
                <w:color w:val="auto"/>
              </w:rPr>
            </w:pPr>
            <w:r w:rsidRPr="00941E30">
              <w:rPr>
                <w:rFonts w:ascii="Times New Roman" w:hAnsi="Times New Roman"/>
                <w:color w:val="auto"/>
              </w:rPr>
              <w:t>85%</w:t>
            </w:r>
          </w:p>
        </w:tc>
      </w:tr>
      <w:tr w:rsidR="003B6126" w:rsidRPr="000C51B4" w14:paraId="595FB924" w14:textId="77777777" w:rsidTr="00DB5E8C">
        <w:trPr>
          <w:trHeight w:val="95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62093A2" w14:textId="77777777" w:rsidR="003B6126" w:rsidRPr="00941E30" w:rsidRDefault="003B6126" w:rsidP="0086606E">
            <w:pPr>
              <w:rPr>
                <w:rFonts w:ascii="Times New Roman" w:hAnsi="Times New Roman"/>
                <w:color w:val="auto"/>
              </w:rPr>
            </w:pPr>
            <w:r w:rsidRPr="00941E30">
              <w:rPr>
                <w:rFonts w:ascii="Times New Roman" w:hAnsi="Times New Roman"/>
                <w:color w:val="auto"/>
              </w:rPr>
              <w:t>Scientific Evaluation of all NCE/ Biological applications submit</w:t>
            </w:r>
            <w:r w:rsidR="00A53608" w:rsidRPr="00941E30">
              <w:rPr>
                <w:rFonts w:ascii="Times New Roman" w:hAnsi="Times New Roman"/>
                <w:color w:val="auto"/>
              </w:rPr>
              <w:t xml:space="preserve">ted for regulatory decision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ACC7841" w14:textId="77777777" w:rsidR="003B6126" w:rsidRPr="00941E30" w:rsidRDefault="003B6126" w:rsidP="0086606E">
            <w:pPr>
              <w:rPr>
                <w:rFonts w:ascii="Times New Roman" w:hAnsi="Times New Roman"/>
                <w:color w:val="auto"/>
              </w:rPr>
            </w:pPr>
            <w:r w:rsidRPr="00941E30">
              <w:rPr>
                <w:rFonts w:ascii="Times New Roman" w:hAnsi="Times New Roman"/>
                <w:color w:val="auto"/>
              </w:rPr>
              <w:t>% of NCE/Biological applications evaluations concluded with a regulatory decision taken within 275 working days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12E3D9D" w14:textId="77777777" w:rsidR="003B6126" w:rsidRPr="00941E30" w:rsidRDefault="003B6126" w:rsidP="0086606E">
            <w:pPr>
              <w:rPr>
                <w:rFonts w:ascii="Times New Roman" w:hAnsi="Times New Roman"/>
                <w:color w:val="auto"/>
              </w:rPr>
            </w:pPr>
            <w:r w:rsidRPr="00941E30">
              <w:rPr>
                <w:rFonts w:ascii="Times New Roman" w:hAnsi="Times New Roman"/>
                <w:color w:val="auto"/>
              </w:rPr>
              <w:t>80%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FE8E5F" w14:textId="77777777" w:rsidR="003B6126" w:rsidRPr="00941E30" w:rsidRDefault="003B6126" w:rsidP="0086606E">
            <w:pPr>
              <w:rPr>
                <w:rFonts w:ascii="Times New Roman" w:hAnsi="Times New Roman"/>
                <w:color w:val="auto"/>
              </w:rPr>
            </w:pPr>
            <w:r w:rsidRPr="00941E30">
              <w:rPr>
                <w:rFonts w:ascii="Times New Roman" w:hAnsi="Times New Roman"/>
                <w:color w:val="auto"/>
              </w:rPr>
              <w:t>40%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1A8A04A" w14:textId="77777777" w:rsidR="003B6126" w:rsidRPr="00941E30" w:rsidRDefault="003B6126" w:rsidP="0086606E">
            <w:pPr>
              <w:rPr>
                <w:rFonts w:ascii="Times New Roman" w:hAnsi="Times New Roman"/>
                <w:color w:val="auto"/>
              </w:rPr>
            </w:pPr>
            <w:r w:rsidRPr="00941E30">
              <w:rPr>
                <w:rFonts w:ascii="Times New Roman" w:hAnsi="Times New Roman"/>
                <w:color w:val="auto"/>
              </w:rPr>
              <w:t>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D19FF31" w14:textId="77777777" w:rsidR="003B6126" w:rsidRPr="00941E30" w:rsidRDefault="003B6126" w:rsidP="0086606E">
            <w:pPr>
              <w:rPr>
                <w:rFonts w:ascii="Times New Roman" w:hAnsi="Times New Roman"/>
                <w:color w:val="auto"/>
              </w:rPr>
            </w:pPr>
            <w:r w:rsidRPr="00941E30">
              <w:rPr>
                <w:rFonts w:ascii="Times New Roman" w:hAnsi="Times New Roman"/>
                <w:color w:val="auto"/>
              </w:rPr>
              <w:t>60%</w:t>
            </w:r>
          </w:p>
        </w:tc>
      </w:tr>
      <w:tr w:rsidR="003B6126" w:rsidRPr="000C51B4" w14:paraId="48D6D9CD" w14:textId="77777777" w:rsidTr="00DB5E8C">
        <w:trPr>
          <w:trHeight w:val="104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84E78B6" w14:textId="77777777" w:rsidR="003B6126" w:rsidRPr="00941E30" w:rsidRDefault="003B6126" w:rsidP="0086606E">
            <w:pPr>
              <w:rPr>
                <w:rFonts w:ascii="Times New Roman" w:hAnsi="Times New Roman"/>
                <w:color w:val="auto"/>
              </w:rPr>
            </w:pPr>
            <w:r w:rsidRPr="00941E30">
              <w:rPr>
                <w:rFonts w:ascii="Times New Roman" w:hAnsi="Times New Roman"/>
                <w:color w:val="auto"/>
              </w:rPr>
              <w:t>Scientific Evaluation of New Health Product amendments submitted for regulatory decision (4.5)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0579C7C5"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NCE/Biological amendments evaluations concluded with a regulatory decision within 120 working days </w:t>
            </w:r>
          </w:p>
          <w:p w14:paraId="2BF18864" w14:textId="77777777" w:rsidR="003B6126" w:rsidRPr="00941E30" w:rsidRDefault="003B6126" w:rsidP="0086606E">
            <w:pPr>
              <w:rPr>
                <w:rFonts w:ascii="Times New Roman" w:hAnsi="Times New Roman"/>
                <w:color w:val="auto"/>
              </w:rPr>
            </w:pPr>
            <w:r w:rsidRPr="00941E30">
              <w:rPr>
                <w:rFonts w:ascii="Times New Roman" w:hAnsi="Times New Roman"/>
                <w:color w:val="auto"/>
              </w:rPr>
              <w:t>(time spent at regulator)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C0A242A" w14:textId="77777777" w:rsidR="003B6126" w:rsidRPr="00941E30" w:rsidRDefault="003B6126" w:rsidP="0086606E">
            <w:pPr>
              <w:rPr>
                <w:rFonts w:ascii="Times New Roman" w:hAnsi="Times New Roman"/>
                <w:color w:val="auto"/>
              </w:rPr>
            </w:pPr>
            <w:r w:rsidRPr="00941E30">
              <w:rPr>
                <w:rFonts w:ascii="Times New Roman" w:hAnsi="Times New Roman"/>
                <w:color w:val="auto"/>
              </w:rPr>
              <w:t>80%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C1A562B" w14:textId="77777777" w:rsidR="003B6126" w:rsidRPr="00941E30" w:rsidRDefault="003B6126" w:rsidP="0086606E">
            <w:pPr>
              <w:rPr>
                <w:rFonts w:ascii="Times New Roman" w:hAnsi="Times New Roman"/>
                <w:color w:val="auto"/>
              </w:rPr>
            </w:pPr>
            <w:r w:rsidRPr="00941E30">
              <w:rPr>
                <w:rFonts w:ascii="Times New Roman" w:hAnsi="Times New Roman"/>
                <w:color w:val="auto"/>
              </w:rPr>
              <w:t>40%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796893A6" w14:textId="77777777" w:rsidR="003B6126" w:rsidRPr="00941E30" w:rsidRDefault="003B6126" w:rsidP="0086606E">
            <w:pPr>
              <w:rPr>
                <w:rFonts w:ascii="Times New Roman" w:hAnsi="Times New Roman"/>
                <w:color w:val="auto"/>
              </w:rPr>
            </w:pPr>
            <w:r w:rsidRPr="00941E30">
              <w:rPr>
                <w:rFonts w:ascii="Times New Roman" w:hAnsi="Times New Roman"/>
                <w:color w:val="auto"/>
              </w:rPr>
              <w:t>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BF533F4" w14:textId="77777777" w:rsidR="003B6126" w:rsidRPr="00941E30" w:rsidRDefault="003B6126" w:rsidP="0086606E">
            <w:pPr>
              <w:rPr>
                <w:rFonts w:ascii="Times New Roman" w:hAnsi="Times New Roman"/>
                <w:color w:val="auto"/>
              </w:rPr>
            </w:pPr>
            <w:r w:rsidRPr="00941E30">
              <w:rPr>
                <w:rFonts w:ascii="Times New Roman" w:hAnsi="Times New Roman"/>
                <w:color w:val="auto"/>
              </w:rPr>
              <w:t>60%</w:t>
            </w:r>
          </w:p>
        </w:tc>
      </w:tr>
      <w:tr w:rsidR="003B6126" w:rsidRPr="000C51B4" w14:paraId="277605A6" w14:textId="77777777" w:rsidTr="00DB5E8C">
        <w:trPr>
          <w:trHeight w:val="1270"/>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756E7638"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Scientific Evaluation of Generic / Biosimilar applications submitted for </w:t>
            </w:r>
            <w:r w:rsidR="00A53608" w:rsidRPr="00941E30">
              <w:rPr>
                <w:rFonts w:ascii="Times New Roman" w:hAnsi="Times New Roman"/>
                <w:color w:val="auto"/>
              </w:rPr>
              <w:t>regulatory decision</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29BA4000"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Generic / Biosimilar application evaluations concluded with a regulatory decision within 180 working days </w:t>
            </w:r>
          </w:p>
          <w:p w14:paraId="69360B00" w14:textId="77777777" w:rsidR="003B6126" w:rsidRPr="00941E30" w:rsidRDefault="003B6126" w:rsidP="0086606E">
            <w:pPr>
              <w:rPr>
                <w:rFonts w:ascii="Times New Roman" w:hAnsi="Times New Roman"/>
                <w:color w:val="auto"/>
              </w:rPr>
            </w:pPr>
            <w:r w:rsidRPr="00941E30">
              <w:rPr>
                <w:rFonts w:ascii="Times New Roman" w:hAnsi="Times New Roman"/>
                <w:color w:val="auto"/>
              </w:rPr>
              <w:t>(time spent at regulator)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950F862" w14:textId="77777777" w:rsidR="003B6126" w:rsidRPr="00941E30" w:rsidRDefault="003B6126" w:rsidP="0086606E">
            <w:pPr>
              <w:rPr>
                <w:rFonts w:ascii="Times New Roman" w:hAnsi="Times New Roman"/>
                <w:color w:val="auto"/>
              </w:rPr>
            </w:pPr>
            <w:r w:rsidRPr="00941E30">
              <w:rPr>
                <w:rFonts w:ascii="Times New Roman" w:hAnsi="Times New Roman"/>
                <w:color w:val="auto"/>
              </w:rPr>
              <w:t>80%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1255AB56" w14:textId="77777777" w:rsidR="003B6126" w:rsidRPr="00941E30" w:rsidRDefault="003B6126" w:rsidP="0086606E">
            <w:pPr>
              <w:rPr>
                <w:rFonts w:ascii="Times New Roman" w:hAnsi="Times New Roman"/>
                <w:color w:val="auto"/>
              </w:rPr>
            </w:pPr>
            <w:r w:rsidRPr="00941E30">
              <w:rPr>
                <w:rFonts w:ascii="Times New Roman" w:hAnsi="Times New Roman"/>
                <w:color w:val="auto"/>
              </w:rPr>
              <w:t>40%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7B9AACA6" w14:textId="77777777" w:rsidR="003B6126" w:rsidRPr="00941E30" w:rsidRDefault="003B6126" w:rsidP="0086606E">
            <w:pPr>
              <w:rPr>
                <w:rFonts w:ascii="Times New Roman" w:hAnsi="Times New Roman"/>
                <w:color w:val="auto"/>
              </w:rPr>
            </w:pPr>
            <w:r w:rsidRPr="00941E30">
              <w:rPr>
                <w:rFonts w:ascii="Times New Roman" w:hAnsi="Times New Roman"/>
                <w:color w:val="auto"/>
              </w:rPr>
              <w:t>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77DE5529" w14:textId="77777777" w:rsidR="003B6126" w:rsidRPr="00941E30" w:rsidRDefault="003B6126" w:rsidP="0086606E">
            <w:pPr>
              <w:rPr>
                <w:rFonts w:ascii="Times New Roman" w:hAnsi="Times New Roman"/>
                <w:color w:val="auto"/>
              </w:rPr>
            </w:pPr>
            <w:r w:rsidRPr="00941E30">
              <w:rPr>
                <w:rFonts w:ascii="Times New Roman" w:hAnsi="Times New Roman"/>
                <w:color w:val="auto"/>
              </w:rPr>
              <w:t>60%</w:t>
            </w:r>
          </w:p>
        </w:tc>
      </w:tr>
      <w:tr w:rsidR="003B6126" w:rsidRPr="000C51B4" w14:paraId="32FCFC49" w14:textId="77777777" w:rsidTr="00DB5E8C">
        <w:trPr>
          <w:trHeight w:val="865"/>
        </w:trPr>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75C37F9A"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Scientific Evaluation  of Generic / Biosimilar amendments  submitted for </w:t>
            </w:r>
            <w:r w:rsidR="00A53608" w:rsidRPr="00941E30">
              <w:rPr>
                <w:rFonts w:ascii="Times New Roman" w:hAnsi="Times New Roman"/>
                <w:color w:val="auto"/>
              </w:rPr>
              <w:t xml:space="preserve">regulatory decision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8033007"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 of Generic/ Biosimilar amendment evaluations concluded with a regulatory decision within 120 working days </w:t>
            </w:r>
          </w:p>
          <w:p w14:paraId="5D566AC3" w14:textId="77777777" w:rsidR="003B6126" w:rsidRPr="00941E30" w:rsidRDefault="003B6126" w:rsidP="0086606E">
            <w:pPr>
              <w:rPr>
                <w:rFonts w:ascii="Times New Roman" w:hAnsi="Times New Roman"/>
                <w:color w:val="auto"/>
              </w:rPr>
            </w:pPr>
            <w:r w:rsidRPr="00941E30">
              <w:rPr>
                <w:rFonts w:ascii="Times New Roman" w:hAnsi="Times New Roman"/>
                <w:color w:val="auto"/>
              </w:rPr>
              <w:t>(time spent at regulator)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74A9C18" w14:textId="77777777" w:rsidR="003B6126" w:rsidRPr="00941E30" w:rsidRDefault="003B6126" w:rsidP="0086606E">
            <w:pPr>
              <w:rPr>
                <w:rFonts w:ascii="Times New Roman" w:hAnsi="Times New Roman"/>
                <w:color w:val="auto"/>
              </w:rPr>
            </w:pPr>
            <w:r w:rsidRPr="00941E30">
              <w:rPr>
                <w:rFonts w:ascii="Times New Roman" w:hAnsi="Times New Roman"/>
                <w:color w:val="auto"/>
              </w:rPr>
              <w:t>80%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4533C14" w14:textId="77777777" w:rsidR="003B6126" w:rsidRPr="00941E30" w:rsidRDefault="003B6126" w:rsidP="0086606E">
            <w:pPr>
              <w:rPr>
                <w:rFonts w:ascii="Times New Roman" w:hAnsi="Times New Roman"/>
                <w:color w:val="auto"/>
              </w:rPr>
            </w:pPr>
            <w:r w:rsidRPr="00941E30">
              <w:rPr>
                <w:rFonts w:ascii="Times New Roman" w:hAnsi="Times New Roman"/>
                <w:color w:val="auto"/>
              </w:rPr>
              <w:t>40%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834B2AA" w14:textId="77777777" w:rsidR="003B6126" w:rsidRPr="00941E30" w:rsidRDefault="003B6126" w:rsidP="0086606E">
            <w:pPr>
              <w:rPr>
                <w:rFonts w:ascii="Times New Roman" w:hAnsi="Times New Roman"/>
                <w:color w:val="auto"/>
              </w:rPr>
            </w:pPr>
            <w:r w:rsidRPr="00941E30">
              <w:rPr>
                <w:rFonts w:ascii="Times New Roman" w:hAnsi="Times New Roman"/>
                <w:color w:val="auto"/>
              </w:rPr>
              <w:t>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8B71712" w14:textId="77777777" w:rsidR="003B6126" w:rsidRPr="00941E30" w:rsidRDefault="003B6126" w:rsidP="0086606E">
            <w:pPr>
              <w:rPr>
                <w:rFonts w:ascii="Times New Roman" w:hAnsi="Times New Roman"/>
                <w:color w:val="auto"/>
              </w:rPr>
            </w:pPr>
            <w:r w:rsidRPr="00941E30">
              <w:rPr>
                <w:rFonts w:ascii="Times New Roman" w:hAnsi="Times New Roman"/>
                <w:color w:val="auto"/>
              </w:rPr>
              <w:t>60%</w:t>
            </w:r>
          </w:p>
        </w:tc>
      </w:tr>
      <w:tr w:rsidR="003B6126" w:rsidRPr="000C51B4" w14:paraId="1BAE6CC8" w14:textId="77777777" w:rsidTr="00DB5E8C">
        <w:trPr>
          <w:trHeight w:val="978"/>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2E6741D4" w14:textId="77777777" w:rsidR="003B6126" w:rsidRPr="00941E30" w:rsidRDefault="003B6126" w:rsidP="0086606E">
            <w:pPr>
              <w:rPr>
                <w:rFonts w:ascii="Times New Roman" w:hAnsi="Times New Roman"/>
                <w:color w:val="auto"/>
              </w:rPr>
            </w:pPr>
            <w:r w:rsidRPr="00941E30">
              <w:rPr>
                <w:rFonts w:ascii="Times New Roman" w:hAnsi="Times New Roman"/>
                <w:color w:val="auto"/>
              </w:rPr>
              <w:t>Investigate, monitor, analyze solicit and act upon existing and new adverse events, interactions and signals emerging from post-marketing</w:t>
            </w:r>
            <w:r w:rsidR="00A53608" w:rsidRPr="00941E30">
              <w:rPr>
                <w:rFonts w:ascii="Times New Roman" w:hAnsi="Times New Roman"/>
                <w:color w:val="auto"/>
              </w:rPr>
              <w:t xml:space="preserve"> surveillance and vigilance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A553C87" w14:textId="77777777" w:rsidR="003B6126" w:rsidRPr="00941E30" w:rsidRDefault="003B6126" w:rsidP="0086606E">
            <w:pPr>
              <w:rPr>
                <w:rFonts w:ascii="Times New Roman" w:hAnsi="Times New Roman"/>
                <w:color w:val="auto"/>
              </w:rPr>
            </w:pPr>
            <w:r w:rsidRPr="00941E30">
              <w:rPr>
                <w:rFonts w:ascii="Times New Roman" w:hAnsi="Times New Roman"/>
                <w:color w:val="auto"/>
              </w:rPr>
              <w:t>Published quarterly reports of new adverse events and signals that have been assessed, actioned and concluded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2FFF111"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4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FCFF3D6"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17CA50B5"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4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786DBE3"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4 </w:t>
            </w:r>
          </w:p>
        </w:tc>
      </w:tr>
      <w:tr w:rsidR="003B6126" w:rsidRPr="000C51B4" w14:paraId="0A8C7C59" w14:textId="77777777" w:rsidTr="00DB5E8C">
        <w:trPr>
          <w:trHeight w:val="748"/>
        </w:trPr>
        <w:tc>
          <w:tcPr>
            <w:tcW w:w="2430" w:type="dxa"/>
            <w:vMerge/>
            <w:tcBorders>
              <w:top w:val="single" w:sz="8" w:space="0" w:color="000000"/>
              <w:left w:val="single" w:sz="8" w:space="0" w:color="000000"/>
              <w:bottom w:val="single" w:sz="8" w:space="0" w:color="000000"/>
              <w:right w:val="single" w:sz="8" w:space="0" w:color="000000"/>
            </w:tcBorders>
            <w:vAlign w:val="center"/>
            <w:hideMark/>
          </w:tcPr>
          <w:p w14:paraId="0D8FFBEB" w14:textId="77777777" w:rsidR="003B6126" w:rsidRPr="00941E30" w:rsidRDefault="003B6126" w:rsidP="0086606E">
            <w:pPr>
              <w:rPr>
                <w:rFonts w:ascii="Times New Roman" w:hAnsi="Times New Roman"/>
                <w:color w:val="auto"/>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67C00FE1" w14:textId="77777777" w:rsidR="003B6126" w:rsidRPr="00941E30" w:rsidRDefault="003B6126" w:rsidP="0086606E">
            <w:pPr>
              <w:rPr>
                <w:rFonts w:ascii="Times New Roman" w:hAnsi="Times New Roman"/>
                <w:color w:val="auto"/>
              </w:rPr>
            </w:pPr>
            <w:r w:rsidRPr="00941E30">
              <w:rPr>
                <w:rFonts w:ascii="Times New Roman" w:hAnsi="Times New Roman"/>
                <w:color w:val="auto"/>
              </w:rPr>
              <w:t>An inclusive vigilance framework for all health products developed and approved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4E2E1CB4" w14:textId="77777777" w:rsidR="003B6126" w:rsidRPr="00941E30" w:rsidRDefault="003B6126" w:rsidP="0086606E">
            <w:pPr>
              <w:rPr>
                <w:rFonts w:ascii="Times New Roman" w:hAnsi="Times New Roman"/>
                <w:color w:val="auto"/>
              </w:rPr>
            </w:pPr>
            <w:r w:rsidRPr="00941E30">
              <w:rPr>
                <w:rFonts w:ascii="Times New Roman" w:hAnsi="Times New Roman"/>
                <w:color w:val="auto"/>
              </w:rPr>
              <w:t>Approved Vigilance Framework for all health products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5A1009CB" w14:textId="77777777" w:rsidR="003B6126" w:rsidRPr="00941E30" w:rsidRDefault="003B6126" w:rsidP="0086606E">
            <w:pPr>
              <w:rPr>
                <w:rFonts w:ascii="Times New Roman" w:hAnsi="Times New Roman"/>
                <w:color w:val="auto"/>
              </w:rPr>
            </w:pPr>
            <w:r w:rsidRPr="00941E30">
              <w:rPr>
                <w:rFonts w:ascii="Times New Roman" w:hAnsi="Times New Roman"/>
                <w:color w:val="auto"/>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345499DF" w14:textId="77777777" w:rsidR="003B6126" w:rsidRPr="00941E30" w:rsidRDefault="003B6126" w:rsidP="0086606E">
            <w:pPr>
              <w:rPr>
                <w:rFonts w:ascii="Times New Roman" w:hAnsi="Times New Roman"/>
                <w:color w:val="auto"/>
              </w:rPr>
            </w:pPr>
            <w:r w:rsidRPr="00941E30">
              <w:rPr>
                <w:rFonts w:ascii="Times New Roman" w:hAnsi="Times New Roman"/>
                <w:color w:val="auto"/>
              </w:rPr>
              <w:t xml:space="preserve">Draft framework developed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14:paraId="2C9FD3C8" w14:textId="77777777" w:rsidR="003B6126" w:rsidRPr="00941E30" w:rsidRDefault="003B6126" w:rsidP="0086606E">
            <w:pPr>
              <w:rPr>
                <w:rFonts w:ascii="Times New Roman" w:hAnsi="Times New Roman"/>
                <w:color w:val="auto"/>
              </w:rPr>
            </w:pPr>
            <w:r w:rsidRPr="00941E30">
              <w:rPr>
                <w:rFonts w:ascii="Times New Roman" w:hAnsi="Times New Roman"/>
                <w:color w:val="auto"/>
              </w:rPr>
              <w:t>Approved Vigilance Framework for all health products</w:t>
            </w:r>
          </w:p>
        </w:tc>
      </w:tr>
    </w:tbl>
    <w:p w14:paraId="4A8B09E5" w14:textId="77777777" w:rsidR="003B6126" w:rsidRPr="00941E30" w:rsidRDefault="003B6126" w:rsidP="00941E30"/>
    <w:p w14:paraId="53076C6F" w14:textId="77777777" w:rsidR="006A253C" w:rsidRDefault="006A253C" w:rsidP="00941E30">
      <w:pPr>
        <w:pStyle w:val="Heading2"/>
        <w:numPr>
          <w:ilvl w:val="0"/>
          <w:numId w:val="0"/>
        </w:numPr>
        <w:jc w:val="both"/>
        <w:rPr>
          <w:rFonts w:ascii="Times New Roman" w:hAnsi="Times New Roman" w:cs="Times New Roman"/>
          <w:sz w:val="24"/>
          <w:szCs w:val="24"/>
        </w:rPr>
      </w:pPr>
    </w:p>
    <w:p w14:paraId="5ED7BAC9" w14:textId="77777777" w:rsidR="008F0730" w:rsidRPr="0093633A" w:rsidRDefault="008F0730" w:rsidP="00941E30">
      <w:pPr>
        <w:pStyle w:val="Heading2"/>
        <w:numPr>
          <w:ilvl w:val="0"/>
          <w:numId w:val="0"/>
        </w:numPr>
        <w:jc w:val="both"/>
        <w:rPr>
          <w:rFonts w:ascii="Times New Roman" w:hAnsi="Times New Roman" w:cs="Times New Roman"/>
          <w:sz w:val="24"/>
          <w:szCs w:val="24"/>
        </w:rPr>
      </w:pPr>
      <w:r w:rsidRPr="0093633A">
        <w:rPr>
          <w:rFonts w:ascii="Times New Roman" w:hAnsi="Times New Roman" w:cs="Times New Roman"/>
          <w:sz w:val="24"/>
          <w:szCs w:val="24"/>
        </w:rPr>
        <w:t xml:space="preserve">Budget </w:t>
      </w:r>
      <w:r w:rsidR="004C69B3">
        <w:rPr>
          <w:rFonts w:ascii="Times New Roman" w:hAnsi="Times New Roman" w:cs="Times New Roman"/>
          <w:sz w:val="24"/>
          <w:szCs w:val="24"/>
        </w:rPr>
        <w:t>Overview</w:t>
      </w:r>
    </w:p>
    <w:p w14:paraId="15259068" w14:textId="77777777" w:rsidR="008F0730" w:rsidRPr="0093633A" w:rsidRDefault="008F0730" w:rsidP="00085BAF">
      <w:pPr>
        <w:jc w:val="both"/>
        <w:rPr>
          <w:rFonts w:ascii="Times New Roman" w:hAnsi="Times New Roman"/>
          <w:sz w:val="24"/>
          <w:szCs w:val="24"/>
        </w:rPr>
      </w:pPr>
    </w:p>
    <w:p w14:paraId="5D21A206" w14:textId="77777777" w:rsidR="00094B5C" w:rsidRPr="0093633A" w:rsidRDefault="008F0730"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SAHPRA has a budget of R215.9 million for the 2018/19 financial year made up of R90.7 million fees (42 </w:t>
      </w:r>
      <w:r w:rsidR="00104807">
        <w:rPr>
          <w:rFonts w:ascii="Times New Roman" w:hAnsi="Times New Roman"/>
          <w:sz w:val="24"/>
          <w:szCs w:val="24"/>
        </w:rPr>
        <w:t>%</w:t>
      </w:r>
      <w:r w:rsidRPr="0093633A">
        <w:rPr>
          <w:rFonts w:ascii="Times New Roman" w:hAnsi="Times New Roman"/>
          <w:sz w:val="24"/>
          <w:szCs w:val="24"/>
        </w:rPr>
        <w:t xml:space="preserve">) and R125 million (58 </w:t>
      </w:r>
      <w:r w:rsidR="00104807">
        <w:rPr>
          <w:rFonts w:ascii="Times New Roman" w:hAnsi="Times New Roman"/>
          <w:sz w:val="24"/>
          <w:szCs w:val="24"/>
        </w:rPr>
        <w:t>%</w:t>
      </w:r>
      <w:r w:rsidRPr="0093633A">
        <w:rPr>
          <w:rFonts w:ascii="Times New Roman" w:hAnsi="Times New Roman"/>
          <w:sz w:val="24"/>
          <w:szCs w:val="24"/>
        </w:rPr>
        <w:t xml:space="preserve">) Treasury allocation. The budget increases to R268.4 million in 2019/20, made up of R136.2 million from fees (51 </w:t>
      </w:r>
      <w:r w:rsidR="00104807">
        <w:rPr>
          <w:rFonts w:ascii="Times New Roman" w:hAnsi="Times New Roman"/>
          <w:sz w:val="24"/>
          <w:szCs w:val="24"/>
        </w:rPr>
        <w:t>%</w:t>
      </w:r>
      <w:r w:rsidRPr="0093633A">
        <w:rPr>
          <w:rFonts w:ascii="Times New Roman" w:hAnsi="Times New Roman"/>
          <w:sz w:val="24"/>
          <w:szCs w:val="24"/>
        </w:rPr>
        <w:t xml:space="preserve">) and R132.2 million (49 </w:t>
      </w:r>
      <w:r w:rsidR="00104807">
        <w:rPr>
          <w:rFonts w:ascii="Times New Roman" w:hAnsi="Times New Roman"/>
          <w:sz w:val="24"/>
          <w:szCs w:val="24"/>
        </w:rPr>
        <w:t>%</w:t>
      </w:r>
      <w:r w:rsidRPr="0093633A">
        <w:rPr>
          <w:rFonts w:ascii="Times New Roman" w:hAnsi="Times New Roman"/>
          <w:sz w:val="24"/>
          <w:szCs w:val="24"/>
        </w:rPr>
        <w:t xml:space="preserve">) Treasury allocation. </w:t>
      </w:r>
    </w:p>
    <w:p w14:paraId="6E519B84" w14:textId="77777777" w:rsidR="008F0730" w:rsidRDefault="008F0730">
      <w:pPr>
        <w:jc w:val="both"/>
        <w:rPr>
          <w:rFonts w:ascii="Times New Roman" w:hAnsi="Times New Roman"/>
          <w:sz w:val="24"/>
          <w:szCs w:val="24"/>
        </w:rPr>
      </w:pPr>
    </w:p>
    <w:p w14:paraId="4BC800E7" w14:textId="77777777" w:rsidR="00DE53D3" w:rsidRDefault="00DE53D3">
      <w:pPr>
        <w:rPr>
          <w:rFonts w:ascii="Times New Roman" w:hAnsi="Times New Roman"/>
          <w:b/>
          <w:sz w:val="20"/>
          <w:szCs w:val="24"/>
        </w:rPr>
      </w:pPr>
      <w:r>
        <w:rPr>
          <w:rFonts w:ascii="Times New Roman" w:hAnsi="Times New Roman"/>
          <w:b/>
          <w:sz w:val="20"/>
          <w:szCs w:val="24"/>
        </w:rPr>
        <w:br w:type="page"/>
      </w:r>
    </w:p>
    <w:p w14:paraId="52D771C3" w14:textId="77777777" w:rsidR="008F0730" w:rsidRPr="00941E30" w:rsidRDefault="008F0730" w:rsidP="00941E30">
      <w:pPr>
        <w:spacing w:after="120"/>
        <w:jc w:val="both"/>
        <w:rPr>
          <w:rFonts w:ascii="Times New Roman" w:hAnsi="Times New Roman"/>
          <w:b/>
          <w:sz w:val="20"/>
          <w:szCs w:val="24"/>
        </w:rPr>
      </w:pPr>
      <w:r w:rsidRPr="00941E30">
        <w:rPr>
          <w:rFonts w:ascii="Times New Roman" w:hAnsi="Times New Roman"/>
          <w:b/>
          <w:sz w:val="20"/>
          <w:szCs w:val="24"/>
        </w:rPr>
        <w:t xml:space="preserve">Table </w:t>
      </w:r>
      <w:r w:rsidR="00DB5E8C">
        <w:rPr>
          <w:rFonts w:ascii="Times New Roman" w:hAnsi="Times New Roman"/>
          <w:b/>
          <w:sz w:val="20"/>
          <w:szCs w:val="24"/>
        </w:rPr>
        <w:t>9</w:t>
      </w:r>
      <w:r w:rsidRPr="00941E30">
        <w:rPr>
          <w:rFonts w:ascii="Times New Roman" w:hAnsi="Times New Roman"/>
          <w:b/>
          <w:sz w:val="20"/>
          <w:szCs w:val="24"/>
        </w:rPr>
        <w:t>: Budget Allocation by Programme</w:t>
      </w:r>
    </w:p>
    <w:p w14:paraId="2E34297F" w14:textId="77777777" w:rsidR="008F0730" w:rsidRPr="00085BAF" w:rsidRDefault="008F0730">
      <w:pPr>
        <w:jc w:val="both"/>
        <w:rPr>
          <w:rFonts w:ascii="Times New Roman" w:hAnsi="Times New Roman"/>
          <w:sz w:val="24"/>
          <w:szCs w:val="24"/>
        </w:rPr>
      </w:pPr>
      <w:r w:rsidRPr="00085BAF">
        <w:rPr>
          <w:rFonts w:ascii="Times New Roman" w:hAnsi="Times New Roman"/>
          <w:noProof/>
          <w:sz w:val="24"/>
          <w:szCs w:val="24"/>
          <w:lang w:val="en-ZA" w:eastAsia="en-ZA"/>
        </w:rPr>
        <w:drawing>
          <wp:inline distT="0" distB="0" distL="0" distR="0" wp14:anchorId="777C72AE" wp14:editId="7C4873AB">
            <wp:extent cx="6115050" cy="15906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1590675"/>
                    </a:xfrm>
                    <a:prstGeom prst="rect">
                      <a:avLst/>
                    </a:prstGeom>
                    <a:noFill/>
                    <a:ln>
                      <a:noFill/>
                    </a:ln>
                  </pic:spPr>
                </pic:pic>
              </a:graphicData>
            </a:graphic>
          </wp:inline>
        </w:drawing>
      </w:r>
    </w:p>
    <w:p w14:paraId="2228B6F1" w14:textId="77777777" w:rsidR="008F0730" w:rsidRPr="0093633A" w:rsidRDefault="008F0730">
      <w:pPr>
        <w:jc w:val="both"/>
        <w:rPr>
          <w:rFonts w:ascii="Times New Roman" w:hAnsi="Times New Roman"/>
          <w:sz w:val="24"/>
          <w:szCs w:val="24"/>
        </w:rPr>
      </w:pPr>
    </w:p>
    <w:p w14:paraId="0EFF122C" w14:textId="77777777" w:rsidR="00F44126" w:rsidRPr="00B010F9" w:rsidRDefault="008F0730" w:rsidP="00941E30">
      <w:pPr>
        <w:jc w:val="both"/>
        <w:rPr>
          <w:rFonts w:ascii="Times New Roman" w:hAnsi="Times New Roman"/>
          <w:b/>
          <w:sz w:val="24"/>
          <w:szCs w:val="24"/>
        </w:rPr>
      </w:pPr>
      <w:r w:rsidRPr="00B010F9">
        <w:rPr>
          <w:rFonts w:ascii="Times New Roman" w:hAnsi="Times New Roman"/>
          <w:b/>
          <w:sz w:val="24"/>
          <w:szCs w:val="24"/>
        </w:rPr>
        <w:t xml:space="preserve">Programme 1: Administration </w:t>
      </w:r>
    </w:p>
    <w:p w14:paraId="6A68D48F" w14:textId="77777777" w:rsidR="008F0730" w:rsidRPr="0093633A" w:rsidRDefault="008F0730" w:rsidP="00085BAF">
      <w:pPr>
        <w:jc w:val="both"/>
        <w:rPr>
          <w:rFonts w:ascii="Times New Roman" w:hAnsi="Times New Roman"/>
          <w:b/>
          <w:sz w:val="24"/>
          <w:szCs w:val="24"/>
        </w:rPr>
      </w:pPr>
    </w:p>
    <w:p w14:paraId="52AF6317" w14:textId="77777777" w:rsidR="008F0730" w:rsidRPr="0093633A" w:rsidRDefault="008F0730" w:rsidP="00941E30">
      <w:pPr>
        <w:spacing w:line="360" w:lineRule="auto"/>
        <w:jc w:val="both"/>
        <w:rPr>
          <w:rFonts w:ascii="Times New Roman" w:hAnsi="Times New Roman"/>
          <w:sz w:val="24"/>
          <w:szCs w:val="24"/>
        </w:rPr>
      </w:pPr>
      <w:r w:rsidRPr="0093633A">
        <w:rPr>
          <w:rFonts w:ascii="Times New Roman" w:hAnsi="Times New Roman"/>
          <w:sz w:val="24"/>
          <w:szCs w:val="24"/>
        </w:rPr>
        <w:t>The Administration programme is allocated R65.1 million which is 30.2</w:t>
      </w:r>
      <w:r w:rsidR="005D04BA">
        <w:rPr>
          <w:rFonts w:ascii="Times New Roman" w:hAnsi="Times New Roman"/>
          <w:sz w:val="24"/>
          <w:szCs w:val="24"/>
        </w:rPr>
        <w:t>%</w:t>
      </w:r>
      <w:r w:rsidRPr="0093633A">
        <w:rPr>
          <w:rFonts w:ascii="Times New Roman" w:hAnsi="Times New Roman"/>
          <w:sz w:val="24"/>
          <w:szCs w:val="24"/>
        </w:rPr>
        <w:t xml:space="preserve"> of the total budget.  The purpose of the programme is to provide the leadership and administrative support that SAHPRA needs to fulfil its function. It comprises of </w:t>
      </w:r>
      <w:r w:rsidR="005D04BA">
        <w:rPr>
          <w:rFonts w:ascii="Times New Roman" w:hAnsi="Times New Roman"/>
          <w:sz w:val="24"/>
          <w:szCs w:val="24"/>
        </w:rPr>
        <w:t>four</w:t>
      </w:r>
      <w:r w:rsidR="005D04BA" w:rsidRPr="0093633A">
        <w:rPr>
          <w:rFonts w:ascii="Times New Roman" w:hAnsi="Times New Roman"/>
          <w:sz w:val="24"/>
          <w:szCs w:val="24"/>
        </w:rPr>
        <w:t xml:space="preserve"> </w:t>
      </w:r>
      <w:r w:rsidRPr="0093633A">
        <w:rPr>
          <w:rFonts w:ascii="Times New Roman" w:hAnsi="Times New Roman"/>
          <w:sz w:val="24"/>
          <w:szCs w:val="24"/>
        </w:rPr>
        <w:t>sub-programmes, including, amongst others, Human Resource Management, and Information Technology and Communication. R38.2 million (58.7</w:t>
      </w:r>
      <w:r w:rsidR="005D04BA">
        <w:rPr>
          <w:rFonts w:ascii="Times New Roman" w:hAnsi="Times New Roman"/>
          <w:sz w:val="24"/>
          <w:szCs w:val="24"/>
        </w:rPr>
        <w:t>%</w:t>
      </w:r>
      <w:r w:rsidRPr="0093633A">
        <w:rPr>
          <w:rFonts w:ascii="Times New Roman" w:hAnsi="Times New Roman"/>
          <w:sz w:val="24"/>
          <w:szCs w:val="24"/>
        </w:rPr>
        <w:t>) goes to goods and services, with R26.9 million (41.3</w:t>
      </w:r>
      <w:r w:rsidR="005D04BA">
        <w:rPr>
          <w:rFonts w:ascii="Times New Roman" w:hAnsi="Times New Roman"/>
          <w:sz w:val="24"/>
          <w:szCs w:val="24"/>
        </w:rPr>
        <w:t>%</w:t>
      </w:r>
      <w:r w:rsidRPr="0093633A">
        <w:rPr>
          <w:rFonts w:ascii="Times New Roman" w:hAnsi="Times New Roman"/>
          <w:sz w:val="24"/>
          <w:szCs w:val="24"/>
        </w:rPr>
        <w:t xml:space="preserve">) allocated to compensation of employees. </w:t>
      </w:r>
    </w:p>
    <w:p w14:paraId="2D794DD6" w14:textId="77777777" w:rsidR="008F0730" w:rsidRDefault="008F0730" w:rsidP="00941E30">
      <w:pPr>
        <w:pStyle w:val="Heading2"/>
        <w:numPr>
          <w:ilvl w:val="0"/>
          <w:numId w:val="0"/>
        </w:numPr>
        <w:ind w:left="576" w:hanging="576"/>
        <w:jc w:val="both"/>
        <w:rPr>
          <w:rFonts w:ascii="Times New Roman" w:hAnsi="Times New Roman" w:cs="Times New Roman"/>
          <w:b w:val="0"/>
          <w:bCs w:val="0"/>
          <w:iCs w:val="0"/>
          <w:sz w:val="24"/>
          <w:szCs w:val="24"/>
        </w:rPr>
      </w:pPr>
    </w:p>
    <w:p w14:paraId="21ABD479" w14:textId="77777777" w:rsidR="008F0730" w:rsidRPr="0093633A" w:rsidRDefault="008F0730" w:rsidP="00941E30">
      <w:pPr>
        <w:pStyle w:val="Heading2"/>
        <w:numPr>
          <w:ilvl w:val="0"/>
          <w:numId w:val="0"/>
        </w:numPr>
        <w:jc w:val="both"/>
        <w:rPr>
          <w:rFonts w:ascii="Times New Roman" w:hAnsi="Times New Roman" w:cs="Times New Roman"/>
          <w:sz w:val="24"/>
          <w:szCs w:val="24"/>
        </w:rPr>
      </w:pPr>
      <w:r w:rsidRPr="0093633A">
        <w:rPr>
          <w:rFonts w:ascii="Times New Roman" w:hAnsi="Times New Roman" w:cs="Times New Roman"/>
          <w:sz w:val="24"/>
          <w:szCs w:val="24"/>
        </w:rPr>
        <w:t xml:space="preserve">Programme 2: Authorisation Management </w:t>
      </w:r>
    </w:p>
    <w:p w14:paraId="5802F59B" w14:textId="77777777" w:rsidR="008F0730" w:rsidRPr="0093633A" w:rsidRDefault="008F0730" w:rsidP="00085BAF">
      <w:pPr>
        <w:jc w:val="both"/>
        <w:rPr>
          <w:rFonts w:ascii="Times New Roman" w:hAnsi="Times New Roman"/>
          <w:sz w:val="24"/>
          <w:szCs w:val="24"/>
        </w:rPr>
      </w:pPr>
    </w:p>
    <w:p w14:paraId="04951860" w14:textId="77777777" w:rsidR="008F0730" w:rsidRPr="0093633A" w:rsidRDefault="008F0730" w:rsidP="00941E30">
      <w:pPr>
        <w:spacing w:line="360" w:lineRule="auto"/>
        <w:jc w:val="both"/>
        <w:rPr>
          <w:rFonts w:ascii="Times New Roman" w:hAnsi="Times New Roman"/>
          <w:sz w:val="24"/>
          <w:szCs w:val="24"/>
        </w:rPr>
      </w:pPr>
      <w:r w:rsidRPr="0093633A">
        <w:rPr>
          <w:rFonts w:ascii="Times New Roman" w:hAnsi="Times New Roman"/>
          <w:sz w:val="24"/>
          <w:szCs w:val="24"/>
        </w:rPr>
        <w:t>Authorisation Management programme is to provide administrative support and co-ordinate the process of registration and/or licencing or amendment of applications in respect of medicines.  It receives 14.2</w:t>
      </w:r>
      <w:r w:rsidR="005D04BA">
        <w:rPr>
          <w:rFonts w:ascii="Times New Roman" w:hAnsi="Times New Roman"/>
          <w:sz w:val="24"/>
          <w:szCs w:val="24"/>
        </w:rPr>
        <w:t>%</w:t>
      </w:r>
      <w:r w:rsidRPr="0093633A">
        <w:rPr>
          <w:rFonts w:ascii="Times New Roman" w:hAnsi="Times New Roman"/>
          <w:sz w:val="24"/>
          <w:szCs w:val="24"/>
        </w:rPr>
        <w:t xml:space="preserve"> of the total budget (R30.6 million). It aims to develop a backlog elimination str</w:t>
      </w:r>
      <w:r w:rsidR="005D04BA">
        <w:rPr>
          <w:rFonts w:ascii="Times New Roman" w:hAnsi="Times New Roman"/>
          <w:sz w:val="24"/>
          <w:szCs w:val="24"/>
        </w:rPr>
        <w:t>at</w:t>
      </w:r>
      <w:r w:rsidRPr="0093633A">
        <w:rPr>
          <w:rFonts w:ascii="Times New Roman" w:hAnsi="Times New Roman"/>
          <w:sz w:val="24"/>
          <w:szCs w:val="24"/>
        </w:rPr>
        <w:t>egy in 2018/19 and achieve a 60</w:t>
      </w:r>
      <w:r w:rsidR="005D04BA">
        <w:rPr>
          <w:rFonts w:ascii="Times New Roman" w:hAnsi="Times New Roman"/>
          <w:sz w:val="24"/>
          <w:szCs w:val="24"/>
        </w:rPr>
        <w:t>%</w:t>
      </w:r>
      <w:r w:rsidRPr="0093633A">
        <w:rPr>
          <w:rFonts w:ascii="Times New Roman" w:hAnsi="Times New Roman"/>
          <w:sz w:val="24"/>
          <w:szCs w:val="24"/>
        </w:rPr>
        <w:t xml:space="preserve"> reduction in the pre-2018 backlog. </w:t>
      </w:r>
    </w:p>
    <w:p w14:paraId="66D4BEEA" w14:textId="77777777" w:rsidR="008F0730" w:rsidRPr="0093633A" w:rsidRDefault="008F0730">
      <w:pPr>
        <w:jc w:val="both"/>
        <w:rPr>
          <w:rFonts w:ascii="Times New Roman" w:hAnsi="Times New Roman"/>
          <w:sz w:val="24"/>
          <w:szCs w:val="24"/>
        </w:rPr>
      </w:pPr>
    </w:p>
    <w:p w14:paraId="0AACFF03" w14:textId="77777777" w:rsidR="008F0730" w:rsidRPr="0093633A" w:rsidRDefault="008F0730" w:rsidP="00941E30">
      <w:pPr>
        <w:pStyle w:val="Heading2"/>
        <w:numPr>
          <w:ilvl w:val="0"/>
          <w:numId w:val="0"/>
        </w:numPr>
        <w:jc w:val="both"/>
        <w:rPr>
          <w:rFonts w:ascii="Times New Roman" w:hAnsi="Times New Roman" w:cs="Times New Roman"/>
          <w:sz w:val="24"/>
          <w:szCs w:val="24"/>
        </w:rPr>
      </w:pPr>
      <w:r w:rsidRPr="0093633A">
        <w:rPr>
          <w:rFonts w:ascii="Times New Roman" w:hAnsi="Times New Roman" w:cs="Times New Roman"/>
          <w:sz w:val="24"/>
          <w:szCs w:val="24"/>
        </w:rPr>
        <w:t>Programme 3: Inspectorate and Regulatory Compliance</w:t>
      </w:r>
    </w:p>
    <w:p w14:paraId="29BFCE10" w14:textId="77777777" w:rsidR="008F0730" w:rsidRPr="0093633A" w:rsidRDefault="008F0730" w:rsidP="00085BAF">
      <w:pPr>
        <w:jc w:val="both"/>
        <w:rPr>
          <w:rFonts w:ascii="Times New Roman" w:hAnsi="Times New Roman"/>
          <w:sz w:val="24"/>
          <w:szCs w:val="24"/>
        </w:rPr>
      </w:pPr>
    </w:p>
    <w:p w14:paraId="3E510997" w14:textId="77777777" w:rsidR="008F0730" w:rsidRPr="0093633A" w:rsidRDefault="008F0730" w:rsidP="00941E30">
      <w:pPr>
        <w:spacing w:line="360" w:lineRule="auto"/>
        <w:jc w:val="both"/>
        <w:rPr>
          <w:rFonts w:ascii="Times New Roman" w:hAnsi="Times New Roman"/>
          <w:sz w:val="24"/>
          <w:szCs w:val="24"/>
        </w:rPr>
      </w:pPr>
      <w:r w:rsidRPr="0093633A">
        <w:rPr>
          <w:rFonts w:ascii="Times New Roman" w:hAnsi="Times New Roman"/>
          <w:sz w:val="24"/>
          <w:szCs w:val="24"/>
        </w:rPr>
        <w:t>This programme conducts inspections including at API, medicine and medical device manufacturers, wholesalers, laboratories and clinical trial sites. It receives 16.1</w:t>
      </w:r>
      <w:r w:rsidR="005D04BA">
        <w:rPr>
          <w:rFonts w:ascii="Times New Roman" w:hAnsi="Times New Roman"/>
          <w:sz w:val="24"/>
          <w:szCs w:val="24"/>
        </w:rPr>
        <w:t>%</w:t>
      </w:r>
      <w:r w:rsidRPr="0093633A">
        <w:rPr>
          <w:rFonts w:ascii="Times New Roman" w:hAnsi="Times New Roman"/>
          <w:sz w:val="24"/>
          <w:szCs w:val="24"/>
        </w:rPr>
        <w:t xml:space="preserve"> of the budget (R34.8 million). Most of the budget for this programme (R27.7 million or 79.6</w:t>
      </w:r>
      <w:r w:rsidR="005D04BA">
        <w:rPr>
          <w:rFonts w:ascii="Times New Roman" w:hAnsi="Times New Roman"/>
          <w:sz w:val="24"/>
          <w:szCs w:val="24"/>
        </w:rPr>
        <w:t>%</w:t>
      </w:r>
      <w:r w:rsidRPr="0093633A">
        <w:rPr>
          <w:rFonts w:ascii="Times New Roman" w:hAnsi="Times New Roman"/>
          <w:sz w:val="24"/>
          <w:szCs w:val="24"/>
        </w:rPr>
        <w:t>) is allocated to compensation of employees, with R7.1 million allocated to goods and services.</w:t>
      </w:r>
    </w:p>
    <w:p w14:paraId="45E9AE29" w14:textId="77777777" w:rsidR="0086606E" w:rsidRPr="0093633A" w:rsidRDefault="0086606E">
      <w:pPr>
        <w:jc w:val="both"/>
        <w:rPr>
          <w:rFonts w:ascii="Times New Roman" w:hAnsi="Times New Roman"/>
          <w:sz w:val="24"/>
          <w:szCs w:val="24"/>
        </w:rPr>
      </w:pPr>
    </w:p>
    <w:p w14:paraId="30CB3F99" w14:textId="77777777" w:rsidR="008F0730" w:rsidRPr="0093633A" w:rsidRDefault="008F0730" w:rsidP="00941E30">
      <w:pPr>
        <w:pStyle w:val="Heading2"/>
        <w:numPr>
          <w:ilvl w:val="0"/>
          <w:numId w:val="0"/>
        </w:numPr>
        <w:jc w:val="both"/>
        <w:rPr>
          <w:rFonts w:ascii="Times New Roman" w:hAnsi="Times New Roman" w:cs="Times New Roman"/>
          <w:sz w:val="24"/>
          <w:szCs w:val="24"/>
        </w:rPr>
      </w:pPr>
      <w:r w:rsidRPr="0093633A">
        <w:rPr>
          <w:rFonts w:ascii="Times New Roman" w:hAnsi="Times New Roman" w:cs="Times New Roman"/>
          <w:sz w:val="24"/>
          <w:szCs w:val="24"/>
        </w:rPr>
        <w:t>Programme 4: Medicines Evaluation and Registration</w:t>
      </w:r>
    </w:p>
    <w:p w14:paraId="0053AF38" w14:textId="77777777" w:rsidR="008F0730" w:rsidRPr="0093633A" w:rsidRDefault="008F0730" w:rsidP="00085BAF">
      <w:pPr>
        <w:jc w:val="both"/>
        <w:rPr>
          <w:rFonts w:ascii="Times New Roman" w:hAnsi="Times New Roman"/>
          <w:sz w:val="24"/>
          <w:szCs w:val="24"/>
        </w:rPr>
      </w:pPr>
    </w:p>
    <w:p w14:paraId="2575BAA2" w14:textId="77777777" w:rsidR="008F0730" w:rsidRPr="0093633A" w:rsidRDefault="008F0730" w:rsidP="00941E30">
      <w:pPr>
        <w:spacing w:line="360" w:lineRule="auto"/>
        <w:jc w:val="both"/>
        <w:rPr>
          <w:rFonts w:ascii="Times New Roman" w:hAnsi="Times New Roman"/>
          <w:sz w:val="24"/>
          <w:szCs w:val="24"/>
        </w:rPr>
      </w:pPr>
      <w:r w:rsidRPr="0093633A">
        <w:rPr>
          <w:rFonts w:ascii="Times New Roman" w:hAnsi="Times New Roman"/>
          <w:sz w:val="24"/>
          <w:szCs w:val="24"/>
        </w:rPr>
        <w:t>The Medicine Evaluation and Registration Programme receives 31.1</w:t>
      </w:r>
      <w:r w:rsidR="00A57770">
        <w:rPr>
          <w:rFonts w:ascii="Times New Roman" w:hAnsi="Times New Roman"/>
          <w:sz w:val="24"/>
          <w:szCs w:val="24"/>
        </w:rPr>
        <w:t>%</w:t>
      </w:r>
      <w:r w:rsidRPr="0093633A">
        <w:rPr>
          <w:rFonts w:ascii="Times New Roman" w:hAnsi="Times New Roman"/>
          <w:sz w:val="24"/>
          <w:szCs w:val="24"/>
        </w:rPr>
        <w:t xml:space="preserve"> of the total budget (R67.2 million). The aim of this programme is to evaluate the safety and efficacy of medicines and register them. 85</w:t>
      </w:r>
      <w:r w:rsidR="00A57770">
        <w:rPr>
          <w:rFonts w:ascii="Times New Roman" w:hAnsi="Times New Roman"/>
          <w:sz w:val="24"/>
          <w:szCs w:val="24"/>
        </w:rPr>
        <w:t>%</w:t>
      </w:r>
      <w:r w:rsidRPr="0093633A">
        <w:rPr>
          <w:rFonts w:ascii="Times New Roman" w:hAnsi="Times New Roman"/>
          <w:sz w:val="24"/>
          <w:szCs w:val="24"/>
        </w:rPr>
        <w:t xml:space="preserve"> of the budget (R57.1 million) goes to compensation of employees and 15</w:t>
      </w:r>
      <w:r w:rsidR="00A57770">
        <w:rPr>
          <w:rFonts w:ascii="Times New Roman" w:hAnsi="Times New Roman"/>
          <w:sz w:val="24"/>
          <w:szCs w:val="24"/>
        </w:rPr>
        <w:t>%</w:t>
      </w:r>
      <w:r w:rsidRPr="0093633A">
        <w:rPr>
          <w:rFonts w:ascii="Times New Roman" w:hAnsi="Times New Roman"/>
          <w:sz w:val="24"/>
          <w:szCs w:val="24"/>
        </w:rPr>
        <w:t xml:space="preserve"> (R10.1 million) goes to goods and services. Over time, SAHPRA aims to absorb some of the external evaluators as employees. This should speed up the scientific evaluation of medicines and clinical trials by 2020/21. </w:t>
      </w:r>
    </w:p>
    <w:p w14:paraId="308590AD" w14:textId="77777777" w:rsidR="008F0730" w:rsidRPr="0093633A" w:rsidRDefault="008F0730">
      <w:pPr>
        <w:jc w:val="both"/>
        <w:rPr>
          <w:rFonts w:ascii="Times New Roman" w:hAnsi="Times New Roman"/>
          <w:sz w:val="24"/>
          <w:szCs w:val="24"/>
        </w:rPr>
      </w:pPr>
    </w:p>
    <w:p w14:paraId="0F0C0B13" w14:textId="77777777" w:rsidR="008F0730" w:rsidRPr="0093633A" w:rsidRDefault="008F0730" w:rsidP="00941E30">
      <w:pPr>
        <w:pStyle w:val="Heading2"/>
        <w:numPr>
          <w:ilvl w:val="0"/>
          <w:numId w:val="0"/>
        </w:numPr>
        <w:jc w:val="both"/>
        <w:rPr>
          <w:rFonts w:ascii="Times New Roman" w:hAnsi="Times New Roman" w:cs="Times New Roman"/>
          <w:sz w:val="24"/>
          <w:szCs w:val="24"/>
        </w:rPr>
      </w:pPr>
      <w:r w:rsidRPr="0093633A">
        <w:rPr>
          <w:rFonts w:ascii="Times New Roman" w:hAnsi="Times New Roman" w:cs="Times New Roman"/>
          <w:sz w:val="24"/>
          <w:szCs w:val="24"/>
        </w:rPr>
        <w:t>Programme 5: Medical Devices, Diagnostics and Radiation Control</w:t>
      </w:r>
    </w:p>
    <w:p w14:paraId="5C11A3A7" w14:textId="77777777" w:rsidR="008F0730" w:rsidRPr="0093633A" w:rsidRDefault="008F0730" w:rsidP="00085BAF">
      <w:pPr>
        <w:jc w:val="both"/>
        <w:rPr>
          <w:rFonts w:ascii="Times New Roman" w:hAnsi="Times New Roman"/>
          <w:sz w:val="24"/>
          <w:szCs w:val="24"/>
        </w:rPr>
      </w:pPr>
    </w:p>
    <w:p w14:paraId="2BC03003" w14:textId="77777777" w:rsidR="008F0730" w:rsidRPr="0093633A" w:rsidRDefault="008F0730" w:rsidP="00941E30">
      <w:pPr>
        <w:spacing w:line="360" w:lineRule="auto"/>
        <w:jc w:val="both"/>
        <w:rPr>
          <w:rFonts w:ascii="Times New Roman" w:hAnsi="Times New Roman"/>
          <w:sz w:val="24"/>
          <w:szCs w:val="24"/>
        </w:rPr>
      </w:pPr>
      <w:r w:rsidRPr="0093633A">
        <w:rPr>
          <w:rFonts w:ascii="Times New Roman" w:hAnsi="Times New Roman"/>
          <w:sz w:val="24"/>
          <w:szCs w:val="24"/>
        </w:rPr>
        <w:t>The main aim of this programme is to develop and maintain regulatory oversight of medical devices, ionizing and non-ionizing radiation emitting devices and radioactive nucleides. This programme receives R18.2 million, of which R10.5 million (57.4</w:t>
      </w:r>
      <w:r w:rsidR="00104807">
        <w:rPr>
          <w:rFonts w:ascii="Times New Roman" w:hAnsi="Times New Roman"/>
          <w:sz w:val="24"/>
          <w:szCs w:val="24"/>
        </w:rPr>
        <w:t>%</w:t>
      </w:r>
      <w:r w:rsidRPr="0093633A">
        <w:rPr>
          <w:rFonts w:ascii="Times New Roman" w:hAnsi="Times New Roman"/>
          <w:sz w:val="24"/>
          <w:szCs w:val="24"/>
        </w:rPr>
        <w:t>) goes to compensation of employees and R7.8 million (42.7</w:t>
      </w:r>
      <w:r w:rsidR="00104807">
        <w:rPr>
          <w:rFonts w:ascii="Times New Roman" w:hAnsi="Times New Roman"/>
          <w:sz w:val="24"/>
          <w:szCs w:val="24"/>
        </w:rPr>
        <w:t>%</w:t>
      </w:r>
      <w:r w:rsidRPr="0093633A">
        <w:rPr>
          <w:rFonts w:ascii="Times New Roman" w:hAnsi="Times New Roman"/>
          <w:sz w:val="24"/>
          <w:szCs w:val="24"/>
        </w:rPr>
        <w:t xml:space="preserve">) goes to goods and services. </w:t>
      </w:r>
    </w:p>
    <w:p w14:paraId="06FE9D9D" w14:textId="77777777" w:rsidR="00DB5E8C" w:rsidRDefault="00DB5E8C">
      <w:pPr>
        <w:jc w:val="both"/>
        <w:rPr>
          <w:rFonts w:ascii="Times New Roman" w:hAnsi="Times New Roman"/>
          <w:sz w:val="24"/>
          <w:szCs w:val="24"/>
        </w:rPr>
      </w:pPr>
    </w:p>
    <w:p w14:paraId="70F13E30" w14:textId="77777777" w:rsidR="00E36F69" w:rsidRPr="00941E30" w:rsidRDefault="00450333" w:rsidP="00941E30">
      <w:pPr>
        <w:pStyle w:val="ListParagraph"/>
        <w:numPr>
          <w:ilvl w:val="1"/>
          <w:numId w:val="90"/>
        </w:numPr>
        <w:shd w:val="clear" w:color="auto" w:fill="BFBFBF" w:themeFill="background1" w:themeFillShade="BF"/>
        <w:tabs>
          <w:tab w:val="left" w:pos="720"/>
        </w:tabs>
        <w:ind w:left="630" w:hanging="630"/>
        <w:jc w:val="both"/>
        <w:rPr>
          <w:rFonts w:ascii="Times New Roman" w:hAnsi="Times New Roman"/>
          <w:b/>
          <w:bCs/>
          <w:color w:val="auto"/>
          <w:spacing w:val="0"/>
          <w:kern w:val="32"/>
          <w:sz w:val="24"/>
          <w:szCs w:val="24"/>
          <w:lang w:eastAsia="en-US"/>
        </w:rPr>
      </w:pPr>
      <w:r w:rsidRPr="00941E30">
        <w:rPr>
          <w:rFonts w:ascii="Times New Roman" w:hAnsi="Times New Roman"/>
          <w:b/>
          <w:bCs/>
          <w:color w:val="auto"/>
          <w:spacing w:val="0"/>
          <w:kern w:val="32"/>
          <w:sz w:val="24"/>
          <w:szCs w:val="24"/>
          <w:lang w:eastAsia="en-US"/>
        </w:rPr>
        <w:t>South African Medical Research Council</w:t>
      </w:r>
    </w:p>
    <w:p w14:paraId="71EBB371" w14:textId="77777777" w:rsidR="00450333" w:rsidRPr="00085BAF" w:rsidRDefault="00450333" w:rsidP="00941E30">
      <w:pPr>
        <w:pStyle w:val="ListParagraph"/>
        <w:ind w:left="450"/>
        <w:jc w:val="both"/>
        <w:rPr>
          <w:rFonts w:ascii="Times New Roman" w:hAnsi="Times New Roman"/>
          <w:b/>
          <w:bCs/>
          <w:color w:val="auto"/>
          <w:spacing w:val="0"/>
          <w:kern w:val="32"/>
          <w:sz w:val="24"/>
          <w:szCs w:val="24"/>
          <w:lang w:eastAsia="en-US"/>
        </w:rPr>
      </w:pPr>
    </w:p>
    <w:p w14:paraId="7A4FE790" w14:textId="77777777" w:rsidR="00CC1DDA" w:rsidRPr="0093633A" w:rsidRDefault="00CC1DDA" w:rsidP="00941E30">
      <w:pPr>
        <w:jc w:val="both"/>
        <w:rPr>
          <w:rFonts w:ascii="Times New Roman" w:hAnsi="Times New Roman"/>
          <w:b/>
          <w:bCs/>
          <w:color w:val="auto"/>
          <w:spacing w:val="0"/>
          <w:kern w:val="32"/>
          <w:sz w:val="24"/>
          <w:szCs w:val="24"/>
          <w:lang w:eastAsia="en-US"/>
        </w:rPr>
      </w:pPr>
      <w:r>
        <w:rPr>
          <w:rFonts w:ascii="Times New Roman" w:hAnsi="Times New Roman"/>
          <w:b/>
          <w:bCs/>
          <w:color w:val="auto"/>
          <w:spacing w:val="0"/>
          <w:kern w:val="32"/>
          <w:sz w:val="24"/>
          <w:szCs w:val="24"/>
          <w:lang w:eastAsia="en-US"/>
        </w:rPr>
        <w:t>Situational Analysis</w:t>
      </w:r>
    </w:p>
    <w:p w14:paraId="667386B5" w14:textId="77777777" w:rsidR="00CC1DDA" w:rsidRPr="00941E30" w:rsidRDefault="00CC1DDA" w:rsidP="00941E30">
      <w:pPr>
        <w:autoSpaceDE w:val="0"/>
        <w:autoSpaceDN w:val="0"/>
        <w:adjustRightInd w:val="0"/>
        <w:jc w:val="both"/>
        <w:rPr>
          <w:rFonts w:ascii="Times New Roman" w:hAnsi="Times New Roman"/>
          <w:b/>
          <w:bCs/>
          <w:szCs w:val="24"/>
        </w:rPr>
      </w:pPr>
    </w:p>
    <w:p w14:paraId="7903B048" w14:textId="77777777" w:rsidR="00E36F69" w:rsidRDefault="00104807" w:rsidP="00941E30">
      <w:pPr>
        <w:autoSpaceDE w:val="0"/>
        <w:autoSpaceDN w:val="0"/>
        <w:adjustRightInd w:val="0"/>
        <w:spacing w:line="360" w:lineRule="auto"/>
        <w:jc w:val="both"/>
        <w:rPr>
          <w:rFonts w:ascii="Times New Roman" w:hAnsi="Times New Roman"/>
        </w:rPr>
      </w:pPr>
      <w:r>
        <w:rPr>
          <w:rFonts w:ascii="Times New Roman" w:hAnsi="Times New Roman"/>
          <w:sz w:val="24"/>
          <w:szCs w:val="24"/>
        </w:rPr>
        <w:t>T</w:t>
      </w:r>
      <w:r w:rsidR="00E36F69" w:rsidRPr="0093633A">
        <w:rPr>
          <w:rFonts w:ascii="Times New Roman" w:hAnsi="Times New Roman"/>
          <w:sz w:val="24"/>
          <w:szCs w:val="24"/>
        </w:rPr>
        <w:t xml:space="preserve">he SAMRC’s strategic plan and annual performance plan (APP) serve as a mechanism of implementing the National Development Plan 2030 (NDP), Sustainable Development Goals (SDGs) and the Medium Term Strategic Framework (MTSF) (2015/16-2019/20). In pursuit of achieving its key performance indicators and improving the health outlook of the country, the SAMRC works closely with key health partners such as the National Department of Health, the Department of Science and Technology (DST), science councils, medical schools, universities, research institutes and international collaborators. </w:t>
      </w:r>
    </w:p>
    <w:p w14:paraId="1D8EB4E4" w14:textId="77777777" w:rsidR="00E46619" w:rsidRPr="00941E30" w:rsidRDefault="00E46619" w:rsidP="00941E30">
      <w:pPr>
        <w:autoSpaceDE w:val="0"/>
        <w:autoSpaceDN w:val="0"/>
        <w:adjustRightInd w:val="0"/>
        <w:spacing w:line="360" w:lineRule="auto"/>
        <w:jc w:val="both"/>
        <w:rPr>
          <w:rFonts w:ascii="Times New Roman" w:hAnsi="Times New Roman"/>
        </w:rPr>
      </w:pPr>
    </w:p>
    <w:p w14:paraId="06BE56B0" w14:textId="77777777" w:rsidR="00E36F69" w:rsidRPr="00941E30" w:rsidRDefault="00162B1A" w:rsidP="00941E30">
      <w:pPr>
        <w:pStyle w:val="Heading1"/>
        <w:keepLines/>
        <w:numPr>
          <w:ilvl w:val="0"/>
          <w:numId w:val="0"/>
        </w:numPr>
        <w:jc w:val="both"/>
        <w:rPr>
          <w:rFonts w:ascii="Times New Roman" w:hAnsi="Times New Roman" w:cs="Times New Roman"/>
          <w:b w:val="0"/>
          <w:sz w:val="24"/>
        </w:rPr>
      </w:pPr>
      <w:r w:rsidRPr="00941E30">
        <w:rPr>
          <w:rFonts w:ascii="Times New Roman" w:hAnsi="Times New Roman" w:cs="Times New Roman"/>
          <w:b w:val="0"/>
          <w:sz w:val="24"/>
        </w:rPr>
        <w:t>Revisions to Legislative and Other Mandates</w:t>
      </w:r>
    </w:p>
    <w:p w14:paraId="4F1058D5" w14:textId="77777777" w:rsidR="00E36F69" w:rsidRPr="00941E30" w:rsidRDefault="00E36F69" w:rsidP="00085BAF">
      <w:pPr>
        <w:autoSpaceDE w:val="0"/>
        <w:autoSpaceDN w:val="0"/>
        <w:adjustRightInd w:val="0"/>
        <w:rPr>
          <w:rFonts w:ascii="Times New Roman" w:hAnsi="Times New Roman"/>
          <w:szCs w:val="20"/>
        </w:rPr>
      </w:pPr>
    </w:p>
    <w:p w14:paraId="412CB460" w14:textId="77777777" w:rsidR="00E36F69" w:rsidRPr="0093633A" w:rsidRDefault="00E36F69" w:rsidP="00941E30">
      <w:pPr>
        <w:autoSpaceDE w:val="0"/>
        <w:autoSpaceDN w:val="0"/>
        <w:adjustRightInd w:val="0"/>
        <w:spacing w:line="360" w:lineRule="auto"/>
        <w:jc w:val="both"/>
        <w:rPr>
          <w:rFonts w:ascii="Times New Roman" w:hAnsi="Times New Roman"/>
          <w:sz w:val="24"/>
          <w:szCs w:val="24"/>
        </w:rPr>
      </w:pPr>
      <w:r w:rsidRPr="00085BAF">
        <w:rPr>
          <w:rFonts w:ascii="Times New Roman" w:hAnsi="Times New Roman"/>
          <w:sz w:val="24"/>
          <w:szCs w:val="24"/>
        </w:rPr>
        <w:t>The SAMRC consider</w:t>
      </w:r>
      <w:r w:rsidR="00104807">
        <w:rPr>
          <w:rFonts w:ascii="Times New Roman" w:hAnsi="Times New Roman"/>
          <w:sz w:val="24"/>
          <w:szCs w:val="24"/>
        </w:rPr>
        <w:t>ed</w:t>
      </w:r>
      <w:r w:rsidRPr="00085BAF">
        <w:rPr>
          <w:rFonts w:ascii="Times New Roman" w:hAnsi="Times New Roman"/>
          <w:sz w:val="24"/>
          <w:szCs w:val="24"/>
        </w:rPr>
        <w:t xml:space="preserve"> no significant changes to the South African Medical Research Council's legislative and other mandates. However, it considers the formation of the National Public Health Institutes </w:t>
      </w:r>
      <w:r w:rsidRPr="0093633A">
        <w:rPr>
          <w:rFonts w:ascii="Times New Roman" w:hAnsi="Times New Roman"/>
          <w:sz w:val="24"/>
          <w:szCs w:val="24"/>
        </w:rPr>
        <w:t>of South Africa (NAPHISA) as a primary strategic risk It also considers transformation challenges and inefficiencies in certain corporate processes as risks; hence, its Board monitors these as strategic risks on quarterly basis.</w:t>
      </w:r>
    </w:p>
    <w:p w14:paraId="6B10AE46" w14:textId="77777777" w:rsidR="00E36F69" w:rsidRPr="00941E30" w:rsidRDefault="00E36F69">
      <w:pPr>
        <w:rPr>
          <w:rFonts w:ascii="Times New Roman" w:hAnsi="Times New Roman"/>
        </w:rPr>
      </w:pPr>
    </w:p>
    <w:p w14:paraId="79FAA6BE" w14:textId="77777777" w:rsidR="00E36F69" w:rsidRPr="00D9050C" w:rsidRDefault="00E36F69" w:rsidP="00941E30">
      <w:pPr>
        <w:pStyle w:val="Heading1"/>
        <w:keepLines/>
        <w:numPr>
          <w:ilvl w:val="0"/>
          <w:numId w:val="0"/>
        </w:numPr>
        <w:jc w:val="both"/>
        <w:rPr>
          <w:rFonts w:ascii="Times New Roman" w:hAnsi="Times New Roman" w:cs="Times New Roman"/>
          <w:b w:val="0"/>
          <w:sz w:val="24"/>
        </w:rPr>
      </w:pPr>
      <w:r w:rsidRPr="00D9050C">
        <w:rPr>
          <w:rFonts w:ascii="Times New Roman" w:hAnsi="Times New Roman" w:cs="Times New Roman"/>
          <w:b w:val="0"/>
          <w:sz w:val="24"/>
        </w:rPr>
        <w:t>R</w:t>
      </w:r>
      <w:r w:rsidR="00D441D4" w:rsidRPr="00D9050C">
        <w:rPr>
          <w:rFonts w:ascii="Times New Roman" w:hAnsi="Times New Roman" w:cs="Times New Roman"/>
          <w:b w:val="0"/>
          <w:sz w:val="24"/>
        </w:rPr>
        <w:t>esearch and performance at SAMRC</w:t>
      </w:r>
    </w:p>
    <w:p w14:paraId="1FDBB5D8" w14:textId="77777777" w:rsidR="00E36F69" w:rsidRPr="00941E30" w:rsidRDefault="00E36F69" w:rsidP="00085BAF">
      <w:pPr>
        <w:rPr>
          <w:rFonts w:ascii="Times New Roman" w:hAnsi="Times New Roman"/>
          <w:b/>
          <w:bCs/>
          <w:color w:val="0D92E1"/>
          <w:szCs w:val="19"/>
        </w:rPr>
      </w:pPr>
    </w:p>
    <w:p w14:paraId="4ADBEBD2" w14:textId="77777777" w:rsidR="00E36F69" w:rsidRPr="0093633A" w:rsidRDefault="00E36F69" w:rsidP="00941E30">
      <w:pPr>
        <w:autoSpaceDE w:val="0"/>
        <w:autoSpaceDN w:val="0"/>
        <w:adjustRightInd w:val="0"/>
        <w:spacing w:line="360" w:lineRule="auto"/>
        <w:jc w:val="both"/>
        <w:rPr>
          <w:rFonts w:ascii="Times New Roman" w:hAnsi="Times New Roman"/>
          <w:sz w:val="24"/>
          <w:szCs w:val="24"/>
        </w:rPr>
      </w:pPr>
      <w:r w:rsidRPr="00085BAF">
        <w:rPr>
          <w:rFonts w:ascii="Times New Roman" w:hAnsi="Times New Roman"/>
          <w:sz w:val="24"/>
          <w:szCs w:val="24"/>
        </w:rPr>
        <w:t xml:space="preserve">There are various research and clinical trials that the SAMRC has conducted and funded over the years including epidemiological research and surveys that provide key data for the government particularly for the NDoH. A sample of the </w:t>
      </w:r>
      <w:r w:rsidRPr="0093633A">
        <w:rPr>
          <w:rFonts w:ascii="Times New Roman" w:eastAsia="ArialMT" w:hAnsi="Times New Roman"/>
          <w:sz w:val="24"/>
          <w:szCs w:val="24"/>
        </w:rPr>
        <w:t xml:space="preserve">studies conducted </w:t>
      </w:r>
      <w:r w:rsidRPr="0093633A">
        <w:rPr>
          <w:rFonts w:ascii="Times New Roman" w:hAnsi="Times New Roman"/>
          <w:sz w:val="24"/>
          <w:szCs w:val="24"/>
        </w:rPr>
        <w:t>include the:</w:t>
      </w:r>
      <w:r w:rsidRPr="0093633A">
        <w:rPr>
          <w:rFonts w:ascii="Times New Roman" w:hAnsi="Times New Roman"/>
          <w:sz w:val="24"/>
          <w:szCs w:val="24"/>
          <w:vertAlign w:val="superscript"/>
        </w:rPr>
        <w:t xml:space="preserve"> </w:t>
      </w:r>
    </w:p>
    <w:p w14:paraId="71F2B4A6" w14:textId="77777777" w:rsidR="00E36F69" w:rsidRPr="0093633A" w:rsidRDefault="00E36F69" w:rsidP="00941E30">
      <w:pPr>
        <w:pStyle w:val="ListParagraph"/>
        <w:numPr>
          <w:ilvl w:val="0"/>
          <w:numId w:val="39"/>
        </w:numPr>
        <w:autoSpaceDE w:val="0"/>
        <w:autoSpaceDN w:val="0"/>
        <w:adjustRightInd w:val="0"/>
        <w:spacing w:line="360" w:lineRule="auto"/>
        <w:ind w:left="714" w:hanging="357"/>
        <w:jc w:val="both"/>
        <w:rPr>
          <w:rFonts w:ascii="Times New Roman" w:hAnsi="Times New Roman"/>
          <w:sz w:val="24"/>
          <w:szCs w:val="24"/>
        </w:rPr>
      </w:pPr>
      <w:r w:rsidRPr="0093633A">
        <w:rPr>
          <w:rFonts w:ascii="Times New Roman" w:hAnsi="Times New Roman"/>
          <w:sz w:val="24"/>
          <w:szCs w:val="24"/>
        </w:rPr>
        <w:t>South African Demographic and Health Surveys;</w:t>
      </w:r>
    </w:p>
    <w:p w14:paraId="07092A96" w14:textId="77777777" w:rsidR="00E36F69" w:rsidRPr="0093633A" w:rsidRDefault="00E36F69" w:rsidP="00941E30">
      <w:pPr>
        <w:pStyle w:val="ListParagraph"/>
        <w:numPr>
          <w:ilvl w:val="0"/>
          <w:numId w:val="39"/>
        </w:numPr>
        <w:autoSpaceDE w:val="0"/>
        <w:autoSpaceDN w:val="0"/>
        <w:adjustRightInd w:val="0"/>
        <w:spacing w:line="360" w:lineRule="auto"/>
        <w:ind w:left="714" w:hanging="357"/>
        <w:jc w:val="both"/>
        <w:rPr>
          <w:rFonts w:ascii="Times New Roman" w:hAnsi="Times New Roman"/>
          <w:sz w:val="24"/>
          <w:szCs w:val="24"/>
        </w:rPr>
      </w:pPr>
      <w:r w:rsidRPr="0093633A">
        <w:rPr>
          <w:rFonts w:ascii="Times New Roman" w:hAnsi="Times New Roman"/>
          <w:sz w:val="24"/>
          <w:szCs w:val="24"/>
        </w:rPr>
        <w:t>Evaluation of health information systems for National Health Insurance;</w:t>
      </w:r>
    </w:p>
    <w:p w14:paraId="05B36DB9" w14:textId="77777777" w:rsidR="00E36F69" w:rsidRPr="0093633A" w:rsidRDefault="00E36F69" w:rsidP="00941E30">
      <w:pPr>
        <w:pStyle w:val="ListParagraph"/>
        <w:numPr>
          <w:ilvl w:val="0"/>
          <w:numId w:val="39"/>
        </w:numPr>
        <w:autoSpaceDE w:val="0"/>
        <w:autoSpaceDN w:val="0"/>
        <w:adjustRightInd w:val="0"/>
        <w:spacing w:line="360" w:lineRule="auto"/>
        <w:ind w:left="714" w:hanging="357"/>
        <w:jc w:val="both"/>
        <w:rPr>
          <w:rFonts w:ascii="Times New Roman" w:hAnsi="Times New Roman"/>
          <w:sz w:val="24"/>
          <w:szCs w:val="24"/>
        </w:rPr>
      </w:pPr>
      <w:r w:rsidRPr="0093633A">
        <w:rPr>
          <w:rFonts w:ascii="Times New Roman" w:hAnsi="Times New Roman"/>
          <w:sz w:val="24"/>
          <w:szCs w:val="24"/>
        </w:rPr>
        <w:t>The implementation of a national TB prevalence survey in 2017;</w:t>
      </w:r>
    </w:p>
    <w:p w14:paraId="4F8512A5" w14:textId="77777777" w:rsidR="00E36F69" w:rsidRPr="0093633A" w:rsidRDefault="00E36F69" w:rsidP="00941E30">
      <w:pPr>
        <w:pStyle w:val="ListParagraph"/>
        <w:numPr>
          <w:ilvl w:val="0"/>
          <w:numId w:val="39"/>
        </w:numPr>
        <w:autoSpaceDE w:val="0"/>
        <w:autoSpaceDN w:val="0"/>
        <w:adjustRightInd w:val="0"/>
        <w:spacing w:line="360" w:lineRule="auto"/>
        <w:ind w:left="714" w:hanging="357"/>
        <w:jc w:val="both"/>
        <w:rPr>
          <w:rFonts w:ascii="Times New Roman" w:hAnsi="Times New Roman"/>
          <w:sz w:val="24"/>
          <w:szCs w:val="24"/>
        </w:rPr>
      </w:pPr>
      <w:r w:rsidRPr="0093633A">
        <w:rPr>
          <w:rFonts w:ascii="Times New Roman" w:hAnsi="Times New Roman"/>
          <w:sz w:val="24"/>
          <w:szCs w:val="24"/>
        </w:rPr>
        <w:t>Rural Cancer Registry;</w:t>
      </w:r>
    </w:p>
    <w:p w14:paraId="3F2925E0" w14:textId="77777777" w:rsidR="00E36F69" w:rsidRPr="0093633A" w:rsidRDefault="00E36F69" w:rsidP="00941E30">
      <w:pPr>
        <w:pStyle w:val="ListParagraph"/>
        <w:numPr>
          <w:ilvl w:val="0"/>
          <w:numId w:val="39"/>
        </w:numPr>
        <w:autoSpaceDE w:val="0"/>
        <w:autoSpaceDN w:val="0"/>
        <w:adjustRightInd w:val="0"/>
        <w:spacing w:line="360" w:lineRule="auto"/>
        <w:ind w:left="714" w:hanging="357"/>
        <w:jc w:val="both"/>
        <w:rPr>
          <w:rFonts w:ascii="Times New Roman" w:hAnsi="Times New Roman"/>
          <w:sz w:val="24"/>
          <w:szCs w:val="24"/>
        </w:rPr>
      </w:pPr>
      <w:r w:rsidRPr="0093633A">
        <w:rPr>
          <w:rFonts w:ascii="Times New Roman" w:hAnsi="Times New Roman"/>
          <w:sz w:val="24"/>
          <w:szCs w:val="24"/>
        </w:rPr>
        <w:t>Support of the National Cancer Registry; and</w:t>
      </w:r>
    </w:p>
    <w:p w14:paraId="289EC55D" w14:textId="77777777" w:rsidR="00E36F69" w:rsidRPr="0093633A" w:rsidRDefault="00E36F69" w:rsidP="00941E30">
      <w:pPr>
        <w:pStyle w:val="ListParagraph"/>
        <w:numPr>
          <w:ilvl w:val="0"/>
          <w:numId w:val="39"/>
        </w:numPr>
        <w:spacing w:line="360" w:lineRule="auto"/>
        <w:ind w:left="714" w:hanging="357"/>
        <w:jc w:val="both"/>
        <w:rPr>
          <w:rFonts w:ascii="Times New Roman" w:hAnsi="Times New Roman"/>
          <w:sz w:val="24"/>
          <w:szCs w:val="24"/>
        </w:rPr>
      </w:pPr>
      <w:r w:rsidRPr="0093633A">
        <w:rPr>
          <w:rFonts w:ascii="Times New Roman" w:hAnsi="Times New Roman"/>
          <w:sz w:val="24"/>
          <w:szCs w:val="24"/>
        </w:rPr>
        <w:t>Second National Survey of Female and Child Homicide.</w:t>
      </w:r>
    </w:p>
    <w:p w14:paraId="6E064318" w14:textId="77777777" w:rsidR="00324690" w:rsidRPr="00941E30" w:rsidRDefault="00324690" w:rsidP="00941E30">
      <w:pPr>
        <w:rPr>
          <w:iCs/>
        </w:rPr>
      </w:pPr>
    </w:p>
    <w:p w14:paraId="0148E669" w14:textId="77777777" w:rsidR="00E36F69" w:rsidRPr="00D9050C" w:rsidRDefault="00E36F69" w:rsidP="00941E30">
      <w:pPr>
        <w:pStyle w:val="Heading2"/>
        <w:numPr>
          <w:ilvl w:val="0"/>
          <w:numId w:val="0"/>
        </w:numPr>
        <w:jc w:val="both"/>
        <w:rPr>
          <w:rFonts w:ascii="Times New Roman" w:hAnsi="Times New Roman" w:cs="Times New Roman"/>
          <w:b w:val="0"/>
          <w:sz w:val="24"/>
          <w:szCs w:val="24"/>
        </w:rPr>
      </w:pPr>
      <w:r w:rsidRPr="00D9050C">
        <w:rPr>
          <w:rFonts w:ascii="Times New Roman" w:hAnsi="Times New Roman" w:cs="Times New Roman"/>
          <w:b w:val="0"/>
          <w:sz w:val="24"/>
          <w:szCs w:val="24"/>
        </w:rPr>
        <w:t>Organisational Functioning</w:t>
      </w:r>
    </w:p>
    <w:p w14:paraId="64BBF2D4" w14:textId="77777777" w:rsidR="00E36F69" w:rsidRPr="0093633A" w:rsidRDefault="00E36F69">
      <w:pPr>
        <w:jc w:val="both"/>
        <w:rPr>
          <w:rFonts w:ascii="Times New Roman" w:hAnsi="Times New Roman"/>
          <w:b/>
          <w:bCs/>
          <w:sz w:val="24"/>
          <w:szCs w:val="24"/>
        </w:rPr>
      </w:pPr>
    </w:p>
    <w:p w14:paraId="195FA10F" w14:textId="77777777" w:rsidR="00E36F69" w:rsidRPr="0093633A" w:rsidRDefault="00E36F69" w:rsidP="00941E30">
      <w:pPr>
        <w:autoSpaceDE w:val="0"/>
        <w:autoSpaceDN w:val="0"/>
        <w:adjustRightInd w:val="0"/>
        <w:spacing w:line="360" w:lineRule="auto"/>
        <w:jc w:val="both"/>
        <w:rPr>
          <w:rFonts w:ascii="Times New Roman" w:hAnsi="Times New Roman"/>
          <w:sz w:val="24"/>
          <w:szCs w:val="24"/>
        </w:rPr>
      </w:pPr>
      <w:r w:rsidRPr="0093633A">
        <w:rPr>
          <w:rFonts w:ascii="Times New Roman" w:hAnsi="Times New Roman"/>
          <w:sz w:val="24"/>
          <w:szCs w:val="24"/>
        </w:rPr>
        <w:t>The following are some of several new initiatives that SAMRC plans to undertake during the 2018/19 fiscal year:</w:t>
      </w:r>
      <w:r w:rsidRPr="0093633A">
        <w:rPr>
          <w:rFonts w:ascii="Times New Roman" w:hAnsi="Times New Roman"/>
          <w:sz w:val="24"/>
          <w:szCs w:val="24"/>
          <w:vertAlign w:val="superscript"/>
        </w:rPr>
        <w:t xml:space="preserve"> </w:t>
      </w:r>
    </w:p>
    <w:p w14:paraId="04B28CED" w14:textId="77777777" w:rsidR="00E36F69" w:rsidRPr="0093633A" w:rsidRDefault="00E36F69" w:rsidP="00941E30">
      <w:pPr>
        <w:pStyle w:val="ListParagraph"/>
        <w:numPr>
          <w:ilvl w:val="0"/>
          <w:numId w:val="16"/>
        </w:numPr>
        <w:autoSpaceDE w:val="0"/>
        <w:autoSpaceDN w:val="0"/>
        <w:adjustRightInd w:val="0"/>
        <w:spacing w:line="360" w:lineRule="auto"/>
        <w:jc w:val="both"/>
        <w:rPr>
          <w:rFonts w:ascii="Times New Roman" w:hAnsi="Times New Roman"/>
          <w:sz w:val="24"/>
          <w:szCs w:val="24"/>
        </w:rPr>
      </w:pPr>
      <w:r w:rsidRPr="0093633A">
        <w:rPr>
          <w:rFonts w:ascii="Times New Roman" w:hAnsi="Times New Roman"/>
          <w:sz w:val="24"/>
          <w:szCs w:val="24"/>
        </w:rPr>
        <w:t>The prioritisation and focus of the SAMRC’s intramural research programme to create and strengthening ethos of high quality science and health impact;</w:t>
      </w:r>
    </w:p>
    <w:p w14:paraId="50D516B8" w14:textId="77777777" w:rsidR="00E36F69" w:rsidRPr="0093633A" w:rsidRDefault="00E36F69" w:rsidP="00941E30">
      <w:pPr>
        <w:pStyle w:val="ListParagraph"/>
        <w:numPr>
          <w:ilvl w:val="0"/>
          <w:numId w:val="16"/>
        </w:numPr>
        <w:autoSpaceDE w:val="0"/>
        <w:autoSpaceDN w:val="0"/>
        <w:adjustRightInd w:val="0"/>
        <w:spacing w:line="360" w:lineRule="auto"/>
        <w:jc w:val="both"/>
        <w:rPr>
          <w:rFonts w:ascii="Times New Roman" w:hAnsi="Times New Roman"/>
          <w:sz w:val="24"/>
          <w:szCs w:val="24"/>
        </w:rPr>
      </w:pPr>
      <w:r w:rsidRPr="0093633A">
        <w:rPr>
          <w:rFonts w:ascii="Times New Roman" w:hAnsi="Times New Roman"/>
          <w:sz w:val="24"/>
          <w:szCs w:val="24"/>
        </w:rPr>
        <w:t xml:space="preserve">Strategic oversight of the SAMRC research by the Scientific Advisory Committee </w:t>
      </w:r>
    </w:p>
    <w:p w14:paraId="19D57AA5" w14:textId="77777777" w:rsidR="00104807" w:rsidRDefault="00E36F69" w:rsidP="00941E30">
      <w:pPr>
        <w:pStyle w:val="ListParagraph"/>
        <w:numPr>
          <w:ilvl w:val="0"/>
          <w:numId w:val="16"/>
        </w:numPr>
        <w:spacing w:line="360" w:lineRule="auto"/>
        <w:jc w:val="both"/>
        <w:rPr>
          <w:rFonts w:ascii="Times New Roman" w:hAnsi="Times New Roman"/>
          <w:sz w:val="24"/>
          <w:szCs w:val="24"/>
        </w:rPr>
      </w:pPr>
      <w:r w:rsidRPr="0093633A">
        <w:rPr>
          <w:rFonts w:ascii="Times New Roman" w:hAnsi="Times New Roman"/>
          <w:sz w:val="24"/>
          <w:szCs w:val="24"/>
        </w:rPr>
        <w:t>Improved funding of intramural units;</w:t>
      </w:r>
    </w:p>
    <w:p w14:paraId="2DCED1B3" w14:textId="77777777" w:rsidR="00D441D4" w:rsidRPr="0093633A" w:rsidRDefault="00D441D4" w:rsidP="00941E30">
      <w:pPr>
        <w:pStyle w:val="ListParagraph"/>
        <w:numPr>
          <w:ilvl w:val="0"/>
          <w:numId w:val="16"/>
        </w:numPr>
        <w:spacing w:line="360" w:lineRule="auto"/>
        <w:jc w:val="both"/>
        <w:rPr>
          <w:rFonts w:ascii="Times New Roman" w:hAnsi="Times New Roman"/>
          <w:sz w:val="24"/>
          <w:szCs w:val="24"/>
        </w:rPr>
      </w:pPr>
      <w:r w:rsidRPr="0093633A">
        <w:rPr>
          <w:rFonts w:ascii="Times New Roman" w:hAnsi="Times New Roman"/>
          <w:sz w:val="24"/>
          <w:szCs w:val="24"/>
        </w:rPr>
        <w:t>Establish an Intramural Research Fund focussing on emerging and previously disadvantaged individuals;</w:t>
      </w:r>
    </w:p>
    <w:p w14:paraId="724F9DFC" w14:textId="77777777" w:rsidR="00D441D4" w:rsidRPr="0093633A" w:rsidRDefault="00D441D4" w:rsidP="00941E30">
      <w:pPr>
        <w:pStyle w:val="ListParagraph"/>
        <w:numPr>
          <w:ilvl w:val="0"/>
          <w:numId w:val="16"/>
        </w:numPr>
        <w:autoSpaceDE w:val="0"/>
        <w:autoSpaceDN w:val="0"/>
        <w:adjustRightInd w:val="0"/>
        <w:spacing w:line="360" w:lineRule="auto"/>
        <w:jc w:val="both"/>
        <w:rPr>
          <w:rFonts w:ascii="Times New Roman" w:hAnsi="Times New Roman"/>
          <w:sz w:val="24"/>
          <w:szCs w:val="24"/>
        </w:rPr>
      </w:pPr>
      <w:r w:rsidRPr="0093633A">
        <w:rPr>
          <w:rFonts w:ascii="Times New Roman" w:hAnsi="Times New Roman"/>
          <w:sz w:val="24"/>
          <w:szCs w:val="24"/>
        </w:rPr>
        <w:t>Implementation of collaborative projects jointly funded by Forte (Swedish Council for Health, Working Life and Welfare) and the SAMRC focussing on inequalities in health, health systems and health system policies; and</w:t>
      </w:r>
    </w:p>
    <w:p w14:paraId="736CC434" w14:textId="77777777" w:rsidR="00D441D4" w:rsidRPr="0093633A" w:rsidRDefault="00D441D4" w:rsidP="00941E30">
      <w:pPr>
        <w:pStyle w:val="ListParagraph"/>
        <w:numPr>
          <w:ilvl w:val="0"/>
          <w:numId w:val="16"/>
        </w:numPr>
        <w:autoSpaceDE w:val="0"/>
        <w:autoSpaceDN w:val="0"/>
        <w:adjustRightInd w:val="0"/>
        <w:spacing w:line="360" w:lineRule="auto"/>
        <w:jc w:val="both"/>
        <w:rPr>
          <w:rFonts w:ascii="Times New Roman" w:hAnsi="Times New Roman"/>
          <w:sz w:val="24"/>
          <w:szCs w:val="24"/>
        </w:rPr>
      </w:pPr>
      <w:r w:rsidRPr="0093633A">
        <w:rPr>
          <w:rFonts w:ascii="Times New Roman" w:hAnsi="Times New Roman"/>
          <w:sz w:val="24"/>
          <w:szCs w:val="24"/>
        </w:rPr>
        <w:t>Expand its African footprint through collaborative projects with scientists in African countries, which compliments existing work in Rwanda, Ghana, Kenya, and Zambia.</w:t>
      </w:r>
    </w:p>
    <w:p w14:paraId="2EB0023E" w14:textId="77777777" w:rsidR="00D441D4" w:rsidRPr="0093633A" w:rsidRDefault="00D441D4" w:rsidP="00085BAF">
      <w:pPr>
        <w:pStyle w:val="ListParagraph"/>
        <w:autoSpaceDE w:val="0"/>
        <w:autoSpaceDN w:val="0"/>
        <w:adjustRightInd w:val="0"/>
        <w:jc w:val="both"/>
        <w:rPr>
          <w:rFonts w:ascii="Times New Roman" w:hAnsi="Times New Roman"/>
          <w:sz w:val="24"/>
          <w:szCs w:val="24"/>
        </w:rPr>
      </w:pPr>
    </w:p>
    <w:p w14:paraId="3152C809" w14:textId="77777777" w:rsidR="006B5BC5" w:rsidRDefault="006B5BC5" w:rsidP="00941E30">
      <w:pPr>
        <w:autoSpaceDE w:val="0"/>
        <w:autoSpaceDN w:val="0"/>
        <w:adjustRightInd w:val="0"/>
        <w:jc w:val="both"/>
        <w:rPr>
          <w:rFonts w:ascii="Times New Roman" w:hAnsi="Times New Roman"/>
          <w:b/>
          <w:bCs/>
          <w:kern w:val="32"/>
          <w:sz w:val="24"/>
          <w:szCs w:val="24"/>
        </w:rPr>
      </w:pPr>
      <w:r w:rsidRPr="00080920">
        <w:rPr>
          <w:rFonts w:ascii="Times New Roman" w:hAnsi="Times New Roman"/>
          <w:b/>
          <w:bCs/>
          <w:kern w:val="32"/>
          <w:sz w:val="24"/>
          <w:szCs w:val="24"/>
        </w:rPr>
        <w:t xml:space="preserve">Annual Performance Indicators for 2018/19 </w:t>
      </w:r>
    </w:p>
    <w:p w14:paraId="4FD0CDFF" w14:textId="77777777" w:rsidR="00564911" w:rsidRPr="0093633A" w:rsidRDefault="00564911" w:rsidP="00941E30">
      <w:pPr>
        <w:autoSpaceDE w:val="0"/>
        <w:autoSpaceDN w:val="0"/>
        <w:adjustRightInd w:val="0"/>
        <w:jc w:val="both"/>
        <w:rPr>
          <w:rFonts w:ascii="Times New Roman" w:hAnsi="Times New Roman"/>
          <w:b/>
          <w:sz w:val="24"/>
          <w:szCs w:val="24"/>
        </w:rPr>
      </w:pPr>
    </w:p>
    <w:p w14:paraId="187B897A" w14:textId="77777777" w:rsidR="00564911" w:rsidRPr="0093633A" w:rsidRDefault="00564911" w:rsidP="00941E30">
      <w:pPr>
        <w:autoSpaceDE w:val="0"/>
        <w:autoSpaceDN w:val="0"/>
        <w:adjustRightInd w:val="0"/>
        <w:spacing w:line="360" w:lineRule="auto"/>
        <w:jc w:val="both"/>
        <w:rPr>
          <w:rFonts w:ascii="Times New Roman" w:hAnsi="Times New Roman"/>
          <w:sz w:val="24"/>
          <w:szCs w:val="24"/>
        </w:rPr>
      </w:pPr>
      <w:r w:rsidRPr="0093633A">
        <w:rPr>
          <w:rFonts w:ascii="Times New Roman" w:hAnsi="Times New Roman"/>
          <w:sz w:val="24"/>
          <w:szCs w:val="24"/>
        </w:rPr>
        <w:t xml:space="preserve">The SAMRC has nine (9) strategic objectives that are linked with its budget and key instruments such as SDGs, NDP, 2030 and NDoH. Table </w:t>
      </w:r>
      <w:r w:rsidR="00DB5E8C">
        <w:rPr>
          <w:rFonts w:ascii="Times New Roman" w:hAnsi="Times New Roman"/>
          <w:sz w:val="24"/>
          <w:szCs w:val="24"/>
        </w:rPr>
        <w:t xml:space="preserve">10 </w:t>
      </w:r>
      <w:r w:rsidRPr="0093633A">
        <w:rPr>
          <w:rFonts w:ascii="Times New Roman" w:hAnsi="Times New Roman"/>
          <w:sz w:val="24"/>
          <w:szCs w:val="24"/>
        </w:rPr>
        <w:t xml:space="preserve">below </w:t>
      </w:r>
      <w:r w:rsidR="00104807">
        <w:rPr>
          <w:rFonts w:ascii="Times New Roman" w:hAnsi="Times New Roman"/>
          <w:sz w:val="24"/>
          <w:szCs w:val="24"/>
        </w:rPr>
        <w:t>gives</w:t>
      </w:r>
      <w:r w:rsidR="00104807" w:rsidRPr="0093633A">
        <w:rPr>
          <w:rFonts w:ascii="Times New Roman" w:hAnsi="Times New Roman"/>
          <w:sz w:val="24"/>
          <w:szCs w:val="24"/>
        </w:rPr>
        <w:t xml:space="preserve"> </w:t>
      </w:r>
      <w:r w:rsidRPr="0093633A">
        <w:rPr>
          <w:rFonts w:ascii="Times New Roman" w:hAnsi="Times New Roman"/>
          <w:sz w:val="24"/>
          <w:szCs w:val="24"/>
        </w:rPr>
        <w:t>a synopsis of the strategic objectives, annual performance indicators and estimated performance for the current fiscal year 2018/19:</w:t>
      </w:r>
    </w:p>
    <w:p w14:paraId="5655DEFE" w14:textId="77777777" w:rsidR="00DE53D3" w:rsidRDefault="00DE53D3">
      <w:pPr>
        <w:rPr>
          <w:rFonts w:ascii="Times New Roman" w:hAnsi="Times New Roman"/>
          <w:sz w:val="24"/>
          <w:szCs w:val="24"/>
        </w:rPr>
      </w:pPr>
      <w:r>
        <w:rPr>
          <w:rFonts w:ascii="Times New Roman" w:hAnsi="Times New Roman"/>
          <w:sz w:val="24"/>
          <w:szCs w:val="24"/>
        </w:rPr>
        <w:br w:type="page"/>
      </w:r>
    </w:p>
    <w:p w14:paraId="37588FAA" w14:textId="77777777" w:rsidR="00564911" w:rsidRPr="0093633A" w:rsidRDefault="00564911" w:rsidP="00941E30">
      <w:pPr>
        <w:autoSpaceDE w:val="0"/>
        <w:autoSpaceDN w:val="0"/>
        <w:adjustRightInd w:val="0"/>
        <w:jc w:val="both"/>
        <w:rPr>
          <w:rFonts w:ascii="Times New Roman" w:hAnsi="Times New Roman"/>
          <w:sz w:val="24"/>
          <w:szCs w:val="24"/>
        </w:rPr>
      </w:pPr>
    </w:p>
    <w:p w14:paraId="5B8C3AFB" w14:textId="77777777" w:rsidR="00564911" w:rsidRPr="003A46DA" w:rsidRDefault="00564911" w:rsidP="00941E30">
      <w:pPr>
        <w:autoSpaceDE w:val="0"/>
        <w:autoSpaceDN w:val="0"/>
        <w:adjustRightInd w:val="0"/>
        <w:spacing w:after="120"/>
        <w:jc w:val="both"/>
        <w:rPr>
          <w:rFonts w:ascii="Times New Roman" w:hAnsi="Times New Roman"/>
          <w:b/>
          <w:sz w:val="20"/>
          <w:szCs w:val="20"/>
        </w:rPr>
      </w:pPr>
      <w:r w:rsidRPr="006A253C">
        <w:rPr>
          <w:rFonts w:ascii="Times New Roman" w:hAnsi="Times New Roman"/>
          <w:b/>
          <w:sz w:val="20"/>
          <w:szCs w:val="20"/>
        </w:rPr>
        <w:t xml:space="preserve">Table </w:t>
      </w:r>
      <w:r w:rsidR="00DB5E8C">
        <w:rPr>
          <w:rFonts w:ascii="Times New Roman" w:hAnsi="Times New Roman"/>
          <w:b/>
          <w:sz w:val="20"/>
          <w:szCs w:val="20"/>
        </w:rPr>
        <w:t>10</w:t>
      </w:r>
      <w:r w:rsidRPr="003A46DA">
        <w:rPr>
          <w:rFonts w:ascii="Times New Roman" w:hAnsi="Times New Roman"/>
          <w:b/>
          <w:sz w:val="20"/>
          <w:szCs w:val="20"/>
        </w:rPr>
        <w:t xml:space="preserve">: </w:t>
      </w:r>
      <w:r w:rsidR="00DB5E8C" w:rsidRPr="003A46DA">
        <w:rPr>
          <w:rFonts w:ascii="Times New Roman" w:hAnsi="Times New Roman"/>
          <w:b/>
          <w:sz w:val="20"/>
          <w:szCs w:val="20"/>
        </w:rPr>
        <w:t>Programme Performance Indicators and Targets for 2018/19</w:t>
      </w:r>
    </w:p>
    <w:tbl>
      <w:tblPr>
        <w:tblStyle w:val="TableGrid"/>
        <w:tblW w:w="9265" w:type="dxa"/>
        <w:tblLayout w:type="fixed"/>
        <w:tblLook w:val="04A0" w:firstRow="1" w:lastRow="0" w:firstColumn="1" w:lastColumn="0" w:noHBand="0" w:noVBand="1"/>
      </w:tblPr>
      <w:tblGrid>
        <w:gridCol w:w="2830"/>
        <w:gridCol w:w="4678"/>
        <w:gridCol w:w="1757"/>
      </w:tblGrid>
      <w:tr w:rsidR="00564911" w:rsidRPr="00AE1DA4" w14:paraId="29CEE53F" w14:textId="77777777" w:rsidTr="003A46DA">
        <w:tc>
          <w:tcPr>
            <w:tcW w:w="2830" w:type="dxa"/>
            <w:shd w:val="clear" w:color="auto" w:fill="DAEEF3" w:themeFill="accent5" w:themeFillTint="33"/>
          </w:tcPr>
          <w:p w14:paraId="2DBFA14D" w14:textId="77777777" w:rsidR="00564911" w:rsidRPr="00941E30" w:rsidRDefault="000377DC">
            <w:pPr>
              <w:autoSpaceDE w:val="0"/>
              <w:autoSpaceDN w:val="0"/>
              <w:adjustRightInd w:val="0"/>
              <w:jc w:val="both"/>
              <w:rPr>
                <w:rFonts w:ascii="Times New Roman" w:hAnsi="Times New Roman"/>
                <w:b/>
                <w:sz w:val="20"/>
                <w:szCs w:val="20"/>
              </w:rPr>
            </w:pPr>
            <w:r w:rsidRPr="008532E9">
              <w:rPr>
                <w:rFonts w:ascii="Times New Roman" w:hAnsi="Times New Roman"/>
                <w:b/>
                <w:sz w:val="20"/>
                <w:szCs w:val="20"/>
              </w:rPr>
              <w:t>Strategic obje</w:t>
            </w:r>
            <w:r w:rsidRPr="00AE1DA4">
              <w:rPr>
                <w:rFonts w:ascii="Times New Roman" w:hAnsi="Times New Roman"/>
                <w:b/>
                <w:sz w:val="20"/>
                <w:szCs w:val="20"/>
              </w:rPr>
              <w:t>ctives</w:t>
            </w:r>
          </w:p>
        </w:tc>
        <w:tc>
          <w:tcPr>
            <w:tcW w:w="4678" w:type="dxa"/>
            <w:shd w:val="clear" w:color="auto" w:fill="DAEEF3" w:themeFill="accent5" w:themeFillTint="33"/>
          </w:tcPr>
          <w:p w14:paraId="2B9BD2F4" w14:textId="77777777" w:rsidR="00564911" w:rsidRPr="00941E30" w:rsidRDefault="000377DC">
            <w:pPr>
              <w:autoSpaceDE w:val="0"/>
              <w:autoSpaceDN w:val="0"/>
              <w:adjustRightInd w:val="0"/>
              <w:jc w:val="both"/>
              <w:rPr>
                <w:rFonts w:ascii="Times New Roman" w:hAnsi="Times New Roman"/>
                <w:b/>
                <w:sz w:val="20"/>
                <w:szCs w:val="20"/>
              </w:rPr>
            </w:pPr>
            <w:r w:rsidRPr="008532E9">
              <w:rPr>
                <w:rFonts w:ascii="Times New Roman" w:hAnsi="Times New Roman"/>
                <w:b/>
                <w:sz w:val="20"/>
                <w:szCs w:val="20"/>
              </w:rPr>
              <w:t>Annual performance indicators</w:t>
            </w:r>
          </w:p>
        </w:tc>
        <w:tc>
          <w:tcPr>
            <w:tcW w:w="1757" w:type="dxa"/>
            <w:shd w:val="clear" w:color="auto" w:fill="DAEEF3" w:themeFill="accent5" w:themeFillTint="33"/>
          </w:tcPr>
          <w:p w14:paraId="13F8952A" w14:textId="77777777" w:rsidR="00564911" w:rsidRPr="00941E30" w:rsidRDefault="000377DC">
            <w:pPr>
              <w:autoSpaceDE w:val="0"/>
              <w:autoSpaceDN w:val="0"/>
              <w:adjustRightInd w:val="0"/>
              <w:jc w:val="both"/>
              <w:rPr>
                <w:rFonts w:ascii="Times New Roman" w:hAnsi="Times New Roman"/>
                <w:b/>
                <w:sz w:val="20"/>
                <w:szCs w:val="20"/>
              </w:rPr>
            </w:pPr>
            <w:r w:rsidRPr="008532E9">
              <w:rPr>
                <w:rFonts w:ascii="Times New Roman" w:hAnsi="Times New Roman"/>
                <w:b/>
                <w:sz w:val="20"/>
                <w:szCs w:val="20"/>
              </w:rPr>
              <w:t xml:space="preserve">Estimated Performance </w:t>
            </w:r>
            <w:r w:rsidRPr="00AE1DA4">
              <w:rPr>
                <w:rFonts w:ascii="Times New Roman" w:hAnsi="Times New Roman"/>
                <w:b/>
                <w:sz w:val="20"/>
                <w:szCs w:val="20"/>
              </w:rPr>
              <w:t>for</w:t>
            </w:r>
          </w:p>
          <w:p w14:paraId="427F1A6A" w14:textId="77777777" w:rsidR="00564911" w:rsidRPr="00941E30" w:rsidRDefault="000377DC">
            <w:pPr>
              <w:autoSpaceDE w:val="0"/>
              <w:autoSpaceDN w:val="0"/>
              <w:adjustRightInd w:val="0"/>
              <w:jc w:val="both"/>
              <w:rPr>
                <w:rFonts w:ascii="Times New Roman" w:hAnsi="Times New Roman"/>
                <w:b/>
                <w:sz w:val="20"/>
                <w:szCs w:val="20"/>
              </w:rPr>
            </w:pPr>
            <w:r w:rsidRPr="008532E9">
              <w:rPr>
                <w:rFonts w:ascii="Times New Roman" w:hAnsi="Times New Roman"/>
                <w:b/>
                <w:sz w:val="20"/>
                <w:szCs w:val="20"/>
              </w:rPr>
              <w:t>2018/19</w:t>
            </w:r>
          </w:p>
          <w:p w14:paraId="21252A27" w14:textId="77777777" w:rsidR="00564911" w:rsidRPr="00941E30" w:rsidRDefault="00564911">
            <w:pPr>
              <w:autoSpaceDE w:val="0"/>
              <w:autoSpaceDN w:val="0"/>
              <w:adjustRightInd w:val="0"/>
              <w:jc w:val="both"/>
              <w:rPr>
                <w:rFonts w:ascii="Times New Roman" w:hAnsi="Times New Roman"/>
                <w:b/>
                <w:sz w:val="20"/>
                <w:szCs w:val="20"/>
              </w:rPr>
            </w:pPr>
          </w:p>
        </w:tc>
      </w:tr>
      <w:tr w:rsidR="00564911" w:rsidRPr="00AE1DA4" w14:paraId="2C95333C" w14:textId="77777777" w:rsidTr="003A46DA">
        <w:tc>
          <w:tcPr>
            <w:tcW w:w="2830" w:type="dxa"/>
          </w:tcPr>
          <w:p w14:paraId="013D7BE1"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ensure good governance, effective administration and compliance with government regulations</w:t>
            </w:r>
          </w:p>
        </w:tc>
        <w:tc>
          <w:tcPr>
            <w:tcW w:w="4678" w:type="dxa"/>
          </w:tcPr>
          <w:p w14:paraId="2EC61FFC"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Compliance with legislative prescripts, reflected in the final audit report relating to the processes and systems of the SAMRC</w:t>
            </w:r>
          </w:p>
          <w:p w14:paraId="01C5D7B3" w14:textId="77777777" w:rsidR="00564911" w:rsidRPr="00941E30" w:rsidRDefault="00564911" w:rsidP="00941E30">
            <w:pPr>
              <w:autoSpaceDE w:val="0"/>
              <w:autoSpaceDN w:val="0"/>
              <w:adjustRightInd w:val="0"/>
              <w:rPr>
                <w:rFonts w:ascii="Times New Roman" w:hAnsi="Times New Roman"/>
                <w:sz w:val="20"/>
                <w:szCs w:val="20"/>
              </w:rPr>
            </w:pPr>
          </w:p>
        </w:tc>
        <w:tc>
          <w:tcPr>
            <w:tcW w:w="1757" w:type="dxa"/>
          </w:tcPr>
          <w:p w14:paraId="1DF0A224" w14:textId="77777777" w:rsidR="00564911" w:rsidRPr="00941E30" w:rsidRDefault="00564911" w:rsidP="00085BAF">
            <w:pPr>
              <w:autoSpaceDE w:val="0"/>
              <w:autoSpaceDN w:val="0"/>
              <w:adjustRightInd w:val="0"/>
              <w:jc w:val="both"/>
              <w:rPr>
                <w:rFonts w:ascii="Times New Roman" w:hAnsi="Times New Roman"/>
                <w:sz w:val="20"/>
                <w:szCs w:val="20"/>
              </w:rPr>
            </w:pPr>
            <w:r w:rsidRPr="00941E30">
              <w:rPr>
                <w:rFonts w:ascii="Times New Roman" w:hAnsi="Times New Roman"/>
                <w:sz w:val="20"/>
                <w:szCs w:val="20"/>
              </w:rPr>
              <w:t>Unqualified</w:t>
            </w:r>
          </w:p>
          <w:p w14:paraId="33891270" w14:textId="77777777" w:rsidR="00564911" w:rsidRPr="00941E30" w:rsidRDefault="00564911">
            <w:pPr>
              <w:autoSpaceDE w:val="0"/>
              <w:autoSpaceDN w:val="0"/>
              <w:adjustRightInd w:val="0"/>
              <w:jc w:val="both"/>
              <w:rPr>
                <w:rFonts w:ascii="Times New Roman" w:hAnsi="Times New Roman"/>
                <w:sz w:val="20"/>
                <w:szCs w:val="20"/>
              </w:rPr>
            </w:pPr>
          </w:p>
        </w:tc>
      </w:tr>
      <w:tr w:rsidR="00564911" w:rsidRPr="00AE1DA4" w14:paraId="3D68B78F" w14:textId="77777777" w:rsidTr="003A46DA">
        <w:tc>
          <w:tcPr>
            <w:tcW w:w="2830" w:type="dxa"/>
          </w:tcPr>
          <w:p w14:paraId="72DB4D23"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promote the organisation’s</w:t>
            </w:r>
          </w:p>
          <w:p w14:paraId="622B3315"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administrative efficiency to maximise the funds available for research</w:t>
            </w:r>
          </w:p>
        </w:tc>
        <w:tc>
          <w:tcPr>
            <w:tcW w:w="4678" w:type="dxa"/>
          </w:tcPr>
          <w:p w14:paraId="2E539C80"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Percentage (%) of the 2018/19 SAMRC total budget spent on salaries and operations of all corporate administrative functions</w:t>
            </w:r>
          </w:p>
        </w:tc>
        <w:tc>
          <w:tcPr>
            <w:tcW w:w="1757" w:type="dxa"/>
          </w:tcPr>
          <w:p w14:paraId="58A7953E" w14:textId="77777777" w:rsidR="00564911" w:rsidRPr="00941E30" w:rsidRDefault="00564911" w:rsidP="00085BAF">
            <w:pPr>
              <w:autoSpaceDE w:val="0"/>
              <w:autoSpaceDN w:val="0"/>
              <w:adjustRightInd w:val="0"/>
              <w:jc w:val="both"/>
              <w:rPr>
                <w:rFonts w:ascii="Times New Roman" w:hAnsi="Times New Roman"/>
                <w:sz w:val="20"/>
                <w:szCs w:val="20"/>
              </w:rPr>
            </w:pPr>
            <w:r w:rsidRPr="00941E30">
              <w:rPr>
                <w:rFonts w:ascii="Times New Roman" w:hAnsi="Times New Roman"/>
                <w:sz w:val="20"/>
                <w:szCs w:val="20"/>
              </w:rPr>
              <w:t>20%</w:t>
            </w:r>
          </w:p>
          <w:p w14:paraId="301554F3" w14:textId="77777777" w:rsidR="00564911" w:rsidRPr="00941E30" w:rsidRDefault="00564911">
            <w:pPr>
              <w:autoSpaceDE w:val="0"/>
              <w:autoSpaceDN w:val="0"/>
              <w:adjustRightInd w:val="0"/>
              <w:jc w:val="both"/>
              <w:rPr>
                <w:rFonts w:ascii="Times New Roman" w:hAnsi="Times New Roman"/>
                <w:sz w:val="20"/>
                <w:szCs w:val="20"/>
              </w:rPr>
            </w:pPr>
          </w:p>
        </w:tc>
      </w:tr>
      <w:tr w:rsidR="00564911" w:rsidRPr="00AE1DA4" w14:paraId="0AD9F6C7" w14:textId="77777777" w:rsidTr="003A46DA">
        <w:tc>
          <w:tcPr>
            <w:tcW w:w="2830" w:type="dxa"/>
            <w:vMerge w:val="restart"/>
          </w:tcPr>
          <w:p w14:paraId="7556B526" w14:textId="77777777" w:rsidR="00564911" w:rsidRPr="00941E30" w:rsidRDefault="00564911" w:rsidP="00941E30">
            <w:pPr>
              <w:autoSpaceDE w:val="0"/>
              <w:autoSpaceDN w:val="0"/>
              <w:adjustRightInd w:val="0"/>
              <w:rPr>
                <w:rFonts w:ascii="Times New Roman" w:hAnsi="Times New Roman"/>
                <w:sz w:val="20"/>
                <w:szCs w:val="20"/>
              </w:rPr>
            </w:pPr>
          </w:p>
          <w:p w14:paraId="1A706898" w14:textId="77777777" w:rsidR="00564911" w:rsidRPr="00941E30" w:rsidRDefault="00564911" w:rsidP="00941E30">
            <w:pPr>
              <w:autoSpaceDE w:val="0"/>
              <w:autoSpaceDN w:val="0"/>
              <w:adjustRightInd w:val="0"/>
              <w:rPr>
                <w:rFonts w:ascii="Times New Roman" w:hAnsi="Times New Roman"/>
                <w:sz w:val="20"/>
                <w:szCs w:val="20"/>
              </w:rPr>
            </w:pPr>
          </w:p>
          <w:p w14:paraId="6569575F" w14:textId="77777777" w:rsidR="00564911" w:rsidRPr="00941E30" w:rsidRDefault="00564911" w:rsidP="00941E30">
            <w:pPr>
              <w:autoSpaceDE w:val="0"/>
              <w:autoSpaceDN w:val="0"/>
              <w:adjustRightInd w:val="0"/>
              <w:rPr>
                <w:rFonts w:ascii="Times New Roman" w:hAnsi="Times New Roman"/>
                <w:sz w:val="20"/>
                <w:szCs w:val="20"/>
              </w:rPr>
            </w:pPr>
          </w:p>
          <w:p w14:paraId="1549D4A5"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produce and disseminate new scientific findings and knowledge on health</w:t>
            </w:r>
          </w:p>
          <w:p w14:paraId="4C6F7E74" w14:textId="77777777" w:rsidR="00564911" w:rsidRPr="00941E30" w:rsidRDefault="00564911" w:rsidP="00941E30">
            <w:pPr>
              <w:autoSpaceDE w:val="0"/>
              <w:autoSpaceDN w:val="0"/>
              <w:adjustRightInd w:val="0"/>
              <w:rPr>
                <w:rFonts w:ascii="Times New Roman" w:hAnsi="Times New Roman"/>
                <w:sz w:val="20"/>
                <w:szCs w:val="20"/>
              </w:rPr>
            </w:pPr>
          </w:p>
        </w:tc>
        <w:tc>
          <w:tcPr>
            <w:tcW w:w="4678" w:type="dxa"/>
          </w:tcPr>
          <w:p w14:paraId="6C53110A"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published journal articles, book chapters and books by SAMRC researchers within intramural, extramural research units and collaborating centres at the SAMRC (Malaria, TB, HIV and Cancer), Self-Initiated Research, SHIP and Flagship projects</w:t>
            </w:r>
          </w:p>
          <w:p w14:paraId="49C191DC" w14:textId="77777777" w:rsidR="00564911" w:rsidRPr="00941E30" w:rsidRDefault="00564911" w:rsidP="00941E30">
            <w:pPr>
              <w:autoSpaceDE w:val="0"/>
              <w:autoSpaceDN w:val="0"/>
              <w:adjustRightInd w:val="0"/>
              <w:rPr>
                <w:rFonts w:ascii="Times New Roman" w:hAnsi="Times New Roman"/>
                <w:sz w:val="20"/>
                <w:szCs w:val="20"/>
              </w:rPr>
            </w:pPr>
          </w:p>
        </w:tc>
        <w:tc>
          <w:tcPr>
            <w:tcW w:w="1757" w:type="dxa"/>
          </w:tcPr>
          <w:p w14:paraId="22058E0C" w14:textId="77777777" w:rsidR="00564911" w:rsidRPr="00941E30" w:rsidRDefault="00564911" w:rsidP="00085BAF">
            <w:pPr>
              <w:autoSpaceDE w:val="0"/>
              <w:autoSpaceDN w:val="0"/>
              <w:adjustRightInd w:val="0"/>
              <w:jc w:val="both"/>
              <w:rPr>
                <w:rFonts w:ascii="Times New Roman" w:hAnsi="Times New Roman"/>
                <w:sz w:val="20"/>
                <w:szCs w:val="20"/>
              </w:rPr>
            </w:pPr>
          </w:p>
          <w:p w14:paraId="4A273621" w14:textId="77777777" w:rsidR="00564911" w:rsidRPr="00941E30" w:rsidRDefault="00564911">
            <w:pPr>
              <w:autoSpaceDE w:val="0"/>
              <w:autoSpaceDN w:val="0"/>
              <w:adjustRightInd w:val="0"/>
              <w:jc w:val="both"/>
              <w:rPr>
                <w:rFonts w:ascii="Times New Roman" w:hAnsi="Times New Roman"/>
                <w:sz w:val="20"/>
                <w:szCs w:val="20"/>
              </w:rPr>
            </w:pPr>
          </w:p>
          <w:p w14:paraId="5D546CAC"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750 </w:t>
            </w:r>
          </w:p>
        </w:tc>
      </w:tr>
      <w:tr w:rsidR="00564911" w:rsidRPr="00AE1DA4" w14:paraId="0F4623D2" w14:textId="77777777" w:rsidTr="003A46DA">
        <w:tc>
          <w:tcPr>
            <w:tcW w:w="2830" w:type="dxa"/>
            <w:vMerge/>
          </w:tcPr>
          <w:p w14:paraId="66DCE02C" w14:textId="77777777" w:rsidR="00564911" w:rsidRPr="00941E30" w:rsidRDefault="00564911" w:rsidP="00941E30">
            <w:pPr>
              <w:autoSpaceDE w:val="0"/>
              <w:autoSpaceDN w:val="0"/>
              <w:adjustRightInd w:val="0"/>
              <w:rPr>
                <w:rFonts w:ascii="Times New Roman" w:hAnsi="Times New Roman"/>
                <w:sz w:val="20"/>
                <w:szCs w:val="20"/>
              </w:rPr>
            </w:pPr>
          </w:p>
        </w:tc>
        <w:tc>
          <w:tcPr>
            <w:tcW w:w="4678" w:type="dxa"/>
          </w:tcPr>
          <w:p w14:paraId="4290D472"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Journal articles published by  SAMRC grant-holders with acknowledgement of SAMRC support during the reporting period</w:t>
            </w:r>
          </w:p>
        </w:tc>
        <w:tc>
          <w:tcPr>
            <w:tcW w:w="1757" w:type="dxa"/>
          </w:tcPr>
          <w:p w14:paraId="4932F8CC" w14:textId="77777777" w:rsidR="00564911" w:rsidRPr="00941E30" w:rsidRDefault="00564911" w:rsidP="00085BAF">
            <w:pPr>
              <w:autoSpaceDE w:val="0"/>
              <w:autoSpaceDN w:val="0"/>
              <w:adjustRightInd w:val="0"/>
              <w:jc w:val="both"/>
              <w:rPr>
                <w:rFonts w:ascii="Times New Roman" w:hAnsi="Times New Roman"/>
                <w:sz w:val="20"/>
                <w:szCs w:val="20"/>
              </w:rPr>
            </w:pPr>
          </w:p>
          <w:p w14:paraId="437F8CB7"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196 </w:t>
            </w:r>
          </w:p>
        </w:tc>
      </w:tr>
      <w:tr w:rsidR="00564911" w:rsidRPr="00AE1DA4" w14:paraId="6FC8057D" w14:textId="77777777" w:rsidTr="003A46DA">
        <w:tc>
          <w:tcPr>
            <w:tcW w:w="2830" w:type="dxa"/>
          </w:tcPr>
          <w:p w14:paraId="10D8F2E1"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To promote scientific excellence and the reputation of South African heath research </w:t>
            </w:r>
          </w:p>
        </w:tc>
        <w:tc>
          <w:tcPr>
            <w:tcW w:w="4678" w:type="dxa"/>
          </w:tcPr>
          <w:p w14:paraId="6DEA4F11" w14:textId="77777777" w:rsidR="00564911" w:rsidRPr="00941E30" w:rsidRDefault="00564911" w:rsidP="00941E30">
            <w:pPr>
              <w:autoSpaceDE w:val="0"/>
              <w:autoSpaceDN w:val="0"/>
              <w:adjustRightInd w:val="0"/>
              <w:ind w:left="360"/>
              <w:rPr>
                <w:rFonts w:ascii="Times New Roman" w:hAnsi="Times New Roman"/>
                <w:sz w:val="20"/>
                <w:szCs w:val="20"/>
              </w:rPr>
            </w:pPr>
          </w:p>
          <w:p w14:paraId="50E83B42"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published indexed impact factor Journal articles with a SAMRC affiliated author</w:t>
            </w:r>
          </w:p>
        </w:tc>
        <w:tc>
          <w:tcPr>
            <w:tcW w:w="1757" w:type="dxa"/>
          </w:tcPr>
          <w:p w14:paraId="78362505" w14:textId="77777777" w:rsidR="00564911" w:rsidRPr="00941E30" w:rsidRDefault="00564911" w:rsidP="00085BAF">
            <w:pPr>
              <w:autoSpaceDE w:val="0"/>
              <w:autoSpaceDN w:val="0"/>
              <w:adjustRightInd w:val="0"/>
              <w:jc w:val="both"/>
              <w:rPr>
                <w:rFonts w:ascii="Times New Roman" w:hAnsi="Times New Roman"/>
                <w:sz w:val="20"/>
                <w:szCs w:val="20"/>
              </w:rPr>
            </w:pPr>
          </w:p>
          <w:p w14:paraId="50372D0C"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700 </w:t>
            </w:r>
          </w:p>
        </w:tc>
      </w:tr>
      <w:tr w:rsidR="00564911" w:rsidRPr="00AE1DA4" w14:paraId="68BD3FC4" w14:textId="77777777" w:rsidTr="003A46DA">
        <w:tc>
          <w:tcPr>
            <w:tcW w:w="2830" w:type="dxa"/>
          </w:tcPr>
          <w:p w14:paraId="67878E55"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To provide leadership in the generation new knowledge in health </w:t>
            </w:r>
          </w:p>
        </w:tc>
        <w:tc>
          <w:tcPr>
            <w:tcW w:w="4678" w:type="dxa"/>
          </w:tcPr>
          <w:p w14:paraId="566C51E2"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journal articles where the first and/or last author is affiliated to the SAMRC during the reporting period</w:t>
            </w:r>
          </w:p>
        </w:tc>
        <w:tc>
          <w:tcPr>
            <w:tcW w:w="1757" w:type="dxa"/>
          </w:tcPr>
          <w:p w14:paraId="148E205F" w14:textId="77777777" w:rsidR="00564911" w:rsidRPr="00941E30" w:rsidRDefault="00564911" w:rsidP="00085BAF">
            <w:pPr>
              <w:autoSpaceDE w:val="0"/>
              <w:autoSpaceDN w:val="0"/>
              <w:adjustRightInd w:val="0"/>
              <w:jc w:val="both"/>
              <w:rPr>
                <w:rFonts w:ascii="Times New Roman" w:hAnsi="Times New Roman"/>
                <w:sz w:val="20"/>
                <w:szCs w:val="20"/>
              </w:rPr>
            </w:pPr>
          </w:p>
          <w:p w14:paraId="2B7CAB1D"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500 </w:t>
            </w:r>
          </w:p>
        </w:tc>
      </w:tr>
      <w:tr w:rsidR="00564911" w:rsidRPr="00AE1DA4" w14:paraId="15C35FDE" w14:textId="77777777" w:rsidTr="003A46DA">
        <w:tc>
          <w:tcPr>
            <w:tcW w:w="2830" w:type="dxa"/>
          </w:tcPr>
          <w:p w14:paraId="3F441FF0"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facilitate the translation of SAMRC research findings into health policies and practices</w:t>
            </w:r>
          </w:p>
        </w:tc>
        <w:tc>
          <w:tcPr>
            <w:tcW w:w="4678" w:type="dxa"/>
          </w:tcPr>
          <w:p w14:paraId="338A1CF2"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policies and guidelines that reference SAMRC research</w:t>
            </w:r>
          </w:p>
        </w:tc>
        <w:tc>
          <w:tcPr>
            <w:tcW w:w="1757" w:type="dxa"/>
          </w:tcPr>
          <w:p w14:paraId="548532D3" w14:textId="77777777" w:rsidR="00564911" w:rsidRPr="00941E30" w:rsidRDefault="00564911" w:rsidP="00085BAF">
            <w:pPr>
              <w:autoSpaceDE w:val="0"/>
              <w:autoSpaceDN w:val="0"/>
              <w:adjustRightInd w:val="0"/>
              <w:jc w:val="both"/>
              <w:rPr>
                <w:rFonts w:ascii="Times New Roman" w:hAnsi="Times New Roman"/>
                <w:sz w:val="20"/>
                <w:szCs w:val="20"/>
              </w:rPr>
            </w:pPr>
          </w:p>
          <w:p w14:paraId="14FBAA5D"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6</w:t>
            </w:r>
            <w:r w:rsidRPr="00941E30">
              <w:rPr>
                <w:rFonts w:ascii="Times New Roman" w:hAnsi="Times New Roman"/>
                <w:color w:val="D9D9D9" w:themeColor="background1" w:themeShade="D9"/>
                <w:sz w:val="20"/>
                <w:szCs w:val="20"/>
              </w:rPr>
              <w:t xml:space="preserve"> </w:t>
            </w:r>
          </w:p>
        </w:tc>
      </w:tr>
      <w:tr w:rsidR="00564911" w:rsidRPr="00AE1DA4" w14:paraId="373B73D3" w14:textId="77777777" w:rsidTr="003A46DA">
        <w:tc>
          <w:tcPr>
            <w:tcW w:w="2830" w:type="dxa"/>
          </w:tcPr>
          <w:p w14:paraId="03419654"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provide funding for the conduct of health research</w:t>
            </w:r>
          </w:p>
        </w:tc>
        <w:tc>
          <w:tcPr>
            <w:tcW w:w="4678" w:type="dxa"/>
          </w:tcPr>
          <w:p w14:paraId="0630BD5B"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research grants (new and renewals) awarded by the SAMRC (new/referrals)</w:t>
            </w:r>
          </w:p>
        </w:tc>
        <w:tc>
          <w:tcPr>
            <w:tcW w:w="1757" w:type="dxa"/>
          </w:tcPr>
          <w:p w14:paraId="16DCFF51"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176 </w:t>
            </w:r>
          </w:p>
        </w:tc>
      </w:tr>
      <w:tr w:rsidR="00564911" w:rsidRPr="00AE1DA4" w14:paraId="2E08EF46" w14:textId="77777777" w:rsidTr="003A46DA">
        <w:tc>
          <w:tcPr>
            <w:tcW w:w="2830" w:type="dxa"/>
            <w:vMerge w:val="restart"/>
          </w:tcPr>
          <w:p w14:paraId="7ED73316"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provide funding for health research innovation and technology development</w:t>
            </w:r>
          </w:p>
        </w:tc>
        <w:tc>
          <w:tcPr>
            <w:tcW w:w="4678" w:type="dxa"/>
          </w:tcPr>
          <w:p w14:paraId="20CFDBD0"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innovation and technology projects funded by the SAMRC to develop new diagnostics, devices, vaccines and therapeutics</w:t>
            </w:r>
          </w:p>
        </w:tc>
        <w:tc>
          <w:tcPr>
            <w:tcW w:w="1757" w:type="dxa"/>
          </w:tcPr>
          <w:p w14:paraId="6130881D" w14:textId="77777777" w:rsidR="00CC4687" w:rsidRPr="00941E30" w:rsidRDefault="00CC4687" w:rsidP="00085BAF">
            <w:pPr>
              <w:autoSpaceDE w:val="0"/>
              <w:autoSpaceDN w:val="0"/>
              <w:adjustRightInd w:val="0"/>
              <w:jc w:val="both"/>
              <w:rPr>
                <w:rFonts w:ascii="Times New Roman" w:hAnsi="Times New Roman"/>
                <w:sz w:val="20"/>
                <w:szCs w:val="20"/>
              </w:rPr>
            </w:pPr>
          </w:p>
          <w:p w14:paraId="1DE29A4D"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40 </w:t>
            </w:r>
          </w:p>
          <w:p w14:paraId="194646AE" w14:textId="77777777" w:rsidR="00564911" w:rsidRPr="00941E30" w:rsidRDefault="00564911">
            <w:pPr>
              <w:autoSpaceDE w:val="0"/>
              <w:autoSpaceDN w:val="0"/>
              <w:adjustRightInd w:val="0"/>
              <w:jc w:val="both"/>
              <w:rPr>
                <w:rFonts w:ascii="Times New Roman" w:hAnsi="Times New Roman"/>
                <w:sz w:val="20"/>
                <w:szCs w:val="20"/>
              </w:rPr>
            </w:pPr>
          </w:p>
          <w:p w14:paraId="3812385C" w14:textId="77777777" w:rsidR="00564911" w:rsidRPr="00941E30" w:rsidRDefault="00564911">
            <w:pPr>
              <w:autoSpaceDE w:val="0"/>
              <w:autoSpaceDN w:val="0"/>
              <w:adjustRightInd w:val="0"/>
              <w:jc w:val="both"/>
              <w:rPr>
                <w:rFonts w:ascii="Times New Roman" w:hAnsi="Times New Roman"/>
                <w:sz w:val="20"/>
                <w:szCs w:val="20"/>
              </w:rPr>
            </w:pPr>
          </w:p>
        </w:tc>
      </w:tr>
      <w:tr w:rsidR="00564911" w:rsidRPr="00AE1DA4" w14:paraId="1ED1F514" w14:textId="77777777" w:rsidTr="003A46DA">
        <w:tc>
          <w:tcPr>
            <w:tcW w:w="2830" w:type="dxa"/>
            <w:vMerge/>
          </w:tcPr>
          <w:p w14:paraId="27D01FB5" w14:textId="77777777" w:rsidR="00564911" w:rsidRPr="00941E30" w:rsidRDefault="00564911" w:rsidP="00941E30">
            <w:pPr>
              <w:autoSpaceDE w:val="0"/>
              <w:autoSpaceDN w:val="0"/>
              <w:adjustRightInd w:val="0"/>
              <w:rPr>
                <w:rFonts w:ascii="Times New Roman" w:hAnsi="Times New Roman"/>
                <w:sz w:val="20"/>
                <w:szCs w:val="20"/>
              </w:rPr>
            </w:pPr>
          </w:p>
        </w:tc>
        <w:tc>
          <w:tcPr>
            <w:tcW w:w="4678" w:type="dxa"/>
          </w:tcPr>
          <w:p w14:paraId="765D1CF8"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Number of new diagnostics, devices, vaccines and therapeutics progressed to the next </w:t>
            </w:r>
            <w:r w:rsidRPr="00941E30">
              <w:rPr>
                <w:rFonts w:ascii="Times New Roman" w:hAnsi="Times New Roman"/>
                <w:bCs/>
                <w:sz w:val="20"/>
                <w:szCs w:val="20"/>
              </w:rPr>
              <w:t>stage</w:t>
            </w:r>
            <w:r w:rsidRPr="00941E30">
              <w:rPr>
                <w:rFonts w:ascii="Times New Roman" w:hAnsi="Times New Roman"/>
                <w:b/>
                <w:bCs/>
                <w:sz w:val="20"/>
                <w:szCs w:val="20"/>
              </w:rPr>
              <w:t xml:space="preserve"> </w:t>
            </w:r>
            <w:r w:rsidRPr="00941E30">
              <w:rPr>
                <w:rFonts w:ascii="Times New Roman" w:hAnsi="Times New Roman"/>
                <w:sz w:val="20"/>
                <w:szCs w:val="20"/>
              </w:rPr>
              <w:t>of development during the reporting period</w:t>
            </w:r>
          </w:p>
        </w:tc>
        <w:tc>
          <w:tcPr>
            <w:tcW w:w="1757" w:type="dxa"/>
          </w:tcPr>
          <w:p w14:paraId="6D2D5B77" w14:textId="77777777" w:rsidR="00564911" w:rsidRPr="00941E30" w:rsidRDefault="00564911" w:rsidP="00085BAF">
            <w:pPr>
              <w:autoSpaceDE w:val="0"/>
              <w:autoSpaceDN w:val="0"/>
              <w:adjustRightInd w:val="0"/>
              <w:jc w:val="both"/>
              <w:rPr>
                <w:rFonts w:ascii="Times New Roman" w:hAnsi="Times New Roman"/>
                <w:sz w:val="20"/>
                <w:szCs w:val="20"/>
              </w:rPr>
            </w:pPr>
            <w:r w:rsidRPr="00941E30">
              <w:rPr>
                <w:rFonts w:ascii="Times New Roman" w:hAnsi="Times New Roman"/>
                <w:sz w:val="20"/>
                <w:szCs w:val="20"/>
              </w:rPr>
              <w:t>2</w:t>
            </w:r>
          </w:p>
          <w:p w14:paraId="001ACA5D" w14:textId="77777777" w:rsidR="00564911" w:rsidRPr="00941E30" w:rsidRDefault="00564911">
            <w:pPr>
              <w:autoSpaceDE w:val="0"/>
              <w:autoSpaceDN w:val="0"/>
              <w:adjustRightInd w:val="0"/>
              <w:jc w:val="both"/>
              <w:rPr>
                <w:rFonts w:ascii="Times New Roman" w:hAnsi="Times New Roman"/>
                <w:sz w:val="20"/>
                <w:szCs w:val="20"/>
              </w:rPr>
            </w:pPr>
          </w:p>
        </w:tc>
      </w:tr>
      <w:tr w:rsidR="00564911" w:rsidRPr="00AE1DA4" w14:paraId="096C2511" w14:textId="77777777" w:rsidTr="003A46DA">
        <w:tc>
          <w:tcPr>
            <w:tcW w:w="2830" w:type="dxa"/>
            <w:vMerge w:val="restart"/>
          </w:tcPr>
          <w:p w14:paraId="77B3C8F2"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To enhance the long-term sustainability of health research in South Africa by providing funding for the next generation of health researchers</w:t>
            </w:r>
          </w:p>
        </w:tc>
        <w:tc>
          <w:tcPr>
            <w:tcW w:w="4678" w:type="dxa"/>
          </w:tcPr>
          <w:p w14:paraId="4730DB7B"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Number </w:t>
            </w:r>
            <w:r w:rsidRPr="00941E30">
              <w:rPr>
                <w:rFonts w:ascii="Times New Roman" w:hAnsi="Times New Roman"/>
                <w:bCs/>
                <w:sz w:val="20"/>
                <w:szCs w:val="20"/>
              </w:rPr>
              <w:t>(new</w:t>
            </w:r>
            <w:r w:rsidRPr="00941E30">
              <w:rPr>
                <w:rFonts w:ascii="Times New Roman" w:hAnsi="Times New Roman"/>
                <w:b/>
                <w:bCs/>
                <w:sz w:val="20"/>
                <w:szCs w:val="20"/>
              </w:rPr>
              <w:t xml:space="preserve"> </w:t>
            </w:r>
            <w:r w:rsidRPr="00941E30">
              <w:rPr>
                <w:rFonts w:ascii="Times New Roman" w:hAnsi="Times New Roman"/>
                <w:sz w:val="20"/>
                <w:szCs w:val="20"/>
              </w:rPr>
              <w:t>and renewals) of SAMRC bursaries, scholarships and fellowships funded for postgraduate study at masters doctoral and postdoctoral levels</w:t>
            </w:r>
          </w:p>
        </w:tc>
        <w:tc>
          <w:tcPr>
            <w:tcW w:w="1757" w:type="dxa"/>
          </w:tcPr>
          <w:p w14:paraId="3860E95B" w14:textId="77777777" w:rsidR="00564911" w:rsidRPr="00941E30" w:rsidRDefault="00564911" w:rsidP="00085BAF">
            <w:pPr>
              <w:autoSpaceDE w:val="0"/>
              <w:autoSpaceDN w:val="0"/>
              <w:adjustRightInd w:val="0"/>
              <w:jc w:val="both"/>
              <w:rPr>
                <w:rFonts w:ascii="Times New Roman" w:hAnsi="Times New Roman"/>
                <w:sz w:val="20"/>
                <w:szCs w:val="20"/>
              </w:rPr>
            </w:pPr>
          </w:p>
          <w:p w14:paraId="78E52292" w14:textId="77777777" w:rsidR="00564911" w:rsidRPr="00941E30" w:rsidRDefault="00564911">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101 </w:t>
            </w:r>
          </w:p>
        </w:tc>
      </w:tr>
      <w:tr w:rsidR="00564911" w:rsidRPr="00AE1DA4" w14:paraId="0D99E94C" w14:textId="77777777" w:rsidTr="003A46DA">
        <w:tc>
          <w:tcPr>
            <w:tcW w:w="2830" w:type="dxa"/>
            <w:vMerge/>
          </w:tcPr>
          <w:p w14:paraId="14D6B18E" w14:textId="77777777" w:rsidR="00564911" w:rsidRPr="00941E30" w:rsidRDefault="00564911">
            <w:pPr>
              <w:autoSpaceDE w:val="0"/>
              <w:autoSpaceDN w:val="0"/>
              <w:adjustRightInd w:val="0"/>
              <w:jc w:val="both"/>
              <w:rPr>
                <w:rFonts w:ascii="Times New Roman" w:hAnsi="Times New Roman"/>
                <w:sz w:val="20"/>
                <w:szCs w:val="20"/>
              </w:rPr>
            </w:pPr>
          </w:p>
        </w:tc>
        <w:tc>
          <w:tcPr>
            <w:tcW w:w="4678" w:type="dxa"/>
          </w:tcPr>
          <w:p w14:paraId="0B6646CB" w14:textId="77777777" w:rsidR="00564911" w:rsidRPr="00941E30" w:rsidRDefault="00564911" w:rsidP="00941E30">
            <w:pPr>
              <w:autoSpaceDE w:val="0"/>
              <w:autoSpaceDN w:val="0"/>
              <w:adjustRightInd w:val="0"/>
              <w:rPr>
                <w:rFonts w:ascii="Times New Roman" w:hAnsi="Times New Roman"/>
                <w:sz w:val="20"/>
                <w:szCs w:val="20"/>
              </w:rPr>
            </w:pPr>
            <w:r w:rsidRPr="00941E30">
              <w:rPr>
                <w:rFonts w:ascii="Times New Roman" w:hAnsi="Times New Roman"/>
                <w:sz w:val="20"/>
                <w:szCs w:val="20"/>
              </w:rPr>
              <w:t>Number of new masters and doctoral students</w:t>
            </w:r>
            <w:r w:rsidR="00C346A8" w:rsidRPr="00941E30">
              <w:rPr>
                <w:rFonts w:ascii="Times New Roman" w:hAnsi="Times New Roman"/>
                <w:sz w:val="20"/>
                <w:szCs w:val="20"/>
              </w:rPr>
              <w:t xml:space="preserve"> graduated during the reporting </w:t>
            </w:r>
            <w:r w:rsidRPr="00941E30">
              <w:rPr>
                <w:rFonts w:ascii="Times New Roman" w:hAnsi="Times New Roman"/>
                <w:sz w:val="20"/>
                <w:szCs w:val="20"/>
              </w:rPr>
              <w:t>period</w:t>
            </w:r>
          </w:p>
        </w:tc>
        <w:tc>
          <w:tcPr>
            <w:tcW w:w="1757" w:type="dxa"/>
          </w:tcPr>
          <w:p w14:paraId="6DB681AE" w14:textId="77777777" w:rsidR="00564911" w:rsidRPr="00941E30" w:rsidRDefault="00564911" w:rsidP="00085BAF">
            <w:pPr>
              <w:autoSpaceDE w:val="0"/>
              <w:autoSpaceDN w:val="0"/>
              <w:adjustRightInd w:val="0"/>
              <w:jc w:val="both"/>
              <w:rPr>
                <w:rFonts w:ascii="Times New Roman" w:hAnsi="Times New Roman"/>
                <w:sz w:val="20"/>
                <w:szCs w:val="20"/>
              </w:rPr>
            </w:pPr>
            <w:r w:rsidRPr="00941E30">
              <w:rPr>
                <w:rFonts w:ascii="Times New Roman" w:hAnsi="Times New Roman"/>
                <w:sz w:val="20"/>
                <w:szCs w:val="20"/>
              </w:rPr>
              <w:t xml:space="preserve">60 </w:t>
            </w:r>
          </w:p>
        </w:tc>
      </w:tr>
    </w:tbl>
    <w:p w14:paraId="6497D077" w14:textId="77777777" w:rsidR="00564911" w:rsidRPr="00085BAF" w:rsidRDefault="00564911" w:rsidP="00085BAF">
      <w:pPr>
        <w:autoSpaceDE w:val="0"/>
        <w:autoSpaceDN w:val="0"/>
        <w:adjustRightInd w:val="0"/>
        <w:jc w:val="both"/>
        <w:rPr>
          <w:rFonts w:ascii="Times New Roman" w:hAnsi="Times New Roman"/>
          <w:sz w:val="24"/>
          <w:szCs w:val="24"/>
        </w:rPr>
      </w:pPr>
    </w:p>
    <w:p w14:paraId="2F25467D" w14:textId="77777777" w:rsidR="009E5567" w:rsidRDefault="009E5567" w:rsidP="00941E30">
      <w:pPr>
        <w:pStyle w:val="Heading1"/>
        <w:keepLines/>
        <w:numPr>
          <w:ilvl w:val="0"/>
          <w:numId w:val="0"/>
        </w:numPr>
        <w:jc w:val="both"/>
        <w:rPr>
          <w:rFonts w:ascii="Times New Roman" w:hAnsi="Times New Roman" w:cs="Times New Roman"/>
          <w:b w:val="0"/>
          <w:bCs w:val="0"/>
          <w:kern w:val="0"/>
          <w:sz w:val="18"/>
          <w:szCs w:val="18"/>
        </w:rPr>
      </w:pPr>
    </w:p>
    <w:p w14:paraId="440DFA68" w14:textId="77777777" w:rsidR="00C346A8" w:rsidRPr="00941E30" w:rsidRDefault="00AE1DA4" w:rsidP="00941E30">
      <w:pPr>
        <w:pStyle w:val="Heading1"/>
        <w:keepLines/>
        <w:numPr>
          <w:ilvl w:val="0"/>
          <w:numId w:val="0"/>
        </w:numPr>
        <w:jc w:val="both"/>
        <w:rPr>
          <w:rFonts w:ascii="Times New Roman" w:hAnsi="Times New Roman" w:cs="Times New Roman"/>
          <w:color w:val="000000"/>
          <w:sz w:val="24"/>
          <w:lang w:eastAsia="en-ZA"/>
        </w:rPr>
      </w:pPr>
      <w:r w:rsidRPr="00085BAF">
        <w:rPr>
          <w:rFonts w:ascii="Times New Roman" w:hAnsi="Times New Roman" w:cs="Times New Roman"/>
          <w:sz w:val="24"/>
          <w:lang w:eastAsia="en-ZA"/>
        </w:rPr>
        <w:t xml:space="preserve">Budget </w:t>
      </w:r>
      <w:r w:rsidR="006B5BC5">
        <w:rPr>
          <w:rFonts w:ascii="Times New Roman" w:hAnsi="Times New Roman" w:cs="Times New Roman"/>
          <w:sz w:val="24"/>
          <w:lang w:eastAsia="en-ZA"/>
        </w:rPr>
        <w:t>Overview</w:t>
      </w:r>
      <w:r w:rsidRPr="0093633A">
        <w:rPr>
          <w:rFonts w:ascii="Times New Roman" w:hAnsi="Times New Roman" w:cs="Times New Roman"/>
          <w:sz w:val="24"/>
          <w:lang w:eastAsia="en-ZA"/>
        </w:rPr>
        <w:t xml:space="preserve"> </w:t>
      </w:r>
    </w:p>
    <w:p w14:paraId="674C4F2E" w14:textId="77777777" w:rsidR="00C346A8" w:rsidRPr="00941E30" w:rsidRDefault="00C346A8" w:rsidP="00085BAF">
      <w:pPr>
        <w:pStyle w:val="ListParagraph"/>
        <w:autoSpaceDE w:val="0"/>
        <w:autoSpaceDN w:val="0"/>
        <w:adjustRightInd w:val="0"/>
        <w:ind w:left="360"/>
        <w:rPr>
          <w:rFonts w:ascii="Times New Roman" w:hAnsi="Times New Roman"/>
          <w:color w:val="000000"/>
          <w:lang w:eastAsia="en-ZA"/>
        </w:rPr>
      </w:pPr>
    </w:p>
    <w:p w14:paraId="75868B06" w14:textId="77777777" w:rsidR="00C346A8" w:rsidRPr="0093633A" w:rsidRDefault="00C346A8" w:rsidP="00941E30">
      <w:pPr>
        <w:spacing w:line="360" w:lineRule="auto"/>
        <w:jc w:val="both"/>
        <w:rPr>
          <w:rFonts w:ascii="Times New Roman" w:hAnsi="Times New Roman"/>
          <w:sz w:val="24"/>
          <w:szCs w:val="24"/>
        </w:rPr>
      </w:pPr>
      <w:r w:rsidRPr="00085BAF">
        <w:rPr>
          <w:rFonts w:ascii="Times New Roman" w:hAnsi="Times New Roman"/>
          <w:sz w:val="24"/>
          <w:szCs w:val="24"/>
          <w:lang w:eastAsia="en-ZA"/>
        </w:rPr>
        <w:t>The SAMRC’s complete budget comprise of two components namely</w:t>
      </w:r>
      <w:r w:rsidR="009303D4">
        <w:rPr>
          <w:rFonts w:ascii="Times New Roman" w:hAnsi="Times New Roman"/>
          <w:sz w:val="24"/>
          <w:szCs w:val="24"/>
          <w:lang w:eastAsia="en-ZA"/>
        </w:rPr>
        <w:t>,</w:t>
      </w:r>
      <w:r w:rsidRPr="00085BAF">
        <w:rPr>
          <w:rFonts w:ascii="Times New Roman" w:hAnsi="Times New Roman"/>
          <w:sz w:val="24"/>
          <w:szCs w:val="24"/>
          <w:lang w:eastAsia="en-ZA"/>
        </w:rPr>
        <w:t xml:space="preserve"> the a</w:t>
      </w:r>
      <w:r w:rsidRPr="0093633A">
        <w:rPr>
          <w:rFonts w:ascii="Times New Roman" w:hAnsi="Times New Roman"/>
          <w:sz w:val="24"/>
          <w:szCs w:val="24"/>
          <w:lang w:eastAsia="en-ZA"/>
        </w:rPr>
        <w:t xml:space="preserve">nnual baseline grants from the NDoH and donor funding. During the period of 2014/15 to 2017/18, the overall budget of the SAMRC was expected to grow at an average rate of 9.6% per annum from R750 million to R987 million. This is an increase of 31.6% over the period 2014-2018. Furthermore, the MTEF period of 2018/19-2020/21 indicates that its annual budget is projected to grow at an average rate of 5.3% annually. As a result, the budget depicts a slight increase of R108 million from 2018/19 to 2020/21. Table </w:t>
      </w:r>
      <w:r w:rsidR="009E5567">
        <w:rPr>
          <w:rFonts w:ascii="Times New Roman" w:hAnsi="Times New Roman"/>
          <w:sz w:val="24"/>
          <w:szCs w:val="24"/>
          <w:lang w:eastAsia="en-ZA"/>
        </w:rPr>
        <w:t>11</w:t>
      </w:r>
      <w:r w:rsidR="009E5567" w:rsidRPr="00085BAF">
        <w:rPr>
          <w:rFonts w:ascii="Times New Roman" w:hAnsi="Times New Roman"/>
          <w:sz w:val="24"/>
          <w:szCs w:val="24"/>
          <w:lang w:eastAsia="en-ZA"/>
        </w:rPr>
        <w:t xml:space="preserve"> </w:t>
      </w:r>
      <w:r w:rsidRPr="0093633A">
        <w:rPr>
          <w:rFonts w:ascii="Times New Roman" w:hAnsi="Times New Roman"/>
          <w:sz w:val="24"/>
          <w:szCs w:val="24"/>
          <w:lang w:eastAsia="en-ZA"/>
        </w:rPr>
        <w:t>below shows the detailed allocation for 2018/19 fiscal year for SAMRC.</w:t>
      </w:r>
    </w:p>
    <w:p w14:paraId="459053EC" w14:textId="77777777" w:rsidR="00DB5E8C" w:rsidRDefault="00DB5E8C" w:rsidP="00941E30">
      <w:pPr>
        <w:autoSpaceDE w:val="0"/>
        <w:autoSpaceDN w:val="0"/>
        <w:adjustRightInd w:val="0"/>
        <w:spacing w:after="120"/>
        <w:rPr>
          <w:rFonts w:ascii="Times New Roman" w:hAnsi="Times New Roman"/>
          <w:b/>
          <w:sz w:val="22"/>
          <w:lang w:eastAsia="en-ZA"/>
        </w:rPr>
      </w:pPr>
    </w:p>
    <w:p w14:paraId="4CF0708E" w14:textId="77777777" w:rsidR="00C346A8" w:rsidRPr="00941E30" w:rsidRDefault="00C346A8" w:rsidP="00941E30">
      <w:pPr>
        <w:autoSpaceDE w:val="0"/>
        <w:autoSpaceDN w:val="0"/>
        <w:adjustRightInd w:val="0"/>
        <w:spacing w:after="120"/>
        <w:rPr>
          <w:rFonts w:ascii="Times New Roman" w:hAnsi="Times New Roman"/>
          <w:b/>
          <w:iCs/>
          <w:color w:val="000000"/>
          <w:sz w:val="22"/>
          <w:lang w:eastAsia="en-ZA"/>
        </w:rPr>
      </w:pPr>
      <w:r w:rsidRPr="00941E30">
        <w:rPr>
          <w:rFonts w:ascii="Times New Roman" w:hAnsi="Times New Roman"/>
          <w:b/>
          <w:sz w:val="22"/>
          <w:lang w:eastAsia="en-ZA"/>
        </w:rPr>
        <w:t xml:space="preserve">Table </w:t>
      </w:r>
      <w:r w:rsidR="00DB5E8C">
        <w:rPr>
          <w:rFonts w:ascii="Times New Roman" w:hAnsi="Times New Roman"/>
          <w:b/>
          <w:sz w:val="22"/>
          <w:lang w:eastAsia="en-ZA"/>
        </w:rPr>
        <w:t>11</w:t>
      </w:r>
      <w:r w:rsidRPr="00941E30">
        <w:rPr>
          <w:rFonts w:ascii="Times New Roman" w:hAnsi="Times New Roman"/>
          <w:b/>
          <w:sz w:val="22"/>
          <w:lang w:eastAsia="en-ZA"/>
        </w:rPr>
        <w:t xml:space="preserve">: </w:t>
      </w:r>
      <w:r w:rsidRPr="00941E30">
        <w:rPr>
          <w:rFonts w:ascii="Times New Roman" w:hAnsi="Times New Roman"/>
          <w:b/>
          <w:iCs/>
          <w:sz w:val="22"/>
          <w:lang w:eastAsia="en-ZA"/>
        </w:rPr>
        <w:t>Budget overview across programmes</w:t>
      </w:r>
    </w:p>
    <w:tbl>
      <w:tblPr>
        <w:tblStyle w:val="TableGrid"/>
        <w:tblW w:w="9923" w:type="dxa"/>
        <w:tblInd w:w="-147" w:type="dxa"/>
        <w:tblLayout w:type="fixed"/>
        <w:tblLook w:val="04A0" w:firstRow="1" w:lastRow="0" w:firstColumn="1" w:lastColumn="0" w:noHBand="0" w:noVBand="1"/>
      </w:tblPr>
      <w:tblGrid>
        <w:gridCol w:w="1843"/>
        <w:gridCol w:w="1134"/>
        <w:gridCol w:w="993"/>
        <w:gridCol w:w="992"/>
        <w:gridCol w:w="992"/>
        <w:gridCol w:w="992"/>
        <w:gridCol w:w="993"/>
        <w:gridCol w:w="992"/>
        <w:gridCol w:w="992"/>
      </w:tblGrid>
      <w:tr w:rsidR="00C346A8" w:rsidRPr="0093633A" w14:paraId="116B0F9B" w14:textId="77777777" w:rsidTr="001D526E">
        <w:trPr>
          <w:trHeight w:val="780"/>
        </w:trPr>
        <w:tc>
          <w:tcPr>
            <w:tcW w:w="1843" w:type="dxa"/>
            <w:shd w:val="clear" w:color="auto" w:fill="DBE5F1" w:themeFill="accent1" w:themeFillTint="33"/>
            <w:noWrap/>
            <w:hideMark/>
          </w:tcPr>
          <w:p w14:paraId="3F1AE009"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Programme</w:t>
            </w:r>
          </w:p>
        </w:tc>
        <w:tc>
          <w:tcPr>
            <w:tcW w:w="4111" w:type="dxa"/>
            <w:gridSpan w:val="4"/>
            <w:shd w:val="clear" w:color="auto" w:fill="DBE5F1" w:themeFill="accent1" w:themeFillTint="33"/>
            <w:hideMark/>
          </w:tcPr>
          <w:p w14:paraId="05119B0E"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Budget</w:t>
            </w:r>
          </w:p>
        </w:tc>
        <w:tc>
          <w:tcPr>
            <w:tcW w:w="992" w:type="dxa"/>
            <w:shd w:val="clear" w:color="auto" w:fill="DBE5F1" w:themeFill="accent1" w:themeFillTint="33"/>
            <w:hideMark/>
          </w:tcPr>
          <w:p w14:paraId="0F761D23"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Nominal Rand change</w:t>
            </w:r>
          </w:p>
        </w:tc>
        <w:tc>
          <w:tcPr>
            <w:tcW w:w="993" w:type="dxa"/>
            <w:shd w:val="clear" w:color="auto" w:fill="DBE5F1" w:themeFill="accent1" w:themeFillTint="33"/>
            <w:hideMark/>
          </w:tcPr>
          <w:p w14:paraId="41489245"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Real Rand change</w:t>
            </w:r>
          </w:p>
        </w:tc>
        <w:tc>
          <w:tcPr>
            <w:tcW w:w="992" w:type="dxa"/>
            <w:shd w:val="clear" w:color="auto" w:fill="DBE5F1" w:themeFill="accent1" w:themeFillTint="33"/>
            <w:hideMark/>
          </w:tcPr>
          <w:p w14:paraId="182030A5"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Nominal %</w:t>
            </w:r>
          </w:p>
          <w:p w14:paraId="25F6D9AC"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change</w:t>
            </w:r>
          </w:p>
        </w:tc>
        <w:tc>
          <w:tcPr>
            <w:tcW w:w="992" w:type="dxa"/>
            <w:shd w:val="clear" w:color="auto" w:fill="DBE5F1" w:themeFill="accent1" w:themeFillTint="33"/>
            <w:hideMark/>
          </w:tcPr>
          <w:p w14:paraId="0A096A03"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Real</w:t>
            </w:r>
          </w:p>
          <w:p w14:paraId="2634B65B"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w:t>
            </w:r>
          </w:p>
          <w:p w14:paraId="4F447C8D"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change</w:t>
            </w:r>
          </w:p>
        </w:tc>
      </w:tr>
      <w:tr w:rsidR="00C346A8" w:rsidRPr="0093633A" w14:paraId="6E3E0A70" w14:textId="77777777" w:rsidTr="001D526E">
        <w:trPr>
          <w:trHeight w:val="388"/>
        </w:trPr>
        <w:tc>
          <w:tcPr>
            <w:tcW w:w="1843" w:type="dxa"/>
            <w:shd w:val="clear" w:color="auto" w:fill="DBE5F1" w:themeFill="accent1" w:themeFillTint="33"/>
            <w:noWrap/>
            <w:hideMark/>
          </w:tcPr>
          <w:p w14:paraId="534273BE" w14:textId="77777777" w:rsidR="00C346A8" w:rsidRPr="00941E30" w:rsidRDefault="00C346A8" w:rsidP="00085BAF">
            <w:pPr>
              <w:autoSpaceDE w:val="0"/>
              <w:autoSpaceDN w:val="0"/>
              <w:adjustRightInd w:val="0"/>
              <w:rPr>
                <w:rFonts w:ascii="Times New Roman" w:hAnsi="Times New Roman"/>
                <w:b/>
                <w:sz w:val="16"/>
              </w:rPr>
            </w:pPr>
            <w:r w:rsidRPr="00941E30">
              <w:rPr>
                <w:rFonts w:ascii="Times New Roman" w:hAnsi="Times New Roman"/>
                <w:b/>
                <w:sz w:val="16"/>
              </w:rPr>
              <w:t>R million</w:t>
            </w:r>
          </w:p>
        </w:tc>
        <w:tc>
          <w:tcPr>
            <w:tcW w:w="1134" w:type="dxa"/>
            <w:shd w:val="clear" w:color="auto" w:fill="DBE5F1" w:themeFill="accent1" w:themeFillTint="33"/>
            <w:noWrap/>
            <w:hideMark/>
          </w:tcPr>
          <w:p w14:paraId="375F0FF9"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2017/18</w:t>
            </w:r>
          </w:p>
        </w:tc>
        <w:tc>
          <w:tcPr>
            <w:tcW w:w="993" w:type="dxa"/>
            <w:shd w:val="clear" w:color="auto" w:fill="DBE5F1" w:themeFill="accent1" w:themeFillTint="33"/>
            <w:noWrap/>
            <w:hideMark/>
          </w:tcPr>
          <w:p w14:paraId="54F49607"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2018/19</w:t>
            </w:r>
          </w:p>
        </w:tc>
        <w:tc>
          <w:tcPr>
            <w:tcW w:w="992" w:type="dxa"/>
            <w:shd w:val="clear" w:color="auto" w:fill="DBE5F1" w:themeFill="accent1" w:themeFillTint="33"/>
            <w:noWrap/>
            <w:hideMark/>
          </w:tcPr>
          <w:p w14:paraId="462C6AD3"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2019/20</w:t>
            </w:r>
          </w:p>
        </w:tc>
        <w:tc>
          <w:tcPr>
            <w:tcW w:w="992" w:type="dxa"/>
            <w:shd w:val="clear" w:color="auto" w:fill="DBE5F1" w:themeFill="accent1" w:themeFillTint="33"/>
            <w:noWrap/>
            <w:hideMark/>
          </w:tcPr>
          <w:p w14:paraId="310B0A27"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2020/21</w:t>
            </w:r>
          </w:p>
        </w:tc>
        <w:tc>
          <w:tcPr>
            <w:tcW w:w="1985" w:type="dxa"/>
            <w:gridSpan w:val="2"/>
            <w:shd w:val="clear" w:color="auto" w:fill="DBE5F1" w:themeFill="accent1" w:themeFillTint="33"/>
            <w:noWrap/>
            <w:hideMark/>
          </w:tcPr>
          <w:p w14:paraId="0F914A6B" w14:textId="77777777" w:rsidR="00C346A8" w:rsidRPr="00941E30" w:rsidRDefault="00C346A8">
            <w:pPr>
              <w:autoSpaceDE w:val="0"/>
              <w:autoSpaceDN w:val="0"/>
              <w:adjustRightInd w:val="0"/>
              <w:rPr>
                <w:rFonts w:ascii="Times New Roman" w:hAnsi="Times New Roman"/>
                <w:b/>
                <w:bCs/>
                <w:sz w:val="16"/>
              </w:rPr>
            </w:pPr>
            <w:r w:rsidRPr="00941E30">
              <w:rPr>
                <w:rFonts w:ascii="Times New Roman" w:hAnsi="Times New Roman"/>
                <w:b/>
                <w:bCs/>
                <w:sz w:val="16"/>
              </w:rPr>
              <w:t xml:space="preserve"> 2017/18-2018/19</w:t>
            </w:r>
          </w:p>
        </w:tc>
        <w:tc>
          <w:tcPr>
            <w:tcW w:w="1984" w:type="dxa"/>
            <w:gridSpan w:val="2"/>
            <w:shd w:val="clear" w:color="auto" w:fill="DBE5F1" w:themeFill="accent1" w:themeFillTint="33"/>
            <w:noWrap/>
            <w:hideMark/>
          </w:tcPr>
          <w:p w14:paraId="53E0B2F4" w14:textId="77777777" w:rsidR="00C346A8" w:rsidRPr="00941E30" w:rsidRDefault="00C346A8">
            <w:pPr>
              <w:autoSpaceDE w:val="0"/>
              <w:autoSpaceDN w:val="0"/>
              <w:adjustRightInd w:val="0"/>
              <w:jc w:val="center"/>
              <w:rPr>
                <w:rFonts w:ascii="Times New Roman" w:hAnsi="Times New Roman"/>
                <w:b/>
                <w:bCs/>
                <w:sz w:val="16"/>
              </w:rPr>
            </w:pPr>
            <w:r w:rsidRPr="00941E30">
              <w:rPr>
                <w:rFonts w:ascii="Times New Roman" w:hAnsi="Times New Roman"/>
                <w:b/>
                <w:bCs/>
                <w:sz w:val="16"/>
              </w:rPr>
              <w:t>2017/18-2018/19</w:t>
            </w:r>
          </w:p>
        </w:tc>
      </w:tr>
      <w:tr w:rsidR="00C346A8" w:rsidRPr="0093633A" w14:paraId="12B1DB77" w14:textId="77777777" w:rsidTr="00941E30">
        <w:trPr>
          <w:trHeight w:val="420"/>
        </w:trPr>
        <w:tc>
          <w:tcPr>
            <w:tcW w:w="1843" w:type="dxa"/>
            <w:hideMark/>
          </w:tcPr>
          <w:p w14:paraId="5D2355AF" w14:textId="77777777" w:rsidR="00C346A8" w:rsidRPr="00941E30" w:rsidRDefault="00C346A8" w:rsidP="00085BAF">
            <w:pPr>
              <w:autoSpaceDE w:val="0"/>
              <w:autoSpaceDN w:val="0"/>
              <w:adjustRightInd w:val="0"/>
              <w:rPr>
                <w:rFonts w:ascii="Times New Roman" w:hAnsi="Times New Roman"/>
                <w:sz w:val="16"/>
              </w:rPr>
            </w:pPr>
            <w:r w:rsidRPr="00941E30">
              <w:rPr>
                <w:rFonts w:ascii="Times New Roman" w:hAnsi="Times New Roman"/>
                <w:sz w:val="16"/>
              </w:rPr>
              <w:t>Administration</w:t>
            </w:r>
          </w:p>
        </w:tc>
        <w:tc>
          <w:tcPr>
            <w:tcW w:w="1134" w:type="dxa"/>
            <w:noWrap/>
            <w:hideMark/>
          </w:tcPr>
          <w:p w14:paraId="2F9B031A"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199 232</w:t>
            </w:r>
          </w:p>
        </w:tc>
        <w:tc>
          <w:tcPr>
            <w:tcW w:w="993" w:type="dxa"/>
            <w:shd w:val="clear" w:color="auto" w:fill="auto"/>
            <w:noWrap/>
            <w:hideMark/>
          </w:tcPr>
          <w:p w14:paraId="68D2BED4"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183 111</w:t>
            </w:r>
          </w:p>
        </w:tc>
        <w:tc>
          <w:tcPr>
            <w:tcW w:w="992" w:type="dxa"/>
            <w:noWrap/>
            <w:hideMark/>
          </w:tcPr>
          <w:p w14:paraId="77EFC8AB"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194 684</w:t>
            </w:r>
          </w:p>
        </w:tc>
        <w:tc>
          <w:tcPr>
            <w:tcW w:w="992" w:type="dxa"/>
            <w:noWrap/>
            <w:hideMark/>
          </w:tcPr>
          <w:p w14:paraId="44F2396A"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203 259</w:t>
            </w:r>
          </w:p>
        </w:tc>
        <w:tc>
          <w:tcPr>
            <w:tcW w:w="992" w:type="dxa"/>
            <w:noWrap/>
            <w:hideMark/>
          </w:tcPr>
          <w:p w14:paraId="1B916390"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- 16 121</w:t>
            </w:r>
          </w:p>
        </w:tc>
        <w:tc>
          <w:tcPr>
            <w:tcW w:w="993" w:type="dxa"/>
            <w:noWrap/>
            <w:hideMark/>
          </w:tcPr>
          <w:p w14:paraId="33A54CCD"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- 25 667</w:t>
            </w:r>
          </w:p>
        </w:tc>
        <w:tc>
          <w:tcPr>
            <w:tcW w:w="992" w:type="dxa"/>
            <w:noWrap/>
            <w:hideMark/>
          </w:tcPr>
          <w:p w14:paraId="678024DE"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-8,09%</w:t>
            </w:r>
          </w:p>
        </w:tc>
        <w:tc>
          <w:tcPr>
            <w:tcW w:w="992" w:type="dxa"/>
            <w:noWrap/>
            <w:hideMark/>
          </w:tcPr>
          <w:p w14:paraId="3A135508"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-12,88%</w:t>
            </w:r>
          </w:p>
        </w:tc>
      </w:tr>
      <w:tr w:rsidR="00C346A8" w:rsidRPr="0093633A" w14:paraId="7F0692E0" w14:textId="77777777" w:rsidTr="00941E30">
        <w:trPr>
          <w:trHeight w:val="413"/>
        </w:trPr>
        <w:tc>
          <w:tcPr>
            <w:tcW w:w="1843" w:type="dxa"/>
            <w:hideMark/>
          </w:tcPr>
          <w:p w14:paraId="4C3D299D" w14:textId="77777777" w:rsidR="00C346A8" w:rsidRPr="00941E30" w:rsidRDefault="00C346A8" w:rsidP="00085BAF">
            <w:pPr>
              <w:autoSpaceDE w:val="0"/>
              <w:autoSpaceDN w:val="0"/>
              <w:adjustRightInd w:val="0"/>
              <w:rPr>
                <w:rFonts w:ascii="Times New Roman" w:hAnsi="Times New Roman"/>
                <w:sz w:val="16"/>
              </w:rPr>
            </w:pPr>
            <w:r w:rsidRPr="00941E30">
              <w:rPr>
                <w:rFonts w:ascii="Times New Roman" w:hAnsi="Times New Roman"/>
                <w:sz w:val="16"/>
              </w:rPr>
              <w:t>Core Research</w:t>
            </w:r>
          </w:p>
        </w:tc>
        <w:tc>
          <w:tcPr>
            <w:tcW w:w="1134" w:type="dxa"/>
            <w:noWrap/>
            <w:hideMark/>
          </w:tcPr>
          <w:p w14:paraId="61724D84"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603 247</w:t>
            </w:r>
          </w:p>
        </w:tc>
        <w:tc>
          <w:tcPr>
            <w:tcW w:w="993" w:type="dxa"/>
            <w:shd w:val="clear" w:color="auto" w:fill="auto"/>
            <w:noWrap/>
            <w:hideMark/>
          </w:tcPr>
          <w:p w14:paraId="7914A6DA"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660 301</w:t>
            </w:r>
          </w:p>
        </w:tc>
        <w:tc>
          <w:tcPr>
            <w:tcW w:w="992" w:type="dxa"/>
            <w:noWrap/>
            <w:hideMark/>
          </w:tcPr>
          <w:p w14:paraId="2851FA99"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601 655</w:t>
            </w:r>
          </w:p>
        </w:tc>
        <w:tc>
          <w:tcPr>
            <w:tcW w:w="992" w:type="dxa"/>
            <w:noWrap/>
            <w:hideMark/>
          </w:tcPr>
          <w:p w14:paraId="6C078DBB"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651 306</w:t>
            </w:r>
          </w:p>
        </w:tc>
        <w:tc>
          <w:tcPr>
            <w:tcW w:w="992" w:type="dxa"/>
            <w:noWrap/>
            <w:hideMark/>
          </w:tcPr>
          <w:p w14:paraId="78D52A14"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57 054</w:t>
            </w:r>
          </w:p>
        </w:tc>
        <w:tc>
          <w:tcPr>
            <w:tcW w:w="993" w:type="dxa"/>
            <w:noWrap/>
            <w:hideMark/>
          </w:tcPr>
          <w:p w14:paraId="24BC37E1"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22 630</w:t>
            </w:r>
          </w:p>
        </w:tc>
        <w:tc>
          <w:tcPr>
            <w:tcW w:w="992" w:type="dxa"/>
            <w:noWrap/>
            <w:hideMark/>
          </w:tcPr>
          <w:p w14:paraId="63B87AE4"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9,46%</w:t>
            </w:r>
          </w:p>
        </w:tc>
        <w:tc>
          <w:tcPr>
            <w:tcW w:w="992" w:type="dxa"/>
            <w:noWrap/>
            <w:hideMark/>
          </w:tcPr>
          <w:p w14:paraId="374F79F6"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3,75%</w:t>
            </w:r>
          </w:p>
        </w:tc>
      </w:tr>
      <w:tr w:rsidR="00C346A8" w:rsidRPr="0093633A" w14:paraId="22AC37CF" w14:textId="77777777" w:rsidTr="00941E30">
        <w:trPr>
          <w:trHeight w:val="420"/>
        </w:trPr>
        <w:tc>
          <w:tcPr>
            <w:tcW w:w="1843" w:type="dxa"/>
            <w:hideMark/>
          </w:tcPr>
          <w:p w14:paraId="3A3DAAA3" w14:textId="77777777" w:rsidR="00C346A8" w:rsidRPr="00941E30" w:rsidRDefault="00C346A8" w:rsidP="00085BAF">
            <w:pPr>
              <w:autoSpaceDE w:val="0"/>
              <w:autoSpaceDN w:val="0"/>
              <w:adjustRightInd w:val="0"/>
              <w:rPr>
                <w:rFonts w:ascii="Times New Roman" w:hAnsi="Times New Roman"/>
                <w:sz w:val="16"/>
              </w:rPr>
            </w:pPr>
            <w:r w:rsidRPr="00941E30">
              <w:rPr>
                <w:rFonts w:ascii="Times New Roman" w:hAnsi="Times New Roman"/>
                <w:sz w:val="16"/>
              </w:rPr>
              <w:t>Innovation &amp; Technology</w:t>
            </w:r>
          </w:p>
        </w:tc>
        <w:tc>
          <w:tcPr>
            <w:tcW w:w="1134" w:type="dxa"/>
            <w:noWrap/>
            <w:hideMark/>
          </w:tcPr>
          <w:p w14:paraId="6AC81471"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190 992</w:t>
            </w:r>
          </w:p>
        </w:tc>
        <w:tc>
          <w:tcPr>
            <w:tcW w:w="993" w:type="dxa"/>
            <w:shd w:val="clear" w:color="auto" w:fill="auto"/>
            <w:noWrap/>
            <w:hideMark/>
          </w:tcPr>
          <w:p w14:paraId="18C51C1A"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202 596</w:t>
            </w:r>
          </w:p>
        </w:tc>
        <w:tc>
          <w:tcPr>
            <w:tcW w:w="992" w:type="dxa"/>
            <w:noWrap/>
            <w:hideMark/>
          </w:tcPr>
          <w:p w14:paraId="5CD3DE65"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203 330</w:t>
            </w:r>
          </w:p>
        </w:tc>
        <w:tc>
          <w:tcPr>
            <w:tcW w:w="992" w:type="dxa"/>
            <w:noWrap/>
            <w:hideMark/>
          </w:tcPr>
          <w:p w14:paraId="4707B76F"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205 857</w:t>
            </w:r>
          </w:p>
        </w:tc>
        <w:tc>
          <w:tcPr>
            <w:tcW w:w="992" w:type="dxa"/>
            <w:noWrap/>
            <w:hideMark/>
          </w:tcPr>
          <w:p w14:paraId="0E150900"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11 604</w:t>
            </w:r>
          </w:p>
        </w:tc>
        <w:tc>
          <w:tcPr>
            <w:tcW w:w="993" w:type="dxa"/>
            <w:noWrap/>
            <w:hideMark/>
          </w:tcPr>
          <w:p w14:paraId="5806F926"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1 042</w:t>
            </w:r>
          </w:p>
        </w:tc>
        <w:tc>
          <w:tcPr>
            <w:tcW w:w="992" w:type="dxa"/>
            <w:noWrap/>
            <w:hideMark/>
          </w:tcPr>
          <w:p w14:paraId="1E9110D5"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6,08%</w:t>
            </w:r>
          </w:p>
        </w:tc>
        <w:tc>
          <w:tcPr>
            <w:tcW w:w="992" w:type="dxa"/>
            <w:noWrap/>
            <w:hideMark/>
          </w:tcPr>
          <w:p w14:paraId="3E3F6FAE"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0,55%</w:t>
            </w:r>
          </w:p>
        </w:tc>
      </w:tr>
      <w:tr w:rsidR="00C346A8" w:rsidRPr="0093633A" w14:paraId="10BDA87F" w14:textId="77777777" w:rsidTr="00941E30">
        <w:trPr>
          <w:trHeight w:val="412"/>
        </w:trPr>
        <w:tc>
          <w:tcPr>
            <w:tcW w:w="1843" w:type="dxa"/>
            <w:hideMark/>
          </w:tcPr>
          <w:p w14:paraId="43E5D29F" w14:textId="77777777" w:rsidR="00C346A8" w:rsidRPr="00941E30" w:rsidRDefault="00C346A8" w:rsidP="00085BAF">
            <w:pPr>
              <w:autoSpaceDE w:val="0"/>
              <w:autoSpaceDN w:val="0"/>
              <w:adjustRightInd w:val="0"/>
              <w:rPr>
                <w:rFonts w:ascii="Times New Roman" w:hAnsi="Times New Roman"/>
                <w:sz w:val="16"/>
              </w:rPr>
            </w:pPr>
            <w:r w:rsidRPr="00941E30">
              <w:rPr>
                <w:rFonts w:ascii="Times New Roman" w:hAnsi="Times New Roman"/>
                <w:sz w:val="16"/>
              </w:rPr>
              <w:t>Capacity Development</w:t>
            </w:r>
          </w:p>
        </w:tc>
        <w:tc>
          <w:tcPr>
            <w:tcW w:w="1134" w:type="dxa"/>
            <w:noWrap/>
            <w:hideMark/>
          </w:tcPr>
          <w:p w14:paraId="62CDF01B"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58 153</w:t>
            </w:r>
          </w:p>
        </w:tc>
        <w:tc>
          <w:tcPr>
            <w:tcW w:w="993" w:type="dxa"/>
            <w:shd w:val="clear" w:color="auto" w:fill="auto"/>
            <w:noWrap/>
            <w:hideMark/>
          </w:tcPr>
          <w:p w14:paraId="11812D8E"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85 565</w:t>
            </w:r>
          </w:p>
        </w:tc>
        <w:tc>
          <w:tcPr>
            <w:tcW w:w="992" w:type="dxa"/>
            <w:noWrap/>
            <w:hideMark/>
          </w:tcPr>
          <w:p w14:paraId="23BD49B9"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88 980</w:t>
            </w:r>
          </w:p>
        </w:tc>
        <w:tc>
          <w:tcPr>
            <w:tcW w:w="992" w:type="dxa"/>
            <w:noWrap/>
            <w:hideMark/>
          </w:tcPr>
          <w:p w14:paraId="2FC20D55"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89 092</w:t>
            </w:r>
          </w:p>
        </w:tc>
        <w:tc>
          <w:tcPr>
            <w:tcW w:w="992" w:type="dxa"/>
            <w:noWrap/>
            <w:hideMark/>
          </w:tcPr>
          <w:p w14:paraId="42864886"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27 412</w:t>
            </w:r>
          </w:p>
        </w:tc>
        <w:tc>
          <w:tcPr>
            <w:tcW w:w="993" w:type="dxa"/>
            <w:noWrap/>
            <w:hideMark/>
          </w:tcPr>
          <w:p w14:paraId="349923EF" w14:textId="77777777" w:rsidR="00C346A8" w:rsidRPr="00941E30" w:rsidRDefault="00C346A8">
            <w:pPr>
              <w:autoSpaceDE w:val="0"/>
              <w:autoSpaceDN w:val="0"/>
              <w:adjustRightInd w:val="0"/>
              <w:jc w:val="right"/>
              <w:rPr>
                <w:rFonts w:ascii="Times New Roman" w:hAnsi="Times New Roman"/>
                <w:sz w:val="16"/>
              </w:rPr>
            </w:pPr>
            <w:r w:rsidRPr="00941E30">
              <w:rPr>
                <w:rFonts w:ascii="Times New Roman" w:hAnsi="Times New Roman"/>
                <w:sz w:val="16"/>
              </w:rPr>
              <w:t xml:space="preserve"> 22 951</w:t>
            </w:r>
          </w:p>
        </w:tc>
        <w:tc>
          <w:tcPr>
            <w:tcW w:w="992" w:type="dxa"/>
            <w:noWrap/>
            <w:hideMark/>
          </w:tcPr>
          <w:p w14:paraId="720446D6"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47,14%</w:t>
            </w:r>
          </w:p>
        </w:tc>
        <w:tc>
          <w:tcPr>
            <w:tcW w:w="992" w:type="dxa"/>
            <w:noWrap/>
            <w:hideMark/>
          </w:tcPr>
          <w:p w14:paraId="291E76BB" w14:textId="77777777" w:rsidR="00C346A8" w:rsidRPr="00941E30" w:rsidRDefault="00C346A8">
            <w:pPr>
              <w:autoSpaceDE w:val="0"/>
              <w:autoSpaceDN w:val="0"/>
              <w:adjustRightInd w:val="0"/>
              <w:jc w:val="center"/>
              <w:rPr>
                <w:rFonts w:ascii="Times New Roman" w:hAnsi="Times New Roman"/>
                <w:sz w:val="16"/>
              </w:rPr>
            </w:pPr>
            <w:r w:rsidRPr="00941E30">
              <w:rPr>
                <w:rFonts w:ascii="Times New Roman" w:hAnsi="Times New Roman"/>
                <w:sz w:val="16"/>
              </w:rPr>
              <w:t>39,47%</w:t>
            </w:r>
          </w:p>
        </w:tc>
      </w:tr>
      <w:tr w:rsidR="00C346A8" w:rsidRPr="0093633A" w14:paraId="5F396F94" w14:textId="77777777" w:rsidTr="001D526E">
        <w:trPr>
          <w:trHeight w:val="417"/>
        </w:trPr>
        <w:tc>
          <w:tcPr>
            <w:tcW w:w="1843" w:type="dxa"/>
            <w:shd w:val="clear" w:color="auto" w:fill="DBE5F1" w:themeFill="accent1" w:themeFillTint="33"/>
            <w:noWrap/>
            <w:hideMark/>
          </w:tcPr>
          <w:p w14:paraId="56F5CB54" w14:textId="77777777" w:rsidR="00C346A8" w:rsidRPr="00941E30" w:rsidRDefault="00C346A8" w:rsidP="00085BAF">
            <w:pPr>
              <w:autoSpaceDE w:val="0"/>
              <w:autoSpaceDN w:val="0"/>
              <w:adjustRightInd w:val="0"/>
              <w:rPr>
                <w:rFonts w:ascii="Times New Roman" w:hAnsi="Times New Roman"/>
                <w:b/>
                <w:bCs/>
                <w:sz w:val="16"/>
                <w:szCs w:val="20"/>
              </w:rPr>
            </w:pPr>
            <w:r w:rsidRPr="00941E30">
              <w:rPr>
                <w:rFonts w:ascii="Times New Roman" w:hAnsi="Times New Roman"/>
                <w:b/>
                <w:bCs/>
                <w:sz w:val="16"/>
                <w:szCs w:val="20"/>
              </w:rPr>
              <w:t>TOTAL</w:t>
            </w:r>
          </w:p>
        </w:tc>
        <w:tc>
          <w:tcPr>
            <w:tcW w:w="1134" w:type="dxa"/>
            <w:shd w:val="clear" w:color="auto" w:fill="DBE5F1" w:themeFill="accent1" w:themeFillTint="33"/>
            <w:noWrap/>
            <w:hideMark/>
          </w:tcPr>
          <w:p w14:paraId="2E864263" w14:textId="77777777" w:rsidR="00C346A8" w:rsidRPr="00941E30" w:rsidRDefault="00C346A8">
            <w:pPr>
              <w:autoSpaceDE w:val="0"/>
              <w:autoSpaceDN w:val="0"/>
              <w:adjustRightInd w:val="0"/>
              <w:jc w:val="right"/>
              <w:rPr>
                <w:rFonts w:ascii="Times New Roman" w:hAnsi="Times New Roman"/>
                <w:b/>
                <w:bCs/>
                <w:sz w:val="16"/>
                <w:szCs w:val="20"/>
              </w:rPr>
            </w:pPr>
            <w:r w:rsidRPr="00941E30">
              <w:rPr>
                <w:rFonts w:ascii="Times New Roman" w:hAnsi="Times New Roman"/>
                <w:b/>
                <w:bCs/>
                <w:sz w:val="16"/>
                <w:szCs w:val="20"/>
              </w:rPr>
              <w:t>1 051 624</w:t>
            </w:r>
          </w:p>
        </w:tc>
        <w:tc>
          <w:tcPr>
            <w:tcW w:w="993" w:type="dxa"/>
            <w:shd w:val="clear" w:color="auto" w:fill="DBE5F1" w:themeFill="accent1" w:themeFillTint="33"/>
            <w:noWrap/>
          </w:tcPr>
          <w:p w14:paraId="6FADA6E1" w14:textId="77777777" w:rsidR="00C346A8" w:rsidRPr="00941E30" w:rsidRDefault="00C346A8">
            <w:pPr>
              <w:autoSpaceDE w:val="0"/>
              <w:autoSpaceDN w:val="0"/>
              <w:adjustRightInd w:val="0"/>
              <w:jc w:val="right"/>
              <w:rPr>
                <w:rFonts w:ascii="Times New Roman" w:hAnsi="Times New Roman"/>
                <w:b/>
                <w:bCs/>
                <w:sz w:val="16"/>
                <w:szCs w:val="20"/>
              </w:rPr>
            </w:pPr>
            <w:r w:rsidRPr="00941E30">
              <w:rPr>
                <w:rFonts w:ascii="Times New Roman" w:hAnsi="Times New Roman"/>
                <w:b/>
                <w:bCs/>
                <w:sz w:val="16"/>
                <w:szCs w:val="20"/>
              </w:rPr>
              <w:t>1 131 573</w:t>
            </w:r>
          </w:p>
        </w:tc>
        <w:tc>
          <w:tcPr>
            <w:tcW w:w="992" w:type="dxa"/>
            <w:shd w:val="clear" w:color="auto" w:fill="DBE5F1" w:themeFill="accent1" w:themeFillTint="33"/>
            <w:noWrap/>
            <w:hideMark/>
          </w:tcPr>
          <w:p w14:paraId="73E7FA8C" w14:textId="77777777" w:rsidR="00C346A8" w:rsidRPr="00941E30" w:rsidRDefault="00C346A8">
            <w:pPr>
              <w:autoSpaceDE w:val="0"/>
              <w:autoSpaceDN w:val="0"/>
              <w:adjustRightInd w:val="0"/>
              <w:jc w:val="right"/>
              <w:rPr>
                <w:rFonts w:ascii="Times New Roman" w:hAnsi="Times New Roman"/>
                <w:b/>
                <w:sz w:val="16"/>
                <w:szCs w:val="20"/>
              </w:rPr>
            </w:pPr>
            <w:r w:rsidRPr="00941E30">
              <w:rPr>
                <w:rFonts w:ascii="Times New Roman" w:hAnsi="Times New Roman"/>
                <w:b/>
                <w:sz w:val="16"/>
                <w:szCs w:val="20"/>
              </w:rPr>
              <w:t>1 088 649</w:t>
            </w:r>
          </w:p>
        </w:tc>
        <w:tc>
          <w:tcPr>
            <w:tcW w:w="992" w:type="dxa"/>
            <w:shd w:val="clear" w:color="auto" w:fill="DBE5F1" w:themeFill="accent1" w:themeFillTint="33"/>
            <w:noWrap/>
            <w:hideMark/>
          </w:tcPr>
          <w:p w14:paraId="2583D3F5" w14:textId="77777777" w:rsidR="00C346A8" w:rsidRPr="00941E30" w:rsidRDefault="00C346A8">
            <w:pPr>
              <w:autoSpaceDE w:val="0"/>
              <w:autoSpaceDN w:val="0"/>
              <w:adjustRightInd w:val="0"/>
              <w:jc w:val="right"/>
              <w:rPr>
                <w:rFonts w:ascii="Times New Roman" w:hAnsi="Times New Roman"/>
                <w:b/>
                <w:sz w:val="16"/>
                <w:szCs w:val="20"/>
              </w:rPr>
            </w:pPr>
            <w:r w:rsidRPr="00941E30">
              <w:rPr>
                <w:rFonts w:ascii="Times New Roman" w:hAnsi="Times New Roman"/>
                <w:b/>
                <w:sz w:val="16"/>
                <w:szCs w:val="20"/>
              </w:rPr>
              <w:t>1 149 508</w:t>
            </w:r>
          </w:p>
        </w:tc>
        <w:tc>
          <w:tcPr>
            <w:tcW w:w="992" w:type="dxa"/>
            <w:shd w:val="clear" w:color="auto" w:fill="DBE5F1" w:themeFill="accent1" w:themeFillTint="33"/>
            <w:noWrap/>
            <w:hideMark/>
          </w:tcPr>
          <w:p w14:paraId="4D6724A9" w14:textId="77777777" w:rsidR="00C346A8" w:rsidRPr="00941E30" w:rsidRDefault="00C346A8">
            <w:pPr>
              <w:autoSpaceDE w:val="0"/>
              <w:autoSpaceDN w:val="0"/>
              <w:adjustRightInd w:val="0"/>
              <w:jc w:val="right"/>
              <w:rPr>
                <w:rFonts w:ascii="Times New Roman" w:hAnsi="Times New Roman"/>
                <w:b/>
                <w:bCs/>
                <w:sz w:val="16"/>
                <w:szCs w:val="20"/>
              </w:rPr>
            </w:pPr>
            <w:r w:rsidRPr="00941E30">
              <w:rPr>
                <w:rFonts w:ascii="Times New Roman" w:hAnsi="Times New Roman"/>
                <w:b/>
                <w:bCs/>
                <w:sz w:val="16"/>
                <w:szCs w:val="20"/>
              </w:rPr>
              <w:t xml:space="preserve"> 79 949</w:t>
            </w:r>
          </w:p>
        </w:tc>
        <w:tc>
          <w:tcPr>
            <w:tcW w:w="993" w:type="dxa"/>
            <w:shd w:val="clear" w:color="auto" w:fill="DBE5F1" w:themeFill="accent1" w:themeFillTint="33"/>
            <w:noWrap/>
            <w:hideMark/>
          </w:tcPr>
          <w:p w14:paraId="08F64C40" w14:textId="77777777" w:rsidR="00C346A8" w:rsidRPr="00941E30" w:rsidRDefault="00C346A8">
            <w:pPr>
              <w:autoSpaceDE w:val="0"/>
              <w:autoSpaceDN w:val="0"/>
              <w:adjustRightInd w:val="0"/>
              <w:jc w:val="right"/>
              <w:rPr>
                <w:rFonts w:ascii="Times New Roman" w:hAnsi="Times New Roman"/>
                <w:b/>
                <w:bCs/>
                <w:sz w:val="16"/>
                <w:szCs w:val="20"/>
              </w:rPr>
            </w:pPr>
            <w:r w:rsidRPr="00941E30">
              <w:rPr>
                <w:rFonts w:ascii="Times New Roman" w:hAnsi="Times New Roman"/>
                <w:b/>
                <w:bCs/>
                <w:sz w:val="16"/>
                <w:szCs w:val="20"/>
              </w:rPr>
              <w:t xml:space="preserve"> 20 957</w:t>
            </w:r>
          </w:p>
        </w:tc>
        <w:tc>
          <w:tcPr>
            <w:tcW w:w="992" w:type="dxa"/>
            <w:shd w:val="clear" w:color="auto" w:fill="DBE5F1" w:themeFill="accent1" w:themeFillTint="33"/>
            <w:noWrap/>
            <w:hideMark/>
          </w:tcPr>
          <w:p w14:paraId="6BD7F975" w14:textId="77777777" w:rsidR="00C346A8" w:rsidRPr="00941E30" w:rsidRDefault="00C346A8">
            <w:pPr>
              <w:autoSpaceDE w:val="0"/>
              <w:autoSpaceDN w:val="0"/>
              <w:adjustRightInd w:val="0"/>
              <w:jc w:val="center"/>
              <w:rPr>
                <w:rFonts w:ascii="Times New Roman" w:hAnsi="Times New Roman"/>
                <w:b/>
                <w:bCs/>
                <w:sz w:val="16"/>
                <w:szCs w:val="20"/>
              </w:rPr>
            </w:pPr>
            <w:r w:rsidRPr="00941E30">
              <w:rPr>
                <w:rFonts w:ascii="Times New Roman" w:hAnsi="Times New Roman"/>
                <w:b/>
                <w:bCs/>
                <w:sz w:val="16"/>
                <w:szCs w:val="20"/>
              </w:rPr>
              <w:t>7,60%</w:t>
            </w:r>
          </w:p>
        </w:tc>
        <w:tc>
          <w:tcPr>
            <w:tcW w:w="992" w:type="dxa"/>
            <w:shd w:val="clear" w:color="auto" w:fill="DBE5F1" w:themeFill="accent1" w:themeFillTint="33"/>
            <w:noWrap/>
            <w:hideMark/>
          </w:tcPr>
          <w:p w14:paraId="5789DEE9" w14:textId="77777777" w:rsidR="00C346A8" w:rsidRPr="00941E30" w:rsidRDefault="00C346A8">
            <w:pPr>
              <w:autoSpaceDE w:val="0"/>
              <w:autoSpaceDN w:val="0"/>
              <w:adjustRightInd w:val="0"/>
              <w:jc w:val="center"/>
              <w:rPr>
                <w:rFonts w:ascii="Times New Roman" w:hAnsi="Times New Roman"/>
                <w:b/>
                <w:bCs/>
                <w:sz w:val="16"/>
                <w:szCs w:val="20"/>
              </w:rPr>
            </w:pPr>
            <w:r w:rsidRPr="00941E30">
              <w:rPr>
                <w:rFonts w:ascii="Times New Roman" w:hAnsi="Times New Roman"/>
                <w:b/>
                <w:bCs/>
                <w:sz w:val="16"/>
                <w:szCs w:val="20"/>
              </w:rPr>
              <w:t>1,99%</w:t>
            </w:r>
          </w:p>
        </w:tc>
      </w:tr>
    </w:tbl>
    <w:p w14:paraId="397A5FED" w14:textId="77777777" w:rsidR="00C346A8" w:rsidRPr="00941E30" w:rsidRDefault="00C346A8" w:rsidP="00085BAF">
      <w:pPr>
        <w:rPr>
          <w:rFonts w:ascii="Times New Roman" w:hAnsi="Times New Roman"/>
        </w:rPr>
      </w:pPr>
    </w:p>
    <w:p w14:paraId="26BED4CD" w14:textId="77777777" w:rsidR="00C346A8" w:rsidRPr="0093633A" w:rsidRDefault="00324690" w:rsidP="00941E30">
      <w:pPr>
        <w:pStyle w:val="ListParagraph"/>
        <w:numPr>
          <w:ilvl w:val="0"/>
          <w:numId w:val="43"/>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w:t>
      </w:r>
      <w:r w:rsidR="00C346A8" w:rsidRPr="00085BAF">
        <w:rPr>
          <w:rFonts w:ascii="Times New Roman" w:hAnsi="Times New Roman"/>
          <w:sz w:val="24"/>
          <w:szCs w:val="24"/>
        </w:rPr>
        <w:t>he total budget allocation for the SAMRC i</w:t>
      </w:r>
      <w:r w:rsidR="00C346A8" w:rsidRPr="0093633A">
        <w:rPr>
          <w:rFonts w:ascii="Times New Roman" w:hAnsi="Times New Roman"/>
          <w:sz w:val="24"/>
          <w:szCs w:val="24"/>
        </w:rPr>
        <w:t xml:space="preserve">n 2018/19 is R1.1 billion, which shows a marginal nominal rand, change of R79.9 million, while nominal percentage change is only 7.60%. The 2018/19 allocation is slight more than the 2017/18 allocation of R 1 billion.  </w:t>
      </w:r>
    </w:p>
    <w:p w14:paraId="01F67DD0" w14:textId="77777777" w:rsidR="009E5567" w:rsidRDefault="009E5567" w:rsidP="00941E30">
      <w:pPr>
        <w:autoSpaceDE w:val="0"/>
        <w:autoSpaceDN w:val="0"/>
        <w:adjustRightInd w:val="0"/>
        <w:jc w:val="both"/>
        <w:rPr>
          <w:rFonts w:ascii="Times New Roman" w:hAnsi="Times New Roman"/>
          <w:sz w:val="24"/>
          <w:szCs w:val="24"/>
        </w:rPr>
      </w:pPr>
    </w:p>
    <w:p w14:paraId="68455706" w14:textId="77777777" w:rsidR="000969FF" w:rsidRPr="00085BAF" w:rsidRDefault="009943B5" w:rsidP="00941E30">
      <w:pPr>
        <w:pStyle w:val="ListParagraph"/>
        <w:numPr>
          <w:ilvl w:val="1"/>
          <w:numId w:val="90"/>
        </w:numPr>
        <w:shd w:val="clear" w:color="auto" w:fill="BFBFBF" w:themeFill="background1" w:themeFillShade="BF"/>
        <w:autoSpaceDE w:val="0"/>
        <w:autoSpaceDN w:val="0"/>
        <w:adjustRightInd w:val="0"/>
        <w:jc w:val="both"/>
        <w:rPr>
          <w:rFonts w:ascii="Times New Roman" w:hAnsi="Times New Roman"/>
          <w:b/>
          <w:sz w:val="24"/>
          <w:szCs w:val="24"/>
        </w:rPr>
      </w:pPr>
      <w:r w:rsidRPr="00941E30">
        <w:rPr>
          <w:rFonts w:ascii="Times New Roman" w:hAnsi="Times New Roman"/>
          <w:b/>
          <w:sz w:val="24"/>
          <w:szCs w:val="24"/>
        </w:rPr>
        <w:t>Office of Health Standard Compliance</w:t>
      </w:r>
    </w:p>
    <w:p w14:paraId="47285F71" w14:textId="77777777" w:rsidR="009943B5" w:rsidRDefault="009943B5" w:rsidP="00941E30">
      <w:pPr>
        <w:keepNext/>
        <w:jc w:val="both"/>
        <w:outlineLvl w:val="0"/>
        <w:rPr>
          <w:rFonts w:ascii="Times New Roman" w:hAnsi="Times New Roman"/>
          <w:b/>
          <w:sz w:val="24"/>
          <w:szCs w:val="24"/>
        </w:rPr>
      </w:pPr>
    </w:p>
    <w:p w14:paraId="72E24FDC" w14:textId="77777777" w:rsidR="006B5BC5" w:rsidRDefault="006B5BC5">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Situational Analysis </w:t>
      </w:r>
    </w:p>
    <w:p w14:paraId="6F1E94A5" w14:textId="77777777" w:rsidR="006B5BC5" w:rsidRDefault="006B5BC5">
      <w:pPr>
        <w:autoSpaceDE w:val="0"/>
        <w:autoSpaceDN w:val="0"/>
        <w:adjustRightInd w:val="0"/>
        <w:jc w:val="both"/>
        <w:rPr>
          <w:rFonts w:ascii="Times New Roman" w:hAnsi="Times New Roman"/>
          <w:b/>
          <w:sz w:val="24"/>
          <w:szCs w:val="24"/>
        </w:rPr>
      </w:pPr>
    </w:p>
    <w:p w14:paraId="0339632C" w14:textId="77777777" w:rsidR="000969FF" w:rsidRPr="0093633A" w:rsidRDefault="000969FF" w:rsidP="00941E30">
      <w:pPr>
        <w:autoSpaceDE w:val="0"/>
        <w:autoSpaceDN w:val="0"/>
        <w:adjustRightInd w:val="0"/>
        <w:spacing w:line="360" w:lineRule="auto"/>
        <w:jc w:val="both"/>
        <w:rPr>
          <w:rFonts w:ascii="Times New Roman" w:hAnsi="Times New Roman"/>
          <w:sz w:val="24"/>
          <w:szCs w:val="24"/>
        </w:rPr>
      </w:pPr>
      <w:r w:rsidRPr="00085BAF">
        <w:rPr>
          <w:rFonts w:ascii="Times New Roman" w:hAnsi="Times New Roman"/>
          <w:sz w:val="24"/>
          <w:szCs w:val="24"/>
        </w:rPr>
        <w:t>For the 2018/19 fiscal year, the OHSC considers no significant changes to its legislative and other mandates. However, it anticipates the</w:t>
      </w:r>
      <w:r w:rsidRPr="0093633A">
        <w:rPr>
          <w:rFonts w:ascii="Times New Roman" w:hAnsi="Times New Roman"/>
          <w:sz w:val="24"/>
          <w:szCs w:val="24"/>
          <w:lang w:eastAsia="en-ZA"/>
        </w:rPr>
        <w:t xml:space="preserve"> publication and promulgation of norms and standards regulations</w:t>
      </w:r>
      <w:r w:rsidRPr="0093633A">
        <w:rPr>
          <w:rFonts w:ascii="Times New Roman" w:hAnsi="Times New Roman"/>
          <w:sz w:val="24"/>
          <w:szCs w:val="24"/>
        </w:rPr>
        <w:t xml:space="preserve">. </w:t>
      </w:r>
    </w:p>
    <w:p w14:paraId="4B9E51BF" w14:textId="77777777" w:rsidR="000969FF" w:rsidRPr="0093633A" w:rsidRDefault="000969FF" w:rsidP="00941E30">
      <w:pPr>
        <w:tabs>
          <w:tab w:val="left" w:pos="720"/>
        </w:tabs>
        <w:jc w:val="both"/>
        <w:rPr>
          <w:rFonts w:ascii="Times New Roman" w:hAnsi="Times New Roman"/>
          <w:b/>
          <w:bCs/>
          <w:color w:val="E36C0A" w:themeColor="accent6" w:themeShade="BF"/>
          <w:kern w:val="32"/>
          <w:sz w:val="24"/>
          <w:szCs w:val="24"/>
        </w:rPr>
      </w:pPr>
    </w:p>
    <w:p w14:paraId="13B2E029" w14:textId="77777777" w:rsidR="000969FF" w:rsidRPr="0093633A" w:rsidRDefault="000969FF" w:rsidP="00941E30">
      <w:pPr>
        <w:tabs>
          <w:tab w:val="left" w:pos="720"/>
        </w:tabs>
        <w:spacing w:line="360" w:lineRule="auto"/>
        <w:jc w:val="both"/>
        <w:rPr>
          <w:rFonts w:ascii="Times New Roman" w:hAnsi="Times New Roman"/>
          <w:bCs/>
          <w:kern w:val="32"/>
          <w:sz w:val="24"/>
          <w:szCs w:val="24"/>
        </w:rPr>
      </w:pPr>
      <w:r w:rsidRPr="00085BAF">
        <w:rPr>
          <w:rFonts w:ascii="Times New Roman" w:hAnsi="Times New Roman"/>
          <w:bCs/>
          <w:kern w:val="32"/>
          <w:sz w:val="24"/>
          <w:szCs w:val="24"/>
        </w:rPr>
        <w:t xml:space="preserve">In the preparation of the current 2018/19 fiscal year, the OHSC identified risks </w:t>
      </w:r>
      <w:r w:rsidR="00EE218A">
        <w:rPr>
          <w:rFonts w:ascii="Times New Roman" w:hAnsi="Times New Roman"/>
          <w:bCs/>
          <w:kern w:val="32"/>
          <w:sz w:val="24"/>
          <w:szCs w:val="24"/>
        </w:rPr>
        <w:t>that could impact on its performance, as highlighted in</w:t>
      </w:r>
      <w:r w:rsidRPr="00085BAF">
        <w:rPr>
          <w:rFonts w:ascii="Times New Roman" w:hAnsi="Times New Roman"/>
          <w:bCs/>
          <w:kern w:val="32"/>
          <w:sz w:val="24"/>
          <w:szCs w:val="24"/>
        </w:rPr>
        <w:t xml:space="preserve"> </w:t>
      </w:r>
      <w:r w:rsidR="00147B70">
        <w:rPr>
          <w:rFonts w:ascii="Times New Roman" w:hAnsi="Times New Roman"/>
          <w:bCs/>
          <w:kern w:val="32"/>
          <w:sz w:val="24"/>
          <w:szCs w:val="24"/>
        </w:rPr>
        <w:t>T</w:t>
      </w:r>
      <w:r w:rsidR="00147B70" w:rsidRPr="00085BAF">
        <w:rPr>
          <w:rFonts w:ascii="Times New Roman" w:hAnsi="Times New Roman"/>
          <w:bCs/>
          <w:kern w:val="32"/>
          <w:sz w:val="24"/>
          <w:szCs w:val="24"/>
        </w:rPr>
        <w:t>able 1</w:t>
      </w:r>
      <w:r w:rsidR="00147B70">
        <w:rPr>
          <w:rFonts w:ascii="Times New Roman" w:hAnsi="Times New Roman"/>
          <w:bCs/>
          <w:kern w:val="32"/>
          <w:sz w:val="24"/>
          <w:szCs w:val="24"/>
        </w:rPr>
        <w:t>2</w:t>
      </w:r>
      <w:r w:rsidR="00147B70" w:rsidRPr="00085BAF">
        <w:rPr>
          <w:rFonts w:ascii="Times New Roman" w:hAnsi="Times New Roman"/>
          <w:bCs/>
          <w:kern w:val="32"/>
          <w:sz w:val="24"/>
          <w:szCs w:val="24"/>
        </w:rPr>
        <w:t xml:space="preserve"> </w:t>
      </w:r>
      <w:r w:rsidRPr="00085BAF">
        <w:rPr>
          <w:rFonts w:ascii="Times New Roman" w:hAnsi="Times New Roman"/>
          <w:bCs/>
          <w:kern w:val="32"/>
          <w:sz w:val="24"/>
          <w:szCs w:val="24"/>
        </w:rPr>
        <w:t>below</w:t>
      </w:r>
      <w:r w:rsidR="00EE218A">
        <w:rPr>
          <w:rFonts w:ascii="Times New Roman" w:hAnsi="Times New Roman"/>
          <w:bCs/>
          <w:kern w:val="32"/>
          <w:sz w:val="24"/>
          <w:szCs w:val="24"/>
        </w:rPr>
        <w:t>.</w:t>
      </w:r>
    </w:p>
    <w:p w14:paraId="504E5238" w14:textId="77777777" w:rsidR="006B5BC5" w:rsidRDefault="006B5BC5">
      <w:pPr>
        <w:tabs>
          <w:tab w:val="left" w:pos="720"/>
        </w:tabs>
        <w:rPr>
          <w:rFonts w:ascii="Times New Roman" w:hAnsi="Times New Roman"/>
          <w:bCs/>
          <w:kern w:val="32"/>
          <w:sz w:val="24"/>
          <w:szCs w:val="24"/>
        </w:rPr>
      </w:pPr>
    </w:p>
    <w:p w14:paraId="67B51990" w14:textId="77777777" w:rsidR="00DE53D3" w:rsidRDefault="00DE53D3">
      <w:pPr>
        <w:rPr>
          <w:rFonts w:ascii="Times New Roman" w:hAnsi="Times New Roman"/>
          <w:b/>
          <w:bCs/>
          <w:kern w:val="32"/>
          <w:sz w:val="22"/>
          <w:szCs w:val="24"/>
        </w:rPr>
      </w:pPr>
      <w:r>
        <w:rPr>
          <w:rFonts w:ascii="Times New Roman" w:hAnsi="Times New Roman"/>
          <w:b/>
          <w:bCs/>
          <w:kern w:val="32"/>
          <w:sz w:val="22"/>
          <w:szCs w:val="24"/>
        </w:rPr>
        <w:br w:type="page"/>
      </w:r>
    </w:p>
    <w:p w14:paraId="29A2A6BF" w14:textId="77777777" w:rsidR="005E5DF4" w:rsidRPr="00941E30" w:rsidRDefault="005E5DF4" w:rsidP="00941E30">
      <w:pPr>
        <w:tabs>
          <w:tab w:val="left" w:pos="720"/>
        </w:tabs>
        <w:spacing w:after="120"/>
        <w:rPr>
          <w:rFonts w:ascii="Times New Roman" w:hAnsi="Times New Roman"/>
          <w:b/>
          <w:bCs/>
          <w:kern w:val="32"/>
          <w:sz w:val="22"/>
          <w:szCs w:val="24"/>
        </w:rPr>
      </w:pPr>
      <w:r w:rsidRPr="00941E30">
        <w:rPr>
          <w:rFonts w:ascii="Times New Roman" w:hAnsi="Times New Roman"/>
          <w:b/>
          <w:bCs/>
          <w:kern w:val="32"/>
          <w:sz w:val="22"/>
          <w:szCs w:val="24"/>
        </w:rPr>
        <w:t xml:space="preserve">Table </w:t>
      </w:r>
      <w:r w:rsidR="00147B70" w:rsidRPr="00941E30">
        <w:rPr>
          <w:rFonts w:ascii="Times New Roman" w:hAnsi="Times New Roman"/>
          <w:b/>
          <w:bCs/>
          <w:kern w:val="32"/>
          <w:sz w:val="22"/>
          <w:szCs w:val="24"/>
        </w:rPr>
        <w:t>1</w:t>
      </w:r>
      <w:r w:rsidR="00147B70">
        <w:rPr>
          <w:rFonts w:ascii="Times New Roman" w:hAnsi="Times New Roman"/>
          <w:b/>
          <w:bCs/>
          <w:kern w:val="32"/>
          <w:sz w:val="22"/>
          <w:szCs w:val="24"/>
        </w:rPr>
        <w:t>2</w:t>
      </w:r>
      <w:r w:rsidRPr="00941E30">
        <w:rPr>
          <w:rFonts w:ascii="Times New Roman" w:hAnsi="Times New Roman"/>
          <w:b/>
          <w:bCs/>
          <w:kern w:val="32"/>
          <w:sz w:val="22"/>
          <w:szCs w:val="24"/>
        </w:rPr>
        <w:t>: Identified Risks</w:t>
      </w:r>
    </w:p>
    <w:tbl>
      <w:tblPr>
        <w:tblStyle w:val="TableGrid"/>
        <w:tblW w:w="0" w:type="auto"/>
        <w:tblLook w:val="04A0" w:firstRow="1" w:lastRow="0" w:firstColumn="1" w:lastColumn="0" w:noHBand="0" w:noVBand="1"/>
      </w:tblPr>
      <w:tblGrid>
        <w:gridCol w:w="3823"/>
        <w:gridCol w:w="5193"/>
      </w:tblGrid>
      <w:tr w:rsidR="005E5DF4" w:rsidRPr="009943B5" w14:paraId="288E13AD" w14:textId="77777777" w:rsidTr="001D526E">
        <w:tc>
          <w:tcPr>
            <w:tcW w:w="3823" w:type="dxa"/>
            <w:shd w:val="clear" w:color="auto" w:fill="DBE5F1" w:themeFill="accent1" w:themeFillTint="33"/>
          </w:tcPr>
          <w:p w14:paraId="5FE3A369" w14:textId="77777777" w:rsidR="005E5DF4" w:rsidRPr="00941E30" w:rsidRDefault="005E5DF4" w:rsidP="00941E30">
            <w:pPr>
              <w:tabs>
                <w:tab w:val="left" w:pos="720"/>
              </w:tabs>
              <w:rPr>
                <w:rFonts w:ascii="Times New Roman" w:hAnsi="Times New Roman"/>
                <w:b/>
                <w:bCs/>
                <w:kern w:val="32"/>
                <w:sz w:val="22"/>
                <w:szCs w:val="24"/>
              </w:rPr>
            </w:pPr>
            <w:r w:rsidRPr="00941E30">
              <w:rPr>
                <w:rFonts w:ascii="Times New Roman" w:hAnsi="Times New Roman"/>
                <w:b/>
                <w:bCs/>
                <w:kern w:val="32"/>
                <w:sz w:val="22"/>
                <w:szCs w:val="24"/>
              </w:rPr>
              <w:t>TYPE OF RISKS</w:t>
            </w:r>
          </w:p>
        </w:tc>
        <w:tc>
          <w:tcPr>
            <w:tcW w:w="5193" w:type="dxa"/>
            <w:shd w:val="clear" w:color="auto" w:fill="DBE5F1" w:themeFill="accent1" w:themeFillTint="33"/>
          </w:tcPr>
          <w:p w14:paraId="3B00CB8F" w14:textId="77777777" w:rsidR="005E5DF4" w:rsidRPr="00941E30" w:rsidRDefault="005E5DF4" w:rsidP="00941E30">
            <w:pPr>
              <w:tabs>
                <w:tab w:val="left" w:pos="720"/>
              </w:tabs>
              <w:rPr>
                <w:rFonts w:ascii="Times New Roman" w:hAnsi="Times New Roman"/>
                <w:b/>
                <w:bCs/>
                <w:kern w:val="32"/>
                <w:sz w:val="22"/>
                <w:szCs w:val="24"/>
              </w:rPr>
            </w:pPr>
            <w:r w:rsidRPr="00941E30">
              <w:rPr>
                <w:rFonts w:ascii="Times New Roman" w:hAnsi="Times New Roman"/>
                <w:b/>
                <w:bCs/>
                <w:kern w:val="32"/>
                <w:sz w:val="22"/>
                <w:szCs w:val="24"/>
              </w:rPr>
              <w:t>RISK IDENTIFICATION</w:t>
            </w:r>
          </w:p>
        </w:tc>
      </w:tr>
      <w:tr w:rsidR="005E5DF4" w:rsidRPr="009943B5" w14:paraId="301BF3D0" w14:textId="77777777" w:rsidTr="000C4E32">
        <w:tc>
          <w:tcPr>
            <w:tcW w:w="3823" w:type="dxa"/>
            <w:vMerge w:val="restart"/>
            <w:shd w:val="clear" w:color="auto" w:fill="auto"/>
          </w:tcPr>
          <w:p w14:paraId="6D95AECF" w14:textId="77777777" w:rsidR="00EE218A" w:rsidRPr="00941E30" w:rsidRDefault="00EE218A" w:rsidP="00941E30">
            <w:pPr>
              <w:tabs>
                <w:tab w:val="left" w:pos="720"/>
              </w:tabs>
              <w:rPr>
                <w:rFonts w:ascii="Times New Roman" w:hAnsi="Times New Roman"/>
                <w:sz w:val="22"/>
                <w:szCs w:val="24"/>
              </w:rPr>
            </w:pPr>
          </w:p>
          <w:p w14:paraId="226028AC" w14:textId="77777777" w:rsidR="00EE218A" w:rsidRPr="00941E30" w:rsidRDefault="00EE218A" w:rsidP="00941E30">
            <w:pPr>
              <w:tabs>
                <w:tab w:val="left" w:pos="720"/>
              </w:tabs>
              <w:rPr>
                <w:rFonts w:ascii="Times New Roman" w:hAnsi="Times New Roman"/>
                <w:sz w:val="22"/>
                <w:szCs w:val="24"/>
              </w:rPr>
            </w:pPr>
          </w:p>
          <w:p w14:paraId="5E05107F" w14:textId="77777777" w:rsidR="005E5DF4" w:rsidRPr="00941E30" w:rsidRDefault="00EE218A" w:rsidP="00941E30">
            <w:pPr>
              <w:tabs>
                <w:tab w:val="left" w:pos="720"/>
              </w:tabs>
              <w:rPr>
                <w:rFonts w:ascii="Times New Roman" w:hAnsi="Times New Roman"/>
                <w:bCs/>
                <w:kern w:val="32"/>
                <w:sz w:val="22"/>
                <w:szCs w:val="24"/>
              </w:rPr>
            </w:pPr>
            <w:r w:rsidRPr="00941E30">
              <w:rPr>
                <w:rFonts w:ascii="Times New Roman" w:hAnsi="Times New Roman"/>
                <w:sz w:val="22"/>
                <w:szCs w:val="24"/>
              </w:rPr>
              <w:t>Strategic</w:t>
            </w:r>
          </w:p>
        </w:tc>
        <w:tc>
          <w:tcPr>
            <w:tcW w:w="5193" w:type="dxa"/>
            <w:shd w:val="clear" w:color="auto" w:fill="auto"/>
          </w:tcPr>
          <w:p w14:paraId="0356B2F4" w14:textId="77777777" w:rsidR="005E5DF4" w:rsidRPr="00941E30" w:rsidRDefault="005E5DF4" w:rsidP="00941E30">
            <w:pPr>
              <w:pStyle w:val="ListParagraph"/>
              <w:numPr>
                <w:ilvl w:val="0"/>
                <w:numId w:val="45"/>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Limited understanding and clarity on independence and mandate of OHSC by key stakeholders;</w:t>
            </w:r>
          </w:p>
        </w:tc>
      </w:tr>
      <w:tr w:rsidR="005E5DF4" w:rsidRPr="009943B5" w14:paraId="3E222199" w14:textId="77777777" w:rsidTr="00941E30">
        <w:tc>
          <w:tcPr>
            <w:tcW w:w="3823" w:type="dxa"/>
            <w:vMerge/>
            <w:shd w:val="clear" w:color="auto" w:fill="auto"/>
          </w:tcPr>
          <w:p w14:paraId="3B653CBE" w14:textId="77777777" w:rsidR="005E5DF4" w:rsidRPr="00941E30" w:rsidRDefault="005E5DF4" w:rsidP="00941E30">
            <w:pPr>
              <w:tabs>
                <w:tab w:val="left" w:pos="720"/>
              </w:tabs>
              <w:rPr>
                <w:rFonts w:ascii="Times New Roman" w:hAnsi="Times New Roman"/>
                <w:bCs/>
                <w:kern w:val="32"/>
                <w:sz w:val="22"/>
                <w:szCs w:val="24"/>
              </w:rPr>
            </w:pPr>
          </w:p>
        </w:tc>
        <w:tc>
          <w:tcPr>
            <w:tcW w:w="5193" w:type="dxa"/>
            <w:shd w:val="clear" w:color="auto" w:fill="auto"/>
          </w:tcPr>
          <w:p w14:paraId="35D8181F" w14:textId="77777777" w:rsidR="005E5DF4" w:rsidRPr="00941E30" w:rsidRDefault="005E5DF4" w:rsidP="00941E30">
            <w:pPr>
              <w:pStyle w:val="ListParagraph"/>
              <w:numPr>
                <w:ilvl w:val="0"/>
                <w:numId w:val="45"/>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Inadequate norms and standards for different types of HEs; and</w:t>
            </w:r>
          </w:p>
        </w:tc>
      </w:tr>
      <w:tr w:rsidR="005E5DF4" w:rsidRPr="009943B5" w14:paraId="37C4B4EA" w14:textId="77777777" w:rsidTr="00941E30">
        <w:tc>
          <w:tcPr>
            <w:tcW w:w="3823" w:type="dxa"/>
            <w:vMerge/>
            <w:shd w:val="clear" w:color="auto" w:fill="auto"/>
          </w:tcPr>
          <w:p w14:paraId="3E6FB73C" w14:textId="77777777" w:rsidR="005E5DF4" w:rsidRPr="00941E30" w:rsidRDefault="005E5DF4" w:rsidP="00941E30">
            <w:pPr>
              <w:tabs>
                <w:tab w:val="left" w:pos="720"/>
              </w:tabs>
              <w:rPr>
                <w:rFonts w:ascii="Times New Roman" w:hAnsi="Times New Roman"/>
                <w:bCs/>
                <w:kern w:val="32"/>
                <w:sz w:val="22"/>
                <w:szCs w:val="24"/>
              </w:rPr>
            </w:pPr>
          </w:p>
        </w:tc>
        <w:tc>
          <w:tcPr>
            <w:tcW w:w="5193" w:type="dxa"/>
            <w:shd w:val="clear" w:color="auto" w:fill="auto"/>
          </w:tcPr>
          <w:p w14:paraId="5ED54BAA" w14:textId="77777777" w:rsidR="005E5DF4" w:rsidRPr="00941E30" w:rsidRDefault="005E5DF4" w:rsidP="00941E30">
            <w:pPr>
              <w:pStyle w:val="ListParagraph"/>
              <w:numPr>
                <w:ilvl w:val="0"/>
                <w:numId w:val="45"/>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Delays in the resolutions of complaints.</w:t>
            </w:r>
          </w:p>
        </w:tc>
      </w:tr>
      <w:tr w:rsidR="005E5DF4" w:rsidRPr="009943B5" w14:paraId="5DF1BBCC" w14:textId="77777777" w:rsidTr="00941E30">
        <w:tc>
          <w:tcPr>
            <w:tcW w:w="3823" w:type="dxa"/>
            <w:vMerge w:val="restart"/>
            <w:shd w:val="clear" w:color="auto" w:fill="auto"/>
          </w:tcPr>
          <w:p w14:paraId="105D4E07" w14:textId="77777777" w:rsidR="005E5DF4" w:rsidRPr="00941E30" w:rsidRDefault="005E5DF4" w:rsidP="00941E30">
            <w:pPr>
              <w:tabs>
                <w:tab w:val="left" w:pos="720"/>
              </w:tabs>
              <w:rPr>
                <w:rFonts w:ascii="Times New Roman" w:hAnsi="Times New Roman"/>
                <w:bCs/>
                <w:kern w:val="32"/>
                <w:sz w:val="22"/>
                <w:szCs w:val="24"/>
              </w:rPr>
            </w:pPr>
          </w:p>
          <w:p w14:paraId="66870DED" w14:textId="77777777" w:rsidR="005E5DF4" w:rsidRPr="00941E30" w:rsidRDefault="005E5DF4" w:rsidP="00941E30">
            <w:pPr>
              <w:tabs>
                <w:tab w:val="left" w:pos="720"/>
              </w:tabs>
              <w:rPr>
                <w:rFonts w:ascii="Times New Roman" w:hAnsi="Times New Roman"/>
                <w:bCs/>
                <w:kern w:val="32"/>
                <w:sz w:val="22"/>
                <w:szCs w:val="24"/>
              </w:rPr>
            </w:pPr>
          </w:p>
          <w:p w14:paraId="662E1D74" w14:textId="77777777" w:rsidR="005E5DF4" w:rsidRPr="00941E30" w:rsidRDefault="005E5DF4" w:rsidP="00941E30">
            <w:pPr>
              <w:tabs>
                <w:tab w:val="left" w:pos="720"/>
              </w:tabs>
              <w:rPr>
                <w:rFonts w:ascii="Times New Roman" w:hAnsi="Times New Roman"/>
                <w:bCs/>
                <w:kern w:val="32"/>
                <w:sz w:val="22"/>
                <w:szCs w:val="24"/>
              </w:rPr>
            </w:pPr>
            <w:r w:rsidRPr="00941E30">
              <w:rPr>
                <w:rFonts w:ascii="Times New Roman" w:hAnsi="Times New Roman"/>
                <w:bCs/>
                <w:kern w:val="32"/>
                <w:sz w:val="22"/>
                <w:szCs w:val="24"/>
              </w:rPr>
              <w:t xml:space="preserve">Compliance, Regulatory &amp; Legal </w:t>
            </w:r>
          </w:p>
        </w:tc>
        <w:tc>
          <w:tcPr>
            <w:tcW w:w="5193" w:type="dxa"/>
            <w:shd w:val="clear" w:color="auto" w:fill="auto"/>
          </w:tcPr>
          <w:p w14:paraId="122CDB9C" w14:textId="77777777" w:rsidR="005E5DF4" w:rsidRPr="00941E30" w:rsidRDefault="005E5DF4" w:rsidP="00941E30">
            <w:pPr>
              <w:pStyle w:val="ListParagraph"/>
              <w:numPr>
                <w:ilvl w:val="0"/>
                <w:numId w:val="46"/>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Limitation of the regulatory framework that has an impact in OHSC to implement its mandate;</w:t>
            </w:r>
          </w:p>
        </w:tc>
      </w:tr>
      <w:tr w:rsidR="005E5DF4" w:rsidRPr="009943B5" w14:paraId="70C02E0D" w14:textId="77777777" w:rsidTr="00941E30">
        <w:tc>
          <w:tcPr>
            <w:tcW w:w="3823" w:type="dxa"/>
            <w:vMerge/>
            <w:shd w:val="clear" w:color="auto" w:fill="auto"/>
          </w:tcPr>
          <w:p w14:paraId="1DBE6FEE" w14:textId="77777777" w:rsidR="005E5DF4" w:rsidRPr="00941E30" w:rsidRDefault="005E5DF4" w:rsidP="00941E30">
            <w:pPr>
              <w:tabs>
                <w:tab w:val="left" w:pos="720"/>
              </w:tabs>
              <w:rPr>
                <w:rFonts w:ascii="Times New Roman" w:hAnsi="Times New Roman"/>
                <w:bCs/>
                <w:kern w:val="32"/>
                <w:sz w:val="22"/>
                <w:szCs w:val="24"/>
              </w:rPr>
            </w:pPr>
          </w:p>
        </w:tc>
        <w:tc>
          <w:tcPr>
            <w:tcW w:w="5193" w:type="dxa"/>
            <w:shd w:val="clear" w:color="auto" w:fill="auto"/>
          </w:tcPr>
          <w:p w14:paraId="2DD8C9BD" w14:textId="77777777" w:rsidR="005E5DF4" w:rsidRPr="00941E30" w:rsidRDefault="005E5DF4" w:rsidP="00941E30">
            <w:pPr>
              <w:pStyle w:val="ListParagraph"/>
              <w:numPr>
                <w:ilvl w:val="0"/>
                <w:numId w:val="46"/>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 xml:space="preserve">Litigation against the OHSC; and </w:t>
            </w:r>
          </w:p>
        </w:tc>
      </w:tr>
      <w:tr w:rsidR="005E5DF4" w:rsidRPr="009943B5" w14:paraId="6563C9C5" w14:textId="77777777" w:rsidTr="00941E30">
        <w:tc>
          <w:tcPr>
            <w:tcW w:w="3823" w:type="dxa"/>
            <w:vMerge/>
            <w:shd w:val="clear" w:color="auto" w:fill="auto"/>
          </w:tcPr>
          <w:p w14:paraId="17B39320" w14:textId="77777777" w:rsidR="005E5DF4" w:rsidRPr="00941E30" w:rsidRDefault="005E5DF4" w:rsidP="00941E30">
            <w:pPr>
              <w:tabs>
                <w:tab w:val="left" w:pos="720"/>
              </w:tabs>
              <w:rPr>
                <w:rFonts w:ascii="Times New Roman" w:hAnsi="Times New Roman"/>
                <w:bCs/>
                <w:kern w:val="32"/>
                <w:sz w:val="22"/>
                <w:szCs w:val="24"/>
              </w:rPr>
            </w:pPr>
          </w:p>
        </w:tc>
        <w:tc>
          <w:tcPr>
            <w:tcW w:w="5193" w:type="dxa"/>
            <w:shd w:val="clear" w:color="auto" w:fill="auto"/>
          </w:tcPr>
          <w:p w14:paraId="5F1FE367" w14:textId="77777777" w:rsidR="005E5DF4" w:rsidRPr="00941E30" w:rsidRDefault="005E5DF4" w:rsidP="00941E30">
            <w:pPr>
              <w:pStyle w:val="ListParagraph"/>
              <w:numPr>
                <w:ilvl w:val="0"/>
                <w:numId w:val="46"/>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Non-compliance with applicable regulatory requirements (core business and administrative processes).</w:t>
            </w:r>
          </w:p>
        </w:tc>
      </w:tr>
      <w:tr w:rsidR="005E5DF4" w:rsidRPr="009943B5" w14:paraId="2C29AA72" w14:textId="77777777" w:rsidTr="00941E30">
        <w:tc>
          <w:tcPr>
            <w:tcW w:w="3823" w:type="dxa"/>
            <w:vMerge w:val="restart"/>
            <w:shd w:val="clear" w:color="auto" w:fill="auto"/>
          </w:tcPr>
          <w:p w14:paraId="40408539" w14:textId="77777777" w:rsidR="005E5DF4" w:rsidRPr="00941E30" w:rsidRDefault="005E5DF4" w:rsidP="00941E30">
            <w:pPr>
              <w:tabs>
                <w:tab w:val="left" w:pos="720"/>
              </w:tabs>
              <w:rPr>
                <w:rFonts w:ascii="Times New Roman" w:hAnsi="Times New Roman"/>
                <w:bCs/>
                <w:kern w:val="32"/>
                <w:sz w:val="22"/>
                <w:szCs w:val="24"/>
              </w:rPr>
            </w:pPr>
          </w:p>
          <w:p w14:paraId="0643C2D0" w14:textId="77777777" w:rsidR="005E5DF4" w:rsidRPr="00941E30" w:rsidRDefault="005E5DF4" w:rsidP="00941E30">
            <w:pPr>
              <w:tabs>
                <w:tab w:val="left" w:pos="720"/>
              </w:tabs>
              <w:rPr>
                <w:rFonts w:ascii="Times New Roman" w:hAnsi="Times New Roman"/>
                <w:bCs/>
                <w:kern w:val="32"/>
                <w:sz w:val="22"/>
                <w:szCs w:val="24"/>
              </w:rPr>
            </w:pPr>
            <w:r w:rsidRPr="00941E30">
              <w:rPr>
                <w:rFonts w:ascii="Times New Roman" w:hAnsi="Times New Roman"/>
                <w:bCs/>
                <w:kern w:val="32"/>
                <w:sz w:val="22"/>
                <w:szCs w:val="24"/>
              </w:rPr>
              <w:t>Reputational, Governance and</w:t>
            </w:r>
            <w:r w:rsidRPr="00941E30">
              <w:rPr>
                <w:rFonts w:ascii="Times New Roman" w:hAnsi="Times New Roman"/>
                <w:sz w:val="22"/>
                <w:szCs w:val="24"/>
              </w:rPr>
              <w:t xml:space="preserve"> </w:t>
            </w:r>
            <w:r w:rsidRPr="00941E30">
              <w:rPr>
                <w:rFonts w:ascii="Times New Roman" w:hAnsi="Times New Roman"/>
                <w:bCs/>
                <w:kern w:val="32"/>
                <w:sz w:val="22"/>
                <w:szCs w:val="24"/>
              </w:rPr>
              <w:t>People /Human Resources</w:t>
            </w:r>
          </w:p>
        </w:tc>
        <w:tc>
          <w:tcPr>
            <w:tcW w:w="5193" w:type="dxa"/>
            <w:shd w:val="clear" w:color="auto" w:fill="auto"/>
          </w:tcPr>
          <w:p w14:paraId="709556A3" w14:textId="77777777" w:rsidR="005E5DF4" w:rsidRPr="00941E30" w:rsidRDefault="005E5DF4" w:rsidP="00941E30">
            <w:pPr>
              <w:pStyle w:val="ListParagraph"/>
              <w:numPr>
                <w:ilvl w:val="0"/>
                <w:numId w:val="47"/>
              </w:numPr>
              <w:tabs>
                <w:tab w:val="left" w:pos="720"/>
              </w:tabs>
              <w:jc w:val="both"/>
              <w:rPr>
                <w:rFonts w:ascii="Times New Roman" w:hAnsi="Times New Roman"/>
                <w:sz w:val="22"/>
                <w:szCs w:val="24"/>
              </w:rPr>
            </w:pPr>
            <w:r w:rsidRPr="00941E30">
              <w:rPr>
                <w:rFonts w:ascii="Times New Roman" w:hAnsi="Times New Roman"/>
                <w:sz w:val="22"/>
                <w:szCs w:val="24"/>
              </w:rPr>
              <w:t>Fraud and corruption;</w:t>
            </w:r>
          </w:p>
        </w:tc>
      </w:tr>
      <w:tr w:rsidR="005E5DF4" w:rsidRPr="009943B5" w14:paraId="3FC6EDD6" w14:textId="77777777" w:rsidTr="00941E30">
        <w:tc>
          <w:tcPr>
            <w:tcW w:w="3823" w:type="dxa"/>
            <w:vMerge/>
            <w:shd w:val="clear" w:color="auto" w:fill="auto"/>
          </w:tcPr>
          <w:p w14:paraId="557C9B5F" w14:textId="77777777" w:rsidR="005E5DF4" w:rsidRPr="00941E30" w:rsidRDefault="005E5DF4" w:rsidP="00941E30">
            <w:pPr>
              <w:tabs>
                <w:tab w:val="left" w:pos="720"/>
              </w:tabs>
              <w:rPr>
                <w:rFonts w:ascii="Times New Roman" w:hAnsi="Times New Roman"/>
                <w:bCs/>
                <w:kern w:val="32"/>
                <w:sz w:val="22"/>
                <w:szCs w:val="24"/>
              </w:rPr>
            </w:pPr>
          </w:p>
        </w:tc>
        <w:tc>
          <w:tcPr>
            <w:tcW w:w="5193" w:type="dxa"/>
            <w:shd w:val="clear" w:color="auto" w:fill="auto"/>
          </w:tcPr>
          <w:p w14:paraId="2861820D" w14:textId="77777777" w:rsidR="005E5DF4" w:rsidRPr="00941E30" w:rsidRDefault="005E5DF4" w:rsidP="00941E30">
            <w:pPr>
              <w:pStyle w:val="ListParagraph"/>
              <w:numPr>
                <w:ilvl w:val="0"/>
                <w:numId w:val="47"/>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Ongoing vacancies on the Board;</w:t>
            </w:r>
          </w:p>
        </w:tc>
      </w:tr>
      <w:tr w:rsidR="005E5DF4" w:rsidRPr="009943B5" w14:paraId="7A81797F" w14:textId="77777777" w:rsidTr="00941E30">
        <w:tc>
          <w:tcPr>
            <w:tcW w:w="3823" w:type="dxa"/>
            <w:vMerge/>
            <w:shd w:val="clear" w:color="auto" w:fill="auto"/>
          </w:tcPr>
          <w:p w14:paraId="4D9EFEA9" w14:textId="77777777" w:rsidR="005E5DF4" w:rsidRPr="00941E30" w:rsidRDefault="005E5DF4" w:rsidP="00941E30">
            <w:pPr>
              <w:tabs>
                <w:tab w:val="left" w:pos="720"/>
              </w:tabs>
              <w:rPr>
                <w:rFonts w:ascii="Times New Roman" w:hAnsi="Times New Roman"/>
                <w:bCs/>
                <w:kern w:val="32"/>
                <w:sz w:val="22"/>
                <w:szCs w:val="24"/>
              </w:rPr>
            </w:pPr>
          </w:p>
        </w:tc>
        <w:tc>
          <w:tcPr>
            <w:tcW w:w="5193" w:type="dxa"/>
            <w:shd w:val="clear" w:color="auto" w:fill="auto"/>
          </w:tcPr>
          <w:p w14:paraId="679C8404" w14:textId="77777777" w:rsidR="005E5DF4" w:rsidRPr="00941E30" w:rsidRDefault="005E5DF4" w:rsidP="00941E30">
            <w:pPr>
              <w:pStyle w:val="ListParagraph"/>
              <w:numPr>
                <w:ilvl w:val="0"/>
                <w:numId w:val="47"/>
              </w:numPr>
              <w:tabs>
                <w:tab w:val="left" w:pos="720"/>
              </w:tabs>
              <w:jc w:val="both"/>
              <w:rPr>
                <w:rFonts w:ascii="Times New Roman" w:hAnsi="Times New Roman"/>
                <w:bCs/>
                <w:kern w:val="32"/>
                <w:sz w:val="22"/>
                <w:szCs w:val="24"/>
              </w:rPr>
            </w:pPr>
            <w:r w:rsidRPr="00941E30">
              <w:rPr>
                <w:rFonts w:ascii="Times New Roman" w:hAnsi="Times New Roman"/>
                <w:bCs/>
                <w:kern w:val="32"/>
                <w:sz w:val="22"/>
                <w:szCs w:val="24"/>
              </w:rPr>
              <w:t>Insufficient human resource capacity and skills.</w:t>
            </w:r>
          </w:p>
        </w:tc>
      </w:tr>
    </w:tbl>
    <w:p w14:paraId="541EFA7E" w14:textId="77777777" w:rsidR="005E5DF4" w:rsidRPr="00941E30" w:rsidRDefault="005E5DF4" w:rsidP="00941E30">
      <w:pPr>
        <w:tabs>
          <w:tab w:val="left" w:pos="720"/>
        </w:tabs>
        <w:rPr>
          <w:rFonts w:ascii="Times New Roman" w:hAnsi="Times New Roman"/>
          <w:bCs/>
          <w:kern w:val="32"/>
          <w:sz w:val="20"/>
          <w:szCs w:val="20"/>
        </w:rPr>
      </w:pPr>
    </w:p>
    <w:p w14:paraId="437C8944" w14:textId="77777777" w:rsidR="008B5F44" w:rsidRDefault="008B5F44" w:rsidP="00941E30">
      <w:pPr>
        <w:tabs>
          <w:tab w:val="left" w:pos="720"/>
        </w:tabs>
        <w:rPr>
          <w:rFonts w:ascii="Times New Roman" w:hAnsi="Times New Roman"/>
          <w:b/>
          <w:bCs/>
          <w:color w:val="auto"/>
          <w:kern w:val="32"/>
          <w:sz w:val="24"/>
          <w:szCs w:val="24"/>
        </w:rPr>
      </w:pPr>
    </w:p>
    <w:p w14:paraId="1BAAD936" w14:textId="77777777" w:rsidR="005E5DF4" w:rsidRPr="00941E30" w:rsidRDefault="005E5DF4" w:rsidP="00941E30">
      <w:pPr>
        <w:tabs>
          <w:tab w:val="left" w:pos="720"/>
        </w:tabs>
        <w:rPr>
          <w:rFonts w:ascii="Times New Roman" w:hAnsi="Times New Roman"/>
          <w:b/>
          <w:bCs/>
          <w:color w:val="auto"/>
          <w:kern w:val="32"/>
          <w:sz w:val="24"/>
          <w:szCs w:val="24"/>
        </w:rPr>
      </w:pPr>
      <w:r w:rsidRPr="00941E30">
        <w:rPr>
          <w:rFonts w:ascii="Times New Roman" w:hAnsi="Times New Roman"/>
          <w:b/>
          <w:bCs/>
          <w:color w:val="auto"/>
          <w:kern w:val="32"/>
          <w:sz w:val="24"/>
          <w:szCs w:val="24"/>
        </w:rPr>
        <w:t>Organisational Environment</w:t>
      </w:r>
    </w:p>
    <w:p w14:paraId="045BA87D" w14:textId="77777777" w:rsidR="005E5DF4" w:rsidRPr="00941E30" w:rsidRDefault="005E5DF4" w:rsidP="00941E30">
      <w:pPr>
        <w:tabs>
          <w:tab w:val="left" w:pos="720"/>
        </w:tabs>
        <w:rPr>
          <w:rFonts w:ascii="Times New Roman" w:hAnsi="Times New Roman"/>
          <w:b/>
          <w:bCs/>
          <w:color w:val="auto"/>
          <w:kern w:val="32"/>
          <w:sz w:val="24"/>
          <w:szCs w:val="24"/>
        </w:rPr>
      </w:pPr>
    </w:p>
    <w:p w14:paraId="4B5B7BE8" w14:textId="77777777" w:rsidR="005E5DF4" w:rsidRPr="0093633A" w:rsidRDefault="005E5DF4" w:rsidP="00941E30">
      <w:pPr>
        <w:autoSpaceDE w:val="0"/>
        <w:autoSpaceDN w:val="0"/>
        <w:adjustRightInd w:val="0"/>
        <w:spacing w:line="360" w:lineRule="auto"/>
        <w:jc w:val="both"/>
        <w:rPr>
          <w:rFonts w:ascii="Times New Roman" w:hAnsi="Times New Roman"/>
          <w:sz w:val="24"/>
          <w:szCs w:val="24"/>
          <w:lang w:eastAsia="en-ZA"/>
        </w:rPr>
      </w:pPr>
      <w:r w:rsidRPr="00085BAF">
        <w:rPr>
          <w:rFonts w:ascii="Times New Roman" w:hAnsi="Times New Roman"/>
          <w:sz w:val="24"/>
          <w:szCs w:val="24"/>
          <w:lang w:eastAsia="en-ZA"/>
        </w:rPr>
        <w:t>The OHSC</w:t>
      </w:r>
      <w:r w:rsidRPr="0093633A">
        <w:rPr>
          <w:rFonts w:ascii="Times New Roman" w:hAnsi="Times New Roman"/>
          <w:sz w:val="24"/>
          <w:szCs w:val="24"/>
          <w:lang w:eastAsia="en-ZA"/>
        </w:rPr>
        <w:t xml:space="preserve"> </w:t>
      </w:r>
      <w:r w:rsidR="006B5BC5">
        <w:rPr>
          <w:rFonts w:ascii="Times New Roman" w:hAnsi="Times New Roman"/>
          <w:sz w:val="24"/>
          <w:szCs w:val="24"/>
          <w:lang w:eastAsia="en-ZA"/>
        </w:rPr>
        <w:t xml:space="preserve">is in </w:t>
      </w:r>
      <w:r w:rsidRPr="0093633A">
        <w:rPr>
          <w:rFonts w:ascii="Times New Roman" w:hAnsi="Times New Roman"/>
          <w:sz w:val="24"/>
          <w:szCs w:val="24"/>
          <w:lang w:eastAsia="en-ZA"/>
        </w:rPr>
        <w:t xml:space="preserve">the process of completing the norms and standards to be promulgated by the Minister of Health. Below are two changes resulting in the revision and the direction of the strategic plan for 2018/19 fiscal year: </w:t>
      </w:r>
    </w:p>
    <w:p w14:paraId="0FAD4B7A" w14:textId="77777777" w:rsidR="005E5DF4" w:rsidRPr="0093633A" w:rsidRDefault="005E5DF4">
      <w:pPr>
        <w:autoSpaceDE w:val="0"/>
        <w:autoSpaceDN w:val="0"/>
        <w:adjustRightInd w:val="0"/>
        <w:jc w:val="both"/>
        <w:rPr>
          <w:rFonts w:ascii="Times New Roman" w:hAnsi="Times New Roman"/>
          <w:sz w:val="24"/>
          <w:szCs w:val="24"/>
          <w:lang w:eastAsia="en-ZA"/>
        </w:rPr>
      </w:pPr>
    </w:p>
    <w:p w14:paraId="063532C8" w14:textId="77777777" w:rsidR="005E5DF4" w:rsidRPr="0093633A" w:rsidRDefault="005E5DF4" w:rsidP="00941E30">
      <w:pPr>
        <w:pStyle w:val="ListParagraph"/>
        <w:numPr>
          <w:ilvl w:val="0"/>
          <w:numId w:val="49"/>
        </w:numPr>
        <w:autoSpaceDE w:val="0"/>
        <w:autoSpaceDN w:val="0"/>
        <w:adjustRightInd w:val="0"/>
        <w:spacing w:line="360" w:lineRule="auto"/>
        <w:jc w:val="both"/>
        <w:rPr>
          <w:rFonts w:ascii="Times New Roman" w:hAnsi="Times New Roman"/>
          <w:sz w:val="24"/>
          <w:szCs w:val="24"/>
          <w:lang w:eastAsia="en-ZA"/>
        </w:rPr>
      </w:pPr>
      <w:r w:rsidRPr="0093633A">
        <w:rPr>
          <w:rFonts w:ascii="Times New Roman" w:hAnsi="Times New Roman"/>
          <w:sz w:val="24"/>
          <w:szCs w:val="24"/>
          <w:lang w:eastAsia="en-ZA"/>
        </w:rPr>
        <w:t>The exclusion of private health establishments in indicators for compliance inspections and progressive enforcement in exercising regulatory power due to unavailability of promulgated norms and standards regulations; and</w:t>
      </w:r>
    </w:p>
    <w:p w14:paraId="41E9E39F" w14:textId="77777777" w:rsidR="005E5DF4" w:rsidRPr="0093633A" w:rsidRDefault="005E5DF4" w:rsidP="00941E30">
      <w:pPr>
        <w:pStyle w:val="ListParagraph"/>
        <w:numPr>
          <w:ilvl w:val="0"/>
          <w:numId w:val="49"/>
        </w:numPr>
        <w:autoSpaceDE w:val="0"/>
        <w:autoSpaceDN w:val="0"/>
        <w:adjustRightInd w:val="0"/>
        <w:spacing w:line="360" w:lineRule="auto"/>
        <w:jc w:val="both"/>
        <w:rPr>
          <w:rFonts w:ascii="Times New Roman" w:hAnsi="Times New Roman"/>
          <w:sz w:val="24"/>
          <w:szCs w:val="24"/>
          <w:lang w:eastAsia="en-ZA"/>
        </w:rPr>
      </w:pPr>
      <w:r w:rsidRPr="0093633A">
        <w:rPr>
          <w:rFonts w:ascii="Times New Roman" w:hAnsi="Times New Roman"/>
          <w:sz w:val="24"/>
          <w:szCs w:val="24"/>
          <w:lang w:eastAsia="en-ZA"/>
        </w:rPr>
        <w:t>The increase in human resource capacity during 2016/17 financial year, reflected in the current staff compliment.</w:t>
      </w:r>
    </w:p>
    <w:p w14:paraId="44CE10BF" w14:textId="77777777" w:rsidR="00223B2A" w:rsidRDefault="00223B2A" w:rsidP="00941E30">
      <w:pPr>
        <w:tabs>
          <w:tab w:val="left" w:pos="720"/>
        </w:tabs>
        <w:jc w:val="both"/>
        <w:rPr>
          <w:rFonts w:ascii="Times New Roman" w:hAnsi="Times New Roman"/>
          <w:b/>
          <w:bCs/>
          <w:kern w:val="32"/>
          <w:sz w:val="24"/>
          <w:szCs w:val="24"/>
        </w:rPr>
      </w:pPr>
    </w:p>
    <w:p w14:paraId="30653BE4" w14:textId="77777777" w:rsidR="008C5207" w:rsidRPr="00941E30" w:rsidRDefault="008C5207" w:rsidP="00941E30">
      <w:pPr>
        <w:tabs>
          <w:tab w:val="left" w:pos="720"/>
        </w:tabs>
        <w:jc w:val="both"/>
        <w:rPr>
          <w:rFonts w:ascii="Times New Roman" w:hAnsi="Times New Roman"/>
          <w:b/>
          <w:bCs/>
          <w:kern w:val="32"/>
          <w:sz w:val="24"/>
          <w:szCs w:val="24"/>
        </w:rPr>
      </w:pPr>
      <w:r w:rsidRPr="00941E30">
        <w:rPr>
          <w:rFonts w:ascii="Times New Roman" w:hAnsi="Times New Roman"/>
          <w:b/>
          <w:bCs/>
          <w:kern w:val="32"/>
          <w:sz w:val="24"/>
          <w:szCs w:val="24"/>
        </w:rPr>
        <w:t xml:space="preserve">Annual Performance Indicators for 2018/19 </w:t>
      </w:r>
    </w:p>
    <w:p w14:paraId="36B75EC3" w14:textId="77777777" w:rsidR="006B5BC5" w:rsidRDefault="006B5BC5" w:rsidP="00941E30">
      <w:pPr>
        <w:tabs>
          <w:tab w:val="left" w:pos="720"/>
        </w:tabs>
        <w:jc w:val="both"/>
        <w:rPr>
          <w:rFonts w:ascii="Times New Roman" w:hAnsi="Times New Roman"/>
          <w:bCs/>
          <w:kern w:val="32"/>
          <w:sz w:val="24"/>
          <w:szCs w:val="24"/>
        </w:rPr>
      </w:pPr>
    </w:p>
    <w:p w14:paraId="33BB3CE0" w14:textId="77777777" w:rsidR="005E5DF4" w:rsidRPr="00941E30" w:rsidRDefault="008C5207" w:rsidP="00941E30">
      <w:pPr>
        <w:tabs>
          <w:tab w:val="left" w:pos="720"/>
        </w:tabs>
        <w:spacing w:line="360" w:lineRule="auto"/>
        <w:jc w:val="both"/>
        <w:rPr>
          <w:rFonts w:ascii="Times New Roman" w:hAnsi="Times New Roman"/>
          <w:bCs/>
          <w:kern w:val="32"/>
          <w:sz w:val="24"/>
          <w:szCs w:val="24"/>
        </w:rPr>
      </w:pPr>
      <w:r w:rsidRPr="00941E30">
        <w:rPr>
          <w:rFonts w:ascii="Times New Roman" w:hAnsi="Times New Roman"/>
          <w:bCs/>
          <w:kern w:val="32"/>
          <w:sz w:val="24"/>
          <w:szCs w:val="24"/>
        </w:rPr>
        <w:t xml:space="preserve">Table </w:t>
      </w:r>
      <w:r w:rsidR="00147B70">
        <w:rPr>
          <w:rFonts w:ascii="Times New Roman" w:hAnsi="Times New Roman"/>
          <w:bCs/>
          <w:kern w:val="32"/>
          <w:sz w:val="24"/>
          <w:szCs w:val="24"/>
        </w:rPr>
        <w:t>13</w:t>
      </w:r>
      <w:r w:rsidR="00147B70" w:rsidRPr="00941E30">
        <w:rPr>
          <w:rFonts w:ascii="Times New Roman" w:hAnsi="Times New Roman"/>
          <w:bCs/>
          <w:kern w:val="32"/>
          <w:sz w:val="24"/>
          <w:szCs w:val="24"/>
        </w:rPr>
        <w:t xml:space="preserve"> </w:t>
      </w:r>
      <w:r w:rsidRPr="00941E30">
        <w:rPr>
          <w:rFonts w:ascii="Times New Roman" w:hAnsi="Times New Roman"/>
          <w:bCs/>
          <w:kern w:val="32"/>
          <w:sz w:val="24"/>
          <w:szCs w:val="24"/>
        </w:rPr>
        <w:t xml:space="preserve">below captures some of the annual performance indicators which demonstrate the means to achieve the strategic objectives of the OHSC for the current fiscal year: </w:t>
      </w:r>
    </w:p>
    <w:p w14:paraId="311B35A4" w14:textId="77777777" w:rsidR="00147B70" w:rsidRPr="00085BAF" w:rsidRDefault="00147B70" w:rsidP="00085BAF">
      <w:pPr>
        <w:autoSpaceDE w:val="0"/>
        <w:autoSpaceDN w:val="0"/>
        <w:adjustRightInd w:val="0"/>
        <w:rPr>
          <w:rFonts w:ascii="Times New Roman" w:hAnsi="Times New Roman"/>
          <w:color w:val="000000"/>
          <w:sz w:val="24"/>
          <w:szCs w:val="24"/>
        </w:rPr>
      </w:pPr>
    </w:p>
    <w:p w14:paraId="7BE5AD5D" w14:textId="77777777" w:rsidR="00881424" w:rsidRPr="00941E30" w:rsidRDefault="00881424" w:rsidP="00941E30">
      <w:pPr>
        <w:autoSpaceDE w:val="0"/>
        <w:autoSpaceDN w:val="0"/>
        <w:adjustRightInd w:val="0"/>
        <w:spacing w:after="120"/>
        <w:rPr>
          <w:rFonts w:ascii="Times New Roman" w:hAnsi="Times New Roman"/>
          <w:b/>
          <w:color w:val="000000"/>
          <w:sz w:val="22"/>
          <w:szCs w:val="24"/>
        </w:rPr>
      </w:pPr>
      <w:r w:rsidRPr="00941E30">
        <w:rPr>
          <w:rFonts w:ascii="Times New Roman" w:hAnsi="Times New Roman"/>
          <w:b/>
          <w:color w:val="000000"/>
          <w:sz w:val="22"/>
          <w:szCs w:val="24"/>
        </w:rPr>
        <w:t xml:space="preserve">Table </w:t>
      </w:r>
      <w:r w:rsidR="00147B70" w:rsidRPr="00941E30">
        <w:rPr>
          <w:rFonts w:ascii="Times New Roman" w:hAnsi="Times New Roman"/>
          <w:b/>
          <w:color w:val="000000"/>
          <w:sz w:val="22"/>
          <w:szCs w:val="24"/>
        </w:rPr>
        <w:t>1</w:t>
      </w:r>
      <w:r w:rsidR="00147B70">
        <w:rPr>
          <w:rFonts w:ascii="Times New Roman" w:hAnsi="Times New Roman"/>
          <w:b/>
          <w:color w:val="000000"/>
          <w:sz w:val="22"/>
          <w:szCs w:val="24"/>
        </w:rPr>
        <w:t>3</w:t>
      </w:r>
      <w:r w:rsidRPr="00941E30">
        <w:rPr>
          <w:rFonts w:ascii="Times New Roman" w:hAnsi="Times New Roman"/>
          <w:b/>
          <w:color w:val="000000"/>
          <w:sz w:val="22"/>
          <w:szCs w:val="24"/>
        </w:rPr>
        <w:t xml:space="preserve">: </w:t>
      </w:r>
      <w:r w:rsidR="00DB5E8C" w:rsidRPr="00941E30">
        <w:rPr>
          <w:rFonts w:ascii="Times New Roman" w:hAnsi="Times New Roman"/>
          <w:b/>
          <w:sz w:val="22"/>
          <w:szCs w:val="24"/>
        </w:rPr>
        <w:t>Programme Performance Indicators and Targets for 2018/19</w:t>
      </w:r>
    </w:p>
    <w:tbl>
      <w:tblPr>
        <w:tblStyle w:val="TableGrid"/>
        <w:tblW w:w="9067" w:type="dxa"/>
        <w:tblLook w:val="04A0" w:firstRow="1" w:lastRow="0" w:firstColumn="1" w:lastColumn="0" w:noHBand="0" w:noVBand="1"/>
      </w:tblPr>
      <w:tblGrid>
        <w:gridCol w:w="3671"/>
        <w:gridCol w:w="3536"/>
        <w:gridCol w:w="1860"/>
      </w:tblGrid>
      <w:tr w:rsidR="00881424" w:rsidRPr="0093633A" w14:paraId="096C7E89" w14:textId="77777777" w:rsidTr="001D526E">
        <w:tc>
          <w:tcPr>
            <w:tcW w:w="3681" w:type="dxa"/>
            <w:shd w:val="clear" w:color="auto" w:fill="C6D9F1" w:themeFill="text2" w:themeFillTint="33"/>
          </w:tcPr>
          <w:p w14:paraId="3538D25B" w14:textId="77777777" w:rsidR="00881424" w:rsidRPr="00941E30" w:rsidRDefault="00881424" w:rsidP="00085BAF">
            <w:pPr>
              <w:autoSpaceDE w:val="0"/>
              <w:autoSpaceDN w:val="0"/>
              <w:adjustRightInd w:val="0"/>
              <w:rPr>
                <w:rFonts w:ascii="Times New Roman" w:hAnsi="Times New Roman"/>
                <w:b/>
                <w:sz w:val="20"/>
                <w:szCs w:val="20"/>
              </w:rPr>
            </w:pPr>
            <w:r w:rsidRPr="00941E30">
              <w:rPr>
                <w:rFonts w:ascii="Times New Roman" w:hAnsi="Times New Roman"/>
                <w:b/>
                <w:sz w:val="20"/>
                <w:szCs w:val="20"/>
              </w:rPr>
              <w:t>STRATEGIC OBJECTIVE</w:t>
            </w:r>
          </w:p>
        </w:tc>
        <w:tc>
          <w:tcPr>
            <w:tcW w:w="3544" w:type="dxa"/>
            <w:shd w:val="clear" w:color="auto" w:fill="C6D9F1" w:themeFill="text2" w:themeFillTint="33"/>
          </w:tcPr>
          <w:p w14:paraId="5FEAB36A" w14:textId="77777777" w:rsidR="00881424" w:rsidRPr="00941E30" w:rsidRDefault="00881424">
            <w:pPr>
              <w:autoSpaceDE w:val="0"/>
              <w:autoSpaceDN w:val="0"/>
              <w:adjustRightInd w:val="0"/>
              <w:rPr>
                <w:rFonts w:ascii="Times New Roman" w:hAnsi="Times New Roman"/>
                <w:b/>
                <w:sz w:val="20"/>
                <w:szCs w:val="20"/>
              </w:rPr>
            </w:pPr>
            <w:r w:rsidRPr="00941E30">
              <w:rPr>
                <w:rFonts w:ascii="Times New Roman" w:hAnsi="Times New Roman"/>
                <w:b/>
                <w:sz w:val="20"/>
                <w:szCs w:val="20"/>
              </w:rPr>
              <w:t>PERFORMANCE INDICATOR</w:t>
            </w:r>
          </w:p>
        </w:tc>
        <w:tc>
          <w:tcPr>
            <w:tcW w:w="1842" w:type="dxa"/>
            <w:shd w:val="clear" w:color="auto" w:fill="C6D9F1" w:themeFill="text2" w:themeFillTint="33"/>
          </w:tcPr>
          <w:p w14:paraId="49F1D8DA" w14:textId="77777777" w:rsidR="00881424" w:rsidRPr="00941E30" w:rsidRDefault="00881424">
            <w:pPr>
              <w:autoSpaceDE w:val="0"/>
              <w:autoSpaceDN w:val="0"/>
              <w:adjustRightInd w:val="0"/>
              <w:rPr>
                <w:rFonts w:ascii="Times New Roman" w:hAnsi="Times New Roman"/>
                <w:b/>
                <w:sz w:val="20"/>
                <w:szCs w:val="20"/>
              </w:rPr>
            </w:pPr>
            <w:r w:rsidRPr="00941E30">
              <w:rPr>
                <w:rFonts w:ascii="Times New Roman" w:hAnsi="Times New Roman"/>
                <w:b/>
                <w:sz w:val="20"/>
                <w:szCs w:val="20"/>
              </w:rPr>
              <w:t>ESTIMATED</w:t>
            </w:r>
          </w:p>
          <w:p w14:paraId="5E18F9E3" w14:textId="77777777" w:rsidR="00881424" w:rsidRPr="00941E30" w:rsidRDefault="00881424">
            <w:pPr>
              <w:autoSpaceDE w:val="0"/>
              <w:autoSpaceDN w:val="0"/>
              <w:adjustRightInd w:val="0"/>
              <w:rPr>
                <w:rFonts w:ascii="Times New Roman" w:hAnsi="Times New Roman"/>
                <w:b/>
                <w:sz w:val="20"/>
                <w:szCs w:val="20"/>
              </w:rPr>
            </w:pPr>
            <w:r w:rsidRPr="00941E30">
              <w:rPr>
                <w:rFonts w:ascii="Times New Roman" w:hAnsi="Times New Roman"/>
                <w:b/>
                <w:sz w:val="20"/>
                <w:szCs w:val="20"/>
              </w:rPr>
              <w:t>PERFORMANCE FOR 2018/19</w:t>
            </w:r>
          </w:p>
          <w:p w14:paraId="7F37595F" w14:textId="77777777" w:rsidR="00881424" w:rsidRPr="00941E30" w:rsidRDefault="00881424">
            <w:pPr>
              <w:autoSpaceDE w:val="0"/>
              <w:autoSpaceDN w:val="0"/>
              <w:adjustRightInd w:val="0"/>
              <w:rPr>
                <w:rFonts w:ascii="Times New Roman" w:hAnsi="Times New Roman"/>
                <w:b/>
                <w:sz w:val="20"/>
                <w:szCs w:val="20"/>
              </w:rPr>
            </w:pPr>
          </w:p>
        </w:tc>
      </w:tr>
      <w:tr w:rsidR="00881424" w:rsidRPr="0093633A" w14:paraId="73A12EBD" w14:textId="77777777" w:rsidTr="00941E30">
        <w:tc>
          <w:tcPr>
            <w:tcW w:w="3681" w:type="dxa"/>
          </w:tcPr>
          <w:p w14:paraId="223F0C56" w14:textId="77777777" w:rsidR="00881424" w:rsidRPr="00941E30" w:rsidRDefault="00881424" w:rsidP="00085BAF">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Create public, provider and stakeholder awareness about the roles and powers of the OHSC </w:t>
            </w:r>
          </w:p>
        </w:tc>
        <w:tc>
          <w:tcPr>
            <w:tcW w:w="3544" w:type="dxa"/>
          </w:tcPr>
          <w:p w14:paraId="67C90C6B"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of media and communication events and campaigns conducted annually.</w:t>
            </w:r>
          </w:p>
          <w:p w14:paraId="26EE4229" w14:textId="77777777" w:rsidR="00881424" w:rsidRPr="00941E30" w:rsidRDefault="00881424">
            <w:pPr>
              <w:autoSpaceDE w:val="0"/>
              <w:autoSpaceDN w:val="0"/>
              <w:adjustRightInd w:val="0"/>
              <w:rPr>
                <w:rFonts w:ascii="Times New Roman" w:hAnsi="Times New Roman"/>
                <w:sz w:val="20"/>
                <w:szCs w:val="20"/>
              </w:rPr>
            </w:pPr>
          </w:p>
        </w:tc>
        <w:tc>
          <w:tcPr>
            <w:tcW w:w="1842" w:type="dxa"/>
            <w:shd w:val="clear" w:color="auto" w:fill="auto"/>
          </w:tcPr>
          <w:p w14:paraId="1D6CD7D8"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8</w:t>
            </w:r>
          </w:p>
        </w:tc>
      </w:tr>
      <w:tr w:rsidR="00881424" w:rsidRPr="0093633A" w14:paraId="3402BE53" w14:textId="77777777" w:rsidTr="00941E30">
        <w:tc>
          <w:tcPr>
            <w:tcW w:w="3681" w:type="dxa"/>
          </w:tcPr>
          <w:p w14:paraId="098B0E7C" w14:textId="77777777" w:rsidR="00881424" w:rsidRPr="00941E30" w:rsidRDefault="00881424" w:rsidP="00085BAF">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Support the mandate and objectives of the OHSC through Memorandum of Understanding (MOUs) with relevant regulators or other organisations </w:t>
            </w:r>
          </w:p>
        </w:tc>
        <w:tc>
          <w:tcPr>
            <w:tcW w:w="3544" w:type="dxa"/>
          </w:tcPr>
          <w:p w14:paraId="36B76E69"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of MOUs signed annually with regulators/other organisations to protect and promote healthcare quality and safety.</w:t>
            </w:r>
          </w:p>
        </w:tc>
        <w:tc>
          <w:tcPr>
            <w:tcW w:w="1842" w:type="dxa"/>
            <w:shd w:val="clear" w:color="auto" w:fill="auto"/>
          </w:tcPr>
          <w:p w14:paraId="361370EF" w14:textId="77777777" w:rsidR="00881424" w:rsidRPr="00941E30" w:rsidRDefault="00881424">
            <w:pPr>
              <w:autoSpaceDE w:val="0"/>
              <w:autoSpaceDN w:val="0"/>
              <w:adjustRightInd w:val="0"/>
              <w:jc w:val="center"/>
              <w:rPr>
                <w:rFonts w:ascii="Times New Roman" w:hAnsi="Times New Roman"/>
                <w:sz w:val="20"/>
                <w:szCs w:val="20"/>
              </w:rPr>
            </w:pPr>
          </w:p>
          <w:p w14:paraId="22E062E8"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4</w:t>
            </w:r>
          </w:p>
          <w:p w14:paraId="153F2F35" w14:textId="77777777" w:rsidR="00881424" w:rsidRPr="00941E30" w:rsidRDefault="00881424">
            <w:pPr>
              <w:autoSpaceDE w:val="0"/>
              <w:autoSpaceDN w:val="0"/>
              <w:adjustRightInd w:val="0"/>
              <w:jc w:val="center"/>
              <w:rPr>
                <w:rFonts w:ascii="Times New Roman" w:hAnsi="Times New Roman"/>
                <w:sz w:val="20"/>
                <w:szCs w:val="20"/>
              </w:rPr>
            </w:pPr>
          </w:p>
        </w:tc>
      </w:tr>
      <w:tr w:rsidR="00881424" w:rsidRPr="0093633A" w14:paraId="3CA7F71A" w14:textId="77777777" w:rsidTr="00941E30">
        <w:tc>
          <w:tcPr>
            <w:tcW w:w="3681" w:type="dxa"/>
            <w:vMerge w:val="restart"/>
          </w:tcPr>
          <w:p w14:paraId="684C4739" w14:textId="77777777" w:rsidR="00881424" w:rsidRPr="00941E30" w:rsidRDefault="00881424" w:rsidP="00085BAF">
            <w:pPr>
              <w:autoSpaceDE w:val="0"/>
              <w:autoSpaceDN w:val="0"/>
              <w:adjustRightInd w:val="0"/>
              <w:rPr>
                <w:rFonts w:ascii="Times New Roman" w:hAnsi="Times New Roman"/>
                <w:sz w:val="20"/>
                <w:szCs w:val="20"/>
              </w:rPr>
            </w:pPr>
          </w:p>
          <w:p w14:paraId="51554413" w14:textId="77777777" w:rsidR="00881424" w:rsidRPr="00941E30" w:rsidRDefault="00881424">
            <w:pPr>
              <w:autoSpaceDE w:val="0"/>
              <w:autoSpaceDN w:val="0"/>
              <w:adjustRightInd w:val="0"/>
              <w:rPr>
                <w:rFonts w:ascii="Times New Roman" w:hAnsi="Times New Roman"/>
                <w:sz w:val="20"/>
                <w:szCs w:val="20"/>
              </w:rPr>
            </w:pPr>
          </w:p>
          <w:p w14:paraId="4F217C18"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Certify HEs that are compliant with prescribed norms and standards </w:t>
            </w:r>
          </w:p>
        </w:tc>
        <w:tc>
          <w:tcPr>
            <w:tcW w:w="3544" w:type="dxa"/>
          </w:tcPr>
          <w:p w14:paraId="52A293D6"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Procedures for certification process developed and implemented.</w:t>
            </w:r>
          </w:p>
        </w:tc>
        <w:tc>
          <w:tcPr>
            <w:tcW w:w="1842" w:type="dxa"/>
            <w:shd w:val="clear" w:color="auto" w:fill="auto"/>
          </w:tcPr>
          <w:p w14:paraId="420E60E5"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Certification procedures Developed</w:t>
            </w:r>
          </w:p>
        </w:tc>
      </w:tr>
      <w:tr w:rsidR="00881424" w:rsidRPr="0093633A" w14:paraId="58CAF2F1" w14:textId="77777777" w:rsidTr="00941E30">
        <w:tc>
          <w:tcPr>
            <w:tcW w:w="3681" w:type="dxa"/>
            <w:vMerge/>
          </w:tcPr>
          <w:p w14:paraId="12BF65FB" w14:textId="77777777" w:rsidR="00881424" w:rsidRPr="00941E30" w:rsidRDefault="00881424">
            <w:pPr>
              <w:autoSpaceDE w:val="0"/>
              <w:autoSpaceDN w:val="0"/>
              <w:adjustRightInd w:val="0"/>
              <w:rPr>
                <w:rFonts w:ascii="Times New Roman" w:hAnsi="Times New Roman"/>
                <w:sz w:val="20"/>
                <w:szCs w:val="20"/>
              </w:rPr>
            </w:pPr>
          </w:p>
        </w:tc>
        <w:tc>
          <w:tcPr>
            <w:tcW w:w="3544" w:type="dxa"/>
          </w:tcPr>
          <w:p w14:paraId="53B8173D"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of compliant HEs certified by the OHSC within 60 days after the final inspection report.</w:t>
            </w:r>
          </w:p>
        </w:tc>
        <w:tc>
          <w:tcPr>
            <w:tcW w:w="1842" w:type="dxa"/>
            <w:shd w:val="clear" w:color="auto" w:fill="auto"/>
          </w:tcPr>
          <w:p w14:paraId="58605CD2" w14:textId="77777777" w:rsidR="00881424" w:rsidRPr="00941E30" w:rsidRDefault="00881424">
            <w:pPr>
              <w:autoSpaceDE w:val="0"/>
              <w:autoSpaceDN w:val="0"/>
              <w:adjustRightInd w:val="0"/>
              <w:jc w:val="center"/>
              <w:rPr>
                <w:rFonts w:ascii="Times New Roman" w:hAnsi="Times New Roman"/>
                <w:sz w:val="20"/>
                <w:szCs w:val="20"/>
              </w:rPr>
            </w:pPr>
          </w:p>
          <w:p w14:paraId="03D5C015" w14:textId="77777777" w:rsidR="00881424" w:rsidRPr="00941E30" w:rsidRDefault="00881424">
            <w:pPr>
              <w:autoSpaceDE w:val="0"/>
              <w:autoSpaceDN w:val="0"/>
              <w:adjustRightInd w:val="0"/>
              <w:jc w:val="center"/>
              <w:rPr>
                <w:rFonts w:ascii="Times New Roman" w:hAnsi="Times New Roman"/>
                <w:sz w:val="20"/>
                <w:szCs w:val="20"/>
              </w:rPr>
            </w:pPr>
          </w:p>
          <w:p w14:paraId="3A36864C"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0</w:t>
            </w:r>
          </w:p>
        </w:tc>
      </w:tr>
      <w:tr w:rsidR="00881424" w:rsidRPr="0093633A" w14:paraId="51213386" w14:textId="77777777" w:rsidTr="00941E30">
        <w:tc>
          <w:tcPr>
            <w:tcW w:w="3681" w:type="dxa"/>
            <w:vMerge w:val="restart"/>
          </w:tcPr>
          <w:p w14:paraId="7CD6DF83" w14:textId="77777777" w:rsidR="00881424" w:rsidRPr="00941E30" w:rsidRDefault="00881424" w:rsidP="00085BAF">
            <w:pPr>
              <w:autoSpaceDE w:val="0"/>
              <w:autoSpaceDN w:val="0"/>
              <w:adjustRightInd w:val="0"/>
              <w:rPr>
                <w:rFonts w:ascii="Times New Roman" w:hAnsi="Times New Roman"/>
                <w:sz w:val="20"/>
                <w:szCs w:val="20"/>
              </w:rPr>
            </w:pPr>
          </w:p>
          <w:p w14:paraId="5A49AE3B" w14:textId="77777777" w:rsidR="00881424" w:rsidRPr="00941E30" w:rsidRDefault="00881424">
            <w:pPr>
              <w:autoSpaceDE w:val="0"/>
              <w:autoSpaceDN w:val="0"/>
              <w:adjustRightInd w:val="0"/>
              <w:rPr>
                <w:rFonts w:ascii="Times New Roman" w:hAnsi="Times New Roman"/>
                <w:sz w:val="20"/>
                <w:szCs w:val="20"/>
              </w:rPr>
            </w:pPr>
          </w:p>
          <w:p w14:paraId="57AE0132"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Effect enforcement action against persistently non-compliant HEs </w:t>
            </w:r>
          </w:p>
        </w:tc>
        <w:tc>
          <w:tcPr>
            <w:tcW w:w="3544" w:type="dxa"/>
          </w:tcPr>
          <w:p w14:paraId="4970CD5B"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Procedures for timely enforcement action developed and implemented.</w:t>
            </w:r>
          </w:p>
        </w:tc>
        <w:tc>
          <w:tcPr>
            <w:tcW w:w="1842" w:type="dxa"/>
            <w:vMerge w:val="restart"/>
            <w:shd w:val="clear" w:color="auto" w:fill="auto"/>
          </w:tcPr>
          <w:p w14:paraId="0782EF02" w14:textId="77777777" w:rsidR="00881424" w:rsidRPr="00941E30" w:rsidRDefault="00881424">
            <w:pPr>
              <w:autoSpaceDE w:val="0"/>
              <w:autoSpaceDN w:val="0"/>
              <w:adjustRightInd w:val="0"/>
              <w:jc w:val="center"/>
              <w:rPr>
                <w:rFonts w:ascii="Times New Roman" w:hAnsi="Times New Roman"/>
                <w:sz w:val="20"/>
                <w:szCs w:val="20"/>
              </w:rPr>
            </w:pPr>
          </w:p>
          <w:p w14:paraId="4517D620" w14:textId="77777777" w:rsidR="00881424" w:rsidRPr="00941E30" w:rsidRDefault="00881424">
            <w:pPr>
              <w:autoSpaceDE w:val="0"/>
              <w:autoSpaceDN w:val="0"/>
              <w:adjustRightInd w:val="0"/>
              <w:jc w:val="center"/>
              <w:rPr>
                <w:rFonts w:ascii="Times New Roman" w:hAnsi="Times New Roman"/>
                <w:sz w:val="20"/>
                <w:szCs w:val="20"/>
              </w:rPr>
            </w:pPr>
          </w:p>
          <w:p w14:paraId="3E7E5E85"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0</w:t>
            </w:r>
          </w:p>
          <w:p w14:paraId="10FCE671" w14:textId="77777777" w:rsidR="00881424" w:rsidRPr="00941E30" w:rsidRDefault="00881424">
            <w:pPr>
              <w:autoSpaceDE w:val="0"/>
              <w:autoSpaceDN w:val="0"/>
              <w:adjustRightInd w:val="0"/>
              <w:jc w:val="center"/>
              <w:rPr>
                <w:rFonts w:ascii="Times New Roman" w:hAnsi="Times New Roman"/>
                <w:sz w:val="20"/>
                <w:szCs w:val="20"/>
              </w:rPr>
            </w:pPr>
          </w:p>
        </w:tc>
      </w:tr>
      <w:tr w:rsidR="00881424" w:rsidRPr="0093633A" w14:paraId="3C74FBAD" w14:textId="77777777" w:rsidTr="00941E30">
        <w:tc>
          <w:tcPr>
            <w:tcW w:w="3681" w:type="dxa"/>
            <w:vMerge/>
          </w:tcPr>
          <w:p w14:paraId="01C2778C" w14:textId="77777777" w:rsidR="00881424" w:rsidRPr="00941E30" w:rsidRDefault="00881424">
            <w:pPr>
              <w:autoSpaceDE w:val="0"/>
              <w:autoSpaceDN w:val="0"/>
              <w:adjustRightInd w:val="0"/>
              <w:rPr>
                <w:rFonts w:ascii="Times New Roman" w:hAnsi="Times New Roman"/>
                <w:sz w:val="20"/>
                <w:szCs w:val="20"/>
              </w:rPr>
            </w:pPr>
          </w:p>
        </w:tc>
        <w:tc>
          <w:tcPr>
            <w:tcW w:w="3544" w:type="dxa"/>
          </w:tcPr>
          <w:p w14:paraId="1C70DD80"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of persistently non-compliant health establishments for which enforcement action is initiated within 10 days from date of receipt of re-inspection or EWS report.</w:t>
            </w:r>
          </w:p>
        </w:tc>
        <w:tc>
          <w:tcPr>
            <w:tcW w:w="1842" w:type="dxa"/>
            <w:vMerge/>
            <w:shd w:val="clear" w:color="auto" w:fill="auto"/>
          </w:tcPr>
          <w:p w14:paraId="30EE2E5A" w14:textId="77777777" w:rsidR="00881424" w:rsidRPr="00941E30" w:rsidRDefault="00881424">
            <w:pPr>
              <w:autoSpaceDE w:val="0"/>
              <w:autoSpaceDN w:val="0"/>
              <w:adjustRightInd w:val="0"/>
              <w:jc w:val="center"/>
              <w:rPr>
                <w:rFonts w:ascii="Times New Roman" w:hAnsi="Times New Roman"/>
                <w:sz w:val="20"/>
                <w:szCs w:val="20"/>
              </w:rPr>
            </w:pPr>
          </w:p>
        </w:tc>
      </w:tr>
      <w:tr w:rsidR="00881424" w:rsidRPr="0093633A" w14:paraId="772A5DE2" w14:textId="77777777" w:rsidTr="00941E30">
        <w:tc>
          <w:tcPr>
            <w:tcW w:w="3681" w:type="dxa"/>
          </w:tcPr>
          <w:p w14:paraId="6EE7F28A"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Publish information about compliance status of HE with norms and standards </w:t>
            </w:r>
          </w:p>
        </w:tc>
        <w:tc>
          <w:tcPr>
            <w:tcW w:w="3544" w:type="dxa"/>
          </w:tcPr>
          <w:p w14:paraId="5350780A"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of reports on inspections conducted, remedial recommendations issued and compliance status of health establishments (annual inspection report).</w:t>
            </w:r>
          </w:p>
        </w:tc>
        <w:tc>
          <w:tcPr>
            <w:tcW w:w="1842" w:type="dxa"/>
            <w:shd w:val="clear" w:color="auto" w:fill="auto"/>
          </w:tcPr>
          <w:p w14:paraId="511A04A7" w14:textId="77777777" w:rsidR="00881424" w:rsidRPr="00941E30" w:rsidRDefault="00881424">
            <w:pPr>
              <w:autoSpaceDE w:val="0"/>
              <w:autoSpaceDN w:val="0"/>
              <w:adjustRightInd w:val="0"/>
              <w:jc w:val="center"/>
              <w:rPr>
                <w:rFonts w:ascii="Times New Roman" w:hAnsi="Times New Roman"/>
                <w:b/>
                <w:sz w:val="20"/>
                <w:szCs w:val="20"/>
              </w:rPr>
            </w:pPr>
          </w:p>
          <w:p w14:paraId="6E315F85"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1</w:t>
            </w:r>
          </w:p>
        </w:tc>
      </w:tr>
      <w:tr w:rsidR="00881424" w:rsidRPr="0093633A" w14:paraId="39AF6738" w14:textId="77777777" w:rsidTr="00941E30">
        <w:tc>
          <w:tcPr>
            <w:tcW w:w="3681" w:type="dxa"/>
          </w:tcPr>
          <w:p w14:paraId="2F60AEF3"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xml:space="preserve">Communicate and monitor recommendations made by the Ombud </w:t>
            </w:r>
          </w:p>
        </w:tc>
        <w:tc>
          <w:tcPr>
            <w:tcW w:w="3544" w:type="dxa"/>
          </w:tcPr>
          <w:p w14:paraId="2B245FE5"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 of Ombud recommendations monitored for implementation by health establishments within six months of tabling to OHSC.</w:t>
            </w:r>
          </w:p>
        </w:tc>
        <w:tc>
          <w:tcPr>
            <w:tcW w:w="1842" w:type="dxa"/>
            <w:shd w:val="clear" w:color="auto" w:fill="auto"/>
          </w:tcPr>
          <w:p w14:paraId="2D7F8FD6" w14:textId="77777777" w:rsidR="00881424" w:rsidRPr="00941E30" w:rsidRDefault="00881424">
            <w:pPr>
              <w:autoSpaceDE w:val="0"/>
              <w:autoSpaceDN w:val="0"/>
              <w:adjustRightInd w:val="0"/>
              <w:jc w:val="center"/>
              <w:rPr>
                <w:rFonts w:ascii="Times New Roman" w:hAnsi="Times New Roman"/>
                <w:sz w:val="20"/>
                <w:szCs w:val="20"/>
              </w:rPr>
            </w:pPr>
          </w:p>
          <w:p w14:paraId="11BDCEB3"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80%</w:t>
            </w:r>
          </w:p>
        </w:tc>
      </w:tr>
      <w:tr w:rsidR="00881424" w:rsidRPr="0093633A" w14:paraId="1E70B40E" w14:textId="77777777" w:rsidTr="00941E30">
        <w:tc>
          <w:tcPr>
            <w:tcW w:w="3681" w:type="dxa"/>
          </w:tcPr>
          <w:p w14:paraId="1917A00B" w14:textId="77777777" w:rsidR="00881424" w:rsidRPr="00941E30" w:rsidRDefault="00881424" w:rsidP="00085BAF">
            <w:pPr>
              <w:autoSpaceDE w:val="0"/>
              <w:autoSpaceDN w:val="0"/>
              <w:adjustRightInd w:val="0"/>
              <w:rPr>
                <w:rFonts w:ascii="Times New Roman" w:hAnsi="Times New Roman"/>
                <w:sz w:val="20"/>
                <w:szCs w:val="20"/>
              </w:rPr>
            </w:pPr>
            <w:r w:rsidRPr="00941E30">
              <w:rPr>
                <w:rFonts w:ascii="Times New Roman" w:hAnsi="Times New Roman"/>
                <w:sz w:val="20"/>
                <w:szCs w:val="20"/>
              </w:rPr>
              <w:t>Recommend norms and standards for</w:t>
            </w:r>
            <w:r w:rsidR="00C539E3">
              <w:rPr>
                <w:rFonts w:ascii="Times New Roman" w:hAnsi="Times New Roman"/>
                <w:sz w:val="20"/>
                <w:szCs w:val="20"/>
              </w:rPr>
              <w:t xml:space="preserve"> </w:t>
            </w:r>
            <w:r w:rsidRPr="00941E30">
              <w:rPr>
                <w:rFonts w:ascii="Times New Roman" w:hAnsi="Times New Roman"/>
                <w:sz w:val="20"/>
                <w:szCs w:val="20"/>
              </w:rPr>
              <w:t xml:space="preserve">different types of HEs for submission to the Minister for promulgation </w:t>
            </w:r>
          </w:p>
        </w:tc>
        <w:tc>
          <w:tcPr>
            <w:tcW w:w="3544" w:type="dxa"/>
          </w:tcPr>
          <w:p w14:paraId="3A639186" w14:textId="77777777" w:rsidR="00881424" w:rsidRPr="00941E30" w:rsidRDefault="00881424">
            <w:pPr>
              <w:autoSpaceDE w:val="0"/>
              <w:autoSpaceDN w:val="0"/>
              <w:adjustRightInd w:val="0"/>
              <w:rPr>
                <w:rFonts w:ascii="Times New Roman" w:hAnsi="Times New Roman"/>
                <w:sz w:val="20"/>
                <w:szCs w:val="20"/>
              </w:rPr>
            </w:pPr>
            <w:r w:rsidRPr="00941E30">
              <w:rPr>
                <w:rFonts w:ascii="Times New Roman" w:hAnsi="Times New Roman"/>
                <w:sz w:val="20"/>
                <w:szCs w:val="20"/>
              </w:rPr>
              <w:t>Number of norms and standards recommended to the Minister annually.</w:t>
            </w:r>
          </w:p>
        </w:tc>
        <w:tc>
          <w:tcPr>
            <w:tcW w:w="1842" w:type="dxa"/>
            <w:shd w:val="clear" w:color="auto" w:fill="auto"/>
          </w:tcPr>
          <w:p w14:paraId="18D29F1E" w14:textId="77777777" w:rsidR="00881424" w:rsidRPr="00941E30" w:rsidRDefault="00881424">
            <w:pPr>
              <w:autoSpaceDE w:val="0"/>
              <w:autoSpaceDN w:val="0"/>
              <w:adjustRightInd w:val="0"/>
              <w:jc w:val="center"/>
              <w:rPr>
                <w:rFonts w:ascii="Times New Roman" w:hAnsi="Times New Roman"/>
                <w:sz w:val="20"/>
                <w:szCs w:val="20"/>
              </w:rPr>
            </w:pPr>
          </w:p>
          <w:p w14:paraId="632F08C7" w14:textId="77777777" w:rsidR="00881424" w:rsidRPr="00941E30" w:rsidRDefault="00881424">
            <w:pPr>
              <w:autoSpaceDE w:val="0"/>
              <w:autoSpaceDN w:val="0"/>
              <w:adjustRightInd w:val="0"/>
              <w:jc w:val="center"/>
              <w:rPr>
                <w:rFonts w:ascii="Times New Roman" w:hAnsi="Times New Roman"/>
                <w:sz w:val="20"/>
                <w:szCs w:val="20"/>
              </w:rPr>
            </w:pPr>
            <w:r w:rsidRPr="00941E30">
              <w:rPr>
                <w:rFonts w:ascii="Times New Roman" w:hAnsi="Times New Roman"/>
                <w:sz w:val="20"/>
                <w:szCs w:val="20"/>
              </w:rPr>
              <w:t>1</w:t>
            </w:r>
          </w:p>
        </w:tc>
      </w:tr>
    </w:tbl>
    <w:p w14:paraId="64B836EE" w14:textId="77777777" w:rsidR="0064345E" w:rsidRDefault="0064345E">
      <w:pPr>
        <w:keepNext/>
        <w:jc w:val="both"/>
        <w:outlineLvl w:val="0"/>
        <w:rPr>
          <w:rFonts w:ascii="Times New Roman" w:hAnsi="Times New Roman"/>
          <w:b/>
          <w:bCs/>
          <w:color w:val="auto"/>
          <w:kern w:val="32"/>
          <w:sz w:val="24"/>
          <w:szCs w:val="24"/>
        </w:rPr>
      </w:pPr>
    </w:p>
    <w:p w14:paraId="0A202AFF" w14:textId="77777777" w:rsidR="00F94EBE" w:rsidRPr="0093633A" w:rsidRDefault="00F94EBE">
      <w:pPr>
        <w:keepNext/>
        <w:jc w:val="both"/>
        <w:outlineLvl w:val="0"/>
        <w:rPr>
          <w:rFonts w:ascii="Times New Roman" w:hAnsi="Times New Roman"/>
          <w:b/>
          <w:bCs/>
          <w:color w:val="E36C0A" w:themeColor="accent6" w:themeShade="BF"/>
          <w:kern w:val="32"/>
          <w:sz w:val="24"/>
          <w:szCs w:val="24"/>
        </w:rPr>
      </w:pPr>
      <w:r w:rsidRPr="0093633A">
        <w:rPr>
          <w:rFonts w:ascii="Times New Roman" w:hAnsi="Times New Roman"/>
          <w:b/>
          <w:bCs/>
          <w:color w:val="auto"/>
          <w:kern w:val="32"/>
          <w:sz w:val="24"/>
          <w:szCs w:val="24"/>
        </w:rPr>
        <w:t xml:space="preserve">Budget </w:t>
      </w:r>
      <w:r w:rsidR="006B5BC5">
        <w:rPr>
          <w:rFonts w:ascii="Times New Roman" w:hAnsi="Times New Roman"/>
          <w:b/>
          <w:bCs/>
          <w:color w:val="auto"/>
          <w:kern w:val="32"/>
          <w:sz w:val="24"/>
          <w:szCs w:val="24"/>
        </w:rPr>
        <w:t>Overview</w:t>
      </w:r>
      <w:r w:rsidRPr="0093633A">
        <w:rPr>
          <w:rFonts w:ascii="Times New Roman" w:hAnsi="Times New Roman"/>
          <w:b/>
          <w:bCs/>
          <w:color w:val="auto"/>
          <w:kern w:val="32"/>
          <w:sz w:val="24"/>
          <w:szCs w:val="24"/>
        </w:rPr>
        <w:t xml:space="preserve"> </w:t>
      </w:r>
    </w:p>
    <w:p w14:paraId="0F1E26A5" w14:textId="77777777" w:rsidR="00F94EBE" w:rsidRPr="0093633A" w:rsidRDefault="00F94EBE">
      <w:pPr>
        <w:rPr>
          <w:rFonts w:ascii="Times New Roman" w:hAnsi="Times New Roman"/>
          <w:sz w:val="24"/>
          <w:szCs w:val="24"/>
        </w:rPr>
      </w:pPr>
    </w:p>
    <w:p w14:paraId="12BD4FA7" w14:textId="77777777" w:rsidR="009975F0" w:rsidRDefault="00F94EBE" w:rsidP="00941E30">
      <w:pPr>
        <w:spacing w:line="360" w:lineRule="auto"/>
        <w:rPr>
          <w:rFonts w:ascii="Times New Roman" w:hAnsi="Times New Roman"/>
          <w:b/>
          <w:bCs/>
          <w:color w:val="auto"/>
          <w:kern w:val="32"/>
          <w:sz w:val="24"/>
          <w:szCs w:val="24"/>
        </w:rPr>
      </w:pPr>
      <w:r w:rsidRPr="0093633A">
        <w:rPr>
          <w:rFonts w:ascii="Times New Roman" w:hAnsi="Times New Roman"/>
          <w:color w:val="000000"/>
          <w:sz w:val="24"/>
          <w:szCs w:val="24"/>
        </w:rPr>
        <w:t xml:space="preserve">Table </w:t>
      </w:r>
      <w:r w:rsidR="00147B70">
        <w:rPr>
          <w:rFonts w:ascii="Times New Roman" w:hAnsi="Times New Roman"/>
          <w:color w:val="000000"/>
          <w:sz w:val="24"/>
          <w:szCs w:val="24"/>
        </w:rPr>
        <w:t>14</w:t>
      </w:r>
      <w:r w:rsidR="00147B70" w:rsidRPr="00085BAF">
        <w:rPr>
          <w:rFonts w:ascii="Times New Roman" w:hAnsi="Times New Roman"/>
          <w:color w:val="000000"/>
          <w:sz w:val="24"/>
          <w:szCs w:val="24"/>
        </w:rPr>
        <w:t xml:space="preserve"> </w:t>
      </w:r>
      <w:r w:rsidRPr="00085BAF">
        <w:rPr>
          <w:rFonts w:ascii="Times New Roman" w:hAnsi="Times New Roman"/>
          <w:color w:val="000000"/>
          <w:sz w:val="24"/>
          <w:szCs w:val="24"/>
        </w:rPr>
        <w:t>below shows the budget for 2018/19 fiscal year as well as projection over the MTEF.</w:t>
      </w:r>
    </w:p>
    <w:p w14:paraId="03A566A1" w14:textId="77777777" w:rsidR="009E5567" w:rsidRDefault="009E5567" w:rsidP="00941E30">
      <w:pPr>
        <w:tabs>
          <w:tab w:val="left" w:pos="720"/>
        </w:tabs>
        <w:rPr>
          <w:rFonts w:ascii="Times New Roman" w:hAnsi="Times New Roman"/>
          <w:b/>
          <w:bCs/>
          <w:color w:val="auto"/>
          <w:kern w:val="32"/>
          <w:sz w:val="24"/>
          <w:szCs w:val="24"/>
        </w:rPr>
      </w:pPr>
    </w:p>
    <w:p w14:paraId="7B5EE15C" w14:textId="77777777" w:rsidR="00F94EBE" w:rsidRPr="00941E30" w:rsidRDefault="00A709B2" w:rsidP="00941E30">
      <w:pPr>
        <w:spacing w:after="120"/>
        <w:rPr>
          <w:rFonts w:ascii="Times New Roman" w:hAnsi="Times New Roman"/>
          <w:b/>
          <w:color w:val="000000"/>
          <w:sz w:val="20"/>
          <w:szCs w:val="24"/>
        </w:rPr>
      </w:pPr>
      <w:r w:rsidRPr="00941E30">
        <w:rPr>
          <w:rFonts w:ascii="Times New Roman" w:hAnsi="Times New Roman"/>
          <w:b/>
          <w:color w:val="000000"/>
          <w:sz w:val="20"/>
          <w:szCs w:val="24"/>
        </w:rPr>
        <w:t xml:space="preserve">Table </w:t>
      </w:r>
      <w:r w:rsidR="00147B70" w:rsidRPr="00941E30">
        <w:rPr>
          <w:rFonts w:ascii="Times New Roman" w:hAnsi="Times New Roman"/>
          <w:b/>
          <w:color w:val="000000"/>
          <w:sz w:val="20"/>
          <w:szCs w:val="24"/>
        </w:rPr>
        <w:t>1</w:t>
      </w:r>
      <w:r w:rsidR="00147B70">
        <w:rPr>
          <w:rFonts w:ascii="Times New Roman" w:hAnsi="Times New Roman"/>
          <w:b/>
          <w:color w:val="000000"/>
          <w:sz w:val="20"/>
          <w:szCs w:val="24"/>
        </w:rPr>
        <w:t>4</w:t>
      </w:r>
      <w:r w:rsidRPr="00941E30">
        <w:rPr>
          <w:rFonts w:ascii="Times New Roman" w:hAnsi="Times New Roman"/>
          <w:b/>
          <w:color w:val="000000"/>
          <w:sz w:val="20"/>
          <w:szCs w:val="24"/>
        </w:rPr>
        <w:t xml:space="preserve">: </w:t>
      </w:r>
      <w:r w:rsidR="00F94EBE" w:rsidRPr="00941E30">
        <w:rPr>
          <w:rFonts w:ascii="Times New Roman" w:hAnsi="Times New Roman"/>
          <w:b/>
          <w:color w:val="000000"/>
          <w:sz w:val="20"/>
          <w:szCs w:val="24"/>
        </w:rPr>
        <w:t xml:space="preserve">Budget and Medium-Term Expenditure Framework </w:t>
      </w:r>
    </w:p>
    <w:tbl>
      <w:tblPr>
        <w:tblStyle w:val="TableGrid"/>
        <w:tblW w:w="9810" w:type="dxa"/>
        <w:tblInd w:w="-95" w:type="dxa"/>
        <w:tblLayout w:type="fixed"/>
        <w:tblLook w:val="04A0" w:firstRow="1" w:lastRow="0" w:firstColumn="1" w:lastColumn="0" w:noHBand="0" w:noVBand="1"/>
      </w:tblPr>
      <w:tblGrid>
        <w:gridCol w:w="1986"/>
        <w:gridCol w:w="960"/>
        <w:gridCol w:w="1014"/>
        <w:gridCol w:w="990"/>
        <w:gridCol w:w="990"/>
        <w:gridCol w:w="1056"/>
        <w:gridCol w:w="900"/>
        <w:gridCol w:w="1014"/>
        <w:gridCol w:w="900"/>
      </w:tblGrid>
      <w:tr w:rsidR="00F94EBE" w:rsidRPr="009943B5" w14:paraId="3162E10C" w14:textId="77777777" w:rsidTr="00941E30">
        <w:trPr>
          <w:trHeight w:val="780"/>
        </w:trPr>
        <w:tc>
          <w:tcPr>
            <w:tcW w:w="1986" w:type="dxa"/>
            <w:shd w:val="clear" w:color="auto" w:fill="D5DCE4"/>
            <w:noWrap/>
            <w:hideMark/>
          </w:tcPr>
          <w:p w14:paraId="01F89371" w14:textId="77777777" w:rsidR="00F94EBE" w:rsidRPr="00941E30" w:rsidRDefault="00F94EBE" w:rsidP="00085BAF">
            <w:pPr>
              <w:rPr>
                <w:rFonts w:ascii="Times New Roman" w:hAnsi="Times New Roman"/>
                <w:b/>
                <w:bCs/>
                <w:sz w:val="20"/>
                <w:szCs w:val="20"/>
              </w:rPr>
            </w:pPr>
            <w:r w:rsidRPr="00941E30">
              <w:rPr>
                <w:rFonts w:ascii="Times New Roman" w:hAnsi="Times New Roman"/>
                <w:b/>
                <w:bCs/>
                <w:sz w:val="20"/>
                <w:szCs w:val="20"/>
              </w:rPr>
              <w:t>Programme</w:t>
            </w:r>
          </w:p>
        </w:tc>
        <w:tc>
          <w:tcPr>
            <w:tcW w:w="3954" w:type="dxa"/>
            <w:gridSpan w:val="4"/>
            <w:shd w:val="clear" w:color="auto" w:fill="D5DCE4"/>
            <w:hideMark/>
          </w:tcPr>
          <w:p w14:paraId="383D03D5"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Budget</w:t>
            </w:r>
          </w:p>
        </w:tc>
        <w:tc>
          <w:tcPr>
            <w:tcW w:w="1056" w:type="dxa"/>
            <w:shd w:val="clear" w:color="auto" w:fill="D5DCE4"/>
            <w:hideMark/>
          </w:tcPr>
          <w:p w14:paraId="17C8DB8C"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Nominal Rand Change</w:t>
            </w:r>
          </w:p>
        </w:tc>
        <w:tc>
          <w:tcPr>
            <w:tcW w:w="900" w:type="dxa"/>
            <w:shd w:val="clear" w:color="auto" w:fill="D5DCE4"/>
            <w:hideMark/>
          </w:tcPr>
          <w:p w14:paraId="0F9B5A30"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Real Rand Change</w:t>
            </w:r>
          </w:p>
        </w:tc>
        <w:tc>
          <w:tcPr>
            <w:tcW w:w="1014" w:type="dxa"/>
            <w:shd w:val="clear" w:color="auto" w:fill="D5DCE4"/>
            <w:hideMark/>
          </w:tcPr>
          <w:p w14:paraId="55DF8C1F"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Nominal % Change</w:t>
            </w:r>
          </w:p>
        </w:tc>
        <w:tc>
          <w:tcPr>
            <w:tcW w:w="900" w:type="dxa"/>
            <w:shd w:val="clear" w:color="auto" w:fill="D5DCE4"/>
            <w:hideMark/>
          </w:tcPr>
          <w:p w14:paraId="7C0F734D"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Real</w:t>
            </w:r>
          </w:p>
          <w:p w14:paraId="77C73C58"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 Change</w:t>
            </w:r>
          </w:p>
        </w:tc>
      </w:tr>
      <w:tr w:rsidR="005D04BA" w:rsidRPr="009943B5" w14:paraId="590F3634" w14:textId="77777777" w:rsidTr="00941E30">
        <w:trPr>
          <w:trHeight w:val="250"/>
        </w:trPr>
        <w:tc>
          <w:tcPr>
            <w:tcW w:w="1986" w:type="dxa"/>
            <w:shd w:val="clear" w:color="auto" w:fill="auto"/>
            <w:noWrap/>
            <w:hideMark/>
          </w:tcPr>
          <w:p w14:paraId="3960648C" w14:textId="77777777" w:rsidR="00F94EBE" w:rsidRPr="00941E30" w:rsidRDefault="00F94EBE" w:rsidP="00085BAF">
            <w:pPr>
              <w:rPr>
                <w:rFonts w:ascii="Times New Roman" w:hAnsi="Times New Roman"/>
                <w:b/>
                <w:sz w:val="20"/>
                <w:szCs w:val="20"/>
              </w:rPr>
            </w:pPr>
            <w:r w:rsidRPr="00941E30">
              <w:rPr>
                <w:rFonts w:ascii="Times New Roman" w:hAnsi="Times New Roman"/>
                <w:b/>
                <w:sz w:val="20"/>
                <w:szCs w:val="20"/>
              </w:rPr>
              <w:t>R million</w:t>
            </w:r>
          </w:p>
        </w:tc>
        <w:tc>
          <w:tcPr>
            <w:tcW w:w="960" w:type="dxa"/>
            <w:shd w:val="clear" w:color="auto" w:fill="auto"/>
            <w:noWrap/>
            <w:hideMark/>
          </w:tcPr>
          <w:p w14:paraId="41FE2ADF"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2017/18</w:t>
            </w:r>
          </w:p>
        </w:tc>
        <w:tc>
          <w:tcPr>
            <w:tcW w:w="1014" w:type="dxa"/>
            <w:shd w:val="clear" w:color="auto" w:fill="auto"/>
            <w:noWrap/>
            <w:hideMark/>
          </w:tcPr>
          <w:p w14:paraId="4EBF88F3"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2018/19</w:t>
            </w:r>
          </w:p>
        </w:tc>
        <w:tc>
          <w:tcPr>
            <w:tcW w:w="990" w:type="dxa"/>
            <w:shd w:val="clear" w:color="auto" w:fill="auto"/>
            <w:noWrap/>
            <w:hideMark/>
          </w:tcPr>
          <w:p w14:paraId="24F5A73F"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2019/20</w:t>
            </w:r>
          </w:p>
        </w:tc>
        <w:tc>
          <w:tcPr>
            <w:tcW w:w="990" w:type="dxa"/>
            <w:shd w:val="clear" w:color="auto" w:fill="auto"/>
            <w:noWrap/>
            <w:hideMark/>
          </w:tcPr>
          <w:p w14:paraId="7F1DF4F9"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2020/21</w:t>
            </w:r>
          </w:p>
        </w:tc>
        <w:tc>
          <w:tcPr>
            <w:tcW w:w="1956" w:type="dxa"/>
            <w:gridSpan w:val="2"/>
            <w:shd w:val="clear" w:color="auto" w:fill="auto"/>
            <w:noWrap/>
            <w:hideMark/>
          </w:tcPr>
          <w:p w14:paraId="3B4BF389"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2017/18-2018/19</w:t>
            </w:r>
          </w:p>
        </w:tc>
        <w:tc>
          <w:tcPr>
            <w:tcW w:w="1914" w:type="dxa"/>
            <w:gridSpan w:val="2"/>
            <w:shd w:val="clear" w:color="auto" w:fill="auto"/>
            <w:noWrap/>
            <w:hideMark/>
          </w:tcPr>
          <w:p w14:paraId="6BCAAB01"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2017/18-2018/19</w:t>
            </w:r>
          </w:p>
        </w:tc>
      </w:tr>
      <w:tr w:rsidR="005D04BA" w:rsidRPr="009943B5" w14:paraId="36B58928" w14:textId="77777777" w:rsidTr="00941E30">
        <w:trPr>
          <w:trHeight w:val="250"/>
        </w:trPr>
        <w:tc>
          <w:tcPr>
            <w:tcW w:w="1986" w:type="dxa"/>
            <w:shd w:val="clear" w:color="auto" w:fill="auto"/>
            <w:hideMark/>
          </w:tcPr>
          <w:p w14:paraId="379F5803" w14:textId="77777777" w:rsidR="00F94EBE" w:rsidRPr="00941E30" w:rsidRDefault="00F94EBE" w:rsidP="00085BAF">
            <w:pPr>
              <w:rPr>
                <w:rFonts w:ascii="Times New Roman" w:hAnsi="Times New Roman"/>
                <w:sz w:val="20"/>
                <w:szCs w:val="20"/>
              </w:rPr>
            </w:pPr>
            <w:r w:rsidRPr="00941E30">
              <w:rPr>
                <w:rFonts w:ascii="Times New Roman" w:hAnsi="Times New Roman"/>
                <w:sz w:val="20"/>
                <w:szCs w:val="20"/>
              </w:rPr>
              <w:t>Administration</w:t>
            </w:r>
          </w:p>
        </w:tc>
        <w:tc>
          <w:tcPr>
            <w:tcW w:w="960" w:type="dxa"/>
            <w:shd w:val="clear" w:color="auto" w:fill="auto"/>
            <w:noWrap/>
            <w:hideMark/>
          </w:tcPr>
          <w:p w14:paraId="77002CE0"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50 114 </w:t>
            </w:r>
          </w:p>
        </w:tc>
        <w:tc>
          <w:tcPr>
            <w:tcW w:w="1014" w:type="dxa"/>
            <w:shd w:val="clear" w:color="auto" w:fill="auto"/>
            <w:noWrap/>
            <w:hideMark/>
          </w:tcPr>
          <w:p w14:paraId="5CC679A5"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50 381 </w:t>
            </w:r>
          </w:p>
        </w:tc>
        <w:tc>
          <w:tcPr>
            <w:tcW w:w="990" w:type="dxa"/>
            <w:shd w:val="clear" w:color="auto" w:fill="auto"/>
            <w:noWrap/>
            <w:hideMark/>
          </w:tcPr>
          <w:p w14:paraId="45359AEA"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52 588 </w:t>
            </w:r>
          </w:p>
        </w:tc>
        <w:tc>
          <w:tcPr>
            <w:tcW w:w="990" w:type="dxa"/>
            <w:shd w:val="clear" w:color="auto" w:fill="auto"/>
            <w:noWrap/>
            <w:hideMark/>
          </w:tcPr>
          <w:p w14:paraId="3484D308"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55 895 </w:t>
            </w:r>
          </w:p>
        </w:tc>
        <w:tc>
          <w:tcPr>
            <w:tcW w:w="1056" w:type="dxa"/>
            <w:shd w:val="clear" w:color="auto" w:fill="auto"/>
            <w:noWrap/>
            <w:hideMark/>
          </w:tcPr>
          <w:p w14:paraId="66A0B372"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 266 663</w:t>
            </w:r>
          </w:p>
        </w:tc>
        <w:tc>
          <w:tcPr>
            <w:tcW w:w="900" w:type="dxa"/>
            <w:shd w:val="clear" w:color="auto" w:fill="auto"/>
            <w:noWrap/>
            <w:hideMark/>
          </w:tcPr>
          <w:p w14:paraId="3E10F894"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-2 3</w:t>
            </w:r>
            <w:r w:rsidR="000C4E32">
              <w:rPr>
                <w:rFonts w:ascii="Times New Roman" w:hAnsi="Times New Roman"/>
                <w:sz w:val="20"/>
                <w:szCs w:val="20"/>
              </w:rPr>
              <w:t>60</w:t>
            </w:r>
          </w:p>
        </w:tc>
        <w:tc>
          <w:tcPr>
            <w:tcW w:w="1014" w:type="dxa"/>
            <w:shd w:val="clear" w:color="auto" w:fill="auto"/>
            <w:noWrap/>
            <w:hideMark/>
          </w:tcPr>
          <w:p w14:paraId="2C1D0947" w14:textId="77777777" w:rsidR="00F94EBE" w:rsidRPr="00941E30" w:rsidRDefault="00F94EBE" w:rsidP="00941E30">
            <w:pPr>
              <w:rPr>
                <w:rFonts w:ascii="Times New Roman" w:hAnsi="Times New Roman"/>
                <w:sz w:val="20"/>
                <w:szCs w:val="20"/>
              </w:rPr>
            </w:pPr>
            <w:r w:rsidRPr="00941E30">
              <w:rPr>
                <w:rFonts w:ascii="Times New Roman" w:hAnsi="Times New Roman"/>
                <w:sz w:val="20"/>
                <w:szCs w:val="20"/>
              </w:rPr>
              <w:t>0</w:t>
            </w:r>
            <w:r w:rsidR="000C4E32">
              <w:rPr>
                <w:rFonts w:ascii="Times New Roman" w:hAnsi="Times New Roman"/>
                <w:sz w:val="20"/>
                <w:szCs w:val="20"/>
              </w:rPr>
              <w:t>.</w:t>
            </w:r>
            <w:r w:rsidRPr="00941E30">
              <w:rPr>
                <w:rFonts w:ascii="Times New Roman" w:hAnsi="Times New Roman"/>
                <w:sz w:val="20"/>
                <w:szCs w:val="20"/>
              </w:rPr>
              <w:t>53%</w:t>
            </w:r>
          </w:p>
        </w:tc>
        <w:tc>
          <w:tcPr>
            <w:tcW w:w="900" w:type="dxa"/>
            <w:shd w:val="clear" w:color="auto" w:fill="auto"/>
            <w:noWrap/>
            <w:hideMark/>
          </w:tcPr>
          <w:p w14:paraId="70F9B584"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-4</w:t>
            </w:r>
            <w:r w:rsidR="000C4E32">
              <w:rPr>
                <w:rFonts w:ascii="Times New Roman" w:hAnsi="Times New Roman"/>
                <w:sz w:val="20"/>
                <w:szCs w:val="20"/>
              </w:rPr>
              <w:t>.</w:t>
            </w:r>
            <w:r w:rsidRPr="00941E30">
              <w:rPr>
                <w:rFonts w:ascii="Times New Roman" w:hAnsi="Times New Roman"/>
                <w:sz w:val="20"/>
                <w:szCs w:val="20"/>
              </w:rPr>
              <w:t>71%</w:t>
            </w:r>
          </w:p>
        </w:tc>
      </w:tr>
      <w:tr w:rsidR="005D04BA" w:rsidRPr="009943B5" w14:paraId="5B196ADE" w14:textId="77777777" w:rsidTr="00941E30">
        <w:trPr>
          <w:trHeight w:val="410"/>
        </w:trPr>
        <w:tc>
          <w:tcPr>
            <w:tcW w:w="1986" w:type="dxa"/>
            <w:shd w:val="clear" w:color="auto" w:fill="auto"/>
            <w:hideMark/>
          </w:tcPr>
          <w:p w14:paraId="6D5B9547" w14:textId="77777777" w:rsidR="00F94EBE" w:rsidRPr="00941E30" w:rsidRDefault="00F94EBE" w:rsidP="00085BAF">
            <w:pPr>
              <w:rPr>
                <w:rFonts w:ascii="Times New Roman" w:hAnsi="Times New Roman"/>
                <w:sz w:val="20"/>
                <w:szCs w:val="20"/>
              </w:rPr>
            </w:pPr>
            <w:r w:rsidRPr="00941E30">
              <w:rPr>
                <w:rFonts w:ascii="Times New Roman" w:hAnsi="Times New Roman"/>
                <w:sz w:val="20"/>
                <w:szCs w:val="20"/>
              </w:rPr>
              <w:t>Compliance Inspection, Certification &amp; Enforcement</w:t>
            </w:r>
          </w:p>
        </w:tc>
        <w:tc>
          <w:tcPr>
            <w:tcW w:w="960" w:type="dxa"/>
            <w:shd w:val="clear" w:color="auto" w:fill="auto"/>
            <w:noWrap/>
            <w:hideMark/>
          </w:tcPr>
          <w:p w14:paraId="6D7AA526"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49 110 </w:t>
            </w:r>
          </w:p>
        </w:tc>
        <w:tc>
          <w:tcPr>
            <w:tcW w:w="1014" w:type="dxa"/>
            <w:shd w:val="clear" w:color="auto" w:fill="auto"/>
            <w:noWrap/>
            <w:hideMark/>
          </w:tcPr>
          <w:p w14:paraId="151E936D"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49 </w:t>
            </w:r>
            <w:r w:rsidR="000C4E32">
              <w:rPr>
                <w:rFonts w:ascii="Times New Roman" w:hAnsi="Times New Roman"/>
                <w:sz w:val="20"/>
                <w:szCs w:val="20"/>
              </w:rPr>
              <w:t>300</w:t>
            </w:r>
            <w:r w:rsidRPr="00941E30">
              <w:rPr>
                <w:rFonts w:ascii="Times New Roman" w:hAnsi="Times New Roman"/>
                <w:sz w:val="20"/>
                <w:szCs w:val="20"/>
              </w:rPr>
              <w:t xml:space="preserve"> </w:t>
            </w:r>
          </w:p>
        </w:tc>
        <w:tc>
          <w:tcPr>
            <w:tcW w:w="990" w:type="dxa"/>
            <w:shd w:val="clear" w:color="auto" w:fill="auto"/>
            <w:noWrap/>
            <w:hideMark/>
          </w:tcPr>
          <w:p w14:paraId="510A705F"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52 </w:t>
            </w:r>
            <w:r w:rsidR="000C4E32" w:rsidRPr="00941E30">
              <w:rPr>
                <w:rFonts w:ascii="Times New Roman" w:hAnsi="Times New Roman"/>
                <w:sz w:val="20"/>
                <w:szCs w:val="20"/>
              </w:rPr>
              <w:t>7</w:t>
            </w:r>
            <w:r w:rsidR="000C4E32">
              <w:rPr>
                <w:rFonts w:ascii="Times New Roman" w:hAnsi="Times New Roman"/>
                <w:sz w:val="20"/>
                <w:szCs w:val="20"/>
              </w:rPr>
              <w:t>70</w:t>
            </w:r>
          </w:p>
        </w:tc>
        <w:tc>
          <w:tcPr>
            <w:tcW w:w="990" w:type="dxa"/>
            <w:shd w:val="clear" w:color="auto" w:fill="auto"/>
            <w:noWrap/>
            <w:hideMark/>
          </w:tcPr>
          <w:p w14:paraId="1885DA0F"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54 </w:t>
            </w:r>
            <w:r w:rsidR="000C4E32" w:rsidRPr="00941E30">
              <w:rPr>
                <w:rFonts w:ascii="Times New Roman" w:hAnsi="Times New Roman"/>
                <w:sz w:val="20"/>
                <w:szCs w:val="20"/>
              </w:rPr>
              <w:t>73</w:t>
            </w:r>
            <w:r w:rsidR="000C4E32">
              <w:rPr>
                <w:rFonts w:ascii="Times New Roman" w:hAnsi="Times New Roman"/>
                <w:sz w:val="20"/>
                <w:szCs w:val="20"/>
              </w:rPr>
              <w:t>8</w:t>
            </w:r>
          </w:p>
        </w:tc>
        <w:tc>
          <w:tcPr>
            <w:tcW w:w="1056" w:type="dxa"/>
            <w:shd w:val="clear" w:color="auto" w:fill="auto"/>
            <w:noWrap/>
            <w:hideMark/>
          </w:tcPr>
          <w:p w14:paraId="620B3A5A"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 189 487</w:t>
            </w:r>
          </w:p>
        </w:tc>
        <w:tc>
          <w:tcPr>
            <w:tcW w:w="900" w:type="dxa"/>
            <w:shd w:val="clear" w:color="auto" w:fill="auto"/>
            <w:noWrap/>
            <w:hideMark/>
          </w:tcPr>
          <w:p w14:paraId="63CA84C8"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-2 38</w:t>
            </w:r>
            <w:r w:rsidR="000C4E32">
              <w:rPr>
                <w:rFonts w:ascii="Times New Roman" w:hAnsi="Times New Roman"/>
                <w:sz w:val="20"/>
                <w:szCs w:val="20"/>
              </w:rPr>
              <w:t>1</w:t>
            </w:r>
            <w:r w:rsidRPr="00941E30">
              <w:rPr>
                <w:rFonts w:ascii="Times New Roman" w:hAnsi="Times New Roman"/>
                <w:sz w:val="20"/>
                <w:szCs w:val="20"/>
              </w:rPr>
              <w:t xml:space="preserve"> </w:t>
            </w:r>
          </w:p>
        </w:tc>
        <w:tc>
          <w:tcPr>
            <w:tcW w:w="1014" w:type="dxa"/>
            <w:shd w:val="clear" w:color="auto" w:fill="auto"/>
            <w:noWrap/>
            <w:hideMark/>
          </w:tcPr>
          <w:p w14:paraId="6B54D0AF" w14:textId="77777777" w:rsidR="00F94EBE" w:rsidRPr="00941E30" w:rsidRDefault="00F94EBE" w:rsidP="00941E30">
            <w:pPr>
              <w:rPr>
                <w:rFonts w:ascii="Times New Roman" w:hAnsi="Times New Roman"/>
                <w:sz w:val="20"/>
                <w:szCs w:val="20"/>
              </w:rPr>
            </w:pPr>
            <w:r w:rsidRPr="00941E30">
              <w:rPr>
                <w:rFonts w:ascii="Times New Roman" w:hAnsi="Times New Roman"/>
                <w:sz w:val="20"/>
                <w:szCs w:val="20"/>
              </w:rPr>
              <w:t>0</w:t>
            </w:r>
            <w:r w:rsidR="000C4E32">
              <w:rPr>
                <w:rFonts w:ascii="Times New Roman" w:hAnsi="Times New Roman"/>
                <w:sz w:val="20"/>
                <w:szCs w:val="20"/>
              </w:rPr>
              <w:t>.</w:t>
            </w:r>
            <w:r w:rsidRPr="00941E30">
              <w:rPr>
                <w:rFonts w:ascii="Times New Roman" w:hAnsi="Times New Roman"/>
                <w:sz w:val="20"/>
                <w:szCs w:val="20"/>
              </w:rPr>
              <w:t>39%</w:t>
            </w:r>
          </w:p>
        </w:tc>
        <w:tc>
          <w:tcPr>
            <w:tcW w:w="900" w:type="dxa"/>
            <w:shd w:val="clear" w:color="auto" w:fill="auto"/>
            <w:noWrap/>
            <w:hideMark/>
          </w:tcPr>
          <w:p w14:paraId="2FD6B639"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-4</w:t>
            </w:r>
            <w:r w:rsidR="000C4E32">
              <w:rPr>
                <w:rFonts w:ascii="Times New Roman" w:hAnsi="Times New Roman"/>
                <w:sz w:val="20"/>
                <w:szCs w:val="20"/>
              </w:rPr>
              <w:t>.</w:t>
            </w:r>
            <w:r w:rsidRPr="00941E30">
              <w:rPr>
                <w:rFonts w:ascii="Times New Roman" w:hAnsi="Times New Roman"/>
                <w:sz w:val="20"/>
                <w:szCs w:val="20"/>
              </w:rPr>
              <w:t>85%</w:t>
            </w:r>
          </w:p>
        </w:tc>
      </w:tr>
      <w:tr w:rsidR="005D04BA" w:rsidRPr="009943B5" w14:paraId="6FD2893D" w14:textId="77777777" w:rsidTr="00941E30">
        <w:trPr>
          <w:trHeight w:val="250"/>
        </w:trPr>
        <w:tc>
          <w:tcPr>
            <w:tcW w:w="1986" w:type="dxa"/>
            <w:shd w:val="clear" w:color="auto" w:fill="auto"/>
            <w:hideMark/>
          </w:tcPr>
          <w:p w14:paraId="7925AF65" w14:textId="77777777" w:rsidR="00F94EBE" w:rsidRPr="00941E30" w:rsidRDefault="00F94EBE" w:rsidP="00085BAF">
            <w:pPr>
              <w:rPr>
                <w:rFonts w:ascii="Times New Roman" w:hAnsi="Times New Roman"/>
                <w:sz w:val="20"/>
                <w:szCs w:val="20"/>
              </w:rPr>
            </w:pPr>
            <w:r w:rsidRPr="00941E30">
              <w:rPr>
                <w:rFonts w:ascii="Times New Roman" w:hAnsi="Times New Roman"/>
                <w:sz w:val="20"/>
                <w:szCs w:val="20"/>
              </w:rPr>
              <w:t>Complaints Management &amp; Ombud</w:t>
            </w:r>
          </w:p>
        </w:tc>
        <w:tc>
          <w:tcPr>
            <w:tcW w:w="960" w:type="dxa"/>
            <w:shd w:val="clear" w:color="auto" w:fill="auto"/>
            <w:noWrap/>
            <w:hideMark/>
          </w:tcPr>
          <w:p w14:paraId="35C6B359"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14 </w:t>
            </w:r>
            <w:r w:rsidR="000C4E32" w:rsidRPr="00941E30">
              <w:rPr>
                <w:rFonts w:ascii="Times New Roman" w:hAnsi="Times New Roman"/>
                <w:sz w:val="20"/>
                <w:szCs w:val="20"/>
              </w:rPr>
              <w:t>7</w:t>
            </w:r>
            <w:r w:rsidR="000C4E32">
              <w:rPr>
                <w:rFonts w:ascii="Times New Roman" w:hAnsi="Times New Roman"/>
                <w:sz w:val="20"/>
                <w:szCs w:val="20"/>
              </w:rPr>
              <w:t>70</w:t>
            </w:r>
            <w:r w:rsidR="000C4E32" w:rsidRPr="00941E30">
              <w:rPr>
                <w:rFonts w:ascii="Times New Roman" w:hAnsi="Times New Roman"/>
                <w:sz w:val="20"/>
                <w:szCs w:val="20"/>
              </w:rPr>
              <w:t> </w:t>
            </w:r>
          </w:p>
        </w:tc>
        <w:tc>
          <w:tcPr>
            <w:tcW w:w="1014" w:type="dxa"/>
            <w:shd w:val="clear" w:color="auto" w:fill="auto"/>
            <w:noWrap/>
            <w:hideMark/>
          </w:tcPr>
          <w:p w14:paraId="22DB2856"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17 81</w:t>
            </w:r>
            <w:r w:rsidR="000C4E32">
              <w:rPr>
                <w:rFonts w:ascii="Times New Roman" w:hAnsi="Times New Roman"/>
                <w:sz w:val="20"/>
                <w:szCs w:val="20"/>
              </w:rPr>
              <w:t>1</w:t>
            </w:r>
          </w:p>
        </w:tc>
        <w:tc>
          <w:tcPr>
            <w:tcW w:w="990" w:type="dxa"/>
            <w:shd w:val="clear" w:color="auto" w:fill="auto"/>
            <w:noWrap/>
          </w:tcPr>
          <w:p w14:paraId="4CA73E43"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19 </w:t>
            </w:r>
            <w:r w:rsidR="000C4E32" w:rsidRPr="00941E30">
              <w:rPr>
                <w:rFonts w:ascii="Times New Roman" w:hAnsi="Times New Roman"/>
                <w:sz w:val="20"/>
                <w:szCs w:val="20"/>
              </w:rPr>
              <w:t>08</w:t>
            </w:r>
            <w:r w:rsidR="000C4E32">
              <w:rPr>
                <w:rFonts w:ascii="Times New Roman" w:hAnsi="Times New Roman"/>
                <w:sz w:val="20"/>
                <w:szCs w:val="20"/>
              </w:rPr>
              <w:t>4</w:t>
            </w:r>
          </w:p>
        </w:tc>
        <w:tc>
          <w:tcPr>
            <w:tcW w:w="990" w:type="dxa"/>
            <w:shd w:val="clear" w:color="auto" w:fill="auto"/>
            <w:noWrap/>
            <w:hideMark/>
          </w:tcPr>
          <w:p w14:paraId="470C7412"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20 466 </w:t>
            </w:r>
          </w:p>
        </w:tc>
        <w:tc>
          <w:tcPr>
            <w:tcW w:w="1056" w:type="dxa"/>
            <w:shd w:val="clear" w:color="auto" w:fill="auto"/>
            <w:noWrap/>
            <w:hideMark/>
          </w:tcPr>
          <w:p w14:paraId="43CDA750"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3 04</w:t>
            </w:r>
            <w:r w:rsidR="000C4E32">
              <w:rPr>
                <w:rFonts w:ascii="Times New Roman" w:hAnsi="Times New Roman"/>
                <w:sz w:val="20"/>
                <w:szCs w:val="20"/>
              </w:rPr>
              <w:t>1</w:t>
            </w:r>
            <w:r w:rsidRPr="00941E30">
              <w:rPr>
                <w:rFonts w:ascii="Times New Roman" w:hAnsi="Times New Roman"/>
                <w:sz w:val="20"/>
                <w:szCs w:val="20"/>
              </w:rPr>
              <w:t xml:space="preserve"> </w:t>
            </w:r>
          </w:p>
        </w:tc>
        <w:tc>
          <w:tcPr>
            <w:tcW w:w="900" w:type="dxa"/>
            <w:shd w:val="clear" w:color="auto" w:fill="auto"/>
            <w:noWrap/>
            <w:hideMark/>
          </w:tcPr>
          <w:p w14:paraId="43987A8F"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2 112 </w:t>
            </w:r>
          </w:p>
        </w:tc>
        <w:tc>
          <w:tcPr>
            <w:tcW w:w="1014" w:type="dxa"/>
            <w:shd w:val="clear" w:color="auto" w:fill="auto"/>
            <w:noWrap/>
            <w:hideMark/>
          </w:tcPr>
          <w:p w14:paraId="4BA29943" w14:textId="77777777" w:rsidR="00F94EBE" w:rsidRPr="00941E30" w:rsidRDefault="00F94EBE" w:rsidP="00941E30">
            <w:pPr>
              <w:rPr>
                <w:rFonts w:ascii="Times New Roman" w:hAnsi="Times New Roman"/>
                <w:sz w:val="20"/>
                <w:szCs w:val="20"/>
              </w:rPr>
            </w:pPr>
            <w:r w:rsidRPr="00941E30">
              <w:rPr>
                <w:rFonts w:ascii="Times New Roman" w:hAnsi="Times New Roman"/>
                <w:sz w:val="20"/>
                <w:szCs w:val="20"/>
              </w:rPr>
              <w:t>20</w:t>
            </w:r>
            <w:r w:rsidR="000C4E32">
              <w:rPr>
                <w:rFonts w:ascii="Times New Roman" w:hAnsi="Times New Roman"/>
                <w:sz w:val="20"/>
                <w:szCs w:val="20"/>
              </w:rPr>
              <w:t>.</w:t>
            </w:r>
            <w:r w:rsidRPr="00941E30">
              <w:rPr>
                <w:rFonts w:ascii="Times New Roman" w:hAnsi="Times New Roman"/>
                <w:sz w:val="20"/>
                <w:szCs w:val="20"/>
              </w:rPr>
              <w:t xml:space="preserve">59% </w:t>
            </w:r>
          </w:p>
        </w:tc>
        <w:tc>
          <w:tcPr>
            <w:tcW w:w="900" w:type="dxa"/>
            <w:shd w:val="clear" w:color="auto" w:fill="auto"/>
            <w:noWrap/>
            <w:hideMark/>
          </w:tcPr>
          <w:p w14:paraId="37DE8CF6"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14</w:t>
            </w:r>
            <w:r w:rsidR="000C4E32">
              <w:rPr>
                <w:rFonts w:ascii="Times New Roman" w:hAnsi="Times New Roman"/>
                <w:sz w:val="20"/>
                <w:szCs w:val="20"/>
              </w:rPr>
              <w:t>.</w:t>
            </w:r>
            <w:r w:rsidRPr="00941E30">
              <w:rPr>
                <w:rFonts w:ascii="Times New Roman" w:hAnsi="Times New Roman"/>
                <w:sz w:val="20"/>
                <w:szCs w:val="20"/>
              </w:rPr>
              <w:t>3%</w:t>
            </w:r>
          </w:p>
        </w:tc>
      </w:tr>
      <w:tr w:rsidR="005D04BA" w:rsidRPr="009943B5" w14:paraId="5A3AB95E" w14:textId="77777777" w:rsidTr="00941E30">
        <w:trPr>
          <w:trHeight w:val="410"/>
        </w:trPr>
        <w:tc>
          <w:tcPr>
            <w:tcW w:w="1986" w:type="dxa"/>
            <w:shd w:val="clear" w:color="auto" w:fill="auto"/>
            <w:hideMark/>
          </w:tcPr>
          <w:p w14:paraId="7AE7DB1F" w14:textId="77777777" w:rsidR="00F94EBE" w:rsidRPr="00941E30" w:rsidRDefault="00F94EBE" w:rsidP="00085BAF">
            <w:pPr>
              <w:rPr>
                <w:rFonts w:ascii="Times New Roman" w:hAnsi="Times New Roman"/>
                <w:sz w:val="20"/>
                <w:szCs w:val="20"/>
              </w:rPr>
            </w:pPr>
            <w:r w:rsidRPr="00941E30">
              <w:rPr>
                <w:rFonts w:ascii="Times New Roman" w:hAnsi="Times New Roman"/>
                <w:sz w:val="20"/>
                <w:szCs w:val="20"/>
              </w:rPr>
              <w:t>Health Standards Design, Analysis &amp; Support</w:t>
            </w:r>
          </w:p>
        </w:tc>
        <w:tc>
          <w:tcPr>
            <w:tcW w:w="960" w:type="dxa"/>
            <w:shd w:val="clear" w:color="auto" w:fill="auto"/>
            <w:noWrap/>
            <w:hideMark/>
          </w:tcPr>
          <w:p w14:paraId="2BCE3F1B"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11 716 </w:t>
            </w:r>
          </w:p>
        </w:tc>
        <w:tc>
          <w:tcPr>
            <w:tcW w:w="1014" w:type="dxa"/>
            <w:shd w:val="clear" w:color="auto" w:fill="auto"/>
            <w:noWrap/>
            <w:hideMark/>
          </w:tcPr>
          <w:p w14:paraId="2257B89D"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12 </w:t>
            </w:r>
            <w:r w:rsidR="005D04BA" w:rsidRPr="00941E30">
              <w:rPr>
                <w:rFonts w:ascii="Times New Roman" w:hAnsi="Times New Roman"/>
                <w:sz w:val="20"/>
                <w:szCs w:val="20"/>
              </w:rPr>
              <w:t>16</w:t>
            </w:r>
            <w:r w:rsidR="005D04BA">
              <w:rPr>
                <w:rFonts w:ascii="Times New Roman" w:hAnsi="Times New Roman"/>
                <w:sz w:val="20"/>
                <w:szCs w:val="20"/>
              </w:rPr>
              <w:t>9</w:t>
            </w:r>
            <w:r w:rsidR="005D04BA" w:rsidRPr="00941E30">
              <w:rPr>
                <w:rFonts w:ascii="Times New Roman" w:hAnsi="Times New Roman"/>
                <w:sz w:val="20"/>
                <w:szCs w:val="20"/>
              </w:rPr>
              <w:t> </w:t>
            </w:r>
          </w:p>
        </w:tc>
        <w:tc>
          <w:tcPr>
            <w:tcW w:w="990" w:type="dxa"/>
            <w:shd w:val="clear" w:color="auto" w:fill="auto"/>
            <w:noWrap/>
            <w:hideMark/>
          </w:tcPr>
          <w:p w14:paraId="1A5235A8"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12 497 </w:t>
            </w:r>
          </w:p>
        </w:tc>
        <w:tc>
          <w:tcPr>
            <w:tcW w:w="990" w:type="dxa"/>
            <w:shd w:val="clear" w:color="auto" w:fill="auto"/>
            <w:noWrap/>
            <w:hideMark/>
          </w:tcPr>
          <w:p w14:paraId="5EE1209B"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13 </w:t>
            </w:r>
            <w:r w:rsidR="005D04BA" w:rsidRPr="00941E30">
              <w:rPr>
                <w:rFonts w:ascii="Times New Roman" w:hAnsi="Times New Roman"/>
                <w:sz w:val="20"/>
                <w:szCs w:val="20"/>
              </w:rPr>
              <w:t>37</w:t>
            </w:r>
            <w:r w:rsidR="005D04BA">
              <w:rPr>
                <w:rFonts w:ascii="Times New Roman" w:hAnsi="Times New Roman"/>
                <w:sz w:val="20"/>
                <w:szCs w:val="20"/>
              </w:rPr>
              <w:t>3</w:t>
            </w:r>
            <w:r w:rsidR="005D04BA" w:rsidRPr="00941E30">
              <w:rPr>
                <w:rFonts w:ascii="Times New Roman" w:hAnsi="Times New Roman"/>
                <w:sz w:val="20"/>
                <w:szCs w:val="20"/>
              </w:rPr>
              <w:t xml:space="preserve"> </w:t>
            </w:r>
          </w:p>
        </w:tc>
        <w:tc>
          <w:tcPr>
            <w:tcW w:w="1056" w:type="dxa"/>
            <w:shd w:val="clear" w:color="auto" w:fill="auto"/>
            <w:noWrap/>
            <w:hideMark/>
          </w:tcPr>
          <w:p w14:paraId="7DACCB72"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xml:space="preserve"> 470 119</w:t>
            </w:r>
          </w:p>
        </w:tc>
        <w:tc>
          <w:tcPr>
            <w:tcW w:w="900" w:type="dxa"/>
            <w:shd w:val="clear" w:color="auto" w:fill="auto"/>
            <w:noWrap/>
            <w:hideMark/>
          </w:tcPr>
          <w:p w14:paraId="6905DF41"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- 165 201</w:t>
            </w:r>
          </w:p>
        </w:tc>
        <w:tc>
          <w:tcPr>
            <w:tcW w:w="1014" w:type="dxa"/>
            <w:shd w:val="clear" w:color="auto" w:fill="auto"/>
            <w:noWrap/>
            <w:hideMark/>
          </w:tcPr>
          <w:p w14:paraId="2152B0C8"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4</w:t>
            </w:r>
            <w:r w:rsidR="000C4E32">
              <w:rPr>
                <w:rFonts w:ascii="Times New Roman" w:hAnsi="Times New Roman"/>
                <w:sz w:val="20"/>
                <w:szCs w:val="20"/>
              </w:rPr>
              <w:t>.</w:t>
            </w:r>
            <w:r w:rsidRPr="00941E30">
              <w:rPr>
                <w:rFonts w:ascii="Times New Roman" w:hAnsi="Times New Roman"/>
                <w:sz w:val="20"/>
                <w:szCs w:val="20"/>
              </w:rPr>
              <w:t>01%</w:t>
            </w:r>
          </w:p>
        </w:tc>
        <w:tc>
          <w:tcPr>
            <w:tcW w:w="900" w:type="dxa"/>
            <w:shd w:val="clear" w:color="auto" w:fill="auto"/>
            <w:noWrap/>
            <w:hideMark/>
          </w:tcPr>
          <w:p w14:paraId="7C54BF45" w14:textId="77777777" w:rsidR="00F94EBE" w:rsidRPr="00941E30" w:rsidRDefault="00F94EBE">
            <w:pPr>
              <w:jc w:val="right"/>
              <w:rPr>
                <w:rFonts w:ascii="Times New Roman" w:hAnsi="Times New Roman"/>
                <w:sz w:val="20"/>
                <w:szCs w:val="20"/>
              </w:rPr>
            </w:pPr>
            <w:r w:rsidRPr="00941E30">
              <w:rPr>
                <w:rFonts w:ascii="Times New Roman" w:hAnsi="Times New Roman"/>
                <w:sz w:val="20"/>
                <w:szCs w:val="20"/>
              </w:rPr>
              <w:t>-1</w:t>
            </w:r>
            <w:r w:rsidR="000C4E32">
              <w:rPr>
                <w:rFonts w:ascii="Times New Roman" w:hAnsi="Times New Roman"/>
                <w:sz w:val="20"/>
                <w:szCs w:val="20"/>
              </w:rPr>
              <w:t>.</w:t>
            </w:r>
            <w:r w:rsidRPr="00941E30">
              <w:rPr>
                <w:rFonts w:ascii="Times New Roman" w:hAnsi="Times New Roman"/>
                <w:sz w:val="20"/>
                <w:szCs w:val="20"/>
              </w:rPr>
              <w:t>41%</w:t>
            </w:r>
          </w:p>
        </w:tc>
      </w:tr>
      <w:tr w:rsidR="005D04BA" w:rsidRPr="009943B5" w14:paraId="4B78FECA" w14:textId="77777777" w:rsidTr="00941E30">
        <w:trPr>
          <w:trHeight w:val="260"/>
        </w:trPr>
        <w:tc>
          <w:tcPr>
            <w:tcW w:w="1986" w:type="dxa"/>
            <w:shd w:val="clear" w:color="auto" w:fill="auto"/>
            <w:noWrap/>
            <w:hideMark/>
          </w:tcPr>
          <w:p w14:paraId="19E63C5E" w14:textId="77777777" w:rsidR="00F94EBE" w:rsidRPr="00941E30" w:rsidRDefault="00F94EBE" w:rsidP="00085BAF">
            <w:pPr>
              <w:rPr>
                <w:rFonts w:ascii="Times New Roman" w:hAnsi="Times New Roman"/>
                <w:b/>
                <w:bCs/>
                <w:sz w:val="20"/>
                <w:szCs w:val="20"/>
              </w:rPr>
            </w:pPr>
            <w:r w:rsidRPr="00941E30">
              <w:rPr>
                <w:rFonts w:ascii="Times New Roman" w:hAnsi="Times New Roman"/>
                <w:b/>
                <w:bCs/>
                <w:sz w:val="20"/>
                <w:szCs w:val="20"/>
              </w:rPr>
              <w:t>TOTAL</w:t>
            </w:r>
          </w:p>
        </w:tc>
        <w:tc>
          <w:tcPr>
            <w:tcW w:w="960" w:type="dxa"/>
            <w:shd w:val="clear" w:color="auto" w:fill="auto"/>
            <w:noWrap/>
            <w:hideMark/>
          </w:tcPr>
          <w:p w14:paraId="30A6A73C" w14:textId="77777777" w:rsidR="00F94EBE" w:rsidRPr="00941E30" w:rsidRDefault="00F94EBE">
            <w:pPr>
              <w:jc w:val="right"/>
              <w:rPr>
                <w:rFonts w:ascii="Times New Roman" w:hAnsi="Times New Roman"/>
                <w:b/>
                <w:bCs/>
                <w:sz w:val="20"/>
                <w:szCs w:val="20"/>
              </w:rPr>
            </w:pPr>
            <w:r w:rsidRPr="00941E30">
              <w:rPr>
                <w:rFonts w:ascii="Times New Roman" w:hAnsi="Times New Roman"/>
                <w:b/>
                <w:bCs/>
                <w:sz w:val="20"/>
                <w:szCs w:val="20"/>
              </w:rPr>
              <w:t>125 </w:t>
            </w:r>
            <w:r w:rsidR="000C4E32" w:rsidRPr="00941E30">
              <w:rPr>
                <w:rFonts w:ascii="Times New Roman" w:hAnsi="Times New Roman"/>
                <w:b/>
                <w:bCs/>
                <w:sz w:val="20"/>
                <w:szCs w:val="20"/>
              </w:rPr>
              <w:t>71</w:t>
            </w:r>
            <w:r w:rsidR="000C4E32">
              <w:rPr>
                <w:rFonts w:ascii="Times New Roman" w:hAnsi="Times New Roman"/>
                <w:b/>
                <w:bCs/>
                <w:sz w:val="20"/>
                <w:szCs w:val="20"/>
              </w:rPr>
              <w:t>1</w:t>
            </w:r>
          </w:p>
        </w:tc>
        <w:tc>
          <w:tcPr>
            <w:tcW w:w="1014" w:type="dxa"/>
            <w:shd w:val="clear" w:color="auto" w:fill="auto"/>
            <w:noWrap/>
            <w:hideMark/>
          </w:tcPr>
          <w:p w14:paraId="046A6E69" w14:textId="77777777" w:rsidR="00F94EBE" w:rsidRPr="00941E30" w:rsidRDefault="00F94EBE">
            <w:pPr>
              <w:jc w:val="center"/>
              <w:rPr>
                <w:rFonts w:ascii="Times New Roman" w:hAnsi="Times New Roman"/>
                <w:b/>
                <w:bCs/>
                <w:sz w:val="20"/>
                <w:szCs w:val="20"/>
              </w:rPr>
            </w:pPr>
            <w:r w:rsidRPr="00941E30">
              <w:rPr>
                <w:rFonts w:ascii="Times New Roman" w:hAnsi="Times New Roman"/>
                <w:b/>
                <w:bCs/>
                <w:sz w:val="20"/>
                <w:szCs w:val="20"/>
              </w:rPr>
              <w:t>129 678 </w:t>
            </w:r>
          </w:p>
        </w:tc>
        <w:tc>
          <w:tcPr>
            <w:tcW w:w="990" w:type="dxa"/>
            <w:shd w:val="clear" w:color="auto" w:fill="auto"/>
            <w:noWrap/>
            <w:hideMark/>
          </w:tcPr>
          <w:p w14:paraId="021A5BCF" w14:textId="77777777" w:rsidR="00F94EBE" w:rsidRPr="00941E30" w:rsidRDefault="00F94EBE">
            <w:pPr>
              <w:jc w:val="right"/>
              <w:rPr>
                <w:rFonts w:ascii="Times New Roman" w:hAnsi="Times New Roman"/>
                <w:b/>
                <w:sz w:val="20"/>
                <w:szCs w:val="20"/>
              </w:rPr>
            </w:pPr>
            <w:r w:rsidRPr="00941E30">
              <w:rPr>
                <w:rFonts w:ascii="Times New Roman" w:hAnsi="Times New Roman"/>
                <w:b/>
                <w:sz w:val="20"/>
                <w:szCs w:val="20"/>
              </w:rPr>
              <w:t>136 940</w:t>
            </w:r>
          </w:p>
        </w:tc>
        <w:tc>
          <w:tcPr>
            <w:tcW w:w="990" w:type="dxa"/>
            <w:shd w:val="clear" w:color="auto" w:fill="auto"/>
            <w:noWrap/>
            <w:hideMark/>
          </w:tcPr>
          <w:p w14:paraId="4840C760" w14:textId="77777777" w:rsidR="00F94EBE" w:rsidRPr="00941E30" w:rsidRDefault="00F94EBE">
            <w:pPr>
              <w:jc w:val="right"/>
              <w:rPr>
                <w:rFonts w:ascii="Times New Roman" w:hAnsi="Times New Roman"/>
                <w:b/>
                <w:sz w:val="20"/>
                <w:szCs w:val="20"/>
              </w:rPr>
            </w:pPr>
            <w:r w:rsidRPr="00941E30">
              <w:rPr>
                <w:rFonts w:ascii="Times New Roman" w:hAnsi="Times New Roman"/>
                <w:b/>
                <w:sz w:val="20"/>
                <w:szCs w:val="20"/>
              </w:rPr>
              <w:t>144 472 </w:t>
            </w:r>
          </w:p>
        </w:tc>
        <w:tc>
          <w:tcPr>
            <w:tcW w:w="1056" w:type="dxa"/>
            <w:shd w:val="clear" w:color="auto" w:fill="auto"/>
            <w:noWrap/>
            <w:hideMark/>
          </w:tcPr>
          <w:p w14:paraId="782D8A09" w14:textId="77777777" w:rsidR="00F94EBE" w:rsidRPr="00941E30" w:rsidRDefault="00F94EBE">
            <w:pPr>
              <w:jc w:val="right"/>
              <w:rPr>
                <w:rFonts w:ascii="Times New Roman" w:hAnsi="Times New Roman"/>
                <w:b/>
                <w:bCs/>
                <w:sz w:val="20"/>
                <w:szCs w:val="20"/>
              </w:rPr>
            </w:pPr>
            <w:r w:rsidRPr="00941E30">
              <w:rPr>
                <w:rFonts w:ascii="Times New Roman" w:hAnsi="Times New Roman"/>
                <w:b/>
                <w:bCs/>
                <w:sz w:val="20"/>
                <w:szCs w:val="20"/>
              </w:rPr>
              <w:t xml:space="preserve">3 967 </w:t>
            </w:r>
          </w:p>
        </w:tc>
        <w:tc>
          <w:tcPr>
            <w:tcW w:w="900" w:type="dxa"/>
            <w:shd w:val="clear" w:color="auto" w:fill="auto"/>
            <w:noWrap/>
            <w:hideMark/>
          </w:tcPr>
          <w:p w14:paraId="06157C26" w14:textId="77777777" w:rsidR="00F94EBE" w:rsidRPr="00941E30" w:rsidRDefault="00F94EBE">
            <w:pPr>
              <w:jc w:val="right"/>
              <w:rPr>
                <w:rFonts w:ascii="Times New Roman" w:hAnsi="Times New Roman"/>
                <w:b/>
                <w:bCs/>
                <w:sz w:val="20"/>
                <w:szCs w:val="20"/>
              </w:rPr>
            </w:pPr>
            <w:r w:rsidRPr="00941E30">
              <w:rPr>
                <w:rFonts w:ascii="Times New Roman" w:hAnsi="Times New Roman"/>
                <w:b/>
                <w:bCs/>
                <w:sz w:val="20"/>
                <w:szCs w:val="20"/>
              </w:rPr>
              <w:t xml:space="preserve">-2 793 </w:t>
            </w:r>
          </w:p>
        </w:tc>
        <w:tc>
          <w:tcPr>
            <w:tcW w:w="1014" w:type="dxa"/>
            <w:shd w:val="clear" w:color="auto" w:fill="auto"/>
            <w:noWrap/>
            <w:hideMark/>
          </w:tcPr>
          <w:p w14:paraId="01488178" w14:textId="77777777" w:rsidR="00F94EBE" w:rsidRPr="00941E30" w:rsidRDefault="00F94EBE">
            <w:pPr>
              <w:jc w:val="right"/>
              <w:rPr>
                <w:rFonts w:ascii="Times New Roman" w:hAnsi="Times New Roman"/>
                <w:b/>
                <w:bCs/>
                <w:sz w:val="20"/>
                <w:szCs w:val="20"/>
              </w:rPr>
            </w:pPr>
            <w:r w:rsidRPr="00941E30">
              <w:rPr>
                <w:rFonts w:ascii="Times New Roman" w:hAnsi="Times New Roman"/>
                <w:b/>
                <w:bCs/>
                <w:sz w:val="20"/>
                <w:szCs w:val="20"/>
              </w:rPr>
              <w:t>3</w:t>
            </w:r>
            <w:r w:rsidR="000C4E32">
              <w:rPr>
                <w:rFonts w:ascii="Times New Roman" w:hAnsi="Times New Roman"/>
                <w:b/>
                <w:bCs/>
                <w:sz w:val="20"/>
                <w:szCs w:val="20"/>
              </w:rPr>
              <w:t>.</w:t>
            </w:r>
            <w:r w:rsidRPr="00941E30">
              <w:rPr>
                <w:rFonts w:ascii="Times New Roman" w:hAnsi="Times New Roman"/>
                <w:b/>
                <w:bCs/>
                <w:sz w:val="20"/>
                <w:szCs w:val="20"/>
              </w:rPr>
              <w:t>16%</w:t>
            </w:r>
          </w:p>
        </w:tc>
        <w:tc>
          <w:tcPr>
            <w:tcW w:w="900" w:type="dxa"/>
            <w:shd w:val="clear" w:color="auto" w:fill="auto"/>
            <w:noWrap/>
            <w:hideMark/>
          </w:tcPr>
          <w:p w14:paraId="559B8CE5" w14:textId="77777777" w:rsidR="00F94EBE" w:rsidRPr="00941E30" w:rsidRDefault="00F94EBE">
            <w:pPr>
              <w:jc w:val="right"/>
              <w:rPr>
                <w:rFonts w:ascii="Times New Roman" w:hAnsi="Times New Roman"/>
                <w:b/>
                <w:bCs/>
                <w:sz w:val="20"/>
                <w:szCs w:val="20"/>
              </w:rPr>
            </w:pPr>
            <w:r w:rsidRPr="00941E30">
              <w:rPr>
                <w:rFonts w:ascii="Times New Roman" w:hAnsi="Times New Roman"/>
                <w:b/>
                <w:bCs/>
                <w:sz w:val="20"/>
                <w:szCs w:val="20"/>
              </w:rPr>
              <w:t>-2</w:t>
            </w:r>
            <w:r w:rsidR="000C4E32">
              <w:rPr>
                <w:rFonts w:ascii="Times New Roman" w:hAnsi="Times New Roman"/>
                <w:b/>
                <w:bCs/>
                <w:sz w:val="20"/>
                <w:szCs w:val="20"/>
              </w:rPr>
              <w:t>.</w:t>
            </w:r>
            <w:r w:rsidRPr="00941E30">
              <w:rPr>
                <w:rFonts w:ascii="Times New Roman" w:hAnsi="Times New Roman"/>
                <w:b/>
                <w:bCs/>
                <w:sz w:val="20"/>
                <w:szCs w:val="20"/>
              </w:rPr>
              <w:t>22%</w:t>
            </w:r>
          </w:p>
        </w:tc>
      </w:tr>
    </w:tbl>
    <w:p w14:paraId="7BD36944" w14:textId="77777777" w:rsidR="00F94EBE" w:rsidRPr="00085BAF" w:rsidRDefault="00F94EBE" w:rsidP="00085BAF">
      <w:pPr>
        <w:rPr>
          <w:rFonts w:ascii="Times New Roman" w:hAnsi="Times New Roman"/>
          <w:b/>
          <w:sz w:val="24"/>
          <w:szCs w:val="24"/>
        </w:rPr>
      </w:pPr>
    </w:p>
    <w:p w14:paraId="787A4664" w14:textId="77777777" w:rsidR="00F94EBE" w:rsidRPr="009943B5" w:rsidRDefault="00F94EBE" w:rsidP="00941E30">
      <w:pPr>
        <w:autoSpaceDE w:val="0"/>
        <w:autoSpaceDN w:val="0"/>
        <w:adjustRightInd w:val="0"/>
        <w:spacing w:line="360" w:lineRule="auto"/>
        <w:contextualSpacing/>
        <w:jc w:val="both"/>
        <w:rPr>
          <w:rFonts w:ascii="Times New Roman" w:hAnsi="Times New Roman"/>
          <w:sz w:val="24"/>
          <w:szCs w:val="24"/>
        </w:rPr>
      </w:pPr>
      <w:r w:rsidRPr="009943B5">
        <w:rPr>
          <w:rFonts w:ascii="Times New Roman" w:hAnsi="Times New Roman"/>
          <w:sz w:val="24"/>
          <w:szCs w:val="24"/>
        </w:rPr>
        <w:t xml:space="preserve">For 2018/19 fiscal year, the proposed budget allocation is expected to be R129.7 million with 61% earmarked for core business activities. By 2020/21, it is likely to reach R144.5 million. </w:t>
      </w:r>
    </w:p>
    <w:p w14:paraId="05EB71BA" w14:textId="77777777" w:rsidR="00F94EBE" w:rsidRPr="009943B5" w:rsidRDefault="00F94EBE">
      <w:pPr>
        <w:autoSpaceDE w:val="0"/>
        <w:autoSpaceDN w:val="0"/>
        <w:adjustRightInd w:val="0"/>
        <w:contextualSpacing/>
        <w:rPr>
          <w:rFonts w:ascii="Times New Roman" w:hAnsi="Times New Roman"/>
          <w:sz w:val="24"/>
          <w:szCs w:val="24"/>
        </w:rPr>
      </w:pPr>
    </w:p>
    <w:p w14:paraId="3476A8BD" w14:textId="77777777" w:rsidR="00F94EBE" w:rsidRPr="009943B5" w:rsidRDefault="00F94EBE" w:rsidP="00941E30">
      <w:pPr>
        <w:autoSpaceDE w:val="0"/>
        <w:autoSpaceDN w:val="0"/>
        <w:adjustRightInd w:val="0"/>
        <w:spacing w:line="360" w:lineRule="auto"/>
        <w:contextualSpacing/>
        <w:jc w:val="both"/>
        <w:rPr>
          <w:rFonts w:ascii="Times New Roman" w:hAnsi="Times New Roman"/>
          <w:sz w:val="24"/>
          <w:szCs w:val="24"/>
        </w:rPr>
      </w:pPr>
      <w:r w:rsidRPr="009943B5">
        <w:rPr>
          <w:rFonts w:ascii="Times New Roman" w:hAnsi="Times New Roman"/>
          <w:sz w:val="24"/>
          <w:szCs w:val="24"/>
        </w:rPr>
        <w:t xml:space="preserve">Despite the 3.16 </w:t>
      </w:r>
      <w:r w:rsidR="00104807">
        <w:rPr>
          <w:rFonts w:ascii="Times New Roman" w:hAnsi="Times New Roman"/>
          <w:sz w:val="24"/>
          <w:szCs w:val="24"/>
        </w:rPr>
        <w:t>%</w:t>
      </w:r>
      <w:r w:rsidRPr="009943B5">
        <w:rPr>
          <w:rFonts w:ascii="Times New Roman" w:hAnsi="Times New Roman"/>
          <w:sz w:val="24"/>
          <w:szCs w:val="24"/>
        </w:rPr>
        <w:t xml:space="preserve"> nominal increase from the previous year, the OHSC allocation declines with -2.2 </w:t>
      </w:r>
      <w:r w:rsidR="00104807">
        <w:rPr>
          <w:rFonts w:ascii="Times New Roman" w:hAnsi="Times New Roman"/>
          <w:sz w:val="24"/>
          <w:szCs w:val="24"/>
        </w:rPr>
        <w:t>%</w:t>
      </w:r>
      <w:r w:rsidRPr="009943B5">
        <w:rPr>
          <w:rFonts w:ascii="Times New Roman" w:hAnsi="Times New Roman"/>
          <w:sz w:val="24"/>
          <w:szCs w:val="24"/>
        </w:rPr>
        <w:t xml:space="preserve"> when taking into account the effects of inflation (real terms). However, the budget is inadequate to stretch the capacity of the OHSC; hence, the total staff complement is projected to remain at 121 over the MTEF period, which is not ideal.</w:t>
      </w:r>
    </w:p>
    <w:p w14:paraId="47342F08" w14:textId="77777777" w:rsidR="00F94EBE" w:rsidRPr="009943B5" w:rsidRDefault="00F94EBE">
      <w:pPr>
        <w:autoSpaceDE w:val="0"/>
        <w:autoSpaceDN w:val="0"/>
        <w:adjustRightInd w:val="0"/>
        <w:contextualSpacing/>
        <w:jc w:val="both"/>
        <w:rPr>
          <w:rFonts w:ascii="Times New Roman" w:hAnsi="Times New Roman"/>
          <w:sz w:val="24"/>
          <w:szCs w:val="24"/>
        </w:rPr>
      </w:pPr>
    </w:p>
    <w:p w14:paraId="37FD0D9D" w14:textId="77777777" w:rsidR="00F94EBE" w:rsidRPr="00085BAF" w:rsidRDefault="00F94EBE" w:rsidP="00941E30">
      <w:pPr>
        <w:autoSpaceDE w:val="0"/>
        <w:autoSpaceDN w:val="0"/>
        <w:adjustRightInd w:val="0"/>
        <w:spacing w:line="360" w:lineRule="auto"/>
        <w:contextualSpacing/>
        <w:jc w:val="both"/>
        <w:rPr>
          <w:rFonts w:ascii="Times New Roman" w:hAnsi="Times New Roman"/>
          <w:sz w:val="24"/>
          <w:szCs w:val="24"/>
        </w:rPr>
      </w:pPr>
      <w:r w:rsidRPr="009943B5">
        <w:rPr>
          <w:rFonts w:ascii="Times New Roman" w:hAnsi="Times New Roman"/>
          <w:sz w:val="24"/>
          <w:szCs w:val="24"/>
        </w:rPr>
        <w:t xml:space="preserve">As shown in table </w:t>
      </w:r>
      <w:r w:rsidR="00A709B2">
        <w:rPr>
          <w:rFonts w:ascii="Times New Roman" w:hAnsi="Times New Roman"/>
          <w:sz w:val="24"/>
          <w:szCs w:val="24"/>
        </w:rPr>
        <w:t>1</w:t>
      </w:r>
      <w:r w:rsidRPr="00085BAF">
        <w:rPr>
          <w:rFonts w:ascii="Times New Roman" w:hAnsi="Times New Roman"/>
          <w:sz w:val="24"/>
          <w:szCs w:val="24"/>
        </w:rPr>
        <w:t xml:space="preserve">3, the allocation is sub-divided according to the four programme. The </w:t>
      </w:r>
      <w:r w:rsidRPr="00941E30">
        <w:rPr>
          <w:rFonts w:ascii="Times New Roman" w:hAnsi="Times New Roman"/>
          <w:sz w:val="24"/>
          <w:szCs w:val="24"/>
        </w:rPr>
        <w:t xml:space="preserve">Administration </w:t>
      </w:r>
      <w:r w:rsidRPr="00085BAF">
        <w:rPr>
          <w:rFonts w:ascii="Times New Roman" w:hAnsi="Times New Roman"/>
          <w:sz w:val="24"/>
          <w:szCs w:val="24"/>
        </w:rPr>
        <w:t xml:space="preserve">(38.9 with </w:t>
      </w:r>
      <w:r w:rsidR="00104807">
        <w:rPr>
          <w:rFonts w:ascii="Times New Roman" w:hAnsi="Times New Roman"/>
          <w:sz w:val="24"/>
          <w:szCs w:val="24"/>
        </w:rPr>
        <w:t>%</w:t>
      </w:r>
      <w:r w:rsidRPr="00085BAF">
        <w:rPr>
          <w:rFonts w:ascii="Times New Roman" w:hAnsi="Times New Roman"/>
          <w:sz w:val="24"/>
          <w:szCs w:val="24"/>
        </w:rPr>
        <w:t xml:space="preserve"> of the overall budget) </w:t>
      </w:r>
      <w:r w:rsidRPr="00941E30">
        <w:rPr>
          <w:rFonts w:ascii="Times New Roman" w:hAnsi="Times New Roman"/>
          <w:sz w:val="24"/>
          <w:szCs w:val="24"/>
        </w:rPr>
        <w:t>Compliance Inspection, Certification &amp; Enforcement</w:t>
      </w:r>
      <w:r w:rsidRPr="00085BAF">
        <w:rPr>
          <w:rFonts w:ascii="Times New Roman" w:hAnsi="Times New Roman"/>
          <w:sz w:val="24"/>
          <w:szCs w:val="24"/>
        </w:rPr>
        <w:t xml:space="preserve"> (38.0 </w:t>
      </w:r>
      <w:r w:rsidR="00104807">
        <w:rPr>
          <w:rFonts w:ascii="Times New Roman" w:hAnsi="Times New Roman"/>
          <w:sz w:val="24"/>
          <w:szCs w:val="24"/>
        </w:rPr>
        <w:t>%</w:t>
      </w:r>
      <w:r w:rsidRPr="00085BAF">
        <w:rPr>
          <w:rFonts w:ascii="Times New Roman" w:hAnsi="Times New Roman"/>
          <w:sz w:val="24"/>
          <w:szCs w:val="24"/>
        </w:rPr>
        <w:t xml:space="preserve"> of the overall budget) programmes dominate expenditure.  </w:t>
      </w:r>
    </w:p>
    <w:p w14:paraId="0200135C" w14:textId="77777777" w:rsidR="00F94EBE" w:rsidRPr="009943B5" w:rsidRDefault="00F94EBE">
      <w:pPr>
        <w:autoSpaceDE w:val="0"/>
        <w:autoSpaceDN w:val="0"/>
        <w:adjustRightInd w:val="0"/>
        <w:contextualSpacing/>
        <w:jc w:val="both"/>
        <w:rPr>
          <w:rFonts w:ascii="Times New Roman" w:hAnsi="Times New Roman"/>
          <w:sz w:val="24"/>
          <w:szCs w:val="24"/>
        </w:rPr>
      </w:pPr>
    </w:p>
    <w:p w14:paraId="57F3634C" w14:textId="77777777" w:rsidR="00F94EBE" w:rsidRPr="00085BAF" w:rsidRDefault="00F94EBE" w:rsidP="00941E30">
      <w:pPr>
        <w:autoSpaceDE w:val="0"/>
        <w:autoSpaceDN w:val="0"/>
        <w:adjustRightInd w:val="0"/>
        <w:spacing w:line="360" w:lineRule="auto"/>
        <w:contextualSpacing/>
        <w:jc w:val="both"/>
        <w:rPr>
          <w:rFonts w:ascii="Times New Roman" w:hAnsi="Times New Roman"/>
          <w:sz w:val="24"/>
          <w:szCs w:val="24"/>
        </w:rPr>
      </w:pPr>
      <w:r w:rsidRPr="009943B5">
        <w:rPr>
          <w:rFonts w:ascii="Times New Roman" w:hAnsi="Times New Roman"/>
          <w:sz w:val="24"/>
          <w:szCs w:val="24"/>
        </w:rPr>
        <w:t xml:space="preserve">Strongest growth is recorded for the </w:t>
      </w:r>
      <w:r w:rsidRPr="00941E30">
        <w:rPr>
          <w:rFonts w:ascii="Times New Roman" w:hAnsi="Times New Roman"/>
          <w:sz w:val="24"/>
          <w:szCs w:val="24"/>
        </w:rPr>
        <w:t>Complaints Management &amp; Ombud</w:t>
      </w:r>
      <w:r w:rsidRPr="00085BAF">
        <w:rPr>
          <w:rFonts w:ascii="Times New Roman" w:hAnsi="Times New Roman"/>
          <w:sz w:val="24"/>
          <w:szCs w:val="24"/>
        </w:rPr>
        <w:t xml:space="preserve"> programme, at 14.3 </w:t>
      </w:r>
      <w:r w:rsidR="00104807">
        <w:rPr>
          <w:rFonts w:ascii="Times New Roman" w:hAnsi="Times New Roman"/>
          <w:sz w:val="24"/>
          <w:szCs w:val="24"/>
        </w:rPr>
        <w:t>%</w:t>
      </w:r>
      <w:r w:rsidRPr="00085BAF">
        <w:rPr>
          <w:rFonts w:ascii="Times New Roman" w:hAnsi="Times New Roman"/>
          <w:sz w:val="24"/>
          <w:szCs w:val="24"/>
        </w:rPr>
        <w:t xml:space="preserve"> in real terms. The rest of the sub-programmes decline in real terms (inflation adjusted):</w:t>
      </w:r>
    </w:p>
    <w:p w14:paraId="2F354144" w14:textId="77777777" w:rsidR="0064345E" w:rsidRPr="009943B5" w:rsidRDefault="0064345E">
      <w:pPr>
        <w:autoSpaceDE w:val="0"/>
        <w:autoSpaceDN w:val="0"/>
        <w:adjustRightInd w:val="0"/>
        <w:contextualSpacing/>
        <w:jc w:val="both"/>
        <w:rPr>
          <w:rFonts w:ascii="Times New Roman" w:hAnsi="Times New Roman"/>
          <w:sz w:val="24"/>
          <w:szCs w:val="24"/>
        </w:rPr>
      </w:pPr>
    </w:p>
    <w:p w14:paraId="29159257" w14:textId="77777777" w:rsidR="00F94EBE" w:rsidRPr="009943B5" w:rsidRDefault="00F94EBE" w:rsidP="00941E30">
      <w:pPr>
        <w:pStyle w:val="ListParagraph"/>
        <w:numPr>
          <w:ilvl w:val="0"/>
          <w:numId w:val="50"/>
        </w:numPr>
        <w:autoSpaceDE w:val="0"/>
        <w:autoSpaceDN w:val="0"/>
        <w:adjustRightInd w:val="0"/>
        <w:spacing w:line="360" w:lineRule="auto"/>
        <w:jc w:val="both"/>
        <w:rPr>
          <w:rFonts w:ascii="Times New Roman" w:hAnsi="Times New Roman"/>
          <w:sz w:val="24"/>
          <w:szCs w:val="24"/>
        </w:rPr>
      </w:pPr>
      <w:r w:rsidRPr="009943B5">
        <w:rPr>
          <w:rFonts w:ascii="Times New Roman" w:hAnsi="Times New Roman"/>
          <w:sz w:val="24"/>
          <w:szCs w:val="24"/>
        </w:rPr>
        <w:t>Administration (-4.71</w:t>
      </w:r>
      <w:r w:rsidR="005D04BA">
        <w:rPr>
          <w:rFonts w:ascii="Times New Roman" w:hAnsi="Times New Roman"/>
          <w:sz w:val="24"/>
          <w:szCs w:val="24"/>
        </w:rPr>
        <w:t xml:space="preserve"> </w:t>
      </w:r>
      <w:r w:rsidR="00104807">
        <w:rPr>
          <w:rFonts w:ascii="Times New Roman" w:hAnsi="Times New Roman"/>
          <w:sz w:val="24"/>
          <w:szCs w:val="24"/>
        </w:rPr>
        <w:t>%</w:t>
      </w:r>
      <w:r w:rsidRPr="009943B5">
        <w:rPr>
          <w:rFonts w:ascii="Times New Roman" w:hAnsi="Times New Roman"/>
          <w:sz w:val="24"/>
          <w:szCs w:val="24"/>
        </w:rPr>
        <w:t>).</w:t>
      </w:r>
    </w:p>
    <w:p w14:paraId="3B9BD5C5" w14:textId="77777777" w:rsidR="00F94EBE" w:rsidRPr="009943B5" w:rsidRDefault="00F94EBE" w:rsidP="00941E30">
      <w:pPr>
        <w:pStyle w:val="ListParagraph"/>
        <w:numPr>
          <w:ilvl w:val="0"/>
          <w:numId w:val="50"/>
        </w:numPr>
        <w:autoSpaceDE w:val="0"/>
        <w:autoSpaceDN w:val="0"/>
        <w:adjustRightInd w:val="0"/>
        <w:spacing w:line="360" w:lineRule="auto"/>
        <w:jc w:val="both"/>
        <w:rPr>
          <w:rFonts w:ascii="Times New Roman" w:hAnsi="Times New Roman"/>
          <w:sz w:val="24"/>
          <w:szCs w:val="24"/>
        </w:rPr>
      </w:pPr>
      <w:r w:rsidRPr="009943B5">
        <w:rPr>
          <w:rFonts w:ascii="Times New Roman" w:hAnsi="Times New Roman"/>
          <w:sz w:val="24"/>
          <w:szCs w:val="24"/>
        </w:rPr>
        <w:t xml:space="preserve">Compliance Inspection, Certification &amp; Enforcement (-4.85 </w:t>
      </w:r>
      <w:r w:rsidR="00104807">
        <w:rPr>
          <w:rFonts w:ascii="Times New Roman" w:hAnsi="Times New Roman"/>
          <w:sz w:val="24"/>
          <w:szCs w:val="24"/>
        </w:rPr>
        <w:t>%</w:t>
      </w:r>
      <w:r w:rsidRPr="009943B5">
        <w:rPr>
          <w:rFonts w:ascii="Times New Roman" w:hAnsi="Times New Roman"/>
          <w:sz w:val="24"/>
          <w:szCs w:val="24"/>
        </w:rPr>
        <w:t>).</w:t>
      </w:r>
    </w:p>
    <w:p w14:paraId="6464A8F3" w14:textId="77777777" w:rsidR="00F94EBE" w:rsidRPr="009943B5" w:rsidRDefault="00F94EBE" w:rsidP="00941E30">
      <w:pPr>
        <w:pStyle w:val="ListParagraph"/>
        <w:numPr>
          <w:ilvl w:val="0"/>
          <w:numId w:val="50"/>
        </w:numPr>
        <w:autoSpaceDE w:val="0"/>
        <w:autoSpaceDN w:val="0"/>
        <w:adjustRightInd w:val="0"/>
        <w:spacing w:line="360" w:lineRule="auto"/>
        <w:jc w:val="both"/>
        <w:rPr>
          <w:rFonts w:ascii="Times New Roman" w:hAnsi="Times New Roman"/>
          <w:sz w:val="24"/>
          <w:szCs w:val="24"/>
        </w:rPr>
      </w:pPr>
      <w:r w:rsidRPr="009943B5">
        <w:rPr>
          <w:rFonts w:ascii="Times New Roman" w:hAnsi="Times New Roman"/>
          <w:sz w:val="24"/>
          <w:szCs w:val="24"/>
        </w:rPr>
        <w:t xml:space="preserve">Health Standards Design, Analysis &amp; Support (-1.41 </w:t>
      </w:r>
      <w:r w:rsidR="00104807">
        <w:rPr>
          <w:rFonts w:ascii="Times New Roman" w:hAnsi="Times New Roman"/>
          <w:sz w:val="24"/>
          <w:szCs w:val="24"/>
        </w:rPr>
        <w:t>%</w:t>
      </w:r>
      <w:r w:rsidRPr="009943B5">
        <w:rPr>
          <w:rFonts w:ascii="Times New Roman" w:hAnsi="Times New Roman"/>
          <w:sz w:val="24"/>
          <w:szCs w:val="24"/>
        </w:rPr>
        <w:t>)</w:t>
      </w:r>
    </w:p>
    <w:p w14:paraId="04B26FF0" w14:textId="77777777" w:rsidR="00F94EBE" w:rsidRDefault="00F94EBE" w:rsidP="00085BAF">
      <w:pPr>
        <w:autoSpaceDE w:val="0"/>
        <w:autoSpaceDN w:val="0"/>
        <w:adjustRightInd w:val="0"/>
        <w:contextualSpacing/>
        <w:rPr>
          <w:rFonts w:ascii="Times New Roman" w:hAnsi="Times New Roman"/>
          <w:sz w:val="24"/>
          <w:szCs w:val="24"/>
        </w:rPr>
      </w:pPr>
    </w:p>
    <w:p w14:paraId="4C7CEEC1" w14:textId="77777777" w:rsidR="00F94EBE" w:rsidRPr="009943B5" w:rsidRDefault="009943B5" w:rsidP="00941E30">
      <w:pPr>
        <w:pStyle w:val="ListParagraph"/>
        <w:numPr>
          <w:ilvl w:val="1"/>
          <w:numId w:val="90"/>
        </w:numPr>
        <w:shd w:val="clear" w:color="auto" w:fill="BFBFBF" w:themeFill="background1" w:themeFillShade="BF"/>
        <w:autoSpaceDE w:val="0"/>
        <w:autoSpaceDN w:val="0"/>
        <w:adjustRightInd w:val="0"/>
        <w:rPr>
          <w:rFonts w:ascii="Times New Roman" w:hAnsi="Times New Roman"/>
          <w:b/>
          <w:sz w:val="24"/>
          <w:szCs w:val="24"/>
        </w:rPr>
      </w:pPr>
      <w:r w:rsidRPr="00085BAF">
        <w:rPr>
          <w:rFonts w:ascii="Times New Roman" w:hAnsi="Times New Roman"/>
          <w:b/>
          <w:sz w:val="24"/>
          <w:szCs w:val="24"/>
        </w:rPr>
        <w:t xml:space="preserve">Council </w:t>
      </w:r>
      <w:r>
        <w:rPr>
          <w:rFonts w:ascii="Times New Roman" w:hAnsi="Times New Roman"/>
          <w:b/>
          <w:sz w:val="24"/>
          <w:szCs w:val="24"/>
        </w:rPr>
        <w:t>f</w:t>
      </w:r>
      <w:r w:rsidRPr="00085BAF">
        <w:rPr>
          <w:rFonts w:ascii="Times New Roman" w:hAnsi="Times New Roman"/>
          <w:b/>
          <w:sz w:val="24"/>
          <w:szCs w:val="24"/>
        </w:rPr>
        <w:t xml:space="preserve">or Medical Schemes </w:t>
      </w:r>
    </w:p>
    <w:p w14:paraId="6FE02E2A" w14:textId="77777777" w:rsidR="002F3CFF" w:rsidRPr="0093633A" w:rsidRDefault="002F3CFF" w:rsidP="00085BAF">
      <w:pPr>
        <w:autoSpaceDE w:val="0"/>
        <w:autoSpaceDN w:val="0"/>
        <w:adjustRightInd w:val="0"/>
        <w:rPr>
          <w:rFonts w:ascii="Times New Roman" w:hAnsi="Times New Roman"/>
          <w:b/>
          <w:sz w:val="24"/>
          <w:szCs w:val="24"/>
        </w:rPr>
      </w:pPr>
    </w:p>
    <w:p w14:paraId="0657E91D" w14:textId="77777777" w:rsidR="006B5BC5" w:rsidRDefault="006B5BC5">
      <w:pPr>
        <w:jc w:val="both"/>
        <w:rPr>
          <w:rFonts w:ascii="Times New Roman" w:hAnsi="Times New Roman"/>
          <w:b/>
          <w:sz w:val="24"/>
          <w:szCs w:val="24"/>
        </w:rPr>
      </w:pPr>
      <w:r>
        <w:rPr>
          <w:rFonts w:ascii="Times New Roman" w:hAnsi="Times New Roman"/>
          <w:b/>
          <w:sz w:val="24"/>
          <w:szCs w:val="24"/>
        </w:rPr>
        <w:t>Situational Analysis</w:t>
      </w:r>
    </w:p>
    <w:p w14:paraId="7596A7B8" w14:textId="77777777" w:rsidR="006B5BC5" w:rsidRDefault="006B5BC5">
      <w:pPr>
        <w:jc w:val="both"/>
        <w:rPr>
          <w:rFonts w:ascii="Times New Roman" w:hAnsi="Times New Roman"/>
          <w:b/>
          <w:sz w:val="24"/>
          <w:szCs w:val="24"/>
        </w:rPr>
      </w:pPr>
    </w:p>
    <w:p w14:paraId="2FAD21CD" w14:textId="77777777" w:rsidR="00BE6ED2" w:rsidRPr="0093633A" w:rsidRDefault="00BE6ED2" w:rsidP="00941E30">
      <w:pPr>
        <w:spacing w:line="360" w:lineRule="auto"/>
        <w:jc w:val="both"/>
        <w:rPr>
          <w:rFonts w:ascii="Times New Roman" w:hAnsi="Times New Roman"/>
          <w:sz w:val="24"/>
          <w:szCs w:val="24"/>
        </w:rPr>
      </w:pPr>
      <w:r w:rsidRPr="00085BAF">
        <w:rPr>
          <w:rFonts w:ascii="Times New Roman" w:hAnsi="Times New Roman"/>
          <w:sz w:val="24"/>
          <w:szCs w:val="24"/>
        </w:rPr>
        <w:t xml:space="preserve">The term of office for the Council that was appointed in October 2014, came to an end in the middle of November 2017, and a new Council </w:t>
      </w:r>
      <w:r w:rsidRPr="0093633A">
        <w:rPr>
          <w:rFonts w:ascii="Times New Roman" w:hAnsi="Times New Roman"/>
          <w:sz w:val="24"/>
          <w:szCs w:val="24"/>
        </w:rPr>
        <w:t xml:space="preserve">has been appointed. The appointment of the </w:t>
      </w:r>
      <w:r w:rsidR="00C539E3" w:rsidRPr="0093633A">
        <w:rPr>
          <w:rFonts w:ascii="Times New Roman" w:hAnsi="Times New Roman"/>
          <w:sz w:val="24"/>
          <w:szCs w:val="24"/>
        </w:rPr>
        <w:t xml:space="preserve">Chief Executive Officer </w:t>
      </w:r>
      <w:r w:rsidRPr="0093633A">
        <w:rPr>
          <w:rFonts w:ascii="Times New Roman" w:hAnsi="Times New Roman"/>
          <w:sz w:val="24"/>
          <w:szCs w:val="24"/>
        </w:rPr>
        <w:t xml:space="preserve">and Registrar for the CMS will be done before the end of the 2018/19 financial year. The staff complement of the CMS remains at 120. </w:t>
      </w:r>
    </w:p>
    <w:p w14:paraId="1FF674F0" w14:textId="77777777" w:rsidR="00BE6ED2" w:rsidRPr="0093633A" w:rsidRDefault="00BE6ED2">
      <w:pPr>
        <w:jc w:val="both"/>
        <w:rPr>
          <w:rFonts w:ascii="Times New Roman" w:hAnsi="Times New Roman"/>
          <w:sz w:val="24"/>
          <w:szCs w:val="24"/>
        </w:rPr>
      </w:pPr>
    </w:p>
    <w:p w14:paraId="4CF0EF42" w14:textId="77777777" w:rsidR="00BE6ED2" w:rsidRDefault="00BE6ED2" w:rsidP="00941E30">
      <w:pPr>
        <w:spacing w:line="360" w:lineRule="auto"/>
        <w:jc w:val="both"/>
        <w:rPr>
          <w:rFonts w:ascii="Times New Roman" w:hAnsi="Times New Roman"/>
          <w:sz w:val="24"/>
          <w:szCs w:val="24"/>
        </w:rPr>
      </w:pPr>
      <w:r w:rsidRPr="0093633A">
        <w:rPr>
          <w:rFonts w:ascii="Times New Roman" w:hAnsi="Times New Roman"/>
          <w:sz w:val="24"/>
          <w:szCs w:val="24"/>
        </w:rPr>
        <w:t>The medical scheme industry trends on key indicators have not changed significantly in the past two years:</w:t>
      </w:r>
    </w:p>
    <w:p w14:paraId="5217892C" w14:textId="77777777" w:rsidR="004A4905" w:rsidRPr="00085BAF" w:rsidRDefault="004A4905">
      <w:pPr>
        <w:jc w:val="both"/>
        <w:rPr>
          <w:rFonts w:ascii="Times New Roman" w:hAnsi="Times New Roman"/>
          <w:sz w:val="24"/>
          <w:szCs w:val="24"/>
        </w:rPr>
      </w:pPr>
    </w:p>
    <w:p w14:paraId="6BF640C9" w14:textId="77777777" w:rsidR="00BE6ED2" w:rsidRPr="0093633A" w:rsidRDefault="00BE6ED2" w:rsidP="00941E30">
      <w:pPr>
        <w:numPr>
          <w:ilvl w:val="0"/>
          <w:numId w:val="58"/>
        </w:numPr>
        <w:spacing w:line="360" w:lineRule="auto"/>
        <w:jc w:val="both"/>
        <w:rPr>
          <w:rFonts w:ascii="Times New Roman" w:hAnsi="Times New Roman"/>
          <w:sz w:val="24"/>
          <w:szCs w:val="24"/>
        </w:rPr>
      </w:pPr>
      <w:r w:rsidRPr="0093633A">
        <w:rPr>
          <w:rFonts w:ascii="Times New Roman" w:hAnsi="Times New Roman"/>
          <w:sz w:val="24"/>
          <w:szCs w:val="24"/>
        </w:rPr>
        <w:t>The number of schemes have decreased from 83 to 82 in 2016/17;</w:t>
      </w:r>
    </w:p>
    <w:p w14:paraId="61205D1F" w14:textId="77777777" w:rsidR="00BE6ED2" w:rsidRPr="0093633A" w:rsidRDefault="00BE6ED2" w:rsidP="00941E30">
      <w:pPr>
        <w:numPr>
          <w:ilvl w:val="0"/>
          <w:numId w:val="58"/>
        </w:numPr>
        <w:spacing w:line="360" w:lineRule="auto"/>
        <w:jc w:val="both"/>
        <w:rPr>
          <w:rFonts w:ascii="Times New Roman" w:hAnsi="Times New Roman"/>
          <w:sz w:val="24"/>
          <w:szCs w:val="24"/>
        </w:rPr>
      </w:pPr>
      <w:r w:rsidRPr="0093633A">
        <w:rPr>
          <w:rFonts w:ascii="Times New Roman" w:hAnsi="Times New Roman"/>
          <w:sz w:val="24"/>
          <w:szCs w:val="24"/>
        </w:rPr>
        <w:t>Overall scheme membership is stagnant at 8.87 million in 2016/17;</w:t>
      </w:r>
    </w:p>
    <w:p w14:paraId="31A16313" w14:textId="77777777" w:rsidR="00BE6ED2" w:rsidRPr="0093633A" w:rsidRDefault="00BE6ED2" w:rsidP="00941E30">
      <w:pPr>
        <w:numPr>
          <w:ilvl w:val="0"/>
          <w:numId w:val="58"/>
        </w:numPr>
        <w:spacing w:line="360" w:lineRule="auto"/>
        <w:jc w:val="both"/>
        <w:rPr>
          <w:rFonts w:ascii="Times New Roman" w:hAnsi="Times New Roman"/>
          <w:sz w:val="24"/>
          <w:szCs w:val="24"/>
        </w:rPr>
      </w:pPr>
      <w:r w:rsidRPr="0093633A">
        <w:rPr>
          <w:rFonts w:ascii="Times New Roman" w:hAnsi="Times New Roman"/>
          <w:sz w:val="24"/>
          <w:szCs w:val="24"/>
        </w:rPr>
        <w:t>Member contributions have increased from R151.6 billion to R163.9 billion;</w:t>
      </w:r>
    </w:p>
    <w:p w14:paraId="1762B090" w14:textId="77777777" w:rsidR="00BE6ED2" w:rsidRPr="0093633A" w:rsidRDefault="00BE6ED2" w:rsidP="00941E30">
      <w:pPr>
        <w:numPr>
          <w:ilvl w:val="0"/>
          <w:numId w:val="58"/>
        </w:numPr>
        <w:spacing w:line="360" w:lineRule="auto"/>
        <w:jc w:val="both"/>
        <w:rPr>
          <w:rFonts w:ascii="Times New Roman" w:hAnsi="Times New Roman"/>
          <w:sz w:val="24"/>
          <w:szCs w:val="24"/>
        </w:rPr>
      </w:pPr>
      <w:r w:rsidRPr="0093633A">
        <w:rPr>
          <w:rFonts w:ascii="Times New Roman" w:hAnsi="Times New Roman"/>
          <w:sz w:val="24"/>
          <w:szCs w:val="24"/>
        </w:rPr>
        <w:t>There is increasing inability by schemes to settle claims in line with contributions, without relying on investment income. A total of R2.4 billion before investment income for 2016/17; and</w:t>
      </w:r>
    </w:p>
    <w:p w14:paraId="401C43ED" w14:textId="77777777" w:rsidR="00BE6ED2" w:rsidRPr="0093633A" w:rsidRDefault="00BE6ED2" w:rsidP="00941E30">
      <w:pPr>
        <w:numPr>
          <w:ilvl w:val="0"/>
          <w:numId w:val="58"/>
        </w:numPr>
        <w:spacing w:line="360" w:lineRule="auto"/>
        <w:jc w:val="both"/>
        <w:rPr>
          <w:rFonts w:ascii="Times New Roman" w:hAnsi="Times New Roman"/>
          <w:sz w:val="24"/>
          <w:szCs w:val="24"/>
        </w:rPr>
      </w:pPr>
      <w:r w:rsidRPr="0093633A">
        <w:rPr>
          <w:rFonts w:ascii="Times New Roman" w:hAnsi="Times New Roman"/>
          <w:sz w:val="24"/>
          <w:szCs w:val="24"/>
        </w:rPr>
        <w:t>There has been an overall decrease in the number of member complaints received during 2016 (4 823) compared to 2015 (5 089).</w:t>
      </w:r>
    </w:p>
    <w:p w14:paraId="1766BD1B" w14:textId="77777777" w:rsidR="002F3CFF" w:rsidRPr="0093633A" w:rsidRDefault="002F3CFF" w:rsidP="00941E30">
      <w:pPr>
        <w:autoSpaceDE w:val="0"/>
        <w:autoSpaceDN w:val="0"/>
        <w:adjustRightInd w:val="0"/>
        <w:jc w:val="both"/>
        <w:rPr>
          <w:rFonts w:ascii="Times New Roman" w:hAnsi="Times New Roman"/>
          <w:iCs/>
          <w:sz w:val="24"/>
          <w:szCs w:val="24"/>
          <w:lang w:val="en-ZA" w:eastAsia="en-ZA"/>
        </w:rPr>
      </w:pPr>
    </w:p>
    <w:p w14:paraId="5B717EC3" w14:textId="77777777" w:rsidR="00BE6ED2" w:rsidRPr="0093633A" w:rsidRDefault="0088529B" w:rsidP="00941E30">
      <w:pPr>
        <w:autoSpaceDE w:val="0"/>
        <w:autoSpaceDN w:val="0"/>
        <w:adjustRightInd w:val="0"/>
        <w:jc w:val="both"/>
        <w:rPr>
          <w:rFonts w:ascii="Times New Roman" w:hAnsi="Times New Roman"/>
          <w:b/>
          <w:bCs/>
          <w:color w:val="000000"/>
          <w:sz w:val="24"/>
          <w:szCs w:val="24"/>
          <w:lang w:val="en-ZA" w:eastAsia="en-ZA"/>
        </w:rPr>
      </w:pPr>
      <w:r>
        <w:rPr>
          <w:rFonts w:ascii="Times New Roman" w:hAnsi="Times New Roman"/>
          <w:b/>
          <w:bCs/>
          <w:color w:val="000000"/>
          <w:sz w:val="24"/>
          <w:szCs w:val="24"/>
          <w:lang w:val="en-ZA" w:eastAsia="en-ZA"/>
        </w:rPr>
        <w:t xml:space="preserve">Annual </w:t>
      </w:r>
      <w:r w:rsidR="00BE6ED2" w:rsidRPr="0093633A">
        <w:rPr>
          <w:rFonts w:ascii="Times New Roman" w:hAnsi="Times New Roman"/>
          <w:b/>
          <w:bCs/>
          <w:color w:val="000000"/>
          <w:sz w:val="24"/>
          <w:szCs w:val="24"/>
          <w:lang w:val="en-ZA" w:eastAsia="en-ZA"/>
        </w:rPr>
        <w:t>Performance Indicators for 2018/19</w:t>
      </w:r>
    </w:p>
    <w:p w14:paraId="2C18E365" w14:textId="77777777" w:rsidR="00BE6ED2" w:rsidRPr="0093633A" w:rsidRDefault="00BE6ED2" w:rsidP="00941E30">
      <w:pPr>
        <w:autoSpaceDE w:val="0"/>
        <w:autoSpaceDN w:val="0"/>
        <w:adjustRightInd w:val="0"/>
        <w:jc w:val="both"/>
        <w:rPr>
          <w:rFonts w:ascii="Times New Roman" w:hAnsi="Times New Roman"/>
          <w:b/>
          <w:bCs/>
          <w:color w:val="000000"/>
          <w:sz w:val="24"/>
          <w:szCs w:val="24"/>
          <w:lang w:val="en-ZA" w:eastAsia="en-ZA"/>
        </w:rPr>
      </w:pPr>
    </w:p>
    <w:p w14:paraId="51D86A63" w14:textId="77777777" w:rsidR="00BE6ED2" w:rsidRDefault="00BE6ED2" w:rsidP="00941E30">
      <w:pPr>
        <w:autoSpaceDE w:val="0"/>
        <w:autoSpaceDN w:val="0"/>
        <w:adjustRightInd w:val="0"/>
        <w:spacing w:line="360" w:lineRule="auto"/>
        <w:jc w:val="both"/>
        <w:rPr>
          <w:rFonts w:ascii="Times New Roman" w:hAnsi="Times New Roman"/>
          <w:bCs/>
          <w:color w:val="000000"/>
          <w:sz w:val="24"/>
          <w:szCs w:val="24"/>
          <w:lang w:val="en-ZA" w:eastAsia="en-ZA"/>
        </w:rPr>
      </w:pPr>
      <w:r w:rsidRPr="0093633A">
        <w:rPr>
          <w:rFonts w:ascii="Times New Roman" w:hAnsi="Times New Roman"/>
          <w:bCs/>
          <w:color w:val="000000"/>
          <w:sz w:val="24"/>
          <w:szCs w:val="24"/>
          <w:lang w:val="en-ZA" w:eastAsia="en-ZA"/>
        </w:rPr>
        <w:t>The table below highlights some of the annual performance indicators of the CMS</w:t>
      </w:r>
      <w:r w:rsidR="00A9786C">
        <w:rPr>
          <w:rFonts w:ascii="Times New Roman" w:hAnsi="Times New Roman"/>
          <w:bCs/>
          <w:color w:val="000000"/>
          <w:sz w:val="24"/>
          <w:szCs w:val="24"/>
          <w:lang w:val="en-ZA" w:eastAsia="en-ZA"/>
        </w:rPr>
        <w:t xml:space="preserve"> for 2018/19 financial year.</w:t>
      </w:r>
      <w:r w:rsidRPr="0093633A">
        <w:rPr>
          <w:rFonts w:ascii="Times New Roman" w:hAnsi="Times New Roman"/>
          <w:bCs/>
          <w:color w:val="000000"/>
          <w:sz w:val="24"/>
          <w:szCs w:val="24"/>
          <w:lang w:val="en-ZA" w:eastAsia="en-ZA"/>
        </w:rPr>
        <w:t xml:space="preserve">  </w:t>
      </w:r>
    </w:p>
    <w:p w14:paraId="767649DA" w14:textId="77777777" w:rsidR="00223B2A" w:rsidRPr="0093633A" w:rsidRDefault="00223B2A" w:rsidP="00941E30">
      <w:pPr>
        <w:autoSpaceDE w:val="0"/>
        <w:autoSpaceDN w:val="0"/>
        <w:adjustRightInd w:val="0"/>
        <w:spacing w:line="360" w:lineRule="auto"/>
        <w:jc w:val="both"/>
        <w:rPr>
          <w:rFonts w:ascii="Times New Roman" w:hAnsi="Times New Roman"/>
          <w:bCs/>
          <w:color w:val="000000"/>
          <w:sz w:val="24"/>
          <w:szCs w:val="24"/>
          <w:lang w:val="en-ZA" w:eastAsia="en-ZA"/>
        </w:rPr>
      </w:pPr>
    </w:p>
    <w:p w14:paraId="32FC33FF" w14:textId="77777777" w:rsidR="00D67F51" w:rsidRPr="00941E30" w:rsidRDefault="00D67F51" w:rsidP="00941E30">
      <w:pPr>
        <w:autoSpaceDE w:val="0"/>
        <w:autoSpaceDN w:val="0"/>
        <w:adjustRightInd w:val="0"/>
        <w:spacing w:after="120"/>
        <w:rPr>
          <w:rFonts w:ascii="Times New Roman" w:hAnsi="Times New Roman"/>
          <w:b/>
          <w:sz w:val="22"/>
          <w:szCs w:val="24"/>
        </w:rPr>
      </w:pPr>
      <w:r w:rsidRPr="00941E30">
        <w:rPr>
          <w:rFonts w:ascii="Times New Roman" w:hAnsi="Times New Roman"/>
          <w:b/>
          <w:sz w:val="22"/>
          <w:szCs w:val="24"/>
        </w:rPr>
        <w:t xml:space="preserve">Table </w:t>
      </w:r>
      <w:r w:rsidR="00147B70" w:rsidRPr="00941E30">
        <w:rPr>
          <w:rFonts w:ascii="Times New Roman" w:hAnsi="Times New Roman"/>
          <w:b/>
          <w:sz w:val="22"/>
          <w:szCs w:val="24"/>
        </w:rPr>
        <w:t>1</w:t>
      </w:r>
      <w:r w:rsidR="00147B70">
        <w:rPr>
          <w:rFonts w:ascii="Times New Roman" w:hAnsi="Times New Roman"/>
          <w:b/>
          <w:sz w:val="22"/>
          <w:szCs w:val="24"/>
        </w:rPr>
        <w:t>5</w:t>
      </w:r>
      <w:r w:rsidRPr="00941E30">
        <w:rPr>
          <w:rFonts w:ascii="Times New Roman" w:hAnsi="Times New Roman"/>
          <w:b/>
          <w:sz w:val="22"/>
          <w:szCs w:val="24"/>
        </w:rPr>
        <w:t>: Programme Performance Indicators and Targets for 2018/19</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3780"/>
        <w:gridCol w:w="3420"/>
      </w:tblGrid>
      <w:tr w:rsidR="00D67F51" w:rsidRPr="0093633A" w14:paraId="29810E50" w14:textId="77777777" w:rsidTr="00941E30">
        <w:trPr>
          <w:trHeight w:val="285"/>
        </w:trPr>
        <w:tc>
          <w:tcPr>
            <w:tcW w:w="2605" w:type="dxa"/>
            <w:tcBorders>
              <w:top w:val="single" w:sz="4" w:space="0" w:color="000000"/>
              <w:left w:val="single" w:sz="4" w:space="0" w:color="000000"/>
              <w:bottom w:val="single" w:sz="4" w:space="0" w:color="auto"/>
              <w:right w:val="single" w:sz="4" w:space="0" w:color="000000"/>
            </w:tcBorders>
            <w:shd w:val="clear" w:color="auto" w:fill="DEEAF6"/>
          </w:tcPr>
          <w:p w14:paraId="10638499" w14:textId="77777777" w:rsidR="00D67F51" w:rsidRPr="00941E30" w:rsidRDefault="00D67F51" w:rsidP="00085BAF">
            <w:pPr>
              <w:rPr>
                <w:rFonts w:ascii="Times New Roman" w:eastAsia="Calibri" w:hAnsi="Times New Roman"/>
                <w:b/>
                <w:sz w:val="20"/>
                <w:szCs w:val="20"/>
              </w:rPr>
            </w:pPr>
            <w:r w:rsidRPr="00941E30">
              <w:rPr>
                <w:rFonts w:ascii="Times New Roman" w:eastAsia="Calibri" w:hAnsi="Times New Roman"/>
                <w:b/>
                <w:sz w:val="20"/>
                <w:szCs w:val="20"/>
              </w:rPr>
              <w:t>PROGRAMME</w:t>
            </w:r>
          </w:p>
          <w:p w14:paraId="54E29595" w14:textId="77777777" w:rsidR="00D67F51" w:rsidRPr="00941E30" w:rsidRDefault="00D67F51">
            <w:pPr>
              <w:rPr>
                <w:rFonts w:ascii="Times New Roman" w:eastAsia="Calibri" w:hAnsi="Times New Roman"/>
                <w:b/>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DEEAF6"/>
          </w:tcPr>
          <w:p w14:paraId="13915138" w14:textId="77777777" w:rsidR="00D67F51" w:rsidRPr="00941E30" w:rsidRDefault="00D67F51">
            <w:pPr>
              <w:rPr>
                <w:rFonts w:ascii="Times New Roman" w:eastAsia="Calibri" w:hAnsi="Times New Roman"/>
                <w:b/>
                <w:sz w:val="20"/>
                <w:szCs w:val="20"/>
              </w:rPr>
            </w:pPr>
            <w:r w:rsidRPr="00941E30">
              <w:rPr>
                <w:rFonts w:ascii="Times New Roman" w:eastAsia="Calibri" w:hAnsi="Times New Roman"/>
                <w:b/>
                <w:sz w:val="20"/>
                <w:szCs w:val="20"/>
              </w:rPr>
              <w:t>STRATEGIC OBJECTIVE</w:t>
            </w:r>
          </w:p>
        </w:tc>
        <w:tc>
          <w:tcPr>
            <w:tcW w:w="3420" w:type="dxa"/>
            <w:tcBorders>
              <w:top w:val="single" w:sz="4" w:space="0" w:color="000000"/>
              <w:left w:val="single" w:sz="4" w:space="0" w:color="000000"/>
              <w:bottom w:val="single" w:sz="4" w:space="0" w:color="000000"/>
              <w:right w:val="single" w:sz="4" w:space="0" w:color="000000"/>
            </w:tcBorders>
            <w:shd w:val="clear" w:color="auto" w:fill="DEEAF6"/>
          </w:tcPr>
          <w:p w14:paraId="48E58DE3" w14:textId="77777777" w:rsidR="00D67F51" w:rsidRPr="00941E30" w:rsidRDefault="00D67F51">
            <w:pPr>
              <w:rPr>
                <w:rFonts w:ascii="Times New Roman" w:eastAsia="Calibri" w:hAnsi="Times New Roman"/>
                <w:b/>
                <w:sz w:val="20"/>
                <w:szCs w:val="20"/>
              </w:rPr>
            </w:pPr>
            <w:r w:rsidRPr="00941E30">
              <w:rPr>
                <w:rFonts w:ascii="Times New Roman" w:eastAsia="Calibri" w:hAnsi="Times New Roman"/>
                <w:b/>
                <w:sz w:val="20"/>
                <w:szCs w:val="20"/>
              </w:rPr>
              <w:t>PLANNED TARGET 2018/19</w:t>
            </w:r>
          </w:p>
        </w:tc>
      </w:tr>
      <w:tr w:rsidR="00D67F51" w:rsidRPr="0093633A" w14:paraId="3873C319" w14:textId="77777777" w:rsidTr="00941E30">
        <w:trPr>
          <w:trHeight w:val="285"/>
        </w:trPr>
        <w:tc>
          <w:tcPr>
            <w:tcW w:w="2605" w:type="dxa"/>
            <w:vMerge w:val="restart"/>
            <w:tcBorders>
              <w:top w:val="single" w:sz="4" w:space="0" w:color="000000"/>
              <w:left w:val="single" w:sz="4" w:space="0" w:color="000000"/>
              <w:right w:val="single" w:sz="4" w:space="0" w:color="000000"/>
            </w:tcBorders>
            <w:shd w:val="clear" w:color="auto" w:fill="auto"/>
          </w:tcPr>
          <w:p w14:paraId="570EEC87" w14:textId="77777777" w:rsidR="00D67F51" w:rsidRPr="00941E30" w:rsidRDefault="00D67F51" w:rsidP="00941E30">
            <w:pPr>
              <w:ind w:left="86"/>
              <w:rPr>
                <w:rFonts w:ascii="Times New Roman" w:eastAsia="Calibri" w:hAnsi="Times New Roman"/>
                <w:b/>
                <w:sz w:val="20"/>
                <w:szCs w:val="20"/>
              </w:rPr>
            </w:pPr>
            <w:r w:rsidRPr="00941E30">
              <w:rPr>
                <w:rFonts w:ascii="Times New Roman" w:eastAsia="Calibri" w:hAnsi="Times New Roman"/>
                <w:b/>
                <w:sz w:val="20"/>
                <w:szCs w:val="20"/>
              </w:rPr>
              <w:t>ADMINISTRATION</w:t>
            </w:r>
          </w:p>
        </w:tc>
        <w:tc>
          <w:tcPr>
            <w:tcW w:w="3780" w:type="dxa"/>
            <w:vMerge w:val="restart"/>
            <w:tcBorders>
              <w:top w:val="single" w:sz="4" w:space="0" w:color="000000"/>
              <w:left w:val="single" w:sz="4" w:space="0" w:color="000000"/>
              <w:right w:val="single" w:sz="4" w:space="0" w:color="000000"/>
            </w:tcBorders>
            <w:shd w:val="clear" w:color="auto" w:fill="auto"/>
          </w:tcPr>
          <w:p w14:paraId="7294CC3C" w14:textId="77777777" w:rsidR="00D67F51" w:rsidRPr="00941E30" w:rsidRDefault="00D67F51" w:rsidP="00941E30">
            <w:pPr>
              <w:rPr>
                <w:rFonts w:ascii="Times New Roman" w:eastAsia="Calibri" w:hAnsi="Times New Roman"/>
                <w:sz w:val="20"/>
                <w:szCs w:val="20"/>
              </w:rPr>
            </w:pPr>
            <w:r w:rsidRPr="00941E30">
              <w:rPr>
                <w:rFonts w:ascii="Times New Roman" w:eastAsia="Calibri" w:hAnsi="Times New Roman"/>
                <w:sz w:val="20"/>
                <w:szCs w:val="20"/>
              </w:rPr>
              <w:t>Ensure effective financial management and alignment of budget allocation with strategic priorities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16C07CA" w14:textId="77777777" w:rsidR="00D67F51" w:rsidRPr="00941E30" w:rsidRDefault="00D67F51" w:rsidP="00941E30">
            <w:pPr>
              <w:rPr>
                <w:rFonts w:ascii="Times New Roman" w:eastAsia="Calibri" w:hAnsi="Times New Roman"/>
                <w:sz w:val="20"/>
                <w:szCs w:val="20"/>
              </w:rPr>
            </w:pPr>
            <w:r w:rsidRPr="00941E30">
              <w:rPr>
                <w:rFonts w:ascii="Times New Roman" w:eastAsia="Calibri" w:hAnsi="Times New Roman"/>
                <w:sz w:val="20"/>
                <w:szCs w:val="20"/>
              </w:rPr>
              <w:t>Obtain an unqualified opinion issued by the AG</w:t>
            </w:r>
          </w:p>
        </w:tc>
      </w:tr>
      <w:tr w:rsidR="00D67F51" w:rsidRPr="0093633A" w14:paraId="147684BE" w14:textId="77777777" w:rsidTr="00941E30">
        <w:trPr>
          <w:trHeight w:val="285"/>
        </w:trPr>
        <w:tc>
          <w:tcPr>
            <w:tcW w:w="2605" w:type="dxa"/>
            <w:vMerge/>
            <w:tcBorders>
              <w:left w:val="single" w:sz="4" w:space="0" w:color="000000"/>
              <w:right w:val="single" w:sz="4" w:space="0" w:color="000000"/>
            </w:tcBorders>
            <w:shd w:val="clear" w:color="auto" w:fill="auto"/>
          </w:tcPr>
          <w:p w14:paraId="4C107371" w14:textId="77777777" w:rsidR="00D67F51" w:rsidRPr="00941E30" w:rsidRDefault="00D67F51" w:rsidP="00941E30">
            <w:pPr>
              <w:ind w:left="90"/>
              <w:rPr>
                <w:rFonts w:ascii="Times New Roman" w:eastAsia="Calibri" w:hAnsi="Times New Roman"/>
                <w:b/>
                <w:sz w:val="20"/>
                <w:szCs w:val="20"/>
              </w:rPr>
            </w:pPr>
          </w:p>
        </w:tc>
        <w:tc>
          <w:tcPr>
            <w:tcW w:w="3780" w:type="dxa"/>
            <w:vMerge/>
            <w:tcBorders>
              <w:left w:val="single" w:sz="4" w:space="0" w:color="000000"/>
              <w:bottom w:val="single" w:sz="4" w:space="0" w:color="000000"/>
              <w:right w:val="single" w:sz="4" w:space="0" w:color="000000"/>
            </w:tcBorders>
            <w:shd w:val="clear" w:color="auto" w:fill="auto"/>
          </w:tcPr>
          <w:p w14:paraId="2E299C54" w14:textId="77777777" w:rsidR="00D67F51" w:rsidRPr="00941E30" w:rsidRDefault="00D67F51">
            <w:pPr>
              <w:rPr>
                <w:rFonts w:ascii="Times New Roman" w:eastAsia="Calibri" w:hAnsi="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D5F1A09"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 ‒ annual performance information report</w:t>
            </w:r>
          </w:p>
        </w:tc>
      </w:tr>
      <w:tr w:rsidR="00D67F51" w:rsidRPr="0093633A" w14:paraId="33B3EF27" w14:textId="77777777" w:rsidTr="00941E30">
        <w:trPr>
          <w:trHeight w:val="285"/>
        </w:trPr>
        <w:tc>
          <w:tcPr>
            <w:tcW w:w="2605" w:type="dxa"/>
            <w:vMerge/>
            <w:tcBorders>
              <w:left w:val="single" w:sz="4" w:space="0" w:color="000000"/>
              <w:right w:val="single" w:sz="4" w:space="0" w:color="000000"/>
            </w:tcBorders>
            <w:shd w:val="clear" w:color="auto" w:fill="auto"/>
          </w:tcPr>
          <w:p w14:paraId="21CF2CB7" w14:textId="77777777" w:rsidR="00D67F51" w:rsidRPr="00941E30" w:rsidRDefault="00D67F51">
            <w:pPr>
              <w:ind w:left="450"/>
              <w:rPr>
                <w:rFonts w:ascii="Times New Roman" w:eastAsia="Calibri" w:hAnsi="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23F32B18"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An effective, efficient and transparent system of risk management is maintained in order to mitigate the risks exposure of the CMS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2C8FD8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4 ‒ strategic risk register reports </w:t>
            </w:r>
          </w:p>
        </w:tc>
      </w:tr>
      <w:tr w:rsidR="00D67F51" w:rsidRPr="0093633A" w14:paraId="15F07260" w14:textId="77777777" w:rsidTr="00941E30">
        <w:trPr>
          <w:trHeight w:val="285"/>
        </w:trPr>
        <w:tc>
          <w:tcPr>
            <w:tcW w:w="2605" w:type="dxa"/>
            <w:vMerge/>
            <w:tcBorders>
              <w:left w:val="single" w:sz="4" w:space="0" w:color="000000"/>
              <w:right w:val="single" w:sz="4" w:space="0" w:color="000000"/>
            </w:tcBorders>
            <w:shd w:val="clear" w:color="auto" w:fill="auto"/>
          </w:tcPr>
          <w:p w14:paraId="18EA7859" w14:textId="77777777" w:rsidR="00D67F51" w:rsidRPr="00941E30" w:rsidRDefault="00D67F51">
            <w:pPr>
              <w:ind w:left="450"/>
              <w:rPr>
                <w:rFonts w:ascii="Times New Roman" w:eastAsia="Calibri" w:hAnsi="Times New Roman"/>
                <w:sz w:val="20"/>
                <w:szCs w:val="20"/>
              </w:rPr>
            </w:pPr>
          </w:p>
        </w:tc>
        <w:tc>
          <w:tcPr>
            <w:tcW w:w="3780" w:type="dxa"/>
            <w:vMerge w:val="restart"/>
            <w:tcBorders>
              <w:top w:val="single" w:sz="4" w:space="0" w:color="000000"/>
              <w:left w:val="single" w:sz="4" w:space="0" w:color="000000"/>
              <w:right w:val="single" w:sz="4" w:space="0" w:color="000000"/>
            </w:tcBorders>
            <w:shd w:val="clear" w:color="auto" w:fill="auto"/>
          </w:tcPr>
          <w:p w14:paraId="7617A540"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An established ICT Infrastructure that ensures information is available, accessible and protected</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42B8DE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Achieve 99% in network and server uptime </w:t>
            </w:r>
          </w:p>
        </w:tc>
      </w:tr>
      <w:tr w:rsidR="00D67F51" w:rsidRPr="0093633A" w14:paraId="09DF8C92" w14:textId="77777777" w:rsidTr="00941E30">
        <w:trPr>
          <w:trHeight w:val="287"/>
        </w:trPr>
        <w:tc>
          <w:tcPr>
            <w:tcW w:w="2605" w:type="dxa"/>
            <w:vMerge/>
            <w:tcBorders>
              <w:left w:val="single" w:sz="4" w:space="0" w:color="000000"/>
              <w:right w:val="single" w:sz="4" w:space="0" w:color="000000"/>
            </w:tcBorders>
            <w:shd w:val="clear" w:color="auto" w:fill="auto"/>
          </w:tcPr>
          <w:p w14:paraId="446085F8" w14:textId="77777777" w:rsidR="00D67F51" w:rsidRPr="00941E30" w:rsidRDefault="00D67F51">
            <w:pPr>
              <w:ind w:left="450"/>
              <w:rPr>
                <w:rFonts w:ascii="Times New Roman" w:eastAsia="Calibri" w:hAnsi="Times New Roman"/>
                <w:sz w:val="20"/>
                <w:szCs w:val="20"/>
              </w:rPr>
            </w:pPr>
          </w:p>
        </w:tc>
        <w:tc>
          <w:tcPr>
            <w:tcW w:w="3780" w:type="dxa"/>
            <w:vMerge/>
            <w:tcBorders>
              <w:left w:val="single" w:sz="4" w:space="0" w:color="000000"/>
              <w:bottom w:val="single" w:sz="4" w:space="0" w:color="000000"/>
              <w:right w:val="single" w:sz="4" w:space="0" w:color="000000"/>
            </w:tcBorders>
            <w:shd w:val="clear" w:color="auto" w:fill="auto"/>
          </w:tcPr>
          <w:p w14:paraId="460064AB" w14:textId="77777777" w:rsidR="00D67F51" w:rsidRPr="00941E30" w:rsidRDefault="00D67F51">
            <w:pPr>
              <w:rPr>
                <w:rFonts w:ascii="Times New Roman" w:eastAsia="Calibri" w:hAnsi="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822CB57"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Ensure 0% of IT security incidents per year</w:t>
            </w:r>
          </w:p>
        </w:tc>
      </w:tr>
      <w:tr w:rsidR="00D67F51" w:rsidRPr="0093633A" w14:paraId="520E2405" w14:textId="77777777" w:rsidTr="00941E30">
        <w:trPr>
          <w:trHeight w:val="285"/>
        </w:trPr>
        <w:tc>
          <w:tcPr>
            <w:tcW w:w="2605" w:type="dxa"/>
            <w:vMerge/>
            <w:tcBorders>
              <w:left w:val="single" w:sz="4" w:space="0" w:color="000000"/>
              <w:right w:val="single" w:sz="4" w:space="0" w:color="000000"/>
            </w:tcBorders>
            <w:shd w:val="clear" w:color="auto" w:fill="auto"/>
          </w:tcPr>
          <w:p w14:paraId="602066D9" w14:textId="77777777" w:rsidR="00D67F51" w:rsidRPr="00941E30" w:rsidRDefault="00D67F51">
            <w:pPr>
              <w:ind w:left="450"/>
              <w:rPr>
                <w:rFonts w:ascii="Times New Roman" w:eastAsia="Calibri" w:hAnsi="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6167A4F"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Provide software applications that serve both internal as well as external stakeholders, that improve business operations and performance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75EFC9F"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Achieve 99% in uptime of all installed application systems</w:t>
            </w:r>
          </w:p>
        </w:tc>
      </w:tr>
      <w:tr w:rsidR="00D67F51" w:rsidRPr="0093633A" w14:paraId="526C0127" w14:textId="77777777" w:rsidTr="00941E30">
        <w:trPr>
          <w:trHeight w:val="285"/>
        </w:trPr>
        <w:tc>
          <w:tcPr>
            <w:tcW w:w="2605" w:type="dxa"/>
            <w:vMerge/>
            <w:tcBorders>
              <w:left w:val="single" w:sz="4" w:space="0" w:color="000000"/>
              <w:right w:val="single" w:sz="4" w:space="0" w:color="000000"/>
            </w:tcBorders>
            <w:shd w:val="clear" w:color="auto" w:fill="auto"/>
          </w:tcPr>
          <w:p w14:paraId="0388BFDE" w14:textId="77777777" w:rsidR="00D67F51" w:rsidRPr="00941E30" w:rsidRDefault="00D67F51">
            <w:pPr>
              <w:ind w:left="450"/>
              <w:rPr>
                <w:rFonts w:ascii="Times New Roman" w:eastAsia="Calibri" w:hAnsi="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0355847"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Effectively provide information management services and organise and management organisational knowledge with a view to enhance knowledge sharing</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9887137"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Ensure that 90% of physical requests for information are responded to within 30 days</w:t>
            </w:r>
          </w:p>
        </w:tc>
      </w:tr>
      <w:tr w:rsidR="00D67F51" w:rsidRPr="0093633A" w14:paraId="4D9E6880" w14:textId="77777777" w:rsidTr="00941E30">
        <w:trPr>
          <w:trHeight w:val="285"/>
        </w:trPr>
        <w:tc>
          <w:tcPr>
            <w:tcW w:w="2605" w:type="dxa"/>
            <w:vMerge/>
            <w:tcBorders>
              <w:left w:val="single" w:sz="4" w:space="0" w:color="000000"/>
              <w:right w:val="single" w:sz="4" w:space="0" w:color="000000"/>
            </w:tcBorders>
            <w:shd w:val="clear" w:color="auto" w:fill="auto"/>
          </w:tcPr>
          <w:p w14:paraId="14751B86" w14:textId="77777777" w:rsidR="00D67F51" w:rsidRPr="00941E30" w:rsidRDefault="00D67F51">
            <w:pPr>
              <w:ind w:left="450"/>
              <w:rPr>
                <w:rFonts w:ascii="Times New Roman" w:eastAsia="Calibri" w:hAnsi="Times New Roman"/>
                <w:sz w:val="20"/>
                <w:szCs w:val="20"/>
              </w:rPr>
            </w:pPr>
          </w:p>
        </w:tc>
        <w:tc>
          <w:tcPr>
            <w:tcW w:w="3780" w:type="dxa"/>
            <w:vMerge w:val="restart"/>
            <w:tcBorders>
              <w:top w:val="single" w:sz="4" w:space="0" w:color="000000"/>
              <w:left w:val="single" w:sz="4" w:space="0" w:color="000000"/>
              <w:right w:val="single" w:sz="4" w:space="0" w:color="000000"/>
            </w:tcBorders>
            <w:shd w:val="clear" w:color="auto" w:fill="auto"/>
          </w:tcPr>
          <w:p w14:paraId="6BAD9BCC"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Build competencies and retain skilled employees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E3EE32E"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Minimise staff turnover to less than 10% per annum</w:t>
            </w:r>
          </w:p>
        </w:tc>
      </w:tr>
      <w:tr w:rsidR="00D67F51" w:rsidRPr="0093633A" w14:paraId="74B224EE" w14:textId="77777777" w:rsidTr="00941E30">
        <w:trPr>
          <w:trHeight w:val="285"/>
        </w:trPr>
        <w:tc>
          <w:tcPr>
            <w:tcW w:w="2605" w:type="dxa"/>
            <w:vMerge/>
            <w:tcBorders>
              <w:left w:val="single" w:sz="4" w:space="0" w:color="000000"/>
              <w:right w:val="single" w:sz="4" w:space="0" w:color="000000"/>
            </w:tcBorders>
            <w:shd w:val="clear" w:color="auto" w:fill="auto"/>
          </w:tcPr>
          <w:p w14:paraId="511BDC07" w14:textId="77777777" w:rsidR="00D67F51" w:rsidRPr="00941E30" w:rsidRDefault="00D67F51">
            <w:pPr>
              <w:ind w:left="450"/>
              <w:rPr>
                <w:rFonts w:ascii="Times New Roman" w:eastAsia="Calibri" w:hAnsi="Times New Roman"/>
                <w:sz w:val="20"/>
                <w:szCs w:val="20"/>
              </w:rPr>
            </w:pPr>
          </w:p>
        </w:tc>
        <w:tc>
          <w:tcPr>
            <w:tcW w:w="3780" w:type="dxa"/>
            <w:vMerge/>
            <w:tcBorders>
              <w:left w:val="single" w:sz="4" w:space="0" w:color="000000"/>
              <w:bottom w:val="single" w:sz="4" w:space="0" w:color="000000"/>
              <w:right w:val="single" w:sz="4" w:space="0" w:color="000000"/>
            </w:tcBorders>
            <w:shd w:val="clear" w:color="auto" w:fill="auto"/>
          </w:tcPr>
          <w:p w14:paraId="34D4D71A" w14:textId="77777777" w:rsidR="00D67F51" w:rsidRPr="00941E30" w:rsidRDefault="00D67F51">
            <w:pPr>
              <w:rPr>
                <w:rFonts w:ascii="Times New Roman" w:eastAsia="Calibri" w:hAnsi="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44CE320"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Average turnaround time of 120 working days to fill a vacancy</w:t>
            </w:r>
          </w:p>
        </w:tc>
      </w:tr>
      <w:tr w:rsidR="00D67F51" w:rsidRPr="0093633A" w14:paraId="5CD9C74E" w14:textId="77777777" w:rsidTr="00941E30">
        <w:trPr>
          <w:trHeight w:val="356"/>
        </w:trPr>
        <w:tc>
          <w:tcPr>
            <w:tcW w:w="2605" w:type="dxa"/>
            <w:vMerge/>
            <w:tcBorders>
              <w:left w:val="single" w:sz="4" w:space="0" w:color="000000"/>
              <w:right w:val="single" w:sz="4" w:space="0" w:color="000000"/>
            </w:tcBorders>
            <w:shd w:val="clear" w:color="auto" w:fill="auto"/>
          </w:tcPr>
          <w:p w14:paraId="713FA449" w14:textId="77777777" w:rsidR="00D67F51" w:rsidRPr="00941E30" w:rsidRDefault="00D67F51">
            <w:pPr>
              <w:ind w:left="450"/>
              <w:rPr>
                <w:rFonts w:ascii="Times New Roman" w:eastAsia="Calibri" w:hAnsi="Times New Roman"/>
                <w:sz w:val="20"/>
                <w:szCs w:val="20"/>
              </w:rPr>
            </w:pPr>
          </w:p>
        </w:tc>
        <w:tc>
          <w:tcPr>
            <w:tcW w:w="3780" w:type="dxa"/>
            <w:vMerge w:val="restart"/>
            <w:tcBorders>
              <w:top w:val="single" w:sz="4" w:space="0" w:color="000000"/>
              <w:left w:val="single" w:sz="4" w:space="0" w:color="000000"/>
              <w:right w:val="single" w:sz="4" w:space="0" w:color="000000"/>
            </w:tcBorders>
            <w:shd w:val="clear" w:color="auto" w:fill="auto"/>
          </w:tcPr>
          <w:p w14:paraId="318E7F07"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Maximise performance to improve organisational efficiency and maintain high performance culture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2AC08C8"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100% of employee performance agreements are signed no later than 31 May each year</w:t>
            </w:r>
          </w:p>
        </w:tc>
      </w:tr>
      <w:tr w:rsidR="00D67F51" w:rsidRPr="0093633A" w14:paraId="6CEE857A" w14:textId="77777777" w:rsidTr="00941E30">
        <w:trPr>
          <w:trHeight w:val="285"/>
        </w:trPr>
        <w:tc>
          <w:tcPr>
            <w:tcW w:w="2605" w:type="dxa"/>
            <w:vMerge/>
            <w:tcBorders>
              <w:left w:val="single" w:sz="4" w:space="0" w:color="000000"/>
              <w:right w:val="single" w:sz="4" w:space="0" w:color="000000"/>
            </w:tcBorders>
            <w:shd w:val="clear" w:color="auto" w:fill="auto"/>
          </w:tcPr>
          <w:p w14:paraId="29BFF5B2" w14:textId="77777777" w:rsidR="00D67F51" w:rsidRPr="00941E30" w:rsidRDefault="00D67F51">
            <w:pPr>
              <w:ind w:left="450"/>
              <w:rPr>
                <w:rFonts w:ascii="Times New Roman" w:eastAsia="Calibri" w:hAnsi="Times New Roman"/>
                <w:sz w:val="20"/>
                <w:szCs w:val="20"/>
              </w:rPr>
            </w:pPr>
          </w:p>
        </w:tc>
        <w:tc>
          <w:tcPr>
            <w:tcW w:w="3780" w:type="dxa"/>
            <w:vMerge/>
            <w:tcBorders>
              <w:left w:val="single" w:sz="4" w:space="0" w:color="000000"/>
              <w:bottom w:val="single" w:sz="4" w:space="0" w:color="000000"/>
              <w:right w:val="single" w:sz="4" w:space="0" w:color="000000"/>
            </w:tcBorders>
            <w:shd w:val="clear" w:color="auto" w:fill="auto"/>
          </w:tcPr>
          <w:p w14:paraId="444178E4" w14:textId="77777777" w:rsidR="00D67F51" w:rsidRPr="00941E30" w:rsidRDefault="00D67F51">
            <w:pPr>
              <w:rPr>
                <w:rFonts w:ascii="Times New Roman" w:eastAsia="Calibri" w:hAnsi="Times New Roman"/>
                <w:b/>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EC7AAC2" w14:textId="77777777" w:rsidR="00D67F51" w:rsidRPr="00941E30" w:rsidRDefault="00D67F51">
            <w:pPr>
              <w:rPr>
                <w:rFonts w:ascii="Times New Roman" w:eastAsia="Calibri" w:hAnsi="Times New Roman"/>
                <w:b/>
                <w:sz w:val="20"/>
                <w:szCs w:val="20"/>
              </w:rPr>
            </w:pPr>
            <w:r w:rsidRPr="00941E30">
              <w:rPr>
                <w:rFonts w:ascii="Times New Roman" w:eastAsia="Calibri" w:hAnsi="Times New Roman"/>
                <w:sz w:val="20"/>
                <w:szCs w:val="20"/>
              </w:rPr>
              <w:t>100% of employee performance assessments are concluded bi annually</w:t>
            </w:r>
          </w:p>
        </w:tc>
      </w:tr>
      <w:tr w:rsidR="00D67F51" w:rsidRPr="0093633A" w14:paraId="73CF1F9D" w14:textId="77777777" w:rsidTr="00941E30">
        <w:trPr>
          <w:trHeight w:val="285"/>
        </w:trPr>
        <w:tc>
          <w:tcPr>
            <w:tcW w:w="2605" w:type="dxa"/>
            <w:vMerge/>
            <w:tcBorders>
              <w:left w:val="single" w:sz="4" w:space="0" w:color="000000"/>
              <w:right w:val="single" w:sz="4" w:space="0" w:color="000000"/>
            </w:tcBorders>
            <w:shd w:val="clear" w:color="auto" w:fill="auto"/>
          </w:tcPr>
          <w:p w14:paraId="15839195" w14:textId="77777777" w:rsidR="00D67F51" w:rsidRPr="00941E30" w:rsidRDefault="00D67F51">
            <w:pPr>
              <w:ind w:left="450"/>
              <w:rPr>
                <w:rFonts w:ascii="Times New Roman" w:eastAsia="Calibri" w:hAnsi="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374C922"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Legal advisory service for effective regulation of the industry and operations of the office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2550C8B"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200 written and verbal legal opinions provided to internal and external stakeholders, per year</w:t>
            </w:r>
          </w:p>
        </w:tc>
      </w:tr>
      <w:tr w:rsidR="00D67F51" w:rsidRPr="0093633A" w14:paraId="3642F95B" w14:textId="77777777" w:rsidTr="00941E30">
        <w:trPr>
          <w:trHeight w:val="285"/>
        </w:trPr>
        <w:tc>
          <w:tcPr>
            <w:tcW w:w="2605" w:type="dxa"/>
            <w:vMerge/>
            <w:tcBorders>
              <w:left w:val="single" w:sz="4" w:space="0" w:color="000000"/>
              <w:bottom w:val="single" w:sz="4" w:space="0" w:color="auto"/>
              <w:right w:val="single" w:sz="4" w:space="0" w:color="000000"/>
            </w:tcBorders>
            <w:shd w:val="clear" w:color="auto" w:fill="auto"/>
          </w:tcPr>
          <w:p w14:paraId="6BFCB22F" w14:textId="77777777" w:rsidR="00D67F51" w:rsidRPr="00941E30" w:rsidRDefault="00D67F51">
            <w:pPr>
              <w:ind w:left="450"/>
              <w:rPr>
                <w:rFonts w:ascii="Times New Roman" w:eastAsia="Calibri" w:hAnsi="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84CA17F"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Support CMS mandate by defending decisions of Council and the Registrar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EDC58AF"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100% of court and tribunal appearance in legal matters received and handled</w:t>
            </w:r>
          </w:p>
        </w:tc>
      </w:tr>
      <w:tr w:rsidR="00D67F51" w:rsidRPr="0093633A" w14:paraId="3B7D864F" w14:textId="77777777" w:rsidTr="00941E30">
        <w:trPr>
          <w:trHeight w:val="285"/>
        </w:trPr>
        <w:tc>
          <w:tcPr>
            <w:tcW w:w="2605" w:type="dxa"/>
            <w:vMerge w:val="restart"/>
            <w:tcBorders>
              <w:top w:val="single" w:sz="4" w:space="0" w:color="000000"/>
              <w:left w:val="single" w:sz="4" w:space="0" w:color="000000"/>
              <w:right w:val="single" w:sz="4" w:space="0" w:color="000000"/>
            </w:tcBorders>
            <w:shd w:val="clear" w:color="auto" w:fill="auto"/>
          </w:tcPr>
          <w:p w14:paraId="4264F259"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 xml:space="preserve">STRATEGY OFFICE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5B21574"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Formulate PMB definitions to ensure members are adequately protected</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BEDC3CF"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4 ‒ PMB definitions published</w:t>
            </w:r>
          </w:p>
        </w:tc>
      </w:tr>
      <w:tr w:rsidR="00D67F51" w:rsidRPr="0093633A" w14:paraId="7E3C0CE2" w14:textId="77777777" w:rsidTr="00941E30">
        <w:trPr>
          <w:trHeight w:val="285"/>
        </w:trPr>
        <w:tc>
          <w:tcPr>
            <w:tcW w:w="2605" w:type="dxa"/>
            <w:vMerge/>
            <w:tcBorders>
              <w:top w:val="single" w:sz="4" w:space="0" w:color="000000"/>
              <w:left w:val="single" w:sz="4" w:space="0" w:color="000000"/>
              <w:right w:val="single" w:sz="4" w:space="0" w:color="000000"/>
            </w:tcBorders>
            <w:shd w:val="clear" w:color="auto" w:fill="auto"/>
          </w:tcPr>
          <w:p w14:paraId="599661AF" w14:textId="77777777" w:rsidR="00D67F51" w:rsidRPr="00941E30" w:rsidRDefault="00D67F51" w:rsidP="00941E30">
            <w:pPr>
              <w:ind w:left="90"/>
              <w:rPr>
                <w:rFonts w:ascii="Times New Roman" w:eastAsia="Calibri" w:hAnsi="Times New Roman"/>
                <w:b/>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92E605F" w14:textId="77777777" w:rsidR="00D67F51" w:rsidRPr="00941E30" w:rsidRDefault="00D67F51">
            <w:pPr>
              <w:rPr>
                <w:rFonts w:ascii="Times New Roman" w:eastAsia="Calibri" w:hAnsi="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33408A3"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Submit final costed PMB benefit package. Once approved, publish new regulations and code of conduct</w:t>
            </w:r>
          </w:p>
        </w:tc>
      </w:tr>
      <w:tr w:rsidR="00D67F51" w:rsidRPr="0093633A" w14:paraId="7D5D2130" w14:textId="77777777" w:rsidTr="00941E30">
        <w:trPr>
          <w:trHeight w:val="285"/>
        </w:trPr>
        <w:tc>
          <w:tcPr>
            <w:tcW w:w="2605" w:type="dxa"/>
            <w:vMerge/>
            <w:tcBorders>
              <w:left w:val="single" w:sz="4" w:space="0" w:color="000000"/>
              <w:right w:val="single" w:sz="4" w:space="0" w:color="000000"/>
            </w:tcBorders>
            <w:shd w:val="clear" w:color="auto" w:fill="auto"/>
          </w:tcPr>
          <w:p w14:paraId="60C738BB" w14:textId="77777777" w:rsidR="00D67F51" w:rsidRPr="00941E30" w:rsidRDefault="00D67F51">
            <w:pPr>
              <w:ind w:left="450"/>
              <w:rPr>
                <w:rFonts w:ascii="Times New Roman" w:eastAsia="Calibri" w:hAnsi="Times New Roman"/>
                <w:sz w:val="20"/>
                <w:szCs w:val="20"/>
              </w:rPr>
            </w:pPr>
          </w:p>
        </w:tc>
        <w:tc>
          <w:tcPr>
            <w:tcW w:w="3780" w:type="dxa"/>
            <w:vMerge w:val="restart"/>
            <w:tcBorders>
              <w:top w:val="single" w:sz="4" w:space="0" w:color="000000"/>
              <w:left w:val="single" w:sz="4" w:space="0" w:color="000000"/>
              <w:right w:val="single" w:sz="4" w:space="0" w:color="000000"/>
            </w:tcBorders>
            <w:shd w:val="clear" w:color="auto" w:fill="auto"/>
          </w:tcPr>
          <w:p w14:paraId="55D84DC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Provide clinical opinions to resolve complaints and enquiries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2D9294"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90% of clinical opinions provided within 30 days of receipt</w:t>
            </w:r>
          </w:p>
        </w:tc>
      </w:tr>
      <w:tr w:rsidR="00D67F51" w:rsidRPr="0093633A" w14:paraId="3383BBA5" w14:textId="77777777" w:rsidTr="00941E30">
        <w:trPr>
          <w:trHeight w:val="285"/>
        </w:trPr>
        <w:tc>
          <w:tcPr>
            <w:tcW w:w="2605" w:type="dxa"/>
            <w:vMerge/>
            <w:tcBorders>
              <w:left w:val="single" w:sz="4" w:space="0" w:color="000000"/>
              <w:bottom w:val="single" w:sz="4" w:space="0" w:color="auto"/>
              <w:right w:val="single" w:sz="4" w:space="0" w:color="000000"/>
            </w:tcBorders>
            <w:shd w:val="clear" w:color="auto" w:fill="auto"/>
          </w:tcPr>
          <w:p w14:paraId="78CF1E14" w14:textId="77777777" w:rsidR="00D67F51" w:rsidRPr="00941E30" w:rsidRDefault="00D67F51">
            <w:pPr>
              <w:ind w:left="450"/>
              <w:rPr>
                <w:rFonts w:ascii="Times New Roman" w:eastAsia="Calibri" w:hAnsi="Times New Roman"/>
                <w:sz w:val="20"/>
                <w:szCs w:val="20"/>
              </w:rPr>
            </w:pPr>
          </w:p>
        </w:tc>
        <w:tc>
          <w:tcPr>
            <w:tcW w:w="3780" w:type="dxa"/>
            <w:vMerge/>
            <w:tcBorders>
              <w:left w:val="single" w:sz="4" w:space="0" w:color="000000"/>
              <w:right w:val="single" w:sz="4" w:space="0" w:color="000000"/>
            </w:tcBorders>
            <w:shd w:val="clear" w:color="auto" w:fill="auto"/>
          </w:tcPr>
          <w:p w14:paraId="3CC1D7FB" w14:textId="77777777" w:rsidR="00D67F51" w:rsidRPr="00941E30" w:rsidRDefault="00D67F51">
            <w:pPr>
              <w:rPr>
                <w:rFonts w:ascii="Times New Roman" w:eastAsia="Calibri" w:hAnsi="Times New Roman"/>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387959E"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90% of clinical enquiries received via e-mail or telephone and responded to within 7 days</w:t>
            </w:r>
          </w:p>
        </w:tc>
      </w:tr>
      <w:tr w:rsidR="00D67F51" w:rsidRPr="0093633A" w14:paraId="40F3B879" w14:textId="77777777" w:rsidTr="00941E30">
        <w:trPr>
          <w:trHeight w:val="285"/>
        </w:trPr>
        <w:tc>
          <w:tcPr>
            <w:tcW w:w="2605" w:type="dxa"/>
            <w:vMerge w:val="restart"/>
            <w:tcBorders>
              <w:top w:val="single" w:sz="4" w:space="0" w:color="000000"/>
              <w:left w:val="single" w:sz="4" w:space="0" w:color="000000"/>
              <w:right w:val="single" w:sz="4" w:space="0" w:color="000000"/>
            </w:tcBorders>
            <w:shd w:val="clear" w:color="auto" w:fill="auto"/>
          </w:tcPr>
          <w:p w14:paraId="5FC27C7C"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ACCREDITATION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32E8F31"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Accredit brokers based on their compliance with the requirements for accreditation in order to provide broker services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C382516"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4 980 ‒  brokers and broker organisations accredited</w:t>
            </w:r>
          </w:p>
        </w:tc>
      </w:tr>
      <w:tr w:rsidR="00D67F51" w:rsidRPr="0093633A" w14:paraId="061BE246" w14:textId="77777777" w:rsidTr="00941E30">
        <w:trPr>
          <w:trHeight w:val="285"/>
        </w:trPr>
        <w:tc>
          <w:tcPr>
            <w:tcW w:w="2605" w:type="dxa"/>
            <w:vMerge/>
            <w:tcBorders>
              <w:left w:val="single" w:sz="4" w:space="0" w:color="000000"/>
              <w:right w:val="single" w:sz="4" w:space="0" w:color="000000"/>
            </w:tcBorders>
            <w:shd w:val="clear" w:color="auto" w:fill="auto"/>
          </w:tcPr>
          <w:p w14:paraId="60F8E0FB" w14:textId="77777777" w:rsidR="00D67F51" w:rsidRPr="00941E30" w:rsidRDefault="00D67F51">
            <w:pPr>
              <w:ind w:left="450"/>
              <w:rPr>
                <w:rFonts w:ascii="Times New Roman" w:eastAsia="Calibri" w:hAnsi="Times New Roman"/>
                <w:b/>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6DBF405"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Accredit Managed Care Organisations (MCOs) based on their compliance with the accreditation requirements in order to provide managed care services as defined</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F2D40C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25  ‒ MCOs applications</w:t>
            </w:r>
          </w:p>
        </w:tc>
      </w:tr>
      <w:tr w:rsidR="00D67F51" w:rsidRPr="0093633A" w14:paraId="44822359" w14:textId="77777777" w:rsidTr="00941E30">
        <w:trPr>
          <w:trHeight w:val="285"/>
        </w:trPr>
        <w:tc>
          <w:tcPr>
            <w:tcW w:w="2605" w:type="dxa"/>
            <w:vMerge/>
            <w:tcBorders>
              <w:left w:val="single" w:sz="4" w:space="0" w:color="000000"/>
              <w:bottom w:val="single" w:sz="4" w:space="0" w:color="auto"/>
              <w:right w:val="single" w:sz="4" w:space="0" w:color="000000"/>
            </w:tcBorders>
            <w:shd w:val="clear" w:color="auto" w:fill="auto"/>
          </w:tcPr>
          <w:p w14:paraId="76C45D2F" w14:textId="77777777" w:rsidR="00D67F51" w:rsidRPr="00941E30" w:rsidRDefault="00D67F51">
            <w:pPr>
              <w:ind w:left="450"/>
              <w:rPr>
                <w:rFonts w:ascii="Times New Roman" w:eastAsia="Calibri" w:hAnsi="Times New Roman"/>
                <w:b/>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637D865"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Accredit administrators and issue compliance certificates to self-administered schemes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7759281"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14  ‒ applications by administrators and self-administered schemes accredited</w:t>
            </w:r>
          </w:p>
        </w:tc>
      </w:tr>
      <w:tr w:rsidR="00D67F51" w:rsidRPr="0093633A" w14:paraId="62E5417C" w14:textId="77777777" w:rsidTr="00941E30">
        <w:trPr>
          <w:trHeight w:val="285"/>
        </w:trPr>
        <w:tc>
          <w:tcPr>
            <w:tcW w:w="2605" w:type="dxa"/>
            <w:vMerge w:val="restart"/>
            <w:tcBorders>
              <w:top w:val="single" w:sz="4" w:space="0" w:color="000000"/>
              <w:left w:val="single" w:sz="4" w:space="0" w:color="000000"/>
              <w:right w:val="single" w:sz="4" w:space="0" w:color="000000"/>
            </w:tcBorders>
            <w:shd w:val="clear" w:color="auto" w:fill="auto"/>
          </w:tcPr>
          <w:p w14:paraId="4F92E7EB"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RESEARCH AND MONITORING</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1D8135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Conduct research to inform policy interventions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96BAD53"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8 ‒ research projects</w:t>
            </w:r>
          </w:p>
        </w:tc>
      </w:tr>
      <w:tr w:rsidR="00D67F51" w:rsidRPr="0093633A" w14:paraId="46F0793F" w14:textId="77777777" w:rsidTr="00941E30">
        <w:trPr>
          <w:trHeight w:val="285"/>
        </w:trPr>
        <w:tc>
          <w:tcPr>
            <w:tcW w:w="2605" w:type="dxa"/>
            <w:vMerge/>
            <w:tcBorders>
              <w:left w:val="single" w:sz="4" w:space="0" w:color="000000"/>
              <w:bottom w:val="single" w:sz="4" w:space="0" w:color="auto"/>
              <w:right w:val="single" w:sz="4" w:space="0" w:color="000000"/>
            </w:tcBorders>
            <w:shd w:val="clear" w:color="auto" w:fill="auto"/>
          </w:tcPr>
          <w:p w14:paraId="100E2750" w14:textId="77777777" w:rsidR="00D67F51" w:rsidRPr="00941E30" w:rsidRDefault="00D67F51">
            <w:pPr>
              <w:ind w:left="450"/>
              <w:rPr>
                <w:rFonts w:ascii="Times New Roman" w:eastAsia="Calibri" w:hAnsi="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A06E5CF"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Monitoring trends to improve regulatory policy and practice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5AADD16"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 ‒  non-financial report submitted for inclusion in the annual report</w:t>
            </w:r>
          </w:p>
        </w:tc>
      </w:tr>
      <w:tr w:rsidR="00D67F51" w:rsidRPr="0093633A" w14:paraId="1DAB6DE3" w14:textId="77777777" w:rsidTr="00941E30">
        <w:tc>
          <w:tcPr>
            <w:tcW w:w="2605" w:type="dxa"/>
            <w:vMerge w:val="restart"/>
            <w:shd w:val="clear" w:color="auto" w:fill="auto"/>
          </w:tcPr>
          <w:p w14:paraId="12684114"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STAKEHOLDER RELATIONS</w:t>
            </w:r>
          </w:p>
        </w:tc>
        <w:tc>
          <w:tcPr>
            <w:tcW w:w="3780" w:type="dxa"/>
            <w:vMerge w:val="restart"/>
            <w:shd w:val="clear" w:color="auto" w:fill="auto"/>
          </w:tcPr>
          <w:p w14:paraId="449551EA"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Create awareness and provide training in order to enhance the visibility and reputation of CMS</w:t>
            </w:r>
          </w:p>
        </w:tc>
        <w:tc>
          <w:tcPr>
            <w:tcW w:w="3420" w:type="dxa"/>
            <w:shd w:val="clear" w:color="auto" w:fill="auto"/>
          </w:tcPr>
          <w:p w14:paraId="2F7459F2"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Ensure 50% member awareness of CMS</w:t>
            </w:r>
          </w:p>
        </w:tc>
      </w:tr>
      <w:tr w:rsidR="00D67F51" w:rsidRPr="0093633A" w14:paraId="7641F647" w14:textId="77777777" w:rsidTr="00941E30">
        <w:tc>
          <w:tcPr>
            <w:tcW w:w="2605" w:type="dxa"/>
            <w:vMerge/>
            <w:shd w:val="clear" w:color="auto" w:fill="auto"/>
          </w:tcPr>
          <w:p w14:paraId="54A35031" w14:textId="77777777" w:rsidR="00D67F51" w:rsidRPr="00941E30" w:rsidRDefault="00D67F51" w:rsidP="00941E30">
            <w:pPr>
              <w:ind w:left="90"/>
              <w:rPr>
                <w:rFonts w:ascii="Times New Roman" w:eastAsia="Calibri" w:hAnsi="Times New Roman"/>
                <w:sz w:val="20"/>
                <w:szCs w:val="20"/>
              </w:rPr>
            </w:pPr>
          </w:p>
        </w:tc>
        <w:tc>
          <w:tcPr>
            <w:tcW w:w="3780" w:type="dxa"/>
            <w:vMerge/>
            <w:shd w:val="clear" w:color="auto" w:fill="auto"/>
          </w:tcPr>
          <w:p w14:paraId="18484085" w14:textId="77777777" w:rsidR="00D67F51" w:rsidRPr="00941E30" w:rsidRDefault="00D67F51">
            <w:pPr>
              <w:rPr>
                <w:rFonts w:ascii="Times New Roman" w:eastAsia="Calibri" w:hAnsi="Times New Roman"/>
                <w:sz w:val="20"/>
                <w:szCs w:val="20"/>
              </w:rPr>
            </w:pPr>
          </w:p>
        </w:tc>
        <w:tc>
          <w:tcPr>
            <w:tcW w:w="3420" w:type="dxa"/>
            <w:shd w:val="clear" w:color="auto" w:fill="auto"/>
          </w:tcPr>
          <w:p w14:paraId="26DFE431"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45 ‒ stakeholder training and awareness sessions conducted </w:t>
            </w:r>
          </w:p>
        </w:tc>
      </w:tr>
      <w:tr w:rsidR="00D67F51" w:rsidRPr="0093633A" w14:paraId="4279D8D6" w14:textId="77777777" w:rsidTr="00941E30">
        <w:tc>
          <w:tcPr>
            <w:tcW w:w="2605" w:type="dxa"/>
            <w:vMerge/>
            <w:shd w:val="clear" w:color="auto" w:fill="auto"/>
          </w:tcPr>
          <w:p w14:paraId="5B91F0C3" w14:textId="77777777" w:rsidR="00D67F51" w:rsidRPr="00941E30" w:rsidRDefault="00D67F51">
            <w:pPr>
              <w:ind w:left="450"/>
              <w:rPr>
                <w:rFonts w:ascii="Times New Roman" w:eastAsia="Calibri" w:hAnsi="Times New Roman"/>
                <w:sz w:val="20"/>
                <w:szCs w:val="20"/>
              </w:rPr>
            </w:pPr>
          </w:p>
        </w:tc>
        <w:tc>
          <w:tcPr>
            <w:tcW w:w="3780" w:type="dxa"/>
            <w:vMerge w:val="restart"/>
            <w:shd w:val="clear" w:color="auto" w:fill="auto"/>
          </w:tcPr>
          <w:p w14:paraId="08CE4322"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Communication and engagement to inform and empower stakeholders</w:t>
            </w:r>
          </w:p>
        </w:tc>
        <w:tc>
          <w:tcPr>
            <w:tcW w:w="3420" w:type="dxa"/>
            <w:shd w:val="clear" w:color="auto" w:fill="auto"/>
          </w:tcPr>
          <w:p w14:paraId="6BF21E1B"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1 ‒ CMS annual report by 31 August </w:t>
            </w:r>
          </w:p>
        </w:tc>
      </w:tr>
      <w:tr w:rsidR="00D67F51" w:rsidRPr="0093633A" w14:paraId="5053BC71" w14:textId="77777777" w:rsidTr="00941E30">
        <w:tc>
          <w:tcPr>
            <w:tcW w:w="2605" w:type="dxa"/>
            <w:vMerge/>
            <w:shd w:val="clear" w:color="auto" w:fill="auto"/>
          </w:tcPr>
          <w:p w14:paraId="57805A4A" w14:textId="77777777" w:rsidR="00D67F51" w:rsidRPr="00941E30" w:rsidRDefault="00D67F51">
            <w:pPr>
              <w:ind w:left="450"/>
              <w:rPr>
                <w:rFonts w:ascii="Times New Roman" w:eastAsia="Calibri" w:hAnsi="Times New Roman"/>
                <w:sz w:val="20"/>
                <w:szCs w:val="20"/>
              </w:rPr>
            </w:pPr>
          </w:p>
        </w:tc>
        <w:tc>
          <w:tcPr>
            <w:tcW w:w="3780" w:type="dxa"/>
            <w:vMerge/>
            <w:shd w:val="clear" w:color="auto" w:fill="auto"/>
          </w:tcPr>
          <w:p w14:paraId="7214ACD6" w14:textId="77777777" w:rsidR="00D67F51" w:rsidRPr="00941E30" w:rsidRDefault="00D67F51">
            <w:pPr>
              <w:rPr>
                <w:rFonts w:ascii="Times New Roman" w:eastAsia="Calibri" w:hAnsi="Times New Roman"/>
                <w:sz w:val="20"/>
                <w:szCs w:val="20"/>
              </w:rPr>
            </w:pPr>
          </w:p>
        </w:tc>
        <w:tc>
          <w:tcPr>
            <w:tcW w:w="3420" w:type="dxa"/>
            <w:shd w:val="clear" w:color="auto" w:fill="auto"/>
          </w:tcPr>
          <w:p w14:paraId="1E37736C"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75% of feedback received on CMS reputation through a media monitoring tool, per year</w:t>
            </w:r>
          </w:p>
        </w:tc>
      </w:tr>
      <w:tr w:rsidR="00D67F51" w:rsidRPr="0093633A" w14:paraId="78BC6888" w14:textId="77777777" w:rsidTr="00941E30">
        <w:tc>
          <w:tcPr>
            <w:tcW w:w="2605" w:type="dxa"/>
            <w:vMerge w:val="restart"/>
            <w:shd w:val="clear" w:color="auto" w:fill="auto"/>
          </w:tcPr>
          <w:p w14:paraId="37711C75"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COMPLIANCE AND INVESTIGATIONS</w:t>
            </w:r>
          </w:p>
        </w:tc>
        <w:tc>
          <w:tcPr>
            <w:tcW w:w="3780" w:type="dxa"/>
            <w:shd w:val="clear" w:color="auto" w:fill="auto"/>
          </w:tcPr>
          <w:p w14:paraId="095D9371"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Regulated entities comply with legislation </w:t>
            </w:r>
          </w:p>
        </w:tc>
        <w:tc>
          <w:tcPr>
            <w:tcW w:w="3420" w:type="dxa"/>
            <w:shd w:val="clear" w:color="auto" w:fill="auto"/>
          </w:tcPr>
          <w:p w14:paraId="65EE0ED8"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100% non-compliance cases against regulated entities are undertaken, per year</w:t>
            </w:r>
          </w:p>
        </w:tc>
      </w:tr>
      <w:tr w:rsidR="00D67F51" w:rsidRPr="0093633A" w14:paraId="5EDB5936" w14:textId="77777777" w:rsidTr="00941E30">
        <w:tc>
          <w:tcPr>
            <w:tcW w:w="2605" w:type="dxa"/>
            <w:vMerge/>
            <w:shd w:val="clear" w:color="auto" w:fill="auto"/>
          </w:tcPr>
          <w:p w14:paraId="6F03111B" w14:textId="77777777" w:rsidR="00D67F51" w:rsidRPr="00941E30" w:rsidRDefault="00D67F51">
            <w:pPr>
              <w:ind w:left="450"/>
              <w:rPr>
                <w:rFonts w:ascii="Times New Roman" w:eastAsia="Calibri" w:hAnsi="Times New Roman"/>
                <w:b/>
                <w:sz w:val="20"/>
                <w:szCs w:val="20"/>
              </w:rPr>
            </w:pPr>
          </w:p>
        </w:tc>
        <w:tc>
          <w:tcPr>
            <w:tcW w:w="3780" w:type="dxa"/>
            <w:shd w:val="clear" w:color="auto" w:fill="auto"/>
          </w:tcPr>
          <w:p w14:paraId="63B421A2"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Strengthen and monitor governance systems</w:t>
            </w:r>
          </w:p>
        </w:tc>
        <w:tc>
          <w:tcPr>
            <w:tcW w:w="3420" w:type="dxa"/>
            <w:shd w:val="clear" w:color="auto" w:fill="auto"/>
          </w:tcPr>
          <w:p w14:paraId="107B2231"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85 ‒ governance interventions implemented</w:t>
            </w:r>
          </w:p>
        </w:tc>
      </w:tr>
      <w:tr w:rsidR="00D67F51" w:rsidRPr="0093633A" w14:paraId="206A1C42" w14:textId="77777777" w:rsidTr="00941E30">
        <w:tc>
          <w:tcPr>
            <w:tcW w:w="2605" w:type="dxa"/>
            <w:vMerge w:val="restart"/>
            <w:shd w:val="clear" w:color="auto" w:fill="auto"/>
          </w:tcPr>
          <w:p w14:paraId="1FFA5B4A"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 xml:space="preserve">BENEFITS MANAGEMENT </w:t>
            </w:r>
          </w:p>
        </w:tc>
        <w:tc>
          <w:tcPr>
            <w:tcW w:w="3780" w:type="dxa"/>
            <w:vMerge w:val="restart"/>
            <w:shd w:val="clear" w:color="auto" w:fill="auto"/>
          </w:tcPr>
          <w:p w14:paraId="628CE439"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Ensure that rules of the schemes are fair and compliant with the Medical Schemes Act</w:t>
            </w:r>
          </w:p>
        </w:tc>
        <w:tc>
          <w:tcPr>
            <w:tcW w:w="3420" w:type="dxa"/>
            <w:shd w:val="clear" w:color="auto" w:fill="auto"/>
          </w:tcPr>
          <w:p w14:paraId="521C3D57"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80% interim rule amendments are processed within 14 days of receipt</w:t>
            </w:r>
          </w:p>
        </w:tc>
      </w:tr>
      <w:tr w:rsidR="00D67F51" w:rsidRPr="0093633A" w14:paraId="2FBBD8B4" w14:textId="77777777" w:rsidTr="00941E30">
        <w:tc>
          <w:tcPr>
            <w:tcW w:w="2605" w:type="dxa"/>
            <w:vMerge/>
            <w:shd w:val="clear" w:color="auto" w:fill="auto"/>
          </w:tcPr>
          <w:p w14:paraId="21CAC7CD" w14:textId="77777777" w:rsidR="00D67F51" w:rsidRPr="00941E30" w:rsidRDefault="00D67F51">
            <w:pPr>
              <w:ind w:left="450"/>
              <w:rPr>
                <w:rFonts w:ascii="Times New Roman" w:eastAsia="Calibri" w:hAnsi="Times New Roman"/>
                <w:sz w:val="20"/>
                <w:szCs w:val="20"/>
              </w:rPr>
            </w:pPr>
          </w:p>
        </w:tc>
        <w:tc>
          <w:tcPr>
            <w:tcW w:w="3780" w:type="dxa"/>
            <w:vMerge/>
            <w:shd w:val="clear" w:color="auto" w:fill="auto"/>
          </w:tcPr>
          <w:p w14:paraId="7B5FC34F" w14:textId="77777777" w:rsidR="00D67F51" w:rsidRPr="00941E30" w:rsidRDefault="00D67F51">
            <w:pPr>
              <w:rPr>
                <w:rFonts w:ascii="Times New Roman" w:eastAsia="Calibri" w:hAnsi="Times New Roman"/>
                <w:sz w:val="20"/>
                <w:szCs w:val="20"/>
              </w:rPr>
            </w:pPr>
          </w:p>
        </w:tc>
        <w:tc>
          <w:tcPr>
            <w:tcW w:w="3420" w:type="dxa"/>
            <w:shd w:val="clear" w:color="auto" w:fill="auto"/>
          </w:tcPr>
          <w:p w14:paraId="23D4A49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90% of annual rule amendments are processed before 31 December each year</w:t>
            </w:r>
          </w:p>
        </w:tc>
      </w:tr>
      <w:tr w:rsidR="00D67F51" w:rsidRPr="0093633A" w14:paraId="081106D6" w14:textId="77777777" w:rsidTr="00941E30">
        <w:tc>
          <w:tcPr>
            <w:tcW w:w="2605" w:type="dxa"/>
            <w:vMerge w:val="restart"/>
            <w:shd w:val="clear" w:color="auto" w:fill="auto"/>
          </w:tcPr>
          <w:p w14:paraId="547537AC"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FINANCIAL SUPERVISION</w:t>
            </w:r>
          </w:p>
        </w:tc>
        <w:tc>
          <w:tcPr>
            <w:tcW w:w="3780" w:type="dxa"/>
            <w:vMerge w:val="restart"/>
            <w:shd w:val="clear" w:color="auto" w:fill="auto"/>
          </w:tcPr>
          <w:p w14:paraId="2FE5A9DC"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Manage and promote financial soundness of medical schemes</w:t>
            </w:r>
          </w:p>
        </w:tc>
        <w:tc>
          <w:tcPr>
            <w:tcW w:w="3420" w:type="dxa"/>
            <w:shd w:val="clear" w:color="auto" w:fill="auto"/>
          </w:tcPr>
          <w:p w14:paraId="18B237BD"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Recommendations in respect of Regulation 29 for 100% of business plans received </w:t>
            </w:r>
          </w:p>
        </w:tc>
      </w:tr>
      <w:tr w:rsidR="00D67F51" w:rsidRPr="0093633A" w14:paraId="034B4152" w14:textId="77777777" w:rsidTr="00941E30">
        <w:tc>
          <w:tcPr>
            <w:tcW w:w="2605" w:type="dxa"/>
            <w:vMerge/>
            <w:shd w:val="clear" w:color="auto" w:fill="auto"/>
          </w:tcPr>
          <w:p w14:paraId="103FE390" w14:textId="77777777" w:rsidR="00D67F51" w:rsidRPr="00941E30" w:rsidRDefault="00D67F51">
            <w:pPr>
              <w:ind w:left="450"/>
              <w:rPr>
                <w:rFonts w:ascii="Times New Roman" w:eastAsia="Calibri" w:hAnsi="Times New Roman"/>
                <w:sz w:val="20"/>
                <w:szCs w:val="20"/>
              </w:rPr>
            </w:pPr>
          </w:p>
        </w:tc>
        <w:tc>
          <w:tcPr>
            <w:tcW w:w="3780" w:type="dxa"/>
            <w:vMerge/>
            <w:shd w:val="clear" w:color="auto" w:fill="auto"/>
          </w:tcPr>
          <w:p w14:paraId="7E09B80B" w14:textId="77777777" w:rsidR="00D67F51" w:rsidRPr="00941E30" w:rsidRDefault="00D67F51">
            <w:pPr>
              <w:rPr>
                <w:rFonts w:ascii="Times New Roman" w:eastAsia="Calibri" w:hAnsi="Times New Roman"/>
                <w:sz w:val="20"/>
                <w:szCs w:val="20"/>
              </w:rPr>
            </w:pPr>
          </w:p>
        </w:tc>
        <w:tc>
          <w:tcPr>
            <w:tcW w:w="3420" w:type="dxa"/>
            <w:shd w:val="clear" w:color="auto" w:fill="auto"/>
          </w:tcPr>
          <w:p w14:paraId="55E668B1"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Recommendations on action plans for schemes with rapidly reducing solvency for 100% of schemes identified</w:t>
            </w:r>
          </w:p>
        </w:tc>
      </w:tr>
      <w:tr w:rsidR="00D67F51" w:rsidRPr="0093633A" w14:paraId="3AE3B45E" w14:textId="77777777" w:rsidTr="00941E30">
        <w:tc>
          <w:tcPr>
            <w:tcW w:w="2605" w:type="dxa"/>
            <w:vMerge/>
            <w:shd w:val="clear" w:color="auto" w:fill="auto"/>
          </w:tcPr>
          <w:p w14:paraId="7915934B" w14:textId="77777777" w:rsidR="00D67F51" w:rsidRPr="00941E30" w:rsidRDefault="00D67F51">
            <w:pPr>
              <w:ind w:left="450"/>
              <w:rPr>
                <w:rFonts w:ascii="Times New Roman" w:eastAsia="Calibri" w:hAnsi="Times New Roman"/>
                <w:sz w:val="20"/>
                <w:szCs w:val="20"/>
              </w:rPr>
            </w:pPr>
          </w:p>
        </w:tc>
        <w:tc>
          <w:tcPr>
            <w:tcW w:w="3780" w:type="dxa"/>
            <w:vMerge/>
            <w:shd w:val="clear" w:color="auto" w:fill="auto"/>
          </w:tcPr>
          <w:p w14:paraId="4BC0A067" w14:textId="77777777" w:rsidR="00D67F51" w:rsidRPr="00941E30" w:rsidRDefault="00D67F51">
            <w:pPr>
              <w:rPr>
                <w:rFonts w:ascii="Times New Roman" w:eastAsia="Calibri" w:hAnsi="Times New Roman"/>
                <w:sz w:val="20"/>
                <w:szCs w:val="20"/>
              </w:rPr>
            </w:pPr>
          </w:p>
        </w:tc>
        <w:tc>
          <w:tcPr>
            <w:tcW w:w="3420" w:type="dxa"/>
            <w:shd w:val="clear" w:color="auto" w:fill="auto"/>
          </w:tcPr>
          <w:p w14:paraId="37D67F70"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100% of auditor applications authorised or rejected</w:t>
            </w:r>
          </w:p>
        </w:tc>
      </w:tr>
      <w:tr w:rsidR="00D67F51" w:rsidRPr="0093633A" w14:paraId="07413B6B" w14:textId="77777777" w:rsidTr="00941E30">
        <w:tc>
          <w:tcPr>
            <w:tcW w:w="2605" w:type="dxa"/>
            <w:vMerge/>
            <w:shd w:val="clear" w:color="auto" w:fill="auto"/>
          </w:tcPr>
          <w:p w14:paraId="4C8B5B54" w14:textId="77777777" w:rsidR="00D67F51" w:rsidRPr="00941E30" w:rsidRDefault="00D67F51">
            <w:pPr>
              <w:ind w:left="450"/>
              <w:rPr>
                <w:rFonts w:ascii="Times New Roman" w:eastAsia="Calibri" w:hAnsi="Times New Roman"/>
                <w:sz w:val="20"/>
                <w:szCs w:val="20"/>
              </w:rPr>
            </w:pPr>
          </w:p>
        </w:tc>
        <w:tc>
          <w:tcPr>
            <w:tcW w:w="3780" w:type="dxa"/>
            <w:vMerge/>
            <w:shd w:val="clear" w:color="auto" w:fill="auto"/>
          </w:tcPr>
          <w:p w14:paraId="193B95E9" w14:textId="77777777" w:rsidR="00D67F51" w:rsidRPr="00941E30" w:rsidRDefault="00D67F51">
            <w:pPr>
              <w:rPr>
                <w:rFonts w:ascii="Times New Roman" w:eastAsia="Calibri" w:hAnsi="Times New Roman"/>
                <w:sz w:val="20"/>
                <w:szCs w:val="20"/>
              </w:rPr>
            </w:pPr>
          </w:p>
        </w:tc>
        <w:tc>
          <w:tcPr>
            <w:tcW w:w="3420" w:type="dxa"/>
            <w:shd w:val="clear" w:color="auto" w:fill="auto"/>
          </w:tcPr>
          <w:p w14:paraId="1DF2D0CE"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3 ‒ quarterly financial return reports published </w:t>
            </w:r>
          </w:p>
        </w:tc>
      </w:tr>
      <w:tr w:rsidR="00D67F51" w:rsidRPr="0093633A" w14:paraId="5FC9569F" w14:textId="77777777" w:rsidTr="00941E30">
        <w:tc>
          <w:tcPr>
            <w:tcW w:w="2605" w:type="dxa"/>
            <w:vMerge/>
            <w:shd w:val="clear" w:color="auto" w:fill="auto"/>
          </w:tcPr>
          <w:p w14:paraId="6C911D68" w14:textId="77777777" w:rsidR="00D67F51" w:rsidRPr="00941E30" w:rsidRDefault="00D67F51">
            <w:pPr>
              <w:ind w:left="450"/>
              <w:rPr>
                <w:rFonts w:ascii="Times New Roman" w:eastAsia="Calibri" w:hAnsi="Times New Roman"/>
                <w:sz w:val="20"/>
                <w:szCs w:val="20"/>
              </w:rPr>
            </w:pPr>
          </w:p>
        </w:tc>
        <w:tc>
          <w:tcPr>
            <w:tcW w:w="3780" w:type="dxa"/>
            <w:vMerge/>
            <w:shd w:val="clear" w:color="auto" w:fill="auto"/>
          </w:tcPr>
          <w:p w14:paraId="16221F10" w14:textId="77777777" w:rsidR="00D67F51" w:rsidRPr="00941E30" w:rsidRDefault="00D67F51">
            <w:pPr>
              <w:rPr>
                <w:rFonts w:ascii="Times New Roman" w:eastAsia="Calibri" w:hAnsi="Times New Roman"/>
                <w:sz w:val="20"/>
                <w:szCs w:val="20"/>
              </w:rPr>
            </w:pPr>
          </w:p>
        </w:tc>
        <w:tc>
          <w:tcPr>
            <w:tcW w:w="3420" w:type="dxa"/>
            <w:shd w:val="clear" w:color="auto" w:fill="auto"/>
          </w:tcPr>
          <w:p w14:paraId="360E5B17"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1 ‒ Financial section prepared for the annual report </w:t>
            </w:r>
          </w:p>
        </w:tc>
      </w:tr>
      <w:tr w:rsidR="00D67F51" w:rsidRPr="0093633A" w14:paraId="72558F15" w14:textId="77777777" w:rsidTr="00941E30">
        <w:tc>
          <w:tcPr>
            <w:tcW w:w="2605" w:type="dxa"/>
            <w:shd w:val="clear" w:color="auto" w:fill="auto"/>
          </w:tcPr>
          <w:p w14:paraId="4A0D06B9" w14:textId="77777777" w:rsidR="00D67F51" w:rsidRPr="00941E30" w:rsidRDefault="00D67F51" w:rsidP="00941E30">
            <w:pPr>
              <w:ind w:left="90"/>
              <w:rPr>
                <w:rFonts w:ascii="Times New Roman" w:eastAsia="Calibri" w:hAnsi="Times New Roman"/>
                <w:b/>
                <w:sz w:val="20"/>
                <w:szCs w:val="20"/>
              </w:rPr>
            </w:pPr>
            <w:r w:rsidRPr="00941E30">
              <w:rPr>
                <w:rFonts w:ascii="Times New Roman" w:eastAsia="Calibri" w:hAnsi="Times New Roman"/>
                <w:b/>
                <w:sz w:val="20"/>
                <w:szCs w:val="20"/>
              </w:rPr>
              <w:t>COMPLAINTS ADJUDICATION</w:t>
            </w:r>
          </w:p>
        </w:tc>
        <w:tc>
          <w:tcPr>
            <w:tcW w:w="3780" w:type="dxa"/>
            <w:shd w:val="clear" w:color="auto" w:fill="auto"/>
          </w:tcPr>
          <w:p w14:paraId="70C7D5CC"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Resolve complaints with the aim of protecting beneficiaries of medical schemes</w:t>
            </w:r>
          </w:p>
        </w:tc>
        <w:tc>
          <w:tcPr>
            <w:tcW w:w="3420" w:type="dxa"/>
            <w:shd w:val="clear" w:color="auto" w:fill="auto"/>
          </w:tcPr>
          <w:p w14:paraId="3D61F735" w14:textId="77777777" w:rsidR="00D67F51" w:rsidRPr="00941E30" w:rsidRDefault="00D67F51">
            <w:pPr>
              <w:rPr>
                <w:rFonts w:ascii="Times New Roman" w:eastAsia="Calibri" w:hAnsi="Times New Roman"/>
                <w:sz w:val="20"/>
                <w:szCs w:val="20"/>
              </w:rPr>
            </w:pPr>
            <w:r w:rsidRPr="00941E30">
              <w:rPr>
                <w:rFonts w:ascii="Times New Roman" w:eastAsia="Calibri" w:hAnsi="Times New Roman"/>
                <w:sz w:val="20"/>
                <w:szCs w:val="20"/>
              </w:rPr>
              <w:t xml:space="preserve">83% of complaints adjudicated within 120 working days </w:t>
            </w:r>
          </w:p>
        </w:tc>
      </w:tr>
    </w:tbl>
    <w:p w14:paraId="575F08DF" w14:textId="77777777" w:rsidR="00D67F51" w:rsidRDefault="00D67F51" w:rsidP="00085BAF">
      <w:pPr>
        <w:autoSpaceDE w:val="0"/>
        <w:autoSpaceDN w:val="0"/>
        <w:adjustRightInd w:val="0"/>
        <w:rPr>
          <w:rFonts w:ascii="Times New Roman" w:hAnsi="Times New Roman"/>
          <w:b/>
          <w:bCs/>
          <w:sz w:val="24"/>
          <w:szCs w:val="24"/>
          <w:lang w:val="en-ZA" w:eastAsia="en-ZA"/>
        </w:rPr>
      </w:pPr>
    </w:p>
    <w:p w14:paraId="73E430BF" w14:textId="77777777" w:rsidR="00D67F51" w:rsidRPr="00085BAF" w:rsidRDefault="009943B5" w:rsidP="00941E30">
      <w:pPr>
        <w:pStyle w:val="Heading1"/>
        <w:numPr>
          <w:ilvl w:val="0"/>
          <w:numId w:val="0"/>
        </w:numPr>
        <w:jc w:val="both"/>
        <w:rPr>
          <w:rFonts w:ascii="Times New Roman" w:hAnsi="Times New Roman" w:cs="Times New Roman"/>
          <w:sz w:val="24"/>
          <w:szCs w:val="24"/>
          <w:lang w:val="en-ZA" w:eastAsia="en-ZA"/>
        </w:rPr>
      </w:pPr>
      <w:r w:rsidRPr="00085BAF">
        <w:rPr>
          <w:rFonts w:ascii="Times New Roman" w:hAnsi="Times New Roman" w:cs="Times New Roman"/>
          <w:sz w:val="24"/>
          <w:szCs w:val="24"/>
          <w:lang w:val="en-ZA" w:eastAsia="en-ZA"/>
        </w:rPr>
        <w:t xml:space="preserve">Budget </w:t>
      </w:r>
      <w:r w:rsidR="00A9786C">
        <w:rPr>
          <w:rFonts w:ascii="Times New Roman" w:hAnsi="Times New Roman" w:cs="Times New Roman"/>
          <w:sz w:val="24"/>
          <w:szCs w:val="24"/>
          <w:lang w:val="en-ZA" w:eastAsia="en-ZA"/>
        </w:rPr>
        <w:t>Overview</w:t>
      </w:r>
    </w:p>
    <w:p w14:paraId="142EF225" w14:textId="77777777" w:rsidR="00E94D77" w:rsidRPr="00941E30" w:rsidRDefault="00E94D77" w:rsidP="00085BAF">
      <w:pPr>
        <w:rPr>
          <w:rFonts w:ascii="Times New Roman" w:hAnsi="Times New Roman"/>
          <w:lang w:val="en-ZA" w:eastAsia="en-ZA"/>
        </w:rPr>
      </w:pPr>
    </w:p>
    <w:p w14:paraId="680C3880" w14:textId="77777777" w:rsidR="00E94D77" w:rsidRPr="00085BAF" w:rsidRDefault="00E94D77" w:rsidP="00941E30">
      <w:pPr>
        <w:pStyle w:val="ListParagraph"/>
        <w:tabs>
          <w:tab w:val="left" w:pos="720"/>
        </w:tabs>
        <w:spacing w:line="360" w:lineRule="auto"/>
        <w:ind w:left="0"/>
        <w:jc w:val="both"/>
        <w:rPr>
          <w:rFonts w:ascii="Times New Roman" w:hAnsi="Times New Roman"/>
          <w:sz w:val="24"/>
          <w:szCs w:val="24"/>
        </w:rPr>
      </w:pPr>
      <w:r w:rsidRPr="00085BAF">
        <w:rPr>
          <w:rFonts w:ascii="Times New Roman" w:hAnsi="Times New Roman"/>
          <w:bCs/>
          <w:sz w:val="24"/>
          <w:szCs w:val="24"/>
          <w:lang w:val="en-ZA" w:eastAsia="en-ZA"/>
        </w:rPr>
        <w:t xml:space="preserve">The total budget of the CMS for the current financial year is R161.2 million, </w:t>
      </w:r>
      <w:r w:rsidRPr="00085BAF">
        <w:rPr>
          <w:rFonts w:ascii="Times New Roman" w:hAnsi="Times New Roman"/>
          <w:sz w:val="24"/>
          <w:szCs w:val="24"/>
        </w:rPr>
        <w:t>up 4.6</w:t>
      </w:r>
      <w:r w:rsidR="00104807">
        <w:rPr>
          <w:rFonts w:ascii="Times New Roman" w:hAnsi="Times New Roman"/>
          <w:sz w:val="24"/>
          <w:szCs w:val="24"/>
        </w:rPr>
        <w:t>%</w:t>
      </w:r>
      <w:r w:rsidRPr="00085BAF">
        <w:rPr>
          <w:rFonts w:ascii="Times New Roman" w:hAnsi="Times New Roman"/>
          <w:sz w:val="24"/>
          <w:szCs w:val="24"/>
        </w:rPr>
        <w:t xml:space="preserve"> in nominal terms from R154.1 million in 2017/18.</w:t>
      </w:r>
    </w:p>
    <w:p w14:paraId="37E07625" w14:textId="77777777" w:rsidR="00E94D77" w:rsidRPr="00085BAF" w:rsidRDefault="0086606E" w:rsidP="00085BAF">
      <w:pPr>
        <w:autoSpaceDE w:val="0"/>
        <w:autoSpaceDN w:val="0"/>
        <w:adjustRightInd w:val="0"/>
        <w:jc w:val="both"/>
        <w:rPr>
          <w:rFonts w:ascii="Times New Roman" w:hAnsi="Times New Roman"/>
          <w:b/>
          <w:bCs/>
          <w:sz w:val="24"/>
          <w:szCs w:val="24"/>
          <w:lang w:val="en-ZA" w:eastAsia="en-ZA"/>
        </w:rPr>
      </w:pPr>
      <w:r w:rsidRPr="00085BAF">
        <w:rPr>
          <w:rFonts w:ascii="Times New Roman" w:hAnsi="Times New Roman"/>
          <w:noProof/>
          <w:sz w:val="24"/>
          <w:szCs w:val="24"/>
          <w:lang w:val="en-ZA" w:eastAsia="en-ZA"/>
        </w:rPr>
        <mc:AlternateContent>
          <mc:Choice Requires="wps">
            <w:drawing>
              <wp:anchor distT="0" distB="0" distL="114300" distR="114300" simplePos="0" relativeHeight="251706368" behindDoc="0" locked="0" layoutInCell="1" allowOverlap="1" wp14:anchorId="028A6E12" wp14:editId="13AD6143">
                <wp:simplePos x="0" y="0"/>
                <wp:positionH relativeFrom="column">
                  <wp:posOffset>38100</wp:posOffset>
                </wp:positionH>
                <wp:positionV relativeFrom="paragraph">
                  <wp:posOffset>148590</wp:posOffset>
                </wp:positionV>
                <wp:extent cx="6076315" cy="17081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FFAC2" w14:textId="77777777" w:rsidR="00CC75C4" w:rsidRPr="00941E30" w:rsidRDefault="00CC75C4" w:rsidP="00E94D77">
                            <w:pPr>
                              <w:pStyle w:val="Caption"/>
                              <w:rPr>
                                <w:rFonts w:ascii="Times New Roman" w:hAnsi="Times New Roman"/>
                                <w:sz w:val="22"/>
                              </w:rPr>
                            </w:pPr>
                            <w:r w:rsidRPr="00941E30">
                              <w:rPr>
                                <w:rFonts w:ascii="Times New Roman" w:hAnsi="Times New Roman"/>
                                <w:sz w:val="22"/>
                              </w:rPr>
                              <w:t>Table 1</w:t>
                            </w:r>
                            <w:r>
                              <w:rPr>
                                <w:rFonts w:ascii="Times New Roman" w:hAnsi="Times New Roman"/>
                                <w:sz w:val="22"/>
                              </w:rPr>
                              <w:t>6</w:t>
                            </w:r>
                            <w:r w:rsidRPr="00941E30">
                              <w:rPr>
                                <w:rFonts w:ascii="Times New Roman" w:hAnsi="Times New Roman"/>
                                <w:sz w:val="22"/>
                              </w:rPr>
                              <w:t xml:space="preserve">: CMS Budget </w:t>
                            </w:r>
                          </w:p>
                          <w:p w14:paraId="1BA3A092" w14:textId="77777777" w:rsidR="00CC75C4" w:rsidRDefault="00CC75C4" w:rsidP="00E94D77"/>
                          <w:p w14:paraId="6F53CE70" w14:textId="77777777" w:rsidR="00CC75C4" w:rsidRPr="00B83F23" w:rsidRDefault="00CC75C4" w:rsidP="00E94D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70FFDBE4" id="Text Box 2" o:spid="_x0000_s1030" type="#_x0000_t202" style="position:absolute;left:0;text-align:left;margin-left:3pt;margin-top:11.7pt;width:478.45pt;height:1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KDew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" stroked="f">
                <v:textbox inset="0,0,0,0">
                  <w:txbxContent>
                    <w:p w:rsidR="00CC75C4" w:rsidRPr="00941E30" w:rsidRDefault="00CC75C4" w:rsidP="00E94D77">
                      <w:pPr>
                        <w:pStyle w:val="Caption"/>
                        <w:rPr>
                          <w:rFonts w:ascii="Times New Roman" w:hAnsi="Times New Roman"/>
                          <w:sz w:val="22"/>
                        </w:rPr>
                      </w:pPr>
                      <w:r w:rsidRPr="00941E30">
                        <w:rPr>
                          <w:rFonts w:ascii="Times New Roman" w:hAnsi="Times New Roman"/>
                          <w:sz w:val="22"/>
                        </w:rPr>
                        <w:t>Table 1</w:t>
                      </w:r>
                      <w:r>
                        <w:rPr>
                          <w:rFonts w:ascii="Times New Roman" w:hAnsi="Times New Roman"/>
                          <w:sz w:val="22"/>
                        </w:rPr>
                        <w:t>6</w:t>
                      </w:r>
                      <w:r w:rsidRPr="00941E30">
                        <w:rPr>
                          <w:rFonts w:ascii="Times New Roman" w:hAnsi="Times New Roman"/>
                          <w:sz w:val="22"/>
                        </w:rPr>
                        <w:t xml:space="preserve">: CMS Budget </w:t>
                      </w:r>
                    </w:p>
                    <w:p w:rsidR="00CC75C4" w:rsidRDefault="00CC75C4" w:rsidP="00E94D77"/>
                    <w:p w:rsidR="00CC75C4" w:rsidRPr="00B83F23" w:rsidRDefault="00CC75C4" w:rsidP="00E94D77"/>
                  </w:txbxContent>
                </v:textbox>
              </v:shape>
            </w:pict>
          </mc:Fallback>
        </mc:AlternateContent>
      </w:r>
    </w:p>
    <w:p w14:paraId="392135A5" w14:textId="77777777" w:rsidR="00E94D77" w:rsidRPr="0093633A" w:rsidRDefault="00E94D77">
      <w:pPr>
        <w:autoSpaceDE w:val="0"/>
        <w:autoSpaceDN w:val="0"/>
        <w:adjustRightInd w:val="0"/>
        <w:jc w:val="both"/>
        <w:rPr>
          <w:rFonts w:ascii="Times New Roman" w:hAnsi="Times New Roman"/>
          <w:b/>
          <w:bCs/>
          <w:sz w:val="24"/>
          <w:szCs w:val="24"/>
          <w:lang w:val="en-ZA" w:eastAsia="en-ZA"/>
        </w:rPr>
      </w:pPr>
      <w:r w:rsidRPr="0093633A">
        <w:rPr>
          <w:rFonts w:ascii="Times New Roman" w:hAnsi="Times New Roman"/>
          <w:b/>
          <w:bCs/>
          <w:sz w:val="24"/>
          <w:szCs w:val="24"/>
          <w:lang w:val="en-ZA" w:eastAsia="en-ZA"/>
        </w:rPr>
        <w:tab/>
      </w:r>
    </w:p>
    <w:tbl>
      <w:tblPr>
        <w:tblW w:w="9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735"/>
        <w:gridCol w:w="1530"/>
        <w:gridCol w:w="1530"/>
        <w:gridCol w:w="1530"/>
      </w:tblGrid>
      <w:tr w:rsidR="00E94D77" w:rsidRPr="009943B5" w14:paraId="173A215C" w14:textId="77777777" w:rsidTr="00941E30">
        <w:trPr>
          <w:trHeight w:val="480"/>
        </w:trPr>
        <w:tc>
          <w:tcPr>
            <w:tcW w:w="3623" w:type="dxa"/>
            <w:vMerge w:val="restart"/>
            <w:shd w:val="clear" w:color="auto" w:fill="D9E2F3"/>
            <w:noWrap/>
          </w:tcPr>
          <w:p w14:paraId="4A13CA5D" w14:textId="77777777" w:rsidR="00E94D77" w:rsidRPr="00941E30" w:rsidRDefault="00E94D77">
            <w:pPr>
              <w:jc w:val="both"/>
              <w:rPr>
                <w:rFonts w:ascii="Times New Roman" w:hAnsi="Times New Roman"/>
                <w:b/>
                <w:bCs/>
                <w:sz w:val="20"/>
                <w:szCs w:val="20"/>
              </w:rPr>
            </w:pPr>
          </w:p>
          <w:p w14:paraId="7447404D" w14:textId="77777777" w:rsidR="00E94D77" w:rsidRPr="00941E30" w:rsidRDefault="00E94D77">
            <w:pPr>
              <w:jc w:val="both"/>
              <w:rPr>
                <w:rFonts w:ascii="Times New Roman" w:hAnsi="Times New Roman"/>
                <w:b/>
                <w:bCs/>
                <w:sz w:val="20"/>
                <w:szCs w:val="20"/>
              </w:rPr>
            </w:pPr>
            <w:r w:rsidRPr="00941E30">
              <w:rPr>
                <w:rFonts w:ascii="Times New Roman" w:hAnsi="Times New Roman"/>
                <w:b/>
                <w:bCs/>
                <w:sz w:val="20"/>
                <w:szCs w:val="20"/>
              </w:rPr>
              <w:t>Programme</w:t>
            </w:r>
          </w:p>
          <w:p w14:paraId="6C7AC71A" w14:textId="77777777" w:rsidR="00E94D77" w:rsidRPr="00941E30" w:rsidRDefault="00E94D77">
            <w:pPr>
              <w:jc w:val="both"/>
              <w:rPr>
                <w:rFonts w:ascii="Times New Roman" w:hAnsi="Times New Roman"/>
                <w:sz w:val="20"/>
                <w:szCs w:val="20"/>
              </w:rPr>
            </w:pPr>
          </w:p>
          <w:p w14:paraId="3D351779" w14:textId="77777777" w:rsidR="00E94D77" w:rsidRPr="00941E30" w:rsidRDefault="00E94D77">
            <w:pPr>
              <w:jc w:val="both"/>
              <w:rPr>
                <w:rFonts w:ascii="Times New Roman" w:hAnsi="Times New Roman"/>
                <w:sz w:val="20"/>
                <w:szCs w:val="20"/>
              </w:rPr>
            </w:pPr>
          </w:p>
          <w:p w14:paraId="38D24D81" w14:textId="77777777" w:rsidR="00E94D77" w:rsidRPr="00941E30" w:rsidRDefault="00E94D77">
            <w:pPr>
              <w:jc w:val="both"/>
              <w:rPr>
                <w:rFonts w:ascii="Times New Roman" w:hAnsi="Times New Roman"/>
                <w:sz w:val="20"/>
                <w:szCs w:val="20"/>
              </w:rPr>
            </w:pPr>
            <w:r w:rsidRPr="00941E30">
              <w:rPr>
                <w:rFonts w:ascii="Times New Roman" w:hAnsi="Times New Roman"/>
                <w:b/>
                <w:bCs/>
                <w:sz w:val="20"/>
                <w:szCs w:val="20"/>
              </w:rPr>
              <w:t>R thousand</w:t>
            </w:r>
          </w:p>
        </w:tc>
        <w:tc>
          <w:tcPr>
            <w:tcW w:w="1735" w:type="dxa"/>
            <w:shd w:val="clear" w:color="auto" w:fill="D9E2F3"/>
          </w:tcPr>
          <w:p w14:paraId="76F431D1" w14:textId="77777777" w:rsidR="00E94D77" w:rsidRPr="00941E30" w:rsidRDefault="00E94D77">
            <w:pPr>
              <w:jc w:val="both"/>
              <w:rPr>
                <w:rFonts w:ascii="Times New Roman" w:hAnsi="Times New Roman"/>
                <w:b/>
                <w:bCs/>
                <w:sz w:val="20"/>
                <w:szCs w:val="20"/>
              </w:rPr>
            </w:pPr>
            <w:r w:rsidRPr="00941E30">
              <w:rPr>
                <w:rFonts w:ascii="Times New Roman" w:hAnsi="Times New Roman"/>
                <w:b/>
                <w:bCs/>
                <w:sz w:val="20"/>
                <w:szCs w:val="20"/>
              </w:rPr>
              <w:t>Adjusted appropriation</w:t>
            </w:r>
          </w:p>
          <w:p w14:paraId="1128049B" w14:textId="77777777" w:rsidR="00E94D77" w:rsidRPr="00941E30" w:rsidRDefault="00E94D77">
            <w:pPr>
              <w:jc w:val="both"/>
              <w:rPr>
                <w:rFonts w:ascii="Times New Roman" w:hAnsi="Times New Roman"/>
                <w:b/>
                <w:bCs/>
                <w:sz w:val="20"/>
                <w:szCs w:val="20"/>
              </w:rPr>
            </w:pPr>
          </w:p>
        </w:tc>
        <w:tc>
          <w:tcPr>
            <w:tcW w:w="4590" w:type="dxa"/>
            <w:gridSpan w:val="3"/>
            <w:shd w:val="clear" w:color="auto" w:fill="D9E2F3"/>
          </w:tcPr>
          <w:p w14:paraId="47457484" w14:textId="77777777" w:rsidR="00E94D77" w:rsidRPr="00941E30" w:rsidRDefault="00E94D77">
            <w:pPr>
              <w:jc w:val="both"/>
              <w:rPr>
                <w:rFonts w:ascii="Times New Roman" w:hAnsi="Times New Roman"/>
                <w:b/>
                <w:sz w:val="20"/>
                <w:szCs w:val="20"/>
              </w:rPr>
            </w:pPr>
          </w:p>
          <w:p w14:paraId="4E93CD5C" w14:textId="77777777" w:rsidR="00E94D77" w:rsidRPr="00941E30" w:rsidRDefault="00E94D77">
            <w:pPr>
              <w:jc w:val="both"/>
              <w:rPr>
                <w:rFonts w:ascii="Times New Roman" w:hAnsi="Times New Roman"/>
                <w:b/>
                <w:bCs/>
                <w:sz w:val="20"/>
                <w:szCs w:val="20"/>
              </w:rPr>
            </w:pPr>
            <w:r w:rsidRPr="00941E30">
              <w:rPr>
                <w:rFonts w:ascii="Times New Roman" w:hAnsi="Times New Roman"/>
                <w:b/>
                <w:sz w:val="20"/>
                <w:szCs w:val="20"/>
              </w:rPr>
              <w:t>Medium-term expenditure allocations</w:t>
            </w:r>
          </w:p>
        </w:tc>
      </w:tr>
      <w:tr w:rsidR="00E94D77" w:rsidRPr="009943B5" w14:paraId="6BCB2529" w14:textId="77777777" w:rsidTr="00941E30">
        <w:trPr>
          <w:trHeight w:val="264"/>
        </w:trPr>
        <w:tc>
          <w:tcPr>
            <w:tcW w:w="3623" w:type="dxa"/>
            <w:vMerge/>
            <w:shd w:val="clear" w:color="auto" w:fill="D9E2F3"/>
            <w:noWrap/>
            <w:hideMark/>
          </w:tcPr>
          <w:p w14:paraId="2C1E7F38" w14:textId="77777777" w:rsidR="00E94D77" w:rsidRPr="00941E30" w:rsidRDefault="00E94D77">
            <w:pPr>
              <w:jc w:val="both"/>
              <w:rPr>
                <w:rFonts w:ascii="Times New Roman" w:hAnsi="Times New Roman"/>
                <w:b/>
                <w:bCs/>
                <w:sz w:val="20"/>
                <w:szCs w:val="20"/>
              </w:rPr>
            </w:pPr>
          </w:p>
        </w:tc>
        <w:tc>
          <w:tcPr>
            <w:tcW w:w="1735" w:type="dxa"/>
            <w:shd w:val="clear" w:color="auto" w:fill="D9E2F3"/>
            <w:noWrap/>
            <w:hideMark/>
          </w:tcPr>
          <w:p w14:paraId="2903550C" w14:textId="77777777" w:rsidR="00E94D77" w:rsidRPr="00941E30" w:rsidRDefault="00E94D77">
            <w:pPr>
              <w:jc w:val="both"/>
              <w:rPr>
                <w:rFonts w:ascii="Times New Roman" w:hAnsi="Times New Roman"/>
                <w:b/>
                <w:bCs/>
                <w:sz w:val="20"/>
                <w:szCs w:val="20"/>
              </w:rPr>
            </w:pPr>
            <w:r w:rsidRPr="00941E30">
              <w:rPr>
                <w:rFonts w:ascii="Times New Roman" w:hAnsi="Times New Roman"/>
                <w:b/>
                <w:bCs/>
                <w:sz w:val="20"/>
                <w:szCs w:val="20"/>
              </w:rPr>
              <w:t>2017/18</w:t>
            </w:r>
          </w:p>
        </w:tc>
        <w:tc>
          <w:tcPr>
            <w:tcW w:w="1530" w:type="dxa"/>
            <w:shd w:val="clear" w:color="auto" w:fill="D9E2F3"/>
            <w:noWrap/>
            <w:hideMark/>
          </w:tcPr>
          <w:p w14:paraId="7FE26EB1" w14:textId="77777777" w:rsidR="00E94D77" w:rsidRPr="00941E30" w:rsidRDefault="00E94D77">
            <w:pPr>
              <w:jc w:val="both"/>
              <w:rPr>
                <w:rFonts w:ascii="Times New Roman" w:hAnsi="Times New Roman"/>
                <w:b/>
                <w:bCs/>
                <w:sz w:val="20"/>
                <w:szCs w:val="20"/>
              </w:rPr>
            </w:pPr>
            <w:r w:rsidRPr="00941E30">
              <w:rPr>
                <w:rFonts w:ascii="Times New Roman" w:hAnsi="Times New Roman"/>
                <w:b/>
                <w:bCs/>
                <w:sz w:val="20"/>
                <w:szCs w:val="20"/>
              </w:rPr>
              <w:t>2018/19</w:t>
            </w:r>
          </w:p>
        </w:tc>
        <w:tc>
          <w:tcPr>
            <w:tcW w:w="1530" w:type="dxa"/>
            <w:shd w:val="clear" w:color="auto" w:fill="D9E2F3"/>
          </w:tcPr>
          <w:p w14:paraId="2CBD8B7E" w14:textId="77777777" w:rsidR="00E94D77" w:rsidRPr="00941E30" w:rsidRDefault="00E94D77">
            <w:pPr>
              <w:jc w:val="both"/>
              <w:rPr>
                <w:rFonts w:ascii="Times New Roman" w:hAnsi="Times New Roman"/>
                <w:b/>
                <w:bCs/>
                <w:sz w:val="20"/>
                <w:szCs w:val="20"/>
              </w:rPr>
            </w:pPr>
            <w:r w:rsidRPr="00941E30">
              <w:rPr>
                <w:rFonts w:ascii="Times New Roman" w:hAnsi="Times New Roman"/>
                <w:b/>
                <w:bCs/>
                <w:sz w:val="20"/>
                <w:szCs w:val="20"/>
              </w:rPr>
              <w:t>2019/20</w:t>
            </w:r>
          </w:p>
        </w:tc>
        <w:tc>
          <w:tcPr>
            <w:tcW w:w="1530" w:type="dxa"/>
            <w:shd w:val="clear" w:color="auto" w:fill="D9E2F3"/>
          </w:tcPr>
          <w:p w14:paraId="7E9D18BE" w14:textId="77777777" w:rsidR="00E94D77" w:rsidRPr="00941E30" w:rsidRDefault="00E94D77">
            <w:pPr>
              <w:jc w:val="both"/>
              <w:rPr>
                <w:rFonts w:ascii="Times New Roman" w:hAnsi="Times New Roman"/>
                <w:b/>
                <w:bCs/>
                <w:sz w:val="20"/>
                <w:szCs w:val="20"/>
              </w:rPr>
            </w:pPr>
            <w:r w:rsidRPr="00941E30">
              <w:rPr>
                <w:rFonts w:ascii="Times New Roman" w:hAnsi="Times New Roman"/>
                <w:b/>
                <w:bCs/>
                <w:sz w:val="20"/>
                <w:szCs w:val="20"/>
              </w:rPr>
              <w:t>2020/21</w:t>
            </w:r>
          </w:p>
        </w:tc>
      </w:tr>
      <w:tr w:rsidR="00E94D77" w:rsidRPr="009943B5" w14:paraId="5B5658BA" w14:textId="77777777" w:rsidTr="00941E30">
        <w:trPr>
          <w:trHeight w:val="264"/>
        </w:trPr>
        <w:tc>
          <w:tcPr>
            <w:tcW w:w="3623" w:type="dxa"/>
            <w:shd w:val="clear" w:color="auto" w:fill="auto"/>
            <w:noWrap/>
          </w:tcPr>
          <w:p w14:paraId="6B5D84B6"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Administration</w:t>
            </w:r>
          </w:p>
        </w:tc>
        <w:tc>
          <w:tcPr>
            <w:tcW w:w="1735" w:type="dxa"/>
            <w:shd w:val="clear" w:color="auto" w:fill="auto"/>
            <w:noWrap/>
            <w:vAlign w:val="bottom"/>
          </w:tcPr>
          <w:p w14:paraId="7DB92CD4"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8 0467.9</w:t>
            </w:r>
          </w:p>
          <w:p w14:paraId="43F9C4D1" w14:textId="77777777" w:rsidR="00E94D77" w:rsidRPr="00941E30" w:rsidRDefault="00E94D77">
            <w:pPr>
              <w:jc w:val="both"/>
              <w:rPr>
                <w:rFonts w:ascii="Times New Roman" w:hAnsi="Times New Roman"/>
                <w:color w:val="000000"/>
                <w:sz w:val="20"/>
                <w:szCs w:val="20"/>
                <w:lang w:val="en-ZA" w:eastAsia="en-ZA"/>
              </w:rPr>
            </w:pPr>
          </w:p>
        </w:tc>
        <w:tc>
          <w:tcPr>
            <w:tcW w:w="1530" w:type="dxa"/>
            <w:shd w:val="clear" w:color="auto" w:fill="auto"/>
            <w:noWrap/>
            <w:vAlign w:val="bottom"/>
          </w:tcPr>
          <w:p w14:paraId="60004CE2"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85 193.8</w:t>
            </w:r>
          </w:p>
          <w:p w14:paraId="06925478" w14:textId="77777777" w:rsidR="00E94D77" w:rsidRPr="00941E30" w:rsidRDefault="00E94D77">
            <w:pPr>
              <w:jc w:val="both"/>
              <w:rPr>
                <w:rFonts w:ascii="Times New Roman" w:hAnsi="Times New Roman"/>
                <w:color w:val="000000"/>
                <w:sz w:val="20"/>
                <w:szCs w:val="20"/>
                <w:lang w:val="en-ZA" w:eastAsia="en-ZA"/>
              </w:rPr>
            </w:pPr>
          </w:p>
        </w:tc>
        <w:tc>
          <w:tcPr>
            <w:tcW w:w="1530" w:type="dxa"/>
            <w:shd w:val="clear" w:color="auto" w:fill="auto"/>
            <w:noWrap/>
          </w:tcPr>
          <w:p w14:paraId="36BF3551"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90 082.4</w:t>
            </w:r>
          </w:p>
        </w:tc>
        <w:tc>
          <w:tcPr>
            <w:tcW w:w="1530" w:type="dxa"/>
            <w:shd w:val="clear" w:color="auto" w:fill="auto"/>
            <w:noWrap/>
          </w:tcPr>
          <w:p w14:paraId="606D4754"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95 656.3</w:t>
            </w:r>
          </w:p>
        </w:tc>
      </w:tr>
      <w:tr w:rsidR="00E94D77" w:rsidRPr="009943B5" w14:paraId="173DC168" w14:textId="77777777" w:rsidTr="00941E30">
        <w:trPr>
          <w:trHeight w:val="264"/>
        </w:trPr>
        <w:tc>
          <w:tcPr>
            <w:tcW w:w="3623" w:type="dxa"/>
            <w:shd w:val="clear" w:color="auto" w:fill="auto"/>
            <w:noWrap/>
          </w:tcPr>
          <w:p w14:paraId="1A96B10A"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Strategy Office</w:t>
            </w:r>
          </w:p>
        </w:tc>
        <w:tc>
          <w:tcPr>
            <w:tcW w:w="1735" w:type="dxa"/>
            <w:shd w:val="clear" w:color="auto" w:fill="auto"/>
            <w:noWrap/>
            <w:vAlign w:val="bottom"/>
          </w:tcPr>
          <w:p w14:paraId="22127B77"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9 866.8</w:t>
            </w:r>
          </w:p>
          <w:p w14:paraId="3A174BDD" w14:textId="77777777" w:rsidR="00E94D77" w:rsidRPr="00941E30" w:rsidRDefault="00E94D77">
            <w:pPr>
              <w:jc w:val="both"/>
              <w:rPr>
                <w:rFonts w:ascii="Times New Roman" w:hAnsi="Times New Roman"/>
                <w:color w:val="000000"/>
                <w:sz w:val="20"/>
                <w:szCs w:val="20"/>
                <w:lang w:val="en-ZA" w:eastAsia="en-ZA"/>
              </w:rPr>
            </w:pPr>
          </w:p>
        </w:tc>
        <w:tc>
          <w:tcPr>
            <w:tcW w:w="1530" w:type="dxa"/>
            <w:shd w:val="clear" w:color="auto" w:fill="auto"/>
            <w:noWrap/>
            <w:vAlign w:val="bottom"/>
          </w:tcPr>
          <w:p w14:paraId="2AC629A4"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10 615.9</w:t>
            </w:r>
          </w:p>
          <w:p w14:paraId="0F382F94" w14:textId="77777777" w:rsidR="00E94D77" w:rsidRPr="00941E30" w:rsidRDefault="00E94D77">
            <w:pPr>
              <w:jc w:val="both"/>
              <w:rPr>
                <w:rFonts w:ascii="Times New Roman" w:hAnsi="Times New Roman"/>
                <w:color w:val="000000"/>
                <w:sz w:val="20"/>
                <w:szCs w:val="20"/>
                <w:lang w:val="en-ZA" w:eastAsia="en-ZA"/>
              </w:rPr>
            </w:pPr>
          </w:p>
        </w:tc>
        <w:tc>
          <w:tcPr>
            <w:tcW w:w="1530" w:type="dxa"/>
            <w:shd w:val="clear" w:color="auto" w:fill="auto"/>
            <w:noWrap/>
          </w:tcPr>
          <w:p w14:paraId="798600AD"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11 372.7</w:t>
            </w:r>
          </w:p>
        </w:tc>
        <w:tc>
          <w:tcPr>
            <w:tcW w:w="1530" w:type="dxa"/>
            <w:shd w:val="clear" w:color="auto" w:fill="auto"/>
            <w:noWrap/>
          </w:tcPr>
          <w:p w14:paraId="24D4EABB"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12 121.7</w:t>
            </w:r>
          </w:p>
        </w:tc>
      </w:tr>
      <w:tr w:rsidR="00E94D77" w:rsidRPr="009943B5" w14:paraId="0F19C362" w14:textId="77777777" w:rsidTr="00941E30">
        <w:trPr>
          <w:trHeight w:val="264"/>
        </w:trPr>
        <w:tc>
          <w:tcPr>
            <w:tcW w:w="3623" w:type="dxa"/>
            <w:shd w:val="clear" w:color="auto" w:fill="auto"/>
            <w:noWrap/>
          </w:tcPr>
          <w:p w14:paraId="37317279"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Accreditation</w:t>
            </w:r>
          </w:p>
        </w:tc>
        <w:tc>
          <w:tcPr>
            <w:tcW w:w="1735" w:type="dxa"/>
            <w:shd w:val="clear" w:color="auto" w:fill="auto"/>
            <w:noWrap/>
          </w:tcPr>
          <w:p w14:paraId="7F014E91"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9 170.0</w:t>
            </w:r>
          </w:p>
          <w:p w14:paraId="702FFCDF"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7C04DBF0"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9 600.8</w:t>
            </w:r>
          </w:p>
          <w:p w14:paraId="617679CD"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192B91CE"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10 224.9</w:t>
            </w:r>
          </w:p>
        </w:tc>
        <w:tc>
          <w:tcPr>
            <w:tcW w:w="1530" w:type="dxa"/>
            <w:shd w:val="clear" w:color="auto" w:fill="auto"/>
            <w:noWrap/>
          </w:tcPr>
          <w:p w14:paraId="378547A1"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11 040.8</w:t>
            </w:r>
          </w:p>
        </w:tc>
      </w:tr>
      <w:tr w:rsidR="00E94D77" w:rsidRPr="009943B5" w14:paraId="36F463F1" w14:textId="77777777" w:rsidTr="00941E30">
        <w:trPr>
          <w:trHeight w:val="264"/>
        </w:trPr>
        <w:tc>
          <w:tcPr>
            <w:tcW w:w="3623" w:type="dxa"/>
            <w:shd w:val="clear" w:color="auto" w:fill="auto"/>
            <w:noWrap/>
          </w:tcPr>
          <w:p w14:paraId="6A693C8C"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Research and Monitoring</w:t>
            </w:r>
          </w:p>
        </w:tc>
        <w:tc>
          <w:tcPr>
            <w:tcW w:w="1735" w:type="dxa"/>
            <w:shd w:val="clear" w:color="auto" w:fill="auto"/>
            <w:noWrap/>
          </w:tcPr>
          <w:p w14:paraId="6244BEAB"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7 005.7</w:t>
            </w:r>
          </w:p>
          <w:p w14:paraId="025390F9"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5AED54AE"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7 339.2</w:t>
            </w:r>
          </w:p>
          <w:p w14:paraId="5DD68834"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0A342070"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7 711.3</w:t>
            </w:r>
          </w:p>
        </w:tc>
        <w:tc>
          <w:tcPr>
            <w:tcW w:w="1530" w:type="dxa"/>
            <w:shd w:val="clear" w:color="auto" w:fill="auto"/>
            <w:noWrap/>
          </w:tcPr>
          <w:p w14:paraId="0CCD3199"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8 205.3</w:t>
            </w:r>
          </w:p>
        </w:tc>
      </w:tr>
      <w:tr w:rsidR="00E94D77" w:rsidRPr="009943B5" w14:paraId="75DA7526" w14:textId="77777777" w:rsidTr="00941E30">
        <w:trPr>
          <w:trHeight w:val="264"/>
        </w:trPr>
        <w:tc>
          <w:tcPr>
            <w:tcW w:w="3623" w:type="dxa"/>
            <w:shd w:val="clear" w:color="auto" w:fill="auto"/>
            <w:noWrap/>
          </w:tcPr>
          <w:p w14:paraId="58AAF894"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Stakeholder Relations</w:t>
            </w:r>
          </w:p>
        </w:tc>
        <w:tc>
          <w:tcPr>
            <w:tcW w:w="1735" w:type="dxa"/>
            <w:shd w:val="clear" w:color="auto" w:fill="auto"/>
            <w:noWrap/>
          </w:tcPr>
          <w:p w14:paraId="320F326A"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10 564.3</w:t>
            </w:r>
          </w:p>
          <w:p w14:paraId="0C0DCE86"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08B89F22"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11 181.6</w:t>
            </w:r>
          </w:p>
          <w:p w14:paraId="2DBD9486"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5CF7A2DB"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11 888.9</w:t>
            </w:r>
          </w:p>
        </w:tc>
        <w:tc>
          <w:tcPr>
            <w:tcW w:w="1530" w:type="dxa"/>
            <w:shd w:val="clear" w:color="auto" w:fill="auto"/>
            <w:noWrap/>
          </w:tcPr>
          <w:p w14:paraId="232FA505"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12 629.3</w:t>
            </w:r>
          </w:p>
        </w:tc>
      </w:tr>
      <w:tr w:rsidR="00E94D77" w:rsidRPr="009943B5" w14:paraId="28D0D843" w14:textId="77777777" w:rsidTr="00941E30">
        <w:trPr>
          <w:trHeight w:val="264"/>
        </w:trPr>
        <w:tc>
          <w:tcPr>
            <w:tcW w:w="3623" w:type="dxa"/>
            <w:shd w:val="clear" w:color="auto" w:fill="auto"/>
            <w:noWrap/>
          </w:tcPr>
          <w:p w14:paraId="58CD25D2"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Compliance and Investigations</w:t>
            </w:r>
          </w:p>
        </w:tc>
        <w:tc>
          <w:tcPr>
            <w:tcW w:w="1735" w:type="dxa"/>
            <w:shd w:val="clear" w:color="auto" w:fill="auto"/>
            <w:noWrap/>
          </w:tcPr>
          <w:p w14:paraId="5130BC3C"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8 621.5</w:t>
            </w:r>
          </w:p>
          <w:p w14:paraId="55B2268F"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2E7E10D8"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10 214.6</w:t>
            </w:r>
          </w:p>
          <w:p w14:paraId="35590097"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32787DB1"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10 794.2</w:t>
            </w:r>
          </w:p>
        </w:tc>
        <w:tc>
          <w:tcPr>
            <w:tcW w:w="1530" w:type="dxa"/>
            <w:shd w:val="clear" w:color="auto" w:fill="auto"/>
            <w:noWrap/>
          </w:tcPr>
          <w:p w14:paraId="537ACB29"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11 489.9</w:t>
            </w:r>
          </w:p>
        </w:tc>
      </w:tr>
      <w:tr w:rsidR="00E94D77" w:rsidRPr="009943B5" w14:paraId="73395F66" w14:textId="77777777" w:rsidTr="00941E30">
        <w:trPr>
          <w:trHeight w:val="264"/>
        </w:trPr>
        <w:tc>
          <w:tcPr>
            <w:tcW w:w="3623" w:type="dxa"/>
            <w:shd w:val="clear" w:color="auto" w:fill="auto"/>
            <w:noWrap/>
          </w:tcPr>
          <w:p w14:paraId="6F05392F"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 xml:space="preserve">Benefit Management </w:t>
            </w:r>
          </w:p>
        </w:tc>
        <w:tc>
          <w:tcPr>
            <w:tcW w:w="1735" w:type="dxa"/>
            <w:shd w:val="clear" w:color="auto" w:fill="auto"/>
            <w:noWrap/>
          </w:tcPr>
          <w:p w14:paraId="366FBEC7"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6 332.5</w:t>
            </w:r>
          </w:p>
          <w:p w14:paraId="77F6B820"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4F0289AD"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7 110.2</w:t>
            </w:r>
          </w:p>
          <w:p w14:paraId="2F689AF9"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5B0E163A"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7 726.2</w:t>
            </w:r>
          </w:p>
        </w:tc>
        <w:tc>
          <w:tcPr>
            <w:tcW w:w="1530" w:type="dxa"/>
            <w:shd w:val="clear" w:color="auto" w:fill="auto"/>
            <w:noWrap/>
          </w:tcPr>
          <w:p w14:paraId="46778BC2"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8 225.7</w:t>
            </w:r>
          </w:p>
        </w:tc>
      </w:tr>
      <w:tr w:rsidR="00E94D77" w:rsidRPr="009943B5" w14:paraId="17A4E3A6" w14:textId="77777777" w:rsidTr="00941E30">
        <w:trPr>
          <w:trHeight w:val="264"/>
        </w:trPr>
        <w:tc>
          <w:tcPr>
            <w:tcW w:w="3623" w:type="dxa"/>
            <w:shd w:val="clear" w:color="auto" w:fill="auto"/>
            <w:noWrap/>
          </w:tcPr>
          <w:p w14:paraId="7B0DC8A8"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Financial Supervision</w:t>
            </w:r>
          </w:p>
        </w:tc>
        <w:tc>
          <w:tcPr>
            <w:tcW w:w="1735" w:type="dxa"/>
            <w:shd w:val="clear" w:color="auto" w:fill="auto"/>
            <w:noWrap/>
          </w:tcPr>
          <w:p w14:paraId="5AD7D7EE"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11 822.4</w:t>
            </w:r>
          </w:p>
          <w:p w14:paraId="2583ABE4"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476608EB"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12 648.9</w:t>
            </w:r>
          </w:p>
          <w:p w14:paraId="3070F6F7"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78BF222A"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13 362.5</w:t>
            </w:r>
          </w:p>
        </w:tc>
        <w:tc>
          <w:tcPr>
            <w:tcW w:w="1530" w:type="dxa"/>
            <w:shd w:val="clear" w:color="auto" w:fill="auto"/>
            <w:noWrap/>
          </w:tcPr>
          <w:p w14:paraId="578EAD8D"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14 302.2</w:t>
            </w:r>
          </w:p>
        </w:tc>
      </w:tr>
      <w:tr w:rsidR="00E94D77" w:rsidRPr="009943B5" w14:paraId="54AC586F" w14:textId="77777777" w:rsidTr="00941E30">
        <w:trPr>
          <w:trHeight w:val="264"/>
        </w:trPr>
        <w:tc>
          <w:tcPr>
            <w:tcW w:w="3623" w:type="dxa"/>
            <w:shd w:val="clear" w:color="auto" w:fill="auto"/>
            <w:noWrap/>
          </w:tcPr>
          <w:p w14:paraId="2BBE2096" w14:textId="77777777" w:rsidR="00E94D77" w:rsidRPr="00941E30" w:rsidRDefault="00E94D77" w:rsidP="00085BAF">
            <w:pPr>
              <w:numPr>
                <w:ilvl w:val="0"/>
                <w:numId w:val="61"/>
              </w:numPr>
              <w:ind w:left="180" w:hanging="180"/>
              <w:jc w:val="both"/>
              <w:rPr>
                <w:rFonts w:ascii="Times New Roman" w:eastAsia="Calibri" w:hAnsi="Times New Roman"/>
                <w:sz w:val="20"/>
                <w:szCs w:val="20"/>
              </w:rPr>
            </w:pPr>
            <w:r w:rsidRPr="00941E30">
              <w:rPr>
                <w:rFonts w:ascii="Times New Roman" w:eastAsia="Calibri" w:hAnsi="Times New Roman"/>
                <w:sz w:val="20"/>
                <w:szCs w:val="20"/>
              </w:rPr>
              <w:t>Complaints Adjudication</w:t>
            </w:r>
          </w:p>
        </w:tc>
        <w:tc>
          <w:tcPr>
            <w:tcW w:w="1735" w:type="dxa"/>
            <w:shd w:val="clear" w:color="auto" w:fill="auto"/>
            <w:noWrap/>
          </w:tcPr>
          <w:p w14:paraId="37F4E6B2"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6 689.5</w:t>
            </w:r>
          </w:p>
          <w:p w14:paraId="49430A16"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2BE6DC83" w14:textId="77777777" w:rsidR="00E94D77" w:rsidRPr="00941E30" w:rsidRDefault="00E94D77">
            <w:pPr>
              <w:jc w:val="both"/>
              <w:rPr>
                <w:rFonts w:ascii="Times New Roman" w:hAnsi="Times New Roman"/>
                <w:color w:val="000000"/>
                <w:sz w:val="20"/>
                <w:szCs w:val="20"/>
                <w:lang w:val="en-ZA" w:eastAsia="en-ZA"/>
              </w:rPr>
            </w:pPr>
            <w:r w:rsidRPr="00941E30">
              <w:rPr>
                <w:rFonts w:ascii="Times New Roman" w:hAnsi="Times New Roman"/>
                <w:color w:val="000000"/>
                <w:sz w:val="20"/>
                <w:szCs w:val="20"/>
              </w:rPr>
              <w:t>7 250.3</w:t>
            </w:r>
          </w:p>
          <w:p w14:paraId="52A6645B" w14:textId="77777777" w:rsidR="00E94D77" w:rsidRPr="00941E30" w:rsidRDefault="00E94D77">
            <w:pPr>
              <w:jc w:val="both"/>
              <w:rPr>
                <w:rFonts w:ascii="Times New Roman" w:hAnsi="Times New Roman"/>
                <w:sz w:val="20"/>
                <w:szCs w:val="20"/>
              </w:rPr>
            </w:pPr>
          </w:p>
        </w:tc>
        <w:tc>
          <w:tcPr>
            <w:tcW w:w="1530" w:type="dxa"/>
            <w:shd w:val="clear" w:color="auto" w:fill="auto"/>
            <w:noWrap/>
          </w:tcPr>
          <w:p w14:paraId="5464DDEF"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7 726.2</w:t>
            </w:r>
          </w:p>
        </w:tc>
        <w:tc>
          <w:tcPr>
            <w:tcW w:w="1530" w:type="dxa"/>
            <w:shd w:val="clear" w:color="auto" w:fill="auto"/>
            <w:noWrap/>
          </w:tcPr>
          <w:p w14:paraId="3CA302B9" w14:textId="77777777" w:rsidR="00E94D77" w:rsidRPr="00941E30" w:rsidRDefault="00E94D77">
            <w:pPr>
              <w:jc w:val="both"/>
              <w:rPr>
                <w:rFonts w:ascii="Times New Roman" w:hAnsi="Times New Roman"/>
                <w:sz w:val="20"/>
                <w:szCs w:val="20"/>
              </w:rPr>
            </w:pPr>
            <w:r w:rsidRPr="00941E30">
              <w:rPr>
                <w:rFonts w:ascii="Times New Roman" w:hAnsi="Times New Roman"/>
                <w:sz w:val="20"/>
                <w:szCs w:val="20"/>
              </w:rPr>
              <w:t>8 225.7</w:t>
            </w:r>
          </w:p>
        </w:tc>
      </w:tr>
      <w:tr w:rsidR="00E94D77" w:rsidRPr="009943B5" w14:paraId="1E1AB61A" w14:textId="77777777" w:rsidTr="00941E30">
        <w:trPr>
          <w:trHeight w:val="294"/>
        </w:trPr>
        <w:tc>
          <w:tcPr>
            <w:tcW w:w="3623" w:type="dxa"/>
            <w:shd w:val="clear" w:color="auto" w:fill="D9E2F3"/>
            <w:noWrap/>
          </w:tcPr>
          <w:p w14:paraId="72C9835F" w14:textId="77777777" w:rsidR="00E94D77" w:rsidRPr="00941E30" w:rsidRDefault="00E94D77" w:rsidP="00941E30">
            <w:pPr>
              <w:jc w:val="both"/>
              <w:rPr>
                <w:rFonts w:ascii="Times New Roman" w:hAnsi="Times New Roman"/>
                <w:b/>
                <w:sz w:val="20"/>
                <w:szCs w:val="20"/>
              </w:rPr>
            </w:pPr>
            <w:r w:rsidRPr="00941E30">
              <w:rPr>
                <w:rFonts w:ascii="Times New Roman" w:hAnsi="Times New Roman"/>
                <w:b/>
                <w:sz w:val="20"/>
                <w:szCs w:val="20"/>
              </w:rPr>
              <w:t>TOTAL</w:t>
            </w:r>
          </w:p>
        </w:tc>
        <w:tc>
          <w:tcPr>
            <w:tcW w:w="1735" w:type="dxa"/>
            <w:shd w:val="clear" w:color="auto" w:fill="D9E2F3"/>
            <w:noWrap/>
          </w:tcPr>
          <w:p w14:paraId="37C1C6AD" w14:textId="77777777" w:rsidR="00E94D77" w:rsidRPr="00941E30" w:rsidRDefault="00E94D77" w:rsidP="00941E30">
            <w:pPr>
              <w:jc w:val="both"/>
              <w:rPr>
                <w:rFonts w:ascii="Times New Roman" w:hAnsi="Times New Roman"/>
                <w:b/>
                <w:sz w:val="20"/>
                <w:szCs w:val="20"/>
              </w:rPr>
            </w:pPr>
            <w:r w:rsidRPr="00941E30">
              <w:rPr>
                <w:rFonts w:ascii="Times New Roman" w:hAnsi="Times New Roman"/>
                <w:b/>
                <w:color w:val="000000"/>
                <w:sz w:val="20"/>
                <w:szCs w:val="20"/>
              </w:rPr>
              <w:t>150 540.6</w:t>
            </w:r>
          </w:p>
        </w:tc>
        <w:tc>
          <w:tcPr>
            <w:tcW w:w="1530" w:type="dxa"/>
            <w:shd w:val="clear" w:color="auto" w:fill="D9E2F3"/>
            <w:noWrap/>
          </w:tcPr>
          <w:p w14:paraId="1FEFBBBB" w14:textId="77777777" w:rsidR="00E94D77" w:rsidRPr="00941E30" w:rsidRDefault="00E94D77" w:rsidP="00941E30">
            <w:pPr>
              <w:jc w:val="both"/>
              <w:rPr>
                <w:rFonts w:ascii="Times New Roman" w:hAnsi="Times New Roman"/>
                <w:b/>
                <w:sz w:val="20"/>
                <w:szCs w:val="20"/>
              </w:rPr>
            </w:pPr>
            <w:r w:rsidRPr="00941E30">
              <w:rPr>
                <w:rFonts w:ascii="Times New Roman" w:hAnsi="Times New Roman"/>
                <w:b/>
                <w:color w:val="000000"/>
                <w:sz w:val="20"/>
                <w:szCs w:val="20"/>
              </w:rPr>
              <w:t>161 155.3</w:t>
            </w:r>
          </w:p>
        </w:tc>
        <w:tc>
          <w:tcPr>
            <w:tcW w:w="1530" w:type="dxa"/>
            <w:shd w:val="clear" w:color="auto" w:fill="D9E2F3"/>
          </w:tcPr>
          <w:p w14:paraId="4B01C974" w14:textId="77777777" w:rsidR="00E94D77" w:rsidRPr="00941E30" w:rsidRDefault="00E94D77" w:rsidP="00941E30">
            <w:pPr>
              <w:jc w:val="both"/>
              <w:rPr>
                <w:rFonts w:ascii="Times New Roman" w:hAnsi="Times New Roman"/>
                <w:b/>
                <w:sz w:val="20"/>
                <w:szCs w:val="20"/>
              </w:rPr>
            </w:pPr>
            <w:r w:rsidRPr="00941E30">
              <w:rPr>
                <w:rFonts w:ascii="Times New Roman" w:hAnsi="Times New Roman"/>
                <w:b/>
                <w:sz w:val="20"/>
                <w:szCs w:val="20"/>
              </w:rPr>
              <w:t>170 890.0</w:t>
            </w:r>
          </w:p>
        </w:tc>
        <w:tc>
          <w:tcPr>
            <w:tcW w:w="1530" w:type="dxa"/>
            <w:shd w:val="clear" w:color="auto" w:fill="D9E2F3"/>
          </w:tcPr>
          <w:p w14:paraId="1E9A3CC9" w14:textId="77777777" w:rsidR="00E94D77" w:rsidRPr="00941E30" w:rsidRDefault="00E94D77" w:rsidP="00941E30">
            <w:pPr>
              <w:jc w:val="both"/>
              <w:rPr>
                <w:rFonts w:ascii="Times New Roman" w:hAnsi="Times New Roman"/>
                <w:b/>
                <w:sz w:val="20"/>
                <w:szCs w:val="20"/>
              </w:rPr>
            </w:pPr>
            <w:r w:rsidRPr="00941E30">
              <w:rPr>
                <w:rFonts w:ascii="Times New Roman" w:hAnsi="Times New Roman"/>
                <w:b/>
                <w:sz w:val="20"/>
                <w:szCs w:val="20"/>
              </w:rPr>
              <w:t>181 815.6</w:t>
            </w:r>
          </w:p>
        </w:tc>
      </w:tr>
    </w:tbl>
    <w:p w14:paraId="01C8B713" w14:textId="77777777" w:rsidR="00E94D77" w:rsidRPr="00085BAF" w:rsidRDefault="00E94D77" w:rsidP="00941E30">
      <w:pPr>
        <w:tabs>
          <w:tab w:val="left" w:pos="720"/>
        </w:tabs>
        <w:jc w:val="both"/>
        <w:rPr>
          <w:rFonts w:ascii="Times New Roman" w:hAnsi="Times New Roman"/>
          <w:sz w:val="24"/>
          <w:szCs w:val="24"/>
        </w:rPr>
      </w:pPr>
    </w:p>
    <w:p w14:paraId="0C240D27" w14:textId="77777777" w:rsidR="00E94D77" w:rsidRPr="0093633A" w:rsidRDefault="00E94D77" w:rsidP="00941E30">
      <w:pPr>
        <w:pStyle w:val="ListParagraph"/>
        <w:numPr>
          <w:ilvl w:val="0"/>
          <w:numId w:val="19"/>
        </w:numPr>
        <w:tabs>
          <w:tab w:val="left" w:pos="720"/>
        </w:tabs>
        <w:spacing w:line="360" w:lineRule="auto"/>
        <w:contextualSpacing w:val="0"/>
        <w:jc w:val="both"/>
        <w:rPr>
          <w:rFonts w:ascii="Times New Roman" w:hAnsi="Times New Roman"/>
          <w:sz w:val="24"/>
          <w:szCs w:val="24"/>
        </w:rPr>
      </w:pPr>
      <w:r w:rsidRPr="0093633A">
        <w:rPr>
          <w:rFonts w:ascii="Times New Roman" w:hAnsi="Times New Roman"/>
          <w:sz w:val="24"/>
          <w:szCs w:val="24"/>
        </w:rPr>
        <w:t>Programme 1: Administration receives the biggest allocation of R80.5 million. This programme comprises of five sub-programmes namely:</w:t>
      </w:r>
    </w:p>
    <w:p w14:paraId="5E193BF4" w14:textId="77777777" w:rsidR="00E94D77" w:rsidRPr="0093633A" w:rsidRDefault="00E94D77" w:rsidP="00941E30">
      <w:pPr>
        <w:tabs>
          <w:tab w:val="left" w:pos="720"/>
        </w:tabs>
        <w:spacing w:line="360" w:lineRule="auto"/>
        <w:ind w:left="1071" w:hanging="357"/>
        <w:jc w:val="both"/>
        <w:rPr>
          <w:rFonts w:ascii="Times New Roman" w:hAnsi="Times New Roman"/>
          <w:sz w:val="24"/>
          <w:szCs w:val="24"/>
        </w:rPr>
      </w:pPr>
      <w:r w:rsidRPr="0093633A">
        <w:rPr>
          <w:rFonts w:ascii="Times New Roman" w:hAnsi="Times New Roman"/>
          <w:sz w:val="24"/>
          <w:szCs w:val="24"/>
        </w:rPr>
        <w:t xml:space="preserve">1.1: Office of the CEO and Registrar </w:t>
      </w:r>
      <w:r w:rsidRPr="0093633A">
        <w:rPr>
          <w:rFonts w:ascii="Times New Roman" w:hAnsi="Times New Roman"/>
          <w:sz w:val="24"/>
          <w:szCs w:val="24"/>
        </w:rPr>
        <w:tab/>
      </w:r>
      <w:r w:rsidRPr="0093633A">
        <w:rPr>
          <w:rFonts w:ascii="Times New Roman" w:hAnsi="Times New Roman"/>
          <w:sz w:val="24"/>
          <w:szCs w:val="24"/>
        </w:rPr>
        <w:tab/>
        <w:t>R 10.1 million</w:t>
      </w:r>
    </w:p>
    <w:p w14:paraId="091DE59D" w14:textId="77777777" w:rsidR="00E94D77" w:rsidRPr="0093633A" w:rsidRDefault="00E94D77" w:rsidP="00941E30">
      <w:pPr>
        <w:tabs>
          <w:tab w:val="left" w:pos="720"/>
        </w:tabs>
        <w:spacing w:line="360" w:lineRule="auto"/>
        <w:ind w:left="1071" w:hanging="357"/>
        <w:jc w:val="both"/>
        <w:rPr>
          <w:rFonts w:ascii="Times New Roman" w:hAnsi="Times New Roman"/>
          <w:sz w:val="24"/>
          <w:szCs w:val="24"/>
        </w:rPr>
      </w:pPr>
      <w:r w:rsidRPr="0093633A">
        <w:rPr>
          <w:rFonts w:ascii="Times New Roman" w:hAnsi="Times New Roman"/>
          <w:sz w:val="24"/>
          <w:szCs w:val="24"/>
        </w:rPr>
        <w:t xml:space="preserve">1.2: Office of the CFO </w:t>
      </w:r>
      <w:r w:rsidRPr="0093633A">
        <w:rPr>
          <w:rFonts w:ascii="Times New Roman" w:hAnsi="Times New Roman"/>
          <w:sz w:val="24"/>
          <w:szCs w:val="24"/>
        </w:rPr>
        <w:tab/>
        <w:t xml:space="preserve"> </w:t>
      </w:r>
      <w:r w:rsidRPr="0093633A">
        <w:rPr>
          <w:rFonts w:ascii="Times New Roman" w:hAnsi="Times New Roman"/>
          <w:sz w:val="24"/>
          <w:szCs w:val="24"/>
        </w:rPr>
        <w:tab/>
      </w:r>
      <w:r w:rsidRPr="0093633A">
        <w:rPr>
          <w:rFonts w:ascii="Times New Roman" w:hAnsi="Times New Roman"/>
          <w:sz w:val="24"/>
          <w:szCs w:val="24"/>
        </w:rPr>
        <w:tab/>
      </w:r>
      <w:r w:rsidRPr="0093633A">
        <w:rPr>
          <w:rFonts w:ascii="Times New Roman" w:hAnsi="Times New Roman"/>
          <w:sz w:val="24"/>
          <w:szCs w:val="24"/>
        </w:rPr>
        <w:tab/>
        <w:t>R 32.7 million</w:t>
      </w:r>
    </w:p>
    <w:p w14:paraId="5AFE6464" w14:textId="77777777" w:rsidR="00E94D77" w:rsidRPr="0093633A" w:rsidRDefault="00E94D77" w:rsidP="00941E30">
      <w:pPr>
        <w:tabs>
          <w:tab w:val="left" w:pos="720"/>
        </w:tabs>
        <w:spacing w:line="360" w:lineRule="auto"/>
        <w:ind w:left="1071" w:hanging="357"/>
        <w:jc w:val="both"/>
        <w:rPr>
          <w:rFonts w:ascii="Times New Roman" w:hAnsi="Times New Roman"/>
          <w:sz w:val="24"/>
          <w:szCs w:val="24"/>
        </w:rPr>
      </w:pPr>
      <w:r w:rsidRPr="0093633A">
        <w:rPr>
          <w:rFonts w:ascii="Times New Roman" w:hAnsi="Times New Roman"/>
          <w:sz w:val="24"/>
          <w:szCs w:val="24"/>
        </w:rPr>
        <w:t xml:space="preserve">1.3: ICT and Knowledge Management </w:t>
      </w:r>
      <w:r w:rsidRPr="0093633A">
        <w:rPr>
          <w:rFonts w:ascii="Times New Roman" w:hAnsi="Times New Roman"/>
          <w:sz w:val="24"/>
          <w:szCs w:val="24"/>
        </w:rPr>
        <w:tab/>
        <w:t xml:space="preserve"> </w:t>
      </w:r>
      <w:r w:rsidRPr="0093633A">
        <w:rPr>
          <w:rFonts w:ascii="Times New Roman" w:hAnsi="Times New Roman"/>
          <w:sz w:val="24"/>
          <w:szCs w:val="24"/>
        </w:rPr>
        <w:tab/>
        <w:t>R 21.1 million</w:t>
      </w:r>
    </w:p>
    <w:p w14:paraId="6C5E3E8C" w14:textId="77777777" w:rsidR="00E94D77" w:rsidRPr="0093633A" w:rsidRDefault="00E94D77" w:rsidP="00941E30">
      <w:pPr>
        <w:tabs>
          <w:tab w:val="left" w:pos="720"/>
        </w:tabs>
        <w:spacing w:line="360" w:lineRule="auto"/>
        <w:ind w:left="1071" w:hanging="357"/>
        <w:jc w:val="both"/>
        <w:rPr>
          <w:rFonts w:ascii="Times New Roman" w:hAnsi="Times New Roman"/>
          <w:sz w:val="24"/>
          <w:szCs w:val="24"/>
        </w:rPr>
      </w:pPr>
      <w:r w:rsidRPr="0093633A">
        <w:rPr>
          <w:rFonts w:ascii="Times New Roman" w:hAnsi="Times New Roman"/>
          <w:sz w:val="24"/>
          <w:szCs w:val="24"/>
        </w:rPr>
        <w:t>1.4: Human Resource</w:t>
      </w:r>
      <w:r w:rsidRPr="0093633A">
        <w:rPr>
          <w:rFonts w:ascii="Times New Roman" w:hAnsi="Times New Roman"/>
          <w:sz w:val="24"/>
          <w:szCs w:val="24"/>
        </w:rPr>
        <w:tab/>
      </w:r>
      <w:r w:rsidRPr="0093633A">
        <w:rPr>
          <w:rFonts w:ascii="Times New Roman" w:hAnsi="Times New Roman"/>
          <w:sz w:val="24"/>
          <w:szCs w:val="24"/>
        </w:rPr>
        <w:tab/>
      </w:r>
      <w:r w:rsidRPr="0093633A">
        <w:rPr>
          <w:rFonts w:ascii="Times New Roman" w:hAnsi="Times New Roman"/>
          <w:sz w:val="24"/>
          <w:szCs w:val="24"/>
        </w:rPr>
        <w:tab/>
        <w:t xml:space="preserve"> </w:t>
      </w:r>
      <w:r w:rsidRPr="0093633A">
        <w:rPr>
          <w:rFonts w:ascii="Times New Roman" w:hAnsi="Times New Roman"/>
          <w:sz w:val="24"/>
          <w:szCs w:val="24"/>
        </w:rPr>
        <w:tab/>
        <w:t>R 7.9 million</w:t>
      </w:r>
    </w:p>
    <w:p w14:paraId="7692621D" w14:textId="77777777" w:rsidR="00E94D77" w:rsidRPr="0093633A" w:rsidRDefault="00E94D77" w:rsidP="00941E30">
      <w:pPr>
        <w:tabs>
          <w:tab w:val="left" w:pos="720"/>
        </w:tabs>
        <w:spacing w:line="360" w:lineRule="auto"/>
        <w:ind w:left="1071" w:hanging="357"/>
        <w:jc w:val="both"/>
        <w:rPr>
          <w:rFonts w:ascii="Times New Roman" w:hAnsi="Times New Roman"/>
          <w:sz w:val="24"/>
          <w:szCs w:val="24"/>
        </w:rPr>
      </w:pPr>
      <w:r w:rsidRPr="0093633A">
        <w:rPr>
          <w:rFonts w:ascii="Times New Roman" w:hAnsi="Times New Roman"/>
          <w:sz w:val="24"/>
          <w:szCs w:val="24"/>
        </w:rPr>
        <w:t xml:space="preserve">1.5: Legal Services </w:t>
      </w:r>
      <w:r w:rsidRPr="0093633A">
        <w:rPr>
          <w:rFonts w:ascii="Times New Roman" w:hAnsi="Times New Roman"/>
          <w:sz w:val="24"/>
          <w:szCs w:val="24"/>
        </w:rPr>
        <w:tab/>
      </w:r>
      <w:r w:rsidRPr="0093633A">
        <w:rPr>
          <w:rFonts w:ascii="Times New Roman" w:hAnsi="Times New Roman"/>
          <w:sz w:val="24"/>
          <w:szCs w:val="24"/>
        </w:rPr>
        <w:tab/>
      </w:r>
      <w:r w:rsidRPr="0093633A">
        <w:rPr>
          <w:rFonts w:ascii="Times New Roman" w:hAnsi="Times New Roman"/>
          <w:sz w:val="24"/>
          <w:szCs w:val="24"/>
        </w:rPr>
        <w:tab/>
      </w:r>
      <w:r w:rsidRPr="0093633A">
        <w:rPr>
          <w:rFonts w:ascii="Times New Roman" w:hAnsi="Times New Roman"/>
          <w:sz w:val="24"/>
          <w:szCs w:val="24"/>
        </w:rPr>
        <w:tab/>
      </w:r>
      <w:r w:rsidRPr="0093633A">
        <w:rPr>
          <w:rFonts w:ascii="Times New Roman" w:hAnsi="Times New Roman"/>
          <w:sz w:val="24"/>
          <w:szCs w:val="24"/>
        </w:rPr>
        <w:tab/>
        <w:t>R 13.4 million</w:t>
      </w:r>
    </w:p>
    <w:p w14:paraId="68CAEA0B" w14:textId="77777777" w:rsidR="009C74CF" w:rsidRPr="0093633A" w:rsidRDefault="009C74CF" w:rsidP="00941E30">
      <w:pPr>
        <w:pStyle w:val="ListParagraph"/>
        <w:numPr>
          <w:ilvl w:val="0"/>
          <w:numId w:val="18"/>
        </w:numPr>
        <w:autoSpaceDE w:val="0"/>
        <w:autoSpaceDN w:val="0"/>
        <w:adjustRightInd w:val="0"/>
        <w:spacing w:line="360" w:lineRule="auto"/>
        <w:contextualSpacing w:val="0"/>
        <w:jc w:val="both"/>
        <w:rPr>
          <w:rFonts w:ascii="Times New Roman" w:hAnsi="Times New Roman"/>
          <w:bCs/>
          <w:sz w:val="24"/>
          <w:szCs w:val="24"/>
          <w:lang w:val="en-ZA" w:eastAsia="en-ZA"/>
        </w:rPr>
      </w:pPr>
      <w:r w:rsidRPr="0093633A">
        <w:rPr>
          <w:rFonts w:ascii="Times New Roman" w:hAnsi="Times New Roman"/>
          <w:bCs/>
          <w:sz w:val="24"/>
          <w:szCs w:val="24"/>
          <w:lang w:val="en-ZA" w:eastAsia="en-ZA"/>
        </w:rPr>
        <w:t>Programme 3 is responsible for accreditation and will receive R9.6 million in 2018/19 which is an increase from R9.1 million in 2017/18 financial year.</w:t>
      </w:r>
      <w:r w:rsidRPr="0093633A">
        <w:rPr>
          <w:rFonts w:ascii="Times New Roman" w:hAnsi="Times New Roman"/>
          <w:bCs/>
          <w:color w:val="FF0000"/>
          <w:sz w:val="24"/>
          <w:szCs w:val="24"/>
          <w:lang w:val="en-ZA" w:eastAsia="en-ZA"/>
        </w:rPr>
        <w:t xml:space="preserve"> </w:t>
      </w:r>
      <w:r w:rsidRPr="0093633A">
        <w:rPr>
          <w:rFonts w:ascii="Times New Roman" w:hAnsi="Times New Roman"/>
          <w:bCs/>
          <w:sz w:val="24"/>
          <w:szCs w:val="24"/>
          <w:lang w:val="en-ZA" w:eastAsia="en-ZA"/>
        </w:rPr>
        <w:t>This programme shows</w:t>
      </w:r>
      <w:r w:rsidRPr="0093633A">
        <w:rPr>
          <w:rFonts w:ascii="Times New Roman" w:hAnsi="Times New Roman"/>
          <w:bCs/>
          <w:color w:val="FF0000"/>
          <w:sz w:val="24"/>
          <w:szCs w:val="24"/>
          <w:lang w:val="en-ZA" w:eastAsia="en-ZA"/>
        </w:rPr>
        <w:t xml:space="preserve"> </w:t>
      </w:r>
      <w:r w:rsidRPr="0093633A">
        <w:rPr>
          <w:rFonts w:ascii="Times New Roman" w:hAnsi="Times New Roman"/>
          <w:bCs/>
          <w:sz w:val="24"/>
          <w:szCs w:val="24"/>
          <w:lang w:val="en-ZA" w:eastAsia="en-ZA"/>
        </w:rPr>
        <w:t>an increase of 4.7</w:t>
      </w:r>
      <w:r w:rsidR="00434068">
        <w:rPr>
          <w:rFonts w:ascii="Times New Roman" w:hAnsi="Times New Roman"/>
          <w:bCs/>
          <w:sz w:val="24"/>
          <w:szCs w:val="24"/>
          <w:lang w:val="en-ZA" w:eastAsia="en-ZA"/>
        </w:rPr>
        <w:t>%</w:t>
      </w:r>
      <w:r w:rsidRPr="0093633A">
        <w:rPr>
          <w:rFonts w:ascii="Times New Roman" w:hAnsi="Times New Roman"/>
          <w:bCs/>
          <w:sz w:val="24"/>
          <w:szCs w:val="24"/>
          <w:lang w:val="en-ZA" w:eastAsia="en-ZA"/>
        </w:rPr>
        <w:t>.</w:t>
      </w:r>
    </w:p>
    <w:p w14:paraId="4B819D69" w14:textId="77777777" w:rsidR="009C74CF" w:rsidRPr="0093633A" w:rsidRDefault="009C74CF" w:rsidP="00941E30">
      <w:pPr>
        <w:pStyle w:val="ListParagraph"/>
        <w:numPr>
          <w:ilvl w:val="0"/>
          <w:numId w:val="18"/>
        </w:numPr>
        <w:autoSpaceDE w:val="0"/>
        <w:autoSpaceDN w:val="0"/>
        <w:adjustRightInd w:val="0"/>
        <w:spacing w:line="360" w:lineRule="auto"/>
        <w:contextualSpacing w:val="0"/>
        <w:jc w:val="both"/>
        <w:rPr>
          <w:rFonts w:ascii="Times New Roman" w:hAnsi="Times New Roman"/>
          <w:bCs/>
          <w:sz w:val="24"/>
          <w:szCs w:val="24"/>
          <w:lang w:val="en-ZA" w:eastAsia="en-ZA"/>
        </w:rPr>
      </w:pPr>
      <w:r w:rsidRPr="0093633A">
        <w:rPr>
          <w:rFonts w:ascii="Times New Roman" w:hAnsi="Times New Roman"/>
          <w:bCs/>
          <w:sz w:val="24"/>
          <w:szCs w:val="24"/>
          <w:lang w:val="en-ZA" w:eastAsia="en-ZA"/>
        </w:rPr>
        <w:t>Programme 6 receives a significant increase from R8.6 million in 2017/18 to R10.2 million, representing 18.6</w:t>
      </w:r>
      <w:r w:rsidR="00434068">
        <w:rPr>
          <w:rFonts w:ascii="Times New Roman" w:hAnsi="Times New Roman"/>
          <w:bCs/>
          <w:sz w:val="24"/>
          <w:szCs w:val="24"/>
          <w:lang w:val="en-ZA" w:eastAsia="en-ZA"/>
        </w:rPr>
        <w:t xml:space="preserve">% </w:t>
      </w:r>
      <w:r w:rsidRPr="0093633A">
        <w:rPr>
          <w:rFonts w:ascii="Times New Roman" w:hAnsi="Times New Roman"/>
          <w:bCs/>
          <w:sz w:val="24"/>
          <w:szCs w:val="24"/>
          <w:lang w:val="en-ZA" w:eastAsia="en-ZA"/>
        </w:rPr>
        <w:t xml:space="preserve">increase. </w:t>
      </w:r>
    </w:p>
    <w:p w14:paraId="468090D2" w14:textId="77777777" w:rsidR="009C74CF" w:rsidRPr="0093633A" w:rsidRDefault="009C74CF" w:rsidP="00941E30">
      <w:pPr>
        <w:pStyle w:val="ListParagraph"/>
        <w:numPr>
          <w:ilvl w:val="0"/>
          <w:numId w:val="18"/>
        </w:numPr>
        <w:autoSpaceDE w:val="0"/>
        <w:autoSpaceDN w:val="0"/>
        <w:adjustRightInd w:val="0"/>
        <w:spacing w:line="360" w:lineRule="auto"/>
        <w:contextualSpacing w:val="0"/>
        <w:jc w:val="both"/>
        <w:rPr>
          <w:rFonts w:ascii="Times New Roman" w:hAnsi="Times New Roman"/>
          <w:bCs/>
          <w:sz w:val="24"/>
          <w:szCs w:val="24"/>
          <w:lang w:val="en-ZA" w:eastAsia="en-ZA"/>
        </w:rPr>
      </w:pPr>
      <w:r w:rsidRPr="0093633A">
        <w:rPr>
          <w:rFonts w:ascii="Times New Roman" w:hAnsi="Times New Roman"/>
          <w:bCs/>
          <w:sz w:val="24"/>
          <w:szCs w:val="24"/>
          <w:lang w:val="en-ZA" w:eastAsia="en-ZA"/>
        </w:rPr>
        <w:t>Programme 7</w:t>
      </w:r>
      <w:r w:rsidR="00434068">
        <w:rPr>
          <w:rFonts w:ascii="Times New Roman" w:hAnsi="Times New Roman"/>
          <w:bCs/>
          <w:sz w:val="24"/>
          <w:szCs w:val="24"/>
          <w:lang w:val="en-ZA" w:eastAsia="en-ZA"/>
        </w:rPr>
        <w:t xml:space="preserve"> </w:t>
      </w:r>
      <w:r w:rsidRPr="0093633A">
        <w:rPr>
          <w:rFonts w:ascii="Times New Roman" w:hAnsi="Times New Roman"/>
          <w:bCs/>
          <w:sz w:val="24"/>
          <w:szCs w:val="24"/>
          <w:lang w:val="en-ZA" w:eastAsia="en-ZA"/>
        </w:rPr>
        <w:t xml:space="preserve">receives R7.1 million this financial year. The largest </w:t>
      </w:r>
      <w:r w:rsidR="00434068">
        <w:rPr>
          <w:rFonts w:ascii="Times New Roman" w:hAnsi="Times New Roman"/>
          <w:bCs/>
          <w:sz w:val="24"/>
          <w:szCs w:val="24"/>
          <w:lang w:val="en-ZA" w:eastAsia="en-ZA"/>
        </w:rPr>
        <w:t>portion</w:t>
      </w:r>
      <w:r w:rsidR="00434068" w:rsidRPr="0093633A">
        <w:rPr>
          <w:rFonts w:ascii="Times New Roman" w:hAnsi="Times New Roman"/>
          <w:bCs/>
          <w:sz w:val="24"/>
          <w:szCs w:val="24"/>
          <w:lang w:val="en-ZA" w:eastAsia="en-ZA"/>
        </w:rPr>
        <w:t xml:space="preserve"> </w:t>
      </w:r>
      <w:r w:rsidRPr="0093633A">
        <w:rPr>
          <w:rFonts w:ascii="Times New Roman" w:hAnsi="Times New Roman"/>
          <w:bCs/>
          <w:sz w:val="24"/>
          <w:szCs w:val="24"/>
          <w:lang w:val="en-ZA" w:eastAsia="en-ZA"/>
        </w:rPr>
        <w:t xml:space="preserve">of this programme’s budget </w:t>
      </w:r>
      <w:r w:rsidR="00434068">
        <w:rPr>
          <w:rFonts w:ascii="Times New Roman" w:hAnsi="Times New Roman"/>
          <w:bCs/>
          <w:sz w:val="24"/>
          <w:szCs w:val="24"/>
          <w:lang w:val="en-ZA" w:eastAsia="en-ZA"/>
        </w:rPr>
        <w:t>goes to compensation of employees</w:t>
      </w:r>
      <w:r w:rsidRPr="0093633A">
        <w:rPr>
          <w:rFonts w:ascii="Times New Roman" w:hAnsi="Times New Roman"/>
          <w:bCs/>
          <w:sz w:val="24"/>
          <w:szCs w:val="24"/>
          <w:lang w:val="en-ZA" w:eastAsia="en-ZA"/>
        </w:rPr>
        <w:t xml:space="preserve">, constituting 94% of the total budget. </w:t>
      </w:r>
    </w:p>
    <w:p w14:paraId="4D40B3A9" w14:textId="77777777" w:rsidR="009C74CF" w:rsidRPr="0093633A" w:rsidRDefault="009C74CF" w:rsidP="00941E30">
      <w:pPr>
        <w:pStyle w:val="ListParagraph"/>
        <w:numPr>
          <w:ilvl w:val="0"/>
          <w:numId w:val="18"/>
        </w:numPr>
        <w:autoSpaceDE w:val="0"/>
        <w:autoSpaceDN w:val="0"/>
        <w:adjustRightInd w:val="0"/>
        <w:spacing w:line="360" w:lineRule="auto"/>
        <w:contextualSpacing w:val="0"/>
        <w:jc w:val="both"/>
        <w:rPr>
          <w:rFonts w:ascii="Times New Roman" w:hAnsi="Times New Roman"/>
          <w:bCs/>
          <w:sz w:val="24"/>
          <w:szCs w:val="24"/>
          <w:lang w:val="en-ZA" w:eastAsia="en-ZA"/>
        </w:rPr>
      </w:pPr>
      <w:r w:rsidRPr="0093633A">
        <w:rPr>
          <w:rFonts w:ascii="Times New Roman" w:hAnsi="Times New Roman"/>
          <w:bCs/>
          <w:sz w:val="24"/>
          <w:szCs w:val="24"/>
          <w:lang w:val="en-ZA" w:eastAsia="en-ZA"/>
        </w:rPr>
        <w:t>Programme 8 is responsible for financial supervision – for the current financial year, this programme receives R12.6 million a 6.9</w:t>
      </w:r>
      <w:r w:rsidR="00104807">
        <w:rPr>
          <w:rFonts w:ascii="Times New Roman" w:hAnsi="Times New Roman"/>
          <w:bCs/>
          <w:sz w:val="24"/>
          <w:szCs w:val="24"/>
          <w:lang w:val="en-ZA" w:eastAsia="en-ZA"/>
        </w:rPr>
        <w:t>%</w:t>
      </w:r>
      <w:r w:rsidRPr="0093633A">
        <w:rPr>
          <w:rFonts w:ascii="Times New Roman" w:hAnsi="Times New Roman"/>
          <w:bCs/>
          <w:sz w:val="24"/>
          <w:szCs w:val="24"/>
          <w:lang w:val="en-ZA" w:eastAsia="en-ZA"/>
        </w:rPr>
        <w:t xml:space="preserve"> nominal increase over the R11.8 million it received in 2017/18. The biggest portion of the budget is allocated to </w:t>
      </w:r>
      <w:r w:rsidR="00434068">
        <w:rPr>
          <w:rFonts w:ascii="Times New Roman" w:hAnsi="Times New Roman"/>
          <w:bCs/>
          <w:sz w:val="24"/>
          <w:szCs w:val="24"/>
          <w:lang w:val="en-ZA" w:eastAsia="en-ZA"/>
        </w:rPr>
        <w:t xml:space="preserve">compensation of employees </w:t>
      </w:r>
      <w:r w:rsidRPr="0093633A">
        <w:rPr>
          <w:rFonts w:ascii="Times New Roman" w:hAnsi="Times New Roman"/>
          <w:bCs/>
          <w:sz w:val="24"/>
          <w:szCs w:val="24"/>
          <w:lang w:val="en-ZA" w:eastAsia="en-ZA"/>
        </w:rPr>
        <w:t xml:space="preserve">and training. </w:t>
      </w:r>
    </w:p>
    <w:p w14:paraId="46393F66" w14:textId="77777777" w:rsidR="009C74CF" w:rsidRDefault="009C74CF" w:rsidP="00085BAF">
      <w:pPr>
        <w:autoSpaceDE w:val="0"/>
        <w:autoSpaceDN w:val="0"/>
        <w:adjustRightInd w:val="0"/>
        <w:jc w:val="both"/>
        <w:rPr>
          <w:rFonts w:ascii="Times New Roman" w:hAnsi="Times New Roman"/>
          <w:b/>
          <w:bCs/>
          <w:sz w:val="24"/>
          <w:szCs w:val="24"/>
          <w:lang w:val="en-ZA" w:eastAsia="en-ZA"/>
        </w:rPr>
      </w:pPr>
    </w:p>
    <w:p w14:paraId="1D420034" w14:textId="77777777" w:rsidR="00E94D77" w:rsidRPr="00085BAF" w:rsidRDefault="00265710" w:rsidP="00941E30">
      <w:pPr>
        <w:pStyle w:val="ListParagraph"/>
        <w:numPr>
          <w:ilvl w:val="1"/>
          <w:numId w:val="90"/>
        </w:numPr>
        <w:shd w:val="clear" w:color="auto" w:fill="BFBFBF" w:themeFill="background1" w:themeFillShade="BF"/>
        <w:tabs>
          <w:tab w:val="left" w:pos="720"/>
        </w:tabs>
        <w:jc w:val="both"/>
        <w:rPr>
          <w:rFonts w:ascii="Times New Roman" w:hAnsi="Times New Roman"/>
          <w:b/>
          <w:sz w:val="24"/>
          <w:szCs w:val="24"/>
        </w:rPr>
      </w:pPr>
      <w:r w:rsidRPr="00941E30">
        <w:rPr>
          <w:rFonts w:ascii="Times New Roman" w:hAnsi="Times New Roman"/>
          <w:b/>
          <w:sz w:val="24"/>
          <w:szCs w:val="24"/>
          <w:shd w:val="clear" w:color="auto" w:fill="BFBFBF" w:themeFill="background1" w:themeFillShade="BF"/>
        </w:rPr>
        <w:t>N</w:t>
      </w:r>
      <w:r w:rsidR="009943B5" w:rsidRPr="00941E30">
        <w:rPr>
          <w:rFonts w:ascii="Times New Roman" w:hAnsi="Times New Roman"/>
          <w:b/>
          <w:sz w:val="24"/>
          <w:szCs w:val="24"/>
          <w:shd w:val="clear" w:color="auto" w:fill="BFBFBF" w:themeFill="background1" w:themeFillShade="BF"/>
        </w:rPr>
        <w:t>ational Health Laboratory Service</w:t>
      </w:r>
      <w:r w:rsidRPr="00941E30">
        <w:rPr>
          <w:rFonts w:ascii="Times New Roman" w:hAnsi="Times New Roman"/>
          <w:b/>
          <w:sz w:val="24"/>
          <w:szCs w:val="24"/>
          <w:shd w:val="clear" w:color="auto" w:fill="BFBFBF" w:themeFill="background1" w:themeFillShade="BF"/>
        </w:rPr>
        <w:t xml:space="preserve"> </w:t>
      </w:r>
    </w:p>
    <w:p w14:paraId="080E7DB2" w14:textId="77777777" w:rsidR="004B7CA4" w:rsidRPr="0093633A" w:rsidRDefault="004B7CA4">
      <w:pPr>
        <w:jc w:val="both"/>
        <w:rPr>
          <w:rFonts w:ascii="Times New Roman" w:hAnsi="Times New Roman"/>
          <w:sz w:val="24"/>
          <w:szCs w:val="24"/>
        </w:rPr>
      </w:pPr>
    </w:p>
    <w:p w14:paraId="2EF8CEFC" w14:textId="77777777" w:rsidR="004B7CA4" w:rsidRPr="0093633A" w:rsidRDefault="002D282A" w:rsidP="00941E30">
      <w:pPr>
        <w:spacing w:line="360" w:lineRule="auto"/>
        <w:jc w:val="both"/>
        <w:rPr>
          <w:rFonts w:ascii="Times New Roman" w:hAnsi="Times New Roman"/>
          <w:sz w:val="24"/>
          <w:szCs w:val="24"/>
        </w:rPr>
      </w:pPr>
      <w:r w:rsidRPr="00941E30">
        <w:rPr>
          <w:rFonts w:ascii="Times New Roman" w:hAnsi="Times New Roman"/>
          <w:sz w:val="24"/>
          <w:szCs w:val="24"/>
        </w:rPr>
        <w:t>T</w:t>
      </w:r>
      <w:r w:rsidR="004B7CA4" w:rsidRPr="0093633A">
        <w:rPr>
          <w:rFonts w:ascii="Times New Roman" w:hAnsi="Times New Roman"/>
          <w:sz w:val="24"/>
          <w:szCs w:val="24"/>
        </w:rPr>
        <w:t xml:space="preserve">he NHLS conducted a SWOT analysis to determine its challenges and plan a way forward. Hereunder, are the identified Strengths, Weaknesses, Opportunities and Threats that the entity plans to overcome to realise its </w:t>
      </w:r>
      <w:r>
        <w:rPr>
          <w:rFonts w:ascii="Times New Roman" w:hAnsi="Times New Roman"/>
          <w:sz w:val="24"/>
          <w:szCs w:val="24"/>
        </w:rPr>
        <w:t>mandate</w:t>
      </w:r>
      <w:r w:rsidR="004B7CA4" w:rsidRPr="0093633A">
        <w:rPr>
          <w:rFonts w:ascii="Times New Roman" w:hAnsi="Times New Roman"/>
          <w:sz w:val="24"/>
          <w:szCs w:val="24"/>
        </w:rPr>
        <w:t xml:space="preserve">: </w:t>
      </w:r>
    </w:p>
    <w:p w14:paraId="1A2971AA" w14:textId="77777777" w:rsidR="00A27305" w:rsidRDefault="00A27305" w:rsidP="00941E30">
      <w:pPr>
        <w:pStyle w:val="Heading2"/>
        <w:numPr>
          <w:ilvl w:val="0"/>
          <w:numId w:val="0"/>
        </w:numPr>
        <w:ind w:left="576" w:hanging="576"/>
        <w:jc w:val="both"/>
        <w:rPr>
          <w:rFonts w:ascii="Times New Roman" w:hAnsi="Times New Roman" w:cs="Times New Roman"/>
          <w:sz w:val="24"/>
          <w:szCs w:val="24"/>
        </w:rPr>
      </w:pPr>
      <w:bookmarkStart w:id="4" w:name="_Toc511637968"/>
    </w:p>
    <w:p w14:paraId="42FA519C" w14:textId="77777777" w:rsidR="004B7CA4" w:rsidRPr="0093633A" w:rsidRDefault="004B7CA4" w:rsidP="00941E30">
      <w:pPr>
        <w:pStyle w:val="Heading2"/>
        <w:numPr>
          <w:ilvl w:val="0"/>
          <w:numId w:val="0"/>
        </w:numPr>
        <w:ind w:left="576" w:hanging="576"/>
        <w:jc w:val="both"/>
        <w:rPr>
          <w:rFonts w:ascii="Times New Roman" w:hAnsi="Times New Roman" w:cs="Times New Roman"/>
          <w:sz w:val="24"/>
          <w:szCs w:val="24"/>
        </w:rPr>
      </w:pPr>
      <w:r w:rsidRPr="0093633A">
        <w:rPr>
          <w:rFonts w:ascii="Times New Roman" w:hAnsi="Times New Roman" w:cs="Times New Roman"/>
          <w:sz w:val="24"/>
          <w:szCs w:val="24"/>
        </w:rPr>
        <w:t>Strengths for NHLS:</w:t>
      </w:r>
      <w:bookmarkEnd w:id="4"/>
    </w:p>
    <w:p w14:paraId="1819B91F" w14:textId="77777777" w:rsidR="004B7CA4" w:rsidRPr="0093633A" w:rsidRDefault="004B7CA4">
      <w:pPr>
        <w:jc w:val="both"/>
        <w:rPr>
          <w:rFonts w:ascii="Times New Roman" w:hAnsi="Times New Roman"/>
          <w:sz w:val="24"/>
          <w:szCs w:val="24"/>
        </w:rPr>
      </w:pPr>
    </w:p>
    <w:p w14:paraId="2DDF9FDF" w14:textId="77777777" w:rsidR="004B7CA4" w:rsidRPr="0093633A" w:rsidRDefault="004B7CA4" w:rsidP="00941E30">
      <w:pPr>
        <w:numPr>
          <w:ilvl w:val="0"/>
          <w:numId w:val="63"/>
        </w:numPr>
        <w:spacing w:line="360" w:lineRule="auto"/>
        <w:jc w:val="both"/>
        <w:rPr>
          <w:rFonts w:ascii="Times New Roman" w:hAnsi="Times New Roman"/>
          <w:sz w:val="24"/>
          <w:szCs w:val="24"/>
        </w:rPr>
      </w:pPr>
      <w:r w:rsidRPr="0093633A">
        <w:rPr>
          <w:rFonts w:ascii="Times New Roman" w:hAnsi="Times New Roman"/>
          <w:sz w:val="24"/>
          <w:szCs w:val="24"/>
        </w:rPr>
        <w:t>Africa leader in laboratory medicine;</w:t>
      </w:r>
    </w:p>
    <w:p w14:paraId="7704FE08" w14:textId="77777777" w:rsidR="004B7CA4" w:rsidRPr="0093633A" w:rsidRDefault="004B7CA4" w:rsidP="00941E30">
      <w:pPr>
        <w:numPr>
          <w:ilvl w:val="0"/>
          <w:numId w:val="63"/>
        </w:numPr>
        <w:spacing w:line="360" w:lineRule="auto"/>
        <w:jc w:val="both"/>
        <w:rPr>
          <w:rFonts w:ascii="Times New Roman" w:hAnsi="Times New Roman"/>
          <w:sz w:val="24"/>
          <w:szCs w:val="24"/>
        </w:rPr>
      </w:pPr>
      <w:r w:rsidRPr="0093633A">
        <w:rPr>
          <w:rFonts w:ascii="Times New Roman" w:hAnsi="Times New Roman"/>
          <w:sz w:val="24"/>
          <w:szCs w:val="24"/>
        </w:rPr>
        <w:t>Exclusive national integrated data warehouse;</w:t>
      </w:r>
    </w:p>
    <w:p w14:paraId="159278D0" w14:textId="77777777" w:rsidR="004B7CA4" w:rsidRPr="0093633A" w:rsidRDefault="004B7CA4" w:rsidP="00941E30">
      <w:pPr>
        <w:numPr>
          <w:ilvl w:val="0"/>
          <w:numId w:val="63"/>
        </w:numPr>
        <w:spacing w:line="360" w:lineRule="auto"/>
        <w:jc w:val="both"/>
        <w:rPr>
          <w:rFonts w:ascii="Times New Roman" w:hAnsi="Times New Roman"/>
          <w:sz w:val="24"/>
          <w:szCs w:val="24"/>
        </w:rPr>
      </w:pPr>
      <w:r w:rsidRPr="0093633A">
        <w:rPr>
          <w:rFonts w:ascii="Times New Roman" w:hAnsi="Times New Roman"/>
          <w:sz w:val="24"/>
          <w:szCs w:val="24"/>
        </w:rPr>
        <w:t>Strong academic base and sustainable partnerships through relevant research outputs; and</w:t>
      </w:r>
    </w:p>
    <w:p w14:paraId="2F317970" w14:textId="77777777" w:rsidR="004B7CA4" w:rsidRPr="0093633A" w:rsidRDefault="004B7CA4" w:rsidP="00941E30">
      <w:pPr>
        <w:numPr>
          <w:ilvl w:val="0"/>
          <w:numId w:val="63"/>
        </w:numPr>
        <w:spacing w:line="360" w:lineRule="auto"/>
        <w:jc w:val="both"/>
        <w:rPr>
          <w:rFonts w:ascii="Times New Roman" w:hAnsi="Times New Roman"/>
          <w:sz w:val="24"/>
          <w:szCs w:val="24"/>
        </w:rPr>
      </w:pPr>
      <w:r w:rsidRPr="0093633A">
        <w:rPr>
          <w:rFonts w:ascii="Times New Roman" w:hAnsi="Times New Roman"/>
          <w:sz w:val="24"/>
          <w:szCs w:val="24"/>
        </w:rPr>
        <w:t>Sustainable partnerships with (NDoH and other agencies, Universities and Universities of Technologies).</w:t>
      </w:r>
    </w:p>
    <w:p w14:paraId="180C882B" w14:textId="77777777" w:rsidR="004B7CA4" w:rsidRPr="0093633A" w:rsidRDefault="004B7CA4" w:rsidP="00085BAF">
      <w:pPr>
        <w:jc w:val="both"/>
        <w:rPr>
          <w:rFonts w:ascii="Times New Roman" w:hAnsi="Times New Roman"/>
          <w:sz w:val="24"/>
          <w:szCs w:val="24"/>
        </w:rPr>
      </w:pPr>
    </w:p>
    <w:p w14:paraId="33D0A23A" w14:textId="77777777" w:rsidR="004B7CA4" w:rsidRPr="0093633A" w:rsidRDefault="004B7CA4" w:rsidP="00941E30">
      <w:pPr>
        <w:pStyle w:val="Heading2"/>
        <w:numPr>
          <w:ilvl w:val="0"/>
          <w:numId w:val="0"/>
        </w:numPr>
        <w:ind w:left="576" w:hanging="576"/>
        <w:jc w:val="both"/>
        <w:rPr>
          <w:rFonts w:ascii="Times New Roman" w:hAnsi="Times New Roman" w:cs="Times New Roman"/>
          <w:sz w:val="24"/>
          <w:szCs w:val="24"/>
        </w:rPr>
      </w:pPr>
      <w:bookmarkStart w:id="5" w:name="_Toc511637969"/>
      <w:r w:rsidRPr="0093633A">
        <w:rPr>
          <w:rFonts w:ascii="Times New Roman" w:hAnsi="Times New Roman" w:cs="Times New Roman"/>
          <w:sz w:val="24"/>
          <w:szCs w:val="24"/>
        </w:rPr>
        <w:t>Weaknesses for NHLS:</w:t>
      </w:r>
      <w:bookmarkEnd w:id="5"/>
    </w:p>
    <w:p w14:paraId="65EC6548" w14:textId="77777777" w:rsidR="004B7CA4" w:rsidRPr="0093633A" w:rsidRDefault="004B7CA4">
      <w:pPr>
        <w:jc w:val="both"/>
        <w:rPr>
          <w:rFonts w:ascii="Times New Roman" w:hAnsi="Times New Roman"/>
          <w:sz w:val="24"/>
          <w:szCs w:val="24"/>
        </w:rPr>
      </w:pPr>
    </w:p>
    <w:p w14:paraId="38F66FAC" w14:textId="77777777" w:rsidR="004B7CA4" w:rsidRPr="0093633A" w:rsidRDefault="004B7CA4" w:rsidP="00941E30">
      <w:pPr>
        <w:numPr>
          <w:ilvl w:val="0"/>
          <w:numId w:val="64"/>
        </w:numPr>
        <w:spacing w:line="360" w:lineRule="auto"/>
        <w:jc w:val="both"/>
        <w:rPr>
          <w:rFonts w:ascii="Times New Roman" w:hAnsi="Times New Roman"/>
          <w:sz w:val="24"/>
          <w:szCs w:val="24"/>
        </w:rPr>
      </w:pPr>
      <w:r w:rsidRPr="0093633A">
        <w:rPr>
          <w:rFonts w:ascii="Times New Roman" w:hAnsi="Times New Roman"/>
          <w:sz w:val="24"/>
          <w:szCs w:val="24"/>
        </w:rPr>
        <w:t xml:space="preserve">Inability to cultivate team work; </w:t>
      </w:r>
    </w:p>
    <w:p w14:paraId="6126DE44" w14:textId="77777777" w:rsidR="004B7CA4" w:rsidRPr="0093633A" w:rsidRDefault="004B7CA4" w:rsidP="00941E30">
      <w:pPr>
        <w:numPr>
          <w:ilvl w:val="0"/>
          <w:numId w:val="64"/>
        </w:numPr>
        <w:spacing w:line="360" w:lineRule="auto"/>
        <w:jc w:val="both"/>
        <w:rPr>
          <w:rFonts w:ascii="Times New Roman" w:hAnsi="Times New Roman"/>
          <w:sz w:val="24"/>
          <w:szCs w:val="24"/>
        </w:rPr>
      </w:pPr>
      <w:r w:rsidRPr="0093633A">
        <w:rPr>
          <w:rFonts w:ascii="Times New Roman" w:hAnsi="Times New Roman"/>
          <w:sz w:val="24"/>
          <w:szCs w:val="24"/>
        </w:rPr>
        <w:t>Lack of consequences of poor performance by management;</w:t>
      </w:r>
    </w:p>
    <w:p w14:paraId="2B29CD2B" w14:textId="77777777" w:rsidR="004B7CA4" w:rsidRPr="0093633A" w:rsidRDefault="004B7CA4" w:rsidP="00941E30">
      <w:pPr>
        <w:numPr>
          <w:ilvl w:val="0"/>
          <w:numId w:val="64"/>
        </w:numPr>
        <w:spacing w:line="360" w:lineRule="auto"/>
        <w:jc w:val="both"/>
        <w:rPr>
          <w:rFonts w:ascii="Times New Roman" w:hAnsi="Times New Roman"/>
          <w:sz w:val="24"/>
          <w:szCs w:val="24"/>
        </w:rPr>
      </w:pPr>
      <w:r w:rsidRPr="0093633A">
        <w:rPr>
          <w:rFonts w:ascii="Times New Roman" w:hAnsi="Times New Roman"/>
          <w:sz w:val="24"/>
          <w:szCs w:val="24"/>
        </w:rPr>
        <w:t>Resistance to change;</w:t>
      </w:r>
    </w:p>
    <w:p w14:paraId="7DB0A4C3" w14:textId="77777777" w:rsidR="004B7CA4" w:rsidRPr="0093633A" w:rsidRDefault="004B7CA4" w:rsidP="00941E30">
      <w:pPr>
        <w:numPr>
          <w:ilvl w:val="0"/>
          <w:numId w:val="64"/>
        </w:numPr>
        <w:spacing w:line="360" w:lineRule="auto"/>
        <w:jc w:val="both"/>
        <w:rPr>
          <w:rFonts w:ascii="Times New Roman" w:hAnsi="Times New Roman"/>
          <w:sz w:val="24"/>
          <w:szCs w:val="24"/>
        </w:rPr>
      </w:pPr>
      <w:r w:rsidRPr="0093633A">
        <w:rPr>
          <w:rFonts w:ascii="Times New Roman" w:hAnsi="Times New Roman"/>
          <w:sz w:val="24"/>
          <w:szCs w:val="24"/>
        </w:rPr>
        <w:t>Poor communication both internally and externally; and</w:t>
      </w:r>
    </w:p>
    <w:p w14:paraId="7CADCB3E" w14:textId="77777777" w:rsidR="004B7CA4" w:rsidRPr="0093633A" w:rsidRDefault="004B7CA4" w:rsidP="00941E30">
      <w:pPr>
        <w:numPr>
          <w:ilvl w:val="0"/>
          <w:numId w:val="64"/>
        </w:numPr>
        <w:spacing w:line="360" w:lineRule="auto"/>
        <w:jc w:val="both"/>
        <w:rPr>
          <w:rFonts w:ascii="Times New Roman" w:hAnsi="Times New Roman"/>
          <w:sz w:val="24"/>
          <w:szCs w:val="24"/>
        </w:rPr>
      </w:pPr>
      <w:r w:rsidRPr="0093633A">
        <w:rPr>
          <w:rFonts w:ascii="Times New Roman" w:hAnsi="Times New Roman"/>
          <w:sz w:val="24"/>
          <w:szCs w:val="24"/>
        </w:rPr>
        <w:t xml:space="preserve">Leadership instability. </w:t>
      </w:r>
    </w:p>
    <w:p w14:paraId="325AF3D9" w14:textId="77777777" w:rsidR="004B7CA4" w:rsidRPr="0093633A" w:rsidRDefault="004B7CA4" w:rsidP="00085BAF">
      <w:pPr>
        <w:jc w:val="both"/>
        <w:rPr>
          <w:rFonts w:ascii="Times New Roman" w:hAnsi="Times New Roman"/>
          <w:sz w:val="24"/>
          <w:szCs w:val="24"/>
        </w:rPr>
      </w:pPr>
    </w:p>
    <w:p w14:paraId="66499C14" w14:textId="77777777" w:rsidR="004B7CA4" w:rsidRPr="0093633A" w:rsidRDefault="004B7CA4" w:rsidP="00941E30">
      <w:pPr>
        <w:pStyle w:val="Heading2"/>
        <w:numPr>
          <w:ilvl w:val="0"/>
          <w:numId w:val="0"/>
        </w:numPr>
        <w:ind w:left="576" w:hanging="576"/>
        <w:jc w:val="both"/>
        <w:rPr>
          <w:rFonts w:ascii="Times New Roman" w:hAnsi="Times New Roman" w:cs="Times New Roman"/>
          <w:sz w:val="24"/>
          <w:szCs w:val="24"/>
        </w:rPr>
      </w:pPr>
      <w:bookmarkStart w:id="6" w:name="_Toc511637970"/>
      <w:r w:rsidRPr="0093633A">
        <w:rPr>
          <w:rFonts w:ascii="Times New Roman" w:hAnsi="Times New Roman" w:cs="Times New Roman"/>
          <w:sz w:val="24"/>
          <w:szCs w:val="24"/>
        </w:rPr>
        <w:t>Opportunities for NHLS:</w:t>
      </w:r>
      <w:bookmarkEnd w:id="6"/>
      <w:r w:rsidRPr="0093633A">
        <w:rPr>
          <w:rFonts w:ascii="Times New Roman" w:hAnsi="Times New Roman" w:cs="Times New Roman"/>
          <w:sz w:val="24"/>
          <w:szCs w:val="24"/>
        </w:rPr>
        <w:t xml:space="preserve"> </w:t>
      </w:r>
    </w:p>
    <w:p w14:paraId="30F599B6" w14:textId="77777777" w:rsidR="004B7CA4" w:rsidRPr="0093633A" w:rsidRDefault="004B7CA4">
      <w:pPr>
        <w:jc w:val="both"/>
        <w:rPr>
          <w:rFonts w:ascii="Times New Roman" w:hAnsi="Times New Roman"/>
          <w:sz w:val="24"/>
          <w:szCs w:val="24"/>
        </w:rPr>
      </w:pPr>
    </w:p>
    <w:p w14:paraId="5916AAEA" w14:textId="77777777" w:rsidR="004B7CA4" w:rsidRPr="0093633A" w:rsidRDefault="004B7CA4" w:rsidP="00941E30">
      <w:pPr>
        <w:numPr>
          <w:ilvl w:val="0"/>
          <w:numId w:val="65"/>
        </w:numPr>
        <w:spacing w:line="360" w:lineRule="auto"/>
        <w:jc w:val="both"/>
        <w:rPr>
          <w:rFonts w:ascii="Times New Roman" w:hAnsi="Times New Roman"/>
          <w:sz w:val="24"/>
          <w:szCs w:val="24"/>
        </w:rPr>
      </w:pPr>
      <w:r w:rsidRPr="0093633A">
        <w:rPr>
          <w:rFonts w:ascii="Times New Roman" w:hAnsi="Times New Roman"/>
          <w:sz w:val="24"/>
          <w:szCs w:val="24"/>
        </w:rPr>
        <w:t>Introduction of the National Health Insurance (NHI);</w:t>
      </w:r>
    </w:p>
    <w:p w14:paraId="55A7BE01" w14:textId="77777777" w:rsidR="004B7CA4" w:rsidRPr="0093633A" w:rsidRDefault="004B7CA4" w:rsidP="00941E30">
      <w:pPr>
        <w:numPr>
          <w:ilvl w:val="0"/>
          <w:numId w:val="65"/>
        </w:numPr>
        <w:spacing w:line="360" w:lineRule="auto"/>
        <w:jc w:val="both"/>
        <w:rPr>
          <w:rFonts w:ascii="Times New Roman" w:hAnsi="Times New Roman"/>
          <w:sz w:val="24"/>
          <w:szCs w:val="24"/>
        </w:rPr>
      </w:pPr>
      <w:r w:rsidRPr="0093633A">
        <w:rPr>
          <w:rFonts w:ascii="Times New Roman" w:hAnsi="Times New Roman"/>
          <w:sz w:val="24"/>
          <w:szCs w:val="24"/>
        </w:rPr>
        <w:t>Increased volumes through universal test and treat (UTT) policy;</w:t>
      </w:r>
    </w:p>
    <w:p w14:paraId="1F3114E4" w14:textId="77777777" w:rsidR="004B7CA4" w:rsidRPr="0093633A" w:rsidRDefault="004B7CA4" w:rsidP="00941E30">
      <w:pPr>
        <w:numPr>
          <w:ilvl w:val="0"/>
          <w:numId w:val="65"/>
        </w:numPr>
        <w:spacing w:line="360" w:lineRule="auto"/>
        <w:jc w:val="both"/>
        <w:rPr>
          <w:rFonts w:ascii="Times New Roman" w:hAnsi="Times New Roman"/>
          <w:sz w:val="24"/>
          <w:szCs w:val="24"/>
        </w:rPr>
      </w:pPr>
      <w:r w:rsidRPr="0093633A">
        <w:rPr>
          <w:rFonts w:ascii="Times New Roman" w:hAnsi="Times New Roman"/>
          <w:sz w:val="24"/>
          <w:szCs w:val="24"/>
        </w:rPr>
        <w:t>Additional work to be performed within the SADC region to generate additional revenues; and</w:t>
      </w:r>
    </w:p>
    <w:p w14:paraId="38FB3137" w14:textId="77777777" w:rsidR="004B7CA4" w:rsidRPr="0093633A" w:rsidRDefault="004B7CA4" w:rsidP="00941E30">
      <w:pPr>
        <w:numPr>
          <w:ilvl w:val="0"/>
          <w:numId w:val="65"/>
        </w:numPr>
        <w:spacing w:line="360" w:lineRule="auto"/>
        <w:jc w:val="both"/>
        <w:rPr>
          <w:rFonts w:ascii="Times New Roman" w:hAnsi="Times New Roman"/>
          <w:sz w:val="24"/>
          <w:szCs w:val="24"/>
        </w:rPr>
      </w:pPr>
      <w:r w:rsidRPr="0093633A">
        <w:rPr>
          <w:rFonts w:ascii="Times New Roman" w:hAnsi="Times New Roman"/>
          <w:sz w:val="24"/>
          <w:szCs w:val="24"/>
        </w:rPr>
        <w:t>Additional work to be performed within the SADC region to generate additional revenues.</w:t>
      </w:r>
      <w:r w:rsidRPr="0093633A" w:rsidDel="00114048">
        <w:rPr>
          <w:rFonts w:ascii="Times New Roman" w:hAnsi="Times New Roman"/>
          <w:sz w:val="24"/>
          <w:szCs w:val="24"/>
        </w:rPr>
        <w:t xml:space="preserve"> </w:t>
      </w:r>
    </w:p>
    <w:p w14:paraId="179BE246" w14:textId="77777777" w:rsidR="00D845FF" w:rsidRPr="0093633A" w:rsidRDefault="00D845FF" w:rsidP="00085BAF">
      <w:pPr>
        <w:jc w:val="both"/>
        <w:rPr>
          <w:rFonts w:ascii="Times New Roman" w:hAnsi="Times New Roman"/>
          <w:sz w:val="24"/>
          <w:szCs w:val="24"/>
        </w:rPr>
      </w:pPr>
    </w:p>
    <w:p w14:paraId="5244625B" w14:textId="77777777" w:rsidR="004B7CA4" w:rsidRPr="0093633A" w:rsidRDefault="004B7CA4" w:rsidP="00941E30">
      <w:pPr>
        <w:pStyle w:val="Heading2"/>
        <w:numPr>
          <w:ilvl w:val="0"/>
          <w:numId w:val="0"/>
        </w:numPr>
        <w:ind w:left="576" w:hanging="576"/>
        <w:jc w:val="both"/>
        <w:rPr>
          <w:rFonts w:ascii="Times New Roman" w:hAnsi="Times New Roman" w:cs="Times New Roman"/>
          <w:sz w:val="24"/>
          <w:szCs w:val="24"/>
        </w:rPr>
      </w:pPr>
      <w:bookmarkStart w:id="7" w:name="_Toc511637971"/>
      <w:r w:rsidRPr="0093633A">
        <w:rPr>
          <w:rFonts w:ascii="Times New Roman" w:hAnsi="Times New Roman" w:cs="Times New Roman"/>
          <w:sz w:val="24"/>
          <w:szCs w:val="24"/>
        </w:rPr>
        <w:t>Threats for NHLS:</w:t>
      </w:r>
      <w:bookmarkEnd w:id="7"/>
    </w:p>
    <w:p w14:paraId="247E2F7A" w14:textId="77777777" w:rsidR="004B7CA4" w:rsidRPr="0093633A" w:rsidRDefault="004B7CA4">
      <w:pPr>
        <w:jc w:val="both"/>
        <w:rPr>
          <w:rFonts w:ascii="Times New Roman" w:hAnsi="Times New Roman"/>
          <w:sz w:val="24"/>
          <w:szCs w:val="24"/>
        </w:rPr>
      </w:pPr>
    </w:p>
    <w:p w14:paraId="17F01CCF" w14:textId="77777777" w:rsidR="004B7CA4" w:rsidRPr="0093633A" w:rsidRDefault="004B7CA4" w:rsidP="00941E30">
      <w:pPr>
        <w:numPr>
          <w:ilvl w:val="0"/>
          <w:numId w:val="66"/>
        </w:numPr>
        <w:spacing w:line="360" w:lineRule="auto"/>
        <w:jc w:val="both"/>
        <w:rPr>
          <w:rFonts w:ascii="Times New Roman" w:hAnsi="Times New Roman"/>
          <w:sz w:val="24"/>
          <w:szCs w:val="24"/>
        </w:rPr>
      </w:pPr>
      <w:r w:rsidRPr="0093633A">
        <w:rPr>
          <w:rFonts w:ascii="Times New Roman" w:hAnsi="Times New Roman"/>
          <w:sz w:val="24"/>
          <w:szCs w:val="24"/>
        </w:rPr>
        <w:t>Increased financial pressures from exchange rates - i.e. equipment purchased from overseas;</w:t>
      </w:r>
    </w:p>
    <w:p w14:paraId="718E0198" w14:textId="77777777" w:rsidR="004B7CA4" w:rsidRPr="0093633A" w:rsidRDefault="004B7CA4" w:rsidP="00941E30">
      <w:pPr>
        <w:numPr>
          <w:ilvl w:val="0"/>
          <w:numId w:val="66"/>
        </w:numPr>
        <w:spacing w:line="360" w:lineRule="auto"/>
        <w:jc w:val="both"/>
        <w:rPr>
          <w:rFonts w:ascii="Times New Roman" w:hAnsi="Times New Roman"/>
          <w:sz w:val="24"/>
          <w:szCs w:val="24"/>
        </w:rPr>
      </w:pPr>
      <w:r w:rsidRPr="0093633A">
        <w:rPr>
          <w:rFonts w:ascii="Times New Roman" w:hAnsi="Times New Roman"/>
          <w:sz w:val="24"/>
          <w:szCs w:val="24"/>
        </w:rPr>
        <w:t>Additional work to be performed within the SADC region to generate additional revenues;</w:t>
      </w:r>
    </w:p>
    <w:p w14:paraId="6FE02099" w14:textId="77777777" w:rsidR="004B7CA4" w:rsidRPr="0093633A" w:rsidRDefault="004B7CA4" w:rsidP="00941E30">
      <w:pPr>
        <w:numPr>
          <w:ilvl w:val="0"/>
          <w:numId w:val="66"/>
        </w:numPr>
        <w:spacing w:line="360" w:lineRule="auto"/>
        <w:jc w:val="both"/>
        <w:rPr>
          <w:rFonts w:ascii="Times New Roman" w:hAnsi="Times New Roman"/>
          <w:sz w:val="24"/>
          <w:szCs w:val="24"/>
        </w:rPr>
      </w:pPr>
      <w:r w:rsidRPr="0093633A">
        <w:rPr>
          <w:rFonts w:ascii="Times New Roman" w:hAnsi="Times New Roman"/>
          <w:sz w:val="24"/>
          <w:szCs w:val="24"/>
        </w:rPr>
        <w:t>High debtors level;</w:t>
      </w:r>
    </w:p>
    <w:p w14:paraId="044F7B81" w14:textId="77777777" w:rsidR="004B7CA4" w:rsidRPr="0093633A" w:rsidRDefault="004B7CA4" w:rsidP="00941E30">
      <w:pPr>
        <w:numPr>
          <w:ilvl w:val="0"/>
          <w:numId w:val="66"/>
        </w:numPr>
        <w:spacing w:line="360" w:lineRule="auto"/>
        <w:jc w:val="both"/>
        <w:rPr>
          <w:rFonts w:ascii="Times New Roman" w:hAnsi="Times New Roman"/>
          <w:sz w:val="24"/>
          <w:szCs w:val="24"/>
        </w:rPr>
      </w:pPr>
      <w:r w:rsidRPr="0093633A">
        <w:rPr>
          <w:rFonts w:ascii="Times New Roman" w:hAnsi="Times New Roman"/>
          <w:sz w:val="24"/>
          <w:szCs w:val="24"/>
        </w:rPr>
        <w:t>Lack of investment on IT infrastructure; and</w:t>
      </w:r>
    </w:p>
    <w:p w14:paraId="7841C952" w14:textId="77777777" w:rsidR="004B7CA4" w:rsidRPr="0093633A" w:rsidRDefault="004B7CA4" w:rsidP="00941E30">
      <w:pPr>
        <w:numPr>
          <w:ilvl w:val="0"/>
          <w:numId w:val="66"/>
        </w:numPr>
        <w:spacing w:line="360" w:lineRule="auto"/>
        <w:jc w:val="both"/>
        <w:rPr>
          <w:rFonts w:ascii="Times New Roman" w:hAnsi="Times New Roman"/>
          <w:sz w:val="24"/>
          <w:szCs w:val="24"/>
        </w:rPr>
      </w:pPr>
      <w:r w:rsidRPr="0093633A">
        <w:rPr>
          <w:rFonts w:ascii="Times New Roman" w:hAnsi="Times New Roman"/>
          <w:sz w:val="24"/>
          <w:szCs w:val="24"/>
        </w:rPr>
        <w:t xml:space="preserve">Inadequate training platform in Virology, Human Genetics and Haematology; and </w:t>
      </w:r>
    </w:p>
    <w:p w14:paraId="0ED5373E" w14:textId="77777777" w:rsidR="004B7CA4" w:rsidRPr="0093633A" w:rsidRDefault="004B7CA4" w:rsidP="00941E30">
      <w:pPr>
        <w:numPr>
          <w:ilvl w:val="0"/>
          <w:numId w:val="66"/>
        </w:numPr>
        <w:spacing w:line="360" w:lineRule="auto"/>
        <w:jc w:val="both"/>
        <w:rPr>
          <w:rFonts w:ascii="Times New Roman" w:hAnsi="Times New Roman"/>
          <w:sz w:val="24"/>
          <w:szCs w:val="24"/>
        </w:rPr>
      </w:pPr>
      <w:r w:rsidRPr="0093633A">
        <w:rPr>
          <w:rFonts w:ascii="Times New Roman" w:hAnsi="Times New Roman"/>
          <w:sz w:val="24"/>
          <w:szCs w:val="24"/>
        </w:rPr>
        <w:t>Opening of new medical schools, the NHLS may not have enough resources to cover the need.</w:t>
      </w:r>
    </w:p>
    <w:p w14:paraId="24B50118" w14:textId="77777777" w:rsidR="004B7CA4" w:rsidRPr="0093633A" w:rsidRDefault="004B7CA4" w:rsidP="00085BAF">
      <w:pPr>
        <w:jc w:val="both"/>
        <w:rPr>
          <w:rFonts w:ascii="Times New Roman" w:hAnsi="Times New Roman"/>
          <w:sz w:val="24"/>
          <w:szCs w:val="24"/>
        </w:rPr>
      </w:pPr>
    </w:p>
    <w:p w14:paraId="4EF7B8B4" w14:textId="77777777" w:rsidR="004B7CA4" w:rsidRPr="0093633A" w:rsidRDefault="009943B5" w:rsidP="00941E30">
      <w:pPr>
        <w:pStyle w:val="Heading1"/>
        <w:keepLines/>
        <w:numPr>
          <w:ilvl w:val="0"/>
          <w:numId w:val="0"/>
        </w:numPr>
        <w:jc w:val="both"/>
        <w:rPr>
          <w:rFonts w:ascii="Times New Roman" w:hAnsi="Times New Roman" w:cs="Times New Roman"/>
          <w:sz w:val="24"/>
          <w:szCs w:val="24"/>
        </w:rPr>
      </w:pPr>
      <w:bookmarkStart w:id="8" w:name="_Toc511637972"/>
      <w:r w:rsidRPr="0093633A">
        <w:rPr>
          <w:rFonts w:ascii="Times New Roman" w:hAnsi="Times New Roman" w:cs="Times New Roman"/>
          <w:sz w:val="24"/>
          <w:szCs w:val="24"/>
        </w:rPr>
        <w:t xml:space="preserve">Strategic Outcome Orientated Goals   </w:t>
      </w:r>
    </w:p>
    <w:p w14:paraId="1075BA12" w14:textId="77777777" w:rsidR="004B7CA4" w:rsidRPr="0093633A" w:rsidRDefault="004B7CA4" w:rsidP="00085BAF">
      <w:pPr>
        <w:pStyle w:val="ListParagraph"/>
        <w:jc w:val="both"/>
        <w:rPr>
          <w:rFonts w:ascii="Times New Roman" w:hAnsi="Times New Roman"/>
          <w:b/>
          <w:bCs/>
          <w:color w:val="E36C0A" w:themeColor="accent6" w:themeShade="BF"/>
          <w:sz w:val="24"/>
          <w:szCs w:val="24"/>
        </w:rPr>
      </w:pPr>
    </w:p>
    <w:bookmarkEnd w:id="8"/>
    <w:p w14:paraId="0F6FEE81" w14:textId="77777777" w:rsidR="004B7CA4" w:rsidRPr="0093633A" w:rsidRDefault="004B7CA4" w:rsidP="00941E30">
      <w:pPr>
        <w:spacing w:line="360" w:lineRule="auto"/>
        <w:jc w:val="both"/>
        <w:rPr>
          <w:rFonts w:ascii="Times New Roman" w:hAnsi="Times New Roman"/>
          <w:sz w:val="24"/>
          <w:szCs w:val="24"/>
        </w:rPr>
      </w:pPr>
      <w:r w:rsidRPr="0093633A">
        <w:rPr>
          <w:rFonts w:ascii="Times New Roman" w:hAnsi="Times New Roman"/>
          <w:sz w:val="24"/>
          <w:szCs w:val="24"/>
        </w:rPr>
        <w:t>The preparation of the annual performance plan led to the revision of the Strategic Outcome Oriented Goals (SOOGs). The rationale for the mid-term strategic review is to align its strategic goals to the National Department of Health</w:t>
      </w:r>
      <w:r w:rsidR="00460CBF">
        <w:rPr>
          <w:rFonts w:ascii="Times New Roman" w:hAnsi="Times New Roman"/>
          <w:sz w:val="24"/>
          <w:szCs w:val="24"/>
        </w:rPr>
        <w:t xml:space="preserve">’s </w:t>
      </w:r>
      <w:r w:rsidRPr="0093633A">
        <w:rPr>
          <w:rFonts w:ascii="Times New Roman" w:hAnsi="Times New Roman"/>
          <w:sz w:val="24"/>
          <w:szCs w:val="24"/>
        </w:rPr>
        <w:t xml:space="preserve">five (5) year strategic goals. Another reason is due to organisational changes including change in national programs and priorities. Key to the updated Strategic Plan is the responsiveness to the governance issues raised in the 2016/17 Auditor General’s audit opinion. The following are six (6) SOOGs that find expression in the </w:t>
      </w:r>
      <w:r w:rsidR="00A27305">
        <w:rPr>
          <w:rFonts w:ascii="Times New Roman" w:hAnsi="Times New Roman"/>
          <w:sz w:val="24"/>
          <w:szCs w:val="24"/>
        </w:rPr>
        <w:t>APP</w:t>
      </w:r>
      <w:r w:rsidRPr="0093633A">
        <w:rPr>
          <w:rFonts w:ascii="Times New Roman" w:hAnsi="Times New Roman"/>
          <w:sz w:val="24"/>
          <w:szCs w:val="24"/>
        </w:rPr>
        <w:t xml:space="preserve"> for 2018/19:</w:t>
      </w:r>
    </w:p>
    <w:p w14:paraId="541D738C" w14:textId="77777777" w:rsidR="004B7CA4" w:rsidRPr="0093633A" w:rsidRDefault="004B7CA4" w:rsidP="00941E30">
      <w:pPr>
        <w:pStyle w:val="ListParagraph"/>
        <w:numPr>
          <w:ilvl w:val="0"/>
          <w:numId w:val="62"/>
        </w:numPr>
        <w:spacing w:line="360" w:lineRule="auto"/>
        <w:jc w:val="both"/>
        <w:rPr>
          <w:rFonts w:ascii="Times New Roman" w:hAnsi="Times New Roman"/>
          <w:sz w:val="24"/>
          <w:szCs w:val="24"/>
        </w:rPr>
      </w:pPr>
      <w:r w:rsidRPr="0093633A">
        <w:rPr>
          <w:rFonts w:ascii="Times New Roman" w:hAnsi="Times New Roman"/>
          <w:sz w:val="24"/>
          <w:szCs w:val="24"/>
        </w:rPr>
        <w:t>Modernised and Accessible Laboratory Service;</w:t>
      </w:r>
    </w:p>
    <w:p w14:paraId="08E6B3E7" w14:textId="77777777" w:rsidR="004B7CA4" w:rsidRPr="0093633A" w:rsidRDefault="004B7CA4" w:rsidP="00941E30">
      <w:pPr>
        <w:pStyle w:val="ListParagraph"/>
        <w:numPr>
          <w:ilvl w:val="0"/>
          <w:numId w:val="62"/>
        </w:numPr>
        <w:spacing w:line="360" w:lineRule="auto"/>
        <w:jc w:val="both"/>
        <w:rPr>
          <w:rFonts w:ascii="Times New Roman" w:hAnsi="Times New Roman"/>
          <w:sz w:val="24"/>
          <w:szCs w:val="24"/>
        </w:rPr>
      </w:pPr>
      <w:r w:rsidRPr="0093633A">
        <w:rPr>
          <w:rFonts w:ascii="Times New Roman" w:hAnsi="Times New Roman"/>
          <w:sz w:val="24"/>
          <w:szCs w:val="24"/>
        </w:rPr>
        <w:t>Academic Excellence in Training and Research;</w:t>
      </w:r>
    </w:p>
    <w:p w14:paraId="159069EE" w14:textId="77777777" w:rsidR="004B7CA4" w:rsidRPr="0093633A" w:rsidRDefault="004B7CA4" w:rsidP="00941E30">
      <w:pPr>
        <w:pStyle w:val="ListParagraph"/>
        <w:numPr>
          <w:ilvl w:val="0"/>
          <w:numId w:val="62"/>
        </w:numPr>
        <w:spacing w:line="360" w:lineRule="auto"/>
        <w:jc w:val="both"/>
        <w:rPr>
          <w:rFonts w:ascii="Times New Roman" w:hAnsi="Times New Roman"/>
          <w:sz w:val="24"/>
          <w:szCs w:val="24"/>
        </w:rPr>
      </w:pPr>
      <w:r w:rsidRPr="0093633A">
        <w:rPr>
          <w:rFonts w:ascii="Times New Roman" w:hAnsi="Times New Roman"/>
          <w:sz w:val="24"/>
          <w:szCs w:val="24"/>
        </w:rPr>
        <w:t>Sound Governance and Improved Stakeholder Relations;</w:t>
      </w:r>
    </w:p>
    <w:p w14:paraId="603C8E19" w14:textId="77777777" w:rsidR="00A27305" w:rsidRDefault="004B7CA4" w:rsidP="00941E30">
      <w:pPr>
        <w:pStyle w:val="ListParagraph"/>
        <w:numPr>
          <w:ilvl w:val="0"/>
          <w:numId w:val="62"/>
        </w:numPr>
        <w:spacing w:line="360" w:lineRule="auto"/>
        <w:jc w:val="both"/>
        <w:rPr>
          <w:rFonts w:ascii="Times New Roman" w:hAnsi="Times New Roman"/>
          <w:sz w:val="24"/>
          <w:szCs w:val="24"/>
        </w:rPr>
      </w:pPr>
      <w:r w:rsidRPr="0093633A">
        <w:rPr>
          <w:rFonts w:ascii="Times New Roman" w:hAnsi="Times New Roman"/>
          <w:sz w:val="24"/>
          <w:szCs w:val="24"/>
        </w:rPr>
        <w:t>Effective, Efficient and Ethical Organisation for improved service delivery and implementation of NHI;</w:t>
      </w:r>
    </w:p>
    <w:p w14:paraId="0E244F98" w14:textId="77777777" w:rsidR="004B7CA4" w:rsidRPr="0093633A" w:rsidRDefault="004B7CA4" w:rsidP="00941E30">
      <w:pPr>
        <w:pStyle w:val="ListParagraph"/>
        <w:numPr>
          <w:ilvl w:val="0"/>
          <w:numId w:val="62"/>
        </w:numPr>
        <w:spacing w:line="360" w:lineRule="auto"/>
        <w:jc w:val="both"/>
        <w:rPr>
          <w:rFonts w:ascii="Times New Roman" w:hAnsi="Times New Roman"/>
          <w:sz w:val="24"/>
          <w:szCs w:val="24"/>
        </w:rPr>
      </w:pPr>
      <w:r w:rsidRPr="0093633A">
        <w:rPr>
          <w:rFonts w:ascii="Times New Roman" w:hAnsi="Times New Roman"/>
          <w:sz w:val="24"/>
          <w:szCs w:val="24"/>
        </w:rPr>
        <w:t>Efficient Financial Practices; and</w:t>
      </w:r>
    </w:p>
    <w:p w14:paraId="220E2D06" w14:textId="77777777" w:rsidR="004B7CA4" w:rsidRPr="0093633A" w:rsidRDefault="004B7CA4" w:rsidP="00941E30">
      <w:pPr>
        <w:pStyle w:val="ListParagraph"/>
        <w:numPr>
          <w:ilvl w:val="0"/>
          <w:numId w:val="62"/>
        </w:numPr>
        <w:spacing w:line="360" w:lineRule="auto"/>
        <w:jc w:val="both"/>
        <w:rPr>
          <w:rFonts w:ascii="Times New Roman" w:hAnsi="Times New Roman"/>
          <w:sz w:val="24"/>
          <w:szCs w:val="24"/>
        </w:rPr>
      </w:pPr>
      <w:r w:rsidRPr="0093633A">
        <w:rPr>
          <w:rFonts w:ascii="Times New Roman" w:hAnsi="Times New Roman"/>
          <w:sz w:val="24"/>
          <w:szCs w:val="24"/>
        </w:rPr>
        <w:t>Skilled, competent and motivated workforce.</w:t>
      </w:r>
    </w:p>
    <w:p w14:paraId="14E1F881" w14:textId="77777777" w:rsidR="00926A13" w:rsidRPr="00926A13" w:rsidRDefault="00926A13" w:rsidP="00926A13">
      <w:bookmarkStart w:id="9" w:name="_Toc511637973"/>
    </w:p>
    <w:p w14:paraId="3C071E9E" w14:textId="77777777" w:rsidR="00DE53D3" w:rsidRDefault="00DE53D3">
      <w:pPr>
        <w:rPr>
          <w:rFonts w:ascii="Times New Roman" w:hAnsi="Times New Roman" w:cs="Arial"/>
          <w:b/>
          <w:bCs/>
          <w:iCs/>
          <w:color w:val="000000"/>
          <w:sz w:val="24"/>
          <w:szCs w:val="24"/>
        </w:rPr>
      </w:pPr>
      <w:r>
        <w:rPr>
          <w:rFonts w:ascii="Times New Roman" w:hAnsi="Times New Roman"/>
          <w:color w:val="000000"/>
          <w:sz w:val="24"/>
          <w:szCs w:val="24"/>
        </w:rPr>
        <w:br w:type="page"/>
      </w:r>
    </w:p>
    <w:p w14:paraId="782E5E40" w14:textId="77777777" w:rsidR="009943B5" w:rsidRDefault="00B26FF5" w:rsidP="00941E30">
      <w:pPr>
        <w:pStyle w:val="Heading2"/>
        <w:numPr>
          <w:ilvl w:val="0"/>
          <w:numId w:val="0"/>
        </w:numPr>
        <w:jc w:val="both"/>
        <w:rPr>
          <w:rFonts w:ascii="Times New Roman" w:hAnsi="Times New Roman" w:cs="Times New Roman"/>
          <w:sz w:val="24"/>
          <w:szCs w:val="24"/>
        </w:rPr>
      </w:pPr>
      <w:r>
        <w:rPr>
          <w:rFonts w:ascii="Times New Roman" w:hAnsi="Times New Roman"/>
          <w:color w:val="000000"/>
          <w:sz w:val="24"/>
          <w:szCs w:val="24"/>
        </w:rPr>
        <w:t>Annual Performance Indicators 2018/19</w:t>
      </w:r>
    </w:p>
    <w:p w14:paraId="25E2A8B3" w14:textId="77777777" w:rsidR="00A27305" w:rsidRPr="0093633A" w:rsidRDefault="00A27305" w:rsidP="00A27305">
      <w:pPr>
        <w:jc w:val="both"/>
        <w:rPr>
          <w:rFonts w:ascii="Times New Roman" w:hAnsi="Times New Roman"/>
          <w:b/>
          <w:sz w:val="24"/>
          <w:szCs w:val="24"/>
        </w:rPr>
      </w:pPr>
    </w:p>
    <w:p w14:paraId="036EA0CA" w14:textId="77777777" w:rsidR="0086606E" w:rsidRPr="00941E30" w:rsidRDefault="0086606E" w:rsidP="00941E30">
      <w:pPr>
        <w:pStyle w:val="Heading2"/>
        <w:numPr>
          <w:ilvl w:val="0"/>
          <w:numId w:val="0"/>
        </w:numPr>
        <w:spacing w:line="360" w:lineRule="auto"/>
        <w:jc w:val="both"/>
        <w:rPr>
          <w:rFonts w:ascii="Times New Roman" w:hAnsi="Times New Roman" w:cs="Times New Roman"/>
          <w:b w:val="0"/>
          <w:sz w:val="24"/>
          <w:szCs w:val="24"/>
        </w:rPr>
      </w:pPr>
      <w:r w:rsidRPr="00941E30">
        <w:rPr>
          <w:rFonts w:ascii="Times New Roman" w:hAnsi="Times New Roman" w:cs="Times New Roman"/>
          <w:b w:val="0"/>
          <w:sz w:val="24"/>
          <w:szCs w:val="24"/>
        </w:rPr>
        <w:t>Table</w:t>
      </w:r>
      <w:r>
        <w:rPr>
          <w:rFonts w:ascii="Times New Roman" w:hAnsi="Times New Roman" w:cs="Times New Roman"/>
          <w:b w:val="0"/>
          <w:sz w:val="24"/>
          <w:szCs w:val="24"/>
        </w:rPr>
        <w:t>s</w:t>
      </w:r>
      <w:r w:rsidRPr="00941E30">
        <w:rPr>
          <w:rFonts w:ascii="Times New Roman" w:hAnsi="Times New Roman" w:cs="Times New Roman"/>
          <w:b w:val="0"/>
          <w:sz w:val="24"/>
          <w:szCs w:val="24"/>
        </w:rPr>
        <w:t xml:space="preserve"> 16 to 20 </w:t>
      </w:r>
      <w:r w:rsidRPr="00941E30">
        <w:rPr>
          <w:rFonts w:ascii="Times New Roman" w:hAnsi="Times New Roman"/>
          <w:b w:val="0"/>
          <w:color w:val="000000"/>
          <w:sz w:val="24"/>
          <w:szCs w:val="24"/>
          <w:lang w:val="en-ZA" w:eastAsia="en-ZA"/>
        </w:rPr>
        <w:t xml:space="preserve">highlights some of the annual performance indicators of the </w:t>
      </w:r>
      <w:r>
        <w:rPr>
          <w:rFonts w:ascii="Times New Roman" w:hAnsi="Times New Roman"/>
          <w:b w:val="0"/>
          <w:color w:val="000000"/>
          <w:sz w:val="24"/>
          <w:szCs w:val="24"/>
          <w:lang w:val="en-ZA" w:eastAsia="en-ZA"/>
        </w:rPr>
        <w:t>NHLS</w:t>
      </w:r>
      <w:r w:rsidRPr="00941E30">
        <w:rPr>
          <w:rFonts w:ascii="Times New Roman" w:hAnsi="Times New Roman"/>
          <w:b w:val="0"/>
          <w:color w:val="000000"/>
          <w:sz w:val="24"/>
          <w:szCs w:val="24"/>
          <w:lang w:val="en-ZA" w:eastAsia="en-ZA"/>
        </w:rPr>
        <w:t xml:space="preserve"> for 2018/19 financial year.  </w:t>
      </w:r>
    </w:p>
    <w:p w14:paraId="461B1CFB" w14:textId="77777777" w:rsidR="00D845FF" w:rsidRDefault="00D845FF" w:rsidP="00941E30"/>
    <w:p w14:paraId="19339A7C" w14:textId="77777777" w:rsidR="004B7CA4" w:rsidRPr="00085BAF" w:rsidRDefault="009943B5" w:rsidP="00941E30">
      <w:pPr>
        <w:pStyle w:val="Heading2"/>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Programme 1: </w:t>
      </w:r>
      <w:r w:rsidR="004B7CA4" w:rsidRPr="00085BAF">
        <w:rPr>
          <w:rFonts w:ascii="Times New Roman" w:hAnsi="Times New Roman" w:cs="Times New Roman"/>
          <w:sz w:val="24"/>
          <w:szCs w:val="24"/>
        </w:rPr>
        <w:t>Administration</w:t>
      </w:r>
      <w:bookmarkEnd w:id="9"/>
      <w:r w:rsidR="004B7CA4" w:rsidRPr="00085BAF">
        <w:rPr>
          <w:rFonts w:ascii="Times New Roman" w:hAnsi="Times New Roman" w:cs="Times New Roman"/>
          <w:sz w:val="24"/>
          <w:szCs w:val="24"/>
        </w:rPr>
        <w:t xml:space="preserve">  </w:t>
      </w:r>
    </w:p>
    <w:p w14:paraId="6BBA3D98" w14:textId="77777777" w:rsidR="004B7CA4" w:rsidRPr="00085BAF" w:rsidRDefault="004B7CA4" w:rsidP="00085BAF">
      <w:pPr>
        <w:jc w:val="both"/>
        <w:rPr>
          <w:rFonts w:ascii="Times New Roman" w:hAnsi="Times New Roman"/>
          <w:sz w:val="24"/>
          <w:szCs w:val="24"/>
        </w:rPr>
      </w:pPr>
    </w:p>
    <w:p w14:paraId="62D9D30C" w14:textId="77777777" w:rsidR="004B7CA4" w:rsidRPr="0093633A" w:rsidRDefault="004B7CA4" w:rsidP="00941E30">
      <w:pPr>
        <w:spacing w:line="360" w:lineRule="auto"/>
        <w:jc w:val="both"/>
        <w:rPr>
          <w:rFonts w:ascii="Times New Roman" w:hAnsi="Times New Roman"/>
          <w:sz w:val="24"/>
          <w:szCs w:val="24"/>
        </w:rPr>
      </w:pPr>
      <w:r w:rsidRPr="0093633A">
        <w:rPr>
          <w:rFonts w:ascii="Times New Roman" w:hAnsi="Times New Roman"/>
          <w:sz w:val="24"/>
          <w:szCs w:val="24"/>
        </w:rPr>
        <w:t>The administration programme plays a crucial role in the delivery of the NHLS services through the provision of a range of support services. This programme has four (4) sub-programmes, namely: Financial Management, Governance and Compliance, Information Technology (IT) and Human Resources Management.</w:t>
      </w:r>
    </w:p>
    <w:p w14:paraId="598263AD" w14:textId="77777777" w:rsidR="00223B2A" w:rsidRDefault="00223B2A" w:rsidP="00941E30">
      <w:pPr>
        <w:tabs>
          <w:tab w:val="left" w:pos="720"/>
        </w:tabs>
        <w:jc w:val="both"/>
        <w:rPr>
          <w:rFonts w:ascii="Times New Roman" w:hAnsi="Times New Roman"/>
          <w:b/>
          <w:sz w:val="24"/>
          <w:szCs w:val="24"/>
        </w:rPr>
      </w:pPr>
    </w:p>
    <w:p w14:paraId="7A36C866" w14:textId="77777777" w:rsidR="00D4656E" w:rsidRPr="00941E30" w:rsidRDefault="00D4656E" w:rsidP="00941E30">
      <w:pPr>
        <w:spacing w:after="120"/>
        <w:jc w:val="both"/>
        <w:rPr>
          <w:rFonts w:ascii="Times New Roman" w:hAnsi="Times New Roman"/>
          <w:b/>
          <w:color w:val="auto"/>
          <w:sz w:val="22"/>
          <w:szCs w:val="24"/>
        </w:rPr>
      </w:pPr>
      <w:r w:rsidRPr="00941E30">
        <w:rPr>
          <w:rFonts w:ascii="Times New Roman" w:hAnsi="Times New Roman"/>
          <w:b/>
          <w:color w:val="auto"/>
          <w:sz w:val="22"/>
          <w:szCs w:val="24"/>
        </w:rPr>
        <w:t>Table</w:t>
      </w:r>
      <w:r w:rsidR="0093633A" w:rsidRPr="00941E30">
        <w:rPr>
          <w:rFonts w:ascii="Times New Roman" w:hAnsi="Times New Roman"/>
          <w:b/>
          <w:color w:val="auto"/>
          <w:sz w:val="22"/>
          <w:szCs w:val="24"/>
        </w:rPr>
        <w:t xml:space="preserve"> </w:t>
      </w:r>
      <w:r w:rsidR="00147B70" w:rsidRPr="00941E30">
        <w:rPr>
          <w:rFonts w:ascii="Times New Roman" w:hAnsi="Times New Roman"/>
          <w:b/>
          <w:color w:val="auto"/>
          <w:sz w:val="22"/>
          <w:szCs w:val="24"/>
        </w:rPr>
        <w:t>1</w:t>
      </w:r>
      <w:r w:rsidR="00147B70">
        <w:rPr>
          <w:rFonts w:ascii="Times New Roman" w:hAnsi="Times New Roman"/>
          <w:b/>
          <w:color w:val="auto"/>
          <w:sz w:val="22"/>
          <w:szCs w:val="24"/>
        </w:rPr>
        <w:t>7</w:t>
      </w:r>
      <w:r w:rsidRPr="00941E30">
        <w:rPr>
          <w:rFonts w:ascii="Times New Roman" w:hAnsi="Times New Roman"/>
          <w:b/>
          <w:color w:val="auto"/>
          <w:sz w:val="22"/>
          <w:szCs w:val="24"/>
        </w:rPr>
        <w:t>: Programme Performance Indicators</w:t>
      </w:r>
    </w:p>
    <w:tbl>
      <w:tblPr>
        <w:tblStyle w:val="TableGrid"/>
        <w:tblW w:w="0" w:type="auto"/>
        <w:tblLook w:val="04A0" w:firstRow="1" w:lastRow="0" w:firstColumn="1" w:lastColumn="0" w:noHBand="0" w:noVBand="1"/>
      </w:tblPr>
      <w:tblGrid>
        <w:gridCol w:w="4106"/>
        <w:gridCol w:w="2835"/>
        <w:gridCol w:w="2075"/>
      </w:tblGrid>
      <w:tr w:rsidR="00D4656E" w:rsidRPr="00056941" w14:paraId="1D75B30B" w14:textId="77777777" w:rsidTr="00C05C82">
        <w:tc>
          <w:tcPr>
            <w:tcW w:w="4106" w:type="dxa"/>
            <w:shd w:val="clear" w:color="auto" w:fill="DBE5F1" w:themeFill="accent1" w:themeFillTint="33"/>
          </w:tcPr>
          <w:p w14:paraId="22B2E81E" w14:textId="77777777" w:rsidR="00D4656E" w:rsidRPr="00941E30" w:rsidRDefault="00D4656E" w:rsidP="00085BAF">
            <w:pPr>
              <w:jc w:val="both"/>
              <w:rPr>
                <w:rFonts w:ascii="Times New Roman" w:hAnsi="Times New Roman"/>
                <w:b/>
                <w:sz w:val="22"/>
                <w:szCs w:val="24"/>
              </w:rPr>
            </w:pPr>
            <w:r w:rsidRPr="00941E30">
              <w:rPr>
                <w:rFonts w:ascii="Times New Roman" w:hAnsi="Times New Roman"/>
                <w:b/>
                <w:sz w:val="22"/>
                <w:szCs w:val="24"/>
              </w:rPr>
              <w:t>Programme Performance Indicator.</w:t>
            </w:r>
          </w:p>
        </w:tc>
        <w:tc>
          <w:tcPr>
            <w:tcW w:w="2835" w:type="dxa"/>
            <w:shd w:val="clear" w:color="auto" w:fill="DBE5F1" w:themeFill="accent1" w:themeFillTint="33"/>
          </w:tcPr>
          <w:p w14:paraId="447F9280" w14:textId="77777777" w:rsidR="00D4656E" w:rsidRPr="00941E30" w:rsidRDefault="00D4656E">
            <w:pPr>
              <w:jc w:val="both"/>
              <w:rPr>
                <w:rFonts w:ascii="Times New Roman" w:hAnsi="Times New Roman"/>
                <w:b/>
                <w:sz w:val="22"/>
                <w:szCs w:val="24"/>
              </w:rPr>
            </w:pPr>
            <w:r w:rsidRPr="00941E30">
              <w:rPr>
                <w:rFonts w:ascii="Times New Roman" w:hAnsi="Times New Roman"/>
                <w:b/>
                <w:sz w:val="22"/>
                <w:szCs w:val="24"/>
              </w:rPr>
              <w:t>Previous Performance (2017/18)</w:t>
            </w:r>
          </w:p>
        </w:tc>
        <w:tc>
          <w:tcPr>
            <w:tcW w:w="2075" w:type="dxa"/>
            <w:shd w:val="clear" w:color="auto" w:fill="DBE5F1" w:themeFill="accent1" w:themeFillTint="33"/>
          </w:tcPr>
          <w:p w14:paraId="6D241CE7" w14:textId="77777777" w:rsidR="00D4656E" w:rsidRPr="00941E30" w:rsidRDefault="00D4656E">
            <w:pPr>
              <w:jc w:val="both"/>
              <w:rPr>
                <w:rFonts w:ascii="Times New Roman" w:hAnsi="Times New Roman"/>
                <w:b/>
                <w:sz w:val="22"/>
                <w:szCs w:val="24"/>
              </w:rPr>
            </w:pPr>
            <w:r w:rsidRPr="00941E30">
              <w:rPr>
                <w:rFonts w:ascii="Times New Roman" w:hAnsi="Times New Roman"/>
                <w:b/>
                <w:sz w:val="22"/>
                <w:szCs w:val="24"/>
              </w:rPr>
              <w:t>Planned Performance (2018/19)</w:t>
            </w:r>
          </w:p>
        </w:tc>
      </w:tr>
      <w:tr w:rsidR="00D4656E" w:rsidRPr="00056941" w14:paraId="56F9FD8F" w14:textId="77777777" w:rsidTr="00941E30">
        <w:tc>
          <w:tcPr>
            <w:tcW w:w="4106" w:type="dxa"/>
            <w:shd w:val="clear" w:color="auto" w:fill="auto"/>
          </w:tcPr>
          <w:p w14:paraId="476280D7" w14:textId="77777777" w:rsidR="00D4656E" w:rsidRPr="00941E30" w:rsidRDefault="00D4656E" w:rsidP="00941E30">
            <w:pPr>
              <w:rPr>
                <w:rFonts w:ascii="Times New Roman" w:hAnsi="Times New Roman"/>
                <w:sz w:val="22"/>
                <w:szCs w:val="24"/>
              </w:rPr>
            </w:pPr>
            <w:r w:rsidRPr="00941E30">
              <w:rPr>
                <w:rFonts w:ascii="Times New Roman" w:hAnsi="Times New Roman"/>
                <w:sz w:val="22"/>
                <w:szCs w:val="24"/>
              </w:rPr>
              <w:t>Clean audit opinion of the Auditor General (AG).</w:t>
            </w:r>
          </w:p>
        </w:tc>
        <w:tc>
          <w:tcPr>
            <w:tcW w:w="2835" w:type="dxa"/>
            <w:shd w:val="clear" w:color="auto" w:fill="auto"/>
          </w:tcPr>
          <w:p w14:paraId="28F59BC3"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Qualified</w:t>
            </w:r>
          </w:p>
        </w:tc>
        <w:tc>
          <w:tcPr>
            <w:tcW w:w="2075" w:type="dxa"/>
            <w:shd w:val="clear" w:color="auto" w:fill="auto"/>
          </w:tcPr>
          <w:p w14:paraId="716551A4"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Unqualified</w:t>
            </w:r>
          </w:p>
        </w:tc>
      </w:tr>
      <w:tr w:rsidR="00D4656E" w:rsidRPr="00056941" w14:paraId="58BB3D1C" w14:textId="77777777" w:rsidTr="00941E30">
        <w:tc>
          <w:tcPr>
            <w:tcW w:w="4106" w:type="dxa"/>
            <w:shd w:val="clear" w:color="auto" w:fill="auto"/>
          </w:tcPr>
          <w:p w14:paraId="4F812FE3" w14:textId="77777777" w:rsidR="00D4656E" w:rsidRPr="00941E30" w:rsidRDefault="00D4656E" w:rsidP="00941E30">
            <w:pPr>
              <w:rPr>
                <w:rFonts w:ascii="Times New Roman" w:hAnsi="Times New Roman"/>
                <w:sz w:val="22"/>
                <w:szCs w:val="24"/>
              </w:rPr>
            </w:pPr>
            <w:r w:rsidRPr="00941E30">
              <w:rPr>
                <w:rFonts w:ascii="Times New Roman" w:hAnsi="Times New Roman"/>
                <w:sz w:val="22"/>
                <w:szCs w:val="24"/>
              </w:rPr>
              <w:t>Develop and implement the financial management policy and plan.</w:t>
            </w:r>
          </w:p>
        </w:tc>
        <w:tc>
          <w:tcPr>
            <w:tcW w:w="2835" w:type="dxa"/>
            <w:shd w:val="clear" w:color="auto" w:fill="auto"/>
          </w:tcPr>
          <w:p w14:paraId="2A17089C"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c>
          <w:tcPr>
            <w:tcW w:w="2075" w:type="dxa"/>
            <w:shd w:val="clear" w:color="auto" w:fill="auto"/>
          </w:tcPr>
          <w:p w14:paraId="50B206C9"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r>
      <w:tr w:rsidR="00D4656E" w:rsidRPr="00056941" w14:paraId="77DB68E5" w14:textId="77777777" w:rsidTr="00941E30">
        <w:tc>
          <w:tcPr>
            <w:tcW w:w="4106" w:type="dxa"/>
            <w:shd w:val="clear" w:color="auto" w:fill="auto"/>
          </w:tcPr>
          <w:p w14:paraId="22245130" w14:textId="77777777" w:rsidR="00D4656E" w:rsidRPr="00941E30" w:rsidRDefault="00D4656E" w:rsidP="00941E30">
            <w:pPr>
              <w:rPr>
                <w:rFonts w:ascii="Times New Roman" w:hAnsi="Times New Roman"/>
                <w:sz w:val="22"/>
                <w:szCs w:val="24"/>
              </w:rPr>
            </w:pPr>
            <w:r w:rsidRPr="00941E30">
              <w:rPr>
                <w:rFonts w:ascii="Times New Roman" w:hAnsi="Times New Roman"/>
                <w:sz w:val="22"/>
                <w:szCs w:val="24"/>
              </w:rPr>
              <w:t>Contract management system implemented.</w:t>
            </w:r>
          </w:p>
        </w:tc>
        <w:tc>
          <w:tcPr>
            <w:tcW w:w="2835" w:type="dxa"/>
            <w:shd w:val="clear" w:color="auto" w:fill="auto"/>
          </w:tcPr>
          <w:p w14:paraId="664B5522"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c>
          <w:tcPr>
            <w:tcW w:w="2075" w:type="dxa"/>
            <w:shd w:val="clear" w:color="auto" w:fill="auto"/>
          </w:tcPr>
          <w:p w14:paraId="730DEA1E"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r>
      <w:tr w:rsidR="00D4656E" w:rsidRPr="00056941" w14:paraId="7D10D8A0" w14:textId="77777777" w:rsidTr="00941E30">
        <w:tc>
          <w:tcPr>
            <w:tcW w:w="4106" w:type="dxa"/>
            <w:shd w:val="clear" w:color="auto" w:fill="auto"/>
          </w:tcPr>
          <w:p w14:paraId="37541DE4" w14:textId="77777777" w:rsidR="00D4656E" w:rsidRPr="00941E30" w:rsidRDefault="00D4656E" w:rsidP="00941E30">
            <w:pPr>
              <w:rPr>
                <w:rFonts w:ascii="Times New Roman" w:hAnsi="Times New Roman"/>
                <w:sz w:val="22"/>
                <w:szCs w:val="24"/>
              </w:rPr>
            </w:pPr>
            <w:r w:rsidRPr="00941E30">
              <w:rPr>
                <w:rFonts w:ascii="Times New Roman" w:hAnsi="Times New Roman"/>
                <w:sz w:val="22"/>
                <w:szCs w:val="24"/>
              </w:rPr>
              <w:t>Percentage turnaround time for awarding tenders within 90 days after closing date.</w:t>
            </w:r>
          </w:p>
        </w:tc>
        <w:tc>
          <w:tcPr>
            <w:tcW w:w="2835" w:type="dxa"/>
            <w:shd w:val="clear" w:color="auto" w:fill="auto"/>
          </w:tcPr>
          <w:p w14:paraId="310B81AE"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c>
          <w:tcPr>
            <w:tcW w:w="2075" w:type="dxa"/>
            <w:shd w:val="clear" w:color="auto" w:fill="auto"/>
          </w:tcPr>
          <w:p w14:paraId="217ABF7D"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r>
      <w:tr w:rsidR="00D4656E" w:rsidRPr="00056941" w14:paraId="49EDB53B" w14:textId="77777777" w:rsidTr="00941E30">
        <w:tc>
          <w:tcPr>
            <w:tcW w:w="4106" w:type="dxa"/>
            <w:shd w:val="clear" w:color="auto" w:fill="auto"/>
          </w:tcPr>
          <w:p w14:paraId="0A537780" w14:textId="77777777" w:rsidR="00D4656E" w:rsidRPr="00941E30" w:rsidRDefault="00D4656E" w:rsidP="00941E30">
            <w:pPr>
              <w:rPr>
                <w:rFonts w:ascii="Times New Roman" w:hAnsi="Times New Roman"/>
                <w:sz w:val="22"/>
                <w:szCs w:val="24"/>
              </w:rPr>
            </w:pPr>
            <w:r w:rsidRPr="00941E30">
              <w:rPr>
                <w:rFonts w:ascii="Times New Roman" w:hAnsi="Times New Roman"/>
                <w:sz w:val="22"/>
                <w:szCs w:val="24"/>
              </w:rPr>
              <w:t>Effective monitoring tool to measure compliance with Board’s decisions and resolutions.</w:t>
            </w:r>
          </w:p>
        </w:tc>
        <w:tc>
          <w:tcPr>
            <w:tcW w:w="2835" w:type="dxa"/>
            <w:shd w:val="clear" w:color="auto" w:fill="auto"/>
          </w:tcPr>
          <w:p w14:paraId="3F1C2944"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c>
          <w:tcPr>
            <w:tcW w:w="2075" w:type="dxa"/>
            <w:shd w:val="clear" w:color="auto" w:fill="auto"/>
          </w:tcPr>
          <w:p w14:paraId="3667DF49"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r>
      <w:tr w:rsidR="00D4656E" w:rsidRPr="00056941" w14:paraId="4C4A15FD" w14:textId="77777777" w:rsidTr="00941E30">
        <w:tc>
          <w:tcPr>
            <w:tcW w:w="4106" w:type="dxa"/>
            <w:shd w:val="clear" w:color="auto" w:fill="auto"/>
          </w:tcPr>
          <w:p w14:paraId="3F4E7DBD" w14:textId="77777777" w:rsidR="00D4656E" w:rsidRPr="00941E30" w:rsidRDefault="00D4656E" w:rsidP="00941E30">
            <w:pPr>
              <w:rPr>
                <w:rFonts w:ascii="Times New Roman" w:hAnsi="Times New Roman"/>
                <w:sz w:val="22"/>
                <w:szCs w:val="24"/>
              </w:rPr>
            </w:pPr>
            <w:r w:rsidRPr="00941E30">
              <w:rPr>
                <w:rFonts w:ascii="Times New Roman" w:hAnsi="Times New Roman"/>
                <w:sz w:val="22"/>
                <w:szCs w:val="24"/>
              </w:rPr>
              <w:t>Review and revise the code of conduct and ethics policy.</w:t>
            </w:r>
          </w:p>
        </w:tc>
        <w:tc>
          <w:tcPr>
            <w:tcW w:w="2835" w:type="dxa"/>
            <w:shd w:val="clear" w:color="auto" w:fill="auto"/>
          </w:tcPr>
          <w:p w14:paraId="413A8551"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c>
          <w:tcPr>
            <w:tcW w:w="2075" w:type="dxa"/>
            <w:shd w:val="clear" w:color="auto" w:fill="auto"/>
          </w:tcPr>
          <w:p w14:paraId="7D193D1A"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New</w:t>
            </w:r>
          </w:p>
        </w:tc>
      </w:tr>
    </w:tbl>
    <w:p w14:paraId="513A7B60" w14:textId="77777777" w:rsidR="00D4656E" w:rsidRPr="00085BAF" w:rsidRDefault="00D4656E" w:rsidP="00941E30">
      <w:pPr>
        <w:tabs>
          <w:tab w:val="left" w:pos="720"/>
        </w:tabs>
        <w:jc w:val="both"/>
        <w:rPr>
          <w:rFonts w:ascii="Times New Roman" w:hAnsi="Times New Roman"/>
          <w:b/>
          <w:sz w:val="24"/>
          <w:szCs w:val="24"/>
        </w:rPr>
      </w:pPr>
    </w:p>
    <w:p w14:paraId="4B9C045D" w14:textId="77777777" w:rsidR="00D4656E" w:rsidRPr="00941E30" w:rsidRDefault="00D4656E" w:rsidP="00941E30">
      <w:pPr>
        <w:rPr>
          <w:rFonts w:ascii="Times New Roman" w:hAnsi="Times New Roman"/>
          <w:b/>
          <w:sz w:val="24"/>
          <w:szCs w:val="20"/>
          <w:lang w:val="en-ZA" w:eastAsia="en-ZA"/>
        </w:rPr>
      </w:pPr>
      <w:r w:rsidRPr="00740CF7">
        <w:rPr>
          <w:rFonts w:ascii="Times New Roman" w:hAnsi="Times New Roman"/>
          <w:b/>
          <w:sz w:val="24"/>
          <w:szCs w:val="20"/>
          <w:lang w:val="en-ZA" w:eastAsia="en-ZA"/>
        </w:rPr>
        <w:t>Programme 2: Surveil</w:t>
      </w:r>
      <w:r w:rsidRPr="00941E30">
        <w:rPr>
          <w:rFonts w:ascii="Times New Roman" w:hAnsi="Times New Roman"/>
          <w:b/>
          <w:sz w:val="24"/>
          <w:szCs w:val="20"/>
          <w:lang w:val="en-ZA" w:eastAsia="en-ZA"/>
        </w:rPr>
        <w:t>lance of Communicable Diseases</w:t>
      </w:r>
    </w:p>
    <w:p w14:paraId="3B60529B" w14:textId="77777777" w:rsidR="00D4656E" w:rsidRPr="0093633A" w:rsidRDefault="00D4656E" w:rsidP="00085BAF">
      <w:pPr>
        <w:rPr>
          <w:rFonts w:ascii="Times New Roman" w:hAnsi="Times New Roman"/>
          <w:b/>
          <w:sz w:val="24"/>
          <w:szCs w:val="24"/>
          <w:lang w:val="en-ZA" w:eastAsia="en-ZA"/>
        </w:rPr>
      </w:pPr>
    </w:p>
    <w:p w14:paraId="794DD095" w14:textId="77777777" w:rsidR="00D4656E" w:rsidRPr="0093633A" w:rsidRDefault="00D4656E"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 National Institute for Communicable Diseases (NICD) is a national public health institute for South Africa providing reference microbiology, virology, epidemiology, surveillance and public health research to support the government’s response to communicable disease threats. </w:t>
      </w:r>
    </w:p>
    <w:p w14:paraId="3947E0E3" w14:textId="77777777" w:rsidR="00147B70" w:rsidRPr="0093633A" w:rsidRDefault="00147B70">
      <w:pPr>
        <w:rPr>
          <w:rFonts w:ascii="Times New Roman" w:hAnsi="Times New Roman"/>
          <w:b/>
          <w:sz w:val="24"/>
          <w:szCs w:val="24"/>
          <w:lang w:val="en-ZA" w:eastAsia="en-ZA"/>
        </w:rPr>
      </w:pPr>
    </w:p>
    <w:p w14:paraId="158B2894" w14:textId="77777777" w:rsidR="00DE53D3" w:rsidRDefault="00D4656E" w:rsidP="00941E30">
      <w:pPr>
        <w:spacing w:after="120"/>
        <w:rPr>
          <w:rFonts w:ascii="Times New Roman" w:hAnsi="Times New Roman"/>
          <w:b/>
          <w:color w:val="auto"/>
          <w:sz w:val="20"/>
        </w:rPr>
      </w:pPr>
      <w:r w:rsidRPr="00941E30">
        <w:rPr>
          <w:rFonts w:ascii="Times New Roman" w:hAnsi="Times New Roman"/>
          <w:b/>
          <w:color w:val="auto"/>
          <w:sz w:val="20"/>
        </w:rPr>
        <w:t xml:space="preserve"> </w:t>
      </w:r>
    </w:p>
    <w:p w14:paraId="16A06D84" w14:textId="77777777" w:rsidR="00DE53D3" w:rsidRDefault="00DE53D3">
      <w:pPr>
        <w:rPr>
          <w:rFonts w:ascii="Times New Roman" w:hAnsi="Times New Roman"/>
          <w:b/>
          <w:color w:val="auto"/>
          <w:sz w:val="20"/>
        </w:rPr>
      </w:pPr>
      <w:r>
        <w:rPr>
          <w:rFonts w:ascii="Times New Roman" w:hAnsi="Times New Roman"/>
          <w:b/>
          <w:color w:val="auto"/>
          <w:sz w:val="20"/>
        </w:rPr>
        <w:br w:type="page"/>
      </w:r>
    </w:p>
    <w:p w14:paraId="239619D3" w14:textId="77777777" w:rsidR="00D4656E" w:rsidRPr="00941E30" w:rsidRDefault="00D4656E" w:rsidP="00941E30">
      <w:pPr>
        <w:spacing w:after="120"/>
        <w:rPr>
          <w:rFonts w:ascii="Times New Roman" w:hAnsi="Times New Roman"/>
          <w:b/>
          <w:color w:val="auto"/>
          <w:sz w:val="20"/>
        </w:rPr>
      </w:pPr>
      <w:r w:rsidRPr="00941E30">
        <w:rPr>
          <w:rFonts w:ascii="Times New Roman" w:hAnsi="Times New Roman"/>
          <w:b/>
          <w:color w:val="auto"/>
          <w:sz w:val="22"/>
        </w:rPr>
        <w:t xml:space="preserve">Table </w:t>
      </w:r>
      <w:r w:rsidR="00147B70" w:rsidRPr="00941E30">
        <w:rPr>
          <w:rFonts w:ascii="Times New Roman" w:hAnsi="Times New Roman"/>
          <w:b/>
          <w:color w:val="auto"/>
          <w:sz w:val="22"/>
        </w:rPr>
        <w:t>1</w:t>
      </w:r>
      <w:r w:rsidR="00147B70">
        <w:rPr>
          <w:rFonts w:ascii="Times New Roman" w:hAnsi="Times New Roman"/>
          <w:b/>
          <w:color w:val="auto"/>
          <w:sz w:val="22"/>
        </w:rPr>
        <w:t>8</w:t>
      </w:r>
      <w:r w:rsidRPr="00941E30">
        <w:rPr>
          <w:rFonts w:ascii="Times New Roman" w:hAnsi="Times New Roman"/>
          <w:b/>
          <w:color w:val="auto"/>
          <w:sz w:val="22"/>
        </w:rPr>
        <w:t>: Programme Performance Indicators</w:t>
      </w:r>
    </w:p>
    <w:tbl>
      <w:tblPr>
        <w:tblStyle w:val="TableGrid"/>
        <w:tblW w:w="0" w:type="auto"/>
        <w:tblLook w:val="04A0" w:firstRow="1" w:lastRow="0" w:firstColumn="1" w:lastColumn="0" w:noHBand="0" w:noVBand="1"/>
      </w:tblPr>
      <w:tblGrid>
        <w:gridCol w:w="5524"/>
        <w:gridCol w:w="1701"/>
        <w:gridCol w:w="1791"/>
      </w:tblGrid>
      <w:tr w:rsidR="00D4656E" w:rsidRPr="0093633A" w14:paraId="020FD113" w14:textId="77777777" w:rsidTr="00C05C82">
        <w:tc>
          <w:tcPr>
            <w:tcW w:w="5524" w:type="dxa"/>
            <w:shd w:val="clear" w:color="auto" w:fill="DBE5F1" w:themeFill="accent1" w:themeFillTint="33"/>
          </w:tcPr>
          <w:p w14:paraId="50698852" w14:textId="77777777" w:rsidR="00D4656E" w:rsidRPr="00941E30" w:rsidRDefault="00D4656E">
            <w:pPr>
              <w:rPr>
                <w:rFonts w:ascii="Times New Roman" w:hAnsi="Times New Roman"/>
                <w:b/>
                <w:sz w:val="22"/>
              </w:rPr>
            </w:pPr>
            <w:r w:rsidRPr="00941E30">
              <w:rPr>
                <w:rFonts w:ascii="Times New Roman" w:hAnsi="Times New Roman"/>
                <w:b/>
                <w:sz w:val="22"/>
              </w:rPr>
              <w:t>Programme Performance Indicator</w:t>
            </w:r>
          </w:p>
        </w:tc>
        <w:tc>
          <w:tcPr>
            <w:tcW w:w="1701" w:type="dxa"/>
            <w:shd w:val="clear" w:color="auto" w:fill="DBE5F1" w:themeFill="accent1" w:themeFillTint="33"/>
          </w:tcPr>
          <w:p w14:paraId="7B9F955E" w14:textId="77777777" w:rsidR="00D4656E" w:rsidRPr="00941E30" w:rsidRDefault="00D4656E">
            <w:pPr>
              <w:jc w:val="center"/>
              <w:rPr>
                <w:rFonts w:ascii="Times New Roman" w:hAnsi="Times New Roman"/>
                <w:b/>
                <w:sz w:val="22"/>
              </w:rPr>
            </w:pPr>
            <w:r w:rsidRPr="00941E30">
              <w:rPr>
                <w:rFonts w:ascii="Times New Roman" w:hAnsi="Times New Roman"/>
                <w:b/>
                <w:sz w:val="22"/>
              </w:rPr>
              <w:t>Previous Performance (2017/18)</w:t>
            </w:r>
          </w:p>
        </w:tc>
        <w:tc>
          <w:tcPr>
            <w:tcW w:w="1791" w:type="dxa"/>
            <w:shd w:val="clear" w:color="auto" w:fill="DBE5F1" w:themeFill="accent1" w:themeFillTint="33"/>
          </w:tcPr>
          <w:p w14:paraId="34322059" w14:textId="77777777" w:rsidR="00D4656E" w:rsidRPr="00941E30" w:rsidRDefault="00D4656E">
            <w:pPr>
              <w:jc w:val="center"/>
              <w:rPr>
                <w:rFonts w:ascii="Times New Roman" w:hAnsi="Times New Roman"/>
                <w:b/>
                <w:sz w:val="22"/>
              </w:rPr>
            </w:pPr>
            <w:r w:rsidRPr="00941E30">
              <w:rPr>
                <w:rFonts w:ascii="Times New Roman" w:hAnsi="Times New Roman"/>
                <w:b/>
                <w:sz w:val="22"/>
              </w:rPr>
              <w:t>Planned Performance (2018/19)</w:t>
            </w:r>
          </w:p>
        </w:tc>
      </w:tr>
      <w:tr w:rsidR="00D4656E" w:rsidRPr="0093633A" w14:paraId="3A7B876C" w14:textId="77777777" w:rsidTr="00C05C82">
        <w:tc>
          <w:tcPr>
            <w:tcW w:w="5524" w:type="dxa"/>
          </w:tcPr>
          <w:p w14:paraId="33D4781B" w14:textId="77777777" w:rsidR="00D4656E" w:rsidRPr="00941E30" w:rsidRDefault="00D4656E" w:rsidP="00085BAF">
            <w:pPr>
              <w:rPr>
                <w:rFonts w:ascii="Times New Roman" w:hAnsi="Times New Roman"/>
                <w:sz w:val="22"/>
              </w:rPr>
            </w:pPr>
            <w:r w:rsidRPr="00941E30">
              <w:rPr>
                <w:rFonts w:ascii="Times New Roman" w:hAnsi="Times New Roman"/>
                <w:sz w:val="22"/>
              </w:rPr>
              <w:t xml:space="preserve">Percentage of identified prioritised diseases under surveillance. </w:t>
            </w:r>
          </w:p>
        </w:tc>
        <w:tc>
          <w:tcPr>
            <w:tcW w:w="1701" w:type="dxa"/>
          </w:tcPr>
          <w:p w14:paraId="7910721C" w14:textId="77777777" w:rsidR="00D4656E" w:rsidRPr="00941E30" w:rsidRDefault="00D4656E">
            <w:pPr>
              <w:jc w:val="center"/>
              <w:rPr>
                <w:rFonts w:ascii="Times New Roman" w:hAnsi="Times New Roman"/>
                <w:sz w:val="22"/>
              </w:rPr>
            </w:pPr>
            <w:r w:rsidRPr="00941E30">
              <w:rPr>
                <w:rFonts w:ascii="Times New Roman" w:hAnsi="Times New Roman"/>
                <w:sz w:val="22"/>
              </w:rPr>
              <w:t>90%</w:t>
            </w:r>
          </w:p>
        </w:tc>
        <w:tc>
          <w:tcPr>
            <w:tcW w:w="1791" w:type="dxa"/>
          </w:tcPr>
          <w:p w14:paraId="06F685E6" w14:textId="77777777" w:rsidR="00D4656E" w:rsidRPr="00941E30" w:rsidRDefault="00D4656E">
            <w:pPr>
              <w:jc w:val="center"/>
              <w:rPr>
                <w:rFonts w:ascii="Times New Roman" w:hAnsi="Times New Roman"/>
                <w:sz w:val="22"/>
              </w:rPr>
            </w:pPr>
            <w:r w:rsidRPr="00941E30">
              <w:rPr>
                <w:rFonts w:ascii="Times New Roman" w:hAnsi="Times New Roman"/>
                <w:sz w:val="22"/>
              </w:rPr>
              <w:t>90%</w:t>
            </w:r>
          </w:p>
        </w:tc>
      </w:tr>
      <w:tr w:rsidR="00D4656E" w:rsidRPr="0093633A" w14:paraId="428BA951" w14:textId="77777777" w:rsidTr="00941E30">
        <w:tc>
          <w:tcPr>
            <w:tcW w:w="5524" w:type="dxa"/>
            <w:shd w:val="clear" w:color="auto" w:fill="auto"/>
          </w:tcPr>
          <w:p w14:paraId="3006FCEC" w14:textId="77777777" w:rsidR="00D4656E" w:rsidRPr="00941E30" w:rsidRDefault="00D4656E" w:rsidP="00085BAF">
            <w:pPr>
              <w:rPr>
                <w:rFonts w:ascii="Times New Roman" w:hAnsi="Times New Roman"/>
                <w:sz w:val="22"/>
              </w:rPr>
            </w:pPr>
            <w:r w:rsidRPr="00941E30">
              <w:rPr>
                <w:rFonts w:ascii="Times New Roman" w:hAnsi="Times New Roman"/>
                <w:sz w:val="22"/>
              </w:rPr>
              <w:t xml:space="preserve">Annual report of population based cancer surveillance </w:t>
            </w:r>
          </w:p>
        </w:tc>
        <w:tc>
          <w:tcPr>
            <w:tcW w:w="1701" w:type="dxa"/>
            <w:shd w:val="clear" w:color="auto" w:fill="auto"/>
          </w:tcPr>
          <w:p w14:paraId="1721B68A" w14:textId="77777777" w:rsidR="00D4656E" w:rsidRPr="00941E30" w:rsidRDefault="00D4656E">
            <w:pPr>
              <w:jc w:val="center"/>
              <w:rPr>
                <w:rFonts w:ascii="Times New Roman" w:hAnsi="Times New Roman"/>
                <w:sz w:val="22"/>
              </w:rPr>
            </w:pPr>
            <w:r w:rsidRPr="00941E30">
              <w:rPr>
                <w:rFonts w:ascii="Times New Roman" w:hAnsi="Times New Roman"/>
                <w:sz w:val="22"/>
              </w:rPr>
              <w:t>New</w:t>
            </w:r>
          </w:p>
        </w:tc>
        <w:tc>
          <w:tcPr>
            <w:tcW w:w="1791" w:type="dxa"/>
            <w:shd w:val="clear" w:color="auto" w:fill="auto"/>
          </w:tcPr>
          <w:p w14:paraId="03648695" w14:textId="77777777" w:rsidR="00D4656E" w:rsidRPr="00941E30" w:rsidRDefault="00D4656E">
            <w:pPr>
              <w:jc w:val="center"/>
              <w:rPr>
                <w:rFonts w:ascii="Times New Roman" w:hAnsi="Times New Roman"/>
                <w:sz w:val="22"/>
              </w:rPr>
            </w:pPr>
            <w:r w:rsidRPr="00941E30">
              <w:rPr>
                <w:rFonts w:ascii="Times New Roman" w:hAnsi="Times New Roman"/>
                <w:sz w:val="22"/>
              </w:rPr>
              <w:t>New</w:t>
            </w:r>
          </w:p>
        </w:tc>
      </w:tr>
      <w:tr w:rsidR="00D4656E" w:rsidRPr="0093633A" w14:paraId="744B0DBA" w14:textId="77777777" w:rsidTr="00941E30">
        <w:tc>
          <w:tcPr>
            <w:tcW w:w="5524" w:type="dxa"/>
            <w:shd w:val="clear" w:color="auto" w:fill="auto"/>
          </w:tcPr>
          <w:p w14:paraId="02EB6232" w14:textId="77777777" w:rsidR="00D4656E" w:rsidRPr="00941E30" w:rsidRDefault="00D4656E" w:rsidP="00085BAF">
            <w:pPr>
              <w:rPr>
                <w:rFonts w:ascii="Times New Roman" w:hAnsi="Times New Roman"/>
                <w:sz w:val="22"/>
              </w:rPr>
            </w:pPr>
            <w:r w:rsidRPr="00941E30">
              <w:rPr>
                <w:rFonts w:ascii="Times New Roman" w:hAnsi="Times New Roman"/>
                <w:sz w:val="22"/>
              </w:rPr>
              <w:t xml:space="preserve">Maintain World Health Organization (WHO) reference laboratories status. </w:t>
            </w:r>
          </w:p>
        </w:tc>
        <w:tc>
          <w:tcPr>
            <w:tcW w:w="1701" w:type="dxa"/>
            <w:shd w:val="clear" w:color="auto" w:fill="auto"/>
          </w:tcPr>
          <w:p w14:paraId="1B22BC82" w14:textId="77777777" w:rsidR="00D4656E" w:rsidRPr="00941E30" w:rsidRDefault="00D4656E">
            <w:pPr>
              <w:jc w:val="center"/>
              <w:rPr>
                <w:rFonts w:ascii="Times New Roman" w:hAnsi="Times New Roman"/>
                <w:sz w:val="22"/>
              </w:rPr>
            </w:pPr>
            <w:r w:rsidRPr="00941E30">
              <w:rPr>
                <w:rFonts w:ascii="Times New Roman" w:hAnsi="Times New Roman"/>
                <w:sz w:val="22"/>
              </w:rPr>
              <w:t>New</w:t>
            </w:r>
          </w:p>
        </w:tc>
        <w:tc>
          <w:tcPr>
            <w:tcW w:w="1791" w:type="dxa"/>
            <w:shd w:val="clear" w:color="auto" w:fill="auto"/>
          </w:tcPr>
          <w:p w14:paraId="1EA67E61" w14:textId="77777777" w:rsidR="00D4656E" w:rsidRPr="00941E30" w:rsidRDefault="00D4656E">
            <w:pPr>
              <w:jc w:val="center"/>
              <w:rPr>
                <w:rFonts w:ascii="Times New Roman" w:hAnsi="Times New Roman"/>
                <w:sz w:val="22"/>
              </w:rPr>
            </w:pPr>
            <w:r w:rsidRPr="00941E30">
              <w:rPr>
                <w:rFonts w:ascii="Times New Roman" w:hAnsi="Times New Roman"/>
                <w:sz w:val="22"/>
              </w:rPr>
              <w:t>New</w:t>
            </w:r>
          </w:p>
        </w:tc>
      </w:tr>
      <w:tr w:rsidR="00D4656E" w:rsidRPr="0093633A" w14:paraId="56AE1C2E" w14:textId="77777777" w:rsidTr="00941E30">
        <w:tc>
          <w:tcPr>
            <w:tcW w:w="5524" w:type="dxa"/>
            <w:shd w:val="clear" w:color="auto" w:fill="auto"/>
          </w:tcPr>
          <w:p w14:paraId="7E5A8523" w14:textId="77777777" w:rsidR="00D4656E" w:rsidRPr="00941E30" w:rsidRDefault="00D4656E" w:rsidP="00085BAF">
            <w:pPr>
              <w:rPr>
                <w:rFonts w:ascii="Times New Roman" w:hAnsi="Times New Roman"/>
                <w:sz w:val="22"/>
              </w:rPr>
            </w:pPr>
            <w:r w:rsidRPr="00941E30">
              <w:rPr>
                <w:rFonts w:ascii="Times New Roman" w:hAnsi="Times New Roman"/>
                <w:sz w:val="22"/>
              </w:rPr>
              <w:t>Number of articles published in the peer reviewed journals</w:t>
            </w:r>
          </w:p>
        </w:tc>
        <w:tc>
          <w:tcPr>
            <w:tcW w:w="1701" w:type="dxa"/>
            <w:shd w:val="clear" w:color="auto" w:fill="auto"/>
          </w:tcPr>
          <w:p w14:paraId="71B2978F" w14:textId="77777777" w:rsidR="00D4656E" w:rsidRPr="00941E30" w:rsidRDefault="00D4656E">
            <w:pPr>
              <w:jc w:val="center"/>
              <w:rPr>
                <w:rFonts w:ascii="Times New Roman" w:hAnsi="Times New Roman"/>
                <w:sz w:val="22"/>
              </w:rPr>
            </w:pPr>
            <w:r w:rsidRPr="00941E30">
              <w:rPr>
                <w:rFonts w:ascii="Times New Roman" w:hAnsi="Times New Roman"/>
                <w:sz w:val="22"/>
              </w:rPr>
              <w:t>128</w:t>
            </w:r>
          </w:p>
        </w:tc>
        <w:tc>
          <w:tcPr>
            <w:tcW w:w="1791" w:type="dxa"/>
            <w:shd w:val="clear" w:color="auto" w:fill="auto"/>
          </w:tcPr>
          <w:p w14:paraId="6B6D2EED" w14:textId="77777777" w:rsidR="00D4656E" w:rsidRPr="00941E30" w:rsidRDefault="00D4656E">
            <w:pPr>
              <w:jc w:val="center"/>
              <w:rPr>
                <w:rFonts w:ascii="Times New Roman" w:hAnsi="Times New Roman"/>
                <w:sz w:val="22"/>
              </w:rPr>
            </w:pPr>
            <w:r w:rsidRPr="00941E30">
              <w:rPr>
                <w:rFonts w:ascii="Times New Roman" w:hAnsi="Times New Roman"/>
                <w:sz w:val="22"/>
              </w:rPr>
              <w:t>120</w:t>
            </w:r>
          </w:p>
        </w:tc>
      </w:tr>
      <w:tr w:rsidR="00D4656E" w:rsidRPr="0093633A" w14:paraId="40E1006E" w14:textId="77777777" w:rsidTr="00C05C82">
        <w:tc>
          <w:tcPr>
            <w:tcW w:w="5524" w:type="dxa"/>
          </w:tcPr>
          <w:p w14:paraId="707BE1B5" w14:textId="77777777" w:rsidR="00D4656E" w:rsidRPr="00941E30" w:rsidRDefault="00D4656E" w:rsidP="00085BAF">
            <w:pPr>
              <w:rPr>
                <w:rFonts w:ascii="Times New Roman" w:hAnsi="Times New Roman"/>
                <w:sz w:val="22"/>
              </w:rPr>
            </w:pPr>
            <w:r w:rsidRPr="00941E30">
              <w:rPr>
                <w:rFonts w:ascii="Times New Roman" w:hAnsi="Times New Roman"/>
                <w:sz w:val="22"/>
              </w:rPr>
              <w:t>Number of field epidemiologists qualified.</w:t>
            </w:r>
          </w:p>
        </w:tc>
        <w:tc>
          <w:tcPr>
            <w:tcW w:w="1701" w:type="dxa"/>
          </w:tcPr>
          <w:p w14:paraId="5B8EC427" w14:textId="77777777" w:rsidR="00D4656E" w:rsidRPr="00941E30" w:rsidRDefault="00D4656E">
            <w:pPr>
              <w:jc w:val="center"/>
              <w:rPr>
                <w:rFonts w:ascii="Times New Roman" w:hAnsi="Times New Roman"/>
                <w:sz w:val="22"/>
              </w:rPr>
            </w:pPr>
            <w:r w:rsidRPr="00941E30">
              <w:rPr>
                <w:rFonts w:ascii="Times New Roman" w:hAnsi="Times New Roman"/>
                <w:sz w:val="22"/>
              </w:rPr>
              <w:t>14</w:t>
            </w:r>
          </w:p>
        </w:tc>
        <w:tc>
          <w:tcPr>
            <w:tcW w:w="1791" w:type="dxa"/>
          </w:tcPr>
          <w:p w14:paraId="0F07FF7C" w14:textId="77777777" w:rsidR="00D4656E" w:rsidRPr="00941E30" w:rsidRDefault="00D4656E">
            <w:pPr>
              <w:jc w:val="center"/>
              <w:rPr>
                <w:rFonts w:ascii="Times New Roman" w:hAnsi="Times New Roman"/>
                <w:sz w:val="22"/>
              </w:rPr>
            </w:pPr>
            <w:r w:rsidRPr="00941E30">
              <w:rPr>
                <w:rFonts w:ascii="Times New Roman" w:hAnsi="Times New Roman"/>
                <w:sz w:val="22"/>
              </w:rPr>
              <w:t>5</w:t>
            </w:r>
          </w:p>
        </w:tc>
      </w:tr>
    </w:tbl>
    <w:p w14:paraId="12DA4146" w14:textId="77777777" w:rsidR="00D67F51" w:rsidRPr="00085BAF" w:rsidRDefault="00D4656E" w:rsidP="00085BAF">
      <w:pPr>
        <w:jc w:val="both"/>
        <w:rPr>
          <w:rFonts w:ascii="Times New Roman" w:hAnsi="Times New Roman"/>
          <w:b/>
          <w:sz w:val="24"/>
          <w:szCs w:val="24"/>
          <w:lang w:val="en-ZA" w:eastAsia="en-ZA"/>
        </w:rPr>
      </w:pPr>
      <w:r w:rsidRPr="00085BAF">
        <w:rPr>
          <w:rFonts w:ascii="Times New Roman" w:hAnsi="Times New Roman"/>
          <w:b/>
          <w:sz w:val="24"/>
          <w:szCs w:val="24"/>
          <w:lang w:val="en-ZA" w:eastAsia="en-ZA"/>
        </w:rPr>
        <w:t xml:space="preserve"> </w:t>
      </w:r>
    </w:p>
    <w:p w14:paraId="5A06CE94" w14:textId="77777777" w:rsidR="00D4656E" w:rsidRPr="009943B5" w:rsidRDefault="00D4656E" w:rsidP="00941E30">
      <w:pPr>
        <w:autoSpaceDE w:val="0"/>
        <w:autoSpaceDN w:val="0"/>
        <w:adjustRightInd w:val="0"/>
        <w:jc w:val="both"/>
        <w:rPr>
          <w:rFonts w:ascii="Times New Roman" w:hAnsi="Times New Roman"/>
          <w:b/>
          <w:bCs/>
          <w:sz w:val="24"/>
          <w:szCs w:val="24"/>
          <w:lang w:val="en-ZA" w:eastAsia="en-ZA"/>
        </w:rPr>
      </w:pPr>
      <w:r w:rsidRPr="009943B5">
        <w:rPr>
          <w:rFonts w:ascii="Times New Roman" w:hAnsi="Times New Roman"/>
          <w:b/>
          <w:bCs/>
          <w:sz w:val="24"/>
          <w:szCs w:val="24"/>
          <w:lang w:val="en-ZA" w:eastAsia="en-ZA"/>
        </w:rPr>
        <w:t>Programme 3: Occupational Health and Safety</w:t>
      </w:r>
    </w:p>
    <w:p w14:paraId="522FEDCA" w14:textId="77777777" w:rsidR="00D4656E" w:rsidRPr="0093633A" w:rsidRDefault="00D4656E" w:rsidP="00085BAF">
      <w:pPr>
        <w:autoSpaceDE w:val="0"/>
        <w:autoSpaceDN w:val="0"/>
        <w:adjustRightInd w:val="0"/>
        <w:jc w:val="both"/>
        <w:rPr>
          <w:rFonts w:ascii="Times New Roman" w:hAnsi="Times New Roman"/>
          <w:b/>
          <w:bCs/>
          <w:sz w:val="24"/>
          <w:szCs w:val="24"/>
          <w:lang w:val="en-ZA" w:eastAsia="en-ZA"/>
        </w:rPr>
      </w:pPr>
    </w:p>
    <w:p w14:paraId="13C2390D" w14:textId="77777777" w:rsidR="0086606E" w:rsidRPr="003A46DA" w:rsidRDefault="00D4656E" w:rsidP="003A46DA">
      <w:pPr>
        <w:spacing w:line="360" w:lineRule="auto"/>
        <w:jc w:val="both"/>
        <w:rPr>
          <w:rFonts w:ascii="Times New Roman" w:hAnsi="Times New Roman"/>
          <w:sz w:val="24"/>
          <w:szCs w:val="24"/>
        </w:rPr>
      </w:pPr>
      <w:r w:rsidRPr="0093633A">
        <w:rPr>
          <w:rFonts w:ascii="Times New Roman" w:hAnsi="Times New Roman"/>
          <w:sz w:val="24"/>
          <w:szCs w:val="24"/>
        </w:rPr>
        <w:t>The purpose of the National Institute of Occupational Health (NIOH) is to provide occupational health and safety services across all sectors of the economy to improve and promote workers’ health and safety:</w:t>
      </w:r>
    </w:p>
    <w:p w14:paraId="1D1352F5" w14:textId="77777777" w:rsidR="00223B2A" w:rsidRDefault="00223B2A">
      <w:pPr>
        <w:jc w:val="both"/>
        <w:rPr>
          <w:rFonts w:ascii="Times New Roman" w:hAnsi="Times New Roman"/>
          <w:b/>
          <w:sz w:val="24"/>
          <w:szCs w:val="24"/>
        </w:rPr>
      </w:pPr>
    </w:p>
    <w:p w14:paraId="0962536E" w14:textId="77777777" w:rsidR="00D4656E" w:rsidRPr="00941E30" w:rsidRDefault="00D4656E" w:rsidP="00941E30">
      <w:pPr>
        <w:spacing w:after="120"/>
        <w:jc w:val="both"/>
        <w:rPr>
          <w:rFonts w:ascii="Times New Roman" w:hAnsi="Times New Roman"/>
          <w:b/>
          <w:color w:val="auto"/>
          <w:sz w:val="22"/>
          <w:szCs w:val="24"/>
        </w:rPr>
      </w:pPr>
      <w:r w:rsidRPr="00941E30">
        <w:rPr>
          <w:rFonts w:ascii="Times New Roman" w:hAnsi="Times New Roman"/>
          <w:b/>
          <w:color w:val="auto"/>
          <w:sz w:val="22"/>
          <w:szCs w:val="24"/>
        </w:rPr>
        <w:t xml:space="preserve">Table </w:t>
      </w:r>
      <w:r w:rsidR="00147B70" w:rsidRPr="00941E30">
        <w:rPr>
          <w:rFonts w:ascii="Times New Roman" w:hAnsi="Times New Roman"/>
          <w:b/>
          <w:color w:val="auto"/>
          <w:sz w:val="22"/>
          <w:szCs w:val="24"/>
        </w:rPr>
        <w:t>1</w:t>
      </w:r>
      <w:r w:rsidR="00147B70">
        <w:rPr>
          <w:rFonts w:ascii="Times New Roman" w:hAnsi="Times New Roman"/>
          <w:b/>
          <w:color w:val="auto"/>
          <w:sz w:val="22"/>
          <w:szCs w:val="24"/>
        </w:rPr>
        <w:t>9</w:t>
      </w:r>
      <w:r w:rsidRPr="00941E30">
        <w:rPr>
          <w:rFonts w:ascii="Times New Roman" w:hAnsi="Times New Roman"/>
          <w:b/>
          <w:color w:val="auto"/>
          <w:sz w:val="22"/>
          <w:szCs w:val="24"/>
        </w:rPr>
        <w:t>: Programme Performance Indicators</w:t>
      </w:r>
    </w:p>
    <w:tbl>
      <w:tblPr>
        <w:tblStyle w:val="TableGrid"/>
        <w:tblW w:w="0" w:type="auto"/>
        <w:tblLook w:val="04A0" w:firstRow="1" w:lastRow="0" w:firstColumn="1" w:lastColumn="0" w:noHBand="0" w:noVBand="1"/>
      </w:tblPr>
      <w:tblGrid>
        <w:gridCol w:w="5754"/>
        <w:gridCol w:w="1647"/>
        <w:gridCol w:w="1615"/>
      </w:tblGrid>
      <w:tr w:rsidR="00D4656E" w:rsidRPr="00056941" w14:paraId="52FA1783" w14:textId="77777777" w:rsidTr="00941E30">
        <w:tc>
          <w:tcPr>
            <w:tcW w:w="5754" w:type="dxa"/>
            <w:shd w:val="clear" w:color="auto" w:fill="DBE5F1" w:themeFill="accent1" w:themeFillTint="33"/>
          </w:tcPr>
          <w:p w14:paraId="1C274EF2" w14:textId="77777777" w:rsidR="00D4656E" w:rsidRPr="00941E30" w:rsidRDefault="00D4656E">
            <w:pPr>
              <w:jc w:val="both"/>
              <w:rPr>
                <w:rFonts w:ascii="Times New Roman" w:hAnsi="Times New Roman"/>
                <w:b/>
                <w:sz w:val="22"/>
                <w:szCs w:val="24"/>
              </w:rPr>
            </w:pPr>
            <w:r w:rsidRPr="00941E30">
              <w:rPr>
                <w:rFonts w:ascii="Times New Roman" w:hAnsi="Times New Roman"/>
                <w:b/>
                <w:sz w:val="22"/>
                <w:szCs w:val="24"/>
              </w:rPr>
              <w:t>Programme Performance Indicator</w:t>
            </w:r>
          </w:p>
        </w:tc>
        <w:tc>
          <w:tcPr>
            <w:tcW w:w="1647" w:type="dxa"/>
            <w:shd w:val="clear" w:color="auto" w:fill="DBE5F1" w:themeFill="accent1" w:themeFillTint="33"/>
          </w:tcPr>
          <w:p w14:paraId="2B0C654B" w14:textId="77777777" w:rsidR="00D4656E" w:rsidRPr="00941E30" w:rsidRDefault="00D4656E">
            <w:pPr>
              <w:jc w:val="both"/>
              <w:rPr>
                <w:rFonts w:ascii="Times New Roman" w:hAnsi="Times New Roman"/>
                <w:b/>
                <w:sz w:val="22"/>
                <w:szCs w:val="24"/>
              </w:rPr>
            </w:pPr>
            <w:r w:rsidRPr="00941E30">
              <w:rPr>
                <w:rFonts w:ascii="Times New Roman" w:hAnsi="Times New Roman"/>
                <w:b/>
                <w:sz w:val="22"/>
                <w:szCs w:val="24"/>
              </w:rPr>
              <w:t>Previous Performance (2017/18)</w:t>
            </w:r>
          </w:p>
        </w:tc>
        <w:tc>
          <w:tcPr>
            <w:tcW w:w="1615" w:type="dxa"/>
            <w:shd w:val="clear" w:color="auto" w:fill="DBE5F1" w:themeFill="accent1" w:themeFillTint="33"/>
          </w:tcPr>
          <w:p w14:paraId="1596BDBF" w14:textId="77777777" w:rsidR="00D4656E" w:rsidRPr="00941E30" w:rsidRDefault="00D4656E">
            <w:pPr>
              <w:jc w:val="both"/>
              <w:rPr>
                <w:rFonts w:ascii="Times New Roman" w:hAnsi="Times New Roman"/>
                <w:b/>
                <w:sz w:val="22"/>
                <w:szCs w:val="24"/>
              </w:rPr>
            </w:pPr>
            <w:r w:rsidRPr="00941E30">
              <w:rPr>
                <w:rFonts w:ascii="Times New Roman" w:hAnsi="Times New Roman"/>
                <w:b/>
                <w:sz w:val="22"/>
                <w:szCs w:val="24"/>
              </w:rPr>
              <w:t>Planned Performance (2018/19)</w:t>
            </w:r>
          </w:p>
        </w:tc>
      </w:tr>
      <w:tr w:rsidR="00D4656E" w:rsidRPr="00056941" w14:paraId="22B74849" w14:textId="77777777" w:rsidTr="00941E30">
        <w:tc>
          <w:tcPr>
            <w:tcW w:w="5754" w:type="dxa"/>
          </w:tcPr>
          <w:p w14:paraId="5F64CF3C" w14:textId="77777777" w:rsidR="00D4656E" w:rsidRPr="00941E30" w:rsidRDefault="00D4656E" w:rsidP="00085BAF">
            <w:pPr>
              <w:jc w:val="both"/>
              <w:rPr>
                <w:rFonts w:ascii="Times New Roman" w:hAnsi="Times New Roman"/>
                <w:sz w:val="22"/>
                <w:szCs w:val="24"/>
              </w:rPr>
            </w:pPr>
            <w:r w:rsidRPr="00941E30">
              <w:rPr>
                <w:rFonts w:ascii="Times New Roman" w:hAnsi="Times New Roman"/>
                <w:sz w:val="22"/>
                <w:szCs w:val="24"/>
              </w:rPr>
              <w:t>Number of students, interns, registrars under supervision.</w:t>
            </w:r>
          </w:p>
        </w:tc>
        <w:tc>
          <w:tcPr>
            <w:tcW w:w="1647" w:type="dxa"/>
          </w:tcPr>
          <w:p w14:paraId="396F180C" w14:textId="77777777" w:rsidR="00D4656E" w:rsidRPr="00941E30" w:rsidRDefault="00D4656E">
            <w:pPr>
              <w:jc w:val="both"/>
              <w:rPr>
                <w:rFonts w:ascii="Times New Roman" w:hAnsi="Times New Roman"/>
                <w:b/>
                <w:sz w:val="22"/>
                <w:szCs w:val="24"/>
              </w:rPr>
            </w:pPr>
            <w:r w:rsidRPr="00941E30">
              <w:rPr>
                <w:rFonts w:ascii="Times New Roman" w:hAnsi="Times New Roman"/>
                <w:sz w:val="22"/>
                <w:szCs w:val="24"/>
              </w:rPr>
              <w:t>24</w:t>
            </w:r>
          </w:p>
        </w:tc>
        <w:tc>
          <w:tcPr>
            <w:tcW w:w="1615" w:type="dxa"/>
          </w:tcPr>
          <w:p w14:paraId="75FA69BC" w14:textId="77777777" w:rsidR="00D4656E" w:rsidRPr="009845AF" w:rsidRDefault="00D4656E">
            <w:pPr>
              <w:jc w:val="both"/>
              <w:rPr>
                <w:rFonts w:ascii="Times New Roman" w:hAnsi="Times New Roman"/>
                <w:b/>
                <w:color w:val="auto"/>
                <w:sz w:val="22"/>
                <w:szCs w:val="24"/>
              </w:rPr>
            </w:pPr>
            <w:r w:rsidRPr="009845AF">
              <w:rPr>
                <w:rFonts w:ascii="Times New Roman" w:hAnsi="Times New Roman"/>
                <w:color w:val="auto"/>
                <w:sz w:val="22"/>
                <w:szCs w:val="24"/>
              </w:rPr>
              <w:t>25</w:t>
            </w:r>
          </w:p>
        </w:tc>
      </w:tr>
      <w:tr w:rsidR="00D4656E" w:rsidRPr="00056941" w14:paraId="7A869D8D" w14:textId="77777777" w:rsidTr="00941E30">
        <w:tc>
          <w:tcPr>
            <w:tcW w:w="5754" w:type="dxa"/>
            <w:shd w:val="clear" w:color="auto" w:fill="auto"/>
          </w:tcPr>
          <w:p w14:paraId="6C5CDD14" w14:textId="77777777" w:rsidR="00D4656E" w:rsidRPr="00941E30" w:rsidRDefault="00D4656E" w:rsidP="00085BAF">
            <w:pPr>
              <w:jc w:val="both"/>
              <w:rPr>
                <w:rFonts w:ascii="Times New Roman" w:hAnsi="Times New Roman"/>
                <w:sz w:val="22"/>
                <w:szCs w:val="24"/>
              </w:rPr>
            </w:pPr>
            <w:r w:rsidRPr="00941E30">
              <w:rPr>
                <w:rFonts w:ascii="Times New Roman" w:hAnsi="Times New Roman"/>
                <w:sz w:val="22"/>
                <w:szCs w:val="24"/>
              </w:rPr>
              <w:t>Number of articles published in the peer reviewed journals.</w:t>
            </w:r>
          </w:p>
        </w:tc>
        <w:tc>
          <w:tcPr>
            <w:tcW w:w="1647" w:type="dxa"/>
            <w:shd w:val="clear" w:color="auto" w:fill="auto"/>
          </w:tcPr>
          <w:p w14:paraId="419A29D3"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24</w:t>
            </w:r>
          </w:p>
        </w:tc>
        <w:tc>
          <w:tcPr>
            <w:tcW w:w="1615" w:type="dxa"/>
            <w:shd w:val="clear" w:color="auto" w:fill="auto"/>
          </w:tcPr>
          <w:p w14:paraId="52434A4F" w14:textId="77777777" w:rsidR="00D4656E" w:rsidRPr="009845AF" w:rsidRDefault="00D4656E">
            <w:pPr>
              <w:jc w:val="both"/>
              <w:rPr>
                <w:rFonts w:ascii="Times New Roman" w:hAnsi="Times New Roman"/>
                <w:color w:val="auto"/>
                <w:sz w:val="22"/>
                <w:szCs w:val="24"/>
              </w:rPr>
            </w:pPr>
            <w:r w:rsidRPr="009845AF">
              <w:rPr>
                <w:rFonts w:ascii="Times New Roman" w:hAnsi="Times New Roman"/>
                <w:color w:val="auto"/>
                <w:sz w:val="22"/>
                <w:szCs w:val="24"/>
              </w:rPr>
              <w:t>25</w:t>
            </w:r>
          </w:p>
        </w:tc>
      </w:tr>
      <w:tr w:rsidR="00D4656E" w:rsidRPr="00056941" w14:paraId="10098C80" w14:textId="77777777" w:rsidTr="00941E30">
        <w:tc>
          <w:tcPr>
            <w:tcW w:w="5754" w:type="dxa"/>
          </w:tcPr>
          <w:p w14:paraId="195716CC" w14:textId="77777777" w:rsidR="00D4656E" w:rsidRPr="00941E30" w:rsidRDefault="00D4656E" w:rsidP="00085BAF">
            <w:pPr>
              <w:jc w:val="both"/>
              <w:rPr>
                <w:rFonts w:ascii="Times New Roman" w:hAnsi="Times New Roman"/>
                <w:sz w:val="22"/>
                <w:szCs w:val="24"/>
              </w:rPr>
            </w:pPr>
            <w:r w:rsidRPr="00941E30">
              <w:rPr>
                <w:rFonts w:ascii="Times New Roman" w:hAnsi="Times New Roman"/>
                <w:sz w:val="22"/>
                <w:szCs w:val="24"/>
              </w:rPr>
              <w:t>Percentage of occupational and environmental health laboratory tests conducted within predefined turn-around time.</w:t>
            </w:r>
          </w:p>
        </w:tc>
        <w:tc>
          <w:tcPr>
            <w:tcW w:w="1647" w:type="dxa"/>
          </w:tcPr>
          <w:p w14:paraId="3D124B3A" w14:textId="77777777" w:rsidR="00D4656E" w:rsidRPr="00941E30" w:rsidRDefault="00D4656E">
            <w:pPr>
              <w:jc w:val="both"/>
              <w:rPr>
                <w:rFonts w:ascii="Times New Roman" w:hAnsi="Times New Roman"/>
                <w:sz w:val="22"/>
                <w:szCs w:val="24"/>
              </w:rPr>
            </w:pPr>
            <w:r w:rsidRPr="00941E30">
              <w:rPr>
                <w:rFonts w:ascii="Times New Roman" w:hAnsi="Times New Roman"/>
                <w:sz w:val="22"/>
                <w:szCs w:val="24"/>
              </w:rPr>
              <w:t>93%</w:t>
            </w:r>
          </w:p>
        </w:tc>
        <w:tc>
          <w:tcPr>
            <w:tcW w:w="1615" w:type="dxa"/>
          </w:tcPr>
          <w:p w14:paraId="01DCD5FA" w14:textId="77777777" w:rsidR="00D4656E" w:rsidRPr="009845AF" w:rsidRDefault="00D4656E">
            <w:pPr>
              <w:jc w:val="both"/>
              <w:rPr>
                <w:rFonts w:ascii="Times New Roman" w:hAnsi="Times New Roman"/>
                <w:color w:val="auto"/>
                <w:sz w:val="22"/>
                <w:szCs w:val="24"/>
              </w:rPr>
            </w:pPr>
            <w:r w:rsidRPr="009845AF">
              <w:rPr>
                <w:rFonts w:ascii="Times New Roman" w:hAnsi="Times New Roman"/>
                <w:color w:val="auto"/>
                <w:sz w:val="22"/>
                <w:szCs w:val="24"/>
              </w:rPr>
              <w:t>85%</w:t>
            </w:r>
          </w:p>
        </w:tc>
      </w:tr>
    </w:tbl>
    <w:p w14:paraId="595FB237" w14:textId="77777777" w:rsidR="00BE6ED2" w:rsidRPr="0093633A" w:rsidRDefault="00BE6ED2">
      <w:pPr>
        <w:tabs>
          <w:tab w:val="left" w:pos="720"/>
        </w:tabs>
        <w:jc w:val="both"/>
        <w:rPr>
          <w:rFonts w:ascii="Times New Roman" w:hAnsi="Times New Roman"/>
          <w:b/>
          <w:bCs/>
          <w:kern w:val="32"/>
          <w:sz w:val="24"/>
          <w:szCs w:val="24"/>
        </w:rPr>
      </w:pPr>
    </w:p>
    <w:p w14:paraId="4744BCCD" w14:textId="77777777" w:rsidR="000969FF" w:rsidRPr="00B50DFE" w:rsidRDefault="00B50DFE" w:rsidP="00941E3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Programme 4: </w:t>
      </w:r>
      <w:r w:rsidR="00D4656E" w:rsidRPr="00085BAF">
        <w:rPr>
          <w:rFonts w:ascii="Times New Roman" w:hAnsi="Times New Roman"/>
          <w:b/>
          <w:sz w:val="24"/>
          <w:szCs w:val="24"/>
        </w:rPr>
        <w:t xml:space="preserve">Academic Affairs, Research and Quality Assurance </w:t>
      </w:r>
    </w:p>
    <w:p w14:paraId="330BCFA0" w14:textId="77777777" w:rsidR="00D4656E" w:rsidRPr="0093633A" w:rsidRDefault="00D4656E" w:rsidP="00941E30">
      <w:pPr>
        <w:autoSpaceDE w:val="0"/>
        <w:autoSpaceDN w:val="0"/>
        <w:adjustRightInd w:val="0"/>
        <w:jc w:val="both"/>
        <w:rPr>
          <w:rFonts w:ascii="Times New Roman" w:hAnsi="Times New Roman"/>
          <w:b/>
          <w:sz w:val="24"/>
          <w:szCs w:val="24"/>
        </w:rPr>
      </w:pPr>
    </w:p>
    <w:p w14:paraId="67290E15" w14:textId="77777777" w:rsidR="009E5567" w:rsidRDefault="003C2AA4" w:rsidP="00223B2A">
      <w:pPr>
        <w:spacing w:line="360" w:lineRule="auto"/>
        <w:jc w:val="both"/>
        <w:rPr>
          <w:rFonts w:ascii="Times New Roman" w:hAnsi="Times New Roman"/>
          <w:b/>
          <w:sz w:val="24"/>
          <w:szCs w:val="24"/>
        </w:rPr>
      </w:pPr>
      <w:r w:rsidRPr="0093633A">
        <w:rPr>
          <w:rFonts w:ascii="Times New Roman" w:hAnsi="Times New Roman"/>
          <w:sz w:val="24"/>
          <w:szCs w:val="24"/>
        </w:rPr>
        <w:t xml:space="preserve">The main purpose of this programme is to strengthen the mandate of the NHLS of maintaining and providing quality assured and accredited laboratory medicine and the academic platform. </w:t>
      </w:r>
    </w:p>
    <w:p w14:paraId="2D0E171E" w14:textId="77777777" w:rsidR="003A46DA" w:rsidRDefault="003A46DA" w:rsidP="00941E30">
      <w:pPr>
        <w:spacing w:after="120"/>
        <w:jc w:val="both"/>
        <w:rPr>
          <w:rFonts w:ascii="Times New Roman" w:hAnsi="Times New Roman"/>
          <w:b/>
          <w:color w:val="auto"/>
          <w:sz w:val="22"/>
          <w:szCs w:val="24"/>
        </w:rPr>
      </w:pPr>
    </w:p>
    <w:p w14:paraId="1099AB6C" w14:textId="77777777" w:rsidR="003C2AA4" w:rsidRPr="00941E30" w:rsidRDefault="003C2AA4" w:rsidP="00941E30">
      <w:pPr>
        <w:spacing w:after="120"/>
        <w:jc w:val="both"/>
        <w:rPr>
          <w:rFonts w:ascii="Times New Roman" w:hAnsi="Times New Roman"/>
          <w:b/>
          <w:color w:val="auto"/>
          <w:sz w:val="22"/>
          <w:szCs w:val="24"/>
        </w:rPr>
      </w:pPr>
      <w:r w:rsidRPr="00941E30">
        <w:rPr>
          <w:rFonts w:ascii="Times New Roman" w:hAnsi="Times New Roman"/>
          <w:b/>
          <w:color w:val="auto"/>
          <w:sz w:val="22"/>
          <w:szCs w:val="24"/>
        </w:rPr>
        <w:t xml:space="preserve">Table </w:t>
      </w:r>
      <w:r w:rsidR="00147B70">
        <w:rPr>
          <w:rFonts w:ascii="Times New Roman" w:hAnsi="Times New Roman"/>
          <w:b/>
          <w:color w:val="auto"/>
          <w:sz w:val="22"/>
          <w:szCs w:val="24"/>
        </w:rPr>
        <w:t>20</w:t>
      </w:r>
      <w:r w:rsidRPr="00941E30">
        <w:rPr>
          <w:rFonts w:ascii="Times New Roman" w:hAnsi="Times New Roman"/>
          <w:b/>
          <w:color w:val="auto"/>
          <w:sz w:val="22"/>
          <w:szCs w:val="24"/>
        </w:rPr>
        <w:t>: Programme Performance Indicators</w:t>
      </w:r>
    </w:p>
    <w:tbl>
      <w:tblPr>
        <w:tblStyle w:val="TableGrid"/>
        <w:tblW w:w="0" w:type="auto"/>
        <w:tblLook w:val="04A0" w:firstRow="1" w:lastRow="0" w:firstColumn="1" w:lastColumn="0" w:noHBand="0" w:noVBand="1"/>
      </w:tblPr>
      <w:tblGrid>
        <w:gridCol w:w="5382"/>
        <w:gridCol w:w="1984"/>
        <w:gridCol w:w="1650"/>
      </w:tblGrid>
      <w:tr w:rsidR="003C2AA4" w:rsidRPr="00056941" w14:paraId="338974C8" w14:textId="77777777" w:rsidTr="00C05C82">
        <w:tc>
          <w:tcPr>
            <w:tcW w:w="5382" w:type="dxa"/>
            <w:shd w:val="clear" w:color="auto" w:fill="DBE5F1" w:themeFill="accent1" w:themeFillTint="33"/>
          </w:tcPr>
          <w:p w14:paraId="725219AF" w14:textId="77777777" w:rsidR="003C2AA4" w:rsidRPr="00941E30" w:rsidRDefault="003C2AA4">
            <w:pPr>
              <w:jc w:val="both"/>
              <w:rPr>
                <w:rFonts w:ascii="Times New Roman" w:hAnsi="Times New Roman"/>
                <w:b/>
                <w:sz w:val="22"/>
                <w:szCs w:val="24"/>
              </w:rPr>
            </w:pPr>
            <w:r w:rsidRPr="00941E30">
              <w:rPr>
                <w:rFonts w:ascii="Times New Roman" w:hAnsi="Times New Roman"/>
                <w:b/>
                <w:sz w:val="22"/>
                <w:szCs w:val="24"/>
              </w:rPr>
              <w:t>Programme Performance Indicator</w:t>
            </w:r>
          </w:p>
        </w:tc>
        <w:tc>
          <w:tcPr>
            <w:tcW w:w="1984" w:type="dxa"/>
            <w:shd w:val="clear" w:color="auto" w:fill="DBE5F1" w:themeFill="accent1" w:themeFillTint="33"/>
          </w:tcPr>
          <w:p w14:paraId="52B04B67" w14:textId="77777777" w:rsidR="003C2AA4" w:rsidRPr="00941E30" w:rsidRDefault="003C2AA4">
            <w:pPr>
              <w:jc w:val="both"/>
              <w:rPr>
                <w:rFonts w:ascii="Times New Roman" w:hAnsi="Times New Roman"/>
                <w:b/>
                <w:sz w:val="22"/>
                <w:szCs w:val="24"/>
              </w:rPr>
            </w:pPr>
            <w:r w:rsidRPr="00941E30">
              <w:rPr>
                <w:rFonts w:ascii="Times New Roman" w:hAnsi="Times New Roman"/>
                <w:b/>
                <w:sz w:val="22"/>
                <w:szCs w:val="24"/>
              </w:rPr>
              <w:t>Previous Performance (2017/18)</w:t>
            </w:r>
          </w:p>
        </w:tc>
        <w:tc>
          <w:tcPr>
            <w:tcW w:w="1650" w:type="dxa"/>
            <w:shd w:val="clear" w:color="auto" w:fill="DBE5F1" w:themeFill="accent1" w:themeFillTint="33"/>
          </w:tcPr>
          <w:p w14:paraId="50499FEF" w14:textId="77777777" w:rsidR="003C2AA4" w:rsidRPr="00941E30" w:rsidRDefault="003C2AA4">
            <w:pPr>
              <w:jc w:val="both"/>
              <w:rPr>
                <w:rFonts w:ascii="Times New Roman" w:hAnsi="Times New Roman"/>
                <w:b/>
                <w:sz w:val="22"/>
                <w:szCs w:val="24"/>
              </w:rPr>
            </w:pPr>
            <w:r w:rsidRPr="00941E30">
              <w:rPr>
                <w:rFonts w:ascii="Times New Roman" w:hAnsi="Times New Roman"/>
                <w:b/>
                <w:sz w:val="22"/>
                <w:szCs w:val="24"/>
              </w:rPr>
              <w:t>Planned Performance (2018/19)</w:t>
            </w:r>
          </w:p>
        </w:tc>
      </w:tr>
      <w:tr w:rsidR="003C2AA4" w:rsidRPr="00056941" w14:paraId="6E96288A" w14:textId="77777777" w:rsidTr="00941E30">
        <w:tc>
          <w:tcPr>
            <w:tcW w:w="5382" w:type="dxa"/>
            <w:shd w:val="clear" w:color="auto" w:fill="auto"/>
          </w:tcPr>
          <w:p w14:paraId="3B51F825" w14:textId="77777777" w:rsidR="003C2AA4" w:rsidRPr="00941E30" w:rsidRDefault="003C2AA4" w:rsidP="00085BAF">
            <w:pPr>
              <w:jc w:val="both"/>
              <w:rPr>
                <w:rFonts w:ascii="Times New Roman" w:hAnsi="Times New Roman"/>
                <w:sz w:val="22"/>
                <w:szCs w:val="24"/>
              </w:rPr>
            </w:pPr>
            <w:r w:rsidRPr="00941E30">
              <w:rPr>
                <w:rFonts w:ascii="Times New Roman" w:hAnsi="Times New Roman"/>
                <w:sz w:val="22"/>
                <w:szCs w:val="24"/>
              </w:rPr>
              <w:t>Percentage of laboratories achieving proficiency testing scheme performance standards of 80%.</w:t>
            </w:r>
          </w:p>
        </w:tc>
        <w:tc>
          <w:tcPr>
            <w:tcW w:w="1984" w:type="dxa"/>
            <w:shd w:val="clear" w:color="auto" w:fill="auto"/>
          </w:tcPr>
          <w:p w14:paraId="52A974F6" w14:textId="77777777" w:rsidR="003C2AA4" w:rsidRPr="00941E30" w:rsidRDefault="003C2AA4">
            <w:pPr>
              <w:jc w:val="both"/>
              <w:rPr>
                <w:rFonts w:ascii="Times New Roman" w:hAnsi="Times New Roman"/>
                <w:b/>
                <w:sz w:val="22"/>
                <w:szCs w:val="24"/>
              </w:rPr>
            </w:pPr>
            <w:r w:rsidRPr="00941E30">
              <w:rPr>
                <w:rFonts w:ascii="Times New Roman" w:hAnsi="Times New Roman"/>
                <w:sz w:val="22"/>
                <w:szCs w:val="24"/>
              </w:rPr>
              <w:t>87%</w:t>
            </w:r>
          </w:p>
        </w:tc>
        <w:tc>
          <w:tcPr>
            <w:tcW w:w="1650" w:type="dxa"/>
            <w:shd w:val="clear" w:color="auto" w:fill="auto"/>
          </w:tcPr>
          <w:p w14:paraId="49F8F32F" w14:textId="77777777" w:rsidR="003C2AA4" w:rsidRPr="00941E30" w:rsidRDefault="003C2AA4">
            <w:pPr>
              <w:jc w:val="both"/>
              <w:rPr>
                <w:rFonts w:ascii="Times New Roman" w:hAnsi="Times New Roman"/>
                <w:b/>
                <w:sz w:val="22"/>
                <w:szCs w:val="24"/>
              </w:rPr>
            </w:pPr>
            <w:r w:rsidRPr="00941E30">
              <w:rPr>
                <w:rFonts w:ascii="Times New Roman" w:hAnsi="Times New Roman"/>
                <w:sz w:val="22"/>
                <w:szCs w:val="24"/>
              </w:rPr>
              <w:t>82%</w:t>
            </w:r>
          </w:p>
        </w:tc>
      </w:tr>
      <w:tr w:rsidR="003C2AA4" w:rsidRPr="00056941" w14:paraId="7AD9DD05" w14:textId="77777777" w:rsidTr="00941E30">
        <w:tc>
          <w:tcPr>
            <w:tcW w:w="5382" w:type="dxa"/>
            <w:shd w:val="clear" w:color="auto" w:fill="auto"/>
          </w:tcPr>
          <w:p w14:paraId="119E2781" w14:textId="77777777" w:rsidR="003C2AA4" w:rsidRPr="00941E30" w:rsidRDefault="003C2AA4" w:rsidP="00085BAF">
            <w:pPr>
              <w:jc w:val="both"/>
              <w:rPr>
                <w:rFonts w:ascii="Times New Roman" w:hAnsi="Times New Roman"/>
                <w:sz w:val="22"/>
                <w:szCs w:val="24"/>
              </w:rPr>
            </w:pPr>
            <w:r w:rsidRPr="00941E30">
              <w:rPr>
                <w:rFonts w:ascii="Times New Roman" w:hAnsi="Times New Roman"/>
                <w:sz w:val="22"/>
                <w:szCs w:val="24"/>
              </w:rPr>
              <w:t>Prepare gap analysis and work plan to prepare support service departments and laboratories for certification and accreditation process.</w:t>
            </w:r>
          </w:p>
        </w:tc>
        <w:tc>
          <w:tcPr>
            <w:tcW w:w="1984" w:type="dxa"/>
            <w:shd w:val="clear" w:color="auto" w:fill="auto"/>
          </w:tcPr>
          <w:p w14:paraId="7B5E2C98" w14:textId="77777777" w:rsidR="003C2AA4" w:rsidRPr="00941E30" w:rsidRDefault="003C2AA4">
            <w:pPr>
              <w:jc w:val="both"/>
              <w:rPr>
                <w:rFonts w:ascii="Times New Roman" w:hAnsi="Times New Roman"/>
                <w:sz w:val="22"/>
                <w:szCs w:val="24"/>
              </w:rPr>
            </w:pPr>
            <w:r w:rsidRPr="00941E30">
              <w:rPr>
                <w:rFonts w:ascii="Times New Roman" w:hAnsi="Times New Roman"/>
                <w:sz w:val="22"/>
                <w:szCs w:val="24"/>
              </w:rPr>
              <w:t>New</w:t>
            </w:r>
          </w:p>
        </w:tc>
        <w:tc>
          <w:tcPr>
            <w:tcW w:w="1650" w:type="dxa"/>
            <w:shd w:val="clear" w:color="auto" w:fill="auto"/>
          </w:tcPr>
          <w:p w14:paraId="66E1ADEA" w14:textId="77777777" w:rsidR="003C2AA4" w:rsidRPr="00941E30" w:rsidRDefault="003C2AA4">
            <w:pPr>
              <w:jc w:val="both"/>
              <w:rPr>
                <w:rFonts w:ascii="Times New Roman" w:hAnsi="Times New Roman"/>
                <w:sz w:val="22"/>
                <w:szCs w:val="24"/>
              </w:rPr>
            </w:pPr>
            <w:r w:rsidRPr="00941E30">
              <w:rPr>
                <w:rFonts w:ascii="Times New Roman" w:hAnsi="Times New Roman"/>
                <w:sz w:val="22"/>
                <w:szCs w:val="24"/>
              </w:rPr>
              <w:t>New</w:t>
            </w:r>
          </w:p>
        </w:tc>
      </w:tr>
      <w:tr w:rsidR="003C2AA4" w:rsidRPr="00056941" w14:paraId="5931019F" w14:textId="77777777" w:rsidTr="00941E30">
        <w:tc>
          <w:tcPr>
            <w:tcW w:w="5382" w:type="dxa"/>
            <w:shd w:val="clear" w:color="auto" w:fill="auto"/>
          </w:tcPr>
          <w:p w14:paraId="1301020E" w14:textId="77777777" w:rsidR="003C2AA4" w:rsidRPr="00941E30" w:rsidRDefault="003C2AA4" w:rsidP="00085BAF">
            <w:pPr>
              <w:jc w:val="both"/>
              <w:rPr>
                <w:rFonts w:ascii="Times New Roman" w:hAnsi="Times New Roman"/>
                <w:sz w:val="22"/>
                <w:szCs w:val="24"/>
              </w:rPr>
            </w:pPr>
            <w:r w:rsidRPr="00941E30">
              <w:rPr>
                <w:rFonts w:ascii="Times New Roman" w:hAnsi="Times New Roman"/>
                <w:sz w:val="22"/>
                <w:szCs w:val="24"/>
              </w:rPr>
              <w:t>Number of medical scientists admitted and trained in the NHLS.</w:t>
            </w:r>
          </w:p>
        </w:tc>
        <w:tc>
          <w:tcPr>
            <w:tcW w:w="1984" w:type="dxa"/>
            <w:shd w:val="clear" w:color="auto" w:fill="auto"/>
          </w:tcPr>
          <w:p w14:paraId="28B882AB" w14:textId="77777777" w:rsidR="003C2AA4" w:rsidRPr="00941E30" w:rsidRDefault="003C2AA4">
            <w:pPr>
              <w:jc w:val="both"/>
              <w:rPr>
                <w:rFonts w:ascii="Times New Roman" w:hAnsi="Times New Roman"/>
                <w:sz w:val="22"/>
                <w:szCs w:val="24"/>
              </w:rPr>
            </w:pPr>
            <w:r w:rsidRPr="00941E30">
              <w:rPr>
                <w:rFonts w:ascii="Times New Roman" w:hAnsi="Times New Roman"/>
                <w:sz w:val="22"/>
                <w:szCs w:val="24"/>
              </w:rPr>
              <w:t>New</w:t>
            </w:r>
          </w:p>
        </w:tc>
        <w:tc>
          <w:tcPr>
            <w:tcW w:w="1650" w:type="dxa"/>
            <w:shd w:val="clear" w:color="auto" w:fill="auto"/>
          </w:tcPr>
          <w:p w14:paraId="49799AB6" w14:textId="77777777" w:rsidR="003C2AA4" w:rsidRPr="00941E30" w:rsidRDefault="003C2AA4">
            <w:pPr>
              <w:jc w:val="both"/>
              <w:rPr>
                <w:rFonts w:ascii="Times New Roman" w:hAnsi="Times New Roman"/>
                <w:sz w:val="22"/>
                <w:szCs w:val="24"/>
              </w:rPr>
            </w:pPr>
            <w:r w:rsidRPr="00941E30">
              <w:rPr>
                <w:rFonts w:ascii="Times New Roman" w:hAnsi="Times New Roman"/>
                <w:sz w:val="22"/>
                <w:szCs w:val="24"/>
              </w:rPr>
              <w:t>New</w:t>
            </w:r>
          </w:p>
        </w:tc>
      </w:tr>
      <w:tr w:rsidR="003C2AA4" w:rsidRPr="00056941" w14:paraId="3BC62447" w14:textId="77777777" w:rsidTr="00941E30">
        <w:tc>
          <w:tcPr>
            <w:tcW w:w="5382" w:type="dxa"/>
            <w:shd w:val="clear" w:color="auto" w:fill="auto"/>
          </w:tcPr>
          <w:p w14:paraId="481811DE" w14:textId="77777777" w:rsidR="003C2AA4" w:rsidRPr="00941E30" w:rsidRDefault="003C2AA4" w:rsidP="00085BAF">
            <w:pPr>
              <w:jc w:val="both"/>
              <w:rPr>
                <w:rFonts w:ascii="Times New Roman" w:hAnsi="Times New Roman"/>
                <w:sz w:val="22"/>
                <w:szCs w:val="24"/>
              </w:rPr>
            </w:pPr>
            <w:r w:rsidRPr="00941E30">
              <w:rPr>
                <w:rFonts w:ascii="Times New Roman" w:hAnsi="Times New Roman"/>
                <w:sz w:val="22"/>
                <w:szCs w:val="24"/>
              </w:rPr>
              <w:t>Develop and implement a proposal on research priorities.</w:t>
            </w:r>
          </w:p>
        </w:tc>
        <w:tc>
          <w:tcPr>
            <w:tcW w:w="1984" w:type="dxa"/>
            <w:shd w:val="clear" w:color="auto" w:fill="auto"/>
          </w:tcPr>
          <w:p w14:paraId="5E725B12" w14:textId="77777777" w:rsidR="003C2AA4" w:rsidRPr="00941E30" w:rsidRDefault="003C2AA4">
            <w:pPr>
              <w:jc w:val="both"/>
              <w:rPr>
                <w:rFonts w:ascii="Times New Roman" w:hAnsi="Times New Roman"/>
                <w:sz w:val="22"/>
                <w:szCs w:val="24"/>
              </w:rPr>
            </w:pPr>
            <w:r w:rsidRPr="00941E30">
              <w:rPr>
                <w:rFonts w:ascii="Times New Roman" w:hAnsi="Times New Roman"/>
                <w:sz w:val="22"/>
                <w:szCs w:val="24"/>
              </w:rPr>
              <w:t>New</w:t>
            </w:r>
          </w:p>
        </w:tc>
        <w:tc>
          <w:tcPr>
            <w:tcW w:w="1650" w:type="dxa"/>
            <w:shd w:val="clear" w:color="auto" w:fill="auto"/>
          </w:tcPr>
          <w:p w14:paraId="641CB12E" w14:textId="77777777" w:rsidR="003C2AA4" w:rsidRPr="00941E30" w:rsidRDefault="003C2AA4">
            <w:pPr>
              <w:jc w:val="both"/>
              <w:rPr>
                <w:rFonts w:ascii="Times New Roman" w:hAnsi="Times New Roman"/>
                <w:sz w:val="22"/>
                <w:szCs w:val="24"/>
              </w:rPr>
            </w:pPr>
            <w:r w:rsidRPr="00941E30">
              <w:rPr>
                <w:rFonts w:ascii="Times New Roman" w:hAnsi="Times New Roman"/>
                <w:sz w:val="22"/>
                <w:szCs w:val="24"/>
              </w:rPr>
              <w:t>New</w:t>
            </w:r>
          </w:p>
        </w:tc>
      </w:tr>
    </w:tbl>
    <w:p w14:paraId="3B6A8738" w14:textId="77777777" w:rsidR="00827284" w:rsidRPr="0093633A" w:rsidRDefault="00827284" w:rsidP="00941E30">
      <w:pPr>
        <w:autoSpaceDE w:val="0"/>
        <w:autoSpaceDN w:val="0"/>
        <w:adjustRightInd w:val="0"/>
        <w:jc w:val="both"/>
        <w:rPr>
          <w:rFonts w:ascii="Times New Roman" w:hAnsi="Times New Roman"/>
          <w:b/>
          <w:sz w:val="24"/>
          <w:szCs w:val="24"/>
        </w:rPr>
      </w:pPr>
    </w:p>
    <w:p w14:paraId="00D23781" w14:textId="77777777" w:rsidR="003C2AA4" w:rsidRPr="00B50DFE" w:rsidRDefault="003C2AA4" w:rsidP="00941E30">
      <w:pPr>
        <w:autoSpaceDE w:val="0"/>
        <w:autoSpaceDN w:val="0"/>
        <w:adjustRightInd w:val="0"/>
        <w:jc w:val="both"/>
        <w:rPr>
          <w:rFonts w:ascii="Times New Roman" w:hAnsi="Times New Roman"/>
          <w:b/>
          <w:sz w:val="24"/>
          <w:szCs w:val="24"/>
        </w:rPr>
      </w:pPr>
      <w:r w:rsidRPr="00B50DFE">
        <w:rPr>
          <w:rFonts w:ascii="Times New Roman" w:hAnsi="Times New Roman"/>
          <w:b/>
          <w:sz w:val="24"/>
          <w:szCs w:val="24"/>
        </w:rPr>
        <w:t xml:space="preserve">Programme 5: Laboratory Services </w:t>
      </w:r>
    </w:p>
    <w:p w14:paraId="1BA80045" w14:textId="77777777" w:rsidR="003C2AA4" w:rsidRPr="0093633A" w:rsidRDefault="003C2AA4" w:rsidP="00941E30">
      <w:pPr>
        <w:autoSpaceDE w:val="0"/>
        <w:autoSpaceDN w:val="0"/>
        <w:adjustRightInd w:val="0"/>
        <w:jc w:val="both"/>
        <w:rPr>
          <w:rFonts w:ascii="Times New Roman" w:hAnsi="Times New Roman"/>
          <w:b/>
          <w:sz w:val="24"/>
          <w:szCs w:val="24"/>
        </w:rPr>
      </w:pPr>
    </w:p>
    <w:p w14:paraId="171F1795" w14:textId="77777777" w:rsidR="00827284" w:rsidRPr="0093633A" w:rsidRDefault="00827284"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This programme represents the core business of the NHLS as mandated the NHLS Act to provide cost-effective and efficient health laboratory services to all public sector health care providers. </w:t>
      </w:r>
    </w:p>
    <w:p w14:paraId="1ED87D2B" w14:textId="77777777" w:rsidR="00D845FF" w:rsidRPr="0093633A" w:rsidRDefault="00D845FF">
      <w:pPr>
        <w:jc w:val="both"/>
        <w:rPr>
          <w:rFonts w:ascii="Times New Roman" w:hAnsi="Times New Roman"/>
          <w:b/>
          <w:sz w:val="24"/>
          <w:szCs w:val="24"/>
        </w:rPr>
      </w:pPr>
    </w:p>
    <w:p w14:paraId="7246A822" w14:textId="77777777" w:rsidR="00827284" w:rsidRPr="00941E30" w:rsidRDefault="00827284" w:rsidP="00941E30">
      <w:pPr>
        <w:spacing w:after="120"/>
        <w:jc w:val="both"/>
        <w:rPr>
          <w:rFonts w:ascii="Times New Roman" w:hAnsi="Times New Roman"/>
          <w:b/>
          <w:sz w:val="22"/>
          <w:szCs w:val="24"/>
        </w:rPr>
      </w:pPr>
      <w:r w:rsidRPr="00941E30">
        <w:rPr>
          <w:rFonts w:ascii="Times New Roman" w:hAnsi="Times New Roman"/>
          <w:b/>
          <w:color w:val="auto"/>
          <w:sz w:val="22"/>
          <w:szCs w:val="24"/>
        </w:rPr>
        <w:t xml:space="preserve">Table </w:t>
      </w:r>
      <w:r w:rsidR="00147B70" w:rsidRPr="00941E30">
        <w:rPr>
          <w:rFonts w:ascii="Times New Roman" w:hAnsi="Times New Roman"/>
          <w:b/>
          <w:color w:val="auto"/>
          <w:sz w:val="22"/>
          <w:szCs w:val="24"/>
        </w:rPr>
        <w:t>2</w:t>
      </w:r>
      <w:r w:rsidR="00147B70">
        <w:rPr>
          <w:rFonts w:ascii="Times New Roman" w:hAnsi="Times New Roman"/>
          <w:b/>
          <w:color w:val="auto"/>
          <w:sz w:val="22"/>
          <w:szCs w:val="24"/>
        </w:rPr>
        <w:t>1</w:t>
      </w:r>
      <w:r w:rsidRPr="00941E30">
        <w:rPr>
          <w:rFonts w:ascii="Times New Roman" w:hAnsi="Times New Roman"/>
          <w:b/>
          <w:color w:val="auto"/>
          <w:sz w:val="22"/>
          <w:szCs w:val="24"/>
        </w:rPr>
        <w:t>: Programme Performance Indicators</w:t>
      </w:r>
    </w:p>
    <w:tbl>
      <w:tblPr>
        <w:tblStyle w:val="TableGrid"/>
        <w:tblW w:w="0" w:type="auto"/>
        <w:tblLook w:val="04A0" w:firstRow="1" w:lastRow="0" w:firstColumn="1" w:lastColumn="0" w:noHBand="0" w:noVBand="1"/>
      </w:tblPr>
      <w:tblGrid>
        <w:gridCol w:w="5750"/>
        <w:gridCol w:w="1651"/>
        <w:gridCol w:w="1615"/>
      </w:tblGrid>
      <w:tr w:rsidR="00827284" w:rsidRPr="00056941" w14:paraId="2D31EDC8" w14:textId="77777777" w:rsidTr="00941E30">
        <w:tc>
          <w:tcPr>
            <w:tcW w:w="5750" w:type="dxa"/>
            <w:shd w:val="clear" w:color="auto" w:fill="DBE5F1" w:themeFill="accent1" w:themeFillTint="33"/>
          </w:tcPr>
          <w:p w14:paraId="1BAD09D1" w14:textId="77777777" w:rsidR="00827284" w:rsidRPr="00941E30" w:rsidRDefault="00827284">
            <w:pPr>
              <w:jc w:val="both"/>
              <w:rPr>
                <w:rFonts w:ascii="Times New Roman" w:hAnsi="Times New Roman"/>
                <w:b/>
                <w:sz w:val="22"/>
                <w:szCs w:val="24"/>
              </w:rPr>
            </w:pPr>
            <w:r w:rsidRPr="00941E30">
              <w:rPr>
                <w:rFonts w:ascii="Times New Roman" w:hAnsi="Times New Roman"/>
                <w:b/>
                <w:sz w:val="22"/>
                <w:szCs w:val="24"/>
              </w:rPr>
              <w:t>Programme Performance Indicator</w:t>
            </w:r>
          </w:p>
        </w:tc>
        <w:tc>
          <w:tcPr>
            <w:tcW w:w="1651" w:type="dxa"/>
            <w:shd w:val="clear" w:color="auto" w:fill="DBE5F1" w:themeFill="accent1" w:themeFillTint="33"/>
          </w:tcPr>
          <w:p w14:paraId="585E508B" w14:textId="77777777" w:rsidR="00827284" w:rsidRPr="00941E30" w:rsidRDefault="00827284">
            <w:pPr>
              <w:jc w:val="both"/>
              <w:rPr>
                <w:rFonts w:ascii="Times New Roman" w:hAnsi="Times New Roman"/>
                <w:b/>
                <w:sz w:val="22"/>
                <w:szCs w:val="24"/>
              </w:rPr>
            </w:pPr>
            <w:r w:rsidRPr="00941E30">
              <w:rPr>
                <w:rFonts w:ascii="Times New Roman" w:hAnsi="Times New Roman"/>
                <w:b/>
                <w:sz w:val="22"/>
                <w:szCs w:val="24"/>
              </w:rPr>
              <w:t>Previous Performance (2017/18)</w:t>
            </w:r>
          </w:p>
        </w:tc>
        <w:tc>
          <w:tcPr>
            <w:tcW w:w="1615" w:type="dxa"/>
            <w:shd w:val="clear" w:color="auto" w:fill="DBE5F1" w:themeFill="accent1" w:themeFillTint="33"/>
          </w:tcPr>
          <w:p w14:paraId="3544D87C" w14:textId="77777777" w:rsidR="00827284" w:rsidRPr="00941E30" w:rsidRDefault="00827284">
            <w:pPr>
              <w:jc w:val="both"/>
              <w:rPr>
                <w:rFonts w:ascii="Times New Roman" w:hAnsi="Times New Roman"/>
                <w:b/>
                <w:sz w:val="22"/>
                <w:szCs w:val="24"/>
              </w:rPr>
            </w:pPr>
            <w:r w:rsidRPr="00941E30">
              <w:rPr>
                <w:rFonts w:ascii="Times New Roman" w:hAnsi="Times New Roman"/>
                <w:b/>
                <w:sz w:val="22"/>
                <w:szCs w:val="24"/>
              </w:rPr>
              <w:t>Planned Performance (2018/19)</w:t>
            </w:r>
          </w:p>
        </w:tc>
      </w:tr>
      <w:tr w:rsidR="00827284" w:rsidRPr="00056941" w14:paraId="11A768EB" w14:textId="77777777" w:rsidTr="00941E30">
        <w:tc>
          <w:tcPr>
            <w:tcW w:w="5750" w:type="dxa"/>
            <w:shd w:val="clear" w:color="auto" w:fill="auto"/>
          </w:tcPr>
          <w:p w14:paraId="6F7BD83C" w14:textId="77777777" w:rsidR="00827284" w:rsidRPr="00941E30" w:rsidRDefault="00827284" w:rsidP="00085BAF">
            <w:pPr>
              <w:jc w:val="both"/>
              <w:rPr>
                <w:rFonts w:ascii="Times New Roman" w:hAnsi="Times New Roman"/>
                <w:sz w:val="22"/>
                <w:szCs w:val="24"/>
              </w:rPr>
            </w:pPr>
            <w:r w:rsidRPr="00941E30">
              <w:rPr>
                <w:rFonts w:ascii="Times New Roman" w:hAnsi="Times New Roman"/>
                <w:sz w:val="22"/>
                <w:szCs w:val="24"/>
              </w:rPr>
              <w:t>Percentage TB Microscopy tests performed within 40 hours.</w:t>
            </w:r>
          </w:p>
        </w:tc>
        <w:tc>
          <w:tcPr>
            <w:tcW w:w="1651" w:type="dxa"/>
            <w:shd w:val="clear" w:color="auto" w:fill="auto"/>
          </w:tcPr>
          <w:p w14:paraId="7D237A0B" w14:textId="77777777" w:rsidR="00827284" w:rsidRPr="00941E30" w:rsidRDefault="00827284">
            <w:pPr>
              <w:jc w:val="both"/>
              <w:rPr>
                <w:rFonts w:ascii="Times New Roman" w:hAnsi="Times New Roman"/>
                <w:b/>
                <w:sz w:val="22"/>
                <w:szCs w:val="24"/>
              </w:rPr>
            </w:pPr>
            <w:r w:rsidRPr="00941E30">
              <w:rPr>
                <w:rFonts w:ascii="Times New Roman" w:hAnsi="Times New Roman"/>
                <w:sz w:val="22"/>
                <w:szCs w:val="24"/>
              </w:rPr>
              <w:t>95.72%</w:t>
            </w:r>
          </w:p>
        </w:tc>
        <w:tc>
          <w:tcPr>
            <w:tcW w:w="1615" w:type="dxa"/>
            <w:shd w:val="clear" w:color="auto" w:fill="auto"/>
          </w:tcPr>
          <w:p w14:paraId="550DE8C3" w14:textId="77777777" w:rsidR="00827284" w:rsidRPr="00941E30" w:rsidRDefault="00827284">
            <w:pPr>
              <w:jc w:val="both"/>
              <w:rPr>
                <w:rFonts w:ascii="Times New Roman" w:hAnsi="Times New Roman"/>
                <w:b/>
                <w:sz w:val="22"/>
                <w:szCs w:val="24"/>
              </w:rPr>
            </w:pPr>
            <w:r w:rsidRPr="00941E30">
              <w:rPr>
                <w:rFonts w:ascii="Times New Roman" w:hAnsi="Times New Roman"/>
                <w:sz w:val="22"/>
                <w:szCs w:val="24"/>
              </w:rPr>
              <w:t>95%</w:t>
            </w:r>
          </w:p>
        </w:tc>
      </w:tr>
      <w:tr w:rsidR="00827284" w:rsidRPr="00056941" w14:paraId="479130DD" w14:textId="77777777" w:rsidTr="00941E30">
        <w:tc>
          <w:tcPr>
            <w:tcW w:w="5750" w:type="dxa"/>
            <w:shd w:val="clear" w:color="auto" w:fill="auto"/>
          </w:tcPr>
          <w:p w14:paraId="5E70BE4F" w14:textId="77777777" w:rsidR="00827284" w:rsidRPr="00941E30" w:rsidRDefault="00827284" w:rsidP="00085BAF">
            <w:pPr>
              <w:jc w:val="both"/>
              <w:rPr>
                <w:rFonts w:ascii="Times New Roman" w:hAnsi="Times New Roman"/>
                <w:sz w:val="22"/>
                <w:szCs w:val="24"/>
              </w:rPr>
            </w:pPr>
            <w:r w:rsidRPr="00941E30">
              <w:rPr>
                <w:rFonts w:ascii="Times New Roman" w:hAnsi="Times New Roman"/>
                <w:sz w:val="22"/>
                <w:szCs w:val="24"/>
              </w:rPr>
              <w:t>Percentage TB GeneXpert tests performed within 40 hours.</w:t>
            </w:r>
          </w:p>
        </w:tc>
        <w:tc>
          <w:tcPr>
            <w:tcW w:w="1651" w:type="dxa"/>
            <w:shd w:val="clear" w:color="auto" w:fill="auto"/>
          </w:tcPr>
          <w:p w14:paraId="2641CCB8"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96.68%</w:t>
            </w:r>
          </w:p>
        </w:tc>
        <w:tc>
          <w:tcPr>
            <w:tcW w:w="1615" w:type="dxa"/>
            <w:shd w:val="clear" w:color="auto" w:fill="auto"/>
          </w:tcPr>
          <w:p w14:paraId="45577786"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95%</w:t>
            </w:r>
          </w:p>
        </w:tc>
      </w:tr>
      <w:tr w:rsidR="00827284" w:rsidRPr="00056941" w14:paraId="6A3E2997" w14:textId="77777777" w:rsidTr="00941E30">
        <w:tc>
          <w:tcPr>
            <w:tcW w:w="5750" w:type="dxa"/>
            <w:shd w:val="clear" w:color="auto" w:fill="auto"/>
          </w:tcPr>
          <w:p w14:paraId="280C5851" w14:textId="77777777" w:rsidR="00827284" w:rsidRPr="00941E30" w:rsidRDefault="00827284" w:rsidP="00085BAF">
            <w:pPr>
              <w:jc w:val="both"/>
              <w:rPr>
                <w:rFonts w:ascii="Times New Roman" w:hAnsi="Times New Roman"/>
                <w:sz w:val="22"/>
                <w:szCs w:val="24"/>
              </w:rPr>
            </w:pPr>
            <w:r w:rsidRPr="00941E30">
              <w:rPr>
                <w:rFonts w:ascii="Times New Roman" w:hAnsi="Times New Roman"/>
                <w:sz w:val="22"/>
                <w:szCs w:val="24"/>
              </w:rPr>
              <w:t>Percentage Viral Load tests performed within 96 hours.</w:t>
            </w:r>
          </w:p>
        </w:tc>
        <w:tc>
          <w:tcPr>
            <w:tcW w:w="1651" w:type="dxa"/>
            <w:shd w:val="clear" w:color="auto" w:fill="auto"/>
          </w:tcPr>
          <w:p w14:paraId="7CA4E095"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87.30%</w:t>
            </w:r>
          </w:p>
        </w:tc>
        <w:tc>
          <w:tcPr>
            <w:tcW w:w="1615" w:type="dxa"/>
            <w:shd w:val="clear" w:color="auto" w:fill="auto"/>
          </w:tcPr>
          <w:p w14:paraId="5C48A711"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70%</w:t>
            </w:r>
          </w:p>
        </w:tc>
      </w:tr>
      <w:tr w:rsidR="00827284" w:rsidRPr="00056941" w14:paraId="566F9FDD" w14:textId="77777777" w:rsidTr="00941E30">
        <w:tc>
          <w:tcPr>
            <w:tcW w:w="5750" w:type="dxa"/>
            <w:shd w:val="clear" w:color="auto" w:fill="auto"/>
          </w:tcPr>
          <w:p w14:paraId="6DCE6DB4" w14:textId="77777777" w:rsidR="00827284" w:rsidRPr="00941E30" w:rsidRDefault="00827284" w:rsidP="00085BAF">
            <w:pPr>
              <w:jc w:val="both"/>
              <w:rPr>
                <w:rFonts w:ascii="Times New Roman" w:hAnsi="Times New Roman"/>
                <w:sz w:val="22"/>
                <w:szCs w:val="24"/>
              </w:rPr>
            </w:pPr>
            <w:r w:rsidRPr="00941E30">
              <w:rPr>
                <w:rFonts w:ascii="Times New Roman" w:hAnsi="Times New Roman"/>
                <w:sz w:val="22"/>
                <w:szCs w:val="24"/>
              </w:rPr>
              <w:t>Develop the laboratory structure per level of care (organogram).</w:t>
            </w:r>
          </w:p>
        </w:tc>
        <w:tc>
          <w:tcPr>
            <w:tcW w:w="1651" w:type="dxa"/>
            <w:shd w:val="clear" w:color="auto" w:fill="auto"/>
          </w:tcPr>
          <w:p w14:paraId="23538927"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New</w:t>
            </w:r>
          </w:p>
        </w:tc>
        <w:tc>
          <w:tcPr>
            <w:tcW w:w="1615" w:type="dxa"/>
            <w:shd w:val="clear" w:color="auto" w:fill="auto"/>
          </w:tcPr>
          <w:p w14:paraId="56C17342"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New</w:t>
            </w:r>
          </w:p>
        </w:tc>
      </w:tr>
      <w:tr w:rsidR="00827284" w:rsidRPr="00056941" w14:paraId="033F888A" w14:textId="77777777" w:rsidTr="00941E30">
        <w:tc>
          <w:tcPr>
            <w:tcW w:w="5750" w:type="dxa"/>
            <w:shd w:val="clear" w:color="auto" w:fill="auto"/>
          </w:tcPr>
          <w:p w14:paraId="1354C8EA" w14:textId="77777777" w:rsidR="00827284" w:rsidRPr="00941E30" w:rsidRDefault="00827284" w:rsidP="00085BAF">
            <w:pPr>
              <w:jc w:val="both"/>
              <w:rPr>
                <w:rFonts w:ascii="Times New Roman" w:hAnsi="Times New Roman"/>
                <w:sz w:val="22"/>
                <w:szCs w:val="24"/>
              </w:rPr>
            </w:pPr>
            <w:r w:rsidRPr="00941E30">
              <w:rPr>
                <w:rFonts w:ascii="Times New Roman" w:hAnsi="Times New Roman"/>
                <w:sz w:val="22"/>
                <w:szCs w:val="24"/>
              </w:rPr>
              <w:t>Implementation of the pilot specimen tracking system.</w:t>
            </w:r>
          </w:p>
        </w:tc>
        <w:tc>
          <w:tcPr>
            <w:tcW w:w="1651" w:type="dxa"/>
            <w:shd w:val="clear" w:color="auto" w:fill="auto"/>
          </w:tcPr>
          <w:p w14:paraId="36AC7480"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New</w:t>
            </w:r>
          </w:p>
        </w:tc>
        <w:tc>
          <w:tcPr>
            <w:tcW w:w="1615" w:type="dxa"/>
            <w:shd w:val="clear" w:color="auto" w:fill="auto"/>
          </w:tcPr>
          <w:p w14:paraId="10FE34E2" w14:textId="77777777" w:rsidR="00827284" w:rsidRPr="00941E30" w:rsidRDefault="00827284">
            <w:pPr>
              <w:jc w:val="both"/>
              <w:rPr>
                <w:rFonts w:ascii="Times New Roman" w:hAnsi="Times New Roman"/>
                <w:sz w:val="22"/>
                <w:szCs w:val="24"/>
              </w:rPr>
            </w:pPr>
            <w:r w:rsidRPr="00941E30">
              <w:rPr>
                <w:rFonts w:ascii="Times New Roman" w:hAnsi="Times New Roman"/>
                <w:sz w:val="22"/>
                <w:szCs w:val="24"/>
              </w:rPr>
              <w:t>New</w:t>
            </w:r>
          </w:p>
        </w:tc>
      </w:tr>
    </w:tbl>
    <w:p w14:paraId="3765BFB8" w14:textId="77777777" w:rsidR="00B50DFE" w:rsidRDefault="00B50DFE" w:rsidP="00941E30">
      <w:pPr>
        <w:autoSpaceDE w:val="0"/>
        <w:autoSpaceDN w:val="0"/>
        <w:adjustRightInd w:val="0"/>
        <w:jc w:val="both"/>
        <w:rPr>
          <w:rFonts w:ascii="Times New Roman" w:hAnsi="Times New Roman"/>
          <w:b/>
          <w:sz w:val="24"/>
          <w:szCs w:val="24"/>
        </w:rPr>
      </w:pPr>
    </w:p>
    <w:p w14:paraId="5578C86B" w14:textId="77777777" w:rsidR="003C2AA4" w:rsidRPr="00085BAF" w:rsidRDefault="00B50DFE" w:rsidP="00941E30">
      <w:pPr>
        <w:autoSpaceDE w:val="0"/>
        <w:autoSpaceDN w:val="0"/>
        <w:adjustRightInd w:val="0"/>
        <w:jc w:val="both"/>
        <w:rPr>
          <w:rFonts w:ascii="Times New Roman" w:hAnsi="Times New Roman"/>
          <w:b/>
          <w:sz w:val="24"/>
          <w:szCs w:val="24"/>
        </w:rPr>
      </w:pPr>
      <w:r w:rsidRPr="00B50DFE">
        <w:rPr>
          <w:rFonts w:ascii="Times New Roman" w:hAnsi="Times New Roman"/>
          <w:b/>
          <w:sz w:val="24"/>
          <w:szCs w:val="24"/>
        </w:rPr>
        <w:t xml:space="preserve">Budget </w:t>
      </w:r>
      <w:r w:rsidR="00B26FF5">
        <w:rPr>
          <w:rFonts w:ascii="Times New Roman" w:hAnsi="Times New Roman"/>
          <w:b/>
          <w:sz w:val="24"/>
          <w:szCs w:val="24"/>
        </w:rPr>
        <w:t>Overview</w:t>
      </w:r>
    </w:p>
    <w:p w14:paraId="15AD81CC" w14:textId="77777777" w:rsidR="00827284" w:rsidRPr="0093633A" w:rsidRDefault="00827284" w:rsidP="00941E30">
      <w:pPr>
        <w:autoSpaceDE w:val="0"/>
        <w:autoSpaceDN w:val="0"/>
        <w:adjustRightInd w:val="0"/>
        <w:jc w:val="both"/>
        <w:rPr>
          <w:rFonts w:ascii="Times New Roman" w:hAnsi="Times New Roman"/>
          <w:b/>
          <w:sz w:val="24"/>
          <w:szCs w:val="24"/>
        </w:rPr>
      </w:pPr>
    </w:p>
    <w:p w14:paraId="3C59292E" w14:textId="77777777" w:rsidR="00C05C82" w:rsidRDefault="00C05C82" w:rsidP="00941E30">
      <w:pPr>
        <w:spacing w:line="360" w:lineRule="auto"/>
        <w:jc w:val="both"/>
        <w:rPr>
          <w:rFonts w:ascii="Times New Roman" w:hAnsi="Times New Roman"/>
          <w:color w:val="000000"/>
          <w:sz w:val="24"/>
          <w:szCs w:val="24"/>
        </w:rPr>
      </w:pPr>
      <w:r w:rsidRPr="0093633A">
        <w:rPr>
          <w:rFonts w:ascii="Times New Roman" w:hAnsi="Times New Roman"/>
          <w:color w:val="000000"/>
          <w:sz w:val="24"/>
          <w:szCs w:val="24"/>
        </w:rPr>
        <w:t xml:space="preserve">The NHLS receives its income from providing laboratory tests to patients predominantly from public hospitals. Revenue from the provincial hospitals is approximately 95% of the total revenue. Also important is that it receives allocation from the NDoH. Table </w:t>
      </w:r>
      <w:r w:rsidR="00A84399">
        <w:rPr>
          <w:rFonts w:ascii="Times New Roman" w:hAnsi="Times New Roman"/>
          <w:color w:val="000000"/>
          <w:sz w:val="24"/>
          <w:szCs w:val="24"/>
        </w:rPr>
        <w:t>22</w:t>
      </w:r>
      <w:r w:rsidR="00A84399" w:rsidRPr="0093633A">
        <w:rPr>
          <w:rFonts w:ascii="Times New Roman" w:hAnsi="Times New Roman"/>
          <w:color w:val="000000"/>
          <w:sz w:val="24"/>
          <w:szCs w:val="24"/>
        </w:rPr>
        <w:t xml:space="preserve"> </w:t>
      </w:r>
      <w:r w:rsidRPr="0093633A">
        <w:rPr>
          <w:rFonts w:ascii="Times New Roman" w:hAnsi="Times New Roman"/>
          <w:color w:val="000000"/>
          <w:sz w:val="24"/>
          <w:szCs w:val="24"/>
        </w:rPr>
        <w:t xml:space="preserve">hereunder depicts the </w:t>
      </w:r>
      <w:r w:rsidR="00A84399">
        <w:rPr>
          <w:rFonts w:ascii="Times New Roman" w:hAnsi="Times New Roman"/>
          <w:color w:val="000000"/>
          <w:sz w:val="24"/>
          <w:szCs w:val="24"/>
        </w:rPr>
        <w:t xml:space="preserve">revenue statement </w:t>
      </w:r>
      <w:r w:rsidRPr="0093633A">
        <w:rPr>
          <w:rFonts w:ascii="Times New Roman" w:hAnsi="Times New Roman"/>
          <w:color w:val="000000"/>
          <w:sz w:val="24"/>
          <w:szCs w:val="24"/>
        </w:rPr>
        <w:t>and projection of expenditure and revenue for 2018/19 fiscal year.</w:t>
      </w:r>
    </w:p>
    <w:p w14:paraId="438D9AC9" w14:textId="77777777" w:rsidR="003A46DA" w:rsidRDefault="003A46DA" w:rsidP="00941E30">
      <w:pPr>
        <w:spacing w:line="360" w:lineRule="auto"/>
        <w:jc w:val="both"/>
        <w:rPr>
          <w:rFonts w:ascii="Times New Roman" w:hAnsi="Times New Roman"/>
          <w:color w:val="000000"/>
          <w:sz w:val="24"/>
          <w:szCs w:val="24"/>
        </w:rPr>
      </w:pPr>
    </w:p>
    <w:p w14:paraId="2A77D907" w14:textId="77777777" w:rsidR="00C05C82" w:rsidRPr="00941E30" w:rsidRDefault="00C05C82" w:rsidP="00941E30">
      <w:pPr>
        <w:spacing w:after="120"/>
        <w:jc w:val="both"/>
        <w:rPr>
          <w:rFonts w:ascii="Times New Roman" w:hAnsi="Times New Roman"/>
          <w:color w:val="auto"/>
          <w:sz w:val="22"/>
          <w:szCs w:val="24"/>
        </w:rPr>
      </w:pPr>
      <w:r w:rsidRPr="00941E30">
        <w:rPr>
          <w:rFonts w:ascii="Times New Roman" w:hAnsi="Times New Roman"/>
          <w:b/>
          <w:color w:val="auto"/>
          <w:sz w:val="22"/>
          <w:szCs w:val="24"/>
        </w:rPr>
        <w:t xml:space="preserve">Table </w:t>
      </w:r>
      <w:r w:rsidR="00A84399" w:rsidRPr="00941E30">
        <w:rPr>
          <w:rFonts w:ascii="Times New Roman" w:hAnsi="Times New Roman"/>
          <w:b/>
          <w:color w:val="auto"/>
          <w:sz w:val="22"/>
          <w:szCs w:val="24"/>
        </w:rPr>
        <w:t>2</w:t>
      </w:r>
      <w:r w:rsidR="00A84399">
        <w:rPr>
          <w:rFonts w:ascii="Times New Roman" w:hAnsi="Times New Roman"/>
          <w:b/>
          <w:color w:val="auto"/>
          <w:sz w:val="22"/>
          <w:szCs w:val="24"/>
        </w:rPr>
        <w:t>2</w:t>
      </w:r>
      <w:r w:rsidRPr="00941E30">
        <w:rPr>
          <w:rFonts w:ascii="Times New Roman" w:hAnsi="Times New Roman"/>
          <w:b/>
          <w:color w:val="auto"/>
          <w:sz w:val="22"/>
          <w:szCs w:val="24"/>
        </w:rPr>
        <w:t>:</w:t>
      </w:r>
      <w:r w:rsidRPr="00941E30">
        <w:rPr>
          <w:rFonts w:ascii="Times New Roman" w:hAnsi="Times New Roman"/>
          <w:color w:val="auto"/>
          <w:sz w:val="22"/>
          <w:szCs w:val="24"/>
        </w:rPr>
        <w:t xml:space="preserve"> </w:t>
      </w:r>
      <w:r w:rsidRPr="00941E30">
        <w:rPr>
          <w:rFonts w:ascii="Times New Roman" w:hAnsi="Times New Roman"/>
          <w:b/>
          <w:color w:val="auto"/>
          <w:sz w:val="22"/>
          <w:szCs w:val="24"/>
        </w:rPr>
        <w:t>Revenue Statement</w:t>
      </w:r>
      <w:r w:rsidRPr="00941E30">
        <w:rPr>
          <w:rFonts w:ascii="Times New Roman" w:hAnsi="Times New Roman"/>
          <w:color w:val="auto"/>
          <w:sz w:val="22"/>
          <w:szCs w:val="24"/>
        </w:rPr>
        <w:t xml:space="preserve"> </w:t>
      </w:r>
    </w:p>
    <w:tbl>
      <w:tblPr>
        <w:tblStyle w:val="TableGrid"/>
        <w:tblW w:w="9493" w:type="dxa"/>
        <w:tblLayout w:type="fixed"/>
        <w:tblLook w:val="04A0" w:firstRow="1" w:lastRow="0" w:firstColumn="1" w:lastColumn="0" w:noHBand="0" w:noVBand="1"/>
      </w:tblPr>
      <w:tblGrid>
        <w:gridCol w:w="1413"/>
        <w:gridCol w:w="992"/>
        <w:gridCol w:w="1134"/>
        <w:gridCol w:w="992"/>
        <w:gridCol w:w="993"/>
        <w:gridCol w:w="992"/>
        <w:gridCol w:w="992"/>
        <w:gridCol w:w="992"/>
        <w:gridCol w:w="993"/>
      </w:tblGrid>
      <w:tr w:rsidR="00C05C82" w:rsidRPr="0093633A" w14:paraId="14C4C02A" w14:textId="77777777" w:rsidTr="00C05C82">
        <w:tc>
          <w:tcPr>
            <w:tcW w:w="1413" w:type="dxa"/>
            <w:shd w:val="clear" w:color="auto" w:fill="D9D9D9" w:themeFill="background1" w:themeFillShade="D9"/>
          </w:tcPr>
          <w:p w14:paraId="52CDAA5F" w14:textId="77777777" w:rsidR="00C05C82" w:rsidRPr="00941E30" w:rsidRDefault="00B26FF5" w:rsidP="00941E30">
            <w:pPr>
              <w:rPr>
                <w:rFonts w:ascii="Times New Roman" w:hAnsi="Times New Roman"/>
                <w:b/>
              </w:rPr>
            </w:pPr>
            <w:r w:rsidRPr="0093633A">
              <w:rPr>
                <w:rFonts w:ascii="Times New Roman" w:hAnsi="Times New Roman"/>
                <w:b/>
              </w:rPr>
              <w:t>Sources of revenue</w:t>
            </w:r>
          </w:p>
        </w:tc>
        <w:tc>
          <w:tcPr>
            <w:tcW w:w="4111" w:type="dxa"/>
            <w:gridSpan w:val="4"/>
            <w:shd w:val="clear" w:color="auto" w:fill="D9D9D9" w:themeFill="background1" w:themeFillShade="D9"/>
          </w:tcPr>
          <w:p w14:paraId="370DEDA2" w14:textId="77777777" w:rsidR="00C05C82" w:rsidRPr="00941E30" w:rsidRDefault="00B26FF5">
            <w:pPr>
              <w:jc w:val="both"/>
              <w:rPr>
                <w:rFonts w:ascii="Times New Roman" w:hAnsi="Times New Roman"/>
                <w:b/>
              </w:rPr>
            </w:pPr>
            <w:r w:rsidRPr="0093633A">
              <w:rPr>
                <w:rFonts w:ascii="Times New Roman" w:hAnsi="Times New Roman"/>
                <w:b/>
              </w:rPr>
              <w:t>Budget</w:t>
            </w:r>
          </w:p>
        </w:tc>
        <w:tc>
          <w:tcPr>
            <w:tcW w:w="992" w:type="dxa"/>
            <w:shd w:val="clear" w:color="auto" w:fill="D9D9D9" w:themeFill="background1" w:themeFillShade="D9"/>
          </w:tcPr>
          <w:p w14:paraId="2C6221A4" w14:textId="77777777" w:rsidR="00C05C82" w:rsidRPr="00941E30" w:rsidRDefault="00B26FF5">
            <w:pPr>
              <w:jc w:val="both"/>
              <w:rPr>
                <w:rFonts w:ascii="Times New Roman" w:hAnsi="Times New Roman"/>
                <w:b/>
              </w:rPr>
            </w:pPr>
            <w:r w:rsidRPr="0093633A">
              <w:rPr>
                <w:rFonts w:ascii="Times New Roman" w:hAnsi="Times New Roman"/>
                <w:b/>
              </w:rPr>
              <w:t>Nominal rand</w:t>
            </w:r>
          </w:p>
          <w:p w14:paraId="4BB1567C" w14:textId="77777777" w:rsidR="00C05C82" w:rsidRPr="00941E30" w:rsidRDefault="00B26FF5">
            <w:pPr>
              <w:jc w:val="both"/>
              <w:rPr>
                <w:rFonts w:ascii="Times New Roman" w:hAnsi="Times New Roman"/>
                <w:b/>
              </w:rPr>
            </w:pPr>
            <w:r w:rsidRPr="0093633A">
              <w:rPr>
                <w:rFonts w:ascii="Times New Roman" w:hAnsi="Times New Roman"/>
                <w:b/>
              </w:rPr>
              <w:t>Change</w:t>
            </w:r>
          </w:p>
        </w:tc>
        <w:tc>
          <w:tcPr>
            <w:tcW w:w="992" w:type="dxa"/>
            <w:shd w:val="clear" w:color="auto" w:fill="D9D9D9" w:themeFill="background1" w:themeFillShade="D9"/>
          </w:tcPr>
          <w:p w14:paraId="6D4FBEF1" w14:textId="77777777" w:rsidR="00C05C82" w:rsidRPr="00941E30" w:rsidRDefault="00B26FF5">
            <w:pPr>
              <w:jc w:val="both"/>
              <w:rPr>
                <w:rFonts w:ascii="Times New Roman" w:hAnsi="Times New Roman"/>
                <w:b/>
              </w:rPr>
            </w:pPr>
            <w:r w:rsidRPr="0093633A">
              <w:rPr>
                <w:rFonts w:ascii="Times New Roman" w:hAnsi="Times New Roman"/>
                <w:b/>
              </w:rPr>
              <w:t>Real</w:t>
            </w:r>
          </w:p>
          <w:p w14:paraId="275D12F9" w14:textId="77777777" w:rsidR="00C05C82" w:rsidRPr="00941E30" w:rsidRDefault="00B26FF5">
            <w:pPr>
              <w:jc w:val="both"/>
              <w:rPr>
                <w:rFonts w:ascii="Times New Roman" w:hAnsi="Times New Roman"/>
                <w:b/>
              </w:rPr>
            </w:pPr>
            <w:r w:rsidRPr="0093633A">
              <w:rPr>
                <w:rFonts w:ascii="Times New Roman" w:hAnsi="Times New Roman"/>
                <w:b/>
              </w:rPr>
              <w:t>Rand change</w:t>
            </w:r>
          </w:p>
        </w:tc>
        <w:tc>
          <w:tcPr>
            <w:tcW w:w="992" w:type="dxa"/>
            <w:shd w:val="clear" w:color="auto" w:fill="D9D9D9" w:themeFill="background1" w:themeFillShade="D9"/>
          </w:tcPr>
          <w:p w14:paraId="38AD91D4" w14:textId="77777777" w:rsidR="00C05C82" w:rsidRPr="00941E30" w:rsidRDefault="00B26FF5">
            <w:pPr>
              <w:jc w:val="both"/>
              <w:rPr>
                <w:rFonts w:ascii="Times New Roman" w:hAnsi="Times New Roman"/>
                <w:b/>
              </w:rPr>
            </w:pPr>
            <w:r w:rsidRPr="0093633A">
              <w:rPr>
                <w:rFonts w:ascii="Times New Roman" w:hAnsi="Times New Roman"/>
                <w:b/>
              </w:rPr>
              <w:t>Nominal %</w:t>
            </w:r>
          </w:p>
          <w:p w14:paraId="75C054C5" w14:textId="77777777" w:rsidR="00C05C82" w:rsidRPr="00941E30" w:rsidRDefault="00B26FF5">
            <w:pPr>
              <w:jc w:val="both"/>
              <w:rPr>
                <w:rFonts w:ascii="Times New Roman" w:hAnsi="Times New Roman"/>
                <w:b/>
              </w:rPr>
            </w:pPr>
            <w:r w:rsidRPr="0093633A">
              <w:rPr>
                <w:rFonts w:ascii="Times New Roman" w:hAnsi="Times New Roman"/>
                <w:b/>
              </w:rPr>
              <w:t>Change</w:t>
            </w:r>
          </w:p>
        </w:tc>
        <w:tc>
          <w:tcPr>
            <w:tcW w:w="993" w:type="dxa"/>
            <w:shd w:val="clear" w:color="auto" w:fill="D9D9D9" w:themeFill="background1" w:themeFillShade="D9"/>
          </w:tcPr>
          <w:p w14:paraId="6E80F2D7" w14:textId="77777777" w:rsidR="00C05C82" w:rsidRPr="00941E30" w:rsidRDefault="00B26FF5">
            <w:pPr>
              <w:jc w:val="both"/>
              <w:rPr>
                <w:rFonts w:ascii="Times New Roman" w:hAnsi="Times New Roman"/>
                <w:b/>
              </w:rPr>
            </w:pPr>
            <w:r w:rsidRPr="0093633A">
              <w:rPr>
                <w:rFonts w:ascii="Times New Roman" w:hAnsi="Times New Roman"/>
                <w:b/>
              </w:rPr>
              <w:t>Real</w:t>
            </w:r>
          </w:p>
          <w:p w14:paraId="63F103E3" w14:textId="77777777" w:rsidR="00C05C82" w:rsidRPr="00941E30" w:rsidRDefault="00B26FF5">
            <w:pPr>
              <w:jc w:val="both"/>
              <w:rPr>
                <w:rFonts w:ascii="Times New Roman" w:hAnsi="Times New Roman"/>
                <w:b/>
              </w:rPr>
            </w:pPr>
            <w:r w:rsidRPr="0093633A">
              <w:rPr>
                <w:rFonts w:ascii="Times New Roman" w:hAnsi="Times New Roman"/>
                <w:b/>
              </w:rPr>
              <w:t>%</w:t>
            </w:r>
          </w:p>
          <w:p w14:paraId="302EF6F4" w14:textId="77777777" w:rsidR="00C05C82" w:rsidRPr="00941E30" w:rsidRDefault="00B26FF5">
            <w:pPr>
              <w:jc w:val="both"/>
              <w:rPr>
                <w:rFonts w:ascii="Times New Roman" w:hAnsi="Times New Roman"/>
                <w:b/>
              </w:rPr>
            </w:pPr>
            <w:r w:rsidRPr="0093633A">
              <w:rPr>
                <w:rFonts w:ascii="Times New Roman" w:hAnsi="Times New Roman"/>
                <w:b/>
              </w:rPr>
              <w:t>Change</w:t>
            </w:r>
          </w:p>
        </w:tc>
      </w:tr>
      <w:tr w:rsidR="00C05C82" w:rsidRPr="0093633A" w14:paraId="0E6FFE39" w14:textId="77777777" w:rsidTr="00941E30">
        <w:tc>
          <w:tcPr>
            <w:tcW w:w="1413" w:type="dxa"/>
          </w:tcPr>
          <w:p w14:paraId="5B0CD6B6" w14:textId="77777777" w:rsidR="00C05C82" w:rsidRPr="00941E30" w:rsidRDefault="00C05C82" w:rsidP="00941E30">
            <w:pPr>
              <w:rPr>
                <w:rFonts w:ascii="Times New Roman" w:hAnsi="Times New Roman"/>
                <w:b/>
              </w:rPr>
            </w:pPr>
            <w:r w:rsidRPr="00941E30">
              <w:rPr>
                <w:rFonts w:ascii="Times New Roman" w:hAnsi="Times New Roman"/>
                <w:b/>
              </w:rPr>
              <w:t>R million</w:t>
            </w:r>
          </w:p>
        </w:tc>
        <w:tc>
          <w:tcPr>
            <w:tcW w:w="992" w:type="dxa"/>
          </w:tcPr>
          <w:p w14:paraId="1695DA96" w14:textId="77777777" w:rsidR="00C05C82" w:rsidRPr="00941E30" w:rsidRDefault="00C05C82">
            <w:pPr>
              <w:jc w:val="both"/>
              <w:rPr>
                <w:rFonts w:ascii="Times New Roman" w:hAnsi="Times New Roman"/>
                <w:b/>
              </w:rPr>
            </w:pPr>
            <w:r w:rsidRPr="00941E30">
              <w:rPr>
                <w:rFonts w:ascii="Times New Roman" w:hAnsi="Times New Roman"/>
                <w:b/>
              </w:rPr>
              <w:t>2017/18</w:t>
            </w:r>
          </w:p>
        </w:tc>
        <w:tc>
          <w:tcPr>
            <w:tcW w:w="1134" w:type="dxa"/>
            <w:shd w:val="clear" w:color="auto" w:fill="auto"/>
          </w:tcPr>
          <w:p w14:paraId="0DEF7780" w14:textId="77777777" w:rsidR="00C05C82" w:rsidRPr="00941E30" w:rsidRDefault="00C05C82">
            <w:pPr>
              <w:jc w:val="both"/>
              <w:rPr>
                <w:rFonts w:ascii="Times New Roman" w:hAnsi="Times New Roman"/>
                <w:b/>
              </w:rPr>
            </w:pPr>
            <w:r w:rsidRPr="00941E30">
              <w:rPr>
                <w:rFonts w:ascii="Times New Roman" w:hAnsi="Times New Roman"/>
                <w:b/>
              </w:rPr>
              <w:t>2018/19</w:t>
            </w:r>
          </w:p>
        </w:tc>
        <w:tc>
          <w:tcPr>
            <w:tcW w:w="992" w:type="dxa"/>
          </w:tcPr>
          <w:p w14:paraId="36C81628" w14:textId="77777777" w:rsidR="00C05C82" w:rsidRPr="00941E30" w:rsidRDefault="00C05C82">
            <w:pPr>
              <w:jc w:val="both"/>
              <w:rPr>
                <w:rFonts w:ascii="Times New Roman" w:hAnsi="Times New Roman"/>
                <w:b/>
              </w:rPr>
            </w:pPr>
            <w:r w:rsidRPr="00941E30">
              <w:rPr>
                <w:rFonts w:ascii="Times New Roman" w:hAnsi="Times New Roman"/>
                <w:b/>
              </w:rPr>
              <w:t>2019/20</w:t>
            </w:r>
          </w:p>
        </w:tc>
        <w:tc>
          <w:tcPr>
            <w:tcW w:w="993" w:type="dxa"/>
          </w:tcPr>
          <w:p w14:paraId="3506E043" w14:textId="77777777" w:rsidR="00C05C82" w:rsidRPr="00941E30" w:rsidRDefault="00C05C82">
            <w:pPr>
              <w:jc w:val="both"/>
              <w:rPr>
                <w:rFonts w:ascii="Times New Roman" w:hAnsi="Times New Roman"/>
                <w:b/>
              </w:rPr>
            </w:pPr>
            <w:r w:rsidRPr="00941E30">
              <w:rPr>
                <w:rFonts w:ascii="Times New Roman" w:hAnsi="Times New Roman"/>
                <w:b/>
              </w:rPr>
              <w:t>2020/21</w:t>
            </w:r>
          </w:p>
        </w:tc>
        <w:tc>
          <w:tcPr>
            <w:tcW w:w="1984" w:type="dxa"/>
            <w:gridSpan w:val="2"/>
          </w:tcPr>
          <w:p w14:paraId="63D63B1C" w14:textId="77777777" w:rsidR="00C05C82" w:rsidRPr="00941E30" w:rsidRDefault="00C05C82">
            <w:pPr>
              <w:jc w:val="both"/>
              <w:rPr>
                <w:rFonts w:ascii="Times New Roman" w:hAnsi="Times New Roman"/>
                <w:b/>
              </w:rPr>
            </w:pPr>
            <w:r w:rsidRPr="00941E30">
              <w:rPr>
                <w:rFonts w:ascii="Times New Roman" w:hAnsi="Times New Roman"/>
                <w:b/>
              </w:rPr>
              <w:t>2017/18 – 2018/19</w:t>
            </w:r>
          </w:p>
        </w:tc>
        <w:tc>
          <w:tcPr>
            <w:tcW w:w="1985" w:type="dxa"/>
            <w:gridSpan w:val="2"/>
          </w:tcPr>
          <w:p w14:paraId="2CA69A08" w14:textId="77777777" w:rsidR="00C05C82" w:rsidRPr="00941E30" w:rsidRDefault="00C05C82">
            <w:pPr>
              <w:jc w:val="both"/>
              <w:rPr>
                <w:rFonts w:ascii="Times New Roman" w:hAnsi="Times New Roman"/>
                <w:b/>
              </w:rPr>
            </w:pPr>
            <w:r w:rsidRPr="00941E30">
              <w:rPr>
                <w:rFonts w:ascii="Times New Roman" w:hAnsi="Times New Roman"/>
                <w:b/>
              </w:rPr>
              <w:t>2017/18 – 2018/19</w:t>
            </w:r>
          </w:p>
        </w:tc>
      </w:tr>
      <w:tr w:rsidR="00C05C82" w:rsidRPr="0093633A" w14:paraId="5E66ADEF" w14:textId="77777777" w:rsidTr="00941E30">
        <w:tc>
          <w:tcPr>
            <w:tcW w:w="1413" w:type="dxa"/>
            <w:shd w:val="clear" w:color="auto" w:fill="auto"/>
          </w:tcPr>
          <w:p w14:paraId="797897F6" w14:textId="77777777" w:rsidR="00C05C82" w:rsidRPr="00941E30" w:rsidRDefault="00C05C82" w:rsidP="00941E30">
            <w:pPr>
              <w:rPr>
                <w:rFonts w:ascii="Times New Roman" w:hAnsi="Times New Roman"/>
              </w:rPr>
            </w:pPr>
            <w:r w:rsidRPr="00941E30">
              <w:rPr>
                <w:rFonts w:ascii="Times New Roman" w:hAnsi="Times New Roman"/>
              </w:rPr>
              <w:t xml:space="preserve"> Test Revenue </w:t>
            </w:r>
          </w:p>
        </w:tc>
        <w:tc>
          <w:tcPr>
            <w:tcW w:w="992" w:type="dxa"/>
            <w:shd w:val="clear" w:color="auto" w:fill="auto"/>
          </w:tcPr>
          <w:p w14:paraId="226AAE9B" w14:textId="77777777" w:rsidR="00C05C82" w:rsidRPr="00941E30" w:rsidRDefault="00C05C82">
            <w:pPr>
              <w:jc w:val="both"/>
              <w:rPr>
                <w:rFonts w:ascii="Times New Roman" w:hAnsi="Times New Roman"/>
              </w:rPr>
            </w:pPr>
            <w:r w:rsidRPr="00941E30">
              <w:rPr>
                <w:rFonts w:ascii="Times New Roman" w:hAnsi="Times New Roman"/>
              </w:rPr>
              <w:t>7 131 715</w:t>
            </w:r>
          </w:p>
        </w:tc>
        <w:tc>
          <w:tcPr>
            <w:tcW w:w="1134" w:type="dxa"/>
            <w:shd w:val="clear" w:color="auto" w:fill="auto"/>
          </w:tcPr>
          <w:p w14:paraId="71B93C0F" w14:textId="77777777" w:rsidR="00C05C82" w:rsidRPr="00941E30" w:rsidRDefault="00C05C82">
            <w:pPr>
              <w:jc w:val="both"/>
              <w:rPr>
                <w:rFonts w:ascii="Times New Roman" w:hAnsi="Times New Roman"/>
              </w:rPr>
            </w:pPr>
            <w:r w:rsidRPr="00941E30">
              <w:rPr>
                <w:rFonts w:ascii="Times New Roman" w:hAnsi="Times New Roman"/>
              </w:rPr>
              <w:t>7 613 605</w:t>
            </w:r>
          </w:p>
        </w:tc>
        <w:tc>
          <w:tcPr>
            <w:tcW w:w="992" w:type="dxa"/>
            <w:shd w:val="clear" w:color="auto" w:fill="auto"/>
          </w:tcPr>
          <w:p w14:paraId="6A41FDCA" w14:textId="77777777" w:rsidR="00C05C82" w:rsidRPr="00941E30" w:rsidRDefault="00C05C82">
            <w:pPr>
              <w:jc w:val="both"/>
              <w:rPr>
                <w:rFonts w:ascii="Times New Roman" w:hAnsi="Times New Roman"/>
              </w:rPr>
            </w:pPr>
            <w:r w:rsidRPr="00941E30">
              <w:rPr>
                <w:rFonts w:ascii="Times New Roman" w:hAnsi="Times New Roman"/>
              </w:rPr>
              <w:t>8 120 367</w:t>
            </w:r>
          </w:p>
        </w:tc>
        <w:tc>
          <w:tcPr>
            <w:tcW w:w="993" w:type="dxa"/>
            <w:shd w:val="clear" w:color="auto" w:fill="auto"/>
          </w:tcPr>
          <w:p w14:paraId="00B20F6B" w14:textId="77777777" w:rsidR="00C05C82" w:rsidRPr="00941E30" w:rsidRDefault="00C05C82">
            <w:pPr>
              <w:jc w:val="both"/>
              <w:rPr>
                <w:rFonts w:ascii="Times New Roman" w:hAnsi="Times New Roman"/>
              </w:rPr>
            </w:pPr>
            <w:r w:rsidRPr="00941E30">
              <w:rPr>
                <w:rFonts w:ascii="Times New Roman" w:hAnsi="Times New Roman"/>
              </w:rPr>
              <w:t>8 652 657</w:t>
            </w:r>
          </w:p>
        </w:tc>
        <w:tc>
          <w:tcPr>
            <w:tcW w:w="992" w:type="dxa"/>
            <w:shd w:val="clear" w:color="auto" w:fill="auto"/>
          </w:tcPr>
          <w:p w14:paraId="4A0637F7" w14:textId="77777777" w:rsidR="00C05C82" w:rsidRPr="00941E30" w:rsidRDefault="00C05C82">
            <w:pPr>
              <w:jc w:val="both"/>
              <w:rPr>
                <w:rFonts w:ascii="Times New Roman" w:hAnsi="Times New Roman"/>
              </w:rPr>
            </w:pPr>
            <w:r w:rsidRPr="00941E30">
              <w:rPr>
                <w:rFonts w:ascii="Times New Roman" w:hAnsi="Times New Roman"/>
              </w:rPr>
              <w:t>481 890</w:t>
            </w:r>
          </w:p>
        </w:tc>
        <w:tc>
          <w:tcPr>
            <w:tcW w:w="992" w:type="dxa"/>
            <w:shd w:val="clear" w:color="auto" w:fill="auto"/>
          </w:tcPr>
          <w:p w14:paraId="6B9DCC21" w14:textId="77777777" w:rsidR="00C05C82" w:rsidRPr="00941E30" w:rsidRDefault="00C05C82">
            <w:pPr>
              <w:jc w:val="both"/>
              <w:rPr>
                <w:rFonts w:ascii="Times New Roman" w:hAnsi="Times New Roman"/>
              </w:rPr>
            </w:pPr>
            <w:r w:rsidRPr="00941E30">
              <w:rPr>
                <w:rFonts w:ascii="Times New Roman" w:hAnsi="Times New Roman"/>
              </w:rPr>
              <w:t>84 972</w:t>
            </w:r>
          </w:p>
        </w:tc>
        <w:tc>
          <w:tcPr>
            <w:tcW w:w="992" w:type="dxa"/>
            <w:shd w:val="clear" w:color="auto" w:fill="auto"/>
          </w:tcPr>
          <w:p w14:paraId="1FAD0BA5" w14:textId="77777777" w:rsidR="00C05C82" w:rsidRPr="00941E30" w:rsidRDefault="00C05C82">
            <w:pPr>
              <w:jc w:val="both"/>
              <w:rPr>
                <w:rFonts w:ascii="Times New Roman" w:hAnsi="Times New Roman"/>
              </w:rPr>
            </w:pPr>
            <w:r w:rsidRPr="00941E30">
              <w:rPr>
                <w:rFonts w:ascii="Times New Roman" w:hAnsi="Times New Roman"/>
              </w:rPr>
              <w:t>6</w:t>
            </w:r>
            <w:r w:rsidR="00B26FF5">
              <w:rPr>
                <w:rFonts w:ascii="Times New Roman" w:hAnsi="Times New Roman"/>
              </w:rPr>
              <w:t>.</w:t>
            </w:r>
            <w:r w:rsidRPr="00941E30">
              <w:rPr>
                <w:rFonts w:ascii="Times New Roman" w:hAnsi="Times New Roman"/>
              </w:rPr>
              <w:t>76 %</w:t>
            </w:r>
          </w:p>
        </w:tc>
        <w:tc>
          <w:tcPr>
            <w:tcW w:w="993" w:type="dxa"/>
            <w:shd w:val="clear" w:color="auto" w:fill="auto"/>
          </w:tcPr>
          <w:p w14:paraId="4CA483F2" w14:textId="77777777" w:rsidR="00C05C82" w:rsidRPr="00941E30" w:rsidRDefault="00C05C82">
            <w:pPr>
              <w:jc w:val="both"/>
              <w:rPr>
                <w:rFonts w:ascii="Times New Roman" w:hAnsi="Times New Roman"/>
              </w:rPr>
            </w:pPr>
            <w:r w:rsidRPr="00941E30">
              <w:rPr>
                <w:rFonts w:ascii="Times New Roman" w:hAnsi="Times New Roman"/>
              </w:rPr>
              <w:t>1</w:t>
            </w:r>
            <w:r w:rsidR="00B26FF5">
              <w:rPr>
                <w:rFonts w:ascii="Times New Roman" w:hAnsi="Times New Roman"/>
              </w:rPr>
              <w:t>.</w:t>
            </w:r>
            <w:r w:rsidRPr="00941E30">
              <w:rPr>
                <w:rFonts w:ascii="Times New Roman" w:hAnsi="Times New Roman"/>
              </w:rPr>
              <w:t>19%</w:t>
            </w:r>
          </w:p>
        </w:tc>
      </w:tr>
      <w:tr w:rsidR="00C05C82" w:rsidRPr="0093633A" w14:paraId="6CADFD70" w14:textId="77777777" w:rsidTr="00941E30">
        <w:tc>
          <w:tcPr>
            <w:tcW w:w="1413" w:type="dxa"/>
            <w:shd w:val="clear" w:color="auto" w:fill="auto"/>
          </w:tcPr>
          <w:p w14:paraId="242B8D8E" w14:textId="77777777" w:rsidR="00C05C82" w:rsidRPr="00941E30" w:rsidRDefault="00C05C82" w:rsidP="00941E30">
            <w:pPr>
              <w:rPr>
                <w:rFonts w:ascii="Times New Roman" w:hAnsi="Times New Roman"/>
              </w:rPr>
            </w:pPr>
            <w:r w:rsidRPr="00941E30">
              <w:rPr>
                <w:rFonts w:ascii="Times New Roman" w:hAnsi="Times New Roman"/>
              </w:rPr>
              <w:t>Grants and Other</w:t>
            </w:r>
          </w:p>
        </w:tc>
        <w:tc>
          <w:tcPr>
            <w:tcW w:w="992" w:type="dxa"/>
            <w:shd w:val="clear" w:color="auto" w:fill="auto"/>
          </w:tcPr>
          <w:p w14:paraId="35E2515C" w14:textId="77777777" w:rsidR="00C05C82" w:rsidRPr="00941E30" w:rsidRDefault="00C05C82">
            <w:pPr>
              <w:jc w:val="both"/>
              <w:rPr>
                <w:rFonts w:ascii="Times New Roman" w:hAnsi="Times New Roman"/>
              </w:rPr>
            </w:pPr>
            <w:r w:rsidRPr="00941E30">
              <w:rPr>
                <w:rFonts w:ascii="Times New Roman" w:hAnsi="Times New Roman"/>
              </w:rPr>
              <w:t xml:space="preserve"> 235 000</w:t>
            </w:r>
          </w:p>
        </w:tc>
        <w:tc>
          <w:tcPr>
            <w:tcW w:w="1134" w:type="dxa"/>
            <w:shd w:val="clear" w:color="auto" w:fill="auto"/>
          </w:tcPr>
          <w:p w14:paraId="465808EB" w14:textId="77777777" w:rsidR="00C05C82" w:rsidRPr="00941E30" w:rsidRDefault="00C05C82">
            <w:pPr>
              <w:jc w:val="both"/>
              <w:rPr>
                <w:rFonts w:ascii="Times New Roman" w:hAnsi="Times New Roman"/>
              </w:rPr>
            </w:pPr>
            <w:r w:rsidRPr="00941E30">
              <w:rPr>
                <w:rFonts w:ascii="Times New Roman" w:hAnsi="Times New Roman"/>
              </w:rPr>
              <w:t xml:space="preserve"> 248 395</w:t>
            </w:r>
          </w:p>
        </w:tc>
        <w:tc>
          <w:tcPr>
            <w:tcW w:w="992" w:type="dxa"/>
            <w:shd w:val="clear" w:color="auto" w:fill="auto"/>
          </w:tcPr>
          <w:p w14:paraId="3A5AF8B0" w14:textId="77777777" w:rsidR="00C05C82" w:rsidRPr="00941E30" w:rsidRDefault="00C05C82">
            <w:pPr>
              <w:jc w:val="both"/>
              <w:rPr>
                <w:rFonts w:ascii="Times New Roman" w:hAnsi="Times New Roman"/>
              </w:rPr>
            </w:pPr>
            <w:r w:rsidRPr="00941E30">
              <w:rPr>
                <w:rFonts w:ascii="Times New Roman" w:hAnsi="Times New Roman"/>
              </w:rPr>
              <w:t>262 305</w:t>
            </w:r>
          </w:p>
        </w:tc>
        <w:tc>
          <w:tcPr>
            <w:tcW w:w="993" w:type="dxa"/>
            <w:shd w:val="clear" w:color="auto" w:fill="auto"/>
          </w:tcPr>
          <w:p w14:paraId="4F033F32" w14:textId="77777777" w:rsidR="00C05C82" w:rsidRPr="00941E30" w:rsidRDefault="00C05C82">
            <w:pPr>
              <w:jc w:val="both"/>
              <w:rPr>
                <w:rFonts w:ascii="Times New Roman" w:hAnsi="Times New Roman"/>
              </w:rPr>
            </w:pPr>
            <w:r w:rsidRPr="00941E30">
              <w:rPr>
                <w:rFonts w:ascii="Times New Roman" w:hAnsi="Times New Roman"/>
              </w:rPr>
              <w:t xml:space="preserve"> 276 732</w:t>
            </w:r>
          </w:p>
        </w:tc>
        <w:tc>
          <w:tcPr>
            <w:tcW w:w="992" w:type="dxa"/>
            <w:shd w:val="clear" w:color="auto" w:fill="auto"/>
          </w:tcPr>
          <w:p w14:paraId="4A9C310A" w14:textId="77777777" w:rsidR="00C05C82" w:rsidRPr="00941E30" w:rsidRDefault="00C05C82">
            <w:pPr>
              <w:jc w:val="both"/>
              <w:rPr>
                <w:rFonts w:ascii="Times New Roman" w:hAnsi="Times New Roman"/>
              </w:rPr>
            </w:pPr>
            <w:r w:rsidRPr="00941E30">
              <w:rPr>
                <w:rFonts w:ascii="Times New Roman" w:hAnsi="Times New Roman"/>
              </w:rPr>
              <w:t>13 359</w:t>
            </w:r>
          </w:p>
        </w:tc>
        <w:tc>
          <w:tcPr>
            <w:tcW w:w="992" w:type="dxa"/>
            <w:shd w:val="clear" w:color="auto" w:fill="auto"/>
          </w:tcPr>
          <w:p w14:paraId="6512183C" w14:textId="77777777" w:rsidR="00C05C82" w:rsidRPr="00941E30" w:rsidRDefault="00C05C82">
            <w:pPr>
              <w:jc w:val="both"/>
              <w:rPr>
                <w:rFonts w:ascii="Times New Roman" w:hAnsi="Times New Roman"/>
              </w:rPr>
            </w:pPr>
            <w:r w:rsidRPr="00941E30">
              <w:rPr>
                <w:rFonts w:ascii="Times New Roman" w:hAnsi="Times New Roman"/>
              </w:rPr>
              <w:t xml:space="preserve">  411</w:t>
            </w:r>
          </w:p>
        </w:tc>
        <w:tc>
          <w:tcPr>
            <w:tcW w:w="992" w:type="dxa"/>
            <w:shd w:val="clear" w:color="auto" w:fill="auto"/>
          </w:tcPr>
          <w:p w14:paraId="02389A34" w14:textId="77777777" w:rsidR="00C05C82" w:rsidRPr="00941E30" w:rsidRDefault="00C05C82">
            <w:pPr>
              <w:jc w:val="both"/>
              <w:rPr>
                <w:rFonts w:ascii="Times New Roman" w:hAnsi="Times New Roman"/>
              </w:rPr>
            </w:pPr>
            <w:r w:rsidRPr="00941E30">
              <w:rPr>
                <w:rFonts w:ascii="Times New Roman" w:hAnsi="Times New Roman"/>
              </w:rPr>
              <w:t>5</w:t>
            </w:r>
            <w:r w:rsidR="00B26FF5">
              <w:rPr>
                <w:rFonts w:ascii="Times New Roman" w:hAnsi="Times New Roman"/>
              </w:rPr>
              <w:t>.</w:t>
            </w:r>
            <w:r w:rsidRPr="00941E30">
              <w:rPr>
                <w:rFonts w:ascii="Times New Roman" w:hAnsi="Times New Roman"/>
              </w:rPr>
              <w:t>70%</w:t>
            </w:r>
          </w:p>
        </w:tc>
        <w:tc>
          <w:tcPr>
            <w:tcW w:w="993" w:type="dxa"/>
            <w:shd w:val="clear" w:color="auto" w:fill="auto"/>
          </w:tcPr>
          <w:p w14:paraId="50807FA7" w14:textId="77777777" w:rsidR="00C05C82" w:rsidRPr="00941E30" w:rsidRDefault="00C05C82">
            <w:pPr>
              <w:jc w:val="both"/>
              <w:rPr>
                <w:rFonts w:ascii="Times New Roman" w:hAnsi="Times New Roman"/>
              </w:rPr>
            </w:pPr>
            <w:r w:rsidRPr="00941E30">
              <w:rPr>
                <w:rFonts w:ascii="Times New Roman" w:hAnsi="Times New Roman"/>
              </w:rPr>
              <w:t>0</w:t>
            </w:r>
            <w:r w:rsidR="00B26FF5">
              <w:rPr>
                <w:rFonts w:ascii="Times New Roman" w:hAnsi="Times New Roman"/>
              </w:rPr>
              <w:t>.</w:t>
            </w:r>
            <w:r w:rsidRPr="00941E30">
              <w:rPr>
                <w:rFonts w:ascii="Times New Roman" w:hAnsi="Times New Roman"/>
              </w:rPr>
              <w:t>19%</w:t>
            </w:r>
          </w:p>
        </w:tc>
      </w:tr>
      <w:tr w:rsidR="00C05C82" w:rsidRPr="0093633A" w14:paraId="166B0165" w14:textId="77777777" w:rsidTr="00941E30">
        <w:tc>
          <w:tcPr>
            <w:tcW w:w="1413" w:type="dxa"/>
            <w:shd w:val="clear" w:color="auto" w:fill="auto"/>
          </w:tcPr>
          <w:p w14:paraId="69E0A560" w14:textId="77777777" w:rsidR="00C05C82" w:rsidRPr="00941E30" w:rsidRDefault="00C05C82" w:rsidP="00941E30">
            <w:pPr>
              <w:rPr>
                <w:rFonts w:ascii="Times New Roman" w:hAnsi="Times New Roman"/>
              </w:rPr>
            </w:pPr>
            <w:r w:rsidRPr="00941E30">
              <w:rPr>
                <w:rFonts w:ascii="Times New Roman" w:hAnsi="Times New Roman"/>
              </w:rPr>
              <w:t>Interest, Dividends and Rent on Land</w:t>
            </w:r>
          </w:p>
        </w:tc>
        <w:tc>
          <w:tcPr>
            <w:tcW w:w="992" w:type="dxa"/>
            <w:shd w:val="clear" w:color="auto" w:fill="auto"/>
          </w:tcPr>
          <w:p w14:paraId="6A353F18" w14:textId="77777777" w:rsidR="00C05C82" w:rsidRPr="00941E30" w:rsidRDefault="00C05C82">
            <w:pPr>
              <w:jc w:val="both"/>
              <w:rPr>
                <w:rFonts w:ascii="Times New Roman" w:hAnsi="Times New Roman"/>
              </w:rPr>
            </w:pPr>
            <w:r w:rsidRPr="00941E30">
              <w:rPr>
                <w:rFonts w:ascii="Times New Roman" w:hAnsi="Times New Roman"/>
              </w:rPr>
              <w:t xml:space="preserve"> 65 000</w:t>
            </w:r>
          </w:p>
        </w:tc>
        <w:tc>
          <w:tcPr>
            <w:tcW w:w="1134" w:type="dxa"/>
            <w:shd w:val="clear" w:color="auto" w:fill="auto"/>
          </w:tcPr>
          <w:p w14:paraId="17C27927" w14:textId="77777777" w:rsidR="00C05C82" w:rsidRPr="00941E30" w:rsidRDefault="00C05C82">
            <w:pPr>
              <w:jc w:val="both"/>
              <w:rPr>
                <w:rFonts w:ascii="Times New Roman" w:hAnsi="Times New Roman"/>
              </w:rPr>
            </w:pPr>
            <w:r w:rsidRPr="00941E30">
              <w:rPr>
                <w:rFonts w:ascii="Times New Roman" w:hAnsi="Times New Roman"/>
              </w:rPr>
              <w:t xml:space="preserve"> 68 000</w:t>
            </w:r>
          </w:p>
        </w:tc>
        <w:tc>
          <w:tcPr>
            <w:tcW w:w="992" w:type="dxa"/>
            <w:shd w:val="clear" w:color="auto" w:fill="auto"/>
          </w:tcPr>
          <w:p w14:paraId="1AAE8332" w14:textId="77777777" w:rsidR="00C05C82" w:rsidRPr="00941E30" w:rsidRDefault="00C05C82">
            <w:pPr>
              <w:jc w:val="both"/>
              <w:rPr>
                <w:rFonts w:ascii="Times New Roman" w:hAnsi="Times New Roman"/>
              </w:rPr>
            </w:pPr>
            <w:r w:rsidRPr="00941E30">
              <w:rPr>
                <w:rFonts w:ascii="Times New Roman" w:hAnsi="Times New Roman"/>
              </w:rPr>
              <w:t xml:space="preserve"> 71 000</w:t>
            </w:r>
          </w:p>
        </w:tc>
        <w:tc>
          <w:tcPr>
            <w:tcW w:w="993" w:type="dxa"/>
            <w:shd w:val="clear" w:color="auto" w:fill="auto"/>
          </w:tcPr>
          <w:p w14:paraId="33EBC738" w14:textId="77777777" w:rsidR="00C05C82" w:rsidRPr="00941E30" w:rsidRDefault="00C05C82">
            <w:pPr>
              <w:jc w:val="both"/>
              <w:rPr>
                <w:rFonts w:ascii="Times New Roman" w:hAnsi="Times New Roman"/>
              </w:rPr>
            </w:pPr>
            <w:r w:rsidRPr="00941E30">
              <w:rPr>
                <w:rFonts w:ascii="Times New Roman" w:hAnsi="Times New Roman"/>
              </w:rPr>
              <w:t xml:space="preserve"> 75 000</w:t>
            </w:r>
          </w:p>
        </w:tc>
        <w:tc>
          <w:tcPr>
            <w:tcW w:w="992" w:type="dxa"/>
            <w:shd w:val="clear" w:color="auto" w:fill="auto"/>
          </w:tcPr>
          <w:p w14:paraId="77466FB4" w14:textId="77777777" w:rsidR="00C05C82" w:rsidRPr="00941E30" w:rsidRDefault="00C05C82">
            <w:pPr>
              <w:jc w:val="both"/>
              <w:rPr>
                <w:rFonts w:ascii="Times New Roman" w:hAnsi="Times New Roman"/>
              </w:rPr>
            </w:pPr>
            <w:r w:rsidRPr="00941E30">
              <w:rPr>
                <w:rFonts w:ascii="Times New Roman" w:hAnsi="Times New Roman"/>
              </w:rPr>
              <w:t>3 000</w:t>
            </w:r>
          </w:p>
        </w:tc>
        <w:tc>
          <w:tcPr>
            <w:tcW w:w="992" w:type="dxa"/>
            <w:shd w:val="clear" w:color="auto" w:fill="auto"/>
          </w:tcPr>
          <w:p w14:paraId="64384DB7" w14:textId="77777777" w:rsidR="00C05C82" w:rsidRPr="00941E30" w:rsidRDefault="00C05C82">
            <w:pPr>
              <w:jc w:val="both"/>
              <w:rPr>
                <w:rFonts w:ascii="Times New Roman" w:hAnsi="Times New Roman"/>
              </w:rPr>
            </w:pPr>
            <w:r w:rsidRPr="00941E30">
              <w:rPr>
                <w:rFonts w:ascii="Times New Roman" w:hAnsi="Times New Roman"/>
              </w:rPr>
              <w:t>-  545</w:t>
            </w:r>
          </w:p>
        </w:tc>
        <w:tc>
          <w:tcPr>
            <w:tcW w:w="992" w:type="dxa"/>
            <w:shd w:val="clear" w:color="auto" w:fill="auto"/>
          </w:tcPr>
          <w:p w14:paraId="5F0A5319" w14:textId="77777777" w:rsidR="00C05C82" w:rsidRPr="00941E30" w:rsidRDefault="00C05C82">
            <w:pPr>
              <w:jc w:val="both"/>
              <w:rPr>
                <w:rFonts w:ascii="Times New Roman" w:hAnsi="Times New Roman"/>
              </w:rPr>
            </w:pPr>
            <w:r w:rsidRPr="00941E30">
              <w:rPr>
                <w:rFonts w:ascii="Times New Roman" w:hAnsi="Times New Roman"/>
              </w:rPr>
              <w:t>4</w:t>
            </w:r>
            <w:r w:rsidR="00B26FF5">
              <w:rPr>
                <w:rFonts w:ascii="Times New Roman" w:hAnsi="Times New Roman"/>
              </w:rPr>
              <w:t>.</w:t>
            </w:r>
            <w:r w:rsidRPr="00941E30">
              <w:rPr>
                <w:rFonts w:ascii="Times New Roman" w:hAnsi="Times New Roman"/>
              </w:rPr>
              <w:t>62%</w:t>
            </w:r>
          </w:p>
        </w:tc>
        <w:tc>
          <w:tcPr>
            <w:tcW w:w="993" w:type="dxa"/>
            <w:shd w:val="clear" w:color="auto" w:fill="auto"/>
          </w:tcPr>
          <w:p w14:paraId="2A22DC52" w14:textId="77777777" w:rsidR="00C05C82" w:rsidRPr="00941E30" w:rsidRDefault="00C05C82">
            <w:pPr>
              <w:jc w:val="both"/>
              <w:rPr>
                <w:rFonts w:ascii="Times New Roman" w:hAnsi="Times New Roman"/>
              </w:rPr>
            </w:pPr>
            <w:r w:rsidRPr="00941E30">
              <w:rPr>
                <w:rFonts w:ascii="Times New Roman" w:hAnsi="Times New Roman"/>
              </w:rPr>
              <w:t>-0</w:t>
            </w:r>
            <w:r w:rsidR="00B26FF5">
              <w:rPr>
                <w:rFonts w:ascii="Times New Roman" w:hAnsi="Times New Roman"/>
              </w:rPr>
              <w:t>.</w:t>
            </w:r>
            <w:r w:rsidRPr="00941E30">
              <w:rPr>
                <w:rFonts w:ascii="Times New Roman" w:hAnsi="Times New Roman"/>
              </w:rPr>
              <w:t>84%</w:t>
            </w:r>
          </w:p>
        </w:tc>
      </w:tr>
      <w:tr w:rsidR="00C05C82" w:rsidRPr="0093633A" w14:paraId="36BAA330" w14:textId="77777777" w:rsidTr="00941E30">
        <w:tc>
          <w:tcPr>
            <w:tcW w:w="1413" w:type="dxa"/>
            <w:shd w:val="clear" w:color="auto" w:fill="auto"/>
          </w:tcPr>
          <w:p w14:paraId="22213DBC" w14:textId="77777777" w:rsidR="00C05C82" w:rsidRPr="00941E30" w:rsidRDefault="00C05C82" w:rsidP="00941E30">
            <w:pPr>
              <w:rPr>
                <w:rFonts w:ascii="Times New Roman" w:hAnsi="Times New Roman"/>
              </w:rPr>
            </w:pPr>
            <w:r w:rsidRPr="00941E30">
              <w:rPr>
                <w:rFonts w:ascii="Times New Roman" w:hAnsi="Times New Roman"/>
              </w:rPr>
              <w:t>Transfers received</w:t>
            </w:r>
          </w:p>
        </w:tc>
        <w:tc>
          <w:tcPr>
            <w:tcW w:w="992" w:type="dxa"/>
            <w:shd w:val="clear" w:color="auto" w:fill="auto"/>
          </w:tcPr>
          <w:p w14:paraId="704A180E" w14:textId="77777777" w:rsidR="00C05C82" w:rsidRPr="00941E30" w:rsidRDefault="00C05C82">
            <w:pPr>
              <w:jc w:val="both"/>
              <w:rPr>
                <w:rFonts w:ascii="Times New Roman" w:hAnsi="Times New Roman"/>
              </w:rPr>
            </w:pPr>
            <w:r w:rsidRPr="00941E30">
              <w:rPr>
                <w:rFonts w:ascii="Times New Roman" w:hAnsi="Times New Roman"/>
              </w:rPr>
              <w:t xml:space="preserve"> 746 464</w:t>
            </w:r>
          </w:p>
        </w:tc>
        <w:tc>
          <w:tcPr>
            <w:tcW w:w="1134" w:type="dxa"/>
            <w:shd w:val="clear" w:color="auto" w:fill="auto"/>
          </w:tcPr>
          <w:p w14:paraId="6589CB38" w14:textId="77777777" w:rsidR="00C05C82" w:rsidRPr="00941E30" w:rsidRDefault="00C05C82">
            <w:pPr>
              <w:jc w:val="both"/>
              <w:rPr>
                <w:rFonts w:ascii="Times New Roman" w:hAnsi="Times New Roman"/>
              </w:rPr>
            </w:pPr>
            <w:r w:rsidRPr="00941E30">
              <w:rPr>
                <w:rFonts w:ascii="Times New Roman" w:hAnsi="Times New Roman"/>
              </w:rPr>
              <w:t xml:space="preserve"> 789 759</w:t>
            </w:r>
          </w:p>
        </w:tc>
        <w:tc>
          <w:tcPr>
            <w:tcW w:w="992" w:type="dxa"/>
            <w:shd w:val="clear" w:color="auto" w:fill="auto"/>
          </w:tcPr>
          <w:p w14:paraId="7246002D" w14:textId="77777777" w:rsidR="00C05C82" w:rsidRPr="00941E30" w:rsidRDefault="00C05C82">
            <w:pPr>
              <w:jc w:val="both"/>
              <w:rPr>
                <w:rFonts w:ascii="Times New Roman" w:hAnsi="Times New Roman"/>
              </w:rPr>
            </w:pPr>
            <w:r w:rsidRPr="00941E30">
              <w:rPr>
                <w:rFonts w:ascii="Times New Roman" w:hAnsi="Times New Roman"/>
              </w:rPr>
              <w:t>833 986</w:t>
            </w:r>
          </w:p>
        </w:tc>
        <w:tc>
          <w:tcPr>
            <w:tcW w:w="993" w:type="dxa"/>
            <w:shd w:val="clear" w:color="auto" w:fill="auto"/>
          </w:tcPr>
          <w:p w14:paraId="0281C094" w14:textId="77777777" w:rsidR="00C05C82" w:rsidRPr="00941E30" w:rsidRDefault="00C05C82">
            <w:pPr>
              <w:jc w:val="both"/>
              <w:rPr>
                <w:rFonts w:ascii="Times New Roman" w:hAnsi="Times New Roman"/>
              </w:rPr>
            </w:pPr>
            <w:r w:rsidRPr="00941E30">
              <w:rPr>
                <w:rFonts w:ascii="Times New Roman" w:hAnsi="Times New Roman"/>
              </w:rPr>
              <w:t>874 434</w:t>
            </w:r>
          </w:p>
        </w:tc>
        <w:tc>
          <w:tcPr>
            <w:tcW w:w="992" w:type="dxa"/>
            <w:shd w:val="clear" w:color="auto" w:fill="auto"/>
          </w:tcPr>
          <w:p w14:paraId="46C5958D" w14:textId="77777777" w:rsidR="00C05C82" w:rsidRPr="00941E30" w:rsidRDefault="00C05C82">
            <w:pPr>
              <w:jc w:val="both"/>
              <w:rPr>
                <w:rFonts w:ascii="Times New Roman" w:hAnsi="Times New Roman"/>
              </w:rPr>
            </w:pPr>
            <w:r w:rsidRPr="00941E30">
              <w:rPr>
                <w:rFonts w:ascii="Times New Roman" w:hAnsi="Times New Roman"/>
              </w:rPr>
              <w:t>43 295</w:t>
            </w:r>
          </w:p>
        </w:tc>
        <w:tc>
          <w:tcPr>
            <w:tcW w:w="992" w:type="dxa"/>
            <w:shd w:val="clear" w:color="auto" w:fill="auto"/>
          </w:tcPr>
          <w:p w14:paraId="25072D60" w14:textId="77777777" w:rsidR="00C05C82" w:rsidRPr="00941E30" w:rsidRDefault="00C05C82">
            <w:pPr>
              <w:jc w:val="both"/>
              <w:rPr>
                <w:rFonts w:ascii="Times New Roman" w:hAnsi="Times New Roman"/>
              </w:rPr>
            </w:pPr>
            <w:r w:rsidRPr="00941E30">
              <w:rPr>
                <w:rFonts w:ascii="Times New Roman" w:hAnsi="Times New Roman"/>
              </w:rPr>
              <w:t>2 12</w:t>
            </w:r>
            <w:r w:rsidR="00B26FF5">
              <w:rPr>
                <w:rFonts w:ascii="Times New Roman" w:hAnsi="Times New Roman"/>
              </w:rPr>
              <w:t>3</w:t>
            </w:r>
          </w:p>
        </w:tc>
        <w:tc>
          <w:tcPr>
            <w:tcW w:w="992" w:type="dxa"/>
            <w:shd w:val="clear" w:color="auto" w:fill="auto"/>
          </w:tcPr>
          <w:p w14:paraId="1F647C9E" w14:textId="77777777" w:rsidR="00C05C82" w:rsidRPr="00941E30" w:rsidRDefault="00C05C82">
            <w:pPr>
              <w:jc w:val="both"/>
              <w:rPr>
                <w:rFonts w:ascii="Times New Roman" w:hAnsi="Times New Roman"/>
              </w:rPr>
            </w:pPr>
            <w:r w:rsidRPr="00941E30">
              <w:rPr>
                <w:rFonts w:ascii="Times New Roman" w:hAnsi="Times New Roman"/>
              </w:rPr>
              <w:t>5</w:t>
            </w:r>
            <w:r w:rsidR="00B26FF5">
              <w:rPr>
                <w:rFonts w:ascii="Times New Roman" w:hAnsi="Times New Roman"/>
              </w:rPr>
              <w:t>.</w:t>
            </w:r>
            <w:r w:rsidRPr="00941E30">
              <w:rPr>
                <w:rFonts w:ascii="Times New Roman" w:hAnsi="Times New Roman"/>
              </w:rPr>
              <w:t>80%</w:t>
            </w:r>
          </w:p>
        </w:tc>
        <w:tc>
          <w:tcPr>
            <w:tcW w:w="993" w:type="dxa"/>
            <w:shd w:val="clear" w:color="auto" w:fill="auto"/>
          </w:tcPr>
          <w:p w14:paraId="6D0D6A79" w14:textId="77777777" w:rsidR="00C05C82" w:rsidRPr="00941E30" w:rsidRDefault="00C05C82">
            <w:pPr>
              <w:jc w:val="both"/>
              <w:rPr>
                <w:rFonts w:ascii="Times New Roman" w:hAnsi="Times New Roman"/>
              </w:rPr>
            </w:pPr>
            <w:r w:rsidRPr="00941E30">
              <w:rPr>
                <w:rFonts w:ascii="Times New Roman" w:hAnsi="Times New Roman"/>
              </w:rPr>
              <w:t>0</w:t>
            </w:r>
            <w:r w:rsidR="00B26FF5">
              <w:rPr>
                <w:rFonts w:ascii="Times New Roman" w:hAnsi="Times New Roman"/>
              </w:rPr>
              <w:t>.</w:t>
            </w:r>
            <w:r w:rsidRPr="00941E30">
              <w:rPr>
                <w:rFonts w:ascii="Times New Roman" w:hAnsi="Times New Roman"/>
              </w:rPr>
              <w:t>28%</w:t>
            </w:r>
          </w:p>
        </w:tc>
      </w:tr>
      <w:tr w:rsidR="00C05C82" w:rsidRPr="0093633A" w14:paraId="7F56A8D1" w14:textId="77777777" w:rsidTr="00C05C82">
        <w:tc>
          <w:tcPr>
            <w:tcW w:w="1413" w:type="dxa"/>
            <w:shd w:val="clear" w:color="auto" w:fill="D9D9D9" w:themeFill="background1" w:themeFillShade="D9"/>
          </w:tcPr>
          <w:p w14:paraId="31132C66" w14:textId="77777777" w:rsidR="00C05C82" w:rsidRPr="00941E30" w:rsidRDefault="00C05C82" w:rsidP="00085BAF">
            <w:pPr>
              <w:jc w:val="both"/>
              <w:rPr>
                <w:rFonts w:ascii="Times New Roman" w:hAnsi="Times New Roman"/>
                <w:b/>
              </w:rPr>
            </w:pPr>
            <w:r w:rsidRPr="00941E30">
              <w:rPr>
                <w:rFonts w:ascii="Times New Roman" w:hAnsi="Times New Roman"/>
                <w:b/>
              </w:rPr>
              <w:t>TOTAL</w:t>
            </w:r>
          </w:p>
        </w:tc>
        <w:tc>
          <w:tcPr>
            <w:tcW w:w="992" w:type="dxa"/>
            <w:shd w:val="clear" w:color="auto" w:fill="D9D9D9" w:themeFill="background1" w:themeFillShade="D9"/>
          </w:tcPr>
          <w:p w14:paraId="479B153A" w14:textId="77777777" w:rsidR="00C05C82" w:rsidRPr="00941E30" w:rsidRDefault="00C05C82">
            <w:pPr>
              <w:jc w:val="both"/>
              <w:rPr>
                <w:rFonts w:ascii="Times New Roman" w:hAnsi="Times New Roman"/>
                <w:b/>
              </w:rPr>
            </w:pPr>
            <w:r w:rsidRPr="00941E30">
              <w:rPr>
                <w:rFonts w:ascii="Times New Roman" w:hAnsi="Times New Roman"/>
                <w:b/>
                <w:bCs/>
              </w:rPr>
              <w:t>8 178 179</w:t>
            </w:r>
          </w:p>
        </w:tc>
        <w:tc>
          <w:tcPr>
            <w:tcW w:w="1134" w:type="dxa"/>
            <w:shd w:val="clear" w:color="auto" w:fill="D9D9D9" w:themeFill="background1" w:themeFillShade="D9"/>
          </w:tcPr>
          <w:p w14:paraId="238A398C" w14:textId="77777777" w:rsidR="00C05C82" w:rsidRPr="00941E30" w:rsidRDefault="00C05C82">
            <w:pPr>
              <w:jc w:val="both"/>
              <w:rPr>
                <w:rFonts w:ascii="Times New Roman" w:hAnsi="Times New Roman"/>
                <w:b/>
              </w:rPr>
            </w:pPr>
            <w:r w:rsidRPr="00941E30">
              <w:rPr>
                <w:rFonts w:ascii="Times New Roman" w:hAnsi="Times New Roman"/>
                <w:b/>
                <w:bCs/>
              </w:rPr>
              <w:t>8 719 759</w:t>
            </w:r>
          </w:p>
        </w:tc>
        <w:tc>
          <w:tcPr>
            <w:tcW w:w="992" w:type="dxa"/>
            <w:shd w:val="clear" w:color="auto" w:fill="D9D9D9" w:themeFill="background1" w:themeFillShade="D9"/>
          </w:tcPr>
          <w:p w14:paraId="08CE83C8" w14:textId="77777777" w:rsidR="00C05C82" w:rsidRPr="00941E30" w:rsidRDefault="00C05C82">
            <w:pPr>
              <w:jc w:val="both"/>
              <w:rPr>
                <w:rFonts w:ascii="Times New Roman" w:hAnsi="Times New Roman"/>
                <w:b/>
              </w:rPr>
            </w:pPr>
            <w:r w:rsidRPr="00941E30">
              <w:rPr>
                <w:rFonts w:ascii="Times New Roman" w:hAnsi="Times New Roman"/>
                <w:b/>
              </w:rPr>
              <w:t>9 287 658</w:t>
            </w:r>
          </w:p>
        </w:tc>
        <w:tc>
          <w:tcPr>
            <w:tcW w:w="993" w:type="dxa"/>
            <w:shd w:val="clear" w:color="auto" w:fill="D9D9D9" w:themeFill="background1" w:themeFillShade="D9"/>
          </w:tcPr>
          <w:p w14:paraId="75A253EA" w14:textId="77777777" w:rsidR="00C05C82" w:rsidRPr="00941E30" w:rsidRDefault="00C05C82">
            <w:pPr>
              <w:jc w:val="both"/>
              <w:rPr>
                <w:rFonts w:ascii="Times New Roman" w:hAnsi="Times New Roman"/>
                <w:b/>
              </w:rPr>
            </w:pPr>
            <w:r w:rsidRPr="00941E30">
              <w:rPr>
                <w:rFonts w:ascii="Times New Roman" w:hAnsi="Times New Roman"/>
                <w:b/>
              </w:rPr>
              <w:t>9 878 823</w:t>
            </w:r>
          </w:p>
        </w:tc>
        <w:tc>
          <w:tcPr>
            <w:tcW w:w="992" w:type="dxa"/>
            <w:shd w:val="clear" w:color="auto" w:fill="D9D9D9" w:themeFill="background1" w:themeFillShade="D9"/>
          </w:tcPr>
          <w:p w14:paraId="6F7A240D" w14:textId="77777777" w:rsidR="00C05C82" w:rsidRPr="00941E30" w:rsidRDefault="00C05C82">
            <w:pPr>
              <w:jc w:val="both"/>
              <w:rPr>
                <w:rFonts w:ascii="Times New Roman" w:hAnsi="Times New Roman"/>
                <w:b/>
              </w:rPr>
            </w:pPr>
            <w:r w:rsidRPr="00941E30">
              <w:rPr>
                <w:rFonts w:ascii="Times New Roman" w:hAnsi="Times New Roman"/>
                <w:b/>
                <w:bCs/>
              </w:rPr>
              <w:t xml:space="preserve"> 541 544</w:t>
            </w:r>
          </w:p>
        </w:tc>
        <w:tc>
          <w:tcPr>
            <w:tcW w:w="992" w:type="dxa"/>
            <w:shd w:val="clear" w:color="auto" w:fill="D9D9D9" w:themeFill="background1" w:themeFillShade="D9"/>
          </w:tcPr>
          <w:p w14:paraId="3BC6043A" w14:textId="77777777" w:rsidR="00C05C82" w:rsidRPr="00941E30" w:rsidRDefault="00C05C82">
            <w:pPr>
              <w:jc w:val="both"/>
              <w:rPr>
                <w:rFonts w:ascii="Times New Roman" w:hAnsi="Times New Roman"/>
                <w:b/>
              </w:rPr>
            </w:pPr>
            <w:r w:rsidRPr="00941E30">
              <w:rPr>
                <w:rFonts w:ascii="Times New Roman" w:hAnsi="Times New Roman"/>
                <w:b/>
                <w:bCs/>
              </w:rPr>
              <w:t xml:space="preserve"> 86 961</w:t>
            </w:r>
          </w:p>
        </w:tc>
        <w:tc>
          <w:tcPr>
            <w:tcW w:w="992" w:type="dxa"/>
            <w:shd w:val="clear" w:color="auto" w:fill="D9D9D9" w:themeFill="background1" w:themeFillShade="D9"/>
          </w:tcPr>
          <w:p w14:paraId="369D0880" w14:textId="77777777" w:rsidR="00C05C82" w:rsidRPr="00941E30" w:rsidRDefault="00C05C82">
            <w:pPr>
              <w:jc w:val="both"/>
              <w:rPr>
                <w:rFonts w:ascii="Times New Roman" w:hAnsi="Times New Roman"/>
                <w:b/>
              </w:rPr>
            </w:pPr>
            <w:r w:rsidRPr="00941E30">
              <w:rPr>
                <w:rFonts w:ascii="Times New Roman" w:hAnsi="Times New Roman"/>
                <w:b/>
                <w:bCs/>
              </w:rPr>
              <w:t>6</w:t>
            </w:r>
            <w:r w:rsidR="00B26FF5">
              <w:rPr>
                <w:rFonts w:ascii="Times New Roman" w:hAnsi="Times New Roman"/>
                <w:b/>
                <w:bCs/>
              </w:rPr>
              <w:t>.</w:t>
            </w:r>
            <w:r w:rsidRPr="00941E30">
              <w:rPr>
                <w:rFonts w:ascii="Times New Roman" w:hAnsi="Times New Roman"/>
                <w:b/>
                <w:bCs/>
              </w:rPr>
              <w:t>62%</w:t>
            </w:r>
          </w:p>
        </w:tc>
        <w:tc>
          <w:tcPr>
            <w:tcW w:w="993" w:type="dxa"/>
            <w:shd w:val="clear" w:color="auto" w:fill="D9D9D9" w:themeFill="background1" w:themeFillShade="D9"/>
          </w:tcPr>
          <w:p w14:paraId="415BF1C3" w14:textId="77777777" w:rsidR="00C05C82" w:rsidRPr="00941E30" w:rsidRDefault="00C05C82">
            <w:pPr>
              <w:jc w:val="both"/>
              <w:rPr>
                <w:rFonts w:ascii="Times New Roman" w:hAnsi="Times New Roman"/>
                <w:b/>
              </w:rPr>
            </w:pPr>
            <w:r w:rsidRPr="00941E30">
              <w:rPr>
                <w:rFonts w:ascii="Times New Roman" w:hAnsi="Times New Roman"/>
                <w:b/>
                <w:bCs/>
              </w:rPr>
              <w:t>1</w:t>
            </w:r>
            <w:r w:rsidR="00B26FF5">
              <w:rPr>
                <w:rFonts w:ascii="Times New Roman" w:hAnsi="Times New Roman"/>
                <w:b/>
                <w:bCs/>
              </w:rPr>
              <w:t>.</w:t>
            </w:r>
            <w:r w:rsidRPr="00941E30">
              <w:rPr>
                <w:rFonts w:ascii="Times New Roman" w:hAnsi="Times New Roman"/>
                <w:b/>
                <w:bCs/>
              </w:rPr>
              <w:t>06%</w:t>
            </w:r>
          </w:p>
        </w:tc>
      </w:tr>
    </w:tbl>
    <w:p w14:paraId="3A97581B" w14:textId="77777777" w:rsidR="00C05C82" w:rsidRPr="00085BAF" w:rsidRDefault="00C05C82" w:rsidP="00085BAF">
      <w:pPr>
        <w:jc w:val="both"/>
        <w:rPr>
          <w:rFonts w:ascii="Times New Roman" w:hAnsi="Times New Roman"/>
          <w:sz w:val="24"/>
          <w:szCs w:val="24"/>
        </w:rPr>
      </w:pPr>
    </w:p>
    <w:p w14:paraId="5B1BD927" w14:textId="77777777" w:rsidR="00C05C82" w:rsidRPr="0093633A" w:rsidRDefault="00B26FF5" w:rsidP="00941E30">
      <w:pPr>
        <w:spacing w:line="360" w:lineRule="auto"/>
        <w:jc w:val="both"/>
        <w:rPr>
          <w:rFonts w:ascii="Times New Roman" w:hAnsi="Times New Roman"/>
          <w:sz w:val="24"/>
          <w:szCs w:val="24"/>
        </w:rPr>
      </w:pPr>
      <w:r>
        <w:rPr>
          <w:rFonts w:ascii="Times New Roman" w:hAnsi="Times New Roman"/>
          <w:sz w:val="24"/>
          <w:szCs w:val="24"/>
        </w:rPr>
        <w:t>T</w:t>
      </w:r>
      <w:r w:rsidR="00C05C82" w:rsidRPr="0093633A">
        <w:rPr>
          <w:rFonts w:ascii="Times New Roman" w:hAnsi="Times New Roman"/>
          <w:sz w:val="24"/>
          <w:szCs w:val="24"/>
        </w:rPr>
        <w:t xml:space="preserve">he NHLS </w:t>
      </w:r>
      <w:r w:rsidR="003A46DA">
        <w:rPr>
          <w:rFonts w:ascii="Times New Roman" w:hAnsi="Times New Roman"/>
          <w:sz w:val="24"/>
          <w:szCs w:val="24"/>
        </w:rPr>
        <w:t>foresees increasing expenditure</w:t>
      </w:r>
      <w:r w:rsidR="00C05C82" w:rsidRPr="0093633A">
        <w:rPr>
          <w:rFonts w:ascii="Times New Roman" w:hAnsi="Times New Roman"/>
          <w:sz w:val="24"/>
          <w:szCs w:val="24"/>
        </w:rPr>
        <w:t xml:space="preserve"> on key sectors such as Compensation of Employees from R3.3 billion in 2017/18 to R3.8 billion in 2018/19. The other expenditure is noticed on Materials from R2.6 billion in 2017/18 to R2.8 billion in 2018/19. Goods and Services are also increasing from R1.5 billion to R1.7 billion in 2018/19. The projected expenses for 2018/19 increases from R7.4 billion in 2017/18 to R8.4 billion in 2018/19. Likewise, the projected surplus is to decrease from R709 million in 2017/18 to R236 million in 2018/19.</w:t>
      </w:r>
    </w:p>
    <w:p w14:paraId="566682BC" w14:textId="77777777" w:rsidR="00D9050C" w:rsidRDefault="00D9050C">
      <w:pPr>
        <w:jc w:val="both"/>
        <w:rPr>
          <w:rFonts w:ascii="Times New Roman" w:hAnsi="Times New Roman"/>
          <w:sz w:val="24"/>
          <w:szCs w:val="24"/>
        </w:rPr>
      </w:pPr>
    </w:p>
    <w:p w14:paraId="35B250C5" w14:textId="77777777" w:rsidR="00C05C82" w:rsidRPr="00740CF7" w:rsidRDefault="00B50DFE" w:rsidP="00941E30">
      <w:pPr>
        <w:pStyle w:val="ListParagraph"/>
        <w:numPr>
          <w:ilvl w:val="1"/>
          <w:numId w:val="90"/>
        </w:numPr>
        <w:shd w:val="clear" w:color="auto" w:fill="BFBFBF" w:themeFill="background1" w:themeFillShade="BF"/>
        <w:rPr>
          <w:rFonts w:ascii="Times New Roman" w:hAnsi="Times New Roman"/>
          <w:b/>
          <w:sz w:val="24"/>
        </w:rPr>
      </w:pPr>
      <w:r w:rsidRPr="00941E30">
        <w:rPr>
          <w:rFonts w:ascii="Times New Roman" w:hAnsi="Times New Roman"/>
          <w:b/>
          <w:sz w:val="24"/>
        </w:rPr>
        <w:t xml:space="preserve">Compensation Commissioner for Occupational Diseases </w:t>
      </w:r>
    </w:p>
    <w:p w14:paraId="14D173AE" w14:textId="77777777" w:rsidR="00B50DFE" w:rsidRDefault="00B50DFE" w:rsidP="00085BAF">
      <w:pPr>
        <w:jc w:val="both"/>
        <w:rPr>
          <w:rFonts w:ascii="Times New Roman" w:hAnsi="Times New Roman"/>
          <w:b/>
          <w:sz w:val="24"/>
          <w:szCs w:val="24"/>
        </w:rPr>
      </w:pPr>
    </w:p>
    <w:p w14:paraId="424F9315" w14:textId="77777777" w:rsidR="00C05C82" w:rsidRPr="0093633A" w:rsidRDefault="001414FE">
      <w:pPr>
        <w:jc w:val="both"/>
        <w:rPr>
          <w:rFonts w:ascii="Times New Roman" w:hAnsi="Times New Roman"/>
          <w:b/>
          <w:color w:val="000000"/>
          <w:sz w:val="24"/>
          <w:szCs w:val="24"/>
        </w:rPr>
      </w:pPr>
      <w:r w:rsidRPr="0093633A">
        <w:rPr>
          <w:rFonts w:ascii="Times New Roman" w:hAnsi="Times New Roman"/>
          <w:b/>
          <w:color w:val="000000"/>
          <w:sz w:val="24"/>
          <w:szCs w:val="24"/>
        </w:rPr>
        <w:t>Situation</w:t>
      </w:r>
      <w:r w:rsidR="006B5BC5">
        <w:rPr>
          <w:rFonts w:ascii="Times New Roman" w:hAnsi="Times New Roman"/>
          <w:b/>
          <w:color w:val="000000"/>
          <w:sz w:val="24"/>
          <w:szCs w:val="24"/>
        </w:rPr>
        <w:t>al</w:t>
      </w:r>
      <w:r w:rsidRPr="0093633A">
        <w:rPr>
          <w:rFonts w:ascii="Times New Roman" w:hAnsi="Times New Roman"/>
          <w:b/>
          <w:color w:val="000000"/>
          <w:sz w:val="24"/>
          <w:szCs w:val="24"/>
        </w:rPr>
        <w:t xml:space="preserve"> Analysis </w:t>
      </w:r>
    </w:p>
    <w:p w14:paraId="01CA614D" w14:textId="77777777" w:rsidR="00B50DFE" w:rsidRPr="00085BAF" w:rsidRDefault="00B50DFE">
      <w:pPr>
        <w:jc w:val="both"/>
        <w:rPr>
          <w:rFonts w:ascii="Times New Roman" w:hAnsi="Times New Roman"/>
          <w:b/>
          <w:color w:val="000000"/>
          <w:sz w:val="24"/>
          <w:szCs w:val="24"/>
        </w:rPr>
      </w:pPr>
    </w:p>
    <w:p w14:paraId="4C038430" w14:textId="77777777" w:rsidR="00E333B0" w:rsidRPr="0093633A" w:rsidRDefault="00E333B0" w:rsidP="00941E30">
      <w:pPr>
        <w:spacing w:line="360" w:lineRule="auto"/>
        <w:jc w:val="both"/>
        <w:rPr>
          <w:rFonts w:ascii="Times New Roman" w:hAnsi="Times New Roman"/>
          <w:sz w:val="24"/>
          <w:szCs w:val="24"/>
        </w:rPr>
      </w:pPr>
      <w:r w:rsidRPr="0093633A">
        <w:rPr>
          <w:rFonts w:ascii="Times New Roman" w:hAnsi="Times New Roman"/>
          <w:sz w:val="24"/>
          <w:szCs w:val="24"/>
        </w:rPr>
        <w:t>Below is information on the CCOD’s performance delivery environment:</w:t>
      </w:r>
    </w:p>
    <w:p w14:paraId="3DF30EA4" w14:textId="77777777" w:rsidR="00E333B0" w:rsidRPr="0093633A" w:rsidRDefault="00E333B0" w:rsidP="00941E30">
      <w:pPr>
        <w:pStyle w:val="Heading1"/>
        <w:numPr>
          <w:ilvl w:val="0"/>
          <w:numId w:val="23"/>
        </w:numPr>
        <w:spacing w:line="360" w:lineRule="auto"/>
        <w:ind w:left="714" w:hanging="357"/>
        <w:jc w:val="both"/>
        <w:rPr>
          <w:rFonts w:ascii="Times New Roman" w:hAnsi="Times New Roman" w:cs="Times New Roman"/>
          <w:b w:val="0"/>
          <w:sz w:val="24"/>
          <w:szCs w:val="24"/>
        </w:rPr>
      </w:pPr>
      <w:r w:rsidRPr="0093633A">
        <w:rPr>
          <w:rFonts w:ascii="Times New Roman" w:hAnsi="Times New Roman" w:cs="Times New Roman"/>
          <w:b w:val="0"/>
          <w:sz w:val="24"/>
          <w:szCs w:val="24"/>
        </w:rPr>
        <w:t xml:space="preserve">The Chamber of Mines and the Gold Mining Companies continues their support for the CCOD. This included, secondment of medical doctors to the Certification Committees of the MBOD; technical support for the preparation of the annual reports; personnel for the Carletonville One Stop Service Centre; funding for the electronic database of claimants; development of a logistics and coordinating centre; and tracking and tracing of claimants and beneficiaries. </w:t>
      </w:r>
    </w:p>
    <w:p w14:paraId="308574F5" w14:textId="77777777" w:rsidR="00E333B0" w:rsidRPr="0093633A" w:rsidRDefault="00E333B0" w:rsidP="00941E30">
      <w:pPr>
        <w:pStyle w:val="Heading1"/>
        <w:numPr>
          <w:ilvl w:val="0"/>
          <w:numId w:val="23"/>
        </w:numPr>
        <w:spacing w:line="360" w:lineRule="auto"/>
        <w:ind w:left="714" w:hanging="357"/>
        <w:jc w:val="both"/>
        <w:rPr>
          <w:rFonts w:ascii="Times New Roman" w:hAnsi="Times New Roman" w:cs="Times New Roman"/>
          <w:b w:val="0"/>
          <w:sz w:val="24"/>
          <w:szCs w:val="24"/>
        </w:rPr>
      </w:pPr>
      <w:r w:rsidRPr="0093633A">
        <w:rPr>
          <w:rFonts w:ascii="Times New Roman" w:hAnsi="Times New Roman" w:cs="Times New Roman"/>
          <w:b w:val="0"/>
          <w:sz w:val="24"/>
          <w:szCs w:val="24"/>
        </w:rPr>
        <w:t>Approximately R72 million in funding support was made available by social partners through the provision of technical and human resources to the CCOD.</w:t>
      </w:r>
    </w:p>
    <w:p w14:paraId="0AE4AA82"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There was a decrease in Benefit Medical Examinations in 2017/18 due to reduced number of service providers conducting assessments and consolidation of such services at One Stop Service Centres and at mining companies.</w:t>
      </w:r>
    </w:p>
    <w:p w14:paraId="016DE5FE"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Benefit Medical Examinations could not be provided at the MBOD due to X-ray equipment downtime.</w:t>
      </w:r>
    </w:p>
    <w:p w14:paraId="701CED8E"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There has been a decline in the Tuberculosis prevention interventions, due to the reduced number of submissions from workers with Tuberculosis and the reduced number of workers within the mining sector due to mine closures.</w:t>
      </w:r>
    </w:p>
    <w:p w14:paraId="20D247D7"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The annual reports for 2010/11 and 2011/12 were tabled in Parliament.</w:t>
      </w:r>
    </w:p>
    <w:p w14:paraId="3E1ACDA9"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A total of 7 197 claimants were paid R202 million, with 48% going to claimants in neighbouring countries, over the 9-month period ending in December 2017.</w:t>
      </w:r>
    </w:p>
    <w:p w14:paraId="25509BF8"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A total of 9 769 (15 388 ending December 2016) certifications, with 6 156 compensable, 2 779 non-compensable and 834 deferred claims as the end of December 2017. Reasons for deferrals were due to missing information in the complaint files.</w:t>
      </w:r>
    </w:p>
    <w:p w14:paraId="207C4F30" w14:textId="77777777" w:rsidR="00E333B0" w:rsidRPr="0093633A" w:rsidRDefault="00E333B0" w:rsidP="00941E30">
      <w:pPr>
        <w:pStyle w:val="Heading1"/>
        <w:numPr>
          <w:ilvl w:val="0"/>
          <w:numId w:val="23"/>
        </w:numPr>
        <w:spacing w:line="360" w:lineRule="auto"/>
        <w:ind w:left="714" w:hanging="357"/>
        <w:jc w:val="both"/>
        <w:rPr>
          <w:rFonts w:ascii="Times New Roman" w:hAnsi="Times New Roman" w:cs="Times New Roman"/>
          <w:b w:val="0"/>
          <w:sz w:val="24"/>
          <w:szCs w:val="24"/>
        </w:rPr>
      </w:pPr>
      <w:r w:rsidRPr="0093633A">
        <w:rPr>
          <w:rFonts w:ascii="Times New Roman" w:hAnsi="Times New Roman" w:cs="Times New Roman"/>
          <w:b w:val="0"/>
          <w:sz w:val="24"/>
          <w:szCs w:val="24"/>
        </w:rPr>
        <w:t>The Compensation Fund continued to pay monthly pensions to 79 pensioners. The monthly pensions are provided from voted funds.</w:t>
      </w:r>
    </w:p>
    <w:p w14:paraId="5BF6B2F6"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 xml:space="preserve">A web-based scanning process of the movement of claimant files is in place and is assisting with the location of files within the CCOD/MBOD. The call centre to support outreach and awareness activities of the CCOD fielded 56 258 calls, made 1 301 calls to workers and beneficiaries and sent 194 834 SMS’s as at the end of December 2017. </w:t>
      </w:r>
    </w:p>
    <w:p w14:paraId="223C6EFF"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 xml:space="preserve">A total of 1 342 and 1 457 current and ex-workers were seen at the Mthatha and Carletonville One Stop Service Centres respectively, as at the end of December 2017. Of these, 524 and 752 Benefit Medical Examination forms were submitted to the MBOD respectively. </w:t>
      </w:r>
    </w:p>
    <w:p w14:paraId="037AE822"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The One Stop Service Centres planned for Burgersfort in Limpopo and Kuruman in Northern Cape opened on 27 October 2017 and 5 December 2017 respectively. Seven similar facilities were opened in neighbouring countries through the Global Fund TB in Mining Sector Grant.</w:t>
      </w:r>
    </w:p>
    <w:p w14:paraId="1D281C5F"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 xml:space="preserve">At the end of the December 2017, there were 231 controlled mines and works in the register, with 21 closed mines or works. About 28% of controlled mines and works are not paying levies as they have requested a review of their status as a controlled entity or change in the levy based on the commodity (i.e. gold, platinum, diamond, etc.). </w:t>
      </w:r>
    </w:p>
    <w:p w14:paraId="26D52EF2"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 xml:space="preserve">Revenue generated from levies was R335 million in the 2016/17 financial year. The Deputy Commissioner with the support of inspectors has re-doubled their efforts in the collection of levies from non-paying controlled mines and works. In addition, a project was implemented to compile the register of controlled mines and works with reference to historical gazette notices. </w:t>
      </w:r>
    </w:p>
    <w:p w14:paraId="5B76C9DC" w14:textId="77777777" w:rsidR="00E333B0" w:rsidRPr="0093633A" w:rsidRDefault="00E333B0" w:rsidP="00941E30">
      <w:pPr>
        <w:numPr>
          <w:ilvl w:val="0"/>
          <w:numId w:val="23"/>
        </w:numPr>
        <w:spacing w:line="360" w:lineRule="auto"/>
        <w:jc w:val="both"/>
        <w:rPr>
          <w:rFonts w:ascii="Times New Roman" w:hAnsi="Times New Roman"/>
          <w:sz w:val="24"/>
          <w:szCs w:val="24"/>
        </w:rPr>
      </w:pPr>
      <w:r w:rsidRPr="0093633A">
        <w:rPr>
          <w:rFonts w:ascii="Times New Roman" w:hAnsi="Times New Roman"/>
          <w:sz w:val="24"/>
          <w:szCs w:val="24"/>
        </w:rPr>
        <w:t xml:space="preserve">Health inspectors (nine) funded by the Global Fund have assessed the TB programmes and health risks at 180 controlled mines and works as at the end of December 2017. The assessment shows that 97% of the controlled mines and works have TB screening programmes and that gold mines still account for the highest incidence of TB at 1 465/100 000 workers relative to other commodities. </w:t>
      </w:r>
    </w:p>
    <w:p w14:paraId="772AF5DA" w14:textId="77777777" w:rsidR="0064345E" w:rsidRDefault="0064345E" w:rsidP="009845AF">
      <w:pPr>
        <w:jc w:val="both"/>
        <w:rPr>
          <w:rFonts w:ascii="Times New Roman" w:hAnsi="Times New Roman"/>
          <w:sz w:val="24"/>
          <w:szCs w:val="24"/>
        </w:rPr>
      </w:pPr>
    </w:p>
    <w:p w14:paraId="4626B2D7" w14:textId="77777777" w:rsidR="00F948F4" w:rsidRPr="0093633A" w:rsidRDefault="00F948F4"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In terms of the organisational environment, the CCOD highlighted the following: </w:t>
      </w:r>
    </w:p>
    <w:p w14:paraId="55A7CBAE" w14:textId="77777777" w:rsidR="00F948F4" w:rsidRPr="0093633A" w:rsidRDefault="00F948F4" w:rsidP="00941E30">
      <w:pPr>
        <w:numPr>
          <w:ilvl w:val="0"/>
          <w:numId w:val="22"/>
        </w:numPr>
        <w:spacing w:line="360" w:lineRule="auto"/>
        <w:jc w:val="both"/>
        <w:rPr>
          <w:rFonts w:ascii="Times New Roman" w:hAnsi="Times New Roman"/>
          <w:sz w:val="24"/>
          <w:szCs w:val="24"/>
        </w:rPr>
      </w:pPr>
      <w:r w:rsidRPr="0093633A">
        <w:rPr>
          <w:rFonts w:ascii="Times New Roman" w:hAnsi="Times New Roman"/>
          <w:sz w:val="24"/>
          <w:szCs w:val="24"/>
        </w:rPr>
        <w:t xml:space="preserve">The Certification Committee have been fully functional for the 9 months to 31 December 2017.  </w:t>
      </w:r>
    </w:p>
    <w:p w14:paraId="213DA96E" w14:textId="77777777" w:rsidR="00F948F4" w:rsidRPr="0093633A" w:rsidRDefault="00F948F4" w:rsidP="00941E30">
      <w:pPr>
        <w:numPr>
          <w:ilvl w:val="0"/>
          <w:numId w:val="22"/>
        </w:numPr>
        <w:spacing w:line="360" w:lineRule="auto"/>
        <w:jc w:val="both"/>
        <w:rPr>
          <w:rFonts w:ascii="Times New Roman" w:hAnsi="Times New Roman"/>
          <w:sz w:val="24"/>
          <w:szCs w:val="24"/>
        </w:rPr>
      </w:pPr>
      <w:r w:rsidRPr="0093633A">
        <w:rPr>
          <w:rFonts w:ascii="Times New Roman" w:hAnsi="Times New Roman"/>
          <w:sz w:val="24"/>
          <w:szCs w:val="24"/>
        </w:rPr>
        <w:t>The skills base of the medical doctors in assessing BMEs have been upgraded, effective work flow procedure dealing with TB claims.</w:t>
      </w:r>
    </w:p>
    <w:p w14:paraId="5599A4EB" w14:textId="77777777" w:rsidR="00F948F4" w:rsidRPr="0093633A" w:rsidRDefault="00F948F4" w:rsidP="00941E30">
      <w:pPr>
        <w:numPr>
          <w:ilvl w:val="0"/>
          <w:numId w:val="22"/>
        </w:numPr>
        <w:spacing w:line="360" w:lineRule="auto"/>
        <w:jc w:val="both"/>
        <w:rPr>
          <w:rFonts w:ascii="Times New Roman" w:hAnsi="Times New Roman"/>
          <w:sz w:val="24"/>
          <w:szCs w:val="24"/>
        </w:rPr>
      </w:pPr>
      <w:r w:rsidRPr="0093633A">
        <w:rPr>
          <w:rFonts w:ascii="Times New Roman" w:hAnsi="Times New Roman"/>
          <w:sz w:val="24"/>
          <w:szCs w:val="24"/>
        </w:rPr>
        <w:t xml:space="preserve">The electronic database of workers requiring biographic and demographic information will be piloted with five (5) mining companies and extended to all controlled mines and works. </w:t>
      </w:r>
    </w:p>
    <w:p w14:paraId="0258C1E9" w14:textId="77777777" w:rsidR="00F948F4" w:rsidRDefault="00F948F4" w:rsidP="00941E30">
      <w:pPr>
        <w:numPr>
          <w:ilvl w:val="0"/>
          <w:numId w:val="22"/>
        </w:numPr>
        <w:spacing w:line="360" w:lineRule="auto"/>
        <w:jc w:val="both"/>
        <w:rPr>
          <w:rFonts w:ascii="Times New Roman" w:hAnsi="Times New Roman"/>
          <w:sz w:val="24"/>
          <w:szCs w:val="24"/>
        </w:rPr>
      </w:pPr>
      <w:r w:rsidRPr="0093633A">
        <w:rPr>
          <w:rFonts w:ascii="Times New Roman" w:hAnsi="Times New Roman"/>
          <w:sz w:val="24"/>
          <w:szCs w:val="24"/>
        </w:rPr>
        <w:t xml:space="preserve">Challenges: service delivery was adversely impacted through staff reductions at the CCOD/MBOD and equipment downtime. </w:t>
      </w:r>
    </w:p>
    <w:p w14:paraId="2213C8C2" w14:textId="77777777" w:rsidR="00A709B2" w:rsidRPr="00085BAF" w:rsidRDefault="00A709B2" w:rsidP="00941E30">
      <w:pPr>
        <w:ind w:left="360"/>
        <w:jc w:val="both"/>
        <w:rPr>
          <w:rFonts w:ascii="Times New Roman" w:hAnsi="Times New Roman"/>
          <w:sz w:val="24"/>
          <w:szCs w:val="24"/>
        </w:rPr>
      </w:pPr>
    </w:p>
    <w:p w14:paraId="6C098E65" w14:textId="77777777" w:rsidR="00F948F4" w:rsidRPr="0093633A" w:rsidRDefault="00F948F4" w:rsidP="00941E30">
      <w:pPr>
        <w:spacing w:line="360" w:lineRule="auto"/>
        <w:rPr>
          <w:rFonts w:ascii="Times New Roman" w:hAnsi="Times New Roman"/>
          <w:sz w:val="24"/>
          <w:szCs w:val="24"/>
        </w:rPr>
      </w:pPr>
      <w:r w:rsidRPr="0093633A">
        <w:rPr>
          <w:rFonts w:ascii="Times New Roman" w:hAnsi="Times New Roman"/>
          <w:sz w:val="24"/>
          <w:szCs w:val="24"/>
        </w:rPr>
        <w:t>The key focus areas for 2018/19 financial year are:</w:t>
      </w:r>
    </w:p>
    <w:p w14:paraId="45A8BA51" w14:textId="77777777" w:rsidR="00F948F4" w:rsidRPr="0093633A" w:rsidRDefault="00F948F4" w:rsidP="00941E30">
      <w:pPr>
        <w:numPr>
          <w:ilvl w:val="0"/>
          <w:numId w:val="68"/>
        </w:numPr>
        <w:spacing w:line="360" w:lineRule="auto"/>
        <w:ind w:left="720" w:hanging="274"/>
        <w:jc w:val="both"/>
        <w:rPr>
          <w:rFonts w:ascii="Times New Roman" w:hAnsi="Times New Roman"/>
          <w:sz w:val="24"/>
          <w:szCs w:val="24"/>
        </w:rPr>
      </w:pPr>
      <w:r w:rsidRPr="0093633A">
        <w:rPr>
          <w:rFonts w:ascii="Times New Roman" w:hAnsi="Times New Roman"/>
          <w:sz w:val="24"/>
          <w:szCs w:val="24"/>
        </w:rPr>
        <w:t>Submission of amendment on the Occupational Diseases in Mines and Works Act, 1973;</w:t>
      </w:r>
    </w:p>
    <w:p w14:paraId="7500988E" w14:textId="77777777" w:rsidR="00F948F4" w:rsidRPr="0093633A" w:rsidRDefault="00F948F4" w:rsidP="00941E30">
      <w:pPr>
        <w:numPr>
          <w:ilvl w:val="0"/>
          <w:numId w:val="68"/>
        </w:numPr>
        <w:spacing w:line="360" w:lineRule="auto"/>
        <w:ind w:left="720" w:hanging="274"/>
        <w:jc w:val="both"/>
        <w:rPr>
          <w:rFonts w:ascii="Times New Roman" w:hAnsi="Times New Roman"/>
          <w:sz w:val="24"/>
          <w:szCs w:val="24"/>
        </w:rPr>
      </w:pPr>
      <w:r w:rsidRPr="0093633A">
        <w:rPr>
          <w:rFonts w:ascii="Times New Roman" w:hAnsi="Times New Roman"/>
          <w:sz w:val="24"/>
          <w:szCs w:val="24"/>
        </w:rPr>
        <w:t>Utilize decentralised facilities in provinces and neighbouring countries to increase access to workers, ex-workers and their beneficiaries to services of the CCOD/MBOD;</w:t>
      </w:r>
    </w:p>
    <w:p w14:paraId="32E96557" w14:textId="77777777" w:rsidR="00F948F4" w:rsidRPr="0093633A" w:rsidRDefault="00F948F4" w:rsidP="00941E30">
      <w:pPr>
        <w:numPr>
          <w:ilvl w:val="0"/>
          <w:numId w:val="68"/>
        </w:numPr>
        <w:spacing w:line="360" w:lineRule="auto"/>
        <w:ind w:left="720" w:hanging="274"/>
        <w:jc w:val="both"/>
        <w:rPr>
          <w:rFonts w:ascii="Times New Roman" w:hAnsi="Times New Roman"/>
          <w:sz w:val="24"/>
          <w:szCs w:val="24"/>
        </w:rPr>
      </w:pPr>
      <w:r w:rsidRPr="0093633A">
        <w:rPr>
          <w:rFonts w:ascii="Times New Roman" w:hAnsi="Times New Roman"/>
          <w:sz w:val="24"/>
          <w:szCs w:val="24"/>
        </w:rPr>
        <w:t xml:space="preserve">Update the liability and assets of the Compensation Fund through use of the actuaries; and </w:t>
      </w:r>
    </w:p>
    <w:p w14:paraId="3EE187DB" w14:textId="77777777" w:rsidR="00F948F4" w:rsidRPr="0093633A" w:rsidRDefault="00F948F4" w:rsidP="00941E30">
      <w:pPr>
        <w:numPr>
          <w:ilvl w:val="0"/>
          <w:numId w:val="68"/>
        </w:numPr>
        <w:spacing w:line="360" w:lineRule="auto"/>
        <w:ind w:left="720" w:hanging="274"/>
        <w:jc w:val="both"/>
        <w:rPr>
          <w:rFonts w:ascii="Times New Roman" w:hAnsi="Times New Roman"/>
          <w:sz w:val="24"/>
          <w:szCs w:val="24"/>
        </w:rPr>
      </w:pPr>
      <w:r w:rsidRPr="0093633A">
        <w:rPr>
          <w:rFonts w:ascii="Times New Roman" w:hAnsi="Times New Roman"/>
          <w:sz w:val="24"/>
          <w:szCs w:val="24"/>
        </w:rPr>
        <w:t>Submission of overdue annual reports of the Compensation Fund for 2014/15 and 2015/16 financial years.</w:t>
      </w:r>
    </w:p>
    <w:p w14:paraId="6D25C0CF" w14:textId="77777777" w:rsidR="0064345E" w:rsidRDefault="0064345E" w:rsidP="00941E30">
      <w:pPr>
        <w:spacing w:line="360" w:lineRule="auto"/>
        <w:jc w:val="both"/>
        <w:rPr>
          <w:rFonts w:ascii="Times New Roman" w:hAnsi="Times New Roman"/>
          <w:b/>
          <w:sz w:val="24"/>
          <w:szCs w:val="24"/>
        </w:rPr>
      </w:pPr>
    </w:p>
    <w:p w14:paraId="5C62C6C0" w14:textId="77777777" w:rsidR="00F948F4" w:rsidRPr="0093633A" w:rsidRDefault="00B26FF5" w:rsidP="00941E30">
      <w:pPr>
        <w:spacing w:line="360" w:lineRule="auto"/>
        <w:jc w:val="both"/>
        <w:rPr>
          <w:rFonts w:ascii="Times New Roman" w:hAnsi="Times New Roman"/>
          <w:b/>
          <w:sz w:val="24"/>
          <w:szCs w:val="24"/>
        </w:rPr>
      </w:pPr>
      <w:r>
        <w:rPr>
          <w:rFonts w:ascii="Times New Roman" w:hAnsi="Times New Roman"/>
          <w:b/>
          <w:sz w:val="24"/>
          <w:szCs w:val="24"/>
        </w:rPr>
        <w:t>Annual Performance Indicators</w:t>
      </w:r>
      <w:r w:rsidR="00F948F4" w:rsidRPr="0093633A">
        <w:rPr>
          <w:rFonts w:ascii="Times New Roman" w:hAnsi="Times New Roman"/>
          <w:b/>
          <w:sz w:val="24"/>
          <w:szCs w:val="24"/>
        </w:rPr>
        <w:t xml:space="preserve"> for 2018/19</w:t>
      </w:r>
    </w:p>
    <w:p w14:paraId="546F8FD6" w14:textId="77777777" w:rsidR="009975F0" w:rsidRPr="0093633A" w:rsidRDefault="009975F0" w:rsidP="00941E30">
      <w:pPr>
        <w:jc w:val="both"/>
        <w:rPr>
          <w:rFonts w:ascii="Times New Roman" w:hAnsi="Times New Roman"/>
          <w:b/>
          <w:sz w:val="24"/>
          <w:szCs w:val="24"/>
        </w:rPr>
      </w:pPr>
    </w:p>
    <w:p w14:paraId="56EDE7A5" w14:textId="77777777" w:rsidR="001651CD" w:rsidRPr="0093633A" w:rsidRDefault="001651CD"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 CCOD has nine strategic objectives. These link with the outputs of the Health Sector’s outcome 2 “A long and healthy life for all South Africans”. </w:t>
      </w:r>
      <w:r w:rsidR="0086606E">
        <w:rPr>
          <w:rFonts w:ascii="Times New Roman" w:hAnsi="Times New Roman"/>
          <w:sz w:val="24"/>
          <w:szCs w:val="24"/>
        </w:rPr>
        <w:t>T</w:t>
      </w:r>
      <w:r w:rsidRPr="0093633A">
        <w:rPr>
          <w:rFonts w:ascii="Times New Roman" w:hAnsi="Times New Roman"/>
          <w:sz w:val="24"/>
          <w:szCs w:val="24"/>
        </w:rPr>
        <w:t>able</w:t>
      </w:r>
      <w:r w:rsidR="0086606E">
        <w:rPr>
          <w:rFonts w:ascii="Times New Roman" w:hAnsi="Times New Roman"/>
          <w:sz w:val="24"/>
          <w:szCs w:val="24"/>
        </w:rPr>
        <w:t xml:space="preserve"> </w:t>
      </w:r>
      <w:r w:rsidR="00A84399">
        <w:rPr>
          <w:rFonts w:ascii="Times New Roman" w:hAnsi="Times New Roman"/>
          <w:sz w:val="24"/>
          <w:szCs w:val="24"/>
        </w:rPr>
        <w:t>23</w:t>
      </w:r>
      <w:r w:rsidR="00A84399" w:rsidRPr="0093633A">
        <w:rPr>
          <w:rFonts w:ascii="Times New Roman" w:hAnsi="Times New Roman"/>
          <w:sz w:val="24"/>
          <w:szCs w:val="24"/>
        </w:rPr>
        <w:t xml:space="preserve"> </w:t>
      </w:r>
      <w:r w:rsidRPr="0093633A">
        <w:rPr>
          <w:rFonts w:ascii="Times New Roman" w:hAnsi="Times New Roman"/>
          <w:sz w:val="24"/>
          <w:szCs w:val="24"/>
        </w:rPr>
        <w:t xml:space="preserve">below </w:t>
      </w:r>
      <w:r w:rsidR="00B26FF5">
        <w:rPr>
          <w:rFonts w:ascii="Times New Roman" w:hAnsi="Times New Roman"/>
          <w:sz w:val="24"/>
          <w:szCs w:val="24"/>
        </w:rPr>
        <w:t xml:space="preserve">outlines </w:t>
      </w:r>
      <w:r w:rsidRPr="0093633A">
        <w:rPr>
          <w:rFonts w:ascii="Times New Roman" w:hAnsi="Times New Roman"/>
          <w:sz w:val="24"/>
          <w:szCs w:val="24"/>
        </w:rPr>
        <w:t xml:space="preserve">the strategic objectives and respective performance indicators and targets set for 2018/19. </w:t>
      </w:r>
    </w:p>
    <w:p w14:paraId="7FDC9C26" w14:textId="77777777" w:rsidR="001651CD" w:rsidRPr="0093633A" w:rsidRDefault="001651CD" w:rsidP="00941E30">
      <w:pPr>
        <w:jc w:val="both"/>
        <w:rPr>
          <w:rFonts w:ascii="Times New Roman" w:hAnsi="Times New Roman"/>
          <w:sz w:val="24"/>
          <w:szCs w:val="24"/>
          <w:highlight w:val="yellow"/>
        </w:rPr>
      </w:pPr>
    </w:p>
    <w:p w14:paraId="4D5F5DA2" w14:textId="77777777" w:rsidR="001651CD" w:rsidRPr="00085BAF" w:rsidRDefault="001651CD" w:rsidP="00941E30">
      <w:pPr>
        <w:spacing w:after="120"/>
        <w:jc w:val="both"/>
        <w:rPr>
          <w:rFonts w:ascii="Times New Roman" w:hAnsi="Times New Roman"/>
          <w:b/>
          <w:sz w:val="24"/>
          <w:szCs w:val="24"/>
        </w:rPr>
      </w:pPr>
      <w:r w:rsidRPr="00941E30">
        <w:rPr>
          <w:rFonts w:ascii="Times New Roman" w:hAnsi="Times New Roman"/>
          <w:b/>
          <w:sz w:val="22"/>
          <w:szCs w:val="24"/>
        </w:rPr>
        <w:t xml:space="preserve">Table </w:t>
      </w:r>
      <w:r w:rsidR="00A84399" w:rsidRPr="00941E30">
        <w:rPr>
          <w:rFonts w:ascii="Times New Roman" w:hAnsi="Times New Roman"/>
          <w:b/>
          <w:sz w:val="22"/>
          <w:szCs w:val="24"/>
        </w:rPr>
        <w:t>2</w:t>
      </w:r>
      <w:r w:rsidR="00A84399">
        <w:rPr>
          <w:rFonts w:ascii="Times New Roman" w:hAnsi="Times New Roman"/>
          <w:b/>
          <w:sz w:val="22"/>
          <w:szCs w:val="24"/>
        </w:rPr>
        <w:t>3</w:t>
      </w:r>
      <w:r w:rsidRPr="00941E30">
        <w:rPr>
          <w:rFonts w:ascii="Times New Roman" w:hAnsi="Times New Roman"/>
          <w:b/>
          <w:sz w:val="22"/>
          <w:szCs w:val="24"/>
        </w:rPr>
        <w:t>: CCOD’s Strategic Objectives and Targets for 2018/19</w:t>
      </w:r>
      <w:r w:rsidRPr="00085BAF">
        <w:rPr>
          <w:rFonts w:ascii="Times New Roman" w:hAnsi="Times New Roman"/>
          <w:b/>
          <w:sz w:val="24"/>
          <w:szCs w:val="24"/>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536"/>
        <w:gridCol w:w="3034"/>
      </w:tblGrid>
      <w:tr w:rsidR="001651CD" w:rsidRPr="0093633A" w14:paraId="124DD511" w14:textId="77777777" w:rsidTr="00E27877">
        <w:tc>
          <w:tcPr>
            <w:tcW w:w="2808" w:type="dxa"/>
            <w:shd w:val="clear" w:color="auto" w:fill="DEEAF6"/>
          </w:tcPr>
          <w:p w14:paraId="5E97E531" w14:textId="77777777" w:rsidR="001651CD" w:rsidRPr="00941E30" w:rsidRDefault="00B26FF5" w:rsidP="00941E30">
            <w:pPr>
              <w:jc w:val="both"/>
              <w:rPr>
                <w:rFonts w:ascii="Times New Roman" w:hAnsi="Times New Roman"/>
                <w:b/>
                <w:sz w:val="20"/>
                <w:szCs w:val="20"/>
              </w:rPr>
            </w:pPr>
            <w:r w:rsidRPr="0093633A">
              <w:rPr>
                <w:rFonts w:ascii="Times New Roman" w:hAnsi="Times New Roman"/>
                <w:b/>
                <w:sz w:val="20"/>
                <w:szCs w:val="20"/>
              </w:rPr>
              <w:t>Strategic objectives</w:t>
            </w:r>
          </w:p>
        </w:tc>
        <w:tc>
          <w:tcPr>
            <w:tcW w:w="3536" w:type="dxa"/>
            <w:shd w:val="clear" w:color="auto" w:fill="DEEAF6"/>
          </w:tcPr>
          <w:p w14:paraId="044084BC" w14:textId="77777777" w:rsidR="001651CD" w:rsidRPr="00941E30" w:rsidRDefault="00B26FF5" w:rsidP="00941E30">
            <w:pPr>
              <w:jc w:val="both"/>
              <w:rPr>
                <w:rFonts w:ascii="Times New Roman" w:hAnsi="Times New Roman"/>
                <w:b/>
                <w:sz w:val="20"/>
                <w:szCs w:val="20"/>
              </w:rPr>
            </w:pPr>
            <w:r w:rsidRPr="0093633A">
              <w:rPr>
                <w:rFonts w:ascii="Times New Roman" w:hAnsi="Times New Roman"/>
                <w:b/>
                <w:sz w:val="20"/>
                <w:szCs w:val="20"/>
              </w:rPr>
              <w:t>Performance indicators</w:t>
            </w:r>
          </w:p>
        </w:tc>
        <w:tc>
          <w:tcPr>
            <w:tcW w:w="3034" w:type="dxa"/>
            <w:shd w:val="clear" w:color="auto" w:fill="DEEAF6"/>
          </w:tcPr>
          <w:p w14:paraId="3A30E468" w14:textId="77777777" w:rsidR="001651CD" w:rsidRPr="00941E30" w:rsidRDefault="00B26FF5" w:rsidP="00941E30">
            <w:pPr>
              <w:jc w:val="both"/>
              <w:rPr>
                <w:rFonts w:ascii="Times New Roman" w:hAnsi="Times New Roman"/>
                <w:b/>
                <w:sz w:val="20"/>
                <w:szCs w:val="20"/>
              </w:rPr>
            </w:pPr>
            <w:r w:rsidRPr="0093633A">
              <w:rPr>
                <w:rFonts w:ascii="Times New Roman" w:hAnsi="Times New Roman"/>
                <w:b/>
                <w:sz w:val="20"/>
                <w:szCs w:val="20"/>
              </w:rPr>
              <w:t>2018/19</w:t>
            </w:r>
          </w:p>
          <w:p w14:paraId="00B747E5" w14:textId="77777777" w:rsidR="001651CD" w:rsidRPr="00941E30" w:rsidRDefault="00B26FF5" w:rsidP="00941E30">
            <w:pPr>
              <w:jc w:val="both"/>
              <w:rPr>
                <w:rFonts w:ascii="Times New Roman" w:hAnsi="Times New Roman"/>
                <w:b/>
                <w:sz w:val="20"/>
                <w:szCs w:val="20"/>
              </w:rPr>
            </w:pPr>
            <w:r w:rsidRPr="0093633A">
              <w:rPr>
                <w:rFonts w:ascii="Times New Roman" w:hAnsi="Times New Roman"/>
                <w:b/>
                <w:sz w:val="20"/>
                <w:szCs w:val="20"/>
              </w:rPr>
              <w:t>Targets</w:t>
            </w:r>
          </w:p>
        </w:tc>
      </w:tr>
      <w:tr w:rsidR="001651CD" w:rsidRPr="0093633A" w14:paraId="2FBF2706" w14:textId="77777777" w:rsidTr="009E5567">
        <w:trPr>
          <w:trHeight w:val="935"/>
        </w:trPr>
        <w:tc>
          <w:tcPr>
            <w:tcW w:w="2808" w:type="dxa"/>
            <w:shd w:val="clear" w:color="auto" w:fill="auto"/>
          </w:tcPr>
          <w:p w14:paraId="4EF39B7B" w14:textId="77777777" w:rsidR="001651CD" w:rsidRPr="00941E30" w:rsidRDefault="001651CD" w:rsidP="00941E30">
            <w:pPr>
              <w:rPr>
                <w:rFonts w:ascii="Times New Roman" w:hAnsi="Times New Roman"/>
                <w:sz w:val="20"/>
                <w:szCs w:val="20"/>
              </w:rPr>
            </w:pPr>
            <w:r w:rsidRPr="00941E30">
              <w:rPr>
                <w:rFonts w:ascii="Times New Roman" w:hAnsi="Times New Roman"/>
                <w:sz w:val="20"/>
                <w:szCs w:val="20"/>
              </w:rPr>
              <w:t>Policy and legislative framework for occupational health and compensation</w:t>
            </w:r>
          </w:p>
        </w:tc>
        <w:tc>
          <w:tcPr>
            <w:tcW w:w="3536" w:type="dxa"/>
            <w:shd w:val="clear" w:color="auto" w:fill="auto"/>
          </w:tcPr>
          <w:p w14:paraId="72A0ACC3"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Development of the policy and legislative framework for occupational health and compensation covering amendments to ODMWA</w:t>
            </w:r>
          </w:p>
        </w:tc>
        <w:tc>
          <w:tcPr>
            <w:tcW w:w="3034" w:type="dxa"/>
            <w:shd w:val="clear" w:color="auto" w:fill="auto"/>
          </w:tcPr>
          <w:p w14:paraId="1910ACBA"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Submission of amendments to ODMWA</w:t>
            </w:r>
          </w:p>
        </w:tc>
      </w:tr>
      <w:tr w:rsidR="001651CD" w:rsidRPr="0093633A" w14:paraId="2645552D" w14:textId="77777777" w:rsidTr="009E5567">
        <w:trPr>
          <w:trHeight w:val="917"/>
        </w:trPr>
        <w:tc>
          <w:tcPr>
            <w:tcW w:w="2808" w:type="dxa"/>
            <w:shd w:val="clear" w:color="auto" w:fill="auto"/>
          </w:tcPr>
          <w:p w14:paraId="5348E7A5" w14:textId="77777777" w:rsidR="001651CD" w:rsidRPr="00941E30" w:rsidRDefault="001651CD" w:rsidP="00941E30">
            <w:pPr>
              <w:rPr>
                <w:rFonts w:ascii="Times New Roman" w:hAnsi="Times New Roman"/>
                <w:sz w:val="20"/>
                <w:szCs w:val="20"/>
              </w:rPr>
            </w:pPr>
            <w:r w:rsidRPr="00941E30">
              <w:rPr>
                <w:rFonts w:ascii="Times New Roman" w:hAnsi="Times New Roman"/>
                <w:sz w:val="20"/>
                <w:szCs w:val="20"/>
              </w:rPr>
              <w:t>Enhance the  governance and management of the CCOD</w:t>
            </w:r>
          </w:p>
        </w:tc>
        <w:tc>
          <w:tcPr>
            <w:tcW w:w="3536" w:type="dxa"/>
            <w:shd w:val="clear" w:color="auto" w:fill="auto"/>
          </w:tcPr>
          <w:p w14:paraId="2EEB964F"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Number of meetings of the Audit and Risk Committee and the Advisory Committee</w:t>
            </w:r>
          </w:p>
        </w:tc>
        <w:tc>
          <w:tcPr>
            <w:tcW w:w="3034" w:type="dxa"/>
            <w:shd w:val="clear" w:color="auto" w:fill="auto"/>
          </w:tcPr>
          <w:p w14:paraId="1EF227B9" w14:textId="77777777" w:rsidR="001651CD" w:rsidRPr="00941E30" w:rsidRDefault="001651CD" w:rsidP="009E5567">
            <w:pPr>
              <w:rPr>
                <w:rFonts w:ascii="Times New Roman" w:hAnsi="Times New Roman"/>
                <w:sz w:val="20"/>
                <w:szCs w:val="20"/>
              </w:rPr>
            </w:pPr>
            <w:r w:rsidRPr="00941E30">
              <w:rPr>
                <w:rFonts w:ascii="Times New Roman" w:hAnsi="Times New Roman"/>
                <w:sz w:val="20"/>
                <w:szCs w:val="20"/>
              </w:rPr>
              <w:t>6 meetings</w:t>
            </w:r>
            <w:r w:rsidR="009E5567">
              <w:rPr>
                <w:rFonts w:ascii="Times New Roman" w:hAnsi="Times New Roman"/>
                <w:sz w:val="20"/>
                <w:szCs w:val="20"/>
              </w:rPr>
              <w:t xml:space="preserve"> of Audit and Risk Committee </w:t>
            </w:r>
          </w:p>
          <w:p w14:paraId="4AEAA193" w14:textId="77777777" w:rsidR="001651CD" w:rsidRPr="00941E30" w:rsidRDefault="001651CD" w:rsidP="009E5567">
            <w:pPr>
              <w:rPr>
                <w:rFonts w:ascii="Times New Roman" w:hAnsi="Times New Roman"/>
                <w:sz w:val="20"/>
                <w:szCs w:val="20"/>
              </w:rPr>
            </w:pPr>
            <w:r w:rsidRPr="00941E30">
              <w:rPr>
                <w:rFonts w:ascii="Times New Roman" w:hAnsi="Times New Roman"/>
                <w:sz w:val="20"/>
                <w:szCs w:val="20"/>
              </w:rPr>
              <w:t>4 meetings of Advisory Committee</w:t>
            </w:r>
          </w:p>
        </w:tc>
      </w:tr>
      <w:tr w:rsidR="001651CD" w:rsidRPr="0093633A" w14:paraId="5C9B65BD" w14:textId="77777777" w:rsidTr="00E27877">
        <w:tc>
          <w:tcPr>
            <w:tcW w:w="2808" w:type="dxa"/>
            <w:vMerge w:val="restart"/>
            <w:shd w:val="clear" w:color="auto" w:fill="auto"/>
          </w:tcPr>
          <w:p w14:paraId="4CE171D8" w14:textId="77777777" w:rsidR="001651CD" w:rsidRPr="00941E30" w:rsidRDefault="001651CD" w:rsidP="00941E30">
            <w:pPr>
              <w:rPr>
                <w:rFonts w:ascii="Times New Roman" w:hAnsi="Times New Roman"/>
                <w:sz w:val="20"/>
                <w:szCs w:val="20"/>
              </w:rPr>
            </w:pPr>
            <w:r w:rsidRPr="00941E30">
              <w:rPr>
                <w:rFonts w:ascii="Times New Roman" w:hAnsi="Times New Roman"/>
                <w:sz w:val="20"/>
                <w:szCs w:val="20"/>
              </w:rPr>
              <w:t>Provide occupational health and compensation services through the establishment of One Stop Service Centres in provinces and neighbouring countries</w:t>
            </w:r>
          </w:p>
        </w:tc>
        <w:tc>
          <w:tcPr>
            <w:tcW w:w="3536" w:type="dxa"/>
            <w:shd w:val="clear" w:color="auto" w:fill="auto"/>
          </w:tcPr>
          <w:p w14:paraId="7FD944C8"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Development of the database of current and ex-workers in controlled mines and works</w:t>
            </w:r>
          </w:p>
        </w:tc>
        <w:tc>
          <w:tcPr>
            <w:tcW w:w="3034" w:type="dxa"/>
            <w:shd w:val="clear" w:color="auto" w:fill="auto"/>
          </w:tcPr>
          <w:p w14:paraId="4D309A47"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Extension of database to five mining companies</w:t>
            </w:r>
          </w:p>
        </w:tc>
      </w:tr>
      <w:tr w:rsidR="001651CD" w:rsidRPr="0093633A" w14:paraId="4F75933F" w14:textId="77777777" w:rsidTr="00E27877">
        <w:tc>
          <w:tcPr>
            <w:tcW w:w="2808" w:type="dxa"/>
            <w:vMerge/>
            <w:shd w:val="clear" w:color="auto" w:fill="auto"/>
          </w:tcPr>
          <w:p w14:paraId="509AFC98" w14:textId="77777777" w:rsidR="001651CD" w:rsidRPr="00941E30" w:rsidRDefault="001651CD" w:rsidP="00941E30">
            <w:pPr>
              <w:rPr>
                <w:rFonts w:ascii="Times New Roman" w:hAnsi="Times New Roman"/>
                <w:sz w:val="20"/>
                <w:szCs w:val="20"/>
              </w:rPr>
            </w:pPr>
          </w:p>
        </w:tc>
        <w:tc>
          <w:tcPr>
            <w:tcW w:w="3536" w:type="dxa"/>
            <w:shd w:val="clear" w:color="auto" w:fill="auto"/>
          </w:tcPr>
          <w:p w14:paraId="64D93380"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 of unpaid compensable claims prior to 31 March 2015 paid by the CCOD</w:t>
            </w:r>
          </w:p>
        </w:tc>
        <w:tc>
          <w:tcPr>
            <w:tcW w:w="3034" w:type="dxa"/>
            <w:shd w:val="clear" w:color="auto" w:fill="auto"/>
          </w:tcPr>
          <w:p w14:paraId="7B999EFF"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5% of unpaid compensable claims prior to 21 March 2015 paid by the CCOD</w:t>
            </w:r>
          </w:p>
        </w:tc>
      </w:tr>
      <w:tr w:rsidR="001651CD" w:rsidRPr="0093633A" w14:paraId="32BA3BF0" w14:textId="77777777" w:rsidTr="00E27877">
        <w:tc>
          <w:tcPr>
            <w:tcW w:w="2808" w:type="dxa"/>
            <w:vMerge/>
            <w:shd w:val="clear" w:color="auto" w:fill="auto"/>
          </w:tcPr>
          <w:p w14:paraId="6C9EC667" w14:textId="77777777" w:rsidR="001651CD" w:rsidRPr="00941E30" w:rsidRDefault="001651CD" w:rsidP="00941E30">
            <w:pPr>
              <w:rPr>
                <w:rFonts w:ascii="Times New Roman" w:hAnsi="Times New Roman"/>
                <w:sz w:val="20"/>
                <w:szCs w:val="20"/>
              </w:rPr>
            </w:pPr>
          </w:p>
        </w:tc>
        <w:tc>
          <w:tcPr>
            <w:tcW w:w="3536" w:type="dxa"/>
            <w:shd w:val="clear" w:color="auto" w:fill="auto"/>
          </w:tcPr>
          <w:p w14:paraId="222E5A8D"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 of new compensable disease claims, as from 1 April 2018 paid by the CCOD within 3 months of receipt of compensated document in the claimant file</w:t>
            </w:r>
          </w:p>
        </w:tc>
        <w:tc>
          <w:tcPr>
            <w:tcW w:w="3034" w:type="dxa"/>
            <w:shd w:val="clear" w:color="auto" w:fill="auto"/>
          </w:tcPr>
          <w:p w14:paraId="675493E2"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20% of new compensable disease claims paid by the CCOD within 3 months of receipt of completed documents in the claimant file</w:t>
            </w:r>
          </w:p>
        </w:tc>
      </w:tr>
      <w:tr w:rsidR="001651CD" w:rsidRPr="0093633A" w14:paraId="60801C40" w14:textId="77777777" w:rsidTr="00E27877">
        <w:tc>
          <w:tcPr>
            <w:tcW w:w="2808" w:type="dxa"/>
            <w:vMerge w:val="restart"/>
            <w:shd w:val="clear" w:color="auto" w:fill="auto"/>
          </w:tcPr>
          <w:p w14:paraId="2D9A432D" w14:textId="77777777" w:rsidR="001651CD" w:rsidRPr="00941E30" w:rsidRDefault="001651CD" w:rsidP="00941E30">
            <w:pPr>
              <w:rPr>
                <w:rFonts w:ascii="Times New Roman" w:hAnsi="Times New Roman"/>
                <w:sz w:val="20"/>
                <w:szCs w:val="20"/>
              </w:rPr>
            </w:pPr>
            <w:r w:rsidRPr="00941E30">
              <w:rPr>
                <w:rFonts w:ascii="Times New Roman" w:hAnsi="Times New Roman"/>
                <w:sz w:val="20"/>
                <w:szCs w:val="20"/>
              </w:rPr>
              <w:t>Ensure the effective and efficient management of the Compensation Fund</w:t>
            </w:r>
          </w:p>
        </w:tc>
        <w:tc>
          <w:tcPr>
            <w:tcW w:w="3536" w:type="dxa"/>
            <w:shd w:val="clear" w:color="auto" w:fill="auto"/>
          </w:tcPr>
          <w:p w14:paraId="120FD8C9"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 of controlled mines and works paying levies to the Compensation Fund</w:t>
            </w:r>
          </w:p>
        </w:tc>
        <w:tc>
          <w:tcPr>
            <w:tcW w:w="3034" w:type="dxa"/>
            <w:shd w:val="clear" w:color="auto" w:fill="auto"/>
          </w:tcPr>
          <w:p w14:paraId="04FC5CC8"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75% of controlled mines and works paying levies to the Compensation Fund</w:t>
            </w:r>
          </w:p>
        </w:tc>
      </w:tr>
      <w:tr w:rsidR="001651CD" w:rsidRPr="0093633A" w14:paraId="246BF5C1" w14:textId="77777777" w:rsidTr="009E5567">
        <w:trPr>
          <w:trHeight w:val="512"/>
        </w:trPr>
        <w:tc>
          <w:tcPr>
            <w:tcW w:w="2808" w:type="dxa"/>
            <w:vMerge/>
            <w:shd w:val="clear" w:color="auto" w:fill="auto"/>
          </w:tcPr>
          <w:p w14:paraId="2DC8BAE9"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08B7598F"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Report of the Actuarial Valuation of the Compensation Fund</w:t>
            </w:r>
          </w:p>
        </w:tc>
        <w:tc>
          <w:tcPr>
            <w:tcW w:w="3034" w:type="dxa"/>
            <w:shd w:val="clear" w:color="auto" w:fill="auto"/>
          </w:tcPr>
          <w:p w14:paraId="7CF37F6A"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1 Actuarial Valuation Report of the Compensation Fund</w:t>
            </w:r>
          </w:p>
        </w:tc>
      </w:tr>
      <w:tr w:rsidR="001651CD" w:rsidRPr="0093633A" w14:paraId="7756A117" w14:textId="77777777" w:rsidTr="00E27877">
        <w:tc>
          <w:tcPr>
            <w:tcW w:w="2808" w:type="dxa"/>
            <w:vMerge/>
            <w:shd w:val="clear" w:color="auto" w:fill="auto"/>
          </w:tcPr>
          <w:p w14:paraId="5CBFA47C"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3F160BCE"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Number of annual reports including financial statements to the Auditor General of South Africa (AGSA)</w:t>
            </w:r>
          </w:p>
        </w:tc>
        <w:tc>
          <w:tcPr>
            <w:tcW w:w="3034" w:type="dxa"/>
            <w:shd w:val="clear" w:color="auto" w:fill="auto"/>
          </w:tcPr>
          <w:p w14:paraId="4BCFA0BF"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Submission of the 2014/15 and 2015/16 annual reports to the AGSA</w:t>
            </w:r>
          </w:p>
        </w:tc>
      </w:tr>
      <w:tr w:rsidR="001651CD" w:rsidRPr="0093633A" w14:paraId="05B82915" w14:textId="77777777" w:rsidTr="00E27877">
        <w:tc>
          <w:tcPr>
            <w:tcW w:w="2808" w:type="dxa"/>
            <w:vMerge/>
            <w:shd w:val="clear" w:color="auto" w:fill="auto"/>
          </w:tcPr>
          <w:p w14:paraId="516EEA2A"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271A1C02"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Number of current and ex-workers in controlled mines and works accessing benefit medical examinations per year</w:t>
            </w:r>
          </w:p>
        </w:tc>
        <w:tc>
          <w:tcPr>
            <w:tcW w:w="3034" w:type="dxa"/>
            <w:shd w:val="clear" w:color="auto" w:fill="auto"/>
          </w:tcPr>
          <w:p w14:paraId="2FB14EE5" w14:textId="77777777" w:rsidR="001651CD" w:rsidRPr="00941E30" w:rsidRDefault="001651CD" w:rsidP="00941E30">
            <w:pPr>
              <w:jc w:val="both"/>
              <w:rPr>
                <w:rFonts w:ascii="Times New Roman" w:hAnsi="Times New Roman"/>
                <w:sz w:val="20"/>
                <w:szCs w:val="20"/>
              </w:rPr>
            </w:pPr>
          </w:p>
          <w:p w14:paraId="402C7CAF"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10 000</w:t>
            </w:r>
          </w:p>
        </w:tc>
      </w:tr>
      <w:tr w:rsidR="001651CD" w:rsidRPr="0093633A" w14:paraId="23DB0D86" w14:textId="77777777" w:rsidTr="00E27877">
        <w:tc>
          <w:tcPr>
            <w:tcW w:w="2808" w:type="dxa"/>
            <w:vMerge/>
            <w:shd w:val="clear" w:color="auto" w:fill="auto"/>
          </w:tcPr>
          <w:p w14:paraId="050CC680"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5627D4FF"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Number of claims processed by the Certification Committees per year</w:t>
            </w:r>
          </w:p>
          <w:p w14:paraId="512312D4" w14:textId="77777777" w:rsidR="001651CD" w:rsidRPr="00941E30" w:rsidRDefault="001651CD" w:rsidP="00941E30">
            <w:pPr>
              <w:jc w:val="both"/>
              <w:rPr>
                <w:rFonts w:ascii="Times New Roman" w:hAnsi="Times New Roman"/>
                <w:sz w:val="20"/>
                <w:szCs w:val="20"/>
              </w:rPr>
            </w:pPr>
          </w:p>
        </w:tc>
        <w:tc>
          <w:tcPr>
            <w:tcW w:w="3034" w:type="dxa"/>
            <w:shd w:val="clear" w:color="auto" w:fill="auto"/>
          </w:tcPr>
          <w:p w14:paraId="499620D6" w14:textId="77777777" w:rsidR="001651CD" w:rsidRPr="00941E30" w:rsidRDefault="001651CD" w:rsidP="00941E30">
            <w:pPr>
              <w:jc w:val="both"/>
              <w:rPr>
                <w:rFonts w:ascii="Times New Roman" w:hAnsi="Times New Roman"/>
                <w:sz w:val="20"/>
                <w:szCs w:val="20"/>
              </w:rPr>
            </w:pPr>
          </w:p>
          <w:p w14:paraId="1F769912"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12 000</w:t>
            </w:r>
          </w:p>
        </w:tc>
      </w:tr>
      <w:tr w:rsidR="001651CD" w:rsidRPr="0093633A" w14:paraId="5ACFD599" w14:textId="77777777" w:rsidTr="00E27877">
        <w:tc>
          <w:tcPr>
            <w:tcW w:w="2808" w:type="dxa"/>
            <w:vMerge/>
            <w:shd w:val="clear" w:color="auto" w:fill="auto"/>
          </w:tcPr>
          <w:p w14:paraId="25A29A2F"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6A01C202"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Number of claims paid by the Compensation Commissioner (other than pensioners) per year</w:t>
            </w:r>
          </w:p>
        </w:tc>
        <w:tc>
          <w:tcPr>
            <w:tcW w:w="3034" w:type="dxa"/>
            <w:shd w:val="clear" w:color="auto" w:fill="auto"/>
          </w:tcPr>
          <w:p w14:paraId="607CA4C3" w14:textId="77777777" w:rsidR="001651CD" w:rsidRPr="00941E30" w:rsidRDefault="001651CD" w:rsidP="00941E30">
            <w:pPr>
              <w:jc w:val="both"/>
              <w:rPr>
                <w:rFonts w:ascii="Times New Roman" w:hAnsi="Times New Roman"/>
                <w:sz w:val="20"/>
                <w:szCs w:val="20"/>
              </w:rPr>
            </w:pPr>
          </w:p>
          <w:p w14:paraId="28C9A51B"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7 000</w:t>
            </w:r>
          </w:p>
        </w:tc>
      </w:tr>
      <w:tr w:rsidR="001651CD" w:rsidRPr="0093633A" w14:paraId="14ED35C2" w14:textId="77777777" w:rsidTr="00E27877">
        <w:tc>
          <w:tcPr>
            <w:tcW w:w="2808" w:type="dxa"/>
            <w:vMerge/>
            <w:shd w:val="clear" w:color="auto" w:fill="auto"/>
          </w:tcPr>
          <w:p w14:paraId="724231C9"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707CD8BD"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Number of controlled mines and works inspected per year to verify levies payable based to risk shifts worked</w:t>
            </w:r>
          </w:p>
        </w:tc>
        <w:tc>
          <w:tcPr>
            <w:tcW w:w="3034" w:type="dxa"/>
            <w:shd w:val="clear" w:color="auto" w:fill="auto"/>
          </w:tcPr>
          <w:p w14:paraId="0093BA15" w14:textId="77777777" w:rsidR="001651CD" w:rsidRPr="00941E30" w:rsidRDefault="001651CD" w:rsidP="00941E30">
            <w:pPr>
              <w:jc w:val="both"/>
              <w:rPr>
                <w:rFonts w:ascii="Times New Roman" w:hAnsi="Times New Roman"/>
                <w:sz w:val="20"/>
                <w:szCs w:val="20"/>
              </w:rPr>
            </w:pPr>
          </w:p>
          <w:p w14:paraId="3E566F00"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70</w:t>
            </w:r>
          </w:p>
        </w:tc>
      </w:tr>
      <w:tr w:rsidR="001651CD" w:rsidRPr="0093633A" w14:paraId="06EE9744" w14:textId="77777777" w:rsidTr="00E27877">
        <w:tc>
          <w:tcPr>
            <w:tcW w:w="2808" w:type="dxa"/>
            <w:vMerge/>
            <w:shd w:val="clear" w:color="auto" w:fill="auto"/>
          </w:tcPr>
          <w:p w14:paraId="6B3421D9"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4A0381E2" w14:textId="77777777" w:rsidR="001651CD" w:rsidRPr="00941E30" w:rsidRDefault="001651CD" w:rsidP="009E5567">
            <w:pPr>
              <w:jc w:val="both"/>
              <w:rPr>
                <w:rFonts w:ascii="Times New Roman" w:hAnsi="Times New Roman"/>
                <w:sz w:val="20"/>
                <w:szCs w:val="20"/>
              </w:rPr>
            </w:pPr>
            <w:r w:rsidRPr="00941E30">
              <w:rPr>
                <w:rFonts w:ascii="Times New Roman" w:hAnsi="Times New Roman"/>
                <w:sz w:val="20"/>
                <w:szCs w:val="20"/>
              </w:rPr>
              <w:t>Number of outreach and awareness activities per year</w:t>
            </w:r>
          </w:p>
        </w:tc>
        <w:tc>
          <w:tcPr>
            <w:tcW w:w="3034" w:type="dxa"/>
            <w:shd w:val="clear" w:color="auto" w:fill="auto"/>
          </w:tcPr>
          <w:p w14:paraId="039AA547" w14:textId="77777777" w:rsidR="001651CD" w:rsidRPr="00941E30" w:rsidRDefault="001651CD" w:rsidP="00941E30">
            <w:pPr>
              <w:jc w:val="both"/>
              <w:rPr>
                <w:rFonts w:ascii="Times New Roman" w:hAnsi="Times New Roman"/>
                <w:sz w:val="20"/>
                <w:szCs w:val="20"/>
              </w:rPr>
            </w:pPr>
          </w:p>
          <w:p w14:paraId="5EC35707"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10</w:t>
            </w:r>
          </w:p>
        </w:tc>
      </w:tr>
      <w:tr w:rsidR="001651CD" w:rsidRPr="0093633A" w14:paraId="566E0569" w14:textId="77777777" w:rsidTr="00E27877">
        <w:tc>
          <w:tcPr>
            <w:tcW w:w="2808" w:type="dxa"/>
            <w:vMerge/>
            <w:shd w:val="clear" w:color="auto" w:fill="auto"/>
          </w:tcPr>
          <w:p w14:paraId="0A2DB884" w14:textId="77777777" w:rsidR="001651CD" w:rsidRPr="00941E30" w:rsidRDefault="001651CD" w:rsidP="00941E30">
            <w:pPr>
              <w:jc w:val="both"/>
              <w:rPr>
                <w:rFonts w:ascii="Times New Roman" w:hAnsi="Times New Roman"/>
                <w:sz w:val="20"/>
                <w:szCs w:val="20"/>
              </w:rPr>
            </w:pPr>
          </w:p>
        </w:tc>
        <w:tc>
          <w:tcPr>
            <w:tcW w:w="3536" w:type="dxa"/>
            <w:shd w:val="clear" w:color="auto" w:fill="auto"/>
          </w:tcPr>
          <w:p w14:paraId="170C44E5"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Number of workers in controlled mines and works pair for loss of earnings while undergoing TB treatment per year</w:t>
            </w:r>
          </w:p>
        </w:tc>
        <w:tc>
          <w:tcPr>
            <w:tcW w:w="3034" w:type="dxa"/>
            <w:shd w:val="clear" w:color="auto" w:fill="auto"/>
          </w:tcPr>
          <w:p w14:paraId="4CBBCDB9" w14:textId="77777777" w:rsidR="001651CD" w:rsidRPr="00941E30" w:rsidRDefault="001651CD" w:rsidP="00941E30">
            <w:pPr>
              <w:jc w:val="both"/>
              <w:rPr>
                <w:rFonts w:ascii="Times New Roman" w:hAnsi="Times New Roman"/>
                <w:sz w:val="20"/>
                <w:szCs w:val="20"/>
              </w:rPr>
            </w:pPr>
          </w:p>
          <w:p w14:paraId="5BD00573" w14:textId="77777777" w:rsidR="001651CD" w:rsidRPr="00941E30" w:rsidRDefault="001651CD" w:rsidP="00941E30">
            <w:pPr>
              <w:jc w:val="both"/>
              <w:rPr>
                <w:rFonts w:ascii="Times New Roman" w:hAnsi="Times New Roman"/>
                <w:sz w:val="20"/>
                <w:szCs w:val="20"/>
              </w:rPr>
            </w:pPr>
            <w:r w:rsidRPr="00941E30">
              <w:rPr>
                <w:rFonts w:ascii="Times New Roman" w:hAnsi="Times New Roman"/>
                <w:sz w:val="20"/>
                <w:szCs w:val="20"/>
              </w:rPr>
              <w:t>950</w:t>
            </w:r>
          </w:p>
        </w:tc>
      </w:tr>
    </w:tbl>
    <w:p w14:paraId="55D277EB" w14:textId="77777777" w:rsidR="001651CD" w:rsidRPr="00085BAF" w:rsidRDefault="001651CD" w:rsidP="00941E30">
      <w:pPr>
        <w:jc w:val="both"/>
        <w:rPr>
          <w:rFonts w:ascii="Times New Roman" w:hAnsi="Times New Roman"/>
          <w:sz w:val="24"/>
          <w:szCs w:val="24"/>
        </w:rPr>
      </w:pPr>
    </w:p>
    <w:p w14:paraId="064F45FF" w14:textId="77777777" w:rsidR="001651CD" w:rsidRPr="0093633A" w:rsidRDefault="001651CD" w:rsidP="00941E30">
      <w:pPr>
        <w:numPr>
          <w:ilvl w:val="0"/>
          <w:numId w:val="70"/>
        </w:numPr>
        <w:spacing w:line="360" w:lineRule="auto"/>
        <w:jc w:val="both"/>
        <w:rPr>
          <w:rFonts w:ascii="Times New Roman" w:hAnsi="Times New Roman"/>
          <w:sz w:val="24"/>
          <w:szCs w:val="24"/>
        </w:rPr>
      </w:pPr>
      <w:r w:rsidRPr="0093633A">
        <w:rPr>
          <w:rFonts w:ascii="Times New Roman" w:hAnsi="Times New Roman"/>
          <w:sz w:val="24"/>
          <w:szCs w:val="24"/>
        </w:rPr>
        <w:t xml:space="preserve">On policy and legislative framework for occupational health and compensation – the proposed amendments to ODMWA include policy and legislative changes to cover current and former workers in controlled mines and works only and new workers joining the mines and works sector will be covered under COIDA as of a date to be determined in legislation. </w:t>
      </w:r>
    </w:p>
    <w:p w14:paraId="2A3CF006" w14:textId="77777777" w:rsidR="001651CD" w:rsidRPr="0093633A" w:rsidRDefault="001651CD" w:rsidP="00941E30">
      <w:pPr>
        <w:numPr>
          <w:ilvl w:val="0"/>
          <w:numId w:val="70"/>
        </w:numPr>
        <w:spacing w:line="360" w:lineRule="auto"/>
        <w:jc w:val="both"/>
        <w:rPr>
          <w:rFonts w:ascii="Times New Roman" w:hAnsi="Times New Roman"/>
          <w:sz w:val="24"/>
          <w:szCs w:val="24"/>
        </w:rPr>
      </w:pPr>
      <w:r w:rsidRPr="0093633A">
        <w:rPr>
          <w:rFonts w:ascii="Times New Roman" w:hAnsi="Times New Roman"/>
          <w:sz w:val="24"/>
          <w:szCs w:val="24"/>
        </w:rPr>
        <w:t>The CCOD will not increase the number of outreach activities due to budget constraints.</w:t>
      </w:r>
    </w:p>
    <w:p w14:paraId="7ED0EC58" w14:textId="77777777" w:rsidR="001651CD" w:rsidRPr="0093633A" w:rsidRDefault="001651CD" w:rsidP="00941E30">
      <w:pPr>
        <w:numPr>
          <w:ilvl w:val="0"/>
          <w:numId w:val="70"/>
        </w:numPr>
        <w:spacing w:line="360" w:lineRule="auto"/>
        <w:jc w:val="both"/>
        <w:rPr>
          <w:rFonts w:ascii="Times New Roman" w:hAnsi="Times New Roman"/>
          <w:sz w:val="24"/>
          <w:szCs w:val="24"/>
        </w:rPr>
      </w:pPr>
      <w:r w:rsidRPr="0093633A">
        <w:rPr>
          <w:rFonts w:ascii="Times New Roman" w:hAnsi="Times New Roman"/>
          <w:sz w:val="24"/>
          <w:szCs w:val="24"/>
        </w:rPr>
        <w:t xml:space="preserve">Consideration is being given to sourcing administrative support for the CCOD by service providers who could administer the medical assessment and claims process and improve the turn-around times for payments and feedback to claimants. </w:t>
      </w:r>
    </w:p>
    <w:p w14:paraId="3007E7D4" w14:textId="77777777" w:rsidR="001651CD" w:rsidRPr="0093633A" w:rsidRDefault="001651CD" w:rsidP="00941E30">
      <w:pPr>
        <w:numPr>
          <w:ilvl w:val="0"/>
          <w:numId w:val="70"/>
        </w:numPr>
        <w:spacing w:line="360" w:lineRule="auto"/>
        <w:jc w:val="both"/>
        <w:rPr>
          <w:rFonts w:ascii="Times New Roman" w:hAnsi="Times New Roman"/>
          <w:sz w:val="24"/>
          <w:szCs w:val="24"/>
        </w:rPr>
      </w:pPr>
      <w:r w:rsidRPr="0093633A">
        <w:rPr>
          <w:rFonts w:ascii="Times New Roman" w:hAnsi="Times New Roman"/>
          <w:sz w:val="24"/>
          <w:szCs w:val="24"/>
        </w:rPr>
        <w:t xml:space="preserve">The CCOD will gradually increase inspections of mines and works from 60 in 2017/18 to 77 by 2020/21 financial year. </w:t>
      </w:r>
    </w:p>
    <w:p w14:paraId="3A556D3C" w14:textId="77777777" w:rsidR="00A709B2" w:rsidRDefault="00A709B2" w:rsidP="00941E30">
      <w:pPr>
        <w:jc w:val="both"/>
        <w:rPr>
          <w:rFonts w:ascii="Times New Roman" w:hAnsi="Times New Roman"/>
          <w:sz w:val="24"/>
          <w:szCs w:val="24"/>
        </w:rPr>
      </w:pPr>
    </w:p>
    <w:p w14:paraId="7A4C59A1" w14:textId="77777777" w:rsidR="00DE53D3" w:rsidRDefault="00DE53D3">
      <w:pPr>
        <w:rPr>
          <w:rFonts w:ascii="Times New Roman" w:hAnsi="Times New Roman"/>
          <w:b/>
          <w:sz w:val="24"/>
          <w:szCs w:val="24"/>
        </w:rPr>
      </w:pPr>
      <w:r>
        <w:rPr>
          <w:rFonts w:ascii="Times New Roman" w:hAnsi="Times New Roman"/>
          <w:b/>
          <w:sz w:val="24"/>
          <w:szCs w:val="24"/>
        </w:rPr>
        <w:br w:type="page"/>
      </w:r>
    </w:p>
    <w:p w14:paraId="5E177697" w14:textId="77777777" w:rsidR="001651CD" w:rsidRPr="00085BAF" w:rsidRDefault="001651CD" w:rsidP="00941E30">
      <w:pPr>
        <w:jc w:val="both"/>
        <w:rPr>
          <w:rFonts w:ascii="Times New Roman" w:hAnsi="Times New Roman"/>
          <w:b/>
          <w:sz w:val="24"/>
          <w:szCs w:val="24"/>
        </w:rPr>
      </w:pPr>
      <w:r w:rsidRPr="00085BAF">
        <w:rPr>
          <w:rFonts w:ascii="Times New Roman" w:hAnsi="Times New Roman"/>
          <w:b/>
          <w:sz w:val="24"/>
          <w:szCs w:val="24"/>
        </w:rPr>
        <w:t xml:space="preserve">Budget </w:t>
      </w:r>
      <w:r w:rsidR="00882486">
        <w:rPr>
          <w:rFonts w:ascii="Times New Roman" w:hAnsi="Times New Roman"/>
          <w:b/>
          <w:sz w:val="24"/>
          <w:szCs w:val="24"/>
        </w:rPr>
        <w:t>Overview</w:t>
      </w:r>
      <w:r w:rsidR="00882486" w:rsidRPr="00085BAF">
        <w:rPr>
          <w:rFonts w:ascii="Times New Roman" w:hAnsi="Times New Roman"/>
          <w:b/>
          <w:sz w:val="24"/>
          <w:szCs w:val="24"/>
        </w:rPr>
        <w:t xml:space="preserve"> </w:t>
      </w:r>
    </w:p>
    <w:p w14:paraId="452D577F" w14:textId="77777777" w:rsidR="001651CD" w:rsidRPr="0093633A" w:rsidRDefault="001651CD" w:rsidP="00941E30">
      <w:pPr>
        <w:jc w:val="both"/>
        <w:rPr>
          <w:rFonts w:ascii="Times New Roman" w:hAnsi="Times New Roman"/>
          <w:b/>
          <w:sz w:val="24"/>
          <w:szCs w:val="24"/>
        </w:rPr>
      </w:pPr>
    </w:p>
    <w:p w14:paraId="77827867" w14:textId="77777777" w:rsidR="00E06541" w:rsidRPr="0093633A" w:rsidRDefault="00E06541" w:rsidP="00941E30">
      <w:pPr>
        <w:spacing w:line="360" w:lineRule="auto"/>
        <w:jc w:val="both"/>
        <w:rPr>
          <w:rFonts w:ascii="Times New Roman" w:hAnsi="Times New Roman"/>
          <w:sz w:val="24"/>
          <w:szCs w:val="24"/>
        </w:rPr>
      </w:pPr>
      <w:r w:rsidRPr="0093633A">
        <w:rPr>
          <w:rFonts w:ascii="Times New Roman" w:hAnsi="Times New Roman"/>
          <w:sz w:val="24"/>
          <w:szCs w:val="24"/>
        </w:rPr>
        <w:t xml:space="preserve">There has been no substantial increase to the CCOD budget and the business reform processes at the CCOD have been supported by the Chamber of mines, the Gold Mining companies and other social partners. Substantial resources estimated at R200 million per annum are required to expand and scale up the services of the CCOD.  </w:t>
      </w:r>
    </w:p>
    <w:p w14:paraId="6351FC61" w14:textId="77777777" w:rsidR="00E06541" w:rsidRDefault="00E06541" w:rsidP="00085BAF">
      <w:pPr>
        <w:jc w:val="both"/>
        <w:rPr>
          <w:rFonts w:ascii="Times New Roman" w:hAnsi="Times New Roman"/>
          <w:sz w:val="24"/>
          <w:szCs w:val="24"/>
        </w:rPr>
      </w:pPr>
    </w:p>
    <w:p w14:paraId="5B4C03E8" w14:textId="77777777" w:rsidR="00E06541" w:rsidRPr="00941E30" w:rsidRDefault="00E06541" w:rsidP="00941E30">
      <w:pPr>
        <w:spacing w:after="120"/>
        <w:jc w:val="both"/>
        <w:rPr>
          <w:rFonts w:ascii="Times New Roman" w:hAnsi="Times New Roman"/>
          <w:b/>
          <w:sz w:val="20"/>
          <w:szCs w:val="24"/>
        </w:rPr>
      </w:pPr>
      <w:r w:rsidRPr="00941E30">
        <w:rPr>
          <w:rFonts w:ascii="Times New Roman" w:hAnsi="Times New Roman"/>
          <w:b/>
          <w:sz w:val="20"/>
          <w:szCs w:val="24"/>
        </w:rPr>
        <w:t xml:space="preserve">Table </w:t>
      </w:r>
      <w:r w:rsidR="00A84399" w:rsidRPr="00941E30">
        <w:rPr>
          <w:rFonts w:ascii="Times New Roman" w:hAnsi="Times New Roman"/>
          <w:b/>
          <w:sz w:val="20"/>
          <w:szCs w:val="24"/>
        </w:rPr>
        <w:t>2</w:t>
      </w:r>
      <w:r w:rsidR="00A84399">
        <w:rPr>
          <w:rFonts w:ascii="Times New Roman" w:hAnsi="Times New Roman"/>
          <w:b/>
          <w:sz w:val="20"/>
          <w:szCs w:val="24"/>
        </w:rPr>
        <w:t>4</w:t>
      </w:r>
      <w:r w:rsidRPr="00941E30">
        <w:rPr>
          <w:rFonts w:ascii="Times New Roman" w:hAnsi="Times New Roman"/>
          <w:b/>
          <w:sz w:val="20"/>
          <w:szCs w:val="24"/>
        </w:rPr>
        <w:t>: CCOD Budget</w:t>
      </w:r>
      <w:r w:rsidR="00056941">
        <w:rPr>
          <w:rFonts w:ascii="Times New Roman" w:hAnsi="Times New Roman"/>
          <w:b/>
          <w:sz w:val="20"/>
          <w:szCs w:val="24"/>
        </w:rPr>
        <w:t xml:space="preserve"> for 2018/19</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260"/>
        <w:gridCol w:w="1260"/>
        <w:gridCol w:w="1350"/>
        <w:gridCol w:w="1260"/>
        <w:gridCol w:w="1350"/>
      </w:tblGrid>
      <w:tr w:rsidR="00E06541" w:rsidRPr="0093633A" w14:paraId="166A4C24" w14:textId="77777777" w:rsidTr="00E27877">
        <w:trPr>
          <w:trHeight w:val="480"/>
        </w:trPr>
        <w:tc>
          <w:tcPr>
            <w:tcW w:w="2538" w:type="dxa"/>
            <w:vMerge w:val="restart"/>
            <w:shd w:val="clear" w:color="auto" w:fill="D9E2F3"/>
            <w:noWrap/>
          </w:tcPr>
          <w:p w14:paraId="0E3EBFFD" w14:textId="77777777" w:rsidR="00E06541" w:rsidRPr="00941E30" w:rsidRDefault="00E06541" w:rsidP="00085BAF">
            <w:pPr>
              <w:jc w:val="both"/>
              <w:rPr>
                <w:rFonts w:ascii="Times New Roman" w:hAnsi="Times New Roman"/>
                <w:b/>
                <w:bCs/>
                <w:sz w:val="20"/>
                <w:szCs w:val="20"/>
              </w:rPr>
            </w:pPr>
          </w:p>
          <w:p w14:paraId="1858052F" w14:textId="77777777" w:rsidR="00E06541" w:rsidRPr="00941E30" w:rsidRDefault="00E06541">
            <w:pPr>
              <w:jc w:val="both"/>
              <w:rPr>
                <w:rFonts w:ascii="Times New Roman" w:hAnsi="Times New Roman"/>
                <w:b/>
                <w:bCs/>
                <w:sz w:val="20"/>
                <w:szCs w:val="20"/>
              </w:rPr>
            </w:pPr>
            <w:r w:rsidRPr="00941E30">
              <w:rPr>
                <w:rFonts w:ascii="Times New Roman" w:hAnsi="Times New Roman"/>
                <w:b/>
                <w:bCs/>
                <w:sz w:val="20"/>
                <w:szCs w:val="20"/>
              </w:rPr>
              <w:t>Programme</w:t>
            </w:r>
          </w:p>
        </w:tc>
        <w:tc>
          <w:tcPr>
            <w:tcW w:w="1260" w:type="dxa"/>
            <w:shd w:val="clear" w:color="auto" w:fill="D9E2F3"/>
          </w:tcPr>
          <w:p w14:paraId="03CB9F5D" w14:textId="77777777" w:rsidR="00E06541" w:rsidRPr="00941E30" w:rsidRDefault="00E06541">
            <w:pPr>
              <w:jc w:val="both"/>
              <w:rPr>
                <w:rFonts w:ascii="Times New Roman" w:hAnsi="Times New Roman"/>
                <w:b/>
                <w:bCs/>
                <w:sz w:val="20"/>
                <w:szCs w:val="20"/>
              </w:rPr>
            </w:pPr>
            <w:r w:rsidRPr="00941E30">
              <w:rPr>
                <w:rFonts w:ascii="Times New Roman" w:hAnsi="Times New Roman"/>
                <w:b/>
                <w:bCs/>
                <w:sz w:val="20"/>
                <w:szCs w:val="20"/>
              </w:rPr>
              <w:t>R thousand</w:t>
            </w:r>
          </w:p>
        </w:tc>
        <w:tc>
          <w:tcPr>
            <w:tcW w:w="3870" w:type="dxa"/>
            <w:gridSpan w:val="3"/>
            <w:shd w:val="clear" w:color="auto" w:fill="D9E2F3"/>
          </w:tcPr>
          <w:p w14:paraId="35AD6A9C" w14:textId="77777777" w:rsidR="00E06541" w:rsidRPr="00941E30" w:rsidRDefault="00E06541">
            <w:pPr>
              <w:jc w:val="both"/>
              <w:rPr>
                <w:rFonts w:ascii="Times New Roman" w:hAnsi="Times New Roman"/>
                <w:b/>
                <w:bCs/>
                <w:sz w:val="20"/>
                <w:szCs w:val="20"/>
              </w:rPr>
            </w:pPr>
            <w:r w:rsidRPr="00941E30">
              <w:rPr>
                <w:rFonts w:ascii="Times New Roman" w:hAnsi="Times New Roman"/>
                <w:b/>
                <w:sz w:val="20"/>
                <w:szCs w:val="20"/>
              </w:rPr>
              <w:t>Medium-term expenditure allocations</w:t>
            </w:r>
          </w:p>
        </w:tc>
        <w:tc>
          <w:tcPr>
            <w:tcW w:w="1350" w:type="dxa"/>
            <w:vMerge w:val="restart"/>
            <w:shd w:val="clear" w:color="auto" w:fill="D9E2F3"/>
          </w:tcPr>
          <w:p w14:paraId="58DFA282" w14:textId="77777777" w:rsidR="00E06541" w:rsidRPr="00941E30" w:rsidRDefault="00E06541">
            <w:pPr>
              <w:jc w:val="both"/>
              <w:rPr>
                <w:rFonts w:ascii="Times New Roman" w:hAnsi="Times New Roman"/>
                <w:b/>
                <w:bCs/>
                <w:sz w:val="20"/>
                <w:szCs w:val="20"/>
              </w:rPr>
            </w:pPr>
            <w:r w:rsidRPr="00941E30">
              <w:rPr>
                <w:rFonts w:ascii="Times New Roman" w:hAnsi="Times New Roman"/>
                <w:b/>
                <w:bCs/>
                <w:sz w:val="20"/>
                <w:szCs w:val="20"/>
              </w:rPr>
              <w:t>Average growth rate (%)</w:t>
            </w:r>
          </w:p>
        </w:tc>
      </w:tr>
      <w:tr w:rsidR="00E06541" w:rsidRPr="0093633A" w14:paraId="7A6E5EF6" w14:textId="77777777" w:rsidTr="00E27877">
        <w:trPr>
          <w:trHeight w:val="264"/>
        </w:trPr>
        <w:tc>
          <w:tcPr>
            <w:tcW w:w="2538" w:type="dxa"/>
            <w:vMerge/>
            <w:shd w:val="clear" w:color="auto" w:fill="D9E2F3"/>
            <w:noWrap/>
            <w:hideMark/>
          </w:tcPr>
          <w:p w14:paraId="06F7BEAC" w14:textId="77777777" w:rsidR="00E06541" w:rsidRPr="00941E30" w:rsidRDefault="00E06541">
            <w:pPr>
              <w:jc w:val="both"/>
              <w:rPr>
                <w:rFonts w:ascii="Times New Roman" w:hAnsi="Times New Roman"/>
                <w:b/>
                <w:bCs/>
                <w:sz w:val="20"/>
                <w:szCs w:val="20"/>
              </w:rPr>
            </w:pPr>
          </w:p>
        </w:tc>
        <w:tc>
          <w:tcPr>
            <w:tcW w:w="1260" w:type="dxa"/>
            <w:shd w:val="clear" w:color="auto" w:fill="D9E2F3"/>
            <w:noWrap/>
            <w:hideMark/>
          </w:tcPr>
          <w:p w14:paraId="695A8BCC" w14:textId="77777777" w:rsidR="00E06541" w:rsidRPr="00941E30" w:rsidRDefault="00E06541">
            <w:pPr>
              <w:jc w:val="both"/>
              <w:rPr>
                <w:rFonts w:ascii="Times New Roman" w:hAnsi="Times New Roman"/>
                <w:bCs/>
                <w:sz w:val="20"/>
                <w:szCs w:val="20"/>
              </w:rPr>
            </w:pPr>
            <w:r w:rsidRPr="00941E30">
              <w:rPr>
                <w:rFonts w:ascii="Times New Roman" w:hAnsi="Times New Roman"/>
                <w:bCs/>
                <w:sz w:val="20"/>
                <w:szCs w:val="20"/>
              </w:rPr>
              <w:t>2017/18</w:t>
            </w:r>
          </w:p>
        </w:tc>
        <w:tc>
          <w:tcPr>
            <w:tcW w:w="1260" w:type="dxa"/>
            <w:shd w:val="clear" w:color="auto" w:fill="D9E2F3"/>
            <w:noWrap/>
            <w:hideMark/>
          </w:tcPr>
          <w:p w14:paraId="51B1FD9B" w14:textId="77777777" w:rsidR="00E06541" w:rsidRPr="00941E30" w:rsidRDefault="00E06541">
            <w:pPr>
              <w:jc w:val="both"/>
              <w:rPr>
                <w:rFonts w:ascii="Times New Roman" w:hAnsi="Times New Roman"/>
                <w:bCs/>
                <w:sz w:val="20"/>
                <w:szCs w:val="20"/>
              </w:rPr>
            </w:pPr>
            <w:r w:rsidRPr="00941E30">
              <w:rPr>
                <w:rFonts w:ascii="Times New Roman" w:hAnsi="Times New Roman"/>
                <w:bCs/>
                <w:sz w:val="20"/>
                <w:szCs w:val="20"/>
              </w:rPr>
              <w:t>2018/19</w:t>
            </w:r>
          </w:p>
        </w:tc>
        <w:tc>
          <w:tcPr>
            <w:tcW w:w="1350" w:type="dxa"/>
            <w:shd w:val="clear" w:color="auto" w:fill="D9E2F3"/>
          </w:tcPr>
          <w:p w14:paraId="345AFDC0" w14:textId="77777777" w:rsidR="00E06541" w:rsidRPr="00941E30" w:rsidRDefault="00E06541">
            <w:pPr>
              <w:jc w:val="both"/>
              <w:rPr>
                <w:rFonts w:ascii="Times New Roman" w:hAnsi="Times New Roman"/>
                <w:bCs/>
                <w:sz w:val="20"/>
                <w:szCs w:val="20"/>
              </w:rPr>
            </w:pPr>
            <w:r w:rsidRPr="00941E30">
              <w:rPr>
                <w:rFonts w:ascii="Times New Roman" w:hAnsi="Times New Roman"/>
                <w:bCs/>
                <w:sz w:val="20"/>
                <w:szCs w:val="20"/>
              </w:rPr>
              <w:t>2019/20</w:t>
            </w:r>
          </w:p>
        </w:tc>
        <w:tc>
          <w:tcPr>
            <w:tcW w:w="1260" w:type="dxa"/>
            <w:shd w:val="clear" w:color="auto" w:fill="D9E2F3"/>
          </w:tcPr>
          <w:p w14:paraId="21C56B72" w14:textId="77777777" w:rsidR="00E06541" w:rsidRPr="00941E30" w:rsidRDefault="00E06541">
            <w:pPr>
              <w:jc w:val="both"/>
              <w:rPr>
                <w:rFonts w:ascii="Times New Roman" w:hAnsi="Times New Roman"/>
                <w:bCs/>
                <w:sz w:val="20"/>
                <w:szCs w:val="20"/>
              </w:rPr>
            </w:pPr>
            <w:r w:rsidRPr="00941E30">
              <w:rPr>
                <w:rFonts w:ascii="Times New Roman" w:hAnsi="Times New Roman"/>
                <w:bCs/>
                <w:sz w:val="20"/>
                <w:szCs w:val="20"/>
              </w:rPr>
              <w:t>2020/21</w:t>
            </w:r>
          </w:p>
        </w:tc>
        <w:tc>
          <w:tcPr>
            <w:tcW w:w="1350" w:type="dxa"/>
            <w:vMerge/>
            <w:shd w:val="clear" w:color="auto" w:fill="D9E2F3"/>
          </w:tcPr>
          <w:p w14:paraId="2DB7ACD6" w14:textId="77777777" w:rsidR="00E06541" w:rsidRPr="00941E30" w:rsidRDefault="00E06541">
            <w:pPr>
              <w:jc w:val="both"/>
              <w:rPr>
                <w:rFonts w:ascii="Times New Roman" w:hAnsi="Times New Roman"/>
                <w:bCs/>
                <w:sz w:val="20"/>
                <w:szCs w:val="20"/>
              </w:rPr>
            </w:pPr>
          </w:p>
        </w:tc>
      </w:tr>
      <w:tr w:rsidR="00E06541" w:rsidRPr="0093633A" w14:paraId="64F3D59E" w14:textId="77777777" w:rsidTr="00E27877">
        <w:trPr>
          <w:trHeight w:val="264"/>
        </w:trPr>
        <w:tc>
          <w:tcPr>
            <w:tcW w:w="2538" w:type="dxa"/>
            <w:shd w:val="clear" w:color="auto" w:fill="auto"/>
            <w:noWrap/>
          </w:tcPr>
          <w:p w14:paraId="773DFFAC" w14:textId="77777777" w:rsidR="00882486" w:rsidRDefault="00882486" w:rsidP="00941E30">
            <w:pPr>
              <w:ind w:left="187"/>
              <w:rPr>
                <w:rFonts w:ascii="Times New Roman" w:eastAsia="Calibri" w:hAnsi="Times New Roman"/>
                <w:sz w:val="20"/>
                <w:szCs w:val="20"/>
              </w:rPr>
            </w:pPr>
          </w:p>
          <w:p w14:paraId="20865083" w14:textId="77777777" w:rsidR="00E06541" w:rsidRPr="00941E30" w:rsidRDefault="00E06541" w:rsidP="00941E30">
            <w:pPr>
              <w:ind w:left="187"/>
              <w:rPr>
                <w:rFonts w:ascii="Times New Roman" w:eastAsia="Calibri" w:hAnsi="Times New Roman"/>
                <w:sz w:val="20"/>
                <w:szCs w:val="20"/>
              </w:rPr>
            </w:pPr>
            <w:r w:rsidRPr="00941E30">
              <w:rPr>
                <w:rFonts w:ascii="Times New Roman" w:eastAsia="Calibri" w:hAnsi="Times New Roman"/>
                <w:sz w:val="20"/>
                <w:szCs w:val="20"/>
              </w:rPr>
              <w:t xml:space="preserve">Administration </w:t>
            </w:r>
          </w:p>
        </w:tc>
        <w:tc>
          <w:tcPr>
            <w:tcW w:w="1260" w:type="dxa"/>
            <w:shd w:val="clear" w:color="auto" w:fill="auto"/>
            <w:noWrap/>
            <w:vAlign w:val="bottom"/>
          </w:tcPr>
          <w:p w14:paraId="5BCB8223" w14:textId="77777777" w:rsidR="00E06541" w:rsidRPr="00941E30" w:rsidRDefault="00E06541" w:rsidP="00085BAF">
            <w:pPr>
              <w:jc w:val="both"/>
              <w:rPr>
                <w:rFonts w:ascii="Times New Roman" w:hAnsi="Times New Roman"/>
                <w:color w:val="000000"/>
                <w:sz w:val="20"/>
                <w:szCs w:val="20"/>
                <w:lang w:val="en-ZA" w:eastAsia="en-ZA"/>
              </w:rPr>
            </w:pPr>
            <w:r w:rsidRPr="00941E30">
              <w:rPr>
                <w:rFonts w:ascii="Times New Roman" w:hAnsi="Times New Roman"/>
                <w:color w:val="000000"/>
                <w:sz w:val="20"/>
                <w:szCs w:val="20"/>
                <w:lang w:val="en-ZA" w:eastAsia="en-ZA"/>
              </w:rPr>
              <w:t>8 393</w:t>
            </w:r>
          </w:p>
        </w:tc>
        <w:tc>
          <w:tcPr>
            <w:tcW w:w="1260" w:type="dxa"/>
            <w:shd w:val="clear" w:color="auto" w:fill="auto"/>
            <w:noWrap/>
            <w:vAlign w:val="bottom"/>
          </w:tcPr>
          <w:p w14:paraId="294C5CAC" w14:textId="77777777" w:rsidR="00E06541" w:rsidRPr="00941E30" w:rsidRDefault="00E06541">
            <w:pPr>
              <w:jc w:val="both"/>
              <w:rPr>
                <w:rFonts w:ascii="Times New Roman" w:hAnsi="Times New Roman"/>
                <w:color w:val="000000"/>
                <w:sz w:val="20"/>
                <w:szCs w:val="20"/>
                <w:lang w:val="en-ZA" w:eastAsia="en-ZA"/>
              </w:rPr>
            </w:pPr>
            <w:r w:rsidRPr="00941E30">
              <w:rPr>
                <w:rFonts w:ascii="Times New Roman" w:hAnsi="Times New Roman"/>
                <w:color w:val="000000"/>
                <w:sz w:val="20"/>
                <w:szCs w:val="20"/>
                <w:lang w:val="en-ZA" w:eastAsia="en-ZA"/>
              </w:rPr>
              <w:t>8 500</w:t>
            </w:r>
          </w:p>
        </w:tc>
        <w:tc>
          <w:tcPr>
            <w:tcW w:w="1350" w:type="dxa"/>
            <w:shd w:val="clear" w:color="auto" w:fill="auto"/>
            <w:noWrap/>
          </w:tcPr>
          <w:p w14:paraId="718BF1CC" w14:textId="77777777" w:rsidR="00E06541" w:rsidRPr="00941E30" w:rsidRDefault="00E06541">
            <w:pPr>
              <w:jc w:val="both"/>
              <w:rPr>
                <w:rFonts w:ascii="Times New Roman" w:hAnsi="Times New Roman"/>
                <w:sz w:val="20"/>
                <w:szCs w:val="20"/>
              </w:rPr>
            </w:pPr>
          </w:p>
          <w:p w14:paraId="20C80B9C"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8 781</w:t>
            </w:r>
          </w:p>
        </w:tc>
        <w:tc>
          <w:tcPr>
            <w:tcW w:w="1260" w:type="dxa"/>
            <w:shd w:val="clear" w:color="auto" w:fill="auto"/>
            <w:noWrap/>
          </w:tcPr>
          <w:p w14:paraId="357213BF" w14:textId="77777777" w:rsidR="00E06541" w:rsidRPr="00941E30" w:rsidRDefault="00E06541">
            <w:pPr>
              <w:jc w:val="both"/>
              <w:rPr>
                <w:rFonts w:ascii="Times New Roman" w:hAnsi="Times New Roman"/>
                <w:sz w:val="20"/>
                <w:szCs w:val="20"/>
              </w:rPr>
            </w:pPr>
          </w:p>
          <w:p w14:paraId="746C6970"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8910</w:t>
            </w:r>
          </w:p>
        </w:tc>
        <w:tc>
          <w:tcPr>
            <w:tcW w:w="1350" w:type="dxa"/>
            <w:shd w:val="clear" w:color="auto" w:fill="auto"/>
            <w:noWrap/>
          </w:tcPr>
          <w:p w14:paraId="7E15F2D5" w14:textId="77777777" w:rsidR="00E06541" w:rsidRPr="00941E30" w:rsidRDefault="00E06541">
            <w:pPr>
              <w:jc w:val="both"/>
              <w:rPr>
                <w:rFonts w:ascii="Times New Roman" w:hAnsi="Times New Roman"/>
                <w:sz w:val="20"/>
                <w:szCs w:val="20"/>
              </w:rPr>
            </w:pPr>
          </w:p>
          <w:p w14:paraId="2B11CD0A"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2.0%</w:t>
            </w:r>
          </w:p>
        </w:tc>
      </w:tr>
      <w:tr w:rsidR="00E06541" w:rsidRPr="0093633A" w14:paraId="0710AF1B" w14:textId="77777777" w:rsidTr="00E27877">
        <w:trPr>
          <w:trHeight w:val="264"/>
        </w:trPr>
        <w:tc>
          <w:tcPr>
            <w:tcW w:w="2538" w:type="dxa"/>
            <w:shd w:val="clear" w:color="auto" w:fill="auto"/>
            <w:noWrap/>
          </w:tcPr>
          <w:p w14:paraId="7956F832" w14:textId="77777777" w:rsidR="00882486" w:rsidRDefault="00882486" w:rsidP="00941E30">
            <w:pPr>
              <w:ind w:left="187"/>
              <w:rPr>
                <w:rFonts w:ascii="Times New Roman" w:eastAsia="Calibri" w:hAnsi="Times New Roman"/>
                <w:sz w:val="20"/>
                <w:szCs w:val="20"/>
              </w:rPr>
            </w:pPr>
          </w:p>
          <w:p w14:paraId="187C824A" w14:textId="77777777" w:rsidR="00E06541" w:rsidRPr="00941E30" w:rsidRDefault="00E06541" w:rsidP="00941E30">
            <w:pPr>
              <w:ind w:left="187"/>
              <w:rPr>
                <w:rFonts w:ascii="Times New Roman" w:eastAsia="Calibri" w:hAnsi="Times New Roman"/>
                <w:sz w:val="20"/>
                <w:szCs w:val="20"/>
              </w:rPr>
            </w:pPr>
            <w:r w:rsidRPr="00941E30">
              <w:rPr>
                <w:rFonts w:ascii="Times New Roman" w:eastAsia="Calibri" w:hAnsi="Times New Roman"/>
                <w:sz w:val="20"/>
                <w:szCs w:val="20"/>
              </w:rPr>
              <w:t>Compensation of Pensioners</w:t>
            </w:r>
          </w:p>
        </w:tc>
        <w:tc>
          <w:tcPr>
            <w:tcW w:w="1260" w:type="dxa"/>
            <w:shd w:val="clear" w:color="auto" w:fill="auto"/>
            <w:noWrap/>
            <w:vAlign w:val="bottom"/>
          </w:tcPr>
          <w:p w14:paraId="7B9F088D" w14:textId="77777777" w:rsidR="00882486" w:rsidRDefault="00882486" w:rsidP="00085BAF">
            <w:pPr>
              <w:jc w:val="both"/>
              <w:rPr>
                <w:rFonts w:ascii="Times New Roman" w:hAnsi="Times New Roman"/>
                <w:color w:val="000000"/>
                <w:sz w:val="20"/>
                <w:szCs w:val="20"/>
                <w:lang w:val="en-ZA" w:eastAsia="en-ZA"/>
              </w:rPr>
            </w:pPr>
          </w:p>
          <w:p w14:paraId="1F1807DB" w14:textId="77777777" w:rsidR="00E06541" w:rsidRDefault="00E06541" w:rsidP="00085BAF">
            <w:pPr>
              <w:jc w:val="both"/>
              <w:rPr>
                <w:rFonts w:ascii="Times New Roman" w:hAnsi="Times New Roman"/>
                <w:color w:val="000000"/>
                <w:sz w:val="20"/>
                <w:szCs w:val="20"/>
                <w:lang w:val="en-ZA" w:eastAsia="en-ZA"/>
              </w:rPr>
            </w:pPr>
            <w:r w:rsidRPr="00941E30">
              <w:rPr>
                <w:rFonts w:ascii="Times New Roman" w:hAnsi="Times New Roman"/>
                <w:color w:val="000000"/>
                <w:sz w:val="20"/>
                <w:szCs w:val="20"/>
                <w:lang w:val="en-ZA" w:eastAsia="en-ZA"/>
              </w:rPr>
              <w:t>3</w:t>
            </w:r>
            <w:r w:rsidR="00882486">
              <w:rPr>
                <w:rFonts w:ascii="Times New Roman" w:hAnsi="Times New Roman"/>
                <w:color w:val="000000"/>
                <w:sz w:val="20"/>
                <w:szCs w:val="20"/>
                <w:lang w:val="en-ZA" w:eastAsia="en-ZA"/>
              </w:rPr>
              <w:t> </w:t>
            </w:r>
            <w:r w:rsidRPr="00941E30">
              <w:rPr>
                <w:rFonts w:ascii="Times New Roman" w:hAnsi="Times New Roman"/>
                <w:color w:val="000000"/>
                <w:sz w:val="20"/>
                <w:szCs w:val="20"/>
                <w:lang w:val="en-ZA" w:eastAsia="en-ZA"/>
              </w:rPr>
              <w:t>718</w:t>
            </w:r>
          </w:p>
          <w:p w14:paraId="77F20F22" w14:textId="77777777" w:rsidR="00882486" w:rsidRPr="00941E30" w:rsidRDefault="00882486" w:rsidP="00085BAF">
            <w:pPr>
              <w:jc w:val="both"/>
              <w:rPr>
                <w:rFonts w:ascii="Times New Roman" w:hAnsi="Times New Roman"/>
                <w:color w:val="000000"/>
                <w:sz w:val="20"/>
                <w:szCs w:val="20"/>
                <w:lang w:val="en-ZA" w:eastAsia="en-ZA"/>
              </w:rPr>
            </w:pPr>
          </w:p>
        </w:tc>
        <w:tc>
          <w:tcPr>
            <w:tcW w:w="1260" w:type="dxa"/>
            <w:shd w:val="clear" w:color="auto" w:fill="auto"/>
            <w:noWrap/>
            <w:vAlign w:val="bottom"/>
          </w:tcPr>
          <w:p w14:paraId="1C3B7C7F" w14:textId="77777777" w:rsidR="00E06541" w:rsidRDefault="00E06541">
            <w:pPr>
              <w:jc w:val="both"/>
              <w:rPr>
                <w:rFonts w:ascii="Times New Roman" w:hAnsi="Times New Roman"/>
                <w:color w:val="000000"/>
                <w:sz w:val="20"/>
                <w:szCs w:val="20"/>
                <w:lang w:val="en-ZA" w:eastAsia="en-ZA"/>
              </w:rPr>
            </w:pPr>
            <w:r w:rsidRPr="00941E30">
              <w:rPr>
                <w:rFonts w:ascii="Times New Roman" w:hAnsi="Times New Roman"/>
                <w:color w:val="000000"/>
                <w:sz w:val="20"/>
                <w:szCs w:val="20"/>
                <w:lang w:val="en-ZA" w:eastAsia="en-ZA"/>
              </w:rPr>
              <w:t>3</w:t>
            </w:r>
            <w:r w:rsidR="00882486">
              <w:rPr>
                <w:rFonts w:ascii="Times New Roman" w:hAnsi="Times New Roman"/>
                <w:color w:val="000000"/>
                <w:sz w:val="20"/>
                <w:szCs w:val="20"/>
                <w:lang w:val="en-ZA" w:eastAsia="en-ZA"/>
              </w:rPr>
              <w:t> </w:t>
            </w:r>
            <w:r w:rsidRPr="00941E30">
              <w:rPr>
                <w:rFonts w:ascii="Times New Roman" w:hAnsi="Times New Roman"/>
                <w:color w:val="000000"/>
                <w:sz w:val="20"/>
                <w:szCs w:val="20"/>
                <w:lang w:val="en-ZA" w:eastAsia="en-ZA"/>
              </w:rPr>
              <w:t>836</w:t>
            </w:r>
          </w:p>
          <w:p w14:paraId="3123D267" w14:textId="77777777" w:rsidR="00882486" w:rsidRPr="00941E30" w:rsidRDefault="00882486">
            <w:pPr>
              <w:jc w:val="both"/>
              <w:rPr>
                <w:rFonts w:ascii="Times New Roman" w:hAnsi="Times New Roman"/>
                <w:color w:val="000000"/>
                <w:sz w:val="20"/>
                <w:szCs w:val="20"/>
                <w:lang w:val="en-ZA" w:eastAsia="en-ZA"/>
              </w:rPr>
            </w:pPr>
          </w:p>
        </w:tc>
        <w:tc>
          <w:tcPr>
            <w:tcW w:w="1350" w:type="dxa"/>
            <w:shd w:val="clear" w:color="auto" w:fill="auto"/>
            <w:noWrap/>
          </w:tcPr>
          <w:p w14:paraId="464B9116" w14:textId="77777777" w:rsidR="00882486" w:rsidRPr="00941E30" w:rsidRDefault="00882486">
            <w:pPr>
              <w:jc w:val="both"/>
              <w:rPr>
                <w:rFonts w:ascii="Times New Roman" w:hAnsi="Times New Roman"/>
                <w:sz w:val="20"/>
                <w:szCs w:val="20"/>
              </w:rPr>
            </w:pPr>
          </w:p>
          <w:p w14:paraId="5C09C066"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4</w:t>
            </w:r>
            <w:r w:rsidR="00882486">
              <w:rPr>
                <w:rFonts w:ascii="Times New Roman" w:hAnsi="Times New Roman"/>
                <w:sz w:val="20"/>
                <w:szCs w:val="20"/>
              </w:rPr>
              <w:t> </w:t>
            </w:r>
            <w:r w:rsidRPr="00941E30">
              <w:rPr>
                <w:rFonts w:ascii="Times New Roman" w:hAnsi="Times New Roman"/>
                <w:sz w:val="20"/>
                <w:szCs w:val="20"/>
              </w:rPr>
              <w:t>050</w:t>
            </w:r>
          </w:p>
        </w:tc>
        <w:tc>
          <w:tcPr>
            <w:tcW w:w="1260" w:type="dxa"/>
            <w:shd w:val="clear" w:color="auto" w:fill="auto"/>
            <w:noWrap/>
          </w:tcPr>
          <w:p w14:paraId="7D26E6DD" w14:textId="77777777" w:rsidR="00882486" w:rsidRPr="00941E30" w:rsidRDefault="00882486">
            <w:pPr>
              <w:jc w:val="both"/>
              <w:rPr>
                <w:rFonts w:ascii="Times New Roman" w:hAnsi="Times New Roman"/>
                <w:sz w:val="20"/>
                <w:szCs w:val="20"/>
              </w:rPr>
            </w:pPr>
          </w:p>
          <w:p w14:paraId="58739602"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4</w:t>
            </w:r>
            <w:r w:rsidR="00882486">
              <w:rPr>
                <w:rFonts w:ascii="Times New Roman" w:hAnsi="Times New Roman"/>
                <w:sz w:val="20"/>
                <w:szCs w:val="20"/>
              </w:rPr>
              <w:t> </w:t>
            </w:r>
            <w:r w:rsidRPr="00941E30">
              <w:rPr>
                <w:rFonts w:ascii="Times New Roman" w:hAnsi="Times New Roman"/>
                <w:sz w:val="20"/>
                <w:szCs w:val="20"/>
              </w:rPr>
              <w:t>272</w:t>
            </w:r>
          </w:p>
        </w:tc>
        <w:tc>
          <w:tcPr>
            <w:tcW w:w="1350" w:type="dxa"/>
            <w:shd w:val="clear" w:color="auto" w:fill="auto"/>
            <w:noWrap/>
          </w:tcPr>
          <w:p w14:paraId="654EAFF4" w14:textId="77777777" w:rsidR="00882486" w:rsidRPr="00941E30" w:rsidRDefault="00882486">
            <w:pPr>
              <w:jc w:val="both"/>
              <w:rPr>
                <w:rFonts w:ascii="Times New Roman" w:hAnsi="Times New Roman"/>
                <w:sz w:val="20"/>
                <w:szCs w:val="20"/>
              </w:rPr>
            </w:pPr>
          </w:p>
          <w:p w14:paraId="16C10CB1"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4.7%</w:t>
            </w:r>
          </w:p>
        </w:tc>
      </w:tr>
      <w:tr w:rsidR="00E06541" w:rsidRPr="0093633A" w14:paraId="4FA014DD" w14:textId="77777777" w:rsidTr="00E27877">
        <w:trPr>
          <w:trHeight w:val="264"/>
        </w:trPr>
        <w:tc>
          <w:tcPr>
            <w:tcW w:w="2538" w:type="dxa"/>
            <w:shd w:val="clear" w:color="auto" w:fill="auto"/>
            <w:noWrap/>
          </w:tcPr>
          <w:p w14:paraId="261A5941" w14:textId="77777777" w:rsidR="00E06541" w:rsidRPr="00941E30" w:rsidRDefault="00E06541" w:rsidP="00941E30">
            <w:pPr>
              <w:ind w:left="187"/>
              <w:rPr>
                <w:rFonts w:ascii="Times New Roman" w:eastAsia="Calibri" w:hAnsi="Times New Roman"/>
                <w:sz w:val="20"/>
                <w:szCs w:val="20"/>
              </w:rPr>
            </w:pPr>
            <w:r w:rsidRPr="00941E30">
              <w:rPr>
                <w:rFonts w:ascii="Times New Roman" w:eastAsia="Calibri" w:hAnsi="Times New Roman"/>
                <w:sz w:val="20"/>
                <w:szCs w:val="20"/>
              </w:rPr>
              <w:t>Compensation of Ex-miners</w:t>
            </w:r>
          </w:p>
        </w:tc>
        <w:tc>
          <w:tcPr>
            <w:tcW w:w="1260" w:type="dxa"/>
            <w:shd w:val="clear" w:color="auto" w:fill="auto"/>
            <w:noWrap/>
          </w:tcPr>
          <w:p w14:paraId="5BDEE02A" w14:textId="77777777" w:rsidR="00E06541" w:rsidRPr="00941E30" w:rsidRDefault="00E06541">
            <w:pPr>
              <w:jc w:val="both"/>
              <w:rPr>
                <w:rFonts w:ascii="Times New Roman" w:hAnsi="Times New Roman"/>
                <w:sz w:val="20"/>
                <w:szCs w:val="20"/>
              </w:rPr>
            </w:pPr>
          </w:p>
          <w:p w14:paraId="104A8506"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148 003</w:t>
            </w:r>
          </w:p>
        </w:tc>
        <w:tc>
          <w:tcPr>
            <w:tcW w:w="1260" w:type="dxa"/>
            <w:shd w:val="clear" w:color="auto" w:fill="auto"/>
            <w:noWrap/>
          </w:tcPr>
          <w:p w14:paraId="15DE01E3" w14:textId="77777777" w:rsidR="00E06541" w:rsidRPr="00941E30" w:rsidRDefault="00E06541">
            <w:pPr>
              <w:jc w:val="both"/>
              <w:rPr>
                <w:rFonts w:ascii="Times New Roman" w:hAnsi="Times New Roman"/>
                <w:sz w:val="20"/>
                <w:szCs w:val="20"/>
              </w:rPr>
            </w:pPr>
          </w:p>
          <w:p w14:paraId="00FB189E"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151 300</w:t>
            </w:r>
          </w:p>
        </w:tc>
        <w:tc>
          <w:tcPr>
            <w:tcW w:w="1350" w:type="dxa"/>
            <w:shd w:val="clear" w:color="auto" w:fill="auto"/>
            <w:noWrap/>
          </w:tcPr>
          <w:p w14:paraId="3BEC0CE3" w14:textId="77777777" w:rsidR="00E06541" w:rsidRPr="00941E30" w:rsidRDefault="00E06541">
            <w:pPr>
              <w:jc w:val="both"/>
              <w:rPr>
                <w:rFonts w:ascii="Times New Roman" w:hAnsi="Times New Roman"/>
                <w:sz w:val="20"/>
                <w:szCs w:val="20"/>
              </w:rPr>
            </w:pPr>
          </w:p>
          <w:p w14:paraId="69B72FBD"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159 773</w:t>
            </w:r>
          </w:p>
        </w:tc>
        <w:tc>
          <w:tcPr>
            <w:tcW w:w="1260" w:type="dxa"/>
            <w:shd w:val="clear" w:color="auto" w:fill="auto"/>
            <w:noWrap/>
          </w:tcPr>
          <w:p w14:paraId="33AF51B5" w14:textId="77777777" w:rsidR="00E06541" w:rsidRPr="00941E30" w:rsidRDefault="00E06541">
            <w:pPr>
              <w:jc w:val="both"/>
              <w:rPr>
                <w:rFonts w:ascii="Times New Roman" w:hAnsi="Times New Roman"/>
                <w:sz w:val="20"/>
                <w:szCs w:val="20"/>
              </w:rPr>
            </w:pPr>
          </w:p>
          <w:p w14:paraId="67DE63BE"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175 750</w:t>
            </w:r>
          </w:p>
        </w:tc>
        <w:tc>
          <w:tcPr>
            <w:tcW w:w="1350" w:type="dxa"/>
            <w:shd w:val="clear" w:color="auto" w:fill="auto"/>
            <w:noWrap/>
          </w:tcPr>
          <w:p w14:paraId="59A56BCE" w14:textId="77777777" w:rsidR="00E06541" w:rsidRPr="00941E30" w:rsidRDefault="00E06541">
            <w:pPr>
              <w:jc w:val="both"/>
              <w:rPr>
                <w:rFonts w:ascii="Times New Roman" w:hAnsi="Times New Roman"/>
                <w:sz w:val="20"/>
                <w:szCs w:val="20"/>
              </w:rPr>
            </w:pPr>
          </w:p>
          <w:p w14:paraId="3A259A60"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5.9%</w:t>
            </w:r>
          </w:p>
        </w:tc>
      </w:tr>
      <w:tr w:rsidR="00E06541" w:rsidRPr="0093633A" w14:paraId="03FEF9EF" w14:textId="77777777" w:rsidTr="00E27877">
        <w:trPr>
          <w:trHeight w:val="264"/>
        </w:trPr>
        <w:tc>
          <w:tcPr>
            <w:tcW w:w="2538" w:type="dxa"/>
            <w:shd w:val="clear" w:color="auto" w:fill="auto"/>
            <w:noWrap/>
          </w:tcPr>
          <w:p w14:paraId="4B4D40C5" w14:textId="77777777" w:rsidR="00882486" w:rsidRDefault="00882486" w:rsidP="00941E30">
            <w:pPr>
              <w:ind w:left="187"/>
              <w:rPr>
                <w:rFonts w:ascii="Times New Roman" w:eastAsia="Calibri" w:hAnsi="Times New Roman"/>
                <w:sz w:val="20"/>
                <w:szCs w:val="20"/>
              </w:rPr>
            </w:pPr>
          </w:p>
          <w:p w14:paraId="6DBAA147" w14:textId="77777777" w:rsidR="00E06541" w:rsidRPr="00941E30" w:rsidRDefault="00E06541" w:rsidP="00941E30">
            <w:pPr>
              <w:ind w:left="187"/>
              <w:rPr>
                <w:rFonts w:ascii="Times New Roman" w:eastAsia="Calibri" w:hAnsi="Times New Roman"/>
                <w:sz w:val="20"/>
                <w:szCs w:val="20"/>
              </w:rPr>
            </w:pPr>
            <w:r w:rsidRPr="00941E30">
              <w:rPr>
                <w:rFonts w:ascii="Times New Roman" w:eastAsia="Calibri" w:hAnsi="Times New Roman"/>
                <w:sz w:val="20"/>
                <w:szCs w:val="20"/>
              </w:rPr>
              <w:t>Compensation of Tuberculosis</w:t>
            </w:r>
          </w:p>
        </w:tc>
        <w:tc>
          <w:tcPr>
            <w:tcW w:w="1260" w:type="dxa"/>
            <w:shd w:val="clear" w:color="auto" w:fill="auto"/>
            <w:noWrap/>
          </w:tcPr>
          <w:p w14:paraId="2BCA0739" w14:textId="77777777" w:rsidR="00E06541" w:rsidRPr="00941E30" w:rsidRDefault="00E06541" w:rsidP="00085BAF">
            <w:pPr>
              <w:jc w:val="both"/>
              <w:rPr>
                <w:rFonts w:ascii="Times New Roman" w:hAnsi="Times New Roman"/>
                <w:sz w:val="20"/>
                <w:szCs w:val="20"/>
              </w:rPr>
            </w:pPr>
          </w:p>
          <w:p w14:paraId="0083D4E0" w14:textId="77777777" w:rsidR="00E06541" w:rsidRPr="00941E30" w:rsidRDefault="00E06541">
            <w:pPr>
              <w:jc w:val="both"/>
              <w:rPr>
                <w:rFonts w:ascii="Times New Roman" w:hAnsi="Times New Roman"/>
                <w:sz w:val="20"/>
                <w:szCs w:val="20"/>
              </w:rPr>
            </w:pPr>
          </w:p>
          <w:p w14:paraId="5C8A4D92"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34 445</w:t>
            </w:r>
          </w:p>
        </w:tc>
        <w:tc>
          <w:tcPr>
            <w:tcW w:w="1260" w:type="dxa"/>
            <w:shd w:val="clear" w:color="auto" w:fill="auto"/>
            <w:noWrap/>
          </w:tcPr>
          <w:p w14:paraId="40CEBCB9" w14:textId="77777777" w:rsidR="00E06541" w:rsidRPr="00941E30" w:rsidRDefault="00E06541">
            <w:pPr>
              <w:jc w:val="both"/>
              <w:rPr>
                <w:rFonts w:ascii="Times New Roman" w:hAnsi="Times New Roman"/>
                <w:sz w:val="20"/>
                <w:szCs w:val="20"/>
              </w:rPr>
            </w:pPr>
          </w:p>
          <w:p w14:paraId="562ACC9D" w14:textId="77777777" w:rsidR="00E06541" w:rsidRPr="00941E30" w:rsidRDefault="00E06541">
            <w:pPr>
              <w:jc w:val="both"/>
              <w:rPr>
                <w:rFonts w:ascii="Times New Roman" w:hAnsi="Times New Roman"/>
                <w:sz w:val="20"/>
                <w:szCs w:val="20"/>
              </w:rPr>
            </w:pPr>
          </w:p>
          <w:p w14:paraId="42F880D8"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36 650</w:t>
            </w:r>
          </w:p>
        </w:tc>
        <w:tc>
          <w:tcPr>
            <w:tcW w:w="1350" w:type="dxa"/>
            <w:shd w:val="clear" w:color="auto" w:fill="auto"/>
            <w:noWrap/>
          </w:tcPr>
          <w:p w14:paraId="5273C831" w14:textId="77777777" w:rsidR="00E06541" w:rsidRPr="00941E30" w:rsidRDefault="00E06541">
            <w:pPr>
              <w:jc w:val="both"/>
              <w:rPr>
                <w:rFonts w:ascii="Times New Roman" w:hAnsi="Times New Roman"/>
                <w:sz w:val="20"/>
                <w:szCs w:val="20"/>
              </w:rPr>
            </w:pPr>
          </w:p>
          <w:p w14:paraId="3ED3E4F4" w14:textId="77777777" w:rsidR="00E06541" w:rsidRPr="00941E30" w:rsidRDefault="00E06541">
            <w:pPr>
              <w:jc w:val="both"/>
              <w:rPr>
                <w:rFonts w:ascii="Times New Roman" w:hAnsi="Times New Roman"/>
                <w:sz w:val="20"/>
                <w:szCs w:val="20"/>
              </w:rPr>
            </w:pPr>
          </w:p>
          <w:p w14:paraId="620346B8"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38 702</w:t>
            </w:r>
          </w:p>
        </w:tc>
        <w:tc>
          <w:tcPr>
            <w:tcW w:w="1260" w:type="dxa"/>
            <w:shd w:val="clear" w:color="auto" w:fill="auto"/>
            <w:noWrap/>
          </w:tcPr>
          <w:p w14:paraId="32BCF821" w14:textId="77777777" w:rsidR="00E06541" w:rsidRPr="00941E30" w:rsidRDefault="00E06541">
            <w:pPr>
              <w:jc w:val="both"/>
              <w:rPr>
                <w:rFonts w:ascii="Times New Roman" w:hAnsi="Times New Roman"/>
                <w:sz w:val="20"/>
                <w:szCs w:val="20"/>
              </w:rPr>
            </w:pPr>
          </w:p>
          <w:p w14:paraId="1687EA6D" w14:textId="77777777" w:rsidR="00E06541" w:rsidRPr="00941E30" w:rsidRDefault="00E06541">
            <w:pPr>
              <w:jc w:val="both"/>
              <w:rPr>
                <w:rFonts w:ascii="Times New Roman" w:hAnsi="Times New Roman"/>
                <w:sz w:val="20"/>
                <w:szCs w:val="20"/>
              </w:rPr>
            </w:pPr>
          </w:p>
          <w:p w14:paraId="7739024E"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42 572</w:t>
            </w:r>
          </w:p>
        </w:tc>
        <w:tc>
          <w:tcPr>
            <w:tcW w:w="1350" w:type="dxa"/>
            <w:shd w:val="clear" w:color="auto" w:fill="auto"/>
            <w:noWrap/>
          </w:tcPr>
          <w:p w14:paraId="611A58B4" w14:textId="77777777" w:rsidR="00E06541" w:rsidRPr="00941E30" w:rsidRDefault="00E06541">
            <w:pPr>
              <w:jc w:val="both"/>
              <w:rPr>
                <w:rFonts w:ascii="Times New Roman" w:hAnsi="Times New Roman"/>
                <w:sz w:val="20"/>
                <w:szCs w:val="20"/>
              </w:rPr>
            </w:pPr>
          </w:p>
          <w:p w14:paraId="4AC9E0A9" w14:textId="77777777" w:rsidR="00E06541" w:rsidRPr="00941E30" w:rsidRDefault="00E06541">
            <w:pPr>
              <w:jc w:val="both"/>
              <w:rPr>
                <w:rFonts w:ascii="Times New Roman" w:hAnsi="Times New Roman"/>
                <w:sz w:val="20"/>
                <w:szCs w:val="20"/>
              </w:rPr>
            </w:pPr>
          </w:p>
          <w:p w14:paraId="3DBC831E"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7.3%</w:t>
            </w:r>
          </w:p>
        </w:tc>
      </w:tr>
      <w:tr w:rsidR="00E06541" w:rsidRPr="0093633A" w14:paraId="09B398D9" w14:textId="77777777" w:rsidTr="00E27877">
        <w:trPr>
          <w:trHeight w:val="264"/>
        </w:trPr>
        <w:tc>
          <w:tcPr>
            <w:tcW w:w="2538" w:type="dxa"/>
            <w:shd w:val="clear" w:color="auto" w:fill="auto"/>
            <w:noWrap/>
          </w:tcPr>
          <w:p w14:paraId="67C6E5BE" w14:textId="77777777" w:rsidR="00882486" w:rsidRDefault="00882486" w:rsidP="00941E30">
            <w:pPr>
              <w:ind w:left="187"/>
              <w:rPr>
                <w:rFonts w:ascii="Times New Roman" w:eastAsia="Calibri" w:hAnsi="Times New Roman"/>
                <w:sz w:val="20"/>
                <w:szCs w:val="20"/>
              </w:rPr>
            </w:pPr>
          </w:p>
          <w:p w14:paraId="54689266" w14:textId="77777777" w:rsidR="00E06541" w:rsidRPr="00941E30" w:rsidRDefault="00E06541" w:rsidP="00941E30">
            <w:pPr>
              <w:ind w:left="187"/>
              <w:rPr>
                <w:rFonts w:ascii="Times New Roman" w:eastAsia="Calibri" w:hAnsi="Times New Roman"/>
                <w:sz w:val="20"/>
                <w:szCs w:val="20"/>
              </w:rPr>
            </w:pPr>
            <w:r w:rsidRPr="00941E30">
              <w:rPr>
                <w:rFonts w:ascii="Times New Roman" w:eastAsia="Calibri" w:hAnsi="Times New Roman"/>
                <w:sz w:val="20"/>
                <w:szCs w:val="20"/>
              </w:rPr>
              <w:t>Eastern Cape project</w:t>
            </w:r>
          </w:p>
        </w:tc>
        <w:tc>
          <w:tcPr>
            <w:tcW w:w="1260" w:type="dxa"/>
            <w:shd w:val="clear" w:color="auto" w:fill="auto"/>
            <w:noWrap/>
          </w:tcPr>
          <w:p w14:paraId="4AC52DDE" w14:textId="77777777" w:rsidR="00E06541" w:rsidRPr="00941E30" w:rsidRDefault="00E06541" w:rsidP="00085BAF">
            <w:pPr>
              <w:jc w:val="both"/>
              <w:rPr>
                <w:rFonts w:ascii="Times New Roman" w:hAnsi="Times New Roman"/>
                <w:sz w:val="20"/>
                <w:szCs w:val="20"/>
              </w:rPr>
            </w:pPr>
          </w:p>
          <w:p w14:paraId="097D7D30"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11</w:t>
            </w:r>
          </w:p>
        </w:tc>
        <w:tc>
          <w:tcPr>
            <w:tcW w:w="1260" w:type="dxa"/>
            <w:shd w:val="clear" w:color="auto" w:fill="auto"/>
            <w:noWrap/>
          </w:tcPr>
          <w:p w14:paraId="2E383E41" w14:textId="77777777" w:rsidR="00E06541" w:rsidRPr="00941E30" w:rsidRDefault="00E06541">
            <w:pPr>
              <w:jc w:val="both"/>
              <w:rPr>
                <w:rFonts w:ascii="Times New Roman" w:hAnsi="Times New Roman"/>
                <w:sz w:val="20"/>
                <w:szCs w:val="20"/>
              </w:rPr>
            </w:pPr>
          </w:p>
          <w:p w14:paraId="3EB916B6"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8</w:t>
            </w:r>
          </w:p>
        </w:tc>
        <w:tc>
          <w:tcPr>
            <w:tcW w:w="1350" w:type="dxa"/>
            <w:shd w:val="clear" w:color="auto" w:fill="auto"/>
            <w:noWrap/>
          </w:tcPr>
          <w:p w14:paraId="5DA90873" w14:textId="77777777" w:rsidR="00E06541" w:rsidRPr="00941E30" w:rsidRDefault="00E06541">
            <w:pPr>
              <w:jc w:val="both"/>
              <w:rPr>
                <w:rFonts w:ascii="Times New Roman" w:hAnsi="Times New Roman"/>
                <w:sz w:val="20"/>
                <w:szCs w:val="20"/>
              </w:rPr>
            </w:pPr>
          </w:p>
          <w:p w14:paraId="38B616CB"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8</w:t>
            </w:r>
          </w:p>
        </w:tc>
        <w:tc>
          <w:tcPr>
            <w:tcW w:w="1260" w:type="dxa"/>
            <w:shd w:val="clear" w:color="auto" w:fill="auto"/>
            <w:noWrap/>
          </w:tcPr>
          <w:p w14:paraId="3C953C9E" w14:textId="77777777" w:rsidR="00E06541" w:rsidRPr="00941E30" w:rsidRDefault="00E06541">
            <w:pPr>
              <w:jc w:val="both"/>
              <w:rPr>
                <w:rFonts w:ascii="Times New Roman" w:hAnsi="Times New Roman"/>
                <w:sz w:val="20"/>
                <w:szCs w:val="20"/>
              </w:rPr>
            </w:pPr>
          </w:p>
          <w:p w14:paraId="44434F31"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8</w:t>
            </w:r>
          </w:p>
        </w:tc>
        <w:tc>
          <w:tcPr>
            <w:tcW w:w="1350" w:type="dxa"/>
            <w:shd w:val="clear" w:color="auto" w:fill="auto"/>
            <w:noWrap/>
          </w:tcPr>
          <w:p w14:paraId="6541E3D0" w14:textId="77777777" w:rsidR="00E06541" w:rsidRPr="00941E30" w:rsidRDefault="00E06541">
            <w:pPr>
              <w:jc w:val="both"/>
              <w:rPr>
                <w:rFonts w:ascii="Times New Roman" w:hAnsi="Times New Roman"/>
                <w:sz w:val="20"/>
                <w:szCs w:val="20"/>
              </w:rPr>
            </w:pPr>
          </w:p>
          <w:p w14:paraId="2BCD9AAD" w14:textId="77777777" w:rsidR="00E06541" w:rsidRPr="00941E30" w:rsidRDefault="00E06541">
            <w:pPr>
              <w:jc w:val="both"/>
              <w:rPr>
                <w:rFonts w:ascii="Times New Roman" w:hAnsi="Times New Roman"/>
                <w:sz w:val="20"/>
                <w:szCs w:val="20"/>
              </w:rPr>
            </w:pPr>
            <w:r w:rsidRPr="00941E30">
              <w:rPr>
                <w:rFonts w:ascii="Times New Roman" w:hAnsi="Times New Roman"/>
                <w:sz w:val="20"/>
                <w:szCs w:val="20"/>
              </w:rPr>
              <w:t>-10.0%</w:t>
            </w:r>
          </w:p>
        </w:tc>
      </w:tr>
      <w:tr w:rsidR="00E06541" w:rsidRPr="0093633A" w14:paraId="6133AC21" w14:textId="77777777" w:rsidTr="00E27877">
        <w:trPr>
          <w:trHeight w:val="264"/>
        </w:trPr>
        <w:tc>
          <w:tcPr>
            <w:tcW w:w="2538" w:type="dxa"/>
            <w:shd w:val="clear" w:color="auto" w:fill="D9E2F3"/>
            <w:noWrap/>
          </w:tcPr>
          <w:p w14:paraId="49FB6093" w14:textId="77777777" w:rsidR="00E06541" w:rsidRPr="00941E30" w:rsidRDefault="00E06541" w:rsidP="00085BAF">
            <w:pPr>
              <w:jc w:val="both"/>
              <w:rPr>
                <w:rFonts w:ascii="Times New Roman" w:hAnsi="Times New Roman"/>
                <w:b/>
                <w:sz w:val="20"/>
                <w:szCs w:val="20"/>
              </w:rPr>
            </w:pPr>
          </w:p>
          <w:p w14:paraId="4BB4B387" w14:textId="77777777" w:rsidR="00E06541" w:rsidRPr="00941E30" w:rsidRDefault="00E06541">
            <w:pPr>
              <w:jc w:val="both"/>
              <w:rPr>
                <w:rFonts w:ascii="Times New Roman" w:hAnsi="Times New Roman"/>
                <w:b/>
                <w:sz w:val="20"/>
                <w:szCs w:val="20"/>
              </w:rPr>
            </w:pPr>
            <w:r w:rsidRPr="00941E30">
              <w:rPr>
                <w:rFonts w:ascii="Times New Roman" w:hAnsi="Times New Roman"/>
                <w:b/>
                <w:sz w:val="20"/>
                <w:szCs w:val="20"/>
              </w:rPr>
              <w:t>TOTAL</w:t>
            </w:r>
          </w:p>
        </w:tc>
        <w:tc>
          <w:tcPr>
            <w:tcW w:w="1260" w:type="dxa"/>
            <w:shd w:val="clear" w:color="auto" w:fill="D9E2F3"/>
            <w:noWrap/>
          </w:tcPr>
          <w:p w14:paraId="6E5830DC" w14:textId="77777777" w:rsidR="00E06541" w:rsidRPr="00941E30" w:rsidRDefault="00E06541">
            <w:pPr>
              <w:jc w:val="both"/>
              <w:rPr>
                <w:rFonts w:ascii="Times New Roman" w:hAnsi="Times New Roman"/>
                <w:b/>
                <w:sz w:val="20"/>
                <w:szCs w:val="20"/>
              </w:rPr>
            </w:pPr>
          </w:p>
          <w:p w14:paraId="48575A90" w14:textId="77777777" w:rsidR="00E06541" w:rsidRPr="00941E30" w:rsidRDefault="00E06541">
            <w:pPr>
              <w:jc w:val="both"/>
              <w:rPr>
                <w:rFonts w:ascii="Times New Roman" w:hAnsi="Times New Roman"/>
                <w:b/>
                <w:sz w:val="20"/>
                <w:szCs w:val="20"/>
              </w:rPr>
            </w:pPr>
            <w:r w:rsidRPr="00941E30">
              <w:rPr>
                <w:rFonts w:ascii="Times New Roman" w:hAnsi="Times New Roman"/>
                <w:b/>
                <w:sz w:val="20"/>
                <w:szCs w:val="20"/>
              </w:rPr>
              <w:t>194 570</w:t>
            </w:r>
          </w:p>
        </w:tc>
        <w:tc>
          <w:tcPr>
            <w:tcW w:w="1260" w:type="dxa"/>
            <w:shd w:val="clear" w:color="auto" w:fill="D9E2F3"/>
            <w:noWrap/>
          </w:tcPr>
          <w:p w14:paraId="5A3A1CDA" w14:textId="77777777" w:rsidR="00E06541" w:rsidRPr="00941E30" w:rsidRDefault="00E06541">
            <w:pPr>
              <w:jc w:val="both"/>
              <w:rPr>
                <w:rFonts w:ascii="Times New Roman" w:hAnsi="Times New Roman"/>
                <w:b/>
                <w:sz w:val="20"/>
                <w:szCs w:val="20"/>
              </w:rPr>
            </w:pPr>
          </w:p>
          <w:p w14:paraId="0271CF89" w14:textId="77777777" w:rsidR="00E06541" w:rsidRPr="00941E30" w:rsidRDefault="00E06541">
            <w:pPr>
              <w:jc w:val="both"/>
              <w:rPr>
                <w:rFonts w:ascii="Times New Roman" w:hAnsi="Times New Roman"/>
                <w:b/>
                <w:sz w:val="20"/>
                <w:szCs w:val="20"/>
              </w:rPr>
            </w:pPr>
            <w:r w:rsidRPr="00941E30">
              <w:rPr>
                <w:rFonts w:ascii="Times New Roman" w:hAnsi="Times New Roman"/>
                <w:b/>
                <w:sz w:val="20"/>
                <w:szCs w:val="20"/>
              </w:rPr>
              <w:t>200 294</w:t>
            </w:r>
          </w:p>
        </w:tc>
        <w:tc>
          <w:tcPr>
            <w:tcW w:w="1350" w:type="dxa"/>
            <w:shd w:val="clear" w:color="auto" w:fill="D9E2F3"/>
          </w:tcPr>
          <w:p w14:paraId="6333634E" w14:textId="77777777" w:rsidR="00E06541" w:rsidRPr="00941E30" w:rsidRDefault="00E06541">
            <w:pPr>
              <w:jc w:val="both"/>
              <w:rPr>
                <w:rFonts w:ascii="Times New Roman" w:hAnsi="Times New Roman"/>
                <w:b/>
                <w:sz w:val="20"/>
                <w:szCs w:val="20"/>
              </w:rPr>
            </w:pPr>
          </w:p>
          <w:p w14:paraId="45758B71" w14:textId="77777777" w:rsidR="00E06541" w:rsidRPr="00941E30" w:rsidRDefault="00E06541">
            <w:pPr>
              <w:jc w:val="both"/>
              <w:rPr>
                <w:rFonts w:ascii="Times New Roman" w:hAnsi="Times New Roman"/>
                <w:b/>
                <w:sz w:val="20"/>
                <w:szCs w:val="20"/>
              </w:rPr>
            </w:pPr>
            <w:r w:rsidRPr="00941E30">
              <w:rPr>
                <w:rFonts w:ascii="Times New Roman" w:hAnsi="Times New Roman"/>
                <w:b/>
                <w:sz w:val="20"/>
                <w:szCs w:val="20"/>
              </w:rPr>
              <w:t>211 314</w:t>
            </w:r>
          </w:p>
        </w:tc>
        <w:tc>
          <w:tcPr>
            <w:tcW w:w="1260" w:type="dxa"/>
            <w:shd w:val="clear" w:color="auto" w:fill="D9E2F3"/>
          </w:tcPr>
          <w:p w14:paraId="4973524E" w14:textId="77777777" w:rsidR="00E06541" w:rsidRPr="00941E30" w:rsidRDefault="00E06541">
            <w:pPr>
              <w:jc w:val="both"/>
              <w:rPr>
                <w:rFonts w:ascii="Times New Roman" w:hAnsi="Times New Roman"/>
                <w:b/>
                <w:sz w:val="20"/>
                <w:szCs w:val="20"/>
              </w:rPr>
            </w:pPr>
          </w:p>
          <w:p w14:paraId="68295586" w14:textId="77777777" w:rsidR="00E06541" w:rsidRPr="00941E30" w:rsidRDefault="00E06541">
            <w:pPr>
              <w:jc w:val="both"/>
              <w:rPr>
                <w:rFonts w:ascii="Times New Roman" w:hAnsi="Times New Roman"/>
                <w:b/>
                <w:sz w:val="20"/>
                <w:szCs w:val="20"/>
              </w:rPr>
            </w:pPr>
            <w:r w:rsidRPr="00941E30">
              <w:rPr>
                <w:rFonts w:ascii="Times New Roman" w:hAnsi="Times New Roman"/>
                <w:b/>
                <w:sz w:val="20"/>
                <w:szCs w:val="20"/>
              </w:rPr>
              <w:t>231 512</w:t>
            </w:r>
          </w:p>
        </w:tc>
        <w:tc>
          <w:tcPr>
            <w:tcW w:w="1350" w:type="dxa"/>
            <w:shd w:val="clear" w:color="auto" w:fill="D9E2F3"/>
          </w:tcPr>
          <w:p w14:paraId="14C2D1B2" w14:textId="77777777" w:rsidR="00E06541" w:rsidRPr="00941E30" w:rsidRDefault="00E06541">
            <w:pPr>
              <w:jc w:val="both"/>
              <w:rPr>
                <w:rFonts w:ascii="Times New Roman" w:hAnsi="Times New Roman"/>
                <w:b/>
                <w:sz w:val="20"/>
                <w:szCs w:val="20"/>
              </w:rPr>
            </w:pPr>
          </w:p>
          <w:p w14:paraId="10F34F3E" w14:textId="77777777" w:rsidR="00E06541" w:rsidRPr="00941E30" w:rsidRDefault="00E06541">
            <w:pPr>
              <w:jc w:val="both"/>
              <w:rPr>
                <w:rFonts w:ascii="Times New Roman" w:hAnsi="Times New Roman"/>
                <w:b/>
                <w:sz w:val="20"/>
                <w:szCs w:val="20"/>
              </w:rPr>
            </w:pPr>
            <w:r w:rsidRPr="00941E30">
              <w:rPr>
                <w:rFonts w:ascii="Times New Roman" w:hAnsi="Times New Roman"/>
                <w:b/>
                <w:sz w:val="20"/>
                <w:szCs w:val="20"/>
              </w:rPr>
              <w:t>6.0%</w:t>
            </w:r>
          </w:p>
        </w:tc>
      </w:tr>
    </w:tbl>
    <w:p w14:paraId="165F4715" w14:textId="77777777" w:rsidR="001651CD" w:rsidRPr="00085BAF" w:rsidRDefault="001651CD" w:rsidP="00085BAF">
      <w:pPr>
        <w:rPr>
          <w:rFonts w:ascii="Times New Roman" w:hAnsi="Times New Roman"/>
          <w:sz w:val="24"/>
          <w:szCs w:val="24"/>
        </w:rPr>
      </w:pPr>
    </w:p>
    <w:p w14:paraId="6036A2FB" w14:textId="77777777" w:rsidR="008E0256" w:rsidRPr="0093633A" w:rsidRDefault="008E0256" w:rsidP="00941E30">
      <w:pPr>
        <w:spacing w:line="360" w:lineRule="auto"/>
        <w:jc w:val="both"/>
        <w:rPr>
          <w:rFonts w:ascii="Times New Roman" w:hAnsi="Times New Roman"/>
          <w:color w:val="FF0000"/>
          <w:sz w:val="24"/>
          <w:szCs w:val="24"/>
        </w:rPr>
      </w:pPr>
      <w:r w:rsidRPr="00085BAF">
        <w:rPr>
          <w:rFonts w:ascii="Times New Roman" w:hAnsi="Times New Roman"/>
          <w:sz w:val="24"/>
          <w:szCs w:val="24"/>
        </w:rPr>
        <w:t>The budget increases by 2.9 percent from R194.6 million in 2017/18 to R200.3 million in 20</w:t>
      </w:r>
      <w:r w:rsidRPr="0093633A">
        <w:rPr>
          <w:rFonts w:ascii="Times New Roman" w:hAnsi="Times New Roman"/>
          <w:sz w:val="24"/>
          <w:szCs w:val="24"/>
        </w:rPr>
        <w:t>18/19. In terms of economic classification, the Compensation of Ex-miners programme is the largest area of expenditure, accounting for 75.5 percent or R151.3 million of the budget. The second largest programme is the Compensation of Tuberculosis which receives 18.3 percent of the total budget (R36.7 million).</w:t>
      </w:r>
      <w:r w:rsidRPr="0093633A">
        <w:rPr>
          <w:rFonts w:ascii="Times New Roman" w:hAnsi="Times New Roman"/>
          <w:color w:val="FF0000"/>
          <w:sz w:val="24"/>
          <w:szCs w:val="24"/>
        </w:rPr>
        <w:t xml:space="preserve"> </w:t>
      </w:r>
    </w:p>
    <w:p w14:paraId="2B17536C" w14:textId="77777777" w:rsidR="00080755" w:rsidRDefault="00080755">
      <w:pPr>
        <w:jc w:val="both"/>
        <w:rPr>
          <w:rFonts w:ascii="Times New Roman" w:hAnsi="Times New Roman"/>
          <w:color w:val="FF0000"/>
          <w:sz w:val="24"/>
          <w:szCs w:val="24"/>
        </w:rPr>
      </w:pPr>
    </w:p>
    <w:p w14:paraId="38E820B7" w14:textId="77777777" w:rsidR="003A46DA" w:rsidRDefault="003A46DA">
      <w:pPr>
        <w:jc w:val="both"/>
        <w:rPr>
          <w:rFonts w:ascii="Times New Roman" w:hAnsi="Times New Roman"/>
          <w:b/>
          <w:color w:val="auto"/>
          <w:sz w:val="24"/>
          <w:szCs w:val="24"/>
        </w:rPr>
      </w:pPr>
    </w:p>
    <w:p w14:paraId="3C3BD516" w14:textId="77777777" w:rsidR="008E0256" w:rsidRPr="0093633A" w:rsidRDefault="008E0256">
      <w:pPr>
        <w:jc w:val="both"/>
        <w:rPr>
          <w:rFonts w:ascii="Times New Roman" w:hAnsi="Times New Roman"/>
          <w:b/>
          <w:color w:val="auto"/>
          <w:sz w:val="24"/>
          <w:szCs w:val="24"/>
        </w:rPr>
      </w:pPr>
      <w:r w:rsidRPr="0093633A">
        <w:rPr>
          <w:rFonts w:ascii="Times New Roman" w:hAnsi="Times New Roman"/>
          <w:b/>
          <w:color w:val="auto"/>
          <w:sz w:val="24"/>
          <w:szCs w:val="24"/>
        </w:rPr>
        <w:t xml:space="preserve">Expenditure trends </w:t>
      </w:r>
    </w:p>
    <w:p w14:paraId="5E6A8734" w14:textId="77777777" w:rsidR="008E0256" w:rsidRPr="0093633A" w:rsidRDefault="008E0256">
      <w:pPr>
        <w:jc w:val="both"/>
        <w:rPr>
          <w:rFonts w:ascii="Times New Roman" w:hAnsi="Times New Roman"/>
          <w:b/>
          <w:color w:val="auto"/>
          <w:sz w:val="24"/>
          <w:szCs w:val="24"/>
        </w:rPr>
      </w:pPr>
    </w:p>
    <w:p w14:paraId="37D1CA68" w14:textId="77777777" w:rsidR="00733176" w:rsidRPr="0093633A" w:rsidRDefault="00733176" w:rsidP="00941E30">
      <w:pPr>
        <w:numPr>
          <w:ilvl w:val="0"/>
          <w:numId w:val="10"/>
        </w:numPr>
        <w:spacing w:line="360" w:lineRule="auto"/>
        <w:jc w:val="both"/>
        <w:rPr>
          <w:rFonts w:ascii="Times New Roman" w:hAnsi="Times New Roman"/>
          <w:sz w:val="24"/>
          <w:szCs w:val="24"/>
        </w:rPr>
      </w:pPr>
      <w:r w:rsidRPr="0093633A">
        <w:rPr>
          <w:rFonts w:ascii="Times New Roman" w:hAnsi="Times New Roman"/>
          <w:sz w:val="24"/>
          <w:szCs w:val="24"/>
        </w:rPr>
        <w:t>Over the medium-term the CCOD’s focus will be on stabilising the number of claims paid out by forming strategic partnerships;</w:t>
      </w:r>
    </w:p>
    <w:p w14:paraId="064EBC92" w14:textId="77777777" w:rsidR="00733176" w:rsidRPr="0093633A" w:rsidRDefault="00733176" w:rsidP="00941E30">
      <w:pPr>
        <w:numPr>
          <w:ilvl w:val="0"/>
          <w:numId w:val="10"/>
        </w:numPr>
        <w:spacing w:line="360" w:lineRule="auto"/>
        <w:jc w:val="both"/>
        <w:rPr>
          <w:rFonts w:ascii="Times New Roman" w:hAnsi="Times New Roman"/>
          <w:sz w:val="24"/>
          <w:szCs w:val="24"/>
        </w:rPr>
      </w:pPr>
      <w:r w:rsidRPr="0093633A">
        <w:rPr>
          <w:rFonts w:ascii="Times New Roman" w:hAnsi="Times New Roman"/>
          <w:sz w:val="24"/>
          <w:szCs w:val="24"/>
        </w:rPr>
        <w:t>Interests earned from investments is expected to decrease from R270.3 million in 2016/17 to R235 million over the MTEF period;</w:t>
      </w:r>
    </w:p>
    <w:p w14:paraId="15A4D6C7" w14:textId="77777777" w:rsidR="00733176" w:rsidRPr="0093633A" w:rsidRDefault="00733176" w:rsidP="00941E30">
      <w:pPr>
        <w:numPr>
          <w:ilvl w:val="0"/>
          <w:numId w:val="10"/>
        </w:numPr>
        <w:spacing w:line="360" w:lineRule="auto"/>
        <w:jc w:val="both"/>
        <w:rPr>
          <w:rFonts w:ascii="Times New Roman" w:hAnsi="Times New Roman"/>
          <w:sz w:val="24"/>
          <w:szCs w:val="24"/>
        </w:rPr>
      </w:pPr>
      <w:r w:rsidRPr="0093633A">
        <w:rPr>
          <w:rFonts w:ascii="Times New Roman" w:hAnsi="Times New Roman"/>
          <w:sz w:val="24"/>
          <w:szCs w:val="24"/>
        </w:rPr>
        <w:t>The initiatives of fast-tracing the claims payment processes over the MTEF periods will result in the expenditure increasing by R37 million by 2020/21. This makes up 95.9% of the CCOD’s expenditure over the MTEF;</w:t>
      </w:r>
    </w:p>
    <w:p w14:paraId="6FD04A6F" w14:textId="77777777" w:rsidR="00733176" w:rsidRPr="0093633A" w:rsidRDefault="00733176" w:rsidP="00941E30">
      <w:pPr>
        <w:numPr>
          <w:ilvl w:val="0"/>
          <w:numId w:val="10"/>
        </w:numPr>
        <w:spacing w:line="360" w:lineRule="auto"/>
        <w:jc w:val="both"/>
        <w:rPr>
          <w:rFonts w:ascii="Times New Roman" w:hAnsi="Times New Roman"/>
          <w:sz w:val="24"/>
          <w:szCs w:val="24"/>
        </w:rPr>
      </w:pPr>
      <w:r w:rsidRPr="0093633A">
        <w:rPr>
          <w:rFonts w:ascii="Times New Roman" w:hAnsi="Times New Roman"/>
          <w:sz w:val="24"/>
          <w:szCs w:val="24"/>
        </w:rPr>
        <w:t>Transfers to households in the compensation of ex-miners programme at an average annual rate of 5.9% and the compensation of Tuberculosis programme at an average annual rate of 7.3% over the medium term, with the overall amount for compensable diseases increasing from R166 million in the 20</w:t>
      </w:r>
      <w:r w:rsidR="003A46DA">
        <w:rPr>
          <w:rFonts w:ascii="Times New Roman" w:hAnsi="Times New Roman"/>
          <w:sz w:val="24"/>
          <w:szCs w:val="24"/>
        </w:rPr>
        <w:t>16/</w:t>
      </w:r>
      <w:r w:rsidRPr="0093633A">
        <w:rPr>
          <w:rFonts w:ascii="Times New Roman" w:hAnsi="Times New Roman"/>
          <w:sz w:val="24"/>
          <w:szCs w:val="24"/>
        </w:rPr>
        <w:t>1</w:t>
      </w:r>
      <w:r w:rsidR="003A46DA">
        <w:rPr>
          <w:rFonts w:ascii="Times New Roman" w:hAnsi="Times New Roman"/>
          <w:sz w:val="24"/>
          <w:szCs w:val="24"/>
        </w:rPr>
        <w:t>7</w:t>
      </w:r>
      <w:r w:rsidRPr="0093633A">
        <w:rPr>
          <w:rFonts w:ascii="Times New Roman" w:hAnsi="Times New Roman"/>
          <w:sz w:val="24"/>
          <w:szCs w:val="24"/>
        </w:rPr>
        <w:t xml:space="preserve"> to R222 million the 2020/21 owing to benefit increases of 33.8%; and</w:t>
      </w:r>
    </w:p>
    <w:p w14:paraId="24C482BB" w14:textId="77777777" w:rsidR="008F0730" w:rsidRPr="0093633A" w:rsidRDefault="00733176" w:rsidP="00941E30">
      <w:pPr>
        <w:numPr>
          <w:ilvl w:val="0"/>
          <w:numId w:val="10"/>
        </w:numPr>
        <w:spacing w:line="360" w:lineRule="auto"/>
        <w:jc w:val="both"/>
        <w:rPr>
          <w:rFonts w:ascii="Times New Roman" w:hAnsi="Times New Roman"/>
          <w:sz w:val="24"/>
          <w:szCs w:val="24"/>
        </w:rPr>
      </w:pPr>
      <w:r w:rsidRPr="0093633A">
        <w:rPr>
          <w:rFonts w:ascii="Times New Roman" w:hAnsi="Times New Roman"/>
          <w:sz w:val="24"/>
          <w:szCs w:val="24"/>
        </w:rPr>
        <w:t>The Minister of Health has approved an increase in pension amounts. This will be funded by the annual transfer from the Department of Health and is expected to grow at an average annual rate of 4.7% over the medium terms from R3.5 million in 2016/17 to R4.3 million in 2020/21.</w:t>
      </w:r>
    </w:p>
    <w:p w14:paraId="21D803E5" w14:textId="77777777" w:rsidR="00223B2A" w:rsidRDefault="00223B2A">
      <w:pPr>
        <w:jc w:val="both"/>
        <w:rPr>
          <w:rFonts w:ascii="Times New Roman" w:hAnsi="Times New Roman"/>
          <w:sz w:val="24"/>
          <w:szCs w:val="24"/>
        </w:rPr>
      </w:pPr>
    </w:p>
    <w:p w14:paraId="771A385D" w14:textId="77777777" w:rsidR="00223B2A" w:rsidRDefault="00223B2A">
      <w:pPr>
        <w:jc w:val="both"/>
        <w:rPr>
          <w:rFonts w:ascii="Times New Roman" w:hAnsi="Times New Roman"/>
          <w:sz w:val="24"/>
          <w:szCs w:val="24"/>
        </w:rPr>
      </w:pPr>
    </w:p>
    <w:p w14:paraId="43F12F43" w14:textId="77777777" w:rsidR="00822128" w:rsidRPr="0093633A" w:rsidRDefault="00822128" w:rsidP="00941E30">
      <w:pPr>
        <w:pStyle w:val="Heading1"/>
        <w:numPr>
          <w:ilvl w:val="0"/>
          <w:numId w:val="90"/>
        </w:numPr>
        <w:jc w:val="both"/>
        <w:rPr>
          <w:rFonts w:ascii="Times New Roman" w:hAnsi="Times New Roman" w:cs="Times New Roman"/>
          <w:color w:val="auto"/>
          <w:sz w:val="24"/>
          <w:szCs w:val="24"/>
          <w:lang w:val="en-US"/>
        </w:rPr>
      </w:pPr>
      <w:r w:rsidRPr="0093633A">
        <w:rPr>
          <w:rFonts w:ascii="Times New Roman" w:hAnsi="Times New Roman" w:cs="Times New Roman"/>
          <w:color w:val="auto"/>
          <w:sz w:val="24"/>
          <w:szCs w:val="24"/>
          <w:lang w:val="en-US"/>
        </w:rPr>
        <w:t>AUDITOR GENERAL SOUTH AFRICA</w:t>
      </w:r>
      <w:r w:rsidR="00EB2AFA" w:rsidRPr="0093633A">
        <w:rPr>
          <w:rFonts w:ascii="Times New Roman" w:hAnsi="Times New Roman" w:cs="Times New Roman"/>
          <w:color w:val="auto"/>
          <w:sz w:val="24"/>
          <w:szCs w:val="24"/>
          <w:lang w:val="en-US"/>
        </w:rPr>
        <w:t xml:space="preserve"> </w:t>
      </w:r>
      <w:r w:rsidR="00A709B2">
        <w:rPr>
          <w:rFonts w:ascii="Times New Roman" w:hAnsi="Times New Roman" w:cs="Times New Roman"/>
          <w:color w:val="auto"/>
          <w:sz w:val="24"/>
          <w:szCs w:val="24"/>
          <w:lang w:val="en-US"/>
        </w:rPr>
        <w:t xml:space="preserve">ON </w:t>
      </w:r>
      <w:r w:rsidR="00EB2AFA" w:rsidRPr="00085BAF">
        <w:rPr>
          <w:rFonts w:ascii="Times New Roman" w:hAnsi="Times New Roman" w:cs="Times New Roman"/>
          <w:color w:val="auto"/>
          <w:sz w:val="24"/>
          <w:szCs w:val="24"/>
          <w:lang w:val="en-US"/>
        </w:rPr>
        <w:t xml:space="preserve">THE </w:t>
      </w:r>
      <w:r w:rsidR="00A709B2" w:rsidRPr="0093633A">
        <w:rPr>
          <w:rFonts w:ascii="Times New Roman" w:hAnsi="Times New Roman" w:cs="Times New Roman"/>
          <w:color w:val="auto"/>
          <w:sz w:val="24"/>
          <w:szCs w:val="24"/>
          <w:lang w:val="en-US"/>
        </w:rPr>
        <w:t>201</w:t>
      </w:r>
      <w:r w:rsidR="00A709B2">
        <w:rPr>
          <w:rFonts w:ascii="Times New Roman" w:hAnsi="Times New Roman" w:cs="Times New Roman"/>
          <w:color w:val="auto"/>
          <w:sz w:val="24"/>
          <w:szCs w:val="24"/>
          <w:lang w:val="en-US"/>
        </w:rPr>
        <w:t>8</w:t>
      </w:r>
      <w:r w:rsidR="00EB2AFA" w:rsidRPr="00085BAF">
        <w:rPr>
          <w:rFonts w:ascii="Times New Roman" w:hAnsi="Times New Roman" w:cs="Times New Roman"/>
          <w:color w:val="auto"/>
          <w:sz w:val="24"/>
          <w:szCs w:val="24"/>
          <w:lang w:val="en-US"/>
        </w:rPr>
        <w:t>/</w:t>
      </w:r>
      <w:r w:rsidR="00A709B2" w:rsidRPr="0093633A">
        <w:rPr>
          <w:rFonts w:ascii="Times New Roman" w:hAnsi="Times New Roman" w:cs="Times New Roman"/>
          <w:color w:val="auto"/>
          <w:sz w:val="24"/>
          <w:szCs w:val="24"/>
          <w:lang w:val="en-US"/>
        </w:rPr>
        <w:t>1</w:t>
      </w:r>
      <w:r w:rsidR="00A709B2">
        <w:rPr>
          <w:rFonts w:ascii="Times New Roman" w:hAnsi="Times New Roman" w:cs="Times New Roman"/>
          <w:color w:val="auto"/>
          <w:sz w:val="24"/>
          <w:szCs w:val="24"/>
          <w:lang w:val="en-US"/>
        </w:rPr>
        <w:t>9</w:t>
      </w:r>
      <w:r w:rsidR="00A709B2" w:rsidRPr="00085BAF">
        <w:rPr>
          <w:rFonts w:ascii="Times New Roman" w:hAnsi="Times New Roman" w:cs="Times New Roman"/>
          <w:color w:val="auto"/>
          <w:sz w:val="24"/>
          <w:szCs w:val="24"/>
          <w:lang w:val="en-US"/>
        </w:rPr>
        <w:t xml:space="preserve"> </w:t>
      </w:r>
      <w:r w:rsidR="00EB2AFA" w:rsidRPr="00085BAF">
        <w:rPr>
          <w:rFonts w:ascii="Times New Roman" w:hAnsi="Times New Roman" w:cs="Times New Roman"/>
          <w:color w:val="auto"/>
          <w:sz w:val="24"/>
          <w:szCs w:val="24"/>
          <w:lang w:val="en-US"/>
        </w:rPr>
        <w:t>ANNUAL PERFORMANCE PLAN</w:t>
      </w:r>
      <w:r w:rsidR="00A709B2">
        <w:rPr>
          <w:rFonts w:ascii="Times New Roman" w:hAnsi="Times New Roman" w:cs="Times New Roman"/>
          <w:color w:val="auto"/>
          <w:sz w:val="24"/>
          <w:szCs w:val="24"/>
          <w:lang w:val="en-US"/>
        </w:rPr>
        <w:t>S</w:t>
      </w:r>
      <w:r w:rsidR="00EB2AFA" w:rsidRPr="00085BAF">
        <w:rPr>
          <w:rFonts w:ascii="Times New Roman" w:hAnsi="Times New Roman" w:cs="Times New Roman"/>
          <w:color w:val="auto"/>
          <w:sz w:val="24"/>
          <w:szCs w:val="24"/>
          <w:lang w:val="en-US"/>
        </w:rPr>
        <w:t xml:space="preserve"> </w:t>
      </w:r>
      <w:r w:rsidR="00114C54">
        <w:rPr>
          <w:rFonts w:ascii="Times New Roman" w:hAnsi="Times New Roman" w:cs="Times New Roman"/>
          <w:color w:val="auto"/>
          <w:sz w:val="24"/>
          <w:szCs w:val="24"/>
          <w:lang w:val="en-US"/>
        </w:rPr>
        <w:t>OF HEALTH</w:t>
      </w:r>
    </w:p>
    <w:p w14:paraId="16AEF156" w14:textId="77777777" w:rsidR="00733176" w:rsidRPr="00941E30" w:rsidRDefault="00733176" w:rsidP="00085BAF">
      <w:pPr>
        <w:rPr>
          <w:rFonts w:ascii="Times New Roman" w:hAnsi="Times New Roman"/>
          <w:lang w:val="en-US"/>
        </w:rPr>
      </w:pPr>
    </w:p>
    <w:p w14:paraId="506D3B78" w14:textId="77777777" w:rsidR="00733176" w:rsidRPr="00085BAF" w:rsidRDefault="00822128" w:rsidP="00941E30">
      <w:pPr>
        <w:pStyle w:val="Heading1"/>
        <w:numPr>
          <w:ilvl w:val="0"/>
          <w:numId w:val="0"/>
        </w:numPr>
        <w:spacing w:line="360" w:lineRule="auto"/>
        <w:jc w:val="both"/>
        <w:rPr>
          <w:rFonts w:ascii="Times New Roman" w:hAnsi="Times New Roman" w:cs="Times New Roman"/>
          <w:b w:val="0"/>
          <w:color w:val="auto"/>
          <w:sz w:val="24"/>
          <w:szCs w:val="24"/>
          <w:lang w:val="en-US"/>
        </w:rPr>
      </w:pPr>
      <w:r w:rsidRPr="00085BAF">
        <w:rPr>
          <w:rFonts w:ascii="Times New Roman" w:hAnsi="Times New Roman" w:cs="Times New Roman"/>
          <w:b w:val="0"/>
          <w:color w:val="auto"/>
          <w:sz w:val="24"/>
          <w:szCs w:val="24"/>
          <w:lang w:val="en-US"/>
        </w:rPr>
        <w:t>According to the A</w:t>
      </w:r>
      <w:r w:rsidR="002E0389" w:rsidRPr="00085BAF">
        <w:rPr>
          <w:rFonts w:ascii="Times New Roman" w:hAnsi="Times New Roman" w:cs="Times New Roman"/>
          <w:b w:val="0"/>
          <w:color w:val="auto"/>
          <w:sz w:val="24"/>
          <w:szCs w:val="24"/>
          <w:lang w:val="en-US"/>
        </w:rPr>
        <w:t xml:space="preserve">uditor </w:t>
      </w:r>
      <w:r w:rsidRPr="00085BAF">
        <w:rPr>
          <w:rFonts w:ascii="Times New Roman" w:hAnsi="Times New Roman" w:cs="Times New Roman"/>
          <w:b w:val="0"/>
          <w:color w:val="auto"/>
          <w:sz w:val="24"/>
          <w:szCs w:val="24"/>
          <w:lang w:val="en-US"/>
        </w:rPr>
        <w:t>G</w:t>
      </w:r>
      <w:r w:rsidR="002E0389" w:rsidRPr="00085BAF">
        <w:rPr>
          <w:rFonts w:ascii="Times New Roman" w:hAnsi="Times New Roman" w:cs="Times New Roman"/>
          <w:b w:val="0"/>
          <w:color w:val="auto"/>
          <w:sz w:val="24"/>
          <w:szCs w:val="24"/>
          <w:lang w:val="en-US"/>
        </w:rPr>
        <w:t>eneral</w:t>
      </w:r>
      <w:r w:rsidR="00D845FF">
        <w:rPr>
          <w:rFonts w:ascii="Times New Roman" w:hAnsi="Times New Roman" w:cs="Times New Roman"/>
          <w:b w:val="0"/>
          <w:color w:val="auto"/>
          <w:sz w:val="24"/>
          <w:szCs w:val="24"/>
          <w:lang w:val="en-US"/>
        </w:rPr>
        <w:t>,</w:t>
      </w:r>
      <w:r w:rsidR="002E0389" w:rsidRPr="00085BAF">
        <w:rPr>
          <w:rFonts w:ascii="Times New Roman" w:hAnsi="Times New Roman" w:cs="Times New Roman"/>
          <w:b w:val="0"/>
          <w:color w:val="auto"/>
          <w:sz w:val="24"/>
          <w:szCs w:val="24"/>
          <w:lang w:val="en-US"/>
        </w:rPr>
        <w:t xml:space="preserve"> </w:t>
      </w:r>
      <w:r w:rsidR="00733176" w:rsidRPr="0093633A">
        <w:rPr>
          <w:rFonts w:ascii="Times New Roman" w:hAnsi="Times New Roman" w:cs="Times New Roman"/>
          <w:b w:val="0"/>
          <w:color w:val="auto"/>
          <w:sz w:val="24"/>
          <w:szCs w:val="24"/>
          <w:lang w:val="en-US"/>
        </w:rPr>
        <w:t xml:space="preserve">there has been a reduction </w:t>
      </w:r>
      <w:r w:rsidR="00114C54">
        <w:rPr>
          <w:rFonts w:ascii="Times New Roman" w:hAnsi="Times New Roman" w:cs="Times New Roman"/>
          <w:b w:val="0"/>
          <w:color w:val="auto"/>
          <w:sz w:val="24"/>
          <w:szCs w:val="24"/>
          <w:lang w:val="en-US"/>
        </w:rPr>
        <w:t>i</w:t>
      </w:r>
      <w:r w:rsidR="00114C54" w:rsidRPr="00085BAF">
        <w:rPr>
          <w:rFonts w:ascii="Times New Roman" w:hAnsi="Times New Roman" w:cs="Times New Roman"/>
          <w:b w:val="0"/>
          <w:color w:val="auto"/>
          <w:sz w:val="24"/>
          <w:szCs w:val="24"/>
          <w:lang w:val="en-US"/>
        </w:rPr>
        <w:t xml:space="preserve">n </w:t>
      </w:r>
      <w:r w:rsidR="00733176" w:rsidRPr="00085BAF">
        <w:rPr>
          <w:rFonts w:ascii="Times New Roman" w:hAnsi="Times New Roman" w:cs="Times New Roman"/>
          <w:b w:val="0"/>
          <w:color w:val="auto"/>
          <w:sz w:val="24"/>
          <w:szCs w:val="24"/>
          <w:lang w:val="en-US"/>
        </w:rPr>
        <w:t>the number of indicators in the 2018/19 APP</w:t>
      </w:r>
      <w:r w:rsidR="00114C54">
        <w:rPr>
          <w:rFonts w:ascii="Times New Roman" w:hAnsi="Times New Roman" w:cs="Times New Roman"/>
          <w:b w:val="0"/>
          <w:color w:val="auto"/>
          <w:sz w:val="24"/>
          <w:szCs w:val="24"/>
          <w:lang w:val="en-US"/>
        </w:rPr>
        <w:t xml:space="preserve"> of the Department</w:t>
      </w:r>
      <w:r w:rsidR="00D845FF">
        <w:rPr>
          <w:rFonts w:ascii="Times New Roman" w:hAnsi="Times New Roman" w:cs="Times New Roman"/>
          <w:b w:val="0"/>
          <w:color w:val="auto"/>
          <w:sz w:val="24"/>
          <w:szCs w:val="24"/>
          <w:lang w:val="en-US"/>
        </w:rPr>
        <w:t xml:space="preserve"> aimed at </w:t>
      </w:r>
      <w:r w:rsidR="00D845FF" w:rsidRPr="00085BAF">
        <w:rPr>
          <w:rFonts w:ascii="Times New Roman" w:hAnsi="Times New Roman" w:cs="Times New Roman"/>
          <w:b w:val="0"/>
          <w:color w:val="auto"/>
          <w:sz w:val="24"/>
          <w:szCs w:val="24"/>
          <w:lang w:val="en-US"/>
        </w:rPr>
        <w:t>streamlin</w:t>
      </w:r>
      <w:r w:rsidR="00D845FF">
        <w:rPr>
          <w:rFonts w:ascii="Times New Roman" w:hAnsi="Times New Roman" w:cs="Times New Roman"/>
          <w:b w:val="0"/>
          <w:color w:val="auto"/>
          <w:sz w:val="24"/>
          <w:szCs w:val="24"/>
          <w:lang w:val="en-US"/>
        </w:rPr>
        <w:t>ing</w:t>
      </w:r>
      <w:r w:rsidR="00D845FF" w:rsidRPr="00085BAF">
        <w:rPr>
          <w:rFonts w:ascii="Times New Roman" w:hAnsi="Times New Roman" w:cs="Times New Roman"/>
          <w:b w:val="0"/>
          <w:color w:val="auto"/>
          <w:sz w:val="24"/>
          <w:szCs w:val="24"/>
          <w:lang w:val="en-US"/>
        </w:rPr>
        <w:t xml:space="preserve"> </w:t>
      </w:r>
      <w:r w:rsidR="00114C54">
        <w:rPr>
          <w:rFonts w:ascii="Times New Roman" w:hAnsi="Times New Roman" w:cs="Times New Roman"/>
          <w:b w:val="0"/>
          <w:color w:val="auto"/>
          <w:sz w:val="24"/>
          <w:szCs w:val="24"/>
          <w:lang w:val="en-US"/>
        </w:rPr>
        <w:t>its</w:t>
      </w:r>
      <w:r w:rsidR="00733176" w:rsidRPr="00085BAF">
        <w:rPr>
          <w:rFonts w:ascii="Times New Roman" w:hAnsi="Times New Roman" w:cs="Times New Roman"/>
          <w:b w:val="0"/>
          <w:color w:val="auto"/>
          <w:sz w:val="24"/>
          <w:szCs w:val="24"/>
          <w:lang w:val="en-US"/>
        </w:rPr>
        <w:t xml:space="preserve"> activities in preparation for the NHI</w:t>
      </w:r>
      <w:r w:rsidR="00114C54">
        <w:rPr>
          <w:rFonts w:ascii="Times New Roman" w:hAnsi="Times New Roman" w:cs="Times New Roman"/>
          <w:b w:val="0"/>
          <w:color w:val="auto"/>
          <w:sz w:val="24"/>
          <w:szCs w:val="24"/>
          <w:lang w:val="en-US"/>
        </w:rPr>
        <w:t>, as follows</w:t>
      </w:r>
      <w:r w:rsidR="00733176" w:rsidRPr="00085BAF">
        <w:rPr>
          <w:rFonts w:ascii="Times New Roman" w:hAnsi="Times New Roman" w:cs="Times New Roman"/>
          <w:b w:val="0"/>
          <w:color w:val="auto"/>
          <w:sz w:val="24"/>
          <w:szCs w:val="24"/>
          <w:lang w:val="en-US"/>
        </w:rPr>
        <w:t>:</w:t>
      </w:r>
    </w:p>
    <w:p w14:paraId="098F5286" w14:textId="77777777" w:rsidR="00733176" w:rsidRPr="00085BAF" w:rsidRDefault="00733176">
      <w:pPr>
        <w:pStyle w:val="Heading1"/>
        <w:numPr>
          <w:ilvl w:val="0"/>
          <w:numId w:val="71"/>
        </w:numPr>
        <w:spacing w:line="360" w:lineRule="auto"/>
        <w:jc w:val="both"/>
        <w:rPr>
          <w:rFonts w:ascii="Times New Roman" w:hAnsi="Times New Roman" w:cs="Times New Roman"/>
          <w:b w:val="0"/>
          <w:color w:val="auto"/>
          <w:sz w:val="24"/>
          <w:szCs w:val="24"/>
          <w:lang w:val="en-US"/>
        </w:rPr>
      </w:pPr>
      <w:r w:rsidRPr="0093633A">
        <w:rPr>
          <w:rFonts w:ascii="Times New Roman" w:hAnsi="Times New Roman" w:cs="Times New Roman"/>
          <w:b w:val="0"/>
          <w:color w:val="auto"/>
          <w:sz w:val="24"/>
          <w:szCs w:val="24"/>
          <w:lang w:val="en-US"/>
        </w:rPr>
        <w:t>Programme 2: National Health Insurance, Health Planning and Systems enablement</w:t>
      </w:r>
      <w:r w:rsidR="00114C54">
        <w:rPr>
          <w:rFonts w:ascii="Times New Roman" w:hAnsi="Times New Roman" w:cs="Times New Roman"/>
          <w:b w:val="0"/>
          <w:color w:val="auto"/>
          <w:sz w:val="24"/>
          <w:szCs w:val="24"/>
          <w:lang w:val="en-US"/>
        </w:rPr>
        <w:t xml:space="preserve">, </w:t>
      </w:r>
      <w:r w:rsidRPr="00085BAF">
        <w:rPr>
          <w:rFonts w:ascii="Times New Roman" w:hAnsi="Times New Roman" w:cs="Times New Roman"/>
          <w:b w:val="0"/>
          <w:color w:val="auto"/>
          <w:sz w:val="24"/>
          <w:szCs w:val="24"/>
          <w:lang w:val="en-US"/>
        </w:rPr>
        <w:t>reduced by 13 indicators and targets.</w:t>
      </w:r>
    </w:p>
    <w:p w14:paraId="5A5D8FAE" w14:textId="77777777" w:rsidR="00822128" w:rsidRPr="00085BAF" w:rsidRDefault="00822128">
      <w:pPr>
        <w:pStyle w:val="Heading1"/>
        <w:numPr>
          <w:ilvl w:val="0"/>
          <w:numId w:val="71"/>
        </w:numPr>
        <w:spacing w:line="360" w:lineRule="auto"/>
        <w:jc w:val="both"/>
        <w:rPr>
          <w:rFonts w:ascii="Times New Roman" w:hAnsi="Times New Roman" w:cs="Times New Roman"/>
          <w:b w:val="0"/>
          <w:color w:val="auto"/>
          <w:sz w:val="24"/>
          <w:szCs w:val="24"/>
          <w:lang w:val="en-US"/>
        </w:rPr>
      </w:pPr>
      <w:r w:rsidRPr="00085BAF">
        <w:rPr>
          <w:rFonts w:ascii="Times New Roman" w:hAnsi="Times New Roman" w:cs="Times New Roman"/>
          <w:b w:val="0"/>
          <w:color w:val="auto"/>
          <w:sz w:val="24"/>
          <w:szCs w:val="24"/>
          <w:lang w:val="en-US"/>
        </w:rPr>
        <w:t>Programme 3</w:t>
      </w:r>
      <w:r w:rsidR="001C2246" w:rsidRPr="00085BAF">
        <w:rPr>
          <w:rFonts w:ascii="Times New Roman" w:hAnsi="Times New Roman" w:cs="Times New Roman"/>
          <w:b w:val="0"/>
          <w:color w:val="auto"/>
          <w:sz w:val="24"/>
          <w:szCs w:val="24"/>
          <w:lang w:val="en-US"/>
        </w:rPr>
        <w:t>:</w:t>
      </w:r>
      <w:r w:rsidRPr="0093633A">
        <w:rPr>
          <w:rFonts w:ascii="Times New Roman" w:hAnsi="Times New Roman" w:cs="Times New Roman"/>
          <w:b w:val="0"/>
          <w:color w:val="auto"/>
          <w:sz w:val="24"/>
          <w:szCs w:val="24"/>
          <w:lang w:val="en-US"/>
        </w:rPr>
        <w:t xml:space="preserve"> HIV</w:t>
      </w:r>
      <w:r w:rsidR="00181A18">
        <w:rPr>
          <w:rFonts w:ascii="Times New Roman" w:hAnsi="Times New Roman" w:cs="Times New Roman"/>
          <w:b w:val="0"/>
          <w:color w:val="auto"/>
          <w:sz w:val="24"/>
          <w:szCs w:val="24"/>
          <w:lang w:val="en-US"/>
        </w:rPr>
        <w:t xml:space="preserve"> and </w:t>
      </w:r>
      <w:r w:rsidRPr="00085BAF">
        <w:rPr>
          <w:rFonts w:ascii="Times New Roman" w:hAnsi="Times New Roman" w:cs="Times New Roman"/>
          <w:b w:val="0"/>
          <w:color w:val="auto"/>
          <w:sz w:val="24"/>
          <w:szCs w:val="24"/>
          <w:lang w:val="en-US"/>
        </w:rPr>
        <w:t>AIDS</w:t>
      </w:r>
      <w:r w:rsidR="00181A18">
        <w:rPr>
          <w:rFonts w:ascii="Times New Roman" w:hAnsi="Times New Roman" w:cs="Times New Roman"/>
          <w:b w:val="0"/>
          <w:color w:val="auto"/>
          <w:sz w:val="24"/>
          <w:szCs w:val="24"/>
          <w:lang w:val="en-US"/>
        </w:rPr>
        <w:t>,</w:t>
      </w:r>
      <w:r w:rsidRPr="00085BAF">
        <w:rPr>
          <w:rFonts w:ascii="Times New Roman" w:hAnsi="Times New Roman" w:cs="Times New Roman"/>
          <w:b w:val="0"/>
          <w:color w:val="auto"/>
          <w:sz w:val="24"/>
          <w:szCs w:val="24"/>
          <w:lang w:val="en-US"/>
        </w:rPr>
        <w:t xml:space="preserve"> </w:t>
      </w:r>
      <w:r w:rsidR="00181A18">
        <w:rPr>
          <w:rFonts w:ascii="Times New Roman" w:hAnsi="Times New Roman" w:cs="Times New Roman"/>
          <w:b w:val="0"/>
          <w:color w:val="auto"/>
          <w:sz w:val="24"/>
          <w:szCs w:val="24"/>
          <w:lang w:val="en-US"/>
        </w:rPr>
        <w:t xml:space="preserve">TB, </w:t>
      </w:r>
      <w:r w:rsidRPr="00085BAF">
        <w:rPr>
          <w:rFonts w:ascii="Times New Roman" w:hAnsi="Times New Roman" w:cs="Times New Roman"/>
          <w:b w:val="0"/>
          <w:color w:val="auto"/>
          <w:sz w:val="24"/>
          <w:szCs w:val="24"/>
          <w:lang w:val="en-US"/>
        </w:rPr>
        <w:t>and Maternal Child Hea</w:t>
      </w:r>
      <w:r w:rsidR="00733176" w:rsidRPr="00085BAF">
        <w:rPr>
          <w:rFonts w:ascii="Times New Roman" w:hAnsi="Times New Roman" w:cs="Times New Roman"/>
          <w:b w:val="0"/>
          <w:color w:val="auto"/>
          <w:sz w:val="24"/>
          <w:szCs w:val="24"/>
          <w:lang w:val="en-US"/>
        </w:rPr>
        <w:t>lth</w:t>
      </w:r>
      <w:r w:rsidR="00114C54">
        <w:rPr>
          <w:rFonts w:ascii="Times New Roman" w:hAnsi="Times New Roman" w:cs="Times New Roman"/>
          <w:b w:val="0"/>
          <w:color w:val="auto"/>
          <w:sz w:val="24"/>
          <w:szCs w:val="24"/>
          <w:lang w:val="en-US"/>
        </w:rPr>
        <w:t xml:space="preserve">, </w:t>
      </w:r>
      <w:r w:rsidR="00733176" w:rsidRPr="00085BAF">
        <w:rPr>
          <w:rFonts w:ascii="Times New Roman" w:hAnsi="Times New Roman" w:cs="Times New Roman"/>
          <w:b w:val="0"/>
          <w:color w:val="auto"/>
          <w:sz w:val="24"/>
          <w:szCs w:val="24"/>
          <w:lang w:val="en-US"/>
        </w:rPr>
        <w:t>reduced 14 indicators and targets.</w:t>
      </w:r>
    </w:p>
    <w:p w14:paraId="525DFE78" w14:textId="77777777" w:rsidR="00494815" w:rsidRDefault="00822128">
      <w:pPr>
        <w:pStyle w:val="ListParagraph"/>
        <w:numPr>
          <w:ilvl w:val="0"/>
          <w:numId w:val="24"/>
        </w:numPr>
        <w:spacing w:line="360" w:lineRule="auto"/>
        <w:jc w:val="both"/>
        <w:rPr>
          <w:rFonts w:ascii="Times New Roman" w:hAnsi="Times New Roman"/>
          <w:color w:val="auto"/>
          <w:sz w:val="24"/>
          <w:szCs w:val="24"/>
          <w:lang w:val="en-US"/>
        </w:rPr>
      </w:pPr>
      <w:r w:rsidRPr="0093633A">
        <w:rPr>
          <w:rFonts w:ascii="Times New Roman" w:hAnsi="Times New Roman"/>
          <w:color w:val="auto"/>
          <w:sz w:val="24"/>
          <w:szCs w:val="24"/>
          <w:lang w:val="en-US"/>
        </w:rPr>
        <w:t>Programme 5</w:t>
      </w:r>
      <w:r w:rsidR="001C2246" w:rsidRPr="0093633A">
        <w:rPr>
          <w:rFonts w:ascii="Times New Roman" w:hAnsi="Times New Roman"/>
          <w:color w:val="auto"/>
          <w:sz w:val="24"/>
          <w:szCs w:val="24"/>
          <w:lang w:val="en-US"/>
        </w:rPr>
        <w:t xml:space="preserve">: </w:t>
      </w:r>
      <w:r w:rsidRPr="0093633A">
        <w:rPr>
          <w:rFonts w:ascii="Times New Roman" w:hAnsi="Times New Roman"/>
          <w:color w:val="auto"/>
          <w:sz w:val="24"/>
          <w:szCs w:val="24"/>
          <w:lang w:val="en-US"/>
        </w:rPr>
        <w:t>Hospital, tertiary health services and human resource development</w:t>
      </w:r>
      <w:r w:rsidR="00114C54">
        <w:rPr>
          <w:rFonts w:ascii="Times New Roman" w:hAnsi="Times New Roman"/>
          <w:color w:val="auto"/>
          <w:sz w:val="24"/>
          <w:szCs w:val="24"/>
          <w:lang w:val="en-US"/>
        </w:rPr>
        <w:t xml:space="preserve">, </w:t>
      </w:r>
      <w:r w:rsidR="00733176" w:rsidRPr="0093633A">
        <w:rPr>
          <w:rFonts w:ascii="Times New Roman" w:hAnsi="Times New Roman"/>
          <w:color w:val="auto"/>
          <w:sz w:val="24"/>
          <w:szCs w:val="24"/>
          <w:lang w:val="en-US"/>
        </w:rPr>
        <w:t>reduced 10 indicators and targets.</w:t>
      </w:r>
    </w:p>
    <w:p w14:paraId="7AF82FE3" w14:textId="77777777" w:rsidR="00114C54" w:rsidRDefault="00114C54" w:rsidP="00941E30">
      <w:pPr>
        <w:jc w:val="both"/>
        <w:rPr>
          <w:rFonts w:ascii="Times New Roman" w:hAnsi="Times New Roman"/>
          <w:color w:val="auto"/>
          <w:sz w:val="24"/>
          <w:szCs w:val="24"/>
          <w:lang w:val="en-US"/>
        </w:rPr>
      </w:pPr>
    </w:p>
    <w:p w14:paraId="1E51FFB1" w14:textId="77777777" w:rsidR="00114C54" w:rsidRPr="00085BAF" w:rsidRDefault="00114C54" w:rsidP="00941E30">
      <w:p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The Auditor General noted with concern the vacancies in key positions at the Council for Medical Schemes and National Health Laboratory Service. The AG conducted a status of records review of </w:t>
      </w:r>
      <w:r w:rsidR="002907D4">
        <w:rPr>
          <w:rFonts w:ascii="Times New Roman" w:hAnsi="Times New Roman"/>
          <w:color w:val="auto"/>
          <w:sz w:val="24"/>
          <w:szCs w:val="24"/>
          <w:lang w:val="en-US"/>
        </w:rPr>
        <w:t>seven</w:t>
      </w:r>
      <w:r>
        <w:rPr>
          <w:rFonts w:ascii="Times New Roman" w:hAnsi="Times New Roman"/>
          <w:color w:val="auto"/>
          <w:sz w:val="24"/>
          <w:szCs w:val="24"/>
          <w:lang w:val="en-US"/>
        </w:rPr>
        <w:t xml:space="preserve"> provincial departments (excluding </w:t>
      </w:r>
      <w:r w:rsidR="002907D4">
        <w:rPr>
          <w:rFonts w:ascii="Times New Roman" w:hAnsi="Times New Roman"/>
          <w:color w:val="auto"/>
          <w:sz w:val="24"/>
          <w:szCs w:val="24"/>
          <w:lang w:val="en-US"/>
        </w:rPr>
        <w:t xml:space="preserve">Western Cape and </w:t>
      </w:r>
      <w:r w:rsidR="00224277">
        <w:rPr>
          <w:rFonts w:ascii="Times New Roman" w:hAnsi="Times New Roman"/>
          <w:color w:val="auto"/>
          <w:sz w:val="24"/>
          <w:szCs w:val="24"/>
          <w:lang w:val="en-US"/>
        </w:rPr>
        <w:t xml:space="preserve">North West) and </w:t>
      </w:r>
      <w:r w:rsidR="00E04D7D">
        <w:rPr>
          <w:rFonts w:ascii="Times New Roman" w:hAnsi="Times New Roman"/>
          <w:color w:val="auto"/>
          <w:sz w:val="24"/>
          <w:szCs w:val="24"/>
          <w:lang w:val="en-US"/>
        </w:rPr>
        <w:t xml:space="preserve">found that the majority of </w:t>
      </w:r>
      <w:r w:rsidR="008768E5">
        <w:rPr>
          <w:rFonts w:ascii="Times New Roman" w:hAnsi="Times New Roman"/>
          <w:color w:val="auto"/>
          <w:sz w:val="24"/>
          <w:szCs w:val="24"/>
          <w:lang w:val="en-US"/>
        </w:rPr>
        <w:t xml:space="preserve">provincial departments had numerous areas of </w:t>
      </w:r>
      <w:r w:rsidR="00E04D7D">
        <w:rPr>
          <w:rFonts w:ascii="Times New Roman" w:hAnsi="Times New Roman"/>
          <w:color w:val="auto"/>
          <w:sz w:val="24"/>
          <w:szCs w:val="24"/>
          <w:lang w:val="en-US"/>
        </w:rPr>
        <w:t>concern</w:t>
      </w:r>
      <w:r w:rsidR="008768E5">
        <w:rPr>
          <w:rFonts w:ascii="Times New Roman" w:hAnsi="Times New Roman"/>
          <w:color w:val="auto"/>
          <w:sz w:val="24"/>
          <w:szCs w:val="24"/>
          <w:lang w:val="en-US"/>
        </w:rPr>
        <w:t xml:space="preserve"> that require urgent intervention to prevent audit failure. These areas relate to financial management, performance management, procurement and contract management, compliance management</w:t>
      </w:r>
      <w:r w:rsidR="003A46DA">
        <w:rPr>
          <w:rFonts w:ascii="Times New Roman" w:hAnsi="Times New Roman"/>
          <w:color w:val="auto"/>
          <w:sz w:val="24"/>
          <w:szCs w:val="24"/>
          <w:lang w:val="en-US"/>
        </w:rPr>
        <w:t>,</w:t>
      </w:r>
      <w:r w:rsidR="008768E5">
        <w:rPr>
          <w:rFonts w:ascii="Times New Roman" w:hAnsi="Times New Roman"/>
          <w:color w:val="auto"/>
          <w:sz w:val="24"/>
          <w:szCs w:val="24"/>
          <w:lang w:val="en-US"/>
        </w:rPr>
        <w:t xml:space="preserve"> IT management</w:t>
      </w:r>
      <w:r w:rsidR="00E465C4">
        <w:rPr>
          <w:rFonts w:ascii="Times New Roman" w:hAnsi="Times New Roman"/>
          <w:color w:val="auto"/>
          <w:sz w:val="24"/>
          <w:szCs w:val="24"/>
          <w:lang w:val="en-US"/>
        </w:rPr>
        <w:t xml:space="preserve">, </w:t>
      </w:r>
      <w:r w:rsidR="00E465C4" w:rsidRPr="00490B2C">
        <w:rPr>
          <w:rFonts w:ascii="Times New Roman" w:hAnsi="Times New Roman"/>
          <w:color w:val="auto"/>
          <w:sz w:val="24"/>
          <w:szCs w:val="24"/>
          <w:lang w:val="en-US"/>
        </w:rPr>
        <w:t>H</w:t>
      </w:r>
      <w:r w:rsidR="00950653" w:rsidRPr="00490B2C">
        <w:rPr>
          <w:rFonts w:ascii="Times New Roman" w:hAnsi="Times New Roman"/>
          <w:color w:val="auto"/>
          <w:sz w:val="24"/>
          <w:szCs w:val="24"/>
          <w:lang w:val="en-US"/>
        </w:rPr>
        <w:t xml:space="preserve">uman </w:t>
      </w:r>
      <w:r w:rsidR="00E465C4" w:rsidRPr="00490B2C">
        <w:rPr>
          <w:rFonts w:ascii="Times New Roman" w:hAnsi="Times New Roman"/>
          <w:color w:val="auto"/>
          <w:sz w:val="24"/>
          <w:szCs w:val="24"/>
          <w:lang w:val="en-US"/>
        </w:rPr>
        <w:t>R</w:t>
      </w:r>
      <w:r w:rsidR="00950653" w:rsidRPr="00490B2C">
        <w:rPr>
          <w:rFonts w:ascii="Times New Roman" w:hAnsi="Times New Roman"/>
          <w:color w:val="auto"/>
          <w:sz w:val="24"/>
          <w:szCs w:val="24"/>
          <w:lang w:val="en-US"/>
        </w:rPr>
        <w:t>esources and</w:t>
      </w:r>
      <w:r w:rsidR="0026202D" w:rsidRPr="00490B2C">
        <w:rPr>
          <w:rFonts w:ascii="Times New Roman" w:hAnsi="Times New Roman"/>
          <w:color w:val="auto"/>
          <w:sz w:val="24"/>
          <w:szCs w:val="24"/>
          <w:lang w:val="en-US"/>
        </w:rPr>
        <w:t xml:space="preserve"> </w:t>
      </w:r>
      <w:r w:rsidR="00950653" w:rsidRPr="00490B2C">
        <w:rPr>
          <w:rFonts w:ascii="Times New Roman" w:hAnsi="Times New Roman"/>
          <w:color w:val="auto"/>
          <w:sz w:val="24"/>
          <w:szCs w:val="24"/>
          <w:lang w:val="en-US"/>
        </w:rPr>
        <w:t>E</w:t>
      </w:r>
      <w:r w:rsidR="00E465C4" w:rsidRPr="00490B2C">
        <w:rPr>
          <w:rFonts w:ascii="Times New Roman" w:hAnsi="Times New Roman"/>
          <w:color w:val="auto"/>
          <w:sz w:val="24"/>
          <w:szCs w:val="24"/>
          <w:lang w:val="en-US"/>
        </w:rPr>
        <w:t>xpenditure management.</w:t>
      </w:r>
      <w:r w:rsidR="008768E5">
        <w:rPr>
          <w:rFonts w:ascii="Times New Roman" w:hAnsi="Times New Roman"/>
          <w:color w:val="auto"/>
          <w:sz w:val="24"/>
          <w:szCs w:val="24"/>
          <w:lang w:val="en-US"/>
        </w:rPr>
        <w:t xml:space="preserve"> </w:t>
      </w:r>
    </w:p>
    <w:p w14:paraId="4ACAF640" w14:textId="77777777" w:rsidR="00D845FF" w:rsidRPr="00085BAF" w:rsidRDefault="00D845FF" w:rsidP="00085BAF">
      <w:pPr>
        <w:jc w:val="both"/>
        <w:rPr>
          <w:rFonts w:ascii="Times New Roman" w:hAnsi="Times New Roman"/>
          <w:color w:val="auto"/>
          <w:sz w:val="24"/>
          <w:szCs w:val="24"/>
          <w:lang w:val="en-US"/>
        </w:rPr>
      </w:pPr>
    </w:p>
    <w:p w14:paraId="6755E3FE" w14:textId="77777777" w:rsidR="00DE53D3" w:rsidRDefault="00DE53D3">
      <w:pPr>
        <w:rPr>
          <w:rFonts w:ascii="Times New Roman" w:hAnsi="Times New Roman"/>
          <w:b/>
          <w:color w:val="auto"/>
          <w:sz w:val="24"/>
          <w:szCs w:val="24"/>
          <w:lang w:val="en-US"/>
        </w:rPr>
      </w:pPr>
      <w:r>
        <w:rPr>
          <w:rFonts w:ascii="Times New Roman" w:hAnsi="Times New Roman"/>
          <w:b/>
          <w:color w:val="auto"/>
          <w:sz w:val="24"/>
          <w:szCs w:val="24"/>
          <w:lang w:val="en-US"/>
        </w:rPr>
        <w:br w:type="page"/>
      </w:r>
    </w:p>
    <w:p w14:paraId="651872F2" w14:textId="77777777" w:rsidR="006B7AD3" w:rsidRDefault="00494815" w:rsidP="00941E30">
      <w:pPr>
        <w:pStyle w:val="ListParagraph"/>
        <w:numPr>
          <w:ilvl w:val="0"/>
          <w:numId w:val="90"/>
        </w:numPr>
        <w:rPr>
          <w:rFonts w:ascii="Times New Roman" w:hAnsi="Times New Roman"/>
          <w:b/>
          <w:color w:val="auto"/>
          <w:sz w:val="24"/>
          <w:szCs w:val="24"/>
          <w:lang w:val="en-US"/>
        </w:rPr>
      </w:pPr>
      <w:r w:rsidRPr="00085BAF">
        <w:rPr>
          <w:rFonts w:ascii="Times New Roman" w:hAnsi="Times New Roman"/>
          <w:b/>
          <w:color w:val="auto"/>
          <w:sz w:val="24"/>
          <w:szCs w:val="24"/>
          <w:lang w:val="en-US"/>
        </w:rPr>
        <w:t xml:space="preserve">FINANCIAL AND FISCAL COMMISSION </w:t>
      </w:r>
      <w:r w:rsidRPr="006B7AD3">
        <w:rPr>
          <w:rFonts w:ascii="Times New Roman" w:hAnsi="Times New Roman"/>
          <w:b/>
          <w:color w:val="auto"/>
          <w:sz w:val="24"/>
          <w:szCs w:val="24"/>
          <w:lang w:val="en-US"/>
        </w:rPr>
        <w:t>ASSESSMENT OF THE HEALTH SECTOR APP AND BUDGET</w:t>
      </w:r>
    </w:p>
    <w:p w14:paraId="75FE886D" w14:textId="77777777" w:rsidR="00494815" w:rsidRPr="00941E30" w:rsidRDefault="00494815" w:rsidP="00941E30">
      <w:pPr>
        <w:pStyle w:val="ListParagraph"/>
        <w:ind w:left="360"/>
        <w:rPr>
          <w:lang w:val="en-US"/>
        </w:rPr>
      </w:pPr>
      <w:r w:rsidRPr="00085BAF">
        <w:rPr>
          <w:rFonts w:ascii="Times New Roman" w:hAnsi="Times New Roman"/>
          <w:b/>
          <w:color w:val="auto"/>
          <w:sz w:val="24"/>
          <w:szCs w:val="24"/>
          <w:lang w:val="en-US"/>
        </w:rPr>
        <w:t xml:space="preserve"> </w:t>
      </w:r>
    </w:p>
    <w:p w14:paraId="40C4A79F" w14:textId="77777777" w:rsidR="00697112" w:rsidRDefault="00697112">
      <w:pPr>
        <w:spacing w:line="360" w:lineRule="auto"/>
        <w:jc w:val="both"/>
        <w:rPr>
          <w:rFonts w:ascii="Times New Roman" w:hAnsi="Times New Roman"/>
          <w:color w:val="auto"/>
          <w:sz w:val="24"/>
          <w:szCs w:val="24"/>
          <w:lang w:val="en-US"/>
        </w:rPr>
      </w:pPr>
      <w:r w:rsidRPr="002D4630">
        <w:rPr>
          <w:rFonts w:ascii="Times New Roman" w:hAnsi="Times New Roman"/>
          <w:color w:val="auto"/>
          <w:sz w:val="24"/>
          <w:szCs w:val="24"/>
          <w:lang w:val="en-US"/>
        </w:rPr>
        <w:t xml:space="preserve">According to the FFC, there are issues that </w:t>
      </w:r>
      <w:r>
        <w:rPr>
          <w:rFonts w:ascii="Times New Roman" w:hAnsi="Times New Roman"/>
          <w:color w:val="auto"/>
          <w:sz w:val="24"/>
          <w:szCs w:val="24"/>
          <w:lang w:val="en-US"/>
        </w:rPr>
        <w:t xml:space="preserve">needs to </w:t>
      </w:r>
      <w:r w:rsidR="00E83F53">
        <w:rPr>
          <w:rFonts w:ascii="Times New Roman" w:hAnsi="Times New Roman"/>
          <w:color w:val="auto"/>
          <w:sz w:val="24"/>
          <w:szCs w:val="24"/>
          <w:lang w:val="en-US"/>
        </w:rPr>
        <w:t xml:space="preserve">change in the health sector in </w:t>
      </w:r>
      <w:r w:rsidR="00F046E8">
        <w:rPr>
          <w:rFonts w:ascii="Times New Roman" w:hAnsi="Times New Roman"/>
          <w:color w:val="auto"/>
          <w:sz w:val="24"/>
          <w:szCs w:val="24"/>
          <w:lang w:val="en-US"/>
        </w:rPr>
        <w:t>ensuring a functioning health system.</w:t>
      </w:r>
      <w:r w:rsidRPr="002D4630">
        <w:rPr>
          <w:rFonts w:ascii="Times New Roman" w:hAnsi="Times New Roman"/>
          <w:color w:val="auto"/>
          <w:sz w:val="24"/>
          <w:szCs w:val="24"/>
          <w:lang w:val="en-US"/>
        </w:rPr>
        <w:t xml:space="preserve">  These include: </w:t>
      </w:r>
    </w:p>
    <w:p w14:paraId="535F5980" w14:textId="77777777" w:rsidR="00697112" w:rsidRDefault="00697112">
      <w:pPr>
        <w:pStyle w:val="ListParagraph"/>
        <w:numPr>
          <w:ilvl w:val="0"/>
          <w:numId w:val="25"/>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Financing of</w:t>
      </w:r>
      <w:r w:rsidR="00D55A7F">
        <w:rPr>
          <w:rFonts w:ascii="Times New Roman" w:hAnsi="Times New Roman"/>
          <w:color w:val="auto"/>
          <w:sz w:val="24"/>
          <w:szCs w:val="24"/>
          <w:lang w:val="en-US"/>
        </w:rPr>
        <w:t xml:space="preserve"> the </w:t>
      </w:r>
      <w:r w:rsidR="00F046E8">
        <w:rPr>
          <w:rFonts w:ascii="Times New Roman" w:hAnsi="Times New Roman"/>
          <w:color w:val="auto"/>
          <w:sz w:val="24"/>
          <w:szCs w:val="24"/>
          <w:lang w:val="en-US"/>
        </w:rPr>
        <w:t>sector;</w:t>
      </w:r>
    </w:p>
    <w:p w14:paraId="0BF95C12" w14:textId="77777777" w:rsidR="00F046E8" w:rsidRDefault="00F046E8">
      <w:pPr>
        <w:pStyle w:val="ListParagraph"/>
        <w:numPr>
          <w:ilvl w:val="0"/>
          <w:numId w:val="25"/>
        </w:numPr>
        <w:spacing w:line="360" w:lineRule="auto"/>
        <w:jc w:val="both"/>
        <w:rPr>
          <w:rFonts w:ascii="Times New Roman" w:hAnsi="Times New Roman"/>
          <w:color w:val="auto"/>
          <w:sz w:val="24"/>
          <w:szCs w:val="24"/>
          <w:lang w:val="en-US"/>
        </w:rPr>
      </w:pPr>
      <w:r w:rsidRPr="00085BAF">
        <w:rPr>
          <w:rFonts w:ascii="Times New Roman" w:hAnsi="Times New Roman"/>
          <w:color w:val="auto"/>
          <w:sz w:val="24"/>
          <w:szCs w:val="24"/>
          <w:lang w:val="en-US"/>
        </w:rPr>
        <w:t>I</w:t>
      </w:r>
      <w:r w:rsidR="00697112" w:rsidRPr="00085BAF">
        <w:rPr>
          <w:rFonts w:ascii="Times New Roman" w:hAnsi="Times New Roman"/>
          <w:color w:val="auto"/>
          <w:sz w:val="24"/>
          <w:szCs w:val="24"/>
          <w:lang w:val="en-US"/>
        </w:rPr>
        <w:t>nfrastructure</w:t>
      </w:r>
      <w:r w:rsidRPr="00085BAF">
        <w:rPr>
          <w:rFonts w:ascii="Times New Roman" w:hAnsi="Times New Roman"/>
          <w:color w:val="auto"/>
          <w:sz w:val="24"/>
          <w:szCs w:val="24"/>
          <w:lang w:val="en-US"/>
        </w:rPr>
        <w:t xml:space="preserve"> mai</w:t>
      </w:r>
      <w:r w:rsidRPr="00F046E8">
        <w:rPr>
          <w:rFonts w:ascii="Times New Roman" w:hAnsi="Times New Roman"/>
          <w:color w:val="auto"/>
          <w:sz w:val="24"/>
          <w:szCs w:val="24"/>
          <w:lang w:val="en-US"/>
        </w:rPr>
        <w:t>ntenance</w:t>
      </w:r>
      <w:r w:rsidR="00697112" w:rsidRPr="00F046E8">
        <w:rPr>
          <w:rFonts w:ascii="Times New Roman" w:hAnsi="Times New Roman"/>
          <w:color w:val="auto"/>
          <w:sz w:val="24"/>
          <w:szCs w:val="24"/>
          <w:lang w:val="en-US"/>
        </w:rPr>
        <w:t xml:space="preserve"> (buildings and equipment)</w:t>
      </w:r>
      <w:r>
        <w:rPr>
          <w:rFonts w:ascii="Times New Roman" w:hAnsi="Times New Roman"/>
          <w:color w:val="auto"/>
          <w:sz w:val="24"/>
          <w:szCs w:val="24"/>
          <w:lang w:val="en-US"/>
        </w:rPr>
        <w:t xml:space="preserve">; </w:t>
      </w:r>
    </w:p>
    <w:p w14:paraId="784DC679" w14:textId="77777777" w:rsidR="00F046E8" w:rsidRPr="00F046E8" w:rsidRDefault="00F046E8">
      <w:pPr>
        <w:pStyle w:val="ListParagraph"/>
        <w:numPr>
          <w:ilvl w:val="0"/>
          <w:numId w:val="25"/>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Procurement; and</w:t>
      </w:r>
    </w:p>
    <w:p w14:paraId="5AC4090A" w14:textId="77777777" w:rsidR="00697112" w:rsidRPr="002D4630" w:rsidRDefault="00697112">
      <w:pPr>
        <w:pStyle w:val="ListParagraph"/>
        <w:numPr>
          <w:ilvl w:val="0"/>
          <w:numId w:val="25"/>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Investment in human capital management and resourcing</w:t>
      </w:r>
      <w:r w:rsidRPr="002D4630">
        <w:rPr>
          <w:rFonts w:ascii="Times New Roman" w:hAnsi="Times New Roman"/>
          <w:color w:val="auto"/>
          <w:sz w:val="24"/>
          <w:szCs w:val="24"/>
          <w:lang w:val="en-US"/>
        </w:rPr>
        <w:t>.</w:t>
      </w:r>
    </w:p>
    <w:p w14:paraId="2D9BB2DB" w14:textId="77777777" w:rsidR="005411DD" w:rsidRPr="0093633A" w:rsidRDefault="005411DD" w:rsidP="00941E30">
      <w:pPr>
        <w:jc w:val="both"/>
        <w:rPr>
          <w:rFonts w:ascii="Times New Roman" w:hAnsi="Times New Roman"/>
          <w:color w:val="auto"/>
          <w:sz w:val="24"/>
          <w:szCs w:val="24"/>
          <w:lang w:val="en-US"/>
        </w:rPr>
      </w:pPr>
    </w:p>
    <w:p w14:paraId="49293674" w14:textId="77777777" w:rsidR="00E04D7D" w:rsidRDefault="005B7299" w:rsidP="00941E30">
      <w:pPr>
        <w:spacing w:line="360" w:lineRule="auto"/>
        <w:jc w:val="both"/>
        <w:rPr>
          <w:rFonts w:ascii="Times New Roman" w:hAnsi="Times New Roman"/>
          <w:color w:val="auto"/>
          <w:sz w:val="24"/>
          <w:szCs w:val="24"/>
          <w:lang w:val="en-US"/>
        </w:rPr>
      </w:pPr>
      <w:r w:rsidRPr="005B7299">
        <w:rPr>
          <w:rFonts w:ascii="Times New Roman" w:hAnsi="Times New Roman"/>
          <w:color w:val="auto"/>
          <w:sz w:val="24"/>
          <w:szCs w:val="24"/>
          <w:lang w:val="en-US"/>
        </w:rPr>
        <w:t xml:space="preserve">The FFC </w:t>
      </w:r>
      <w:r>
        <w:rPr>
          <w:rFonts w:ascii="Times New Roman" w:hAnsi="Times New Roman"/>
          <w:color w:val="auto"/>
          <w:sz w:val="24"/>
          <w:szCs w:val="24"/>
          <w:lang w:val="en-US"/>
        </w:rPr>
        <w:t>highlighted</w:t>
      </w:r>
      <w:r w:rsidRPr="00085BAF">
        <w:rPr>
          <w:rFonts w:ascii="Times New Roman" w:hAnsi="Times New Roman"/>
          <w:color w:val="auto"/>
          <w:sz w:val="24"/>
          <w:szCs w:val="24"/>
          <w:lang w:val="en-US"/>
        </w:rPr>
        <w:t xml:space="preserve"> th</w:t>
      </w:r>
      <w:r>
        <w:rPr>
          <w:rFonts w:ascii="Times New Roman" w:hAnsi="Times New Roman"/>
          <w:color w:val="auto"/>
          <w:sz w:val="24"/>
          <w:szCs w:val="24"/>
          <w:lang w:val="en-US"/>
        </w:rPr>
        <w:t xml:space="preserve">e </w:t>
      </w:r>
      <w:r w:rsidRPr="00085BAF">
        <w:rPr>
          <w:rFonts w:ascii="Times New Roman" w:hAnsi="Times New Roman"/>
          <w:color w:val="auto"/>
          <w:sz w:val="24"/>
          <w:szCs w:val="24"/>
          <w:lang w:val="en-US"/>
        </w:rPr>
        <w:t>need for</w:t>
      </w:r>
      <w:r>
        <w:rPr>
          <w:rFonts w:ascii="Times New Roman" w:hAnsi="Times New Roman"/>
          <w:color w:val="auto"/>
          <w:sz w:val="24"/>
          <w:szCs w:val="24"/>
          <w:lang w:val="en-US"/>
        </w:rPr>
        <w:t xml:space="preserve"> the</w:t>
      </w:r>
      <w:r w:rsidRPr="00085BAF">
        <w:rPr>
          <w:rFonts w:ascii="Times New Roman" w:hAnsi="Times New Roman"/>
          <w:color w:val="auto"/>
          <w:sz w:val="24"/>
          <w:szCs w:val="24"/>
          <w:lang w:val="en-US"/>
        </w:rPr>
        <w:t xml:space="preserve"> health sector to improve fiscal and operational efficiency through </w:t>
      </w:r>
      <w:r w:rsidRPr="00941E30">
        <w:rPr>
          <w:rFonts w:ascii="Times New Roman" w:hAnsi="Times New Roman"/>
          <w:sz w:val="24"/>
          <w:szCs w:val="24"/>
        </w:rPr>
        <w:t xml:space="preserve">the reduction of accruals; establishing a consensus over the use of transversal contracts; establishing resource claims administration units to ensure early and effective processing of Medico Legal </w:t>
      </w:r>
      <w:r>
        <w:rPr>
          <w:rFonts w:ascii="Times New Roman" w:hAnsi="Times New Roman"/>
          <w:sz w:val="24"/>
          <w:szCs w:val="24"/>
        </w:rPr>
        <w:t>c</w:t>
      </w:r>
      <w:r w:rsidRPr="00941E30">
        <w:rPr>
          <w:rFonts w:ascii="Times New Roman" w:hAnsi="Times New Roman"/>
          <w:sz w:val="24"/>
          <w:szCs w:val="24"/>
        </w:rPr>
        <w:t>laims; fast track implementation of electronic access to lab tests and the electronic filing system; improve infrastructure spending efficiency through standardises designs</w:t>
      </w:r>
      <w:r w:rsidRPr="00085BAF">
        <w:rPr>
          <w:rFonts w:ascii="Times New Roman" w:hAnsi="Times New Roman"/>
          <w:sz w:val="24"/>
          <w:szCs w:val="24"/>
        </w:rPr>
        <w:t>,</w:t>
      </w:r>
      <w:r w:rsidRPr="00941E30">
        <w:rPr>
          <w:rFonts w:ascii="Times New Roman" w:hAnsi="Times New Roman"/>
          <w:sz w:val="24"/>
          <w:szCs w:val="24"/>
        </w:rPr>
        <w:t xml:space="preserve"> normative unit costs and reduced variation orders; improve infrastructure planning; and resolve ongoing poor audit performance by provinces.</w:t>
      </w:r>
      <w:r>
        <w:rPr>
          <w:rFonts w:ascii="Times New Roman" w:hAnsi="Times New Roman"/>
          <w:sz w:val="24"/>
          <w:szCs w:val="24"/>
        </w:rPr>
        <w:t xml:space="preserve"> Furthermore, t</w:t>
      </w:r>
      <w:r w:rsidR="00E04D7D">
        <w:rPr>
          <w:rFonts w:ascii="Times New Roman" w:hAnsi="Times New Roman"/>
          <w:color w:val="auto"/>
          <w:sz w:val="24"/>
          <w:szCs w:val="24"/>
          <w:lang w:val="en-US"/>
        </w:rPr>
        <w:t xml:space="preserve">he FFC noted with concern, the </w:t>
      </w:r>
      <w:r>
        <w:rPr>
          <w:rFonts w:ascii="Times New Roman" w:hAnsi="Times New Roman"/>
          <w:color w:val="auto"/>
          <w:sz w:val="24"/>
          <w:szCs w:val="24"/>
          <w:lang w:val="en-US"/>
        </w:rPr>
        <w:t xml:space="preserve">continuous </w:t>
      </w:r>
      <w:r w:rsidR="00E04D7D">
        <w:rPr>
          <w:rFonts w:ascii="Times New Roman" w:hAnsi="Times New Roman"/>
          <w:color w:val="auto"/>
          <w:sz w:val="24"/>
          <w:szCs w:val="24"/>
          <w:lang w:val="en-US"/>
        </w:rPr>
        <w:t>increas</w:t>
      </w:r>
      <w:r>
        <w:rPr>
          <w:rFonts w:ascii="Times New Roman" w:hAnsi="Times New Roman"/>
          <w:color w:val="auto"/>
          <w:sz w:val="24"/>
          <w:szCs w:val="24"/>
          <w:lang w:val="en-US"/>
        </w:rPr>
        <w:t>e</w:t>
      </w:r>
      <w:r w:rsidR="00E04D7D">
        <w:rPr>
          <w:rFonts w:ascii="Times New Roman" w:hAnsi="Times New Roman"/>
          <w:color w:val="auto"/>
          <w:sz w:val="24"/>
          <w:szCs w:val="24"/>
          <w:lang w:val="en-US"/>
        </w:rPr>
        <w:t xml:space="preserve"> in fruitless and wasteful expenditure</w:t>
      </w:r>
      <w:r w:rsidR="00AE191A">
        <w:rPr>
          <w:rFonts w:ascii="Times New Roman" w:hAnsi="Times New Roman"/>
          <w:color w:val="auto"/>
          <w:sz w:val="24"/>
          <w:szCs w:val="24"/>
          <w:lang w:val="en-US"/>
        </w:rPr>
        <w:t xml:space="preserve"> incurred</w:t>
      </w:r>
      <w:r w:rsidR="006B7AD3">
        <w:rPr>
          <w:rFonts w:ascii="Times New Roman" w:hAnsi="Times New Roman"/>
          <w:color w:val="auto"/>
          <w:sz w:val="24"/>
          <w:szCs w:val="24"/>
          <w:lang w:val="en-US"/>
        </w:rPr>
        <w:t xml:space="preserve"> by provincial departments</w:t>
      </w:r>
      <w:r w:rsidR="00E04D7D">
        <w:rPr>
          <w:rFonts w:ascii="Times New Roman" w:hAnsi="Times New Roman"/>
          <w:color w:val="auto"/>
          <w:sz w:val="24"/>
          <w:szCs w:val="24"/>
          <w:lang w:val="en-US"/>
        </w:rPr>
        <w:t>.</w:t>
      </w:r>
      <w:r w:rsidR="00E83F53">
        <w:rPr>
          <w:rFonts w:ascii="Times New Roman" w:hAnsi="Times New Roman"/>
          <w:color w:val="auto"/>
          <w:sz w:val="24"/>
          <w:szCs w:val="24"/>
          <w:lang w:val="en-US"/>
        </w:rPr>
        <w:t xml:space="preserve"> </w:t>
      </w:r>
    </w:p>
    <w:p w14:paraId="4D1AD123" w14:textId="77777777" w:rsidR="006B7AD3" w:rsidRDefault="006B7AD3" w:rsidP="00941E30">
      <w:pPr>
        <w:jc w:val="both"/>
        <w:rPr>
          <w:rFonts w:ascii="Times New Roman" w:hAnsi="Times New Roman"/>
          <w:color w:val="auto"/>
          <w:sz w:val="24"/>
          <w:szCs w:val="24"/>
          <w:lang w:val="en-US"/>
        </w:rPr>
      </w:pPr>
    </w:p>
    <w:p w14:paraId="18D6131E" w14:textId="77777777" w:rsidR="00AF547A" w:rsidRPr="00085BAF" w:rsidRDefault="00B43B26" w:rsidP="00941E30">
      <w:pPr>
        <w:pStyle w:val="ListParagraph"/>
        <w:numPr>
          <w:ilvl w:val="0"/>
          <w:numId w:val="90"/>
        </w:numPr>
        <w:jc w:val="both"/>
        <w:rPr>
          <w:rFonts w:ascii="Times New Roman" w:hAnsi="Times New Roman"/>
          <w:b/>
          <w:color w:val="auto"/>
          <w:sz w:val="24"/>
          <w:szCs w:val="24"/>
          <w:lang w:val="en-US"/>
        </w:rPr>
      </w:pPr>
      <w:r w:rsidRPr="00085BAF">
        <w:rPr>
          <w:rFonts w:ascii="Times New Roman" w:hAnsi="Times New Roman"/>
          <w:b/>
          <w:color w:val="auto"/>
          <w:sz w:val="24"/>
          <w:szCs w:val="24"/>
          <w:lang w:val="en-US"/>
        </w:rPr>
        <w:t xml:space="preserve">COMMITTEE OBSERVATIONS AND FINDINGS </w:t>
      </w:r>
    </w:p>
    <w:p w14:paraId="67A832D9" w14:textId="77777777" w:rsidR="00AF547A" w:rsidRPr="00085BAF" w:rsidRDefault="00AF547A" w:rsidP="00941E30">
      <w:pPr>
        <w:jc w:val="both"/>
        <w:rPr>
          <w:rFonts w:ascii="Times New Roman" w:hAnsi="Times New Roman"/>
          <w:b/>
          <w:color w:val="auto"/>
          <w:sz w:val="24"/>
          <w:szCs w:val="24"/>
          <w:lang w:val="en-US"/>
        </w:rPr>
      </w:pPr>
    </w:p>
    <w:p w14:paraId="3AB39D94" w14:textId="77777777" w:rsidR="00AF547A" w:rsidRPr="0093633A" w:rsidRDefault="00AF547A">
      <w:pPr>
        <w:spacing w:line="360" w:lineRule="auto"/>
        <w:jc w:val="both"/>
        <w:rPr>
          <w:rFonts w:ascii="Times New Roman" w:hAnsi="Times New Roman"/>
          <w:color w:val="auto"/>
          <w:sz w:val="24"/>
          <w:szCs w:val="24"/>
          <w:lang w:val="en-US"/>
        </w:rPr>
      </w:pPr>
      <w:r w:rsidRPr="0093633A">
        <w:rPr>
          <w:rFonts w:ascii="Times New Roman" w:hAnsi="Times New Roman"/>
          <w:color w:val="auto"/>
          <w:sz w:val="24"/>
          <w:szCs w:val="24"/>
          <w:lang w:val="en-US"/>
        </w:rPr>
        <w:t xml:space="preserve">Having considered the </w:t>
      </w:r>
      <w:r w:rsidR="00C37150" w:rsidRPr="0093633A">
        <w:rPr>
          <w:rFonts w:ascii="Times New Roman" w:hAnsi="Times New Roman"/>
          <w:color w:val="auto"/>
          <w:sz w:val="24"/>
          <w:szCs w:val="24"/>
          <w:lang w:val="en-US"/>
        </w:rPr>
        <w:t>APP</w:t>
      </w:r>
      <w:r w:rsidRPr="0093633A">
        <w:rPr>
          <w:rFonts w:ascii="Times New Roman" w:hAnsi="Times New Roman"/>
          <w:color w:val="auto"/>
          <w:sz w:val="24"/>
          <w:szCs w:val="24"/>
          <w:lang w:val="en-US"/>
        </w:rPr>
        <w:t xml:space="preserve"> and the budget of the Department</w:t>
      </w:r>
      <w:r w:rsidR="005A162A" w:rsidRPr="0093633A">
        <w:rPr>
          <w:rFonts w:ascii="Times New Roman" w:hAnsi="Times New Roman"/>
          <w:color w:val="auto"/>
          <w:sz w:val="24"/>
          <w:szCs w:val="24"/>
          <w:lang w:val="en-US"/>
        </w:rPr>
        <w:t xml:space="preserve"> and its entities</w:t>
      </w:r>
      <w:r w:rsidRPr="0093633A">
        <w:rPr>
          <w:rFonts w:ascii="Times New Roman" w:hAnsi="Times New Roman"/>
          <w:color w:val="auto"/>
          <w:sz w:val="24"/>
          <w:szCs w:val="24"/>
          <w:lang w:val="en-US"/>
        </w:rPr>
        <w:t>,</w:t>
      </w:r>
      <w:r w:rsidR="002B0DF6" w:rsidRPr="0093633A">
        <w:rPr>
          <w:rFonts w:ascii="Times New Roman" w:hAnsi="Times New Roman"/>
          <w:color w:val="auto"/>
          <w:sz w:val="24"/>
          <w:szCs w:val="24"/>
          <w:lang w:val="en-US"/>
        </w:rPr>
        <w:t xml:space="preserve"> and </w:t>
      </w:r>
      <w:r w:rsidR="00301951" w:rsidRPr="0093633A">
        <w:rPr>
          <w:rFonts w:ascii="Times New Roman" w:hAnsi="Times New Roman"/>
          <w:color w:val="auto"/>
          <w:sz w:val="24"/>
          <w:szCs w:val="24"/>
          <w:lang w:val="en-US"/>
        </w:rPr>
        <w:t>analyses of relevant institutions</w:t>
      </w:r>
      <w:r w:rsidRPr="0093633A">
        <w:rPr>
          <w:rFonts w:ascii="Times New Roman" w:hAnsi="Times New Roman"/>
          <w:color w:val="auto"/>
          <w:sz w:val="24"/>
          <w:szCs w:val="24"/>
          <w:lang w:val="en-US"/>
        </w:rPr>
        <w:t xml:space="preserve"> this section summarizes the Committee’s </w:t>
      </w:r>
      <w:r w:rsidR="00AD6611" w:rsidRPr="0093633A">
        <w:rPr>
          <w:rFonts w:ascii="Times New Roman" w:hAnsi="Times New Roman"/>
          <w:color w:val="auto"/>
          <w:sz w:val="24"/>
          <w:szCs w:val="24"/>
          <w:lang w:val="en-US"/>
        </w:rPr>
        <w:t xml:space="preserve">findings and </w:t>
      </w:r>
      <w:r w:rsidRPr="0093633A">
        <w:rPr>
          <w:rFonts w:ascii="Times New Roman" w:hAnsi="Times New Roman"/>
          <w:color w:val="auto"/>
          <w:sz w:val="24"/>
          <w:szCs w:val="24"/>
          <w:lang w:val="en-US"/>
        </w:rPr>
        <w:t xml:space="preserve">observations:  </w:t>
      </w:r>
    </w:p>
    <w:p w14:paraId="17B0FC14" w14:textId="77777777" w:rsidR="006E7667" w:rsidRDefault="006E7667" w:rsidP="00941E30">
      <w:pPr>
        <w:jc w:val="both"/>
        <w:rPr>
          <w:rFonts w:ascii="Times New Roman" w:hAnsi="Times New Roman"/>
          <w:color w:val="auto"/>
          <w:sz w:val="24"/>
          <w:szCs w:val="24"/>
          <w:lang w:val="en-US"/>
        </w:rPr>
      </w:pPr>
    </w:p>
    <w:p w14:paraId="7BC33F6A" w14:textId="77777777" w:rsidR="007B3649" w:rsidRPr="00085BAF" w:rsidRDefault="007B3649" w:rsidP="00941E30">
      <w:pPr>
        <w:pStyle w:val="ListParagraph"/>
        <w:numPr>
          <w:ilvl w:val="1"/>
          <w:numId w:val="90"/>
        </w:numPr>
        <w:jc w:val="both"/>
        <w:rPr>
          <w:rFonts w:ascii="Times New Roman" w:hAnsi="Times New Roman"/>
          <w:b/>
          <w:color w:val="auto"/>
          <w:sz w:val="24"/>
          <w:szCs w:val="24"/>
          <w:lang w:val="en-US"/>
        </w:rPr>
      </w:pPr>
      <w:r w:rsidRPr="00085BAF">
        <w:rPr>
          <w:rFonts w:ascii="Times New Roman" w:hAnsi="Times New Roman"/>
          <w:b/>
          <w:color w:val="auto"/>
          <w:sz w:val="24"/>
          <w:szCs w:val="24"/>
          <w:lang w:val="en-US"/>
        </w:rPr>
        <w:t>Findings</w:t>
      </w:r>
      <w:r w:rsidR="0024108A" w:rsidRPr="00085BAF">
        <w:rPr>
          <w:rFonts w:ascii="Times New Roman" w:hAnsi="Times New Roman"/>
          <w:b/>
          <w:color w:val="auto"/>
          <w:sz w:val="24"/>
          <w:szCs w:val="24"/>
          <w:lang w:val="en-US"/>
        </w:rPr>
        <w:t xml:space="preserve"> and observations</w:t>
      </w:r>
      <w:r w:rsidRPr="00085BAF">
        <w:rPr>
          <w:rFonts w:ascii="Times New Roman" w:hAnsi="Times New Roman"/>
          <w:b/>
          <w:color w:val="auto"/>
          <w:sz w:val="24"/>
          <w:szCs w:val="24"/>
          <w:lang w:val="en-US"/>
        </w:rPr>
        <w:t xml:space="preserve"> on the Department </w:t>
      </w:r>
    </w:p>
    <w:p w14:paraId="0C64AF89" w14:textId="77777777" w:rsidR="007B3649" w:rsidRPr="00085BAF" w:rsidRDefault="007B3649" w:rsidP="00941E30">
      <w:pPr>
        <w:jc w:val="both"/>
        <w:rPr>
          <w:rFonts w:ascii="Times New Roman" w:hAnsi="Times New Roman"/>
          <w:color w:val="auto"/>
          <w:sz w:val="24"/>
          <w:szCs w:val="24"/>
          <w:lang w:val="en-US"/>
        </w:rPr>
      </w:pPr>
    </w:p>
    <w:p w14:paraId="0DAECF26" w14:textId="77777777" w:rsidR="009544A7" w:rsidRPr="00941E30" w:rsidRDefault="009D5360">
      <w:pPr>
        <w:pStyle w:val="ListParagraph"/>
        <w:numPr>
          <w:ilvl w:val="0"/>
          <w:numId w:val="11"/>
        </w:numPr>
        <w:spacing w:line="360" w:lineRule="auto"/>
        <w:jc w:val="both"/>
        <w:rPr>
          <w:rFonts w:ascii="Times New Roman" w:hAnsi="Times New Roman"/>
          <w:color w:val="FF0000"/>
          <w:sz w:val="24"/>
          <w:szCs w:val="24"/>
          <w:lang w:val="en-US"/>
        </w:rPr>
      </w:pPr>
      <w:r w:rsidRPr="0093633A">
        <w:rPr>
          <w:rFonts w:ascii="Times New Roman" w:hAnsi="Times New Roman"/>
          <w:color w:val="auto"/>
          <w:sz w:val="24"/>
          <w:szCs w:val="24"/>
          <w:lang w:val="en-US"/>
        </w:rPr>
        <w:t>The Committee</w:t>
      </w:r>
      <w:r w:rsidR="009544A7" w:rsidRPr="0093633A">
        <w:rPr>
          <w:rFonts w:ascii="Times New Roman" w:hAnsi="Times New Roman"/>
          <w:color w:val="auto"/>
          <w:sz w:val="24"/>
          <w:szCs w:val="24"/>
          <w:lang w:val="en-US"/>
        </w:rPr>
        <w:t xml:space="preserve"> noted with concern the poor performance of </w:t>
      </w:r>
      <w:r w:rsidR="009900CB" w:rsidRPr="0093633A">
        <w:rPr>
          <w:rFonts w:ascii="Times New Roman" w:hAnsi="Times New Roman"/>
          <w:color w:val="auto"/>
          <w:sz w:val="24"/>
          <w:szCs w:val="24"/>
          <w:lang w:val="en-US"/>
        </w:rPr>
        <w:t>provincial departments</w:t>
      </w:r>
      <w:r w:rsidR="006157F0">
        <w:rPr>
          <w:rFonts w:ascii="Times New Roman" w:hAnsi="Times New Roman"/>
          <w:color w:val="auto"/>
          <w:sz w:val="24"/>
          <w:szCs w:val="24"/>
          <w:lang w:val="en-US"/>
        </w:rPr>
        <w:t xml:space="preserve">.  </w:t>
      </w:r>
      <w:r w:rsidR="00085BAF">
        <w:rPr>
          <w:rFonts w:ascii="Times New Roman" w:hAnsi="Times New Roman"/>
          <w:color w:val="auto"/>
          <w:sz w:val="24"/>
          <w:szCs w:val="24"/>
          <w:lang w:val="en-US"/>
        </w:rPr>
        <w:t xml:space="preserve">The Committee was of the view that the APP of the Department is not addressing </w:t>
      </w:r>
      <w:r w:rsidR="00A72227">
        <w:rPr>
          <w:rFonts w:ascii="Times New Roman" w:hAnsi="Times New Roman"/>
          <w:color w:val="auto"/>
          <w:sz w:val="24"/>
          <w:szCs w:val="24"/>
          <w:lang w:val="en-US"/>
        </w:rPr>
        <w:t>plans to</w:t>
      </w:r>
      <w:r w:rsidR="00085BAF">
        <w:rPr>
          <w:rFonts w:ascii="Times New Roman" w:hAnsi="Times New Roman"/>
          <w:color w:val="auto"/>
          <w:sz w:val="24"/>
          <w:szCs w:val="24"/>
          <w:lang w:val="en-US"/>
        </w:rPr>
        <w:t xml:space="preserve"> assist provincial department</w:t>
      </w:r>
      <w:r w:rsidR="0026202D">
        <w:rPr>
          <w:rFonts w:ascii="Times New Roman" w:hAnsi="Times New Roman"/>
          <w:color w:val="auto"/>
          <w:sz w:val="24"/>
          <w:szCs w:val="24"/>
          <w:lang w:val="en-US"/>
        </w:rPr>
        <w:t>s</w:t>
      </w:r>
      <w:r w:rsidR="00085BAF">
        <w:rPr>
          <w:rFonts w:ascii="Times New Roman" w:hAnsi="Times New Roman"/>
          <w:color w:val="auto"/>
          <w:sz w:val="24"/>
          <w:szCs w:val="24"/>
          <w:lang w:val="en-US"/>
        </w:rPr>
        <w:t xml:space="preserve"> in improving </w:t>
      </w:r>
      <w:r w:rsidR="0017628A">
        <w:rPr>
          <w:rFonts w:ascii="Times New Roman" w:hAnsi="Times New Roman"/>
          <w:color w:val="auto"/>
          <w:sz w:val="24"/>
          <w:szCs w:val="24"/>
          <w:lang w:val="en-US"/>
        </w:rPr>
        <w:t xml:space="preserve">financial management and </w:t>
      </w:r>
      <w:r w:rsidR="00A72227">
        <w:rPr>
          <w:rFonts w:ascii="Times New Roman" w:hAnsi="Times New Roman"/>
          <w:color w:val="auto"/>
          <w:sz w:val="24"/>
          <w:szCs w:val="24"/>
          <w:lang w:val="en-US"/>
        </w:rPr>
        <w:t xml:space="preserve">the provision of </w:t>
      </w:r>
      <w:r w:rsidR="0017628A">
        <w:rPr>
          <w:rFonts w:ascii="Times New Roman" w:hAnsi="Times New Roman"/>
          <w:color w:val="auto"/>
          <w:sz w:val="24"/>
          <w:szCs w:val="24"/>
          <w:lang w:val="en-US"/>
        </w:rPr>
        <w:t xml:space="preserve">quality </w:t>
      </w:r>
      <w:r w:rsidR="00A72227">
        <w:rPr>
          <w:rFonts w:ascii="Times New Roman" w:hAnsi="Times New Roman"/>
          <w:color w:val="auto"/>
          <w:sz w:val="24"/>
          <w:szCs w:val="24"/>
          <w:lang w:val="en-US"/>
        </w:rPr>
        <w:t xml:space="preserve">health </w:t>
      </w:r>
      <w:r w:rsidR="0017628A">
        <w:rPr>
          <w:rFonts w:ascii="Times New Roman" w:hAnsi="Times New Roman"/>
          <w:color w:val="auto"/>
          <w:sz w:val="24"/>
          <w:szCs w:val="24"/>
          <w:lang w:val="en-US"/>
        </w:rPr>
        <w:t>care</w:t>
      </w:r>
      <w:r w:rsidR="00085BAF">
        <w:rPr>
          <w:rFonts w:ascii="Times New Roman" w:hAnsi="Times New Roman"/>
          <w:color w:val="auto"/>
          <w:sz w:val="24"/>
          <w:szCs w:val="24"/>
          <w:lang w:val="en-US"/>
        </w:rPr>
        <w:t xml:space="preserve">. </w:t>
      </w:r>
    </w:p>
    <w:p w14:paraId="064D9703" w14:textId="77777777" w:rsidR="005577D0" w:rsidRPr="00490B2C" w:rsidRDefault="005577D0" w:rsidP="00941E30">
      <w:pPr>
        <w:pStyle w:val="ListParagraph"/>
        <w:numPr>
          <w:ilvl w:val="0"/>
          <w:numId w:val="11"/>
        </w:numPr>
        <w:spacing w:line="360" w:lineRule="auto"/>
        <w:jc w:val="both"/>
        <w:rPr>
          <w:rFonts w:ascii="Times New Roman" w:hAnsi="Times New Roman"/>
          <w:color w:val="auto"/>
          <w:sz w:val="24"/>
          <w:szCs w:val="24"/>
          <w:lang w:val="en-US"/>
        </w:rPr>
      </w:pPr>
      <w:r w:rsidRPr="006906C1">
        <w:rPr>
          <w:rFonts w:ascii="Times New Roman" w:hAnsi="Times New Roman"/>
          <w:color w:val="auto"/>
          <w:sz w:val="24"/>
          <w:szCs w:val="24"/>
          <w:lang w:val="en-US"/>
        </w:rPr>
        <w:t>The Committee noted with concern the poor performance of provinc</w:t>
      </w:r>
      <w:r>
        <w:rPr>
          <w:rFonts w:ascii="Times New Roman" w:hAnsi="Times New Roman"/>
          <w:color w:val="auto"/>
          <w:sz w:val="24"/>
          <w:szCs w:val="24"/>
          <w:lang w:val="en-US"/>
        </w:rPr>
        <w:t>ial department</w:t>
      </w:r>
      <w:r w:rsidR="0026202D">
        <w:rPr>
          <w:rFonts w:ascii="Times New Roman" w:hAnsi="Times New Roman"/>
          <w:color w:val="auto"/>
          <w:sz w:val="24"/>
          <w:szCs w:val="24"/>
          <w:lang w:val="en-US"/>
        </w:rPr>
        <w:t>s</w:t>
      </w:r>
      <w:r>
        <w:rPr>
          <w:rFonts w:ascii="Times New Roman" w:hAnsi="Times New Roman"/>
          <w:color w:val="auto"/>
          <w:sz w:val="24"/>
          <w:szCs w:val="24"/>
          <w:lang w:val="en-US"/>
        </w:rPr>
        <w:t xml:space="preserve"> </w:t>
      </w:r>
      <w:r w:rsidR="00BE3DAC">
        <w:rPr>
          <w:rFonts w:ascii="Times New Roman" w:hAnsi="Times New Roman"/>
          <w:color w:val="auto"/>
          <w:sz w:val="24"/>
          <w:szCs w:val="24"/>
          <w:lang w:val="en-US"/>
        </w:rPr>
        <w:t xml:space="preserve">as reported by the AG, </w:t>
      </w:r>
      <w:r>
        <w:rPr>
          <w:rFonts w:ascii="Times New Roman" w:hAnsi="Times New Roman"/>
          <w:color w:val="auto"/>
          <w:sz w:val="24"/>
          <w:szCs w:val="24"/>
          <w:lang w:val="en-US"/>
        </w:rPr>
        <w:t>particularly</w:t>
      </w:r>
      <w:r w:rsidRPr="006906C1">
        <w:rPr>
          <w:rFonts w:ascii="Times New Roman" w:hAnsi="Times New Roman"/>
          <w:color w:val="auto"/>
          <w:sz w:val="24"/>
          <w:szCs w:val="24"/>
          <w:lang w:val="en-US"/>
        </w:rPr>
        <w:t xml:space="preserve"> around information management, financial management, performance management, procurement and contract management</w:t>
      </w:r>
      <w:r w:rsidR="00926A13">
        <w:rPr>
          <w:rFonts w:ascii="Times New Roman" w:hAnsi="Times New Roman"/>
          <w:color w:val="auto"/>
          <w:sz w:val="24"/>
          <w:szCs w:val="24"/>
          <w:lang w:val="en-US"/>
        </w:rPr>
        <w:t>,</w:t>
      </w:r>
      <w:r w:rsidRPr="006906C1">
        <w:rPr>
          <w:rFonts w:ascii="Times New Roman" w:hAnsi="Times New Roman"/>
          <w:color w:val="auto"/>
          <w:sz w:val="24"/>
          <w:szCs w:val="24"/>
          <w:lang w:val="en-US"/>
        </w:rPr>
        <w:t xml:space="preserve"> compliance management</w:t>
      </w:r>
      <w:r w:rsidR="00CC75C4">
        <w:rPr>
          <w:rFonts w:ascii="Times New Roman" w:hAnsi="Times New Roman"/>
          <w:color w:val="auto"/>
          <w:sz w:val="24"/>
          <w:szCs w:val="24"/>
          <w:lang w:val="en-US"/>
        </w:rPr>
        <w:t>, IT management</w:t>
      </w:r>
      <w:r w:rsidR="00CC75C4" w:rsidRPr="00490B2C">
        <w:rPr>
          <w:rFonts w:ascii="Times New Roman" w:hAnsi="Times New Roman"/>
          <w:color w:val="auto"/>
          <w:sz w:val="24"/>
          <w:szCs w:val="24"/>
          <w:lang w:val="en-US"/>
        </w:rPr>
        <w:t>,</w:t>
      </w:r>
      <w:r w:rsidR="0026202D" w:rsidRPr="00490B2C">
        <w:rPr>
          <w:rFonts w:ascii="Times New Roman" w:hAnsi="Times New Roman"/>
          <w:color w:val="auto"/>
          <w:sz w:val="24"/>
          <w:szCs w:val="24"/>
          <w:lang w:val="en-US"/>
        </w:rPr>
        <w:t xml:space="preserve"> H</w:t>
      </w:r>
      <w:r w:rsidR="00C42967" w:rsidRPr="00490B2C">
        <w:rPr>
          <w:rFonts w:ascii="Times New Roman" w:hAnsi="Times New Roman"/>
          <w:color w:val="auto"/>
          <w:sz w:val="24"/>
          <w:szCs w:val="24"/>
          <w:lang w:val="en-US"/>
        </w:rPr>
        <w:t xml:space="preserve">uman </w:t>
      </w:r>
      <w:r w:rsidR="0026202D" w:rsidRPr="00490B2C">
        <w:rPr>
          <w:rFonts w:ascii="Times New Roman" w:hAnsi="Times New Roman"/>
          <w:color w:val="auto"/>
          <w:sz w:val="24"/>
          <w:szCs w:val="24"/>
          <w:lang w:val="en-US"/>
        </w:rPr>
        <w:t>R</w:t>
      </w:r>
      <w:r w:rsidR="00C42967" w:rsidRPr="00490B2C">
        <w:rPr>
          <w:rFonts w:ascii="Times New Roman" w:hAnsi="Times New Roman"/>
          <w:color w:val="auto"/>
          <w:sz w:val="24"/>
          <w:szCs w:val="24"/>
          <w:lang w:val="en-US"/>
        </w:rPr>
        <w:t>esources</w:t>
      </w:r>
      <w:r w:rsidR="00950653" w:rsidRPr="00490B2C">
        <w:rPr>
          <w:rFonts w:ascii="Times New Roman" w:hAnsi="Times New Roman"/>
          <w:color w:val="auto"/>
          <w:sz w:val="24"/>
          <w:szCs w:val="24"/>
          <w:lang w:val="en-US"/>
        </w:rPr>
        <w:t xml:space="preserve"> and</w:t>
      </w:r>
      <w:r w:rsidR="0026202D" w:rsidRPr="00490B2C">
        <w:rPr>
          <w:rFonts w:ascii="Times New Roman" w:hAnsi="Times New Roman"/>
          <w:color w:val="auto"/>
          <w:sz w:val="24"/>
          <w:szCs w:val="24"/>
          <w:lang w:val="en-US"/>
        </w:rPr>
        <w:t xml:space="preserve"> </w:t>
      </w:r>
      <w:r w:rsidR="00950653" w:rsidRPr="00490B2C">
        <w:rPr>
          <w:rFonts w:ascii="Times New Roman" w:hAnsi="Times New Roman"/>
          <w:color w:val="auto"/>
          <w:sz w:val="24"/>
          <w:szCs w:val="24"/>
          <w:lang w:val="en-US"/>
        </w:rPr>
        <w:t>E</w:t>
      </w:r>
      <w:r w:rsidR="0026202D" w:rsidRPr="00490B2C">
        <w:rPr>
          <w:rFonts w:ascii="Times New Roman" w:hAnsi="Times New Roman"/>
          <w:color w:val="auto"/>
          <w:sz w:val="24"/>
          <w:szCs w:val="24"/>
          <w:lang w:val="en-US"/>
        </w:rPr>
        <w:t>xpenditure management</w:t>
      </w:r>
      <w:r w:rsidRPr="00490B2C">
        <w:rPr>
          <w:rFonts w:ascii="Times New Roman" w:hAnsi="Times New Roman"/>
          <w:color w:val="auto"/>
          <w:sz w:val="24"/>
          <w:szCs w:val="24"/>
          <w:lang w:val="en-US"/>
        </w:rPr>
        <w:t xml:space="preserve">.  </w:t>
      </w:r>
    </w:p>
    <w:p w14:paraId="69A6F606" w14:textId="77777777" w:rsidR="00856864" w:rsidRPr="00941E30" w:rsidRDefault="00CA2D93" w:rsidP="00941E30">
      <w:pPr>
        <w:pStyle w:val="ListParagraph"/>
        <w:numPr>
          <w:ilvl w:val="0"/>
          <w:numId w:val="11"/>
        </w:numPr>
        <w:spacing w:line="360" w:lineRule="auto"/>
        <w:jc w:val="both"/>
        <w:rPr>
          <w:rFonts w:ascii="Times New Roman" w:hAnsi="Times New Roman"/>
          <w:color w:val="FF0000"/>
          <w:sz w:val="24"/>
          <w:szCs w:val="24"/>
          <w:lang w:val="en-US"/>
        </w:rPr>
      </w:pPr>
      <w:r w:rsidRPr="00856864">
        <w:rPr>
          <w:rFonts w:ascii="Times New Roman" w:hAnsi="Times New Roman"/>
          <w:color w:val="auto"/>
          <w:sz w:val="24"/>
          <w:szCs w:val="24"/>
          <w:lang w:val="en-US"/>
        </w:rPr>
        <w:t xml:space="preserve">On mental health services, the Committee </w:t>
      </w:r>
      <w:r w:rsidR="0017628A" w:rsidRPr="00856864">
        <w:rPr>
          <w:rFonts w:ascii="Times New Roman" w:hAnsi="Times New Roman"/>
          <w:color w:val="auto"/>
          <w:sz w:val="24"/>
          <w:szCs w:val="24"/>
          <w:lang w:val="en-US"/>
        </w:rPr>
        <w:t>was concerned</w:t>
      </w:r>
      <w:r w:rsidRPr="00856864">
        <w:rPr>
          <w:rFonts w:ascii="Times New Roman" w:hAnsi="Times New Roman"/>
          <w:color w:val="auto"/>
          <w:sz w:val="24"/>
          <w:szCs w:val="24"/>
          <w:lang w:val="en-US"/>
        </w:rPr>
        <w:t xml:space="preserve"> about the </w:t>
      </w:r>
      <w:r w:rsidR="006034E4" w:rsidRPr="00856864">
        <w:rPr>
          <w:rFonts w:ascii="Times New Roman" w:hAnsi="Times New Roman"/>
          <w:color w:val="auto"/>
          <w:sz w:val="24"/>
          <w:szCs w:val="24"/>
          <w:lang w:val="en-US"/>
        </w:rPr>
        <w:t>shortage of fully equipped</w:t>
      </w:r>
      <w:r w:rsidRPr="00856864">
        <w:rPr>
          <w:rFonts w:ascii="Times New Roman" w:hAnsi="Times New Roman"/>
          <w:color w:val="auto"/>
          <w:sz w:val="24"/>
          <w:szCs w:val="24"/>
          <w:lang w:val="en-US"/>
        </w:rPr>
        <w:t xml:space="preserve"> mental health facilities</w:t>
      </w:r>
      <w:r w:rsidR="0017628A" w:rsidRPr="00856864">
        <w:rPr>
          <w:rFonts w:ascii="Times New Roman" w:hAnsi="Times New Roman"/>
          <w:color w:val="auto"/>
          <w:sz w:val="24"/>
          <w:szCs w:val="24"/>
          <w:lang w:val="en-US"/>
        </w:rPr>
        <w:t xml:space="preserve"> in the country</w:t>
      </w:r>
      <w:r w:rsidRPr="00856864">
        <w:rPr>
          <w:rFonts w:ascii="Times New Roman" w:hAnsi="Times New Roman"/>
          <w:color w:val="auto"/>
          <w:sz w:val="24"/>
          <w:szCs w:val="24"/>
          <w:lang w:val="en-US"/>
        </w:rPr>
        <w:t xml:space="preserve">. </w:t>
      </w:r>
      <w:r w:rsidR="00017BAC" w:rsidRPr="00856864">
        <w:rPr>
          <w:rFonts w:ascii="Times New Roman" w:hAnsi="Times New Roman"/>
          <w:color w:val="auto"/>
          <w:sz w:val="24"/>
          <w:szCs w:val="24"/>
          <w:lang w:val="en-US"/>
        </w:rPr>
        <w:t>F</w:t>
      </w:r>
      <w:r w:rsidR="001A12A1" w:rsidRPr="00856864">
        <w:rPr>
          <w:rFonts w:ascii="Times New Roman" w:hAnsi="Times New Roman"/>
          <w:color w:val="auto"/>
          <w:sz w:val="24"/>
          <w:szCs w:val="24"/>
          <w:lang w:val="en-US"/>
        </w:rPr>
        <w:t>urther</w:t>
      </w:r>
      <w:r w:rsidR="00BE3DAC">
        <w:rPr>
          <w:rFonts w:ascii="Times New Roman" w:hAnsi="Times New Roman"/>
          <w:color w:val="auto"/>
          <w:sz w:val="24"/>
          <w:szCs w:val="24"/>
          <w:lang w:val="en-US"/>
        </w:rPr>
        <w:t>more,</w:t>
      </w:r>
      <w:r w:rsidR="006034E4" w:rsidRPr="00856864">
        <w:rPr>
          <w:rFonts w:ascii="Times New Roman" w:hAnsi="Times New Roman"/>
          <w:color w:val="auto"/>
          <w:sz w:val="24"/>
          <w:szCs w:val="24"/>
          <w:lang w:val="en-US"/>
        </w:rPr>
        <w:t xml:space="preserve"> concern </w:t>
      </w:r>
      <w:r w:rsidR="00017BAC" w:rsidRPr="00856864">
        <w:rPr>
          <w:rFonts w:ascii="Times New Roman" w:hAnsi="Times New Roman"/>
          <w:color w:val="auto"/>
          <w:sz w:val="24"/>
          <w:szCs w:val="24"/>
          <w:lang w:val="en-US"/>
        </w:rPr>
        <w:t>was</w:t>
      </w:r>
      <w:r w:rsidR="00481CF3">
        <w:rPr>
          <w:rFonts w:ascii="Times New Roman" w:hAnsi="Times New Roman"/>
          <w:color w:val="auto"/>
          <w:sz w:val="24"/>
          <w:szCs w:val="24"/>
          <w:lang w:val="en-US"/>
        </w:rPr>
        <w:t xml:space="preserve"> raised</w:t>
      </w:r>
      <w:r w:rsidR="00017BAC" w:rsidRPr="00856864">
        <w:rPr>
          <w:rFonts w:ascii="Times New Roman" w:hAnsi="Times New Roman"/>
          <w:color w:val="auto"/>
          <w:sz w:val="24"/>
          <w:szCs w:val="24"/>
          <w:lang w:val="en-US"/>
        </w:rPr>
        <w:t xml:space="preserve"> </w:t>
      </w:r>
      <w:r w:rsidR="006034E4" w:rsidRPr="00856864">
        <w:rPr>
          <w:rFonts w:ascii="Times New Roman" w:hAnsi="Times New Roman"/>
          <w:color w:val="auto"/>
          <w:sz w:val="24"/>
          <w:szCs w:val="24"/>
          <w:lang w:val="en-US"/>
        </w:rPr>
        <w:t>around the</w:t>
      </w:r>
      <w:r w:rsidR="0017628A" w:rsidRPr="00856864">
        <w:rPr>
          <w:rFonts w:ascii="Times New Roman" w:hAnsi="Times New Roman"/>
          <w:color w:val="auto"/>
          <w:sz w:val="24"/>
          <w:szCs w:val="24"/>
          <w:lang w:val="en-US"/>
        </w:rPr>
        <w:t xml:space="preserve"> lack of </w:t>
      </w:r>
      <w:r w:rsidR="001A12A1" w:rsidRPr="00856864">
        <w:rPr>
          <w:rFonts w:ascii="Times New Roman" w:hAnsi="Times New Roman"/>
          <w:color w:val="auto"/>
          <w:sz w:val="24"/>
          <w:szCs w:val="24"/>
          <w:lang w:val="en-US"/>
        </w:rPr>
        <w:t xml:space="preserve">a </w:t>
      </w:r>
      <w:r w:rsidR="0017628A" w:rsidRPr="00856864">
        <w:rPr>
          <w:rFonts w:ascii="Times New Roman" w:hAnsi="Times New Roman"/>
          <w:color w:val="auto"/>
          <w:sz w:val="24"/>
          <w:szCs w:val="24"/>
          <w:lang w:val="en-US"/>
        </w:rPr>
        <w:t xml:space="preserve">plan </w:t>
      </w:r>
      <w:r w:rsidR="001A12A1" w:rsidRPr="00856864">
        <w:rPr>
          <w:rFonts w:ascii="Times New Roman" w:hAnsi="Times New Roman"/>
          <w:color w:val="auto"/>
          <w:sz w:val="24"/>
          <w:szCs w:val="24"/>
          <w:lang w:val="en-US"/>
        </w:rPr>
        <w:t>to monitor the implementation of</w:t>
      </w:r>
      <w:r w:rsidR="0017628A" w:rsidRPr="00856864">
        <w:rPr>
          <w:rFonts w:ascii="Times New Roman" w:hAnsi="Times New Roman"/>
          <w:color w:val="auto"/>
          <w:sz w:val="24"/>
          <w:szCs w:val="24"/>
          <w:lang w:val="en-US"/>
        </w:rPr>
        <w:t xml:space="preserve"> the </w:t>
      </w:r>
      <w:r w:rsidRPr="00856864">
        <w:rPr>
          <w:rFonts w:ascii="Times New Roman" w:hAnsi="Times New Roman"/>
          <w:color w:val="auto"/>
          <w:sz w:val="24"/>
          <w:szCs w:val="24"/>
          <w:lang w:val="en-US"/>
        </w:rPr>
        <w:t xml:space="preserve">Mental Health </w:t>
      </w:r>
      <w:r w:rsidR="0017628A" w:rsidRPr="00856864">
        <w:rPr>
          <w:rFonts w:ascii="Times New Roman" w:hAnsi="Times New Roman"/>
          <w:color w:val="auto"/>
          <w:sz w:val="24"/>
          <w:szCs w:val="24"/>
          <w:lang w:val="en-US"/>
        </w:rPr>
        <w:t>Policy Framework and Strategic Plan (2013-2020).</w:t>
      </w:r>
      <w:r w:rsidR="001E2452" w:rsidRPr="00856864">
        <w:rPr>
          <w:rFonts w:ascii="Times New Roman" w:hAnsi="Times New Roman"/>
          <w:color w:val="auto"/>
          <w:sz w:val="24"/>
          <w:szCs w:val="24"/>
          <w:lang w:val="en-US"/>
        </w:rPr>
        <w:t xml:space="preserve"> </w:t>
      </w:r>
    </w:p>
    <w:p w14:paraId="45393D44" w14:textId="77777777" w:rsidR="00BE3DAC" w:rsidRPr="008D5007" w:rsidRDefault="00BE3DAC" w:rsidP="00BE3DAC">
      <w:pPr>
        <w:pStyle w:val="ListParagraph"/>
        <w:numPr>
          <w:ilvl w:val="0"/>
          <w:numId w:val="11"/>
        </w:numPr>
        <w:spacing w:line="360" w:lineRule="auto"/>
        <w:jc w:val="both"/>
        <w:rPr>
          <w:rFonts w:ascii="Times New Roman" w:hAnsi="Times New Roman"/>
          <w:color w:val="FF0000"/>
          <w:sz w:val="24"/>
          <w:szCs w:val="24"/>
          <w:lang w:val="en-US"/>
        </w:rPr>
      </w:pPr>
      <w:r w:rsidRPr="008D5007">
        <w:rPr>
          <w:rFonts w:ascii="Times New Roman" w:hAnsi="Times New Roman"/>
          <w:color w:val="auto"/>
          <w:sz w:val="24"/>
          <w:szCs w:val="24"/>
          <w:lang w:val="en-US"/>
        </w:rPr>
        <w:t xml:space="preserve">The Committee reflected on whether provincial departments are budgeting adequately for primary health care services. </w:t>
      </w:r>
    </w:p>
    <w:p w14:paraId="3FF0218F" w14:textId="77777777" w:rsidR="00C35432" w:rsidRPr="00856864" w:rsidRDefault="0017628A" w:rsidP="00941E30">
      <w:pPr>
        <w:pStyle w:val="ListParagraph"/>
        <w:numPr>
          <w:ilvl w:val="0"/>
          <w:numId w:val="11"/>
        </w:numPr>
        <w:spacing w:line="360" w:lineRule="auto"/>
        <w:jc w:val="both"/>
        <w:rPr>
          <w:rFonts w:ascii="Times New Roman" w:hAnsi="Times New Roman"/>
          <w:color w:val="FF0000"/>
          <w:sz w:val="24"/>
          <w:szCs w:val="24"/>
          <w:lang w:val="en-US"/>
        </w:rPr>
      </w:pPr>
      <w:r w:rsidRPr="00856864">
        <w:rPr>
          <w:rFonts w:ascii="Times New Roman" w:hAnsi="Times New Roman"/>
          <w:color w:val="auto"/>
          <w:sz w:val="24"/>
          <w:szCs w:val="24"/>
          <w:lang w:val="en-US"/>
        </w:rPr>
        <w:t>The Committee expressed concern a</w:t>
      </w:r>
      <w:r w:rsidR="00C35432" w:rsidRPr="00856864">
        <w:rPr>
          <w:rFonts w:ascii="Times New Roman" w:hAnsi="Times New Roman"/>
          <w:color w:val="auto"/>
          <w:sz w:val="24"/>
          <w:szCs w:val="24"/>
          <w:lang w:val="en-US"/>
        </w:rPr>
        <w:t xml:space="preserve">round </w:t>
      </w:r>
      <w:r w:rsidRPr="00856864">
        <w:rPr>
          <w:rFonts w:ascii="Times New Roman" w:hAnsi="Times New Roman"/>
          <w:color w:val="auto"/>
          <w:sz w:val="24"/>
          <w:szCs w:val="24"/>
          <w:lang w:val="en-US"/>
        </w:rPr>
        <w:t xml:space="preserve">the </w:t>
      </w:r>
      <w:r w:rsidR="007C140A" w:rsidRPr="00856864">
        <w:rPr>
          <w:rFonts w:ascii="Times New Roman" w:hAnsi="Times New Roman"/>
          <w:color w:val="auto"/>
          <w:sz w:val="24"/>
          <w:szCs w:val="24"/>
          <w:lang w:val="en-US"/>
        </w:rPr>
        <w:t xml:space="preserve">visibility of </w:t>
      </w:r>
      <w:r w:rsidR="006034E4" w:rsidRPr="00856864">
        <w:rPr>
          <w:rFonts w:ascii="Times New Roman" w:hAnsi="Times New Roman"/>
          <w:color w:val="auto"/>
          <w:sz w:val="24"/>
          <w:szCs w:val="24"/>
          <w:lang w:val="en-US"/>
        </w:rPr>
        <w:t xml:space="preserve">ward-based primary health care teams in provinces. </w:t>
      </w:r>
    </w:p>
    <w:p w14:paraId="7A444C34" w14:textId="77777777" w:rsidR="00085BAF" w:rsidRDefault="000855EC">
      <w:pPr>
        <w:pStyle w:val="ListParagraph"/>
        <w:numPr>
          <w:ilvl w:val="0"/>
          <w:numId w:val="11"/>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In view of the Listerio</w:t>
      </w:r>
      <w:r w:rsidR="00CA2D93">
        <w:rPr>
          <w:rFonts w:ascii="Times New Roman" w:hAnsi="Times New Roman"/>
          <w:color w:val="auto"/>
          <w:sz w:val="24"/>
          <w:szCs w:val="24"/>
          <w:lang w:val="en-US"/>
        </w:rPr>
        <w:t>sis outbreak, the Committee raised</w:t>
      </w:r>
      <w:r w:rsidR="00B85F90">
        <w:rPr>
          <w:rFonts w:ascii="Times New Roman" w:hAnsi="Times New Roman"/>
          <w:color w:val="auto"/>
          <w:sz w:val="24"/>
          <w:szCs w:val="24"/>
          <w:lang w:val="en-US"/>
        </w:rPr>
        <w:t xml:space="preserve"> concern around </w:t>
      </w:r>
      <w:r w:rsidR="00CA2D93">
        <w:rPr>
          <w:rFonts w:ascii="Times New Roman" w:hAnsi="Times New Roman"/>
          <w:color w:val="auto"/>
          <w:sz w:val="24"/>
          <w:szCs w:val="24"/>
          <w:lang w:val="en-US"/>
        </w:rPr>
        <w:t xml:space="preserve">the </w:t>
      </w:r>
      <w:r w:rsidR="00D327D3">
        <w:rPr>
          <w:rFonts w:ascii="Times New Roman" w:hAnsi="Times New Roman"/>
          <w:color w:val="auto"/>
          <w:sz w:val="24"/>
          <w:szCs w:val="24"/>
          <w:lang w:val="en-US"/>
        </w:rPr>
        <w:t>D</w:t>
      </w:r>
      <w:r w:rsidR="00CA2D93">
        <w:rPr>
          <w:rFonts w:ascii="Times New Roman" w:hAnsi="Times New Roman"/>
          <w:color w:val="auto"/>
          <w:sz w:val="24"/>
          <w:szCs w:val="24"/>
          <w:lang w:val="en-US"/>
        </w:rPr>
        <w:t>epartment</w:t>
      </w:r>
      <w:r w:rsidR="00B85F90">
        <w:rPr>
          <w:rFonts w:ascii="Times New Roman" w:hAnsi="Times New Roman"/>
          <w:color w:val="auto"/>
          <w:sz w:val="24"/>
          <w:szCs w:val="24"/>
          <w:lang w:val="en-US"/>
        </w:rPr>
        <w:t>’s response to the outbreak and whether it</w:t>
      </w:r>
      <w:r w:rsidR="00CA2D93">
        <w:rPr>
          <w:rFonts w:ascii="Times New Roman" w:hAnsi="Times New Roman"/>
          <w:color w:val="auto"/>
          <w:sz w:val="24"/>
          <w:szCs w:val="24"/>
          <w:lang w:val="en-US"/>
        </w:rPr>
        <w:t xml:space="preserve"> had </w:t>
      </w:r>
      <w:r w:rsidR="0017628A">
        <w:rPr>
          <w:rFonts w:ascii="Times New Roman" w:hAnsi="Times New Roman"/>
          <w:color w:val="auto"/>
          <w:sz w:val="24"/>
          <w:szCs w:val="24"/>
          <w:lang w:val="en-US"/>
        </w:rPr>
        <w:t xml:space="preserve">capacity in the form of </w:t>
      </w:r>
      <w:r w:rsidR="00CA2D93">
        <w:rPr>
          <w:rFonts w:ascii="Times New Roman" w:hAnsi="Times New Roman"/>
          <w:color w:val="auto"/>
          <w:sz w:val="24"/>
          <w:szCs w:val="24"/>
          <w:lang w:val="en-US"/>
        </w:rPr>
        <w:t>e</w:t>
      </w:r>
      <w:r w:rsidR="00085BAF">
        <w:rPr>
          <w:rFonts w:ascii="Times New Roman" w:hAnsi="Times New Roman"/>
          <w:color w:val="auto"/>
          <w:sz w:val="24"/>
          <w:szCs w:val="24"/>
          <w:lang w:val="en-US"/>
        </w:rPr>
        <w:t>nvironmental health</w:t>
      </w:r>
      <w:r w:rsidR="00CA2D93">
        <w:rPr>
          <w:rFonts w:ascii="Times New Roman" w:hAnsi="Times New Roman"/>
          <w:color w:val="auto"/>
          <w:sz w:val="24"/>
          <w:szCs w:val="24"/>
          <w:lang w:val="en-US"/>
        </w:rPr>
        <w:t xml:space="preserve"> </w:t>
      </w:r>
      <w:r w:rsidR="00BE3DAC">
        <w:rPr>
          <w:rFonts w:ascii="Times New Roman" w:hAnsi="Times New Roman"/>
          <w:color w:val="auto"/>
          <w:sz w:val="24"/>
          <w:szCs w:val="24"/>
          <w:lang w:val="en-US"/>
        </w:rPr>
        <w:t xml:space="preserve">officers </w:t>
      </w:r>
      <w:r w:rsidR="0017628A">
        <w:rPr>
          <w:rFonts w:ascii="Times New Roman" w:hAnsi="Times New Roman"/>
          <w:color w:val="auto"/>
          <w:sz w:val="24"/>
          <w:szCs w:val="24"/>
          <w:lang w:val="en-US"/>
        </w:rPr>
        <w:t>to timeously detect outbreaks.</w:t>
      </w:r>
    </w:p>
    <w:p w14:paraId="292C5E41" w14:textId="77777777" w:rsidR="00F9561A" w:rsidRDefault="00AF00C9" w:rsidP="00941E30">
      <w:pPr>
        <w:pStyle w:val="ListParagraph"/>
        <w:numPr>
          <w:ilvl w:val="0"/>
          <w:numId w:val="11"/>
        </w:numPr>
        <w:spacing w:line="360" w:lineRule="auto"/>
        <w:jc w:val="both"/>
        <w:rPr>
          <w:rFonts w:ascii="Times New Roman" w:hAnsi="Times New Roman"/>
          <w:color w:val="auto"/>
          <w:sz w:val="24"/>
          <w:szCs w:val="24"/>
          <w:lang w:val="en-US"/>
        </w:rPr>
      </w:pPr>
      <w:r w:rsidRPr="00F9561A">
        <w:rPr>
          <w:rFonts w:ascii="Times New Roman" w:hAnsi="Times New Roman"/>
          <w:color w:val="auto"/>
          <w:sz w:val="24"/>
          <w:szCs w:val="24"/>
          <w:lang w:val="en-US"/>
        </w:rPr>
        <w:t xml:space="preserve">The Committee raised a concern that </w:t>
      </w:r>
      <w:r w:rsidR="001D6E63" w:rsidRPr="00F9561A">
        <w:rPr>
          <w:rFonts w:ascii="Times New Roman" w:hAnsi="Times New Roman"/>
          <w:color w:val="auto"/>
          <w:sz w:val="24"/>
          <w:szCs w:val="24"/>
          <w:lang w:val="en-US"/>
        </w:rPr>
        <w:t xml:space="preserve">provincial departments </w:t>
      </w:r>
      <w:r w:rsidR="00E46FD2" w:rsidRPr="00F9561A">
        <w:rPr>
          <w:rFonts w:ascii="Times New Roman" w:hAnsi="Times New Roman"/>
          <w:color w:val="auto"/>
          <w:sz w:val="24"/>
          <w:szCs w:val="24"/>
          <w:lang w:val="en-US"/>
        </w:rPr>
        <w:t>continue to incur</w:t>
      </w:r>
      <w:r w:rsidR="009077B6" w:rsidRPr="00F9561A">
        <w:rPr>
          <w:rFonts w:ascii="Times New Roman" w:hAnsi="Times New Roman"/>
          <w:color w:val="auto"/>
          <w:sz w:val="24"/>
          <w:szCs w:val="24"/>
          <w:lang w:val="en-US"/>
        </w:rPr>
        <w:t xml:space="preserve"> </w:t>
      </w:r>
      <w:r w:rsidR="0093633A" w:rsidRPr="00F9561A">
        <w:rPr>
          <w:rFonts w:ascii="Times New Roman" w:hAnsi="Times New Roman"/>
          <w:color w:val="auto"/>
          <w:sz w:val="24"/>
          <w:szCs w:val="24"/>
          <w:lang w:val="en-US"/>
        </w:rPr>
        <w:t>accruals</w:t>
      </w:r>
      <w:r w:rsidR="00E46FD2" w:rsidRPr="00F9561A">
        <w:rPr>
          <w:rFonts w:ascii="Times New Roman" w:hAnsi="Times New Roman"/>
          <w:color w:val="auto"/>
          <w:sz w:val="24"/>
          <w:szCs w:val="24"/>
          <w:lang w:val="en-US"/>
        </w:rPr>
        <w:t xml:space="preserve">. </w:t>
      </w:r>
      <w:r w:rsidR="001D6E63" w:rsidRPr="00F9561A">
        <w:rPr>
          <w:rFonts w:ascii="Times New Roman" w:hAnsi="Times New Roman"/>
          <w:color w:val="auto"/>
          <w:sz w:val="24"/>
          <w:szCs w:val="24"/>
          <w:lang w:val="en-US"/>
        </w:rPr>
        <w:t>P</w:t>
      </w:r>
      <w:r w:rsidRPr="00F9561A">
        <w:rPr>
          <w:rFonts w:ascii="Times New Roman" w:hAnsi="Times New Roman"/>
          <w:color w:val="auto"/>
          <w:sz w:val="24"/>
          <w:szCs w:val="24"/>
          <w:lang w:val="en-US"/>
        </w:rPr>
        <w:t xml:space="preserve">rovinces </w:t>
      </w:r>
      <w:r w:rsidR="00E46FD2" w:rsidRPr="00F9561A">
        <w:rPr>
          <w:rFonts w:ascii="Times New Roman" w:hAnsi="Times New Roman"/>
          <w:color w:val="auto"/>
          <w:sz w:val="24"/>
          <w:szCs w:val="24"/>
          <w:lang w:val="en-US"/>
        </w:rPr>
        <w:t xml:space="preserve">are </w:t>
      </w:r>
      <w:r w:rsidRPr="00F9561A">
        <w:rPr>
          <w:rFonts w:ascii="Times New Roman" w:hAnsi="Times New Roman"/>
          <w:color w:val="auto"/>
          <w:sz w:val="24"/>
          <w:szCs w:val="24"/>
          <w:lang w:val="en-US"/>
        </w:rPr>
        <w:t xml:space="preserve">expected to </w:t>
      </w:r>
      <w:r w:rsidR="00E46FD2" w:rsidRPr="00F9561A">
        <w:rPr>
          <w:rFonts w:ascii="Times New Roman" w:hAnsi="Times New Roman"/>
          <w:color w:val="auto"/>
          <w:sz w:val="24"/>
          <w:szCs w:val="24"/>
          <w:lang w:val="en-US"/>
        </w:rPr>
        <w:t xml:space="preserve">settle </w:t>
      </w:r>
      <w:r w:rsidR="0093633A" w:rsidRPr="00F9561A">
        <w:rPr>
          <w:rFonts w:ascii="Times New Roman" w:hAnsi="Times New Roman"/>
          <w:color w:val="auto"/>
          <w:sz w:val="24"/>
          <w:szCs w:val="24"/>
          <w:lang w:val="en-US"/>
        </w:rPr>
        <w:t>accruals</w:t>
      </w:r>
      <w:r w:rsidRPr="00F9561A">
        <w:rPr>
          <w:rFonts w:ascii="Times New Roman" w:hAnsi="Times New Roman"/>
          <w:color w:val="auto"/>
          <w:sz w:val="24"/>
          <w:szCs w:val="24"/>
          <w:lang w:val="en-US"/>
        </w:rPr>
        <w:t xml:space="preserve"> </w:t>
      </w:r>
      <w:r w:rsidR="00E46FD2" w:rsidRPr="00F9561A">
        <w:rPr>
          <w:rFonts w:ascii="Times New Roman" w:hAnsi="Times New Roman"/>
          <w:color w:val="auto"/>
          <w:sz w:val="24"/>
          <w:szCs w:val="24"/>
          <w:lang w:val="en-US"/>
        </w:rPr>
        <w:t xml:space="preserve">at the beginning of </w:t>
      </w:r>
      <w:r w:rsidR="00BE3DAC">
        <w:rPr>
          <w:rFonts w:ascii="Times New Roman" w:hAnsi="Times New Roman"/>
          <w:color w:val="auto"/>
          <w:sz w:val="24"/>
          <w:szCs w:val="24"/>
          <w:lang w:val="en-US"/>
        </w:rPr>
        <w:t xml:space="preserve">a </w:t>
      </w:r>
      <w:r w:rsidRPr="00F9561A">
        <w:rPr>
          <w:rFonts w:ascii="Times New Roman" w:hAnsi="Times New Roman"/>
          <w:color w:val="auto"/>
          <w:sz w:val="24"/>
          <w:szCs w:val="24"/>
          <w:lang w:val="en-US"/>
        </w:rPr>
        <w:t>financial year instead of delivering services to the people.</w:t>
      </w:r>
      <w:r w:rsidR="00B15ACF" w:rsidRPr="00F9561A">
        <w:rPr>
          <w:rFonts w:ascii="Times New Roman" w:hAnsi="Times New Roman"/>
          <w:color w:val="auto"/>
          <w:sz w:val="24"/>
          <w:szCs w:val="24"/>
          <w:lang w:val="en-US"/>
        </w:rPr>
        <w:t xml:space="preserve"> </w:t>
      </w:r>
    </w:p>
    <w:p w14:paraId="2628A4BA" w14:textId="77777777" w:rsidR="00E42647" w:rsidRPr="00941E30" w:rsidRDefault="009544A7" w:rsidP="00941E30">
      <w:pPr>
        <w:pStyle w:val="ListParagraph"/>
        <w:numPr>
          <w:ilvl w:val="0"/>
          <w:numId w:val="11"/>
        </w:numPr>
        <w:spacing w:line="360" w:lineRule="auto"/>
        <w:jc w:val="both"/>
        <w:rPr>
          <w:rFonts w:ascii="Times New Roman" w:hAnsi="Times New Roman"/>
          <w:color w:val="FF0000"/>
          <w:sz w:val="24"/>
          <w:szCs w:val="24"/>
          <w:lang w:eastAsia="en-ZA"/>
        </w:rPr>
      </w:pPr>
      <w:r w:rsidRPr="00E46FD2">
        <w:rPr>
          <w:rFonts w:ascii="Times New Roman" w:hAnsi="Times New Roman"/>
          <w:color w:val="auto"/>
          <w:sz w:val="24"/>
          <w:szCs w:val="24"/>
          <w:lang w:val="en-US"/>
        </w:rPr>
        <w:t xml:space="preserve">The Committee was concerned that </w:t>
      </w:r>
      <w:r w:rsidR="00481CF3">
        <w:rPr>
          <w:rFonts w:ascii="Times New Roman" w:hAnsi="Times New Roman"/>
          <w:color w:val="auto"/>
          <w:sz w:val="24"/>
          <w:szCs w:val="24"/>
          <w:lang w:val="en-US"/>
        </w:rPr>
        <w:t xml:space="preserve">irregular, </w:t>
      </w:r>
      <w:r w:rsidRPr="00E46FD2">
        <w:rPr>
          <w:rFonts w:ascii="Times New Roman" w:hAnsi="Times New Roman"/>
          <w:color w:val="auto"/>
          <w:sz w:val="24"/>
          <w:szCs w:val="24"/>
          <w:lang w:val="en-US"/>
        </w:rPr>
        <w:t xml:space="preserve">wasteful </w:t>
      </w:r>
      <w:r w:rsidR="00B15ACF" w:rsidRPr="00E46FD2">
        <w:rPr>
          <w:rFonts w:ascii="Times New Roman" w:hAnsi="Times New Roman"/>
          <w:color w:val="auto"/>
          <w:sz w:val="24"/>
          <w:szCs w:val="24"/>
          <w:lang w:val="en-US"/>
        </w:rPr>
        <w:t xml:space="preserve">and fruitless </w:t>
      </w:r>
      <w:r w:rsidRPr="00E46FD2">
        <w:rPr>
          <w:rFonts w:ascii="Times New Roman" w:hAnsi="Times New Roman"/>
          <w:color w:val="auto"/>
          <w:sz w:val="24"/>
          <w:szCs w:val="24"/>
          <w:lang w:val="en-US"/>
        </w:rPr>
        <w:t>expenditure</w:t>
      </w:r>
      <w:r w:rsidR="00ED72D3">
        <w:rPr>
          <w:rFonts w:ascii="Times New Roman" w:hAnsi="Times New Roman"/>
          <w:color w:val="auto"/>
          <w:sz w:val="24"/>
          <w:szCs w:val="24"/>
          <w:lang w:val="en-US"/>
        </w:rPr>
        <w:t xml:space="preserve"> by provincial departments</w:t>
      </w:r>
      <w:r w:rsidRPr="00E46FD2">
        <w:rPr>
          <w:rFonts w:ascii="Times New Roman" w:hAnsi="Times New Roman"/>
          <w:color w:val="auto"/>
          <w:sz w:val="24"/>
          <w:szCs w:val="24"/>
          <w:lang w:val="en-US"/>
        </w:rPr>
        <w:t xml:space="preserve"> </w:t>
      </w:r>
      <w:r w:rsidR="00ED72D3">
        <w:rPr>
          <w:rFonts w:ascii="Times New Roman" w:hAnsi="Times New Roman"/>
          <w:color w:val="auto"/>
          <w:sz w:val="24"/>
          <w:szCs w:val="24"/>
          <w:lang w:val="en-US"/>
        </w:rPr>
        <w:t>c</w:t>
      </w:r>
      <w:r w:rsidR="00BE3DAC">
        <w:rPr>
          <w:rFonts w:ascii="Times New Roman" w:hAnsi="Times New Roman"/>
          <w:color w:val="auto"/>
          <w:sz w:val="24"/>
          <w:szCs w:val="24"/>
          <w:lang w:val="en-US"/>
        </w:rPr>
        <w:t xml:space="preserve">ontinue to increase </w:t>
      </w:r>
      <w:r w:rsidR="00D5407E">
        <w:rPr>
          <w:rFonts w:ascii="Times New Roman" w:hAnsi="Times New Roman"/>
          <w:color w:val="auto"/>
          <w:sz w:val="24"/>
          <w:szCs w:val="24"/>
          <w:lang w:val="en-US"/>
        </w:rPr>
        <w:t xml:space="preserve">amounting </w:t>
      </w:r>
      <w:r w:rsidR="00D5264C">
        <w:rPr>
          <w:rFonts w:ascii="Times New Roman" w:hAnsi="Times New Roman"/>
          <w:color w:val="auto"/>
          <w:sz w:val="24"/>
          <w:szCs w:val="24"/>
          <w:lang w:val="en-US"/>
        </w:rPr>
        <w:t xml:space="preserve">to </w:t>
      </w:r>
      <w:r w:rsidRPr="00E46FD2">
        <w:rPr>
          <w:rFonts w:ascii="Times New Roman" w:hAnsi="Times New Roman"/>
          <w:color w:val="auto"/>
          <w:sz w:val="24"/>
          <w:szCs w:val="24"/>
          <w:lang w:val="en-US"/>
        </w:rPr>
        <w:t>billion</w:t>
      </w:r>
      <w:r w:rsidR="00D5264C">
        <w:rPr>
          <w:rFonts w:ascii="Times New Roman" w:hAnsi="Times New Roman"/>
          <w:color w:val="auto"/>
          <w:sz w:val="24"/>
          <w:szCs w:val="24"/>
          <w:lang w:val="en-US"/>
        </w:rPr>
        <w:t>s</w:t>
      </w:r>
      <w:r w:rsidRPr="00E46FD2">
        <w:rPr>
          <w:rFonts w:ascii="Times New Roman" w:hAnsi="Times New Roman"/>
          <w:color w:val="auto"/>
          <w:sz w:val="24"/>
          <w:szCs w:val="24"/>
          <w:lang w:val="en-US"/>
        </w:rPr>
        <w:t xml:space="preserve">. </w:t>
      </w:r>
    </w:p>
    <w:p w14:paraId="0044477F" w14:textId="77777777" w:rsidR="00C35432" w:rsidRPr="00941E30" w:rsidRDefault="00BE3DAC">
      <w:pPr>
        <w:pStyle w:val="ListParagraph"/>
        <w:numPr>
          <w:ilvl w:val="0"/>
          <w:numId w:val="11"/>
        </w:numPr>
        <w:spacing w:line="360" w:lineRule="auto"/>
        <w:jc w:val="both"/>
        <w:rPr>
          <w:rFonts w:ascii="Times New Roman" w:hAnsi="Times New Roman"/>
          <w:color w:val="FF0000"/>
          <w:sz w:val="24"/>
          <w:szCs w:val="24"/>
          <w:lang w:val="en-US"/>
        </w:rPr>
      </w:pPr>
      <w:r>
        <w:rPr>
          <w:rFonts w:ascii="Times New Roman" w:hAnsi="Times New Roman"/>
          <w:color w:val="auto"/>
          <w:sz w:val="24"/>
          <w:szCs w:val="24"/>
          <w:lang w:val="en-US"/>
        </w:rPr>
        <w:t>Challenges around the provision of EMS in</w:t>
      </w:r>
      <w:r w:rsidR="00D60D04" w:rsidRPr="00F9561A">
        <w:rPr>
          <w:rFonts w:ascii="Times New Roman" w:hAnsi="Times New Roman"/>
          <w:color w:val="auto"/>
          <w:sz w:val="24"/>
          <w:szCs w:val="24"/>
          <w:lang w:val="en-US"/>
        </w:rPr>
        <w:t xml:space="preserve"> </w:t>
      </w:r>
      <w:r>
        <w:rPr>
          <w:rFonts w:ascii="Times New Roman" w:hAnsi="Times New Roman"/>
          <w:color w:val="auto"/>
          <w:sz w:val="24"/>
          <w:szCs w:val="24"/>
          <w:lang w:val="en-US"/>
        </w:rPr>
        <w:t>provinces</w:t>
      </w:r>
      <w:r w:rsidR="00D60D04" w:rsidRPr="00F9561A">
        <w:rPr>
          <w:rFonts w:ascii="Times New Roman" w:hAnsi="Times New Roman"/>
          <w:color w:val="auto"/>
          <w:sz w:val="24"/>
          <w:szCs w:val="24"/>
          <w:lang w:val="en-US"/>
        </w:rPr>
        <w:t xml:space="preserve"> </w:t>
      </w:r>
      <w:r>
        <w:rPr>
          <w:rFonts w:ascii="Times New Roman" w:hAnsi="Times New Roman"/>
          <w:color w:val="auto"/>
          <w:sz w:val="24"/>
          <w:szCs w:val="24"/>
          <w:lang w:val="en-US"/>
        </w:rPr>
        <w:t>is a</w:t>
      </w:r>
      <w:r w:rsidR="00D60D04" w:rsidRPr="00F9561A">
        <w:rPr>
          <w:rFonts w:ascii="Times New Roman" w:hAnsi="Times New Roman"/>
          <w:color w:val="auto"/>
          <w:sz w:val="24"/>
          <w:szCs w:val="24"/>
          <w:lang w:val="en-US"/>
        </w:rPr>
        <w:t xml:space="preserve"> concern </w:t>
      </w:r>
      <w:r>
        <w:rPr>
          <w:rFonts w:ascii="Times New Roman" w:hAnsi="Times New Roman"/>
          <w:color w:val="auto"/>
          <w:sz w:val="24"/>
          <w:szCs w:val="24"/>
          <w:lang w:val="en-US"/>
        </w:rPr>
        <w:t>to</w:t>
      </w:r>
      <w:r w:rsidRPr="00F9561A">
        <w:rPr>
          <w:rFonts w:ascii="Times New Roman" w:hAnsi="Times New Roman"/>
          <w:color w:val="auto"/>
          <w:sz w:val="24"/>
          <w:szCs w:val="24"/>
          <w:lang w:val="en-US"/>
        </w:rPr>
        <w:t xml:space="preserve"> </w:t>
      </w:r>
      <w:r w:rsidR="00D60D04" w:rsidRPr="00F9561A">
        <w:rPr>
          <w:rFonts w:ascii="Times New Roman" w:hAnsi="Times New Roman"/>
          <w:color w:val="auto"/>
          <w:sz w:val="24"/>
          <w:szCs w:val="24"/>
          <w:lang w:val="en-US"/>
        </w:rPr>
        <w:t>the Committee.</w:t>
      </w:r>
      <w:r w:rsidR="00394829" w:rsidRPr="00F9561A">
        <w:rPr>
          <w:rFonts w:ascii="Times New Roman" w:hAnsi="Times New Roman"/>
          <w:color w:val="auto"/>
          <w:sz w:val="24"/>
          <w:szCs w:val="24"/>
          <w:lang w:val="en-US"/>
        </w:rPr>
        <w:t xml:space="preserve"> </w:t>
      </w:r>
    </w:p>
    <w:p w14:paraId="56777108" w14:textId="77777777" w:rsidR="00C35432" w:rsidRPr="00941E30" w:rsidRDefault="00D60D04" w:rsidP="00941E30">
      <w:pPr>
        <w:pStyle w:val="ListParagraph"/>
        <w:numPr>
          <w:ilvl w:val="0"/>
          <w:numId w:val="11"/>
        </w:numPr>
        <w:spacing w:line="360" w:lineRule="auto"/>
        <w:jc w:val="both"/>
        <w:rPr>
          <w:rFonts w:ascii="Times New Roman" w:hAnsi="Times New Roman"/>
          <w:sz w:val="28"/>
          <w:szCs w:val="24"/>
          <w:lang w:eastAsia="en-ZA"/>
        </w:rPr>
      </w:pPr>
      <w:r w:rsidRPr="00941E30">
        <w:rPr>
          <w:rFonts w:ascii="Times New Roman" w:hAnsi="Times New Roman"/>
          <w:color w:val="auto"/>
          <w:sz w:val="24"/>
          <w:szCs w:val="24"/>
          <w:lang w:val="en-US"/>
        </w:rPr>
        <w:t>The</w:t>
      </w:r>
      <w:r w:rsidR="00B01370" w:rsidRPr="00941E30">
        <w:rPr>
          <w:rFonts w:ascii="Times New Roman" w:hAnsi="Times New Roman"/>
          <w:color w:val="auto"/>
          <w:sz w:val="24"/>
          <w:szCs w:val="24"/>
          <w:lang w:val="en-US"/>
        </w:rPr>
        <w:t xml:space="preserve"> Committee observed that the</w:t>
      </w:r>
      <w:r w:rsidRPr="00941E30">
        <w:rPr>
          <w:rFonts w:ascii="Times New Roman" w:hAnsi="Times New Roman"/>
          <w:color w:val="auto"/>
          <w:sz w:val="24"/>
          <w:szCs w:val="24"/>
          <w:lang w:val="en-US"/>
        </w:rPr>
        <w:t xml:space="preserve"> </w:t>
      </w:r>
      <w:r w:rsidR="006157F0" w:rsidRPr="00941E30">
        <w:rPr>
          <w:rFonts w:ascii="Times New Roman" w:hAnsi="Times New Roman"/>
          <w:color w:val="auto"/>
          <w:sz w:val="24"/>
          <w:szCs w:val="24"/>
          <w:lang w:val="en-US"/>
        </w:rPr>
        <w:t>health sector is faced with</w:t>
      </w:r>
      <w:r w:rsidR="00BE3DAC">
        <w:rPr>
          <w:rFonts w:ascii="Times New Roman" w:hAnsi="Times New Roman"/>
          <w:color w:val="auto"/>
          <w:sz w:val="24"/>
          <w:szCs w:val="24"/>
          <w:lang w:val="en-US"/>
        </w:rPr>
        <w:t xml:space="preserve"> rising</w:t>
      </w:r>
      <w:r w:rsidRPr="00941E30">
        <w:rPr>
          <w:rFonts w:ascii="Times New Roman" w:hAnsi="Times New Roman"/>
          <w:color w:val="auto"/>
          <w:sz w:val="24"/>
          <w:szCs w:val="24"/>
          <w:lang w:val="en-US"/>
        </w:rPr>
        <w:t xml:space="preserve"> </w:t>
      </w:r>
      <w:r w:rsidR="006157F0" w:rsidRPr="00941E30">
        <w:rPr>
          <w:rFonts w:ascii="Times New Roman" w:hAnsi="Times New Roman"/>
          <w:color w:val="auto"/>
          <w:sz w:val="24"/>
          <w:szCs w:val="24"/>
          <w:lang w:val="en-US"/>
        </w:rPr>
        <w:t>Medico Legal claims</w:t>
      </w:r>
      <w:r w:rsidR="00BE3DAC">
        <w:rPr>
          <w:rFonts w:ascii="Times New Roman" w:hAnsi="Times New Roman"/>
          <w:color w:val="auto"/>
          <w:sz w:val="24"/>
          <w:szCs w:val="24"/>
          <w:lang w:val="en-US"/>
        </w:rPr>
        <w:t xml:space="preserve"> against provincial departments</w:t>
      </w:r>
      <w:r w:rsidR="00B01370" w:rsidRPr="00941E30">
        <w:rPr>
          <w:rFonts w:ascii="Times New Roman" w:hAnsi="Times New Roman"/>
          <w:color w:val="auto"/>
          <w:sz w:val="24"/>
          <w:szCs w:val="24"/>
          <w:lang w:val="en-US"/>
        </w:rPr>
        <w:t xml:space="preserve"> </w:t>
      </w:r>
      <w:r w:rsidRPr="00941E30">
        <w:rPr>
          <w:rFonts w:ascii="Times New Roman" w:hAnsi="Times New Roman"/>
          <w:color w:val="auto"/>
          <w:sz w:val="24"/>
          <w:szCs w:val="24"/>
          <w:lang w:val="en-US"/>
        </w:rPr>
        <w:t xml:space="preserve">and </w:t>
      </w:r>
      <w:r w:rsidR="001D6E63" w:rsidRPr="00941E30">
        <w:rPr>
          <w:rFonts w:ascii="Times New Roman" w:hAnsi="Times New Roman"/>
          <w:color w:val="auto"/>
          <w:sz w:val="24"/>
          <w:szCs w:val="24"/>
          <w:lang w:val="en-US"/>
        </w:rPr>
        <w:t xml:space="preserve">noted </w:t>
      </w:r>
      <w:r w:rsidRPr="00941E30">
        <w:rPr>
          <w:rFonts w:ascii="Times New Roman" w:hAnsi="Times New Roman"/>
          <w:color w:val="auto"/>
          <w:sz w:val="24"/>
          <w:szCs w:val="24"/>
          <w:lang w:val="en-US"/>
        </w:rPr>
        <w:t xml:space="preserve">that this </w:t>
      </w:r>
      <w:r w:rsidR="001D6E63" w:rsidRPr="00941E30">
        <w:rPr>
          <w:rFonts w:ascii="Times New Roman" w:hAnsi="Times New Roman"/>
          <w:color w:val="auto"/>
          <w:sz w:val="24"/>
          <w:szCs w:val="24"/>
          <w:lang w:val="en-US"/>
        </w:rPr>
        <w:t>is</w:t>
      </w:r>
      <w:r w:rsidRPr="00941E30">
        <w:rPr>
          <w:rFonts w:ascii="Times New Roman" w:hAnsi="Times New Roman"/>
          <w:color w:val="auto"/>
          <w:sz w:val="24"/>
          <w:szCs w:val="24"/>
          <w:lang w:val="en-US"/>
        </w:rPr>
        <w:t xml:space="preserve"> not reflect</w:t>
      </w:r>
      <w:r w:rsidR="00D5264C">
        <w:rPr>
          <w:rFonts w:ascii="Times New Roman" w:hAnsi="Times New Roman"/>
          <w:color w:val="auto"/>
          <w:sz w:val="24"/>
          <w:szCs w:val="24"/>
          <w:lang w:val="en-US"/>
        </w:rPr>
        <w:t>ed</w:t>
      </w:r>
      <w:r w:rsidRPr="00941E30">
        <w:rPr>
          <w:rFonts w:ascii="Times New Roman" w:hAnsi="Times New Roman"/>
          <w:color w:val="auto"/>
          <w:sz w:val="24"/>
          <w:szCs w:val="24"/>
          <w:lang w:val="en-US"/>
        </w:rPr>
        <w:t xml:space="preserve"> </w:t>
      </w:r>
      <w:r w:rsidR="001D6E63" w:rsidRPr="00941E30">
        <w:rPr>
          <w:rFonts w:ascii="Times New Roman" w:hAnsi="Times New Roman"/>
          <w:color w:val="auto"/>
          <w:sz w:val="24"/>
          <w:szCs w:val="24"/>
          <w:lang w:val="en-US"/>
        </w:rPr>
        <w:t xml:space="preserve">on </w:t>
      </w:r>
      <w:r w:rsidRPr="00941E30">
        <w:rPr>
          <w:rFonts w:ascii="Times New Roman" w:hAnsi="Times New Roman"/>
          <w:color w:val="auto"/>
          <w:sz w:val="24"/>
          <w:szCs w:val="24"/>
          <w:lang w:val="en-US"/>
        </w:rPr>
        <w:t>the APP</w:t>
      </w:r>
      <w:r w:rsidR="00B01370" w:rsidRPr="00941E30">
        <w:rPr>
          <w:rFonts w:ascii="Times New Roman" w:hAnsi="Times New Roman"/>
          <w:color w:val="auto"/>
          <w:sz w:val="24"/>
          <w:szCs w:val="24"/>
          <w:lang w:val="en-US"/>
        </w:rPr>
        <w:t xml:space="preserve"> of the Department</w:t>
      </w:r>
      <w:r w:rsidRPr="00941E30">
        <w:rPr>
          <w:rFonts w:ascii="Times New Roman" w:hAnsi="Times New Roman"/>
          <w:color w:val="FF0000"/>
          <w:sz w:val="24"/>
          <w:szCs w:val="24"/>
          <w:lang w:val="en-US"/>
        </w:rPr>
        <w:t xml:space="preserve">.  </w:t>
      </w:r>
    </w:p>
    <w:p w14:paraId="3F382BF4" w14:textId="77777777" w:rsidR="00932FEB" w:rsidRDefault="009544A7">
      <w:pPr>
        <w:pStyle w:val="ListParagraph"/>
        <w:numPr>
          <w:ilvl w:val="0"/>
          <w:numId w:val="11"/>
        </w:numPr>
        <w:spacing w:line="360" w:lineRule="auto"/>
        <w:jc w:val="both"/>
        <w:rPr>
          <w:rFonts w:ascii="Times New Roman" w:hAnsi="Times New Roman"/>
          <w:color w:val="auto"/>
          <w:sz w:val="24"/>
          <w:szCs w:val="24"/>
          <w:lang w:val="en-US"/>
        </w:rPr>
      </w:pPr>
      <w:r w:rsidRPr="00B01370">
        <w:rPr>
          <w:rFonts w:ascii="Times New Roman" w:hAnsi="Times New Roman"/>
          <w:color w:val="auto"/>
          <w:sz w:val="24"/>
          <w:szCs w:val="24"/>
          <w:lang w:val="en-US"/>
        </w:rPr>
        <w:t xml:space="preserve">The Committee was concerned that the </w:t>
      </w:r>
      <w:r w:rsidR="00BC162F">
        <w:rPr>
          <w:rFonts w:ascii="Times New Roman" w:hAnsi="Times New Roman"/>
          <w:color w:val="auto"/>
          <w:sz w:val="24"/>
          <w:szCs w:val="24"/>
          <w:lang w:val="en-US"/>
        </w:rPr>
        <w:t>D</w:t>
      </w:r>
      <w:r w:rsidR="00BC162F" w:rsidRPr="00B01370">
        <w:rPr>
          <w:rFonts w:ascii="Times New Roman" w:hAnsi="Times New Roman"/>
          <w:color w:val="auto"/>
          <w:sz w:val="24"/>
          <w:szCs w:val="24"/>
          <w:lang w:val="en-US"/>
        </w:rPr>
        <w:t xml:space="preserve">epartment </w:t>
      </w:r>
      <w:r w:rsidR="00932FEB">
        <w:rPr>
          <w:rFonts w:ascii="Times New Roman" w:hAnsi="Times New Roman"/>
          <w:color w:val="auto"/>
          <w:sz w:val="24"/>
          <w:szCs w:val="24"/>
          <w:lang w:val="en-US"/>
        </w:rPr>
        <w:t>has removed 37</w:t>
      </w:r>
      <w:r w:rsidR="00D335B8">
        <w:rPr>
          <w:rFonts w:ascii="Times New Roman" w:hAnsi="Times New Roman"/>
          <w:color w:val="auto"/>
          <w:sz w:val="24"/>
          <w:szCs w:val="24"/>
          <w:lang w:val="en-US"/>
        </w:rPr>
        <w:t xml:space="preserve"> </w:t>
      </w:r>
      <w:r w:rsidR="001E7DE3">
        <w:rPr>
          <w:rFonts w:ascii="Times New Roman" w:hAnsi="Times New Roman"/>
          <w:color w:val="auto"/>
          <w:sz w:val="24"/>
          <w:szCs w:val="24"/>
          <w:lang w:val="en-US"/>
        </w:rPr>
        <w:t xml:space="preserve">performance </w:t>
      </w:r>
      <w:r w:rsidR="001C3CA8">
        <w:rPr>
          <w:rFonts w:ascii="Times New Roman" w:hAnsi="Times New Roman"/>
          <w:color w:val="auto"/>
          <w:sz w:val="24"/>
          <w:szCs w:val="24"/>
          <w:lang w:val="en-US"/>
        </w:rPr>
        <w:t>indicators from</w:t>
      </w:r>
      <w:r w:rsidR="00BE71ED">
        <w:rPr>
          <w:rFonts w:ascii="Times New Roman" w:hAnsi="Times New Roman"/>
          <w:color w:val="auto"/>
          <w:sz w:val="24"/>
          <w:szCs w:val="24"/>
          <w:lang w:val="en-US"/>
        </w:rPr>
        <w:t xml:space="preserve"> </w:t>
      </w:r>
      <w:r w:rsidR="00BC162F">
        <w:rPr>
          <w:rFonts w:ascii="Times New Roman" w:hAnsi="Times New Roman"/>
          <w:color w:val="auto"/>
          <w:sz w:val="24"/>
          <w:szCs w:val="24"/>
          <w:lang w:val="en-US"/>
        </w:rPr>
        <w:t>P</w:t>
      </w:r>
      <w:r w:rsidR="00BC162F" w:rsidRPr="00B01370">
        <w:rPr>
          <w:rFonts w:ascii="Times New Roman" w:hAnsi="Times New Roman"/>
          <w:color w:val="auto"/>
          <w:sz w:val="24"/>
          <w:szCs w:val="24"/>
          <w:lang w:val="en-US"/>
        </w:rPr>
        <w:t>rogramme</w:t>
      </w:r>
      <w:r w:rsidR="004451AB">
        <w:rPr>
          <w:rFonts w:ascii="Times New Roman" w:hAnsi="Times New Roman"/>
          <w:color w:val="auto"/>
          <w:sz w:val="24"/>
          <w:szCs w:val="24"/>
          <w:lang w:val="en-US"/>
        </w:rPr>
        <w:t xml:space="preserve"> 2</w:t>
      </w:r>
      <w:r w:rsidR="00300661">
        <w:rPr>
          <w:rFonts w:ascii="Times New Roman" w:hAnsi="Times New Roman"/>
          <w:color w:val="auto"/>
          <w:sz w:val="24"/>
          <w:szCs w:val="24"/>
          <w:lang w:val="en-US"/>
        </w:rPr>
        <w:t xml:space="preserve"> (13</w:t>
      </w:r>
      <w:r w:rsidR="00D9050C">
        <w:rPr>
          <w:rFonts w:ascii="Times New Roman" w:hAnsi="Times New Roman"/>
          <w:color w:val="auto"/>
          <w:sz w:val="24"/>
          <w:szCs w:val="24"/>
          <w:lang w:val="en-US"/>
        </w:rPr>
        <w:t xml:space="preserve"> indicators</w:t>
      </w:r>
      <w:r w:rsidR="00300661">
        <w:rPr>
          <w:rFonts w:ascii="Times New Roman" w:hAnsi="Times New Roman"/>
          <w:color w:val="auto"/>
          <w:sz w:val="24"/>
          <w:szCs w:val="24"/>
          <w:lang w:val="en-US"/>
        </w:rPr>
        <w:t>)</w:t>
      </w:r>
      <w:r w:rsidR="00932FEB">
        <w:rPr>
          <w:rFonts w:ascii="Times New Roman" w:hAnsi="Times New Roman"/>
          <w:color w:val="auto"/>
          <w:sz w:val="24"/>
          <w:szCs w:val="24"/>
          <w:lang w:val="en-US"/>
        </w:rPr>
        <w:t>, Programme 3</w:t>
      </w:r>
      <w:r w:rsidR="00300661">
        <w:rPr>
          <w:rFonts w:ascii="Times New Roman" w:hAnsi="Times New Roman"/>
          <w:color w:val="auto"/>
          <w:sz w:val="24"/>
          <w:szCs w:val="24"/>
          <w:lang w:val="en-US"/>
        </w:rPr>
        <w:t xml:space="preserve"> (14</w:t>
      </w:r>
      <w:r w:rsidR="00D9050C">
        <w:rPr>
          <w:rFonts w:ascii="Times New Roman" w:hAnsi="Times New Roman"/>
          <w:color w:val="auto"/>
          <w:sz w:val="24"/>
          <w:szCs w:val="24"/>
          <w:lang w:val="en-US"/>
        </w:rPr>
        <w:t xml:space="preserve"> indicators</w:t>
      </w:r>
      <w:r w:rsidR="00300661">
        <w:rPr>
          <w:rFonts w:ascii="Times New Roman" w:hAnsi="Times New Roman"/>
          <w:color w:val="auto"/>
          <w:sz w:val="24"/>
          <w:szCs w:val="24"/>
          <w:lang w:val="en-US"/>
        </w:rPr>
        <w:t>)</w:t>
      </w:r>
      <w:r w:rsidR="00932FEB">
        <w:rPr>
          <w:rFonts w:ascii="Times New Roman" w:hAnsi="Times New Roman"/>
          <w:color w:val="auto"/>
          <w:sz w:val="24"/>
          <w:szCs w:val="24"/>
          <w:lang w:val="en-US"/>
        </w:rPr>
        <w:t xml:space="preserve"> and Programme 5</w:t>
      </w:r>
      <w:r w:rsidR="00300661">
        <w:rPr>
          <w:rFonts w:ascii="Times New Roman" w:hAnsi="Times New Roman"/>
          <w:color w:val="auto"/>
          <w:sz w:val="24"/>
          <w:szCs w:val="24"/>
          <w:lang w:val="en-US"/>
        </w:rPr>
        <w:t xml:space="preserve"> (10</w:t>
      </w:r>
      <w:r w:rsidR="00D9050C">
        <w:rPr>
          <w:rFonts w:ascii="Times New Roman" w:hAnsi="Times New Roman"/>
          <w:color w:val="auto"/>
          <w:sz w:val="24"/>
          <w:szCs w:val="24"/>
          <w:lang w:val="en-US"/>
        </w:rPr>
        <w:t xml:space="preserve"> indicators</w:t>
      </w:r>
      <w:r w:rsidR="00300661">
        <w:rPr>
          <w:rFonts w:ascii="Times New Roman" w:hAnsi="Times New Roman"/>
          <w:color w:val="auto"/>
          <w:sz w:val="24"/>
          <w:szCs w:val="24"/>
          <w:lang w:val="en-US"/>
        </w:rPr>
        <w:t xml:space="preserve">). </w:t>
      </w:r>
    </w:p>
    <w:p w14:paraId="68FB1504" w14:textId="77777777" w:rsidR="00D5264C" w:rsidRPr="009845AF" w:rsidRDefault="00BC162F" w:rsidP="00AC5905">
      <w:pPr>
        <w:pStyle w:val="ListParagraph"/>
        <w:numPr>
          <w:ilvl w:val="0"/>
          <w:numId w:val="11"/>
        </w:numPr>
        <w:spacing w:line="360" w:lineRule="auto"/>
        <w:jc w:val="both"/>
        <w:rPr>
          <w:rFonts w:ascii="Times New Roman" w:hAnsi="Times New Roman"/>
          <w:color w:val="FF0000"/>
          <w:sz w:val="24"/>
          <w:szCs w:val="24"/>
          <w:lang w:val="en-US"/>
        </w:rPr>
      </w:pPr>
      <w:r w:rsidRPr="00AC5905">
        <w:rPr>
          <w:rFonts w:ascii="Times New Roman" w:hAnsi="Times New Roman"/>
          <w:color w:val="auto"/>
          <w:sz w:val="24"/>
          <w:szCs w:val="24"/>
          <w:lang w:val="en-US"/>
        </w:rPr>
        <w:t xml:space="preserve"> </w:t>
      </w:r>
      <w:r w:rsidR="00AF00C9" w:rsidRPr="00AC5905">
        <w:rPr>
          <w:rFonts w:ascii="Times New Roman" w:hAnsi="Times New Roman"/>
          <w:color w:val="auto"/>
          <w:sz w:val="24"/>
          <w:szCs w:val="24"/>
          <w:lang w:val="en-US"/>
        </w:rPr>
        <w:t xml:space="preserve">The </w:t>
      </w:r>
      <w:r w:rsidR="003B0BD8" w:rsidRPr="00AC5905">
        <w:rPr>
          <w:rFonts w:ascii="Times New Roman" w:hAnsi="Times New Roman"/>
          <w:color w:val="auto"/>
          <w:sz w:val="24"/>
          <w:szCs w:val="24"/>
          <w:lang w:val="en-US"/>
        </w:rPr>
        <w:t>Committee note</w:t>
      </w:r>
      <w:r w:rsidR="00AF00C9" w:rsidRPr="00AC5905">
        <w:rPr>
          <w:rFonts w:ascii="Times New Roman" w:hAnsi="Times New Roman"/>
          <w:color w:val="auto"/>
          <w:sz w:val="24"/>
          <w:szCs w:val="24"/>
          <w:lang w:val="en-US"/>
        </w:rPr>
        <w:t>d with concern that the</w:t>
      </w:r>
      <w:r w:rsidR="00D335B8">
        <w:rPr>
          <w:rFonts w:ascii="Times New Roman" w:hAnsi="Times New Roman"/>
          <w:color w:val="auto"/>
          <w:sz w:val="24"/>
          <w:szCs w:val="24"/>
          <w:lang w:val="en-US"/>
        </w:rPr>
        <w:t xml:space="preserve"> evaluation report of the first </w:t>
      </w:r>
      <w:r w:rsidR="00D9050C">
        <w:rPr>
          <w:rFonts w:ascii="Times New Roman" w:hAnsi="Times New Roman"/>
          <w:color w:val="auto"/>
          <w:sz w:val="24"/>
          <w:szCs w:val="24"/>
          <w:lang w:val="en-US"/>
        </w:rPr>
        <w:t>phase of</w:t>
      </w:r>
      <w:r w:rsidR="00AF00C9" w:rsidRPr="00AC5905">
        <w:rPr>
          <w:rFonts w:ascii="Times New Roman" w:hAnsi="Times New Roman"/>
          <w:color w:val="auto"/>
          <w:sz w:val="24"/>
          <w:szCs w:val="24"/>
          <w:lang w:val="en-US"/>
        </w:rPr>
        <w:t xml:space="preserve"> N</w:t>
      </w:r>
      <w:r w:rsidR="005A253F" w:rsidRPr="00AC5905">
        <w:rPr>
          <w:rFonts w:ascii="Times New Roman" w:hAnsi="Times New Roman"/>
          <w:color w:val="auto"/>
          <w:sz w:val="24"/>
          <w:szCs w:val="24"/>
          <w:lang w:val="en-US"/>
        </w:rPr>
        <w:t>HI</w:t>
      </w:r>
      <w:r w:rsidR="00D9050C">
        <w:rPr>
          <w:rFonts w:ascii="Times New Roman" w:hAnsi="Times New Roman"/>
          <w:color w:val="auto"/>
          <w:sz w:val="24"/>
          <w:szCs w:val="24"/>
          <w:lang w:val="en-US"/>
        </w:rPr>
        <w:t xml:space="preserve"> evaluation</w:t>
      </w:r>
      <w:r w:rsidR="00213688" w:rsidRPr="00AC5905">
        <w:rPr>
          <w:rFonts w:ascii="Times New Roman" w:hAnsi="Times New Roman"/>
          <w:color w:val="auto"/>
          <w:sz w:val="24"/>
          <w:szCs w:val="24"/>
          <w:lang w:val="en-US"/>
        </w:rPr>
        <w:t xml:space="preserve"> report is outstanding</w:t>
      </w:r>
      <w:r w:rsidR="00D5407E" w:rsidRPr="00505870">
        <w:rPr>
          <w:rFonts w:ascii="Times New Roman" w:hAnsi="Times New Roman"/>
          <w:color w:val="auto"/>
          <w:sz w:val="24"/>
          <w:szCs w:val="24"/>
          <w:lang w:val="en-US"/>
        </w:rPr>
        <w:t>.</w:t>
      </w:r>
      <w:r w:rsidR="00213688" w:rsidRPr="00505870">
        <w:rPr>
          <w:rFonts w:ascii="Times New Roman" w:hAnsi="Times New Roman"/>
          <w:color w:val="auto"/>
          <w:sz w:val="24"/>
          <w:szCs w:val="24"/>
          <w:lang w:val="en-US"/>
        </w:rPr>
        <w:t xml:space="preserve"> </w:t>
      </w:r>
    </w:p>
    <w:p w14:paraId="03623171" w14:textId="77777777" w:rsidR="00D5264C" w:rsidRPr="009845AF" w:rsidRDefault="00D335B8">
      <w:pPr>
        <w:pStyle w:val="ListParagraph"/>
        <w:numPr>
          <w:ilvl w:val="0"/>
          <w:numId w:val="11"/>
        </w:numPr>
        <w:spacing w:line="360" w:lineRule="auto"/>
        <w:jc w:val="both"/>
        <w:rPr>
          <w:rFonts w:ascii="Times New Roman" w:hAnsi="Times New Roman"/>
          <w:color w:val="FF0000"/>
          <w:sz w:val="24"/>
          <w:szCs w:val="24"/>
          <w:lang w:val="en-US"/>
        </w:rPr>
      </w:pPr>
      <w:r>
        <w:rPr>
          <w:rFonts w:ascii="Times New Roman" w:hAnsi="Times New Roman"/>
          <w:color w:val="auto"/>
          <w:sz w:val="24"/>
          <w:szCs w:val="24"/>
          <w:lang w:val="en-US"/>
        </w:rPr>
        <w:t>The Committee observed that</w:t>
      </w:r>
      <w:r w:rsidR="005A253F" w:rsidRPr="00F9561A">
        <w:rPr>
          <w:rFonts w:ascii="Times New Roman" w:hAnsi="Times New Roman"/>
          <w:color w:val="auto"/>
          <w:sz w:val="24"/>
          <w:szCs w:val="24"/>
          <w:lang w:val="en-US"/>
        </w:rPr>
        <w:t xml:space="preserve"> the </w:t>
      </w:r>
      <w:r w:rsidR="00F90F33" w:rsidRPr="00F9561A">
        <w:rPr>
          <w:rFonts w:ascii="Times New Roman" w:hAnsi="Times New Roman"/>
          <w:color w:val="auto"/>
          <w:sz w:val="24"/>
          <w:szCs w:val="24"/>
          <w:lang w:val="en-US"/>
        </w:rPr>
        <w:t>APP</w:t>
      </w:r>
      <w:r w:rsidR="00D5407E">
        <w:rPr>
          <w:rFonts w:ascii="Times New Roman" w:hAnsi="Times New Roman"/>
          <w:color w:val="auto"/>
          <w:sz w:val="24"/>
          <w:szCs w:val="24"/>
          <w:lang w:val="en-US"/>
        </w:rPr>
        <w:t xml:space="preserve"> and budget</w:t>
      </w:r>
      <w:r w:rsidR="00F90F33" w:rsidRPr="00F9561A">
        <w:rPr>
          <w:rFonts w:ascii="Times New Roman" w:hAnsi="Times New Roman"/>
          <w:color w:val="auto"/>
          <w:sz w:val="24"/>
          <w:szCs w:val="24"/>
          <w:lang w:val="en-US"/>
        </w:rPr>
        <w:t xml:space="preserve"> </w:t>
      </w:r>
      <w:r w:rsidR="005A253F" w:rsidRPr="00F9561A">
        <w:rPr>
          <w:rFonts w:ascii="Times New Roman" w:hAnsi="Times New Roman"/>
          <w:color w:val="auto"/>
          <w:sz w:val="24"/>
          <w:szCs w:val="24"/>
          <w:lang w:val="en-US"/>
        </w:rPr>
        <w:t>d</w:t>
      </w:r>
      <w:r w:rsidR="00F90F33" w:rsidRPr="00F9561A">
        <w:rPr>
          <w:rFonts w:ascii="Times New Roman" w:hAnsi="Times New Roman"/>
          <w:color w:val="auto"/>
          <w:sz w:val="24"/>
          <w:szCs w:val="24"/>
          <w:lang w:val="en-US"/>
        </w:rPr>
        <w:t>oes</w:t>
      </w:r>
      <w:r w:rsidR="005A253F" w:rsidRPr="00F9561A">
        <w:rPr>
          <w:rFonts w:ascii="Times New Roman" w:hAnsi="Times New Roman"/>
          <w:color w:val="auto"/>
          <w:sz w:val="24"/>
          <w:szCs w:val="24"/>
          <w:lang w:val="en-US"/>
        </w:rPr>
        <w:t xml:space="preserve"> not reflect </w:t>
      </w:r>
      <w:r w:rsidR="00D5407E">
        <w:rPr>
          <w:rFonts w:ascii="Times New Roman" w:hAnsi="Times New Roman"/>
          <w:color w:val="auto"/>
          <w:sz w:val="24"/>
          <w:szCs w:val="24"/>
          <w:lang w:val="en-US"/>
        </w:rPr>
        <w:t xml:space="preserve">on </w:t>
      </w:r>
      <w:r>
        <w:rPr>
          <w:rFonts w:ascii="Times New Roman" w:hAnsi="Times New Roman"/>
          <w:color w:val="auto"/>
          <w:sz w:val="24"/>
          <w:szCs w:val="24"/>
          <w:lang w:val="en-US"/>
        </w:rPr>
        <w:t>second phase</w:t>
      </w:r>
      <w:r w:rsidR="005A253F" w:rsidRPr="00F9561A">
        <w:rPr>
          <w:rFonts w:ascii="Times New Roman" w:hAnsi="Times New Roman"/>
          <w:color w:val="auto"/>
          <w:sz w:val="24"/>
          <w:szCs w:val="24"/>
          <w:lang w:val="en-US"/>
        </w:rPr>
        <w:t xml:space="preserve"> of</w:t>
      </w:r>
      <w:r w:rsidR="00D5264C">
        <w:rPr>
          <w:rFonts w:ascii="Times New Roman" w:hAnsi="Times New Roman"/>
          <w:color w:val="auto"/>
          <w:sz w:val="24"/>
          <w:szCs w:val="24"/>
          <w:lang w:val="en-US"/>
        </w:rPr>
        <w:t xml:space="preserve"> </w:t>
      </w:r>
      <w:r w:rsidR="005846B1" w:rsidRPr="00F9561A">
        <w:rPr>
          <w:rFonts w:ascii="Times New Roman" w:hAnsi="Times New Roman"/>
          <w:color w:val="auto"/>
          <w:sz w:val="24"/>
          <w:szCs w:val="24"/>
          <w:lang w:val="en-US"/>
        </w:rPr>
        <w:t>NHI</w:t>
      </w:r>
      <w:r w:rsidR="005A253F" w:rsidRPr="00F9561A">
        <w:rPr>
          <w:rFonts w:ascii="Times New Roman" w:hAnsi="Times New Roman"/>
          <w:color w:val="auto"/>
          <w:sz w:val="24"/>
          <w:szCs w:val="24"/>
          <w:lang w:val="en-US"/>
        </w:rPr>
        <w:t xml:space="preserve"> implementation</w:t>
      </w:r>
      <w:r w:rsidR="0061736F" w:rsidRPr="00F9561A">
        <w:rPr>
          <w:rFonts w:ascii="Times New Roman" w:hAnsi="Times New Roman"/>
          <w:color w:val="auto"/>
          <w:sz w:val="24"/>
          <w:szCs w:val="24"/>
          <w:lang w:val="en-US"/>
        </w:rPr>
        <w:t>.</w:t>
      </w:r>
      <w:r w:rsidR="005A253F" w:rsidRPr="00F9561A">
        <w:rPr>
          <w:rFonts w:ascii="Times New Roman" w:hAnsi="Times New Roman"/>
          <w:color w:val="auto"/>
          <w:sz w:val="24"/>
          <w:szCs w:val="24"/>
          <w:lang w:val="en-US"/>
        </w:rPr>
        <w:t xml:space="preserve"> </w:t>
      </w:r>
    </w:p>
    <w:p w14:paraId="690F809C" w14:textId="77777777" w:rsidR="00F9561A" w:rsidRPr="00941E30" w:rsidRDefault="00F90F33">
      <w:pPr>
        <w:pStyle w:val="ListParagraph"/>
        <w:numPr>
          <w:ilvl w:val="0"/>
          <w:numId w:val="11"/>
        </w:numPr>
        <w:spacing w:line="360" w:lineRule="auto"/>
        <w:jc w:val="both"/>
        <w:rPr>
          <w:rFonts w:ascii="Times New Roman" w:hAnsi="Times New Roman"/>
          <w:color w:val="FF0000"/>
          <w:sz w:val="24"/>
          <w:szCs w:val="24"/>
          <w:lang w:val="en-US"/>
        </w:rPr>
      </w:pPr>
      <w:r w:rsidRPr="00F9561A">
        <w:rPr>
          <w:rFonts w:ascii="Times New Roman" w:hAnsi="Times New Roman"/>
          <w:color w:val="auto"/>
          <w:sz w:val="24"/>
          <w:szCs w:val="24"/>
          <w:lang w:val="en-US"/>
        </w:rPr>
        <w:t>The Com</w:t>
      </w:r>
      <w:r w:rsidR="005577D0" w:rsidRPr="00F9561A">
        <w:rPr>
          <w:rFonts w:ascii="Times New Roman" w:hAnsi="Times New Roman"/>
          <w:color w:val="auto"/>
          <w:sz w:val="24"/>
          <w:szCs w:val="24"/>
          <w:lang w:val="en-US"/>
        </w:rPr>
        <w:t xml:space="preserve">mittee also noted the lack </w:t>
      </w:r>
      <w:r w:rsidR="00213688">
        <w:rPr>
          <w:rFonts w:ascii="Times New Roman" w:hAnsi="Times New Roman"/>
          <w:color w:val="auto"/>
          <w:sz w:val="24"/>
          <w:szCs w:val="24"/>
          <w:lang w:val="en-US"/>
        </w:rPr>
        <w:t xml:space="preserve">of </w:t>
      </w:r>
      <w:r w:rsidRPr="00F9561A">
        <w:rPr>
          <w:rFonts w:ascii="Times New Roman" w:hAnsi="Times New Roman"/>
          <w:color w:val="auto"/>
          <w:sz w:val="24"/>
          <w:szCs w:val="24"/>
          <w:lang w:val="en-US"/>
        </w:rPr>
        <w:t>timeframe</w:t>
      </w:r>
      <w:r w:rsidR="001D6E63" w:rsidRPr="00F9561A">
        <w:rPr>
          <w:rFonts w:ascii="Times New Roman" w:hAnsi="Times New Roman"/>
          <w:color w:val="auto"/>
          <w:sz w:val="24"/>
          <w:szCs w:val="24"/>
          <w:lang w:val="en-US"/>
        </w:rPr>
        <w:t>s</w:t>
      </w:r>
      <w:r w:rsidRPr="00F9561A">
        <w:rPr>
          <w:rFonts w:ascii="Times New Roman" w:hAnsi="Times New Roman"/>
          <w:color w:val="auto"/>
          <w:sz w:val="24"/>
          <w:szCs w:val="24"/>
          <w:lang w:val="en-US"/>
        </w:rPr>
        <w:t xml:space="preserve"> for the tabling of the NHI Bill in Parliament</w:t>
      </w:r>
      <w:r w:rsidR="00D5264C">
        <w:rPr>
          <w:rFonts w:ascii="Times New Roman" w:hAnsi="Times New Roman"/>
          <w:color w:val="auto"/>
          <w:sz w:val="24"/>
          <w:szCs w:val="24"/>
          <w:lang w:val="en-US"/>
        </w:rPr>
        <w:t xml:space="preserve"> in line with the pronouncement </w:t>
      </w:r>
      <w:r w:rsidR="004F1B4E">
        <w:rPr>
          <w:rFonts w:ascii="Times New Roman" w:hAnsi="Times New Roman"/>
          <w:color w:val="auto"/>
          <w:sz w:val="24"/>
          <w:szCs w:val="24"/>
          <w:lang w:val="en-US"/>
        </w:rPr>
        <w:t xml:space="preserve">made </w:t>
      </w:r>
      <w:r w:rsidR="00D5264C">
        <w:rPr>
          <w:rFonts w:ascii="Times New Roman" w:hAnsi="Times New Roman"/>
          <w:color w:val="auto"/>
          <w:sz w:val="24"/>
          <w:szCs w:val="24"/>
          <w:lang w:val="en-US"/>
        </w:rPr>
        <w:t xml:space="preserve">by the President </w:t>
      </w:r>
      <w:r w:rsidR="007368D1">
        <w:rPr>
          <w:rFonts w:ascii="Times New Roman" w:hAnsi="Times New Roman"/>
          <w:color w:val="auto"/>
          <w:sz w:val="24"/>
          <w:szCs w:val="24"/>
          <w:lang w:val="en-US"/>
        </w:rPr>
        <w:t>during</w:t>
      </w:r>
      <w:r w:rsidR="00D5264C">
        <w:rPr>
          <w:rFonts w:ascii="Times New Roman" w:hAnsi="Times New Roman"/>
          <w:color w:val="auto"/>
          <w:sz w:val="24"/>
          <w:szCs w:val="24"/>
          <w:lang w:val="en-US"/>
        </w:rPr>
        <w:t xml:space="preserve"> </w:t>
      </w:r>
      <w:r w:rsidR="00300661">
        <w:rPr>
          <w:rFonts w:ascii="Times New Roman" w:hAnsi="Times New Roman"/>
          <w:color w:val="auto"/>
          <w:sz w:val="24"/>
          <w:szCs w:val="24"/>
          <w:lang w:val="en-US"/>
        </w:rPr>
        <w:t xml:space="preserve">the 2018 </w:t>
      </w:r>
      <w:r w:rsidR="00D5264C">
        <w:rPr>
          <w:rFonts w:ascii="Times New Roman" w:hAnsi="Times New Roman"/>
          <w:color w:val="auto"/>
          <w:sz w:val="24"/>
          <w:szCs w:val="24"/>
          <w:lang w:val="en-US"/>
        </w:rPr>
        <w:t>SONA</w:t>
      </w:r>
      <w:r w:rsidR="007368D1">
        <w:rPr>
          <w:rFonts w:ascii="Times New Roman" w:hAnsi="Times New Roman"/>
          <w:color w:val="auto"/>
          <w:sz w:val="24"/>
          <w:szCs w:val="24"/>
          <w:lang w:val="en-US"/>
        </w:rPr>
        <w:t xml:space="preserve">. </w:t>
      </w:r>
    </w:p>
    <w:p w14:paraId="12C5C23B" w14:textId="77777777" w:rsidR="00F9561A" w:rsidRPr="00C35432"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C35432">
        <w:rPr>
          <w:rFonts w:ascii="Times New Roman" w:hAnsi="Times New Roman"/>
          <w:color w:val="auto"/>
          <w:sz w:val="24"/>
          <w:szCs w:val="24"/>
          <w:lang w:val="en-US"/>
        </w:rPr>
        <w:t xml:space="preserve">On Programme 3, the Committee noted with concern that a large portion of the total budget is on Programme 3, however, there are only three strategic objectives linked to this programme. There is no indication on how the Department </w:t>
      </w:r>
      <w:r>
        <w:rPr>
          <w:rFonts w:ascii="Times New Roman" w:hAnsi="Times New Roman"/>
          <w:color w:val="auto"/>
          <w:sz w:val="24"/>
          <w:szCs w:val="24"/>
          <w:lang w:val="en-US"/>
        </w:rPr>
        <w:t>will</w:t>
      </w:r>
      <w:r w:rsidRPr="00C35432">
        <w:rPr>
          <w:rFonts w:ascii="Times New Roman" w:hAnsi="Times New Roman"/>
          <w:color w:val="auto"/>
          <w:sz w:val="24"/>
          <w:szCs w:val="24"/>
          <w:lang w:val="en-US"/>
        </w:rPr>
        <w:t xml:space="preserve"> address</w:t>
      </w:r>
      <w:r>
        <w:rPr>
          <w:rFonts w:ascii="Times New Roman" w:hAnsi="Times New Roman"/>
          <w:color w:val="auto"/>
          <w:sz w:val="24"/>
          <w:szCs w:val="24"/>
          <w:lang w:val="en-US"/>
        </w:rPr>
        <w:t xml:space="preserve"> priorities such as </w:t>
      </w:r>
      <w:r w:rsidRPr="00C35432">
        <w:rPr>
          <w:rFonts w:ascii="Times New Roman" w:hAnsi="Times New Roman"/>
          <w:color w:val="auto"/>
          <w:sz w:val="24"/>
          <w:szCs w:val="24"/>
          <w:lang w:val="en-US"/>
        </w:rPr>
        <w:t>child, women and maternal health</w:t>
      </w:r>
      <w:r w:rsidR="00505870">
        <w:rPr>
          <w:rFonts w:ascii="Times New Roman" w:hAnsi="Times New Roman"/>
          <w:color w:val="auto"/>
          <w:sz w:val="24"/>
          <w:szCs w:val="24"/>
          <w:lang w:val="en-US"/>
        </w:rPr>
        <w:t xml:space="preserve"> and</w:t>
      </w:r>
      <w:r w:rsidR="00774021">
        <w:rPr>
          <w:rFonts w:ascii="Times New Roman" w:hAnsi="Times New Roman"/>
          <w:color w:val="auto"/>
          <w:sz w:val="24"/>
          <w:szCs w:val="24"/>
          <w:lang w:val="en-US"/>
        </w:rPr>
        <w:t xml:space="preserve"> non-communicable diseases</w:t>
      </w:r>
      <w:r w:rsidRPr="008D5007">
        <w:rPr>
          <w:rFonts w:ascii="Times New Roman" w:hAnsi="Times New Roman"/>
          <w:sz w:val="24"/>
          <w:szCs w:val="24"/>
        </w:rPr>
        <w:t>.</w:t>
      </w:r>
      <w:r>
        <w:rPr>
          <w:rFonts w:ascii="Times New Roman" w:hAnsi="Times New Roman"/>
          <w:sz w:val="24"/>
          <w:szCs w:val="24"/>
        </w:rPr>
        <w:t xml:space="preserve"> </w:t>
      </w:r>
    </w:p>
    <w:p w14:paraId="47B917F1" w14:textId="77777777" w:rsidR="00323A85" w:rsidRPr="00941E30" w:rsidRDefault="00D60D04">
      <w:pPr>
        <w:pStyle w:val="ListParagraph"/>
        <w:numPr>
          <w:ilvl w:val="0"/>
          <w:numId w:val="11"/>
        </w:numPr>
        <w:spacing w:line="360" w:lineRule="auto"/>
        <w:jc w:val="both"/>
        <w:rPr>
          <w:rFonts w:ascii="Times New Roman" w:hAnsi="Times New Roman"/>
          <w:color w:val="FF0000"/>
          <w:sz w:val="24"/>
          <w:szCs w:val="24"/>
          <w:lang w:val="en-US"/>
        </w:rPr>
      </w:pPr>
      <w:r w:rsidRPr="00F9561A">
        <w:rPr>
          <w:rFonts w:ascii="Times New Roman" w:hAnsi="Times New Roman"/>
          <w:color w:val="auto"/>
          <w:sz w:val="24"/>
          <w:szCs w:val="24"/>
          <w:lang w:val="en-US"/>
        </w:rPr>
        <w:t xml:space="preserve">The Committee </w:t>
      </w:r>
      <w:r w:rsidR="00751AD8" w:rsidRPr="00941E30">
        <w:rPr>
          <w:rFonts w:ascii="Times New Roman" w:hAnsi="Times New Roman"/>
          <w:color w:val="auto"/>
          <w:sz w:val="24"/>
          <w:szCs w:val="24"/>
          <w:lang w:val="en-US"/>
        </w:rPr>
        <w:t>expressed concern</w:t>
      </w:r>
      <w:r w:rsidRPr="00F9561A">
        <w:rPr>
          <w:rFonts w:ascii="Times New Roman" w:hAnsi="Times New Roman"/>
          <w:color w:val="auto"/>
          <w:sz w:val="24"/>
          <w:szCs w:val="24"/>
          <w:lang w:val="en-US"/>
        </w:rPr>
        <w:t xml:space="preserve"> that Limpopo Provincial Department of Health has </w:t>
      </w:r>
      <w:r w:rsidR="00751AD8" w:rsidRPr="00941E30">
        <w:rPr>
          <w:rFonts w:ascii="Times New Roman" w:hAnsi="Times New Roman"/>
          <w:color w:val="auto"/>
          <w:sz w:val="24"/>
          <w:szCs w:val="24"/>
          <w:lang w:val="en-US"/>
        </w:rPr>
        <w:t>terminated contracts of NPOs employing</w:t>
      </w:r>
      <w:r w:rsidRPr="00F9561A">
        <w:rPr>
          <w:rFonts w:ascii="Times New Roman" w:hAnsi="Times New Roman"/>
          <w:color w:val="auto"/>
          <w:sz w:val="24"/>
          <w:szCs w:val="24"/>
          <w:lang w:val="en-US"/>
        </w:rPr>
        <w:t xml:space="preserve"> </w:t>
      </w:r>
      <w:r w:rsidR="00951A95" w:rsidRPr="00F9561A">
        <w:rPr>
          <w:rFonts w:ascii="Times New Roman" w:hAnsi="Times New Roman"/>
          <w:color w:val="auto"/>
          <w:sz w:val="24"/>
          <w:szCs w:val="24"/>
          <w:lang w:val="en-US"/>
        </w:rPr>
        <w:t>home based carers and community health workers</w:t>
      </w:r>
      <w:r w:rsidR="005710C8">
        <w:rPr>
          <w:rFonts w:ascii="Times New Roman" w:hAnsi="Times New Roman"/>
          <w:color w:val="auto"/>
          <w:sz w:val="24"/>
          <w:szCs w:val="24"/>
          <w:lang w:val="en-US"/>
        </w:rPr>
        <w:t xml:space="preserve"> (CHWs)</w:t>
      </w:r>
      <w:r w:rsidR="00323A85">
        <w:rPr>
          <w:rFonts w:ascii="Times New Roman" w:hAnsi="Times New Roman"/>
          <w:color w:val="auto"/>
          <w:sz w:val="24"/>
          <w:szCs w:val="24"/>
          <w:lang w:val="en-US"/>
        </w:rPr>
        <w:t>.</w:t>
      </w:r>
    </w:p>
    <w:p w14:paraId="22D84F78" w14:textId="77777777" w:rsidR="00F9561A" w:rsidRDefault="00323A85">
      <w:pPr>
        <w:pStyle w:val="ListParagraph"/>
        <w:numPr>
          <w:ilvl w:val="0"/>
          <w:numId w:val="11"/>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The Committee noted that during the 2018 </w:t>
      </w:r>
      <w:r w:rsidR="004F1B4E">
        <w:rPr>
          <w:rFonts w:ascii="Times New Roman" w:hAnsi="Times New Roman"/>
          <w:color w:val="auto"/>
          <w:sz w:val="24"/>
          <w:szCs w:val="24"/>
          <w:lang w:val="en-US"/>
        </w:rPr>
        <w:t>SONA</w:t>
      </w:r>
      <w:r>
        <w:rPr>
          <w:rFonts w:ascii="Times New Roman" w:hAnsi="Times New Roman"/>
          <w:color w:val="auto"/>
          <w:sz w:val="24"/>
          <w:szCs w:val="24"/>
          <w:lang w:val="en-US"/>
        </w:rPr>
        <w:t xml:space="preserve"> the President indicated that the Department will be launching a massive cancer campaign.</w:t>
      </w:r>
      <w:r w:rsidR="005B5F5A">
        <w:rPr>
          <w:rFonts w:ascii="Times New Roman" w:hAnsi="Times New Roman"/>
          <w:color w:val="auto"/>
          <w:sz w:val="24"/>
          <w:szCs w:val="24"/>
          <w:lang w:val="en-US"/>
        </w:rPr>
        <w:t xml:space="preserve"> However, the APP does not reflect on this pronouncement. </w:t>
      </w:r>
    </w:p>
    <w:p w14:paraId="5F6D7D0B" w14:textId="77777777" w:rsidR="00F9561A" w:rsidRPr="00941E30" w:rsidRDefault="005577D0" w:rsidP="00941E30">
      <w:pPr>
        <w:pStyle w:val="ListParagraph"/>
        <w:numPr>
          <w:ilvl w:val="0"/>
          <w:numId w:val="11"/>
        </w:numPr>
        <w:autoSpaceDE w:val="0"/>
        <w:autoSpaceDN w:val="0"/>
        <w:adjustRightInd w:val="0"/>
        <w:spacing w:line="360" w:lineRule="auto"/>
        <w:jc w:val="both"/>
        <w:rPr>
          <w:rFonts w:ascii="Times New Roman" w:hAnsi="Times New Roman"/>
          <w:color w:val="FF0000"/>
          <w:sz w:val="24"/>
          <w:szCs w:val="24"/>
          <w:lang w:val="en-US"/>
        </w:rPr>
      </w:pPr>
      <w:r w:rsidRPr="00F9561A">
        <w:rPr>
          <w:rFonts w:ascii="Times New Roman" w:hAnsi="Times New Roman"/>
          <w:color w:val="auto"/>
          <w:sz w:val="24"/>
          <w:szCs w:val="24"/>
          <w:lang w:val="en-US"/>
        </w:rPr>
        <w:t xml:space="preserve">The Committee noted </w:t>
      </w:r>
      <w:r w:rsidR="00745468" w:rsidRPr="00F9561A">
        <w:rPr>
          <w:rFonts w:ascii="Times New Roman" w:hAnsi="Times New Roman"/>
          <w:color w:val="auto"/>
          <w:sz w:val="24"/>
          <w:szCs w:val="24"/>
          <w:lang w:val="en-US"/>
        </w:rPr>
        <w:t xml:space="preserve">with concern </w:t>
      </w:r>
      <w:r w:rsidR="006034E4" w:rsidRPr="00F9561A">
        <w:rPr>
          <w:rFonts w:ascii="Times New Roman" w:hAnsi="Times New Roman"/>
          <w:color w:val="auto"/>
          <w:sz w:val="24"/>
          <w:szCs w:val="24"/>
          <w:lang w:val="en-US"/>
        </w:rPr>
        <w:t xml:space="preserve">that </w:t>
      </w:r>
      <w:r w:rsidR="00745468" w:rsidRPr="00F9561A">
        <w:rPr>
          <w:rFonts w:ascii="Times New Roman" w:hAnsi="Times New Roman"/>
          <w:color w:val="auto"/>
          <w:sz w:val="24"/>
          <w:szCs w:val="24"/>
          <w:lang w:val="en-US"/>
        </w:rPr>
        <w:t>infrastructure management at provincial departments</w:t>
      </w:r>
      <w:r w:rsidR="006034E4" w:rsidRPr="00F9561A">
        <w:rPr>
          <w:rFonts w:ascii="Times New Roman" w:hAnsi="Times New Roman"/>
          <w:color w:val="auto"/>
          <w:sz w:val="24"/>
          <w:szCs w:val="24"/>
          <w:lang w:val="en-US"/>
        </w:rPr>
        <w:t xml:space="preserve"> </w:t>
      </w:r>
      <w:r w:rsidR="005710C8">
        <w:rPr>
          <w:rFonts w:ascii="Times New Roman" w:hAnsi="Times New Roman"/>
          <w:color w:val="auto"/>
          <w:sz w:val="24"/>
          <w:szCs w:val="24"/>
          <w:lang w:val="en-US"/>
        </w:rPr>
        <w:t>remains</w:t>
      </w:r>
      <w:r w:rsidR="006034E4" w:rsidRPr="00F9561A">
        <w:rPr>
          <w:rFonts w:ascii="Times New Roman" w:hAnsi="Times New Roman"/>
          <w:color w:val="auto"/>
          <w:sz w:val="24"/>
          <w:szCs w:val="24"/>
          <w:lang w:val="en-US"/>
        </w:rPr>
        <w:t xml:space="preserve"> a challenge</w:t>
      </w:r>
      <w:r w:rsidR="005710C8">
        <w:rPr>
          <w:rFonts w:ascii="Times New Roman" w:hAnsi="Times New Roman"/>
          <w:color w:val="auto"/>
          <w:sz w:val="24"/>
          <w:szCs w:val="24"/>
          <w:lang w:val="en-US"/>
        </w:rPr>
        <w:t>,</w:t>
      </w:r>
      <w:r w:rsidR="006034E4" w:rsidRPr="00F9561A">
        <w:rPr>
          <w:rFonts w:ascii="Times New Roman" w:hAnsi="Times New Roman"/>
          <w:color w:val="auto"/>
          <w:sz w:val="24"/>
          <w:szCs w:val="24"/>
          <w:lang w:val="en-US"/>
        </w:rPr>
        <w:t xml:space="preserve"> particularly maintenance of buildings and equipment</w:t>
      </w:r>
      <w:r w:rsidR="00745468" w:rsidRPr="00F9561A">
        <w:rPr>
          <w:rFonts w:ascii="Times New Roman" w:hAnsi="Times New Roman"/>
          <w:color w:val="auto"/>
          <w:sz w:val="24"/>
          <w:szCs w:val="24"/>
          <w:lang w:val="en-US"/>
        </w:rPr>
        <w:t>.</w:t>
      </w:r>
    </w:p>
    <w:p w14:paraId="0662EFA8" w14:textId="77777777" w:rsidR="00756C7B" w:rsidRPr="00F9561A" w:rsidRDefault="006A1318" w:rsidP="00941E30">
      <w:pPr>
        <w:pStyle w:val="ListParagraph"/>
        <w:numPr>
          <w:ilvl w:val="0"/>
          <w:numId w:val="11"/>
        </w:numPr>
        <w:autoSpaceDE w:val="0"/>
        <w:autoSpaceDN w:val="0"/>
        <w:adjustRightInd w:val="0"/>
        <w:spacing w:line="360" w:lineRule="auto"/>
        <w:jc w:val="both"/>
        <w:rPr>
          <w:rFonts w:ascii="Times New Roman" w:hAnsi="Times New Roman"/>
          <w:color w:val="FF0000"/>
          <w:sz w:val="24"/>
          <w:szCs w:val="24"/>
          <w:lang w:val="en-US"/>
        </w:rPr>
      </w:pPr>
      <w:r w:rsidRPr="00F9561A">
        <w:rPr>
          <w:rFonts w:ascii="Times New Roman" w:hAnsi="Times New Roman"/>
          <w:color w:val="auto"/>
          <w:sz w:val="24"/>
          <w:szCs w:val="24"/>
          <w:lang w:val="en-US"/>
        </w:rPr>
        <w:t xml:space="preserve">The Committee was of the view that there seem to be a lack of </w:t>
      </w:r>
      <w:r w:rsidR="006034E4" w:rsidRPr="00F9561A">
        <w:rPr>
          <w:rFonts w:ascii="Times New Roman" w:hAnsi="Times New Roman"/>
          <w:color w:val="auto"/>
          <w:sz w:val="24"/>
          <w:szCs w:val="24"/>
          <w:lang w:val="en-US"/>
        </w:rPr>
        <w:t xml:space="preserve">progress </w:t>
      </w:r>
      <w:r w:rsidRPr="00F9561A">
        <w:rPr>
          <w:rFonts w:ascii="Times New Roman" w:hAnsi="Times New Roman"/>
          <w:color w:val="auto"/>
          <w:sz w:val="24"/>
          <w:szCs w:val="24"/>
          <w:lang w:val="en-US"/>
        </w:rPr>
        <w:t xml:space="preserve">in relation to the introduction of the new </w:t>
      </w:r>
      <w:r w:rsidR="00227211">
        <w:rPr>
          <w:rFonts w:ascii="Times New Roman" w:hAnsi="Times New Roman"/>
          <w:color w:val="auto"/>
          <w:sz w:val="24"/>
          <w:szCs w:val="24"/>
          <w:lang w:val="en-US"/>
        </w:rPr>
        <w:t>Basic N</w:t>
      </w:r>
      <w:r w:rsidR="00227211" w:rsidRPr="00F9561A">
        <w:rPr>
          <w:rFonts w:ascii="Times New Roman" w:hAnsi="Times New Roman"/>
          <w:color w:val="auto"/>
          <w:sz w:val="24"/>
          <w:szCs w:val="24"/>
          <w:lang w:val="en-US"/>
        </w:rPr>
        <w:t xml:space="preserve">ursing </w:t>
      </w:r>
      <w:r w:rsidR="00227211">
        <w:rPr>
          <w:rFonts w:ascii="Times New Roman" w:hAnsi="Times New Roman"/>
          <w:color w:val="auto"/>
          <w:sz w:val="24"/>
          <w:szCs w:val="24"/>
          <w:lang w:val="en-US"/>
        </w:rPr>
        <w:t>Qualification programme</w:t>
      </w:r>
      <w:r w:rsidRPr="00F9561A">
        <w:rPr>
          <w:rFonts w:ascii="Times New Roman" w:hAnsi="Times New Roman"/>
          <w:color w:val="auto"/>
          <w:sz w:val="24"/>
          <w:szCs w:val="24"/>
          <w:lang w:val="en-US"/>
        </w:rPr>
        <w:t>.</w:t>
      </w:r>
      <w:r w:rsidR="00756C7B" w:rsidRPr="00F9561A">
        <w:rPr>
          <w:rFonts w:ascii="Times New Roman" w:hAnsi="Times New Roman"/>
          <w:color w:val="auto"/>
          <w:sz w:val="24"/>
          <w:szCs w:val="24"/>
          <w:lang w:val="en-US"/>
        </w:rPr>
        <w:t xml:space="preserve"> </w:t>
      </w:r>
    </w:p>
    <w:p w14:paraId="1C90BFA6" w14:textId="77777777" w:rsidR="006A1318" w:rsidRPr="00F9561A" w:rsidRDefault="006A1318">
      <w:pPr>
        <w:pStyle w:val="ListParagraph"/>
        <w:numPr>
          <w:ilvl w:val="0"/>
          <w:numId w:val="11"/>
        </w:numPr>
        <w:spacing w:line="360" w:lineRule="auto"/>
        <w:jc w:val="both"/>
        <w:rPr>
          <w:rFonts w:ascii="Times New Roman" w:hAnsi="Times New Roman"/>
          <w:color w:val="auto"/>
          <w:sz w:val="24"/>
          <w:szCs w:val="24"/>
          <w:lang w:val="en-US"/>
        </w:rPr>
      </w:pPr>
      <w:r w:rsidRPr="00F9561A">
        <w:rPr>
          <w:rFonts w:ascii="Times New Roman" w:hAnsi="Times New Roman"/>
          <w:color w:val="auto"/>
          <w:sz w:val="24"/>
          <w:szCs w:val="24"/>
          <w:lang w:val="en-US"/>
        </w:rPr>
        <w:t xml:space="preserve">The provision of oncology services in KwaZulu-Natal remains a concern to the Committee. </w:t>
      </w:r>
    </w:p>
    <w:p w14:paraId="7814FEF2" w14:textId="77777777" w:rsidR="00CC75C4" w:rsidRDefault="00CC75C4" w:rsidP="00941E30">
      <w:pPr>
        <w:jc w:val="both"/>
        <w:rPr>
          <w:rFonts w:ascii="Times New Roman" w:hAnsi="Times New Roman"/>
          <w:color w:val="auto"/>
          <w:sz w:val="24"/>
          <w:szCs w:val="24"/>
          <w:lang w:val="en-US"/>
        </w:rPr>
      </w:pPr>
    </w:p>
    <w:p w14:paraId="58857A3B" w14:textId="77777777" w:rsidR="007B3649" w:rsidRPr="00CA2D93" w:rsidRDefault="00D059FC" w:rsidP="00941E30">
      <w:pPr>
        <w:pStyle w:val="Heading2"/>
        <w:numPr>
          <w:ilvl w:val="1"/>
          <w:numId w:val="90"/>
        </w:numPr>
        <w:rPr>
          <w:rFonts w:ascii="Times New Roman" w:hAnsi="Times New Roman" w:cs="Times New Roman"/>
          <w:color w:val="auto"/>
          <w:sz w:val="24"/>
          <w:szCs w:val="24"/>
          <w:lang w:val="en-US"/>
        </w:rPr>
      </w:pPr>
      <w:r w:rsidRPr="00085BAF">
        <w:rPr>
          <w:rFonts w:ascii="Times New Roman" w:hAnsi="Times New Roman" w:cs="Times New Roman"/>
          <w:color w:val="auto"/>
          <w:sz w:val="24"/>
          <w:szCs w:val="24"/>
          <w:lang w:val="en-US"/>
        </w:rPr>
        <w:t>Fi</w:t>
      </w:r>
      <w:r w:rsidR="007B3649" w:rsidRPr="00085BAF">
        <w:rPr>
          <w:rFonts w:ascii="Times New Roman" w:hAnsi="Times New Roman" w:cs="Times New Roman"/>
          <w:color w:val="auto"/>
          <w:sz w:val="24"/>
          <w:szCs w:val="24"/>
          <w:lang w:val="en-US"/>
        </w:rPr>
        <w:t>ndings</w:t>
      </w:r>
      <w:r w:rsidR="0024108A" w:rsidRPr="00CA2D93">
        <w:rPr>
          <w:rFonts w:ascii="Times New Roman" w:hAnsi="Times New Roman" w:cs="Times New Roman"/>
          <w:color w:val="auto"/>
          <w:sz w:val="24"/>
          <w:szCs w:val="24"/>
          <w:lang w:val="en-US"/>
        </w:rPr>
        <w:t xml:space="preserve"> and observations</w:t>
      </w:r>
      <w:r w:rsidR="007B3649" w:rsidRPr="00CA2D93">
        <w:rPr>
          <w:rFonts w:ascii="Times New Roman" w:hAnsi="Times New Roman" w:cs="Times New Roman"/>
          <w:color w:val="auto"/>
          <w:sz w:val="24"/>
          <w:szCs w:val="24"/>
          <w:lang w:val="en-US"/>
        </w:rPr>
        <w:t xml:space="preserve"> on Entities</w:t>
      </w:r>
    </w:p>
    <w:p w14:paraId="13AF0E11" w14:textId="77777777" w:rsidR="000552BA" w:rsidRPr="0093633A" w:rsidRDefault="000552BA" w:rsidP="00085BAF">
      <w:pPr>
        <w:rPr>
          <w:rFonts w:ascii="Times New Roman" w:hAnsi="Times New Roman"/>
          <w:color w:val="auto"/>
          <w:sz w:val="24"/>
          <w:szCs w:val="24"/>
          <w:lang w:val="en-US"/>
        </w:rPr>
      </w:pPr>
    </w:p>
    <w:p w14:paraId="3DBB537B" w14:textId="77777777" w:rsidR="001A2DEE" w:rsidRPr="0093633A" w:rsidRDefault="001A2DEE">
      <w:pPr>
        <w:rPr>
          <w:rFonts w:ascii="Times New Roman" w:hAnsi="Times New Roman"/>
          <w:color w:val="auto"/>
          <w:sz w:val="24"/>
          <w:szCs w:val="24"/>
          <w:lang w:val="en-US"/>
        </w:rPr>
      </w:pPr>
    </w:p>
    <w:p w14:paraId="567E5D17" w14:textId="77777777" w:rsidR="000552BA" w:rsidRPr="0093633A" w:rsidRDefault="001A2DEE" w:rsidP="00941E30">
      <w:pPr>
        <w:numPr>
          <w:ilvl w:val="2"/>
          <w:numId w:val="90"/>
        </w:numPr>
        <w:rPr>
          <w:rFonts w:ascii="Times New Roman" w:hAnsi="Times New Roman"/>
          <w:b/>
          <w:color w:val="auto"/>
          <w:sz w:val="24"/>
          <w:szCs w:val="24"/>
          <w:lang w:val="en-US"/>
        </w:rPr>
      </w:pPr>
      <w:r w:rsidRPr="0093633A">
        <w:rPr>
          <w:rFonts w:ascii="Times New Roman" w:hAnsi="Times New Roman"/>
          <w:b/>
          <w:color w:val="auto"/>
          <w:sz w:val="24"/>
          <w:szCs w:val="24"/>
          <w:lang w:val="en-US"/>
        </w:rPr>
        <w:t>SAHPRA</w:t>
      </w:r>
    </w:p>
    <w:p w14:paraId="48C6192A" w14:textId="77777777" w:rsidR="001A2DEE" w:rsidRPr="0093633A" w:rsidRDefault="001A2DEE" w:rsidP="00085BAF">
      <w:pPr>
        <w:rPr>
          <w:rFonts w:ascii="Times New Roman" w:hAnsi="Times New Roman"/>
          <w:b/>
          <w:color w:val="auto"/>
          <w:sz w:val="24"/>
          <w:szCs w:val="24"/>
          <w:lang w:val="en-US"/>
        </w:rPr>
      </w:pPr>
    </w:p>
    <w:p w14:paraId="72C049FB" w14:textId="77777777" w:rsidR="00B6732B" w:rsidRPr="00941E30" w:rsidRDefault="00EF5417" w:rsidP="00941E30">
      <w:pPr>
        <w:numPr>
          <w:ilvl w:val="0"/>
          <w:numId w:val="12"/>
        </w:numPr>
        <w:spacing w:line="360" w:lineRule="auto"/>
        <w:ind w:left="792"/>
        <w:jc w:val="both"/>
        <w:rPr>
          <w:rFonts w:ascii="Times New Roman" w:hAnsi="Times New Roman"/>
          <w:color w:val="FF0000"/>
          <w:sz w:val="24"/>
          <w:szCs w:val="24"/>
          <w:lang w:val="en-US"/>
        </w:rPr>
      </w:pPr>
      <w:r w:rsidRPr="00F9561A">
        <w:rPr>
          <w:rFonts w:ascii="Times New Roman" w:hAnsi="Times New Roman"/>
          <w:sz w:val="24"/>
          <w:szCs w:val="24"/>
        </w:rPr>
        <w:t xml:space="preserve">The Committee </w:t>
      </w:r>
      <w:r w:rsidR="00B6732B">
        <w:rPr>
          <w:rFonts w:ascii="Times New Roman" w:hAnsi="Times New Roman"/>
          <w:sz w:val="24"/>
          <w:szCs w:val="24"/>
        </w:rPr>
        <w:t>observed</w:t>
      </w:r>
      <w:r w:rsidRPr="00F9561A">
        <w:rPr>
          <w:rFonts w:ascii="Times New Roman" w:hAnsi="Times New Roman"/>
          <w:sz w:val="24"/>
          <w:szCs w:val="24"/>
        </w:rPr>
        <w:t xml:space="preserve"> that SAHPRA is yet to appoint a chief financial officer.</w:t>
      </w:r>
    </w:p>
    <w:p w14:paraId="55E30756" w14:textId="77777777" w:rsidR="004B1325" w:rsidRDefault="00412E23" w:rsidP="009845AF">
      <w:pPr>
        <w:numPr>
          <w:ilvl w:val="0"/>
          <w:numId w:val="12"/>
        </w:numPr>
        <w:spacing w:line="360" w:lineRule="auto"/>
        <w:ind w:left="792"/>
        <w:jc w:val="both"/>
        <w:rPr>
          <w:rFonts w:ascii="Times New Roman" w:hAnsi="Times New Roman"/>
          <w:color w:val="auto"/>
          <w:sz w:val="24"/>
          <w:szCs w:val="24"/>
          <w:lang w:val="en-US"/>
        </w:rPr>
      </w:pPr>
      <w:r w:rsidRPr="00D87C97">
        <w:rPr>
          <w:rFonts w:ascii="Times New Roman" w:hAnsi="Times New Roman"/>
          <w:color w:val="auto"/>
          <w:sz w:val="24"/>
          <w:szCs w:val="24"/>
          <w:lang w:val="en-US"/>
        </w:rPr>
        <w:t xml:space="preserve">The Committee observed that SAHPRA </w:t>
      </w:r>
      <w:r w:rsidR="00B6732B">
        <w:rPr>
          <w:rFonts w:ascii="Times New Roman" w:hAnsi="Times New Roman"/>
          <w:color w:val="auto"/>
          <w:sz w:val="24"/>
          <w:szCs w:val="24"/>
          <w:lang w:val="en-US"/>
        </w:rPr>
        <w:t xml:space="preserve">is still dealing with </w:t>
      </w:r>
      <w:r w:rsidR="00E366D3">
        <w:rPr>
          <w:rFonts w:ascii="Times New Roman" w:hAnsi="Times New Roman"/>
          <w:color w:val="auto"/>
          <w:sz w:val="24"/>
          <w:szCs w:val="24"/>
          <w:lang w:val="en-US"/>
        </w:rPr>
        <w:t>a</w:t>
      </w:r>
      <w:r w:rsidR="00B6732B">
        <w:rPr>
          <w:rFonts w:ascii="Times New Roman" w:hAnsi="Times New Roman"/>
          <w:color w:val="auto"/>
          <w:sz w:val="24"/>
          <w:szCs w:val="24"/>
          <w:lang w:val="en-US"/>
        </w:rPr>
        <w:t xml:space="preserve"> huge</w:t>
      </w:r>
      <w:r w:rsidRPr="00D87C97">
        <w:rPr>
          <w:rFonts w:ascii="Times New Roman" w:hAnsi="Times New Roman"/>
          <w:sz w:val="24"/>
          <w:szCs w:val="24"/>
        </w:rPr>
        <w:t xml:space="preserve"> backlog </w:t>
      </w:r>
      <w:r w:rsidR="00B6732B">
        <w:rPr>
          <w:rFonts w:ascii="Times New Roman" w:hAnsi="Times New Roman"/>
          <w:sz w:val="24"/>
          <w:szCs w:val="24"/>
        </w:rPr>
        <w:t xml:space="preserve">of </w:t>
      </w:r>
      <w:r w:rsidR="00E366D3">
        <w:rPr>
          <w:rFonts w:ascii="Times New Roman" w:hAnsi="Times New Roman"/>
          <w:sz w:val="24"/>
          <w:szCs w:val="24"/>
        </w:rPr>
        <w:t>applications for registration of medicines and medical devices</w:t>
      </w:r>
      <w:r w:rsidRPr="008D5007">
        <w:rPr>
          <w:rFonts w:ascii="Times New Roman" w:hAnsi="Times New Roman"/>
          <w:sz w:val="24"/>
          <w:szCs w:val="24"/>
        </w:rPr>
        <w:t xml:space="preserve">. </w:t>
      </w:r>
    </w:p>
    <w:p w14:paraId="019D507A" w14:textId="77777777" w:rsidR="002165E7" w:rsidRPr="004B1325" w:rsidRDefault="00C42967" w:rsidP="004B1325">
      <w:pPr>
        <w:numPr>
          <w:ilvl w:val="0"/>
          <w:numId w:val="12"/>
        </w:numPr>
        <w:spacing w:line="360" w:lineRule="auto"/>
        <w:ind w:left="792"/>
        <w:jc w:val="both"/>
        <w:rPr>
          <w:rFonts w:ascii="Times New Roman" w:hAnsi="Times New Roman"/>
          <w:color w:val="auto"/>
          <w:sz w:val="24"/>
          <w:szCs w:val="24"/>
          <w:lang w:val="en-US"/>
        </w:rPr>
      </w:pPr>
      <w:r w:rsidRPr="004B1325">
        <w:rPr>
          <w:rFonts w:ascii="Times New Roman" w:hAnsi="Times New Roman"/>
          <w:color w:val="auto"/>
          <w:sz w:val="24"/>
          <w:szCs w:val="24"/>
          <w:lang w:val="en-US"/>
        </w:rPr>
        <w:t xml:space="preserve">The Committee was concerned </w:t>
      </w:r>
      <w:r w:rsidR="008379F2">
        <w:rPr>
          <w:rFonts w:ascii="Times New Roman" w:hAnsi="Times New Roman"/>
          <w:color w:val="auto"/>
          <w:sz w:val="24"/>
          <w:szCs w:val="24"/>
          <w:lang w:val="en-US"/>
        </w:rPr>
        <w:t>around</w:t>
      </w:r>
      <w:r w:rsidR="009F2F4D">
        <w:rPr>
          <w:rFonts w:ascii="Times New Roman" w:hAnsi="Times New Roman"/>
          <w:color w:val="auto"/>
          <w:sz w:val="24"/>
          <w:szCs w:val="24"/>
          <w:lang w:val="en-US"/>
        </w:rPr>
        <w:t xml:space="preserve"> </w:t>
      </w:r>
      <w:r w:rsidR="004B1325" w:rsidRPr="009845AF">
        <w:rPr>
          <w:rFonts w:ascii="Times New Roman" w:hAnsi="Times New Roman"/>
          <w:sz w:val="24"/>
          <w:szCs w:val="24"/>
        </w:rPr>
        <w:t>the effect of fee increases</w:t>
      </w:r>
      <w:r w:rsidR="009F2F4D">
        <w:rPr>
          <w:rFonts w:ascii="Times New Roman" w:hAnsi="Times New Roman"/>
          <w:sz w:val="24"/>
          <w:szCs w:val="24"/>
        </w:rPr>
        <w:t xml:space="preserve"> (to </w:t>
      </w:r>
      <w:r w:rsidR="00226FC0">
        <w:rPr>
          <w:rFonts w:ascii="Times New Roman" w:hAnsi="Times New Roman"/>
          <w:sz w:val="24"/>
          <w:szCs w:val="24"/>
        </w:rPr>
        <w:t>generate</w:t>
      </w:r>
      <w:r w:rsidR="009F2F4D">
        <w:rPr>
          <w:rFonts w:ascii="Times New Roman" w:hAnsi="Times New Roman"/>
          <w:sz w:val="24"/>
          <w:szCs w:val="24"/>
        </w:rPr>
        <w:t xml:space="preserve"> revenue)</w:t>
      </w:r>
      <w:r w:rsidR="004B1325" w:rsidRPr="009845AF">
        <w:rPr>
          <w:rFonts w:ascii="Times New Roman" w:hAnsi="Times New Roman"/>
          <w:sz w:val="24"/>
          <w:szCs w:val="24"/>
        </w:rPr>
        <w:t xml:space="preserve"> on the cost of medicine </w:t>
      </w:r>
      <w:r w:rsidR="002165E7" w:rsidRPr="004B1325">
        <w:rPr>
          <w:rFonts w:ascii="Times New Roman" w:hAnsi="Times New Roman"/>
          <w:color w:val="auto"/>
          <w:sz w:val="24"/>
          <w:szCs w:val="24"/>
          <w:lang w:val="en-US"/>
        </w:rPr>
        <w:t xml:space="preserve">and </w:t>
      </w:r>
      <w:r w:rsidR="004B1325">
        <w:rPr>
          <w:rFonts w:ascii="Times New Roman" w:hAnsi="Times New Roman"/>
          <w:color w:val="auto"/>
          <w:sz w:val="24"/>
          <w:szCs w:val="24"/>
          <w:lang w:val="en-US"/>
        </w:rPr>
        <w:t xml:space="preserve">how it would </w:t>
      </w:r>
      <w:r w:rsidR="009F2F4D">
        <w:rPr>
          <w:rFonts w:ascii="Times New Roman" w:hAnsi="Times New Roman"/>
          <w:color w:val="auto"/>
          <w:sz w:val="24"/>
          <w:szCs w:val="24"/>
          <w:lang w:val="en-US"/>
        </w:rPr>
        <w:t>impact on the vulnerable and poor</w:t>
      </w:r>
      <w:r w:rsidR="002165E7" w:rsidRPr="004B1325">
        <w:rPr>
          <w:rFonts w:ascii="Times New Roman" w:hAnsi="Times New Roman"/>
          <w:color w:val="auto"/>
          <w:sz w:val="24"/>
          <w:szCs w:val="24"/>
          <w:lang w:val="en-US"/>
        </w:rPr>
        <w:t>.</w:t>
      </w:r>
    </w:p>
    <w:p w14:paraId="0B2510D2" w14:textId="77777777" w:rsidR="00EF5417" w:rsidRDefault="00EF5417" w:rsidP="00941E30">
      <w:pPr>
        <w:ind w:left="786"/>
        <w:jc w:val="both"/>
        <w:rPr>
          <w:rFonts w:ascii="Times New Roman" w:hAnsi="Times New Roman"/>
          <w:color w:val="auto"/>
          <w:sz w:val="24"/>
          <w:szCs w:val="24"/>
          <w:lang w:val="en-US"/>
        </w:rPr>
      </w:pPr>
    </w:p>
    <w:p w14:paraId="2802FA1F" w14:textId="77777777" w:rsidR="0069053F" w:rsidRPr="00B50DFE" w:rsidRDefault="007A37B6" w:rsidP="00941E30">
      <w:pPr>
        <w:pStyle w:val="ListParagraph"/>
        <w:numPr>
          <w:ilvl w:val="2"/>
          <w:numId w:val="90"/>
        </w:numPr>
        <w:jc w:val="both"/>
        <w:rPr>
          <w:rFonts w:ascii="Times New Roman" w:hAnsi="Times New Roman"/>
          <w:b/>
          <w:color w:val="auto"/>
          <w:sz w:val="24"/>
          <w:szCs w:val="24"/>
          <w:lang w:val="en-US"/>
        </w:rPr>
      </w:pPr>
      <w:r>
        <w:rPr>
          <w:rFonts w:ascii="Times New Roman" w:hAnsi="Times New Roman"/>
          <w:b/>
          <w:color w:val="auto"/>
          <w:sz w:val="24"/>
          <w:szCs w:val="24"/>
          <w:lang w:val="en-US"/>
        </w:rPr>
        <w:t>SA</w:t>
      </w:r>
      <w:r w:rsidR="0069053F" w:rsidRPr="00B50DFE">
        <w:rPr>
          <w:rFonts w:ascii="Times New Roman" w:hAnsi="Times New Roman"/>
          <w:b/>
          <w:color w:val="auto"/>
          <w:sz w:val="24"/>
          <w:szCs w:val="24"/>
          <w:lang w:val="en-US"/>
        </w:rPr>
        <w:t>MRC</w:t>
      </w:r>
    </w:p>
    <w:p w14:paraId="15422E39" w14:textId="77777777" w:rsidR="0069053F" w:rsidRPr="0093633A" w:rsidRDefault="0069053F" w:rsidP="00941E30">
      <w:pPr>
        <w:jc w:val="both"/>
        <w:rPr>
          <w:rFonts w:ascii="Times New Roman" w:hAnsi="Times New Roman"/>
          <w:b/>
          <w:color w:val="auto"/>
          <w:sz w:val="24"/>
          <w:szCs w:val="24"/>
          <w:lang w:val="en-US"/>
        </w:rPr>
      </w:pPr>
    </w:p>
    <w:p w14:paraId="26F41052" w14:textId="77777777" w:rsidR="0069053F" w:rsidRPr="00015D19" w:rsidRDefault="0069053F">
      <w:pPr>
        <w:pStyle w:val="ListParagraph"/>
        <w:numPr>
          <w:ilvl w:val="0"/>
          <w:numId w:val="51"/>
        </w:numPr>
        <w:spacing w:line="360" w:lineRule="auto"/>
        <w:jc w:val="both"/>
        <w:rPr>
          <w:rFonts w:ascii="Times New Roman" w:hAnsi="Times New Roman"/>
          <w:b/>
          <w:color w:val="auto"/>
          <w:sz w:val="24"/>
          <w:szCs w:val="24"/>
          <w:lang w:val="en-US"/>
        </w:rPr>
      </w:pPr>
      <w:r w:rsidRPr="00015D19">
        <w:rPr>
          <w:rFonts w:ascii="Times New Roman" w:hAnsi="Times New Roman"/>
          <w:color w:val="auto"/>
          <w:sz w:val="24"/>
          <w:szCs w:val="24"/>
          <w:lang w:val="en-US"/>
        </w:rPr>
        <w:t>The Committee noted with concern the shortage of black female scientists.</w:t>
      </w:r>
      <w:r w:rsidR="000C0064" w:rsidRPr="00015D19">
        <w:rPr>
          <w:rFonts w:ascii="Times New Roman" w:hAnsi="Times New Roman"/>
          <w:color w:val="auto"/>
          <w:sz w:val="24"/>
          <w:szCs w:val="24"/>
          <w:lang w:val="en-US"/>
        </w:rPr>
        <w:t xml:space="preserve"> </w:t>
      </w:r>
    </w:p>
    <w:p w14:paraId="7C22E02E" w14:textId="77777777" w:rsidR="001C4BBA" w:rsidRPr="00941E30" w:rsidRDefault="00821691">
      <w:pPr>
        <w:pStyle w:val="ListParagraph"/>
        <w:numPr>
          <w:ilvl w:val="0"/>
          <w:numId w:val="51"/>
        </w:numPr>
        <w:spacing w:line="360" w:lineRule="auto"/>
        <w:jc w:val="both"/>
        <w:rPr>
          <w:rFonts w:ascii="Times New Roman" w:hAnsi="Times New Roman"/>
          <w:b/>
          <w:color w:val="auto"/>
          <w:sz w:val="24"/>
          <w:szCs w:val="24"/>
          <w:lang w:val="en-US"/>
        </w:rPr>
      </w:pPr>
      <w:r w:rsidRPr="00015D19">
        <w:rPr>
          <w:rFonts w:ascii="Times New Roman" w:hAnsi="Times New Roman"/>
          <w:color w:val="auto"/>
          <w:sz w:val="24"/>
          <w:szCs w:val="24"/>
          <w:lang w:val="en-US"/>
        </w:rPr>
        <w:t xml:space="preserve">The Committee noted </w:t>
      </w:r>
      <w:r w:rsidR="00427B41">
        <w:rPr>
          <w:rFonts w:ascii="Times New Roman" w:hAnsi="Times New Roman"/>
          <w:color w:val="auto"/>
          <w:sz w:val="24"/>
          <w:szCs w:val="24"/>
          <w:lang w:val="en-US"/>
        </w:rPr>
        <w:t xml:space="preserve">with concern </w:t>
      </w:r>
      <w:r w:rsidRPr="00015D19">
        <w:rPr>
          <w:rFonts w:ascii="Times New Roman" w:hAnsi="Times New Roman"/>
          <w:color w:val="auto"/>
          <w:sz w:val="24"/>
          <w:szCs w:val="24"/>
          <w:lang w:val="en-US"/>
        </w:rPr>
        <w:t xml:space="preserve">the </w:t>
      </w:r>
      <w:r w:rsidRPr="00941E30">
        <w:rPr>
          <w:rFonts w:ascii="Times New Roman" w:hAnsi="Times New Roman"/>
          <w:color w:val="auto"/>
          <w:sz w:val="24"/>
          <w:szCs w:val="24"/>
        </w:rPr>
        <w:t xml:space="preserve">lack of equipment and personnel to diagnose TB particularly in </w:t>
      </w:r>
      <w:r w:rsidR="00427B41">
        <w:rPr>
          <w:rFonts w:ascii="Times New Roman" w:hAnsi="Times New Roman"/>
          <w:color w:val="auto"/>
          <w:sz w:val="24"/>
          <w:szCs w:val="24"/>
        </w:rPr>
        <w:t xml:space="preserve">certain </w:t>
      </w:r>
      <w:r w:rsidRPr="00941E30">
        <w:rPr>
          <w:rFonts w:ascii="Times New Roman" w:hAnsi="Times New Roman"/>
          <w:color w:val="auto"/>
          <w:sz w:val="24"/>
          <w:szCs w:val="24"/>
        </w:rPr>
        <w:t>mining areas.</w:t>
      </w:r>
      <w:r w:rsidR="000C0064" w:rsidRPr="00941E30">
        <w:rPr>
          <w:rFonts w:ascii="Times New Roman" w:hAnsi="Times New Roman"/>
          <w:color w:val="auto"/>
          <w:sz w:val="24"/>
          <w:szCs w:val="24"/>
        </w:rPr>
        <w:t xml:space="preserve"> </w:t>
      </w:r>
    </w:p>
    <w:p w14:paraId="60FF4AB8" w14:textId="77777777" w:rsidR="00644B71" w:rsidRPr="00015D19" w:rsidRDefault="00644B71">
      <w:pPr>
        <w:pStyle w:val="ListParagraph"/>
        <w:numPr>
          <w:ilvl w:val="0"/>
          <w:numId w:val="51"/>
        </w:numPr>
        <w:spacing w:line="360" w:lineRule="auto"/>
        <w:jc w:val="both"/>
        <w:rPr>
          <w:rFonts w:ascii="Times New Roman" w:hAnsi="Times New Roman"/>
          <w:b/>
          <w:color w:val="auto"/>
          <w:sz w:val="24"/>
          <w:szCs w:val="24"/>
          <w:lang w:val="en-US"/>
        </w:rPr>
      </w:pPr>
      <w:r w:rsidRPr="00941E30">
        <w:rPr>
          <w:rFonts w:ascii="Times New Roman" w:hAnsi="Times New Roman"/>
          <w:color w:val="auto"/>
          <w:sz w:val="24"/>
          <w:szCs w:val="24"/>
        </w:rPr>
        <w:t>The Committee reflected on whether mHealth</w:t>
      </w:r>
      <w:r w:rsidR="00AD6484">
        <w:rPr>
          <w:rFonts w:ascii="Times New Roman" w:hAnsi="Times New Roman"/>
          <w:color w:val="auto"/>
          <w:sz w:val="24"/>
          <w:szCs w:val="24"/>
        </w:rPr>
        <w:t xml:space="preserve"> (new </w:t>
      </w:r>
      <w:r w:rsidR="0045471E">
        <w:rPr>
          <w:rFonts w:ascii="Times New Roman" w:hAnsi="Times New Roman"/>
          <w:color w:val="auto"/>
          <w:sz w:val="24"/>
          <w:szCs w:val="24"/>
        </w:rPr>
        <w:t xml:space="preserve">health </w:t>
      </w:r>
      <w:r w:rsidR="00AD6484">
        <w:rPr>
          <w:rFonts w:ascii="Times New Roman" w:hAnsi="Times New Roman"/>
          <w:color w:val="auto"/>
          <w:sz w:val="24"/>
          <w:szCs w:val="24"/>
        </w:rPr>
        <w:t>App)</w:t>
      </w:r>
      <w:r w:rsidRPr="00941E30">
        <w:rPr>
          <w:rFonts w:ascii="Times New Roman" w:hAnsi="Times New Roman"/>
          <w:color w:val="auto"/>
          <w:sz w:val="24"/>
          <w:szCs w:val="24"/>
        </w:rPr>
        <w:t xml:space="preserve"> was accessible to the wider community. </w:t>
      </w:r>
    </w:p>
    <w:p w14:paraId="3CE25CC5" w14:textId="77777777" w:rsidR="007A37B6" w:rsidRPr="0093633A" w:rsidRDefault="007A37B6" w:rsidP="00941E30">
      <w:pPr>
        <w:jc w:val="both"/>
        <w:rPr>
          <w:rFonts w:ascii="Times New Roman" w:hAnsi="Times New Roman"/>
          <w:b/>
          <w:color w:val="auto"/>
          <w:sz w:val="24"/>
          <w:szCs w:val="24"/>
          <w:lang w:val="en-US"/>
        </w:rPr>
      </w:pPr>
    </w:p>
    <w:p w14:paraId="530DC8EF" w14:textId="77777777" w:rsidR="00DE53D3" w:rsidRDefault="00DE53D3">
      <w:pPr>
        <w:rPr>
          <w:rFonts w:ascii="Times New Roman" w:hAnsi="Times New Roman"/>
          <w:b/>
          <w:color w:val="auto"/>
          <w:sz w:val="24"/>
          <w:szCs w:val="24"/>
          <w:lang w:val="en-US"/>
        </w:rPr>
      </w:pPr>
      <w:r>
        <w:rPr>
          <w:rFonts w:ascii="Times New Roman" w:hAnsi="Times New Roman"/>
          <w:b/>
          <w:color w:val="auto"/>
          <w:sz w:val="24"/>
          <w:szCs w:val="24"/>
          <w:lang w:val="en-US"/>
        </w:rPr>
        <w:br w:type="page"/>
      </w:r>
    </w:p>
    <w:p w14:paraId="52E24AB8" w14:textId="77777777" w:rsidR="0069053F" w:rsidRPr="00B50DFE" w:rsidRDefault="0069053F" w:rsidP="00941E30">
      <w:pPr>
        <w:pStyle w:val="ListParagraph"/>
        <w:numPr>
          <w:ilvl w:val="2"/>
          <w:numId w:val="90"/>
        </w:numPr>
        <w:jc w:val="both"/>
        <w:rPr>
          <w:rFonts w:ascii="Times New Roman" w:hAnsi="Times New Roman"/>
          <w:b/>
          <w:color w:val="auto"/>
          <w:sz w:val="24"/>
          <w:szCs w:val="24"/>
          <w:lang w:val="en-US"/>
        </w:rPr>
      </w:pPr>
      <w:r w:rsidRPr="00B50DFE">
        <w:rPr>
          <w:rFonts w:ascii="Times New Roman" w:hAnsi="Times New Roman"/>
          <w:b/>
          <w:color w:val="auto"/>
          <w:sz w:val="24"/>
          <w:szCs w:val="24"/>
          <w:lang w:val="en-US"/>
        </w:rPr>
        <w:t xml:space="preserve">OHSC </w:t>
      </w:r>
    </w:p>
    <w:p w14:paraId="4E596323" w14:textId="77777777" w:rsidR="0069053F" w:rsidRPr="0093633A" w:rsidRDefault="0069053F" w:rsidP="00941E30">
      <w:pPr>
        <w:jc w:val="both"/>
        <w:rPr>
          <w:rFonts w:ascii="Times New Roman" w:hAnsi="Times New Roman"/>
          <w:b/>
          <w:color w:val="auto"/>
          <w:sz w:val="24"/>
          <w:szCs w:val="24"/>
          <w:lang w:val="en-US"/>
        </w:rPr>
      </w:pPr>
    </w:p>
    <w:p w14:paraId="563D1DF0" w14:textId="77777777" w:rsidR="007A008F" w:rsidRPr="00941E30" w:rsidRDefault="007A008F">
      <w:pPr>
        <w:pStyle w:val="ListParagraph"/>
        <w:numPr>
          <w:ilvl w:val="0"/>
          <w:numId w:val="52"/>
        </w:numPr>
        <w:spacing w:line="360" w:lineRule="auto"/>
        <w:jc w:val="both"/>
        <w:rPr>
          <w:rFonts w:ascii="Times New Roman" w:hAnsi="Times New Roman"/>
          <w:b/>
          <w:color w:val="auto"/>
          <w:sz w:val="24"/>
          <w:szCs w:val="24"/>
          <w:lang w:val="en-US"/>
        </w:rPr>
      </w:pPr>
      <w:r w:rsidRPr="00941E30">
        <w:rPr>
          <w:rFonts w:ascii="Times New Roman" w:hAnsi="Times New Roman"/>
          <w:color w:val="auto"/>
          <w:sz w:val="24"/>
          <w:szCs w:val="24"/>
          <w:lang w:val="en-US"/>
        </w:rPr>
        <w:t xml:space="preserve">The Committee </w:t>
      </w:r>
      <w:r w:rsidR="00015D19">
        <w:rPr>
          <w:rFonts w:ascii="Times New Roman" w:hAnsi="Times New Roman"/>
          <w:color w:val="auto"/>
          <w:sz w:val="24"/>
          <w:szCs w:val="24"/>
          <w:lang w:val="en-US"/>
        </w:rPr>
        <w:t>raised</w:t>
      </w:r>
      <w:r w:rsidRPr="00941E30">
        <w:rPr>
          <w:rFonts w:ascii="Times New Roman" w:hAnsi="Times New Roman"/>
          <w:color w:val="auto"/>
          <w:sz w:val="24"/>
          <w:szCs w:val="24"/>
          <w:lang w:val="en-US"/>
        </w:rPr>
        <w:t xml:space="preserve"> concern that OHSC reports</w:t>
      </w:r>
      <w:r w:rsidRPr="007A008F">
        <w:rPr>
          <w:rFonts w:ascii="Times New Roman" w:hAnsi="Times New Roman"/>
          <w:b/>
          <w:color w:val="auto"/>
          <w:sz w:val="24"/>
          <w:szCs w:val="24"/>
          <w:lang w:val="en-US"/>
        </w:rPr>
        <w:t xml:space="preserve"> </w:t>
      </w:r>
      <w:r w:rsidRPr="00941E30">
        <w:rPr>
          <w:rFonts w:ascii="Times New Roman" w:hAnsi="Times New Roman"/>
          <w:sz w:val="24"/>
          <w:szCs w:val="24"/>
        </w:rPr>
        <w:t>do not reflect on remedial actions</w:t>
      </w:r>
      <w:r w:rsidR="00015D19">
        <w:rPr>
          <w:rFonts w:ascii="Times New Roman" w:hAnsi="Times New Roman"/>
          <w:sz w:val="24"/>
          <w:szCs w:val="24"/>
        </w:rPr>
        <w:t xml:space="preserve"> that health facilities must implement</w:t>
      </w:r>
      <w:r w:rsidRPr="00941E30">
        <w:rPr>
          <w:rFonts w:ascii="Times New Roman" w:hAnsi="Times New Roman"/>
          <w:sz w:val="24"/>
          <w:szCs w:val="24"/>
        </w:rPr>
        <w:t xml:space="preserve"> and thus perceived to be punitive. </w:t>
      </w:r>
    </w:p>
    <w:p w14:paraId="01B2736E" w14:textId="77777777" w:rsidR="000B55D9" w:rsidRPr="0093633A" w:rsidRDefault="000B55D9">
      <w:pPr>
        <w:pStyle w:val="ListParagraph"/>
        <w:numPr>
          <w:ilvl w:val="0"/>
          <w:numId w:val="52"/>
        </w:numPr>
        <w:spacing w:line="360" w:lineRule="auto"/>
        <w:jc w:val="both"/>
        <w:rPr>
          <w:rFonts w:ascii="Times New Roman" w:hAnsi="Times New Roman"/>
          <w:b/>
          <w:color w:val="auto"/>
          <w:sz w:val="24"/>
          <w:szCs w:val="24"/>
          <w:lang w:val="en-US"/>
        </w:rPr>
      </w:pPr>
      <w:r w:rsidRPr="0093633A">
        <w:rPr>
          <w:rFonts w:ascii="Times New Roman" w:hAnsi="Times New Roman"/>
          <w:color w:val="auto"/>
          <w:sz w:val="24"/>
          <w:szCs w:val="24"/>
          <w:lang w:val="en-US"/>
        </w:rPr>
        <w:t xml:space="preserve">The Committee was concerned about the </w:t>
      </w:r>
      <w:r w:rsidR="007D365B">
        <w:rPr>
          <w:rFonts w:ascii="Times New Roman" w:hAnsi="Times New Roman"/>
          <w:color w:val="auto"/>
          <w:sz w:val="24"/>
          <w:szCs w:val="24"/>
          <w:lang w:val="en-US"/>
        </w:rPr>
        <w:t>extended periods</w:t>
      </w:r>
      <w:r w:rsidRPr="0093633A">
        <w:rPr>
          <w:rFonts w:ascii="Times New Roman" w:hAnsi="Times New Roman"/>
          <w:color w:val="auto"/>
          <w:sz w:val="24"/>
          <w:szCs w:val="24"/>
          <w:lang w:val="en-US"/>
        </w:rPr>
        <w:t xml:space="preserve"> </w:t>
      </w:r>
      <w:r w:rsidR="002165E7">
        <w:rPr>
          <w:rFonts w:ascii="Times New Roman" w:hAnsi="Times New Roman"/>
          <w:color w:val="auto"/>
          <w:sz w:val="24"/>
          <w:szCs w:val="24"/>
          <w:lang w:val="en-US"/>
        </w:rPr>
        <w:t xml:space="preserve">of time </w:t>
      </w:r>
      <w:r w:rsidRPr="0093633A">
        <w:rPr>
          <w:rFonts w:ascii="Times New Roman" w:hAnsi="Times New Roman"/>
          <w:color w:val="auto"/>
          <w:sz w:val="24"/>
          <w:szCs w:val="24"/>
          <w:lang w:val="en-US"/>
        </w:rPr>
        <w:t xml:space="preserve">it </w:t>
      </w:r>
      <w:r w:rsidR="00C42967" w:rsidRPr="0093633A">
        <w:rPr>
          <w:rFonts w:ascii="Times New Roman" w:hAnsi="Times New Roman"/>
          <w:color w:val="auto"/>
          <w:sz w:val="24"/>
          <w:szCs w:val="24"/>
          <w:lang w:val="en-US"/>
        </w:rPr>
        <w:t>takes</w:t>
      </w:r>
      <w:r w:rsidRPr="0093633A">
        <w:rPr>
          <w:rFonts w:ascii="Times New Roman" w:hAnsi="Times New Roman"/>
          <w:color w:val="auto"/>
          <w:sz w:val="24"/>
          <w:szCs w:val="24"/>
          <w:lang w:val="en-US"/>
        </w:rPr>
        <w:t xml:space="preserve"> to </w:t>
      </w:r>
      <w:r w:rsidR="00427B41">
        <w:rPr>
          <w:rFonts w:ascii="Times New Roman" w:hAnsi="Times New Roman"/>
          <w:color w:val="auto"/>
          <w:sz w:val="24"/>
          <w:szCs w:val="24"/>
          <w:lang w:val="en-US"/>
        </w:rPr>
        <w:t>resolve</w:t>
      </w:r>
      <w:r w:rsidRPr="0093633A">
        <w:rPr>
          <w:rFonts w:ascii="Times New Roman" w:hAnsi="Times New Roman"/>
          <w:color w:val="auto"/>
          <w:sz w:val="24"/>
          <w:szCs w:val="24"/>
          <w:lang w:val="en-US"/>
        </w:rPr>
        <w:t xml:space="preserve"> complaints.</w:t>
      </w:r>
    </w:p>
    <w:p w14:paraId="36030460" w14:textId="77777777" w:rsidR="000B55D9" w:rsidRPr="009845AF" w:rsidRDefault="000B55D9">
      <w:pPr>
        <w:pStyle w:val="ListParagraph"/>
        <w:numPr>
          <w:ilvl w:val="0"/>
          <w:numId w:val="52"/>
        </w:numPr>
        <w:spacing w:line="360" w:lineRule="auto"/>
        <w:jc w:val="both"/>
        <w:rPr>
          <w:rFonts w:ascii="Times New Roman" w:hAnsi="Times New Roman"/>
          <w:b/>
          <w:color w:val="auto"/>
          <w:sz w:val="24"/>
          <w:szCs w:val="24"/>
          <w:lang w:val="en-US"/>
        </w:rPr>
      </w:pPr>
      <w:r w:rsidRPr="0093633A">
        <w:rPr>
          <w:rFonts w:ascii="Times New Roman" w:hAnsi="Times New Roman"/>
          <w:color w:val="auto"/>
          <w:sz w:val="24"/>
          <w:szCs w:val="24"/>
          <w:lang w:val="en-US"/>
        </w:rPr>
        <w:t xml:space="preserve">The Committee noted with concern that there were vacancies </w:t>
      </w:r>
      <w:r w:rsidR="007D365B">
        <w:rPr>
          <w:rFonts w:ascii="Times New Roman" w:hAnsi="Times New Roman"/>
          <w:color w:val="auto"/>
          <w:sz w:val="24"/>
          <w:szCs w:val="24"/>
          <w:lang w:val="en-US"/>
        </w:rPr>
        <w:t>within</w:t>
      </w:r>
      <w:r w:rsidR="007D365B" w:rsidRPr="0093633A">
        <w:rPr>
          <w:rFonts w:ascii="Times New Roman" w:hAnsi="Times New Roman"/>
          <w:color w:val="auto"/>
          <w:sz w:val="24"/>
          <w:szCs w:val="24"/>
          <w:lang w:val="en-US"/>
        </w:rPr>
        <w:t xml:space="preserve"> </w:t>
      </w:r>
      <w:r w:rsidRPr="0093633A">
        <w:rPr>
          <w:rFonts w:ascii="Times New Roman" w:hAnsi="Times New Roman"/>
          <w:color w:val="auto"/>
          <w:sz w:val="24"/>
          <w:szCs w:val="24"/>
          <w:lang w:val="en-US"/>
        </w:rPr>
        <w:t xml:space="preserve">the </w:t>
      </w:r>
      <w:r w:rsidR="00D9577A">
        <w:rPr>
          <w:rFonts w:ascii="Times New Roman" w:hAnsi="Times New Roman"/>
          <w:color w:val="auto"/>
          <w:sz w:val="24"/>
          <w:szCs w:val="24"/>
          <w:lang w:val="en-US"/>
        </w:rPr>
        <w:t>B</w:t>
      </w:r>
      <w:r w:rsidR="00D9577A" w:rsidRPr="0093633A">
        <w:rPr>
          <w:rFonts w:ascii="Times New Roman" w:hAnsi="Times New Roman"/>
          <w:color w:val="auto"/>
          <w:sz w:val="24"/>
          <w:szCs w:val="24"/>
          <w:lang w:val="en-US"/>
        </w:rPr>
        <w:t>oard</w:t>
      </w:r>
      <w:r w:rsidRPr="0093633A">
        <w:rPr>
          <w:rFonts w:ascii="Times New Roman" w:hAnsi="Times New Roman"/>
          <w:color w:val="auto"/>
          <w:sz w:val="24"/>
          <w:szCs w:val="24"/>
          <w:lang w:val="en-US"/>
        </w:rPr>
        <w:t>.</w:t>
      </w:r>
    </w:p>
    <w:p w14:paraId="2CCBA04F" w14:textId="77777777" w:rsidR="00913002" w:rsidRPr="0093633A" w:rsidRDefault="000E608A">
      <w:pPr>
        <w:pStyle w:val="ListParagraph"/>
        <w:numPr>
          <w:ilvl w:val="0"/>
          <w:numId w:val="52"/>
        </w:numPr>
        <w:spacing w:line="360" w:lineRule="auto"/>
        <w:jc w:val="both"/>
        <w:rPr>
          <w:rFonts w:ascii="Times New Roman" w:hAnsi="Times New Roman"/>
          <w:b/>
          <w:color w:val="auto"/>
          <w:sz w:val="24"/>
          <w:szCs w:val="24"/>
          <w:lang w:val="en-US"/>
        </w:rPr>
      </w:pPr>
      <w:r>
        <w:rPr>
          <w:rFonts w:ascii="Times New Roman" w:hAnsi="Times New Roman"/>
          <w:color w:val="auto"/>
          <w:sz w:val="24"/>
          <w:szCs w:val="24"/>
          <w:lang w:val="en-US"/>
        </w:rPr>
        <w:t xml:space="preserve">The Committee expressed concern </w:t>
      </w:r>
      <w:r w:rsidR="00656EF9">
        <w:rPr>
          <w:rFonts w:ascii="Times New Roman" w:hAnsi="Times New Roman"/>
          <w:color w:val="auto"/>
          <w:sz w:val="24"/>
          <w:szCs w:val="24"/>
          <w:lang w:val="en-US"/>
        </w:rPr>
        <w:t>in relation to</w:t>
      </w:r>
      <w:r>
        <w:rPr>
          <w:rFonts w:ascii="Times New Roman" w:hAnsi="Times New Roman"/>
          <w:color w:val="auto"/>
          <w:sz w:val="24"/>
          <w:szCs w:val="24"/>
          <w:lang w:val="en-US"/>
        </w:rPr>
        <w:t xml:space="preserve"> the </w:t>
      </w:r>
      <w:r w:rsidR="00A21225">
        <w:rPr>
          <w:rFonts w:ascii="Times New Roman" w:hAnsi="Times New Roman"/>
          <w:color w:val="auto"/>
          <w:sz w:val="24"/>
          <w:szCs w:val="24"/>
          <w:lang w:val="en-US"/>
        </w:rPr>
        <w:t xml:space="preserve">Health </w:t>
      </w:r>
      <w:r w:rsidR="00913002">
        <w:rPr>
          <w:rFonts w:ascii="Times New Roman" w:hAnsi="Times New Roman"/>
          <w:color w:val="auto"/>
          <w:sz w:val="24"/>
          <w:szCs w:val="24"/>
          <w:lang w:val="en-US"/>
        </w:rPr>
        <w:t>Ombud</w:t>
      </w:r>
      <w:r w:rsidR="00A21225">
        <w:rPr>
          <w:rFonts w:ascii="Times New Roman" w:hAnsi="Times New Roman"/>
          <w:color w:val="auto"/>
          <w:sz w:val="24"/>
          <w:szCs w:val="24"/>
          <w:lang w:val="en-US"/>
        </w:rPr>
        <w:t>’s Office</w:t>
      </w:r>
      <w:r w:rsidR="00CF0216">
        <w:rPr>
          <w:rFonts w:ascii="Times New Roman" w:hAnsi="Times New Roman"/>
          <w:color w:val="auto"/>
          <w:sz w:val="24"/>
          <w:szCs w:val="24"/>
          <w:lang w:val="en-US"/>
        </w:rPr>
        <w:t xml:space="preserve"> and its funding, </w:t>
      </w:r>
      <w:r>
        <w:rPr>
          <w:rFonts w:ascii="Times New Roman" w:hAnsi="Times New Roman"/>
          <w:color w:val="auto"/>
          <w:sz w:val="24"/>
          <w:szCs w:val="24"/>
          <w:lang w:val="en-US"/>
        </w:rPr>
        <w:t>as it is funded through the</w:t>
      </w:r>
      <w:r w:rsidR="00CF0216">
        <w:rPr>
          <w:rFonts w:ascii="Times New Roman" w:hAnsi="Times New Roman"/>
          <w:color w:val="auto"/>
          <w:sz w:val="24"/>
          <w:szCs w:val="24"/>
          <w:lang w:val="en-US"/>
        </w:rPr>
        <w:t xml:space="preserve"> OHSC</w:t>
      </w:r>
      <w:r>
        <w:rPr>
          <w:rFonts w:ascii="Times New Roman" w:hAnsi="Times New Roman"/>
          <w:color w:val="auto"/>
          <w:sz w:val="24"/>
          <w:szCs w:val="24"/>
          <w:lang w:val="en-US"/>
        </w:rPr>
        <w:t xml:space="preserve"> budget when </w:t>
      </w:r>
      <w:r w:rsidR="008F7B84">
        <w:rPr>
          <w:rFonts w:ascii="Times New Roman" w:hAnsi="Times New Roman"/>
          <w:color w:val="auto"/>
          <w:sz w:val="24"/>
          <w:szCs w:val="24"/>
          <w:lang w:val="en-US"/>
        </w:rPr>
        <w:t>the Ombud</w:t>
      </w:r>
      <w:r>
        <w:rPr>
          <w:rFonts w:ascii="Times New Roman" w:hAnsi="Times New Roman"/>
          <w:color w:val="auto"/>
          <w:sz w:val="24"/>
          <w:szCs w:val="24"/>
          <w:lang w:val="en-US"/>
        </w:rPr>
        <w:t xml:space="preserve"> </w:t>
      </w:r>
      <w:r w:rsidR="008F7B84">
        <w:rPr>
          <w:rFonts w:ascii="Times New Roman" w:hAnsi="Times New Roman"/>
          <w:color w:val="auto"/>
          <w:sz w:val="24"/>
          <w:szCs w:val="24"/>
          <w:lang w:val="en-US"/>
        </w:rPr>
        <w:t xml:space="preserve">is </w:t>
      </w:r>
      <w:r>
        <w:rPr>
          <w:rFonts w:ascii="Times New Roman" w:hAnsi="Times New Roman"/>
          <w:color w:val="auto"/>
          <w:sz w:val="24"/>
          <w:szCs w:val="24"/>
          <w:lang w:val="en-US"/>
        </w:rPr>
        <w:t>accountable to the Minister of Health</w:t>
      </w:r>
      <w:r w:rsidR="00CF0216">
        <w:rPr>
          <w:rFonts w:ascii="Times New Roman" w:hAnsi="Times New Roman"/>
          <w:color w:val="auto"/>
          <w:sz w:val="24"/>
          <w:szCs w:val="24"/>
          <w:lang w:val="en-US"/>
        </w:rPr>
        <w:t xml:space="preserve">. </w:t>
      </w:r>
    </w:p>
    <w:p w14:paraId="1AD1C17B" w14:textId="77777777" w:rsidR="00C42967" w:rsidRDefault="00C42967" w:rsidP="00941E30">
      <w:pPr>
        <w:jc w:val="both"/>
        <w:rPr>
          <w:rFonts w:ascii="Times New Roman" w:hAnsi="Times New Roman"/>
          <w:b/>
          <w:color w:val="auto"/>
          <w:sz w:val="24"/>
          <w:szCs w:val="24"/>
          <w:lang w:val="en-US"/>
        </w:rPr>
      </w:pPr>
    </w:p>
    <w:p w14:paraId="7BF849CC" w14:textId="77777777" w:rsidR="000B55D9" w:rsidRPr="00085BAF" w:rsidRDefault="00B50DFE" w:rsidP="00941E30">
      <w:pPr>
        <w:pStyle w:val="ListParagraph"/>
        <w:numPr>
          <w:ilvl w:val="2"/>
          <w:numId w:val="90"/>
        </w:numPr>
        <w:jc w:val="both"/>
        <w:rPr>
          <w:rFonts w:ascii="Times New Roman" w:hAnsi="Times New Roman"/>
          <w:b/>
          <w:color w:val="auto"/>
          <w:sz w:val="24"/>
          <w:szCs w:val="24"/>
          <w:lang w:val="en-US"/>
        </w:rPr>
      </w:pPr>
      <w:r w:rsidRPr="00941E30">
        <w:rPr>
          <w:rFonts w:ascii="Times New Roman" w:hAnsi="Times New Roman"/>
          <w:b/>
          <w:color w:val="auto"/>
          <w:sz w:val="24"/>
          <w:szCs w:val="24"/>
          <w:lang w:val="en-US"/>
        </w:rPr>
        <w:t>C</w:t>
      </w:r>
      <w:r w:rsidR="000B55D9" w:rsidRPr="00085BAF">
        <w:rPr>
          <w:rFonts w:ascii="Times New Roman" w:hAnsi="Times New Roman"/>
          <w:b/>
          <w:color w:val="auto"/>
          <w:sz w:val="24"/>
          <w:szCs w:val="24"/>
          <w:lang w:val="en-US"/>
        </w:rPr>
        <w:t>MS</w:t>
      </w:r>
    </w:p>
    <w:p w14:paraId="7F340733" w14:textId="77777777" w:rsidR="000B55D9" w:rsidRPr="00085BAF" w:rsidRDefault="000B55D9" w:rsidP="00941E30">
      <w:pPr>
        <w:jc w:val="both"/>
        <w:rPr>
          <w:rFonts w:ascii="Times New Roman" w:hAnsi="Times New Roman"/>
          <w:b/>
          <w:color w:val="auto"/>
          <w:sz w:val="24"/>
          <w:szCs w:val="24"/>
          <w:lang w:val="en-US"/>
        </w:rPr>
      </w:pPr>
    </w:p>
    <w:p w14:paraId="0A05258B" w14:textId="77777777" w:rsidR="000B55D9" w:rsidRPr="008F446B" w:rsidRDefault="001D12D2">
      <w:pPr>
        <w:pStyle w:val="ListParagraph"/>
        <w:numPr>
          <w:ilvl w:val="0"/>
          <w:numId w:val="53"/>
        </w:numPr>
        <w:spacing w:line="360" w:lineRule="auto"/>
        <w:jc w:val="both"/>
        <w:rPr>
          <w:rFonts w:ascii="Times New Roman" w:hAnsi="Times New Roman"/>
          <w:color w:val="auto"/>
          <w:sz w:val="24"/>
          <w:szCs w:val="24"/>
          <w:lang w:val="en-US"/>
        </w:rPr>
      </w:pPr>
      <w:r w:rsidRPr="008F446B">
        <w:rPr>
          <w:rFonts w:ascii="Times New Roman" w:hAnsi="Times New Roman"/>
          <w:color w:val="auto"/>
          <w:sz w:val="24"/>
          <w:szCs w:val="24"/>
          <w:lang w:val="en-US"/>
        </w:rPr>
        <w:t>The Committee was concerned that the Registrar</w:t>
      </w:r>
      <w:r w:rsidR="008F446B" w:rsidRPr="008F446B">
        <w:rPr>
          <w:rFonts w:ascii="Times New Roman" w:hAnsi="Times New Roman"/>
          <w:color w:val="auto"/>
          <w:sz w:val="24"/>
          <w:szCs w:val="24"/>
          <w:lang w:val="en-US"/>
        </w:rPr>
        <w:t xml:space="preserve"> position</w:t>
      </w:r>
      <w:r w:rsidRPr="008F446B">
        <w:rPr>
          <w:rFonts w:ascii="Times New Roman" w:hAnsi="Times New Roman"/>
          <w:color w:val="auto"/>
          <w:sz w:val="24"/>
          <w:szCs w:val="24"/>
          <w:lang w:val="en-US"/>
        </w:rPr>
        <w:t xml:space="preserve"> was still </w:t>
      </w:r>
      <w:r w:rsidR="008F446B" w:rsidRPr="008F446B">
        <w:rPr>
          <w:rFonts w:ascii="Times New Roman" w:hAnsi="Times New Roman"/>
          <w:color w:val="auto"/>
          <w:sz w:val="24"/>
          <w:szCs w:val="24"/>
          <w:lang w:val="en-US"/>
        </w:rPr>
        <w:t>vacant</w:t>
      </w:r>
      <w:r w:rsidRPr="008F446B">
        <w:rPr>
          <w:rFonts w:ascii="Times New Roman" w:hAnsi="Times New Roman"/>
          <w:color w:val="auto"/>
          <w:sz w:val="24"/>
          <w:szCs w:val="24"/>
          <w:lang w:val="en-US"/>
        </w:rPr>
        <w:t xml:space="preserve"> and there was no indication of when the position </w:t>
      </w:r>
      <w:r w:rsidR="008F446B" w:rsidRPr="008F446B">
        <w:rPr>
          <w:rFonts w:ascii="Times New Roman" w:hAnsi="Times New Roman"/>
          <w:color w:val="auto"/>
          <w:sz w:val="24"/>
          <w:szCs w:val="24"/>
          <w:lang w:val="en-US"/>
        </w:rPr>
        <w:t>will</w:t>
      </w:r>
      <w:r w:rsidRPr="008F446B">
        <w:rPr>
          <w:rFonts w:ascii="Times New Roman" w:hAnsi="Times New Roman"/>
          <w:color w:val="auto"/>
          <w:sz w:val="24"/>
          <w:szCs w:val="24"/>
          <w:lang w:val="en-US"/>
        </w:rPr>
        <w:t xml:space="preserve"> be filled.</w:t>
      </w:r>
    </w:p>
    <w:p w14:paraId="027DFC46" w14:textId="77777777" w:rsidR="008F446B" w:rsidRPr="008F446B" w:rsidRDefault="008F446B">
      <w:pPr>
        <w:pStyle w:val="ListParagraph"/>
        <w:numPr>
          <w:ilvl w:val="0"/>
          <w:numId w:val="53"/>
        </w:numPr>
        <w:spacing w:line="360" w:lineRule="auto"/>
        <w:jc w:val="both"/>
        <w:rPr>
          <w:rFonts w:ascii="Times New Roman" w:hAnsi="Times New Roman"/>
          <w:color w:val="auto"/>
          <w:sz w:val="24"/>
          <w:szCs w:val="24"/>
          <w:lang w:val="en-US"/>
        </w:rPr>
      </w:pPr>
      <w:r w:rsidRPr="00941E30">
        <w:rPr>
          <w:rFonts w:ascii="Times New Roman" w:hAnsi="Times New Roman"/>
          <w:sz w:val="24"/>
          <w:szCs w:val="24"/>
        </w:rPr>
        <w:t>The Committee expressed concern that members</w:t>
      </w:r>
      <w:r w:rsidR="007D365B">
        <w:rPr>
          <w:rFonts w:ascii="Times New Roman" w:hAnsi="Times New Roman"/>
          <w:sz w:val="24"/>
          <w:szCs w:val="24"/>
        </w:rPr>
        <w:t xml:space="preserve"> of medical schemes do</w:t>
      </w:r>
      <w:r w:rsidRPr="00941E30">
        <w:rPr>
          <w:rFonts w:ascii="Times New Roman" w:hAnsi="Times New Roman"/>
          <w:sz w:val="24"/>
          <w:szCs w:val="24"/>
        </w:rPr>
        <w:t xml:space="preserve"> not seem to understand the nature and extent of their benefits</w:t>
      </w:r>
      <w:r w:rsidR="007D365B">
        <w:rPr>
          <w:rFonts w:ascii="Times New Roman" w:hAnsi="Times New Roman"/>
          <w:sz w:val="24"/>
          <w:szCs w:val="24"/>
        </w:rPr>
        <w:t xml:space="preserve">, public education and awareness seem to be inadequate. </w:t>
      </w:r>
    </w:p>
    <w:p w14:paraId="3643B470" w14:textId="77777777" w:rsidR="001D12D2" w:rsidRPr="008F446B" w:rsidRDefault="00D74741">
      <w:pPr>
        <w:pStyle w:val="ListParagraph"/>
        <w:numPr>
          <w:ilvl w:val="0"/>
          <w:numId w:val="53"/>
        </w:numPr>
        <w:spacing w:line="360" w:lineRule="auto"/>
        <w:jc w:val="both"/>
        <w:rPr>
          <w:rFonts w:ascii="Times New Roman" w:hAnsi="Times New Roman"/>
          <w:color w:val="auto"/>
          <w:sz w:val="24"/>
          <w:szCs w:val="24"/>
          <w:lang w:val="en-US"/>
        </w:rPr>
      </w:pPr>
      <w:r w:rsidRPr="008F446B">
        <w:rPr>
          <w:rFonts w:ascii="Times New Roman" w:hAnsi="Times New Roman"/>
          <w:color w:val="auto"/>
          <w:sz w:val="24"/>
          <w:szCs w:val="24"/>
          <w:lang w:val="en-US"/>
        </w:rPr>
        <w:t xml:space="preserve">The Committee </w:t>
      </w:r>
      <w:r w:rsidR="00ED021C">
        <w:rPr>
          <w:rFonts w:ascii="Times New Roman" w:hAnsi="Times New Roman"/>
          <w:color w:val="auto"/>
          <w:sz w:val="24"/>
          <w:szCs w:val="24"/>
          <w:lang w:val="en-US"/>
        </w:rPr>
        <w:t>reflected on concerns around affordability of</w:t>
      </w:r>
      <w:r w:rsidRPr="008F446B">
        <w:rPr>
          <w:rFonts w:ascii="Times New Roman" w:hAnsi="Times New Roman"/>
          <w:color w:val="auto"/>
          <w:sz w:val="24"/>
          <w:szCs w:val="24"/>
          <w:lang w:val="en-US"/>
        </w:rPr>
        <w:t xml:space="preserve"> </w:t>
      </w:r>
      <w:r w:rsidR="008F446B" w:rsidRPr="008F446B">
        <w:rPr>
          <w:rFonts w:ascii="Times New Roman" w:hAnsi="Times New Roman"/>
          <w:color w:val="auto"/>
          <w:sz w:val="24"/>
          <w:szCs w:val="24"/>
          <w:lang w:val="en-US"/>
        </w:rPr>
        <w:t xml:space="preserve">medical schemes </w:t>
      </w:r>
      <w:r w:rsidR="00ED021C">
        <w:rPr>
          <w:rFonts w:ascii="Times New Roman" w:hAnsi="Times New Roman"/>
          <w:color w:val="auto"/>
          <w:sz w:val="24"/>
          <w:szCs w:val="24"/>
          <w:lang w:val="en-US"/>
        </w:rPr>
        <w:t>and</w:t>
      </w:r>
      <w:r w:rsidR="008F446B" w:rsidRPr="008F446B">
        <w:rPr>
          <w:rFonts w:ascii="Times New Roman" w:hAnsi="Times New Roman"/>
          <w:color w:val="auto"/>
          <w:sz w:val="24"/>
          <w:szCs w:val="24"/>
          <w:lang w:val="en-US"/>
        </w:rPr>
        <w:t xml:space="preserve"> </w:t>
      </w:r>
      <w:r w:rsidRPr="008F446B">
        <w:rPr>
          <w:rFonts w:ascii="Times New Roman" w:hAnsi="Times New Roman"/>
          <w:color w:val="auto"/>
          <w:sz w:val="24"/>
          <w:szCs w:val="24"/>
          <w:lang w:val="en-US"/>
        </w:rPr>
        <w:t xml:space="preserve">the </w:t>
      </w:r>
      <w:r w:rsidR="00ED021C">
        <w:rPr>
          <w:rFonts w:ascii="Times New Roman" w:hAnsi="Times New Roman"/>
          <w:color w:val="auto"/>
          <w:sz w:val="24"/>
          <w:szCs w:val="24"/>
          <w:lang w:val="en-US"/>
        </w:rPr>
        <w:t xml:space="preserve">role of </w:t>
      </w:r>
      <w:r w:rsidRPr="008F446B">
        <w:rPr>
          <w:rFonts w:ascii="Times New Roman" w:hAnsi="Times New Roman"/>
          <w:color w:val="auto"/>
          <w:sz w:val="24"/>
          <w:szCs w:val="24"/>
          <w:lang w:val="en-US"/>
        </w:rPr>
        <w:t xml:space="preserve">CMS </w:t>
      </w:r>
      <w:r w:rsidR="00ED021C">
        <w:rPr>
          <w:rFonts w:ascii="Times New Roman" w:hAnsi="Times New Roman"/>
          <w:color w:val="auto"/>
          <w:sz w:val="24"/>
          <w:szCs w:val="24"/>
          <w:lang w:val="en-US"/>
        </w:rPr>
        <w:t>in</w:t>
      </w:r>
      <w:r w:rsidRPr="008F446B">
        <w:rPr>
          <w:rFonts w:ascii="Times New Roman" w:hAnsi="Times New Roman"/>
          <w:color w:val="auto"/>
          <w:sz w:val="24"/>
          <w:szCs w:val="24"/>
          <w:lang w:val="en-US"/>
        </w:rPr>
        <w:t xml:space="preserve"> regulat</w:t>
      </w:r>
      <w:r w:rsidR="008F446B" w:rsidRPr="008F446B">
        <w:rPr>
          <w:rFonts w:ascii="Times New Roman" w:hAnsi="Times New Roman"/>
          <w:color w:val="auto"/>
          <w:sz w:val="24"/>
          <w:szCs w:val="24"/>
          <w:lang w:val="en-US"/>
        </w:rPr>
        <w:t>ing</w:t>
      </w:r>
      <w:r w:rsidR="00ED021C">
        <w:rPr>
          <w:rFonts w:ascii="Times New Roman" w:hAnsi="Times New Roman"/>
          <w:color w:val="auto"/>
          <w:sz w:val="24"/>
          <w:szCs w:val="24"/>
          <w:lang w:val="en-US"/>
        </w:rPr>
        <w:t xml:space="preserve"> the industry</w:t>
      </w:r>
      <w:r w:rsidRPr="008F446B">
        <w:rPr>
          <w:rFonts w:ascii="Times New Roman" w:hAnsi="Times New Roman"/>
          <w:color w:val="auto"/>
          <w:sz w:val="24"/>
          <w:szCs w:val="24"/>
          <w:lang w:val="en-US"/>
        </w:rPr>
        <w:t>.</w:t>
      </w:r>
    </w:p>
    <w:p w14:paraId="5E6E1091" w14:textId="77777777" w:rsidR="00D032BF" w:rsidRPr="0093633A" w:rsidRDefault="00D032BF" w:rsidP="00941E30">
      <w:pPr>
        <w:ind w:left="786"/>
        <w:jc w:val="both"/>
        <w:rPr>
          <w:rFonts w:ascii="Times New Roman" w:hAnsi="Times New Roman"/>
          <w:color w:val="auto"/>
          <w:sz w:val="24"/>
          <w:szCs w:val="24"/>
          <w:lang w:val="en-US"/>
        </w:rPr>
      </w:pPr>
    </w:p>
    <w:p w14:paraId="3F7E8063" w14:textId="77777777" w:rsidR="000552BA" w:rsidRPr="00B50DFE" w:rsidRDefault="000552BA" w:rsidP="00941E30">
      <w:pPr>
        <w:pStyle w:val="ListParagraph"/>
        <w:numPr>
          <w:ilvl w:val="2"/>
          <w:numId w:val="90"/>
        </w:numPr>
        <w:rPr>
          <w:rFonts w:ascii="Times New Roman" w:hAnsi="Times New Roman"/>
          <w:b/>
          <w:color w:val="auto"/>
          <w:sz w:val="24"/>
          <w:szCs w:val="24"/>
          <w:lang w:val="en-US"/>
        </w:rPr>
      </w:pPr>
      <w:r w:rsidRPr="00B50DFE">
        <w:rPr>
          <w:rFonts w:ascii="Times New Roman" w:hAnsi="Times New Roman"/>
          <w:b/>
          <w:color w:val="auto"/>
          <w:sz w:val="24"/>
          <w:szCs w:val="24"/>
          <w:lang w:val="en-US"/>
        </w:rPr>
        <w:t>NHLS</w:t>
      </w:r>
    </w:p>
    <w:p w14:paraId="73103D83" w14:textId="77777777" w:rsidR="00D74741" w:rsidRPr="0093633A" w:rsidRDefault="00D74741" w:rsidP="00941E30">
      <w:pPr>
        <w:rPr>
          <w:rFonts w:ascii="Times New Roman" w:hAnsi="Times New Roman"/>
          <w:b/>
          <w:color w:val="auto"/>
          <w:sz w:val="24"/>
          <w:szCs w:val="24"/>
          <w:lang w:val="en-US"/>
        </w:rPr>
      </w:pPr>
    </w:p>
    <w:p w14:paraId="5114CBD7" w14:textId="77777777" w:rsidR="00BC530C" w:rsidRPr="005E326B" w:rsidRDefault="00BC530C" w:rsidP="005E326B">
      <w:pPr>
        <w:pStyle w:val="ListParagraph"/>
        <w:numPr>
          <w:ilvl w:val="0"/>
          <w:numId w:val="54"/>
        </w:numPr>
        <w:spacing w:line="360" w:lineRule="auto"/>
        <w:jc w:val="both"/>
        <w:rPr>
          <w:rFonts w:ascii="Times New Roman" w:hAnsi="Times New Roman"/>
          <w:color w:val="auto"/>
          <w:sz w:val="24"/>
          <w:szCs w:val="24"/>
          <w:lang w:val="en-US"/>
        </w:rPr>
      </w:pPr>
      <w:r w:rsidRPr="00B200D1">
        <w:rPr>
          <w:rFonts w:ascii="Times New Roman" w:hAnsi="Times New Roman"/>
          <w:color w:val="auto"/>
          <w:sz w:val="24"/>
          <w:szCs w:val="24"/>
          <w:lang w:val="en-US"/>
        </w:rPr>
        <w:t xml:space="preserve">The Committee was concerned about </w:t>
      </w:r>
      <w:r w:rsidR="00EB424C" w:rsidRPr="00B200D1">
        <w:rPr>
          <w:rFonts w:ascii="Times New Roman" w:hAnsi="Times New Roman"/>
          <w:color w:val="auto"/>
          <w:sz w:val="24"/>
          <w:szCs w:val="24"/>
          <w:lang w:val="en-US"/>
        </w:rPr>
        <w:t xml:space="preserve">the </w:t>
      </w:r>
      <w:r w:rsidRPr="00B200D1">
        <w:rPr>
          <w:rFonts w:ascii="Times New Roman" w:hAnsi="Times New Roman"/>
          <w:color w:val="auto"/>
          <w:sz w:val="24"/>
          <w:szCs w:val="24"/>
          <w:lang w:val="en-US"/>
        </w:rPr>
        <w:t>vacancies in key positions</w:t>
      </w:r>
      <w:r w:rsidR="009F75C3">
        <w:rPr>
          <w:rFonts w:ascii="Times New Roman" w:hAnsi="Times New Roman"/>
          <w:color w:val="auto"/>
          <w:sz w:val="24"/>
          <w:szCs w:val="24"/>
          <w:lang w:val="en-US"/>
        </w:rPr>
        <w:t xml:space="preserve"> over extended periods of time, in particular the </w:t>
      </w:r>
      <w:r w:rsidRPr="005E326B">
        <w:rPr>
          <w:rFonts w:ascii="Times New Roman" w:hAnsi="Times New Roman"/>
          <w:color w:val="auto"/>
          <w:sz w:val="24"/>
          <w:szCs w:val="24"/>
          <w:lang w:val="en-US"/>
        </w:rPr>
        <w:t>CEO and CFO</w:t>
      </w:r>
      <w:r w:rsidR="009F75C3">
        <w:rPr>
          <w:rFonts w:ascii="Times New Roman" w:hAnsi="Times New Roman"/>
          <w:color w:val="auto"/>
          <w:sz w:val="24"/>
          <w:szCs w:val="24"/>
          <w:lang w:val="en-US"/>
        </w:rPr>
        <w:t xml:space="preserve"> positions</w:t>
      </w:r>
      <w:r w:rsidRPr="005E326B">
        <w:rPr>
          <w:rFonts w:ascii="Times New Roman" w:hAnsi="Times New Roman"/>
          <w:color w:val="auto"/>
          <w:sz w:val="24"/>
          <w:szCs w:val="24"/>
          <w:lang w:val="en-US"/>
        </w:rPr>
        <w:t xml:space="preserve"> </w:t>
      </w:r>
      <w:r w:rsidR="009F75C3">
        <w:rPr>
          <w:rFonts w:ascii="Times New Roman" w:hAnsi="Times New Roman"/>
          <w:color w:val="auto"/>
          <w:sz w:val="24"/>
          <w:szCs w:val="24"/>
          <w:lang w:val="en-US"/>
        </w:rPr>
        <w:t>which had</w:t>
      </w:r>
      <w:r w:rsidRPr="005E326B">
        <w:rPr>
          <w:rFonts w:ascii="Times New Roman" w:hAnsi="Times New Roman"/>
          <w:color w:val="auto"/>
          <w:sz w:val="24"/>
          <w:szCs w:val="24"/>
          <w:lang w:val="en-US"/>
        </w:rPr>
        <w:t xml:space="preserve"> been vacant for 12 months</w:t>
      </w:r>
      <w:r w:rsidR="00527AFD">
        <w:rPr>
          <w:rFonts w:ascii="Times New Roman" w:hAnsi="Times New Roman"/>
          <w:color w:val="auto"/>
          <w:sz w:val="24"/>
          <w:szCs w:val="24"/>
          <w:lang w:val="en-US"/>
        </w:rPr>
        <w:t xml:space="preserve"> and</w:t>
      </w:r>
      <w:r w:rsidRPr="005E326B">
        <w:rPr>
          <w:rFonts w:ascii="Times New Roman" w:hAnsi="Times New Roman"/>
          <w:color w:val="auto"/>
          <w:sz w:val="24"/>
          <w:szCs w:val="24"/>
          <w:lang w:val="en-US"/>
        </w:rPr>
        <w:t xml:space="preserve"> </w:t>
      </w:r>
      <w:r w:rsidR="00B200D1" w:rsidRPr="005E326B">
        <w:rPr>
          <w:rFonts w:ascii="Times New Roman" w:hAnsi="Times New Roman"/>
          <w:color w:val="auto"/>
          <w:sz w:val="24"/>
          <w:szCs w:val="24"/>
          <w:lang w:val="en-US"/>
        </w:rPr>
        <w:t>position</w:t>
      </w:r>
      <w:r w:rsidR="00E750F6">
        <w:rPr>
          <w:rFonts w:ascii="Times New Roman" w:hAnsi="Times New Roman"/>
          <w:color w:val="auto"/>
          <w:sz w:val="24"/>
          <w:szCs w:val="24"/>
          <w:lang w:val="en-US"/>
        </w:rPr>
        <w:t>s</w:t>
      </w:r>
      <w:r w:rsidR="00B200D1" w:rsidRPr="005E326B">
        <w:rPr>
          <w:rFonts w:ascii="Times New Roman" w:hAnsi="Times New Roman"/>
          <w:color w:val="auto"/>
          <w:sz w:val="24"/>
          <w:szCs w:val="24"/>
          <w:lang w:val="en-US"/>
        </w:rPr>
        <w:t xml:space="preserve"> of Head: </w:t>
      </w:r>
      <w:r w:rsidRPr="005E326B">
        <w:rPr>
          <w:rFonts w:ascii="Times New Roman" w:hAnsi="Times New Roman"/>
          <w:color w:val="auto"/>
          <w:sz w:val="24"/>
          <w:szCs w:val="24"/>
          <w:lang w:val="en-US"/>
        </w:rPr>
        <w:t>I</w:t>
      </w:r>
      <w:r w:rsidR="00B200D1">
        <w:rPr>
          <w:rFonts w:ascii="Times New Roman" w:hAnsi="Times New Roman"/>
          <w:color w:val="auto"/>
          <w:sz w:val="24"/>
          <w:szCs w:val="24"/>
          <w:lang w:val="en-US"/>
        </w:rPr>
        <w:t xml:space="preserve">nformation </w:t>
      </w:r>
      <w:r w:rsidRPr="005E326B">
        <w:rPr>
          <w:rFonts w:ascii="Times New Roman" w:hAnsi="Times New Roman"/>
          <w:color w:val="auto"/>
          <w:sz w:val="24"/>
          <w:szCs w:val="24"/>
          <w:lang w:val="en-US"/>
        </w:rPr>
        <w:t>T</w:t>
      </w:r>
      <w:r w:rsidR="00B200D1">
        <w:rPr>
          <w:rFonts w:ascii="Times New Roman" w:hAnsi="Times New Roman"/>
          <w:color w:val="auto"/>
          <w:sz w:val="24"/>
          <w:szCs w:val="24"/>
          <w:lang w:val="en-US"/>
        </w:rPr>
        <w:t>echnology</w:t>
      </w:r>
      <w:r w:rsidRPr="005E326B">
        <w:rPr>
          <w:rFonts w:ascii="Times New Roman" w:hAnsi="Times New Roman"/>
          <w:color w:val="auto"/>
          <w:sz w:val="24"/>
          <w:szCs w:val="24"/>
          <w:lang w:val="en-US"/>
        </w:rPr>
        <w:t xml:space="preserve"> and</w:t>
      </w:r>
      <w:r w:rsidR="00B200D1">
        <w:rPr>
          <w:rFonts w:ascii="Times New Roman" w:hAnsi="Times New Roman"/>
          <w:color w:val="auto"/>
          <w:sz w:val="24"/>
          <w:szCs w:val="24"/>
          <w:lang w:val="en-US"/>
        </w:rPr>
        <w:t xml:space="preserve"> </w:t>
      </w:r>
      <w:r w:rsidR="00B200D1" w:rsidRPr="005E326B">
        <w:rPr>
          <w:rFonts w:ascii="Times New Roman" w:hAnsi="Times New Roman"/>
          <w:color w:val="auto"/>
          <w:sz w:val="24"/>
          <w:szCs w:val="24"/>
          <w:lang w:val="en-US"/>
        </w:rPr>
        <w:t xml:space="preserve">Head: </w:t>
      </w:r>
      <w:r w:rsidRPr="005E326B">
        <w:rPr>
          <w:rFonts w:ascii="Times New Roman" w:hAnsi="Times New Roman"/>
          <w:color w:val="auto"/>
          <w:sz w:val="24"/>
          <w:szCs w:val="24"/>
          <w:lang w:val="en-US"/>
        </w:rPr>
        <w:t>Internal Audit</w:t>
      </w:r>
      <w:r w:rsidR="00B200D1">
        <w:rPr>
          <w:rFonts w:ascii="Times New Roman" w:hAnsi="Times New Roman"/>
          <w:color w:val="auto"/>
          <w:sz w:val="24"/>
          <w:szCs w:val="24"/>
          <w:lang w:val="en-US"/>
        </w:rPr>
        <w:t xml:space="preserve"> and Risk Management</w:t>
      </w:r>
      <w:r w:rsidR="00E750F6" w:rsidRPr="005E326B">
        <w:rPr>
          <w:rFonts w:ascii="Times New Roman" w:hAnsi="Times New Roman"/>
          <w:color w:val="auto"/>
          <w:sz w:val="24"/>
          <w:szCs w:val="24"/>
          <w:lang w:val="en-US"/>
        </w:rPr>
        <w:t xml:space="preserve"> </w:t>
      </w:r>
      <w:r w:rsidRPr="005E326B">
        <w:rPr>
          <w:rFonts w:ascii="Times New Roman" w:hAnsi="Times New Roman"/>
          <w:color w:val="auto"/>
          <w:sz w:val="24"/>
          <w:szCs w:val="24"/>
          <w:lang w:val="en-US"/>
        </w:rPr>
        <w:t>vacant for four months.</w:t>
      </w:r>
    </w:p>
    <w:p w14:paraId="25DCDDAF" w14:textId="77777777" w:rsidR="00BC530C" w:rsidRPr="0093633A" w:rsidRDefault="00EB424C">
      <w:pPr>
        <w:pStyle w:val="ListParagraph"/>
        <w:numPr>
          <w:ilvl w:val="0"/>
          <w:numId w:val="54"/>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The Committee was concerned about the l</w:t>
      </w:r>
      <w:r w:rsidR="00BC530C">
        <w:rPr>
          <w:rFonts w:ascii="Times New Roman" w:hAnsi="Times New Roman"/>
          <w:color w:val="auto"/>
          <w:sz w:val="24"/>
          <w:szCs w:val="24"/>
          <w:lang w:val="en-US"/>
        </w:rPr>
        <w:t>ong standing cases</w:t>
      </w:r>
      <w:r>
        <w:rPr>
          <w:rFonts w:ascii="Times New Roman" w:hAnsi="Times New Roman"/>
          <w:color w:val="auto"/>
          <w:sz w:val="24"/>
          <w:szCs w:val="24"/>
          <w:lang w:val="en-US"/>
        </w:rPr>
        <w:t xml:space="preserve"> </w:t>
      </w:r>
      <w:r w:rsidR="008E44CC">
        <w:rPr>
          <w:rFonts w:ascii="Times New Roman" w:hAnsi="Times New Roman"/>
          <w:color w:val="auto"/>
          <w:sz w:val="24"/>
          <w:szCs w:val="24"/>
          <w:lang w:val="en-US"/>
        </w:rPr>
        <w:t>of</w:t>
      </w:r>
      <w:r>
        <w:rPr>
          <w:rFonts w:ascii="Times New Roman" w:hAnsi="Times New Roman"/>
          <w:color w:val="auto"/>
          <w:sz w:val="24"/>
          <w:szCs w:val="24"/>
          <w:lang w:val="en-US"/>
        </w:rPr>
        <w:t xml:space="preserve"> former NHLS staff</w:t>
      </w:r>
      <w:r w:rsidR="00BC530C">
        <w:rPr>
          <w:rFonts w:ascii="Times New Roman" w:hAnsi="Times New Roman"/>
          <w:color w:val="auto"/>
          <w:sz w:val="24"/>
          <w:szCs w:val="24"/>
          <w:lang w:val="en-US"/>
        </w:rPr>
        <w:t xml:space="preserve"> that </w:t>
      </w:r>
      <w:r>
        <w:rPr>
          <w:rFonts w:ascii="Times New Roman" w:hAnsi="Times New Roman"/>
          <w:color w:val="auto"/>
          <w:sz w:val="24"/>
          <w:szCs w:val="24"/>
          <w:lang w:val="en-US"/>
        </w:rPr>
        <w:t xml:space="preserve">remains unresolved. </w:t>
      </w:r>
    </w:p>
    <w:p w14:paraId="25314F9A" w14:textId="77777777" w:rsidR="006B7AD3" w:rsidRPr="007F361A" w:rsidRDefault="006B7AD3" w:rsidP="00941E30">
      <w:pPr>
        <w:pStyle w:val="ListParagraph"/>
        <w:jc w:val="both"/>
        <w:rPr>
          <w:rFonts w:ascii="Times New Roman" w:hAnsi="Times New Roman"/>
          <w:color w:val="auto"/>
          <w:sz w:val="24"/>
          <w:szCs w:val="24"/>
          <w:lang w:val="en-US"/>
        </w:rPr>
      </w:pPr>
    </w:p>
    <w:p w14:paraId="6FC7964B" w14:textId="77777777" w:rsidR="00D74741" w:rsidRPr="00085BAF" w:rsidRDefault="00D74741" w:rsidP="00941E30">
      <w:pPr>
        <w:pStyle w:val="ListParagraph"/>
        <w:numPr>
          <w:ilvl w:val="2"/>
          <w:numId w:val="90"/>
        </w:numPr>
        <w:jc w:val="both"/>
        <w:rPr>
          <w:rFonts w:ascii="Times New Roman" w:hAnsi="Times New Roman"/>
          <w:b/>
          <w:color w:val="auto"/>
          <w:sz w:val="24"/>
          <w:szCs w:val="24"/>
          <w:lang w:val="en-US"/>
        </w:rPr>
      </w:pPr>
      <w:r w:rsidRPr="00085BAF">
        <w:rPr>
          <w:rFonts w:ascii="Times New Roman" w:hAnsi="Times New Roman"/>
          <w:b/>
          <w:color w:val="auto"/>
          <w:sz w:val="24"/>
          <w:szCs w:val="24"/>
          <w:lang w:val="en-US"/>
        </w:rPr>
        <w:t xml:space="preserve">CCOD </w:t>
      </w:r>
    </w:p>
    <w:p w14:paraId="56DDA2CC" w14:textId="77777777" w:rsidR="008E5AAD" w:rsidRPr="00085BAF" w:rsidRDefault="008E5AAD" w:rsidP="00941E30">
      <w:pPr>
        <w:jc w:val="both"/>
        <w:rPr>
          <w:rFonts w:ascii="Times New Roman" w:hAnsi="Times New Roman"/>
          <w:b/>
          <w:color w:val="auto"/>
          <w:sz w:val="24"/>
          <w:szCs w:val="24"/>
          <w:lang w:val="en-US"/>
        </w:rPr>
      </w:pPr>
    </w:p>
    <w:p w14:paraId="0FBB4727" w14:textId="77777777" w:rsidR="00DE6589" w:rsidRPr="00941E30" w:rsidRDefault="00DE6589">
      <w:pPr>
        <w:pStyle w:val="ListParagraph"/>
        <w:numPr>
          <w:ilvl w:val="0"/>
          <w:numId w:val="55"/>
        </w:numPr>
        <w:spacing w:line="360" w:lineRule="auto"/>
        <w:jc w:val="both"/>
        <w:rPr>
          <w:rFonts w:ascii="Times New Roman" w:hAnsi="Times New Roman"/>
          <w:b/>
          <w:color w:val="auto"/>
          <w:sz w:val="24"/>
          <w:szCs w:val="24"/>
          <w:lang w:val="en-US"/>
        </w:rPr>
      </w:pPr>
      <w:r w:rsidRPr="00941E30">
        <w:rPr>
          <w:rFonts w:ascii="Times New Roman" w:hAnsi="Times New Roman"/>
          <w:sz w:val="24"/>
          <w:szCs w:val="24"/>
        </w:rPr>
        <w:t xml:space="preserve">The Committee raised concern around the lack of decentralised services in </w:t>
      </w:r>
      <w:r w:rsidR="006D4D47">
        <w:rPr>
          <w:rFonts w:ascii="Times New Roman" w:hAnsi="Times New Roman"/>
          <w:sz w:val="24"/>
          <w:szCs w:val="24"/>
        </w:rPr>
        <w:t>certain</w:t>
      </w:r>
      <w:r w:rsidRPr="00941E30">
        <w:rPr>
          <w:rFonts w:ascii="Times New Roman" w:hAnsi="Times New Roman"/>
          <w:sz w:val="24"/>
          <w:szCs w:val="24"/>
        </w:rPr>
        <w:t xml:space="preserve"> provinces. </w:t>
      </w:r>
    </w:p>
    <w:p w14:paraId="1EA54AE2" w14:textId="77777777" w:rsidR="008E5AAD" w:rsidRPr="0093633A" w:rsidRDefault="008E5AAD">
      <w:pPr>
        <w:pStyle w:val="ListParagraph"/>
        <w:numPr>
          <w:ilvl w:val="0"/>
          <w:numId w:val="55"/>
        </w:numPr>
        <w:spacing w:line="360" w:lineRule="auto"/>
        <w:jc w:val="both"/>
        <w:rPr>
          <w:rFonts w:ascii="Times New Roman" w:hAnsi="Times New Roman"/>
          <w:b/>
          <w:color w:val="auto"/>
          <w:sz w:val="24"/>
          <w:szCs w:val="24"/>
          <w:lang w:val="en-US"/>
        </w:rPr>
      </w:pPr>
      <w:r w:rsidRPr="0093633A">
        <w:rPr>
          <w:rFonts w:ascii="Times New Roman" w:hAnsi="Times New Roman"/>
          <w:color w:val="auto"/>
          <w:sz w:val="24"/>
          <w:szCs w:val="24"/>
          <w:lang w:val="en-US"/>
        </w:rPr>
        <w:t xml:space="preserve">The Committee </w:t>
      </w:r>
      <w:r w:rsidR="006D4D47">
        <w:rPr>
          <w:rFonts w:ascii="Times New Roman" w:hAnsi="Times New Roman"/>
          <w:color w:val="auto"/>
          <w:sz w:val="24"/>
          <w:szCs w:val="24"/>
          <w:lang w:val="en-US"/>
        </w:rPr>
        <w:t>reflected on whether the mines play</w:t>
      </w:r>
      <w:r w:rsidRPr="0093633A">
        <w:rPr>
          <w:rFonts w:ascii="Times New Roman" w:hAnsi="Times New Roman"/>
          <w:color w:val="auto"/>
          <w:sz w:val="24"/>
          <w:szCs w:val="24"/>
          <w:lang w:val="en-US"/>
        </w:rPr>
        <w:t xml:space="preserve"> </w:t>
      </w:r>
      <w:r w:rsidR="006D4D47">
        <w:rPr>
          <w:rFonts w:ascii="Times New Roman" w:hAnsi="Times New Roman"/>
          <w:color w:val="auto"/>
          <w:sz w:val="24"/>
          <w:szCs w:val="24"/>
          <w:lang w:val="en-US"/>
        </w:rPr>
        <w:t xml:space="preserve">any </w:t>
      </w:r>
      <w:r w:rsidRPr="0093633A">
        <w:rPr>
          <w:rFonts w:ascii="Times New Roman" w:hAnsi="Times New Roman"/>
          <w:color w:val="auto"/>
          <w:sz w:val="24"/>
          <w:szCs w:val="24"/>
          <w:lang w:val="en-US"/>
        </w:rPr>
        <w:t>role in</w:t>
      </w:r>
      <w:r w:rsidR="00114A3C">
        <w:rPr>
          <w:rFonts w:ascii="Times New Roman" w:hAnsi="Times New Roman"/>
          <w:color w:val="auto"/>
          <w:sz w:val="24"/>
          <w:szCs w:val="24"/>
          <w:lang w:val="en-US"/>
        </w:rPr>
        <w:t xml:space="preserve"> the</w:t>
      </w:r>
      <w:r w:rsidRPr="0093633A">
        <w:rPr>
          <w:rFonts w:ascii="Times New Roman" w:hAnsi="Times New Roman"/>
          <w:color w:val="auto"/>
          <w:sz w:val="24"/>
          <w:szCs w:val="24"/>
          <w:lang w:val="en-US"/>
        </w:rPr>
        <w:t xml:space="preserve"> tracking and tracing </w:t>
      </w:r>
      <w:r w:rsidR="00114A3C">
        <w:rPr>
          <w:rFonts w:ascii="Times New Roman" w:hAnsi="Times New Roman"/>
          <w:color w:val="auto"/>
          <w:sz w:val="24"/>
          <w:szCs w:val="24"/>
          <w:lang w:val="en-US"/>
        </w:rPr>
        <w:t xml:space="preserve">of </w:t>
      </w:r>
      <w:r w:rsidRPr="0093633A">
        <w:rPr>
          <w:rFonts w:ascii="Times New Roman" w:hAnsi="Times New Roman"/>
          <w:color w:val="auto"/>
          <w:sz w:val="24"/>
          <w:szCs w:val="24"/>
          <w:lang w:val="en-US"/>
        </w:rPr>
        <w:t>ex-mine workers</w:t>
      </w:r>
      <w:r w:rsidR="006D4D47">
        <w:rPr>
          <w:rFonts w:ascii="Times New Roman" w:hAnsi="Times New Roman"/>
          <w:color w:val="auto"/>
          <w:sz w:val="24"/>
          <w:szCs w:val="24"/>
          <w:lang w:val="en-US"/>
        </w:rPr>
        <w:t xml:space="preserve"> from which they were employed</w:t>
      </w:r>
      <w:r w:rsidRPr="0093633A">
        <w:rPr>
          <w:rFonts w:ascii="Times New Roman" w:hAnsi="Times New Roman"/>
          <w:color w:val="auto"/>
          <w:sz w:val="24"/>
          <w:szCs w:val="24"/>
          <w:lang w:val="en-US"/>
        </w:rPr>
        <w:t>.</w:t>
      </w:r>
    </w:p>
    <w:p w14:paraId="46367DEB" w14:textId="77777777" w:rsidR="00F418C6" w:rsidRPr="0093633A" w:rsidRDefault="008E5AAD">
      <w:pPr>
        <w:pStyle w:val="ListParagraph"/>
        <w:numPr>
          <w:ilvl w:val="0"/>
          <w:numId w:val="55"/>
        </w:numPr>
        <w:spacing w:line="360" w:lineRule="auto"/>
        <w:jc w:val="both"/>
        <w:rPr>
          <w:rFonts w:ascii="Times New Roman" w:hAnsi="Times New Roman"/>
          <w:b/>
          <w:color w:val="auto"/>
          <w:sz w:val="24"/>
          <w:szCs w:val="24"/>
          <w:lang w:val="en-US"/>
        </w:rPr>
      </w:pPr>
      <w:r w:rsidRPr="0093633A">
        <w:rPr>
          <w:rFonts w:ascii="Times New Roman" w:hAnsi="Times New Roman"/>
          <w:color w:val="auto"/>
          <w:sz w:val="24"/>
          <w:szCs w:val="24"/>
          <w:lang w:val="en-US"/>
        </w:rPr>
        <w:t xml:space="preserve">The Committee noted with concern that there was a gap in the </w:t>
      </w:r>
      <w:r w:rsidR="00114A3C">
        <w:rPr>
          <w:rFonts w:ascii="Times New Roman" w:hAnsi="Times New Roman"/>
          <w:color w:val="auto"/>
          <w:sz w:val="24"/>
          <w:szCs w:val="24"/>
          <w:lang w:val="en-US"/>
        </w:rPr>
        <w:t>l</w:t>
      </w:r>
      <w:r w:rsidR="00114A3C" w:rsidRPr="0093633A">
        <w:rPr>
          <w:rFonts w:ascii="Times New Roman" w:hAnsi="Times New Roman"/>
          <w:color w:val="auto"/>
          <w:sz w:val="24"/>
          <w:szCs w:val="24"/>
          <w:lang w:val="en-US"/>
        </w:rPr>
        <w:t xml:space="preserve">egislation </w:t>
      </w:r>
      <w:r w:rsidRPr="0093633A">
        <w:rPr>
          <w:rFonts w:ascii="Times New Roman" w:hAnsi="Times New Roman"/>
          <w:color w:val="auto"/>
          <w:sz w:val="24"/>
          <w:szCs w:val="24"/>
          <w:lang w:val="en-US"/>
        </w:rPr>
        <w:t xml:space="preserve">as it did not cover </w:t>
      </w:r>
      <w:r w:rsidR="00114A3C">
        <w:rPr>
          <w:rFonts w:ascii="Times New Roman" w:hAnsi="Times New Roman"/>
          <w:color w:val="auto"/>
          <w:sz w:val="24"/>
          <w:szCs w:val="24"/>
          <w:lang w:val="en-US"/>
        </w:rPr>
        <w:t xml:space="preserve">disease due to </w:t>
      </w:r>
      <w:r w:rsidRPr="0093633A">
        <w:rPr>
          <w:rFonts w:ascii="Times New Roman" w:hAnsi="Times New Roman"/>
          <w:color w:val="auto"/>
          <w:sz w:val="24"/>
          <w:szCs w:val="24"/>
          <w:lang w:val="en-US"/>
        </w:rPr>
        <w:t>environmental exposure</w:t>
      </w:r>
      <w:r w:rsidR="001B541F">
        <w:rPr>
          <w:rFonts w:ascii="Times New Roman" w:hAnsi="Times New Roman"/>
          <w:color w:val="auto"/>
          <w:sz w:val="24"/>
          <w:szCs w:val="24"/>
          <w:lang w:val="en-US"/>
        </w:rPr>
        <w:t xml:space="preserve">, </w:t>
      </w:r>
      <w:r w:rsidR="00114A3C">
        <w:rPr>
          <w:rFonts w:ascii="Times New Roman" w:hAnsi="Times New Roman"/>
          <w:color w:val="auto"/>
          <w:sz w:val="24"/>
          <w:szCs w:val="24"/>
          <w:lang w:val="en-US"/>
        </w:rPr>
        <w:t>such as exposure to asbestos</w:t>
      </w:r>
      <w:r w:rsidRPr="0093633A">
        <w:rPr>
          <w:rFonts w:ascii="Times New Roman" w:hAnsi="Times New Roman"/>
          <w:color w:val="auto"/>
          <w:sz w:val="24"/>
          <w:szCs w:val="24"/>
          <w:lang w:val="en-US"/>
        </w:rPr>
        <w:t>.</w:t>
      </w:r>
    </w:p>
    <w:p w14:paraId="33897497" w14:textId="77777777" w:rsidR="00D059FC" w:rsidRDefault="00D059FC" w:rsidP="00941E30">
      <w:pPr>
        <w:jc w:val="both"/>
        <w:rPr>
          <w:rFonts w:ascii="Times New Roman" w:hAnsi="Times New Roman"/>
          <w:b/>
          <w:color w:val="auto"/>
          <w:sz w:val="24"/>
          <w:szCs w:val="24"/>
          <w:lang w:val="en-US"/>
        </w:rPr>
      </w:pPr>
    </w:p>
    <w:p w14:paraId="3B4AA4FD" w14:textId="77777777" w:rsidR="00612B8A" w:rsidRPr="00085BAF" w:rsidRDefault="00575DF6" w:rsidP="00941E30">
      <w:pPr>
        <w:pStyle w:val="ListParagraph"/>
        <w:numPr>
          <w:ilvl w:val="0"/>
          <w:numId w:val="90"/>
        </w:numPr>
        <w:jc w:val="both"/>
        <w:rPr>
          <w:rFonts w:ascii="Times New Roman" w:hAnsi="Times New Roman"/>
          <w:b/>
          <w:color w:val="auto"/>
          <w:sz w:val="24"/>
          <w:szCs w:val="24"/>
          <w:lang w:val="en-US"/>
        </w:rPr>
      </w:pPr>
      <w:r w:rsidRPr="00085BAF">
        <w:rPr>
          <w:rFonts w:ascii="Times New Roman" w:hAnsi="Times New Roman"/>
          <w:b/>
          <w:color w:val="auto"/>
          <w:sz w:val="24"/>
          <w:szCs w:val="24"/>
          <w:lang w:val="en-US"/>
        </w:rPr>
        <w:t xml:space="preserve">RECOMMENDATIONS </w:t>
      </w:r>
    </w:p>
    <w:p w14:paraId="39A85979" w14:textId="77777777" w:rsidR="00590C29" w:rsidRPr="00CA2D93" w:rsidRDefault="00590C29" w:rsidP="00941E30">
      <w:pPr>
        <w:jc w:val="both"/>
        <w:rPr>
          <w:rFonts w:ascii="Times New Roman" w:hAnsi="Times New Roman"/>
          <w:color w:val="auto"/>
          <w:sz w:val="24"/>
          <w:szCs w:val="24"/>
          <w:lang w:val="en-US"/>
        </w:rPr>
      </w:pPr>
    </w:p>
    <w:p w14:paraId="0A7D4F73" w14:textId="77777777" w:rsidR="00612B8A" w:rsidRPr="0093633A" w:rsidRDefault="00C37150" w:rsidP="00941E30">
      <w:pPr>
        <w:jc w:val="both"/>
        <w:rPr>
          <w:rFonts w:ascii="Times New Roman" w:hAnsi="Times New Roman"/>
          <w:color w:val="auto"/>
          <w:sz w:val="24"/>
          <w:szCs w:val="24"/>
          <w:lang w:val="en-US"/>
        </w:rPr>
      </w:pPr>
      <w:r w:rsidRPr="00CA2D93">
        <w:rPr>
          <w:rFonts w:ascii="Times New Roman" w:hAnsi="Times New Roman"/>
          <w:color w:val="auto"/>
          <w:sz w:val="24"/>
          <w:szCs w:val="24"/>
          <w:lang w:val="en-US"/>
        </w:rPr>
        <w:t xml:space="preserve">The </w:t>
      </w:r>
      <w:r w:rsidR="00B21E76" w:rsidRPr="00CA2D93">
        <w:rPr>
          <w:rFonts w:ascii="Times New Roman" w:hAnsi="Times New Roman"/>
          <w:color w:val="auto"/>
          <w:sz w:val="24"/>
          <w:szCs w:val="24"/>
          <w:lang w:val="en-US"/>
        </w:rPr>
        <w:t>Committee recommends as follows:</w:t>
      </w:r>
    </w:p>
    <w:p w14:paraId="045DB61D" w14:textId="77777777" w:rsidR="00CA19A7" w:rsidRPr="0093633A" w:rsidRDefault="00CA19A7" w:rsidP="00941E30">
      <w:pPr>
        <w:jc w:val="both"/>
        <w:rPr>
          <w:rFonts w:ascii="Times New Roman" w:hAnsi="Times New Roman"/>
          <w:color w:val="auto"/>
          <w:sz w:val="24"/>
          <w:szCs w:val="24"/>
          <w:lang w:val="en-US"/>
        </w:rPr>
      </w:pPr>
    </w:p>
    <w:p w14:paraId="1A202704" w14:textId="77777777" w:rsidR="00CA19A7" w:rsidRDefault="00CA19A7"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Department</w:t>
      </w:r>
    </w:p>
    <w:p w14:paraId="5E858BEF" w14:textId="77777777" w:rsidR="006034E4" w:rsidRPr="000A53F6" w:rsidRDefault="006034E4" w:rsidP="00941E30">
      <w:pPr>
        <w:pStyle w:val="ListParagraph"/>
        <w:ind w:left="360"/>
        <w:jc w:val="both"/>
        <w:rPr>
          <w:rFonts w:ascii="Times New Roman" w:hAnsi="Times New Roman"/>
          <w:b/>
          <w:color w:val="auto"/>
          <w:sz w:val="24"/>
          <w:szCs w:val="24"/>
          <w:lang w:val="en-US"/>
        </w:rPr>
      </w:pPr>
    </w:p>
    <w:p w14:paraId="4456349A" w14:textId="77777777" w:rsidR="00F9561A"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val="en-US"/>
        </w:rPr>
        <w:t xml:space="preserve">The Department should </w:t>
      </w:r>
      <w:r w:rsidR="00BC530C">
        <w:rPr>
          <w:rFonts w:ascii="Times New Roman" w:hAnsi="Times New Roman"/>
          <w:color w:val="auto"/>
          <w:sz w:val="24"/>
          <w:szCs w:val="24"/>
          <w:lang w:val="en-US"/>
        </w:rPr>
        <w:t>assist</w:t>
      </w:r>
      <w:r w:rsidRPr="00941E30">
        <w:rPr>
          <w:rFonts w:ascii="Times New Roman" w:hAnsi="Times New Roman"/>
          <w:color w:val="auto"/>
          <w:sz w:val="24"/>
          <w:szCs w:val="24"/>
          <w:lang w:val="en-US"/>
        </w:rPr>
        <w:t xml:space="preserve"> provincial departments</w:t>
      </w:r>
      <w:r w:rsidR="00652A53">
        <w:rPr>
          <w:rFonts w:ascii="Times New Roman" w:hAnsi="Times New Roman"/>
          <w:color w:val="auto"/>
          <w:sz w:val="24"/>
          <w:szCs w:val="24"/>
          <w:lang w:val="en-US"/>
        </w:rPr>
        <w:t xml:space="preserve"> </w:t>
      </w:r>
      <w:r w:rsidR="00BC530C">
        <w:rPr>
          <w:rFonts w:ascii="Times New Roman" w:hAnsi="Times New Roman"/>
          <w:color w:val="auto"/>
          <w:sz w:val="24"/>
          <w:szCs w:val="24"/>
          <w:lang w:val="en-US"/>
        </w:rPr>
        <w:t xml:space="preserve">to </w:t>
      </w:r>
      <w:r w:rsidR="00652A53">
        <w:rPr>
          <w:rFonts w:ascii="Times New Roman" w:hAnsi="Times New Roman"/>
          <w:color w:val="auto"/>
          <w:sz w:val="24"/>
          <w:szCs w:val="24"/>
          <w:lang w:val="en-US"/>
        </w:rPr>
        <w:t>align</w:t>
      </w:r>
      <w:r w:rsidR="00BC530C">
        <w:rPr>
          <w:rFonts w:ascii="Times New Roman" w:hAnsi="Times New Roman"/>
          <w:color w:val="auto"/>
          <w:sz w:val="24"/>
          <w:szCs w:val="24"/>
          <w:lang w:val="en-US"/>
        </w:rPr>
        <w:t xml:space="preserve"> their APPs</w:t>
      </w:r>
      <w:r w:rsidRPr="00941E30">
        <w:rPr>
          <w:rFonts w:ascii="Times New Roman" w:hAnsi="Times New Roman"/>
          <w:color w:val="auto"/>
          <w:sz w:val="24"/>
          <w:szCs w:val="24"/>
          <w:lang w:val="en-US"/>
        </w:rPr>
        <w:t xml:space="preserve"> </w:t>
      </w:r>
      <w:r w:rsidR="00B12FA5">
        <w:rPr>
          <w:rFonts w:ascii="Times New Roman" w:hAnsi="Times New Roman"/>
          <w:color w:val="auto"/>
          <w:sz w:val="24"/>
          <w:szCs w:val="24"/>
          <w:lang w:val="en-US"/>
        </w:rPr>
        <w:t xml:space="preserve">to </w:t>
      </w:r>
      <w:r w:rsidR="00BC530C">
        <w:rPr>
          <w:rFonts w:ascii="Times New Roman" w:hAnsi="Times New Roman"/>
          <w:color w:val="auto"/>
          <w:sz w:val="24"/>
          <w:szCs w:val="24"/>
          <w:lang w:val="en-US"/>
        </w:rPr>
        <w:t>budget</w:t>
      </w:r>
      <w:r w:rsidR="00B12FA5">
        <w:rPr>
          <w:rFonts w:ascii="Times New Roman" w:hAnsi="Times New Roman"/>
          <w:color w:val="auto"/>
          <w:sz w:val="24"/>
          <w:szCs w:val="24"/>
          <w:lang w:val="en-US"/>
        </w:rPr>
        <w:t>s</w:t>
      </w:r>
      <w:r w:rsidR="006C472F">
        <w:rPr>
          <w:rFonts w:ascii="Times New Roman" w:hAnsi="Times New Roman"/>
          <w:color w:val="auto"/>
          <w:sz w:val="24"/>
          <w:szCs w:val="24"/>
          <w:lang w:val="en-US"/>
        </w:rPr>
        <w:t>,</w:t>
      </w:r>
      <w:r w:rsidR="00BC530C">
        <w:rPr>
          <w:rFonts w:ascii="Times New Roman" w:hAnsi="Times New Roman"/>
          <w:color w:val="auto"/>
          <w:sz w:val="24"/>
          <w:szCs w:val="24"/>
          <w:lang w:val="en-US"/>
        </w:rPr>
        <w:t xml:space="preserve"> taking into consideration the huge amounts of accruals</w:t>
      </w:r>
      <w:r w:rsidR="007B6A20">
        <w:rPr>
          <w:rFonts w:ascii="Times New Roman" w:hAnsi="Times New Roman"/>
          <w:color w:val="auto"/>
          <w:sz w:val="24"/>
          <w:szCs w:val="24"/>
          <w:lang w:val="en-US"/>
        </w:rPr>
        <w:t xml:space="preserve"> incurred by provincial departments</w:t>
      </w:r>
      <w:r w:rsidRPr="00941E30">
        <w:rPr>
          <w:rFonts w:ascii="Times New Roman" w:hAnsi="Times New Roman"/>
          <w:color w:val="auto"/>
          <w:sz w:val="24"/>
          <w:szCs w:val="24"/>
          <w:lang w:val="en-US"/>
        </w:rPr>
        <w:t>.</w:t>
      </w:r>
      <w:r w:rsidR="00BC530C">
        <w:rPr>
          <w:rFonts w:ascii="Times New Roman" w:hAnsi="Times New Roman"/>
          <w:color w:val="auto"/>
          <w:sz w:val="24"/>
          <w:szCs w:val="24"/>
          <w:lang w:val="en-US"/>
        </w:rPr>
        <w:t xml:space="preserve"> </w:t>
      </w:r>
    </w:p>
    <w:p w14:paraId="3A2CDD8C" w14:textId="77777777" w:rsidR="00AD7E83" w:rsidRDefault="006C472F" w:rsidP="002C4D0C">
      <w:pPr>
        <w:pStyle w:val="ListParagraph"/>
        <w:numPr>
          <w:ilvl w:val="0"/>
          <w:numId w:val="11"/>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Ensure that the r</w:t>
      </w:r>
      <w:r w:rsidR="00AD7E83">
        <w:rPr>
          <w:rFonts w:ascii="Times New Roman" w:hAnsi="Times New Roman"/>
          <w:color w:val="auto"/>
          <w:sz w:val="24"/>
          <w:szCs w:val="24"/>
          <w:lang w:val="en-US"/>
        </w:rPr>
        <w:t xml:space="preserve">emoval of the 37 </w:t>
      </w:r>
      <w:r w:rsidR="009E7CFA">
        <w:rPr>
          <w:rFonts w:ascii="Times New Roman" w:hAnsi="Times New Roman"/>
          <w:color w:val="auto"/>
          <w:sz w:val="24"/>
          <w:szCs w:val="24"/>
          <w:lang w:val="en-US"/>
        </w:rPr>
        <w:t xml:space="preserve">performance </w:t>
      </w:r>
      <w:r w:rsidR="00AD7E83">
        <w:rPr>
          <w:rFonts w:ascii="Times New Roman" w:hAnsi="Times New Roman"/>
          <w:color w:val="auto"/>
          <w:sz w:val="24"/>
          <w:szCs w:val="24"/>
          <w:lang w:val="en-US"/>
        </w:rPr>
        <w:t>indicators</w:t>
      </w:r>
      <w:r w:rsidR="009E7CFA">
        <w:rPr>
          <w:rFonts w:ascii="Times New Roman" w:hAnsi="Times New Roman"/>
          <w:color w:val="auto"/>
          <w:sz w:val="24"/>
          <w:szCs w:val="24"/>
          <w:lang w:val="en-US"/>
        </w:rPr>
        <w:t xml:space="preserve"> from Programme 2, 3 and 5</w:t>
      </w:r>
      <w:r>
        <w:rPr>
          <w:rFonts w:ascii="Times New Roman" w:hAnsi="Times New Roman"/>
          <w:color w:val="auto"/>
          <w:sz w:val="24"/>
          <w:szCs w:val="24"/>
          <w:lang w:val="en-US"/>
        </w:rPr>
        <w:t xml:space="preserve"> does not impact on the implementation of key programmes</w:t>
      </w:r>
      <w:r w:rsidR="009E7CFA">
        <w:rPr>
          <w:rFonts w:ascii="Times New Roman" w:hAnsi="Times New Roman"/>
          <w:color w:val="auto"/>
          <w:sz w:val="24"/>
          <w:szCs w:val="24"/>
          <w:lang w:val="en-US"/>
        </w:rPr>
        <w:t xml:space="preserve"> such as the N</w:t>
      </w:r>
      <w:r w:rsidR="00FD7C96">
        <w:rPr>
          <w:rFonts w:ascii="Times New Roman" w:hAnsi="Times New Roman"/>
          <w:color w:val="auto"/>
          <w:sz w:val="24"/>
          <w:szCs w:val="24"/>
          <w:lang w:val="en-US"/>
        </w:rPr>
        <w:t xml:space="preserve">ational </w:t>
      </w:r>
      <w:r w:rsidR="009E7CFA">
        <w:rPr>
          <w:rFonts w:ascii="Times New Roman" w:hAnsi="Times New Roman"/>
          <w:color w:val="auto"/>
          <w:sz w:val="24"/>
          <w:szCs w:val="24"/>
          <w:lang w:val="en-US"/>
        </w:rPr>
        <w:t>H</w:t>
      </w:r>
      <w:r w:rsidR="00FD7C96">
        <w:rPr>
          <w:rFonts w:ascii="Times New Roman" w:hAnsi="Times New Roman"/>
          <w:color w:val="auto"/>
          <w:sz w:val="24"/>
          <w:szCs w:val="24"/>
          <w:lang w:val="en-US"/>
        </w:rPr>
        <w:t xml:space="preserve">ealth </w:t>
      </w:r>
      <w:r w:rsidR="009E7CFA">
        <w:rPr>
          <w:rFonts w:ascii="Times New Roman" w:hAnsi="Times New Roman"/>
          <w:color w:val="auto"/>
          <w:sz w:val="24"/>
          <w:szCs w:val="24"/>
          <w:lang w:val="en-US"/>
        </w:rPr>
        <w:t>I</w:t>
      </w:r>
      <w:r w:rsidR="00FD7C96">
        <w:rPr>
          <w:rFonts w:ascii="Times New Roman" w:hAnsi="Times New Roman"/>
          <w:color w:val="auto"/>
          <w:sz w:val="24"/>
          <w:szCs w:val="24"/>
          <w:lang w:val="en-US"/>
        </w:rPr>
        <w:t>nsurance</w:t>
      </w:r>
      <w:r w:rsidR="009E7CFA">
        <w:rPr>
          <w:rFonts w:ascii="Times New Roman" w:hAnsi="Times New Roman"/>
          <w:color w:val="auto"/>
          <w:sz w:val="24"/>
          <w:szCs w:val="24"/>
          <w:lang w:val="en-US"/>
        </w:rPr>
        <w:t xml:space="preserve"> and </w:t>
      </w:r>
      <w:r w:rsidR="00D9050C">
        <w:rPr>
          <w:rFonts w:ascii="Times New Roman" w:hAnsi="Times New Roman"/>
          <w:color w:val="auto"/>
          <w:sz w:val="24"/>
          <w:szCs w:val="24"/>
          <w:lang w:val="en-US"/>
        </w:rPr>
        <w:t xml:space="preserve">the prevention and </w:t>
      </w:r>
      <w:r w:rsidR="009E7CFA">
        <w:rPr>
          <w:rFonts w:ascii="Times New Roman" w:hAnsi="Times New Roman"/>
          <w:color w:val="auto"/>
          <w:sz w:val="24"/>
          <w:szCs w:val="24"/>
          <w:lang w:val="en-US"/>
        </w:rPr>
        <w:t xml:space="preserve">control of </w:t>
      </w:r>
      <w:r w:rsidR="00FD7C96">
        <w:rPr>
          <w:rFonts w:ascii="Times New Roman" w:hAnsi="Times New Roman"/>
          <w:color w:val="auto"/>
          <w:sz w:val="24"/>
          <w:szCs w:val="24"/>
          <w:lang w:val="en-US"/>
        </w:rPr>
        <w:t>Non-Communicable Diseases</w:t>
      </w:r>
      <w:r w:rsidR="008E16D5">
        <w:rPr>
          <w:rFonts w:ascii="Times New Roman" w:hAnsi="Times New Roman"/>
          <w:color w:val="auto"/>
          <w:sz w:val="24"/>
          <w:szCs w:val="24"/>
          <w:lang w:val="en-US"/>
        </w:rPr>
        <w:t xml:space="preserve">. </w:t>
      </w:r>
    </w:p>
    <w:p w14:paraId="663C2963" w14:textId="77777777" w:rsidR="002C4D0C" w:rsidRPr="009975F0" w:rsidRDefault="002C4D0C" w:rsidP="002C4D0C">
      <w:pPr>
        <w:pStyle w:val="ListParagraph"/>
        <w:numPr>
          <w:ilvl w:val="0"/>
          <w:numId w:val="11"/>
        </w:numPr>
        <w:spacing w:line="360" w:lineRule="auto"/>
        <w:jc w:val="both"/>
        <w:rPr>
          <w:rFonts w:ascii="Times New Roman" w:hAnsi="Times New Roman"/>
          <w:color w:val="auto"/>
          <w:sz w:val="24"/>
          <w:szCs w:val="24"/>
          <w:lang w:val="en-US"/>
        </w:rPr>
      </w:pPr>
      <w:r w:rsidRPr="00BB42E5">
        <w:rPr>
          <w:rFonts w:ascii="Times New Roman" w:hAnsi="Times New Roman"/>
          <w:color w:val="auto"/>
          <w:sz w:val="24"/>
          <w:szCs w:val="24"/>
          <w:lang w:val="en-US"/>
        </w:rPr>
        <w:t xml:space="preserve">Review provincial budget allocations to primary health care services in ensuring that this line function is adequately funded. </w:t>
      </w:r>
    </w:p>
    <w:p w14:paraId="2D0C9987"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eastAsia="en-ZA"/>
        </w:rPr>
        <w:t>Continue to support provincial departments in implementing the primary health care re-engineering programme.</w:t>
      </w:r>
    </w:p>
    <w:p w14:paraId="576A8C5C" w14:textId="77777777" w:rsidR="002C4D0C" w:rsidRPr="00BB42E5" w:rsidRDefault="002C4D0C" w:rsidP="002C4D0C">
      <w:pPr>
        <w:pStyle w:val="ListParagraph"/>
        <w:numPr>
          <w:ilvl w:val="0"/>
          <w:numId w:val="11"/>
        </w:numPr>
        <w:spacing w:line="360" w:lineRule="auto"/>
        <w:jc w:val="both"/>
        <w:rPr>
          <w:rFonts w:ascii="Times New Roman" w:hAnsi="Times New Roman"/>
          <w:color w:val="auto"/>
          <w:sz w:val="24"/>
          <w:szCs w:val="24"/>
          <w:lang w:val="en-US"/>
        </w:rPr>
      </w:pPr>
      <w:r w:rsidRPr="00BB42E5">
        <w:rPr>
          <w:rFonts w:ascii="Times New Roman" w:hAnsi="Times New Roman"/>
          <w:color w:val="auto"/>
          <w:sz w:val="24"/>
          <w:szCs w:val="24"/>
        </w:rPr>
        <w:t xml:space="preserve">Assist provinces with the implementation of the Mental Health Policy Framework and Strategic Plan (2013-2020) to ensure effective provision of mental health care services. </w:t>
      </w:r>
    </w:p>
    <w:p w14:paraId="2D9787BB" w14:textId="77777777" w:rsidR="002C4D0C" w:rsidRPr="00BB42E5" w:rsidRDefault="002C4D0C" w:rsidP="002C4D0C">
      <w:pPr>
        <w:pStyle w:val="ListParagraph"/>
        <w:numPr>
          <w:ilvl w:val="0"/>
          <w:numId w:val="11"/>
        </w:numPr>
        <w:spacing w:line="360" w:lineRule="auto"/>
        <w:jc w:val="both"/>
        <w:rPr>
          <w:rFonts w:ascii="Times New Roman" w:hAnsi="Times New Roman"/>
          <w:color w:val="auto"/>
          <w:sz w:val="24"/>
          <w:szCs w:val="24"/>
          <w:lang w:val="en-US"/>
        </w:rPr>
      </w:pPr>
      <w:r w:rsidRPr="00BB42E5">
        <w:rPr>
          <w:rFonts w:ascii="Times New Roman" w:hAnsi="Times New Roman"/>
          <w:color w:val="auto"/>
          <w:sz w:val="24"/>
          <w:szCs w:val="24"/>
        </w:rPr>
        <w:t>Develop a mental health monitoring policy to monitor and evaluate implementation</w:t>
      </w:r>
      <w:r>
        <w:rPr>
          <w:rFonts w:ascii="Times New Roman" w:hAnsi="Times New Roman"/>
          <w:color w:val="auto"/>
          <w:sz w:val="24"/>
          <w:szCs w:val="24"/>
        </w:rPr>
        <w:t xml:space="preserve"> of the Mental Health Policy</w:t>
      </w:r>
      <w:r w:rsidRPr="00BB42E5">
        <w:rPr>
          <w:rFonts w:ascii="Times New Roman" w:hAnsi="Times New Roman"/>
          <w:color w:val="auto"/>
          <w:sz w:val="24"/>
          <w:szCs w:val="24"/>
        </w:rPr>
        <w:t>.</w:t>
      </w:r>
    </w:p>
    <w:p w14:paraId="293ED066" w14:textId="77777777" w:rsidR="00EA1BEF" w:rsidRPr="00941E30" w:rsidRDefault="00EA1BEF" w:rsidP="00941E30">
      <w:pPr>
        <w:pStyle w:val="ListParagraph"/>
        <w:numPr>
          <w:ilvl w:val="0"/>
          <w:numId w:val="11"/>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Engage provincial </w:t>
      </w:r>
      <w:r w:rsidR="00F9561A" w:rsidRPr="00941E30">
        <w:rPr>
          <w:rFonts w:ascii="Times New Roman" w:hAnsi="Times New Roman"/>
          <w:color w:val="auto"/>
          <w:spacing w:val="0"/>
          <w:sz w:val="24"/>
          <w:szCs w:val="24"/>
          <w:lang w:val="en-ZA" w:eastAsia="en-ZA"/>
        </w:rPr>
        <w:t>Treasur</w:t>
      </w:r>
      <w:r>
        <w:rPr>
          <w:rFonts w:ascii="Times New Roman" w:hAnsi="Times New Roman"/>
          <w:color w:val="auto"/>
          <w:spacing w:val="0"/>
          <w:sz w:val="24"/>
          <w:szCs w:val="24"/>
          <w:lang w:val="en-ZA" w:eastAsia="en-ZA"/>
        </w:rPr>
        <w:t xml:space="preserve">ies to </w:t>
      </w:r>
      <w:r w:rsidR="00F9561A" w:rsidRPr="00941E30">
        <w:rPr>
          <w:rFonts w:ascii="Times New Roman" w:hAnsi="Times New Roman"/>
          <w:color w:val="auto"/>
          <w:spacing w:val="0"/>
          <w:sz w:val="24"/>
          <w:szCs w:val="24"/>
          <w:lang w:val="en-ZA" w:eastAsia="en-ZA"/>
        </w:rPr>
        <w:t xml:space="preserve">assist provincial departments </w:t>
      </w:r>
      <w:r>
        <w:rPr>
          <w:rFonts w:ascii="Times New Roman" w:hAnsi="Times New Roman"/>
          <w:color w:val="auto"/>
          <w:spacing w:val="0"/>
          <w:sz w:val="24"/>
          <w:szCs w:val="24"/>
          <w:lang w:val="en-ZA" w:eastAsia="en-ZA"/>
        </w:rPr>
        <w:t>in</w:t>
      </w:r>
      <w:r w:rsidR="00AD7E83">
        <w:rPr>
          <w:rFonts w:ascii="Times New Roman" w:hAnsi="Times New Roman"/>
          <w:color w:val="auto"/>
          <w:spacing w:val="0"/>
          <w:sz w:val="24"/>
          <w:szCs w:val="24"/>
          <w:lang w:val="en-ZA" w:eastAsia="en-ZA"/>
        </w:rPr>
        <w:t xml:space="preserve"> eliminating</w:t>
      </w:r>
      <w:r>
        <w:rPr>
          <w:rFonts w:ascii="Times New Roman" w:hAnsi="Times New Roman"/>
          <w:color w:val="auto"/>
          <w:spacing w:val="0"/>
          <w:sz w:val="24"/>
          <w:szCs w:val="24"/>
          <w:lang w:val="en-ZA" w:eastAsia="en-ZA"/>
        </w:rPr>
        <w:t xml:space="preserve"> their</w:t>
      </w:r>
      <w:r w:rsidR="00F9561A" w:rsidRPr="00941E30">
        <w:rPr>
          <w:rFonts w:ascii="Times New Roman" w:hAnsi="Times New Roman"/>
          <w:color w:val="auto"/>
          <w:spacing w:val="0"/>
          <w:sz w:val="24"/>
          <w:szCs w:val="24"/>
          <w:lang w:val="en-ZA" w:eastAsia="en-ZA"/>
        </w:rPr>
        <w:t xml:space="preserve"> </w:t>
      </w:r>
      <w:r w:rsidR="00AD7E83">
        <w:rPr>
          <w:rFonts w:ascii="Times New Roman" w:hAnsi="Times New Roman"/>
          <w:color w:val="auto"/>
          <w:spacing w:val="0"/>
          <w:sz w:val="24"/>
          <w:szCs w:val="24"/>
          <w:lang w:val="en-ZA" w:eastAsia="en-ZA"/>
        </w:rPr>
        <w:t xml:space="preserve">current </w:t>
      </w:r>
      <w:r w:rsidR="00F9561A" w:rsidRPr="00941E30">
        <w:rPr>
          <w:rFonts w:ascii="Times New Roman" w:hAnsi="Times New Roman"/>
          <w:color w:val="auto"/>
          <w:spacing w:val="0"/>
          <w:sz w:val="24"/>
          <w:szCs w:val="24"/>
          <w:lang w:val="en-ZA" w:eastAsia="en-ZA"/>
        </w:rPr>
        <w:t>accruals</w:t>
      </w:r>
      <w:r w:rsidR="00AD7E83">
        <w:rPr>
          <w:rFonts w:ascii="Times New Roman" w:hAnsi="Times New Roman"/>
          <w:color w:val="auto"/>
          <w:spacing w:val="0"/>
          <w:sz w:val="24"/>
          <w:szCs w:val="24"/>
          <w:lang w:val="en-ZA" w:eastAsia="en-ZA"/>
        </w:rPr>
        <w:t xml:space="preserve"> amounting to more than R16 billion</w:t>
      </w:r>
      <w:r w:rsidR="00F9561A" w:rsidRPr="00941E30">
        <w:rPr>
          <w:rFonts w:ascii="Times New Roman" w:hAnsi="Times New Roman"/>
          <w:color w:val="auto"/>
          <w:spacing w:val="0"/>
          <w:sz w:val="24"/>
          <w:szCs w:val="24"/>
          <w:lang w:val="en-ZA" w:eastAsia="en-ZA"/>
        </w:rPr>
        <w:t xml:space="preserve">. </w:t>
      </w:r>
    </w:p>
    <w:p w14:paraId="69CDAD1F"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pacing w:val="0"/>
          <w:sz w:val="24"/>
          <w:szCs w:val="24"/>
          <w:lang w:val="en-ZA" w:eastAsia="en-ZA"/>
        </w:rPr>
        <w:t>Assist provincial departments to develop mechanisms to monitor and maintain acceptable levels of accruals.</w:t>
      </w:r>
    </w:p>
    <w:p w14:paraId="127776D3" w14:textId="77777777" w:rsidR="002C4D0C" w:rsidRDefault="00F9561A" w:rsidP="00941E30">
      <w:pPr>
        <w:pStyle w:val="ListParagraph"/>
        <w:numPr>
          <w:ilvl w:val="0"/>
          <w:numId w:val="11"/>
        </w:numPr>
        <w:spacing w:line="360" w:lineRule="auto"/>
        <w:jc w:val="both"/>
        <w:rPr>
          <w:rFonts w:ascii="Times New Roman" w:hAnsi="Times New Roman"/>
          <w:color w:val="auto"/>
          <w:sz w:val="24"/>
          <w:szCs w:val="24"/>
          <w:lang w:eastAsia="en-ZA"/>
        </w:rPr>
      </w:pPr>
      <w:r w:rsidRPr="00941E30">
        <w:rPr>
          <w:rFonts w:ascii="Times New Roman" w:hAnsi="Times New Roman"/>
          <w:color w:val="auto"/>
          <w:sz w:val="24"/>
          <w:szCs w:val="24"/>
        </w:rPr>
        <w:t>Assist provincial departments to strengthen financial management planning in order to deal with the continuous audit findings related to accruals</w:t>
      </w:r>
      <w:r w:rsidR="009D3A67">
        <w:rPr>
          <w:rFonts w:ascii="Times New Roman" w:hAnsi="Times New Roman"/>
          <w:color w:val="auto"/>
          <w:sz w:val="24"/>
          <w:szCs w:val="24"/>
        </w:rPr>
        <w:t xml:space="preserve">, </w:t>
      </w:r>
      <w:r w:rsidR="008E16D5">
        <w:rPr>
          <w:rFonts w:ascii="Times New Roman" w:hAnsi="Times New Roman"/>
          <w:color w:val="auto"/>
          <w:sz w:val="24"/>
          <w:szCs w:val="24"/>
        </w:rPr>
        <w:t>irregular, wasteful and</w:t>
      </w:r>
      <w:r w:rsidR="00D87792">
        <w:rPr>
          <w:rFonts w:ascii="Times New Roman" w:hAnsi="Times New Roman"/>
          <w:color w:val="auto"/>
          <w:sz w:val="24"/>
          <w:szCs w:val="24"/>
        </w:rPr>
        <w:t xml:space="preserve"> fruitless </w:t>
      </w:r>
      <w:r w:rsidRPr="00941E30">
        <w:rPr>
          <w:rFonts w:ascii="Times New Roman" w:hAnsi="Times New Roman"/>
          <w:color w:val="auto"/>
          <w:sz w:val="24"/>
          <w:szCs w:val="24"/>
        </w:rPr>
        <w:t xml:space="preserve">expenditure. </w:t>
      </w:r>
    </w:p>
    <w:p w14:paraId="0C163A19"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4"/>
          <w:szCs w:val="24"/>
          <w:lang w:eastAsia="en-ZA"/>
        </w:rPr>
      </w:pPr>
      <w:r w:rsidRPr="00941E30">
        <w:rPr>
          <w:rFonts w:ascii="Times New Roman" w:hAnsi="Times New Roman"/>
          <w:color w:val="auto"/>
          <w:sz w:val="24"/>
          <w:szCs w:val="24"/>
          <w:lang w:eastAsia="en-ZA"/>
        </w:rPr>
        <w:t>Assist provincial departments to address SCM challenges to reduce wastage, improve procurement turnaround time and improve contract management.</w:t>
      </w:r>
    </w:p>
    <w:p w14:paraId="4BBF8276"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val="en-US"/>
        </w:rPr>
        <w:t xml:space="preserve">Develop a strategy to address challenges relating to the provision of EMS and submit such a plan to the Committee. </w:t>
      </w:r>
    </w:p>
    <w:p w14:paraId="0CFCB73F"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8"/>
          <w:szCs w:val="24"/>
          <w:lang w:eastAsia="en-ZA"/>
        </w:rPr>
      </w:pPr>
      <w:r w:rsidRPr="00941E30">
        <w:rPr>
          <w:rFonts w:ascii="Times New Roman" w:hAnsi="Times New Roman"/>
          <w:color w:val="auto"/>
          <w:sz w:val="24"/>
          <w:szCs w:val="24"/>
          <w:lang w:eastAsia="en-ZA"/>
        </w:rPr>
        <w:t>Engage the Department of Justice and Correctional Services to develop and implement a national strateg</w:t>
      </w:r>
      <w:r w:rsidR="002C4D0C">
        <w:rPr>
          <w:rFonts w:ascii="Times New Roman" w:hAnsi="Times New Roman"/>
          <w:color w:val="auto"/>
          <w:sz w:val="24"/>
          <w:szCs w:val="24"/>
          <w:lang w:eastAsia="en-ZA"/>
        </w:rPr>
        <w:t xml:space="preserve">y in dealing with the rise in Medico </w:t>
      </w:r>
      <w:r w:rsidR="002C4D0C" w:rsidRPr="009975F0">
        <w:rPr>
          <w:rFonts w:ascii="Times New Roman" w:hAnsi="Times New Roman"/>
          <w:color w:val="auto"/>
          <w:sz w:val="24"/>
          <w:szCs w:val="24"/>
          <w:lang w:eastAsia="en-ZA"/>
        </w:rPr>
        <w:t xml:space="preserve">Legal </w:t>
      </w:r>
      <w:r w:rsidRPr="00941E30">
        <w:rPr>
          <w:rFonts w:ascii="Times New Roman" w:hAnsi="Times New Roman"/>
          <w:color w:val="auto"/>
          <w:sz w:val="24"/>
          <w:szCs w:val="24"/>
          <w:lang w:eastAsia="en-ZA"/>
        </w:rPr>
        <w:t xml:space="preserve">claims as they </w:t>
      </w:r>
      <w:r w:rsidRPr="00941E30">
        <w:rPr>
          <w:rFonts w:ascii="Times New Roman" w:hAnsi="Times New Roman"/>
          <w:color w:val="auto"/>
          <w:sz w:val="24"/>
          <w:szCs w:val="22"/>
        </w:rPr>
        <w:t>pose serious risk to provincial departments</w:t>
      </w:r>
      <w:r w:rsidR="002C4D0C">
        <w:rPr>
          <w:rFonts w:ascii="Times New Roman" w:hAnsi="Times New Roman"/>
          <w:color w:val="auto"/>
          <w:sz w:val="24"/>
          <w:szCs w:val="22"/>
        </w:rPr>
        <w:t>’ budgets</w:t>
      </w:r>
      <w:r w:rsidRPr="00941E30">
        <w:rPr>
          <w:rFonts w:ascii="Times New Roman" w:hAnsi="Times New Roman"/>
          <w:color w:val="auto"/>
          <w:sz w:val="24"/>
          <w:szCs w:val="22"/>
        </w:rPr>
        <w:t xml:space="preserve">. </w:t>
      </w:r>
    </w:p>
    <w:p w14:paraId="560E9F36" w14:textId="77777777" w:rsidR="00F9561A" w:rsidRPr="009975F0"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eastAsia="en-ZA"/>
        </w:rPr>
        <w:t xml:space="preserve">Expedite the implementation of the National Community Health Care Workers Policy to provide clarity on the management of CHWs. </w:t>
      </w:r>
    </w:p>
    <w:p w14:paraId="09FEC4B8"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val="en-US"/>
        </w:rPr>
        <w:t>Provide the Committee with a progress report on the cancer campaign.</w:t>
      </w:r>
    </w:p>
    <w:p w14:paraId="0DCD821E" w14:textId="77777777" w:rsidR="00F9561A" w:rsidRPr="00941E30" w:rsidRDefault="00F9561A" w:rsidP="00941E30">
      <w:pPr>
        <w:pStyle w:val="ListParagraph"/>
        <w:numPr>
          <w:ilvl w:val="0"/>
          <w:numId w:val="11"/>
        </w:numPr>
        <w:autoSpaceDE w:val="0"/>
        <w:autoSpaceDN w:val="0"/>
        <w:adjustRightInd w:val="0"/>
        <w:spacing w:line="360" w:lineRule="auto"/>
        <w:jc w:val="both"/>
        <w:rPr>
          <w:rFonts w:ascii="Times New Roman" w:hAnsi="Times New Roman"/>
          <w:color w:val="auto"/>
          <w:sz w:val="28"/>
          <w:szCs w:val="24"/>
          <w:lang w:eastAsia="en-ZA"/>
        </w:rPr>
      </w:pPr>
      <w:r w:rsidRPr="00941E30">
        <w:rPr>
          <w:rFonts w:ascii="Times New Roman" w:hAnsi="Times New Roman"/>
          <w:color w:val="auto"/>
          <w:sz w:val="24"/>
          <w:szCs w:val="22"/>
          <w:lang w:val="en-ZA"/>
        </w:rPr>
        <w:t xml:space="preserve">Assist provinces in ensuring that planning and budgeting processes for infrastructure and equipment takes into account </w:t>
      </w:r>
      <w:r w:rsidR="002C4D0C">
        <w:rPr>
          <w:rFonts w:ascii="Times New Roman" w:hAnsi="Times New Roman"/>
          <w:color w:val="auto"/>
          <w:sz w:val="24"/>
          <w:szCs w:val="22"/>
          <w:lang w:val="en-ZA"/>
        </w:rPr>
        <w:t xml:space="preserve">their </w:t>
      </w:r>
      <w:r w:rsidRPr="00941E30">
        <w:rPr>
          <w:rFonts w:ascii="Times New Roman" w:hAnsi="Times New Roman"/>
          <w:color w:val="auto"/>
          <w:sz w:val="24"/>
          <w:szCs w:val="22"/>
          <w:lang w:val="en-ZA"/>
        </w:rPr>
        <w:t xml:space="preserve">maintenance. </w:t>
      </w:r>
    </w:p>
    <w:p w14:paraId="20056003" w14:textId="77777777" w:rsidR="00F9561A" w:rsidRPr="00941E30" w:rsidRDefault="00F9561A" w:rsidP="00941E30">
      <w:pPr>
        <w:pStyle w:val="ListParagraph"/>
        <w:numPr>
          <w:ilvl w:val="0"/>
          <w:numId w:val="11"/>
        </w:numPr>
        <w:autoSpaceDE w:val="0"/>
        <w:autoSpaceDN w:val="0"/>
        <w:adjustRightInd w:val="0"/>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val="en-US"/>
        </w:rPr>
        <w:t xml:space="preserve">Provide the Committee with a progress report on the new </w:t>
      </w:r>
      <w:r w:rsidR="00355A54">
        <w:rPr>
          <w:rFonts w:ascii="Times New Roman" w:hAnsi="Times New Roman"/>
          <w:color w:val="auto"/>
          <w:sz w:val="24"/>
          <w:szCs w:val="24"/>
          <w:lang w:val="en-US"/>
        </w:rPr>
        <w:t>Basic N</w:t>
      </w:r>
      <w:r w:rsidR="00355A54" w:rsidRPr="00941E30">
        <w:rPr>
          <w:rFonts w:ascii="Times New Roman" w:hAnsi="Times New Roman"/>
          <w:color w:val="auto"/>
          <w:sz w:val="24"/>
          <w:szCs w:val="24"/>
          <w:lang w:val="en-US"/>
        </w:rPr>
        <w:t xml:space="preserve">ursing </w:t>
      </w:r>
      <w:r w:rsidR="00355A54">
        <w:rPr>
          <w:rFonts w:ascii="Times New Roman" w:hAnsi="Times New Roman"/>
          <w:color w:val="auto"/>
          <w:sz w:val="24"/>
          <w:szCs w:val="24"/>
          <w:lang w:val="en-US"/>
        </w:rPr>
        <w:t>Qualification</w:t>
      </w:r>
      <w:r w:rsidRPr="00941E30">
        <w:rPr>
          <w:rFonts w:ascii="Times New Roman" w:hAnsi="Times New Roman"/>
          <w:color w:val="auto"/>
          <w:sz w:val="24"/>
          <w:szCs w:val="24"/>
          <w:lang w:val="en-US"/>
        </w:rPr>
        <w:t xml:space="preserve"> </w:t>
      </w:r>
      <w:r w:rsidR="00227211">
        <w:rPr>
          <w:rFonts w:ascii="Times New Roman" w:hAnsi="Times New Roman"/>
          <w:color w:val="auto"/>
          <w:sz w:val="24"/>
          <w:szCs w:val="24"/>
          <w:lang w:val="en-US"/>
        </w:rPr>
        <w:t>programme</w:t>
      </w:r>
      <w:r w:rsidRPr="00941E30">
        <w:rPr>
          <w:rFonts w:ascii="Times New Roman" w:hAnsi="Times New Roman"/>
          <w:color w:val="auto"/>
          <w:sz w:val="24"/>
          <w:szCs w:val="24"/>
          <w:lang w:val="en-US"/>
        </w:rPr>
        <w:t>.</w:t>
      </w:r>
    </w:p>
    <w:p w14:paraId="094125E4" w14:textId="77777777" w:rsidR="00F9561A" w:rsidRPr="00941E30" w:rsidRDefault="00F9561A" w:rsidP="00941E30">
      <w:pPr>
        <w:pStyle w:val="ListParagraph"/>
        <w:numPr>
          <w:ilvl w:val="0"/>
          <w:numId w:val="11"/>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lang w:val="en-US"/>
        </w:rPr>
        <w:t>Provide the Committee with a progress report on the provision of oncology services in KwaZulu-Natal.</w:t>
      </w:r>
    </w:p>
    <w:p w14:paraId="2357444B" w14:textId="77777777" w:rsidR="00F9561A" w:rsidRPr="008D5007" w:rsidRDefault="00F9561A" w:rsidP="00941E30">
      <w:pPr>
        <w:pStyle w:val="ListParagraph"/>
        <w:jc w:val="both"/>
        <w:rPr>
          <w:rFonts w:ascii="Times New Roman" w:hAnsi="Times New Roman"/>
          <w:color w:val="FF0000"/>
          <w:sz w:val="24"/>
          <w:szCs w:val="24"/>
          <w:lang w:val="en-US"/>
        </w:rPr>
      </w:pPr>
    </w:p>
    <w:p w14:paraId="65E3A804" w14:textId="77777777" w:rsidR="008E5AAD" w:rsidRPr="000A53F6" w:rsidRDefault="008E5AAD"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SAHPRA</w:t>
      </w:r>
    </w:p>
    <w:p w14:paraId="69B19930" w14:textId="77777777" w:rsidR="008E5AAD" w:rsidRPr="0093633A" w:rsidRDefault="008E5AAD" w:rsidP="00941E30">
      <w:pPr>
        <w:jc w:val="both"/>
        <w:rPr>
          <w:rFonts w:ascii="Times New Roman" w:hAnsi="Times New Roman"/>
          <w:b/>
          <w:color w:val="auto"/>
          <w:sz w:val="24"/>
          <w:szCs w:val="24"/>
          <w:lang w:val="en-US"/>
        </w:rPr>
      </w:pPr>
    </w:p>
    <w:p w14:paraId="5D4EAA51" w14:textId="77777777" w:rsidR="00F9561A" w:rsidRPr="00EA1BEF" w:rsidRDefault="00315138" w:rsidP="00941E30">
      <w:pPr>
        <w:numPr>
          <w:ilvl w:val="0"/>
          <w:numId w:val="56"/>
        </w:numPr>
        <w:spacing w:line="360" w:lineRule="auto"/>
        <w:jc w:val="both"/>
        <w:rPr>
          <w:rFonts w:ascii="Times New Roman" w:hAnsi="Times New Roman"/>
          <w:color w:val="auto"/>
          <w:sz w:val="24"/>
          <w:szCs w:val="24"/>
          <w:lang w:val="en-US"/>
        </w:rPr>
      </w:pPr>
      <w:r w:rsidRPr="00941E30">
        <w:rPr>
          <w:rFonts w:ascii="Times New Roman" w:hAnsi="Times New Roman"/>
          <w:color w:val="auto"/>
          <w:sz w:val="24"/>
          <w:szCs w:val="24"/>
        </w:rPr>
        <w:t>Accelerate</w:t>
      </w:r>
      <w:r w:rsidR="00F9561A" w:rsidRPr="00941E30">
        <w:rPr>
          <w:rFonts w:ascii="Times New Roman" w:hAnsi="Times New Roman"/>
          <w:color w:val="auto"/>
          <w:sz w:val="24"/>
          <w:szCs w:val="24"/>
        </w:rPr>
        <w:t xml:space="preserve"> the appointment of a </w:t>
      </w:r>
      <w:r w:rsidR="001C4BBA" w:rsidRPr="00941E30">
        <w:rPr>
          <w:rFonts w:ascii="Times New Roman" w:hAnsi="Times New Roman"/>
          <w:color w:val="auto"/>
          <w:sz w:val="24"/>
          <w:szCs w:val="24"/>
        </w:rPr>
        <w:t>chief financial officer</w:t>
      </w:r>
      <w:r w:rsidR="00F9561A" w:rsidRPr="00941E30">
        <w:rPr>
          <w:rFonts w:ascii="Times New Roman" w:hAnsi="Times New Roman"/>
          <w:color w:val="auto"/>
          <w:sz w:val="24"/>
          <w:szCs w:val="24"/>
        </w:rPr>
        <w:t>.</w:t>
      </w:r>
    </w:p>
    <w:p w14:paraId="2DE8C423" w14:textId="77777777" w:rsidR="00D41800" w:rsidRPr="009845AF" w:rsidRDefault="00D41800" w:rsidP="00941E30">
      <w:pPr>
        <w:numPr>
          <w:ilvl w:val="0"/>
          <w:numId w:val="56"/>
        </w:numPr>
        <w:spacing w:line="360" w:lineRule="auto"/>
        <w:jc w:val="both"/>
        <w:rPr>
          <w:rFonts w:ascii="Times New Roman" w:hAnsi="Times New Roman"/>
          <w:b/>
          <w:color w:val="auto"/>
          <w:sz w:val="24"/>
          <w:szCs w:val="24"/>
          <w:lang w:val="en-US"/>
        </w:rPr>
      </w:pPr>
      <w:r>
        <w:rPr>
          <w:rFonts w:ascii="Times New Roman" w:hAnsi="Times New Roman"/>
          <w:color w:val="auto"/>
          <w:sz w:val="24"/>
          <w:szCs w:val="24"/>
        </w:rPr>
        <w:t>Appoint additional technical staff to address the backlog and regulatory workload.</w:t>
      </w:r>
    </w:p>
    <w:p w14:paraId="55B93CF8" w14:textId="77777777" w:rsidR="002A1F67" w:rsidRPr="00EA1BEF" w:rsidRDefault="005E326B" w:rsidP="00941E30">
      <w:pPr>
        <w:numPr>
          <w:ilvl w:val="0"/>
          <w:numId w:val="56"/>
        </w:numPr>
        <w:spacing w:line="360" w:lineRule="auto"/>
        <w:jc w:val="both"/>
        <w:rPr>
          <w:rFonts w:ascii="Times New Roman" w:hAnsi="Times New Roman"/>
          <w:b/>
          <w:color w:val="auto"/>
          <w:sz w:val="24"/>
          <w:szCs w:val="24"/>
          <w:lang w:val="en-US"/>
        </w:rPr>
      </w:pPr>
      <w:r>
        <w:rPr>
          <w:rFonts w:ascii="Times New Roman" w:hAnsi="Times New Roman"/>
          <w:color w:val="auto"/>
          <w:sz w:val="24"/>
          <w:szCs w:val="24"/>
        </w:rPr>
        <w:t>E</w:t>
      </w:r>
      <w:r w:rsidR="009F75C3">
        <w:rPr>
          <w:rFonts w:ascii="Times New Roman" w:hAnsi="Times New Roman"/>
          <w:color w:val="auto"/>
          <w:sz w:val="24"/>
          <w:szCs w:val="24"/>
        </w:rPr>
        <w:t xml:space="preserve">nsure </w:t>
      </w:r>
      <w:r w:rsidR="00226FC0">
        <w:rPr>
          <w:rFonts w:ascii="Times New Roman" w:hAnsi="Times New Roman"/>
          <w:color w:val="auto"/>
          <w:sz w:val="24"/>
          <w:szCs w:val="24"/>
        </w:rPr>
        <w:t xml:space="preserve">that </w:t>
      </w:r>
      <w:r w:rsidR="009F75C3">
        <w:rPr>
          <w:rFonts w:ascii="Times New Roman" w:hAnsi="Times New Roman"/>
          <w:color w:val="auto"/>
          <w:sz w:val="24"/>
          <w:szCs w:val="24"/>
        </w:rPr>
        <w:t xml:space="preserve">the vulnerable and poor </w:t>
      </w:r>
      <w:r w:rsidR="003E61AF">
        <w:rPr>
          <w:rFonts w:ascii="Times New Roman" w:hAnsi="Times New Roman"/>
          <w:color w:val="auto"/>
          <w:sz w:val="24"/>
          <w:szCs w:val="24"/>
        </w:rPr>
        <w:t>are not burden</w:t>
      </w:r>
      <w:r w:rsidR="00226FC0">
        <w:rPr>
          <w:rFonts w:ascii="Times New Roman" w:hAnsi="Times New Roman"/>
          <w:color w:val="auto"/>
          <w:sz w:val="24"/>
          <w:szCs w:val="24"/>
        </w:rPr>
        <w:t>ed</w:t>
      </w:r>
      <w:r w:rsidR="003E61AF">
        <w:rPr>
          <w:rFonts w:ascii="Times New Roman" w:hAnsi="Times New Roman"/>
          <w:color w:val="auto"/>
          <w:sz w:val="24"/>
          <w:szCs w:val="24"/>
        </w:rPr>
        <w:t xml:space="preserve"> with</w:t>
      </w:r>
      <w:r>
        <w:rPr>
          <w:rFonts w:ascii="Times New Roman" w:hAnsi="Times New Roman"/>
          <w:color w:val="auto"/>
          <w:sz w:val="24"/>
          <w:szCs w:val="24"/>
        </w:rPr>
        <w:t xml:space="preserve"> </w:t>
      </w:r>
      <w:r w:rsidR="00226FC0">
        <w:rPr>
          <w:rFonts w:ascii="Times New Roman" w:hAnsi="Times New Roman"/>
          <w:color w:val="auto"/>
          <w:sz w:val="24"/>
          <w:szCs w:val="24"/>
        </w:rPr>
        <w:t>increasing costs of medicine</w:t>
      </w:r>
      <w:r w:rsidR="00DB3481">
        <w:rPr>
          <w:rFonts w:ascii="Times New Roman" w:hAnsi="Times New Roman"/>
          <w:color w:val="auto"/>
          <w:sz w:val="24"/>
          <w:szCs w:val="24"/>
        </w:rPr>
        <w:t xml:space="preserve"> due to fee increases</w:t>
      </w:r>
      <w:r w:rsidR="00226FC0">
        <w:rPr>
          <w:rFonts w:ascii="Times New Roman" w:hAnsi="Times New Roman"/>
          <w:color w:val="auto"/>
          <w:sz w:val="24"/>
          <w:szCs w:val="24"/>
        </w:rPr>
        <w:t xml:space="preserve"> </w:t>
      </w:r>
      <w:r w:rsidR="00130563">
        <w:rPr>
          <w:rFonts w:ascii="Times New Roman" w:hAnsi="Times New Roman"/>
          <w:color w:val="auto"/>
          <w:sz w:val="24"/>
          <w:szCs w:val="24"/>
        </w:rPr>
        <w:t xml:space="preserve">aimed at </w:t>
      </w:r>
      <w:r w:rsidR="00226FC0">
        <w:rPr>
          <w:rFonts w:ascii="Times New Roman" w:hAnsi="Times New Roman"/>
          <w:color w:val="auto"/>
          <w:sz w:val="24"/>
          <w:szCs w:val="24"/>
        </w:rPr>
        <w:t>revenue generation</w:t>
      </w:r>
      <w:r w:rsidR="009F75C3">
        <w:rPr>
          <w:rFonts w:ascii="Times New Roman" w:hAnsi="Times New Roman"/>
          <w:color w:val="auto"/>
          <w:sz w:val="24"/>
          <w:szCs w:val="24"/>
        </w:rPr>
        <w:t xml:space="preserve">. </w:t>
      </w:r>
    </w:p>
    <w:p w14:paraId="3E64D028" w14:textId="77777777" w:rsidR="007A37B6" w:rsidRPr="0093633A" w:rsidRDefault="007A37B6" w:rsidP="00941E30">
      <w:pPr>
        <w:jc w:val="both"/>
        <w:rPr>
          <w:rFonts w:ascii="Times New Roman" w:hAnsi="Times New Roman"/>
          <w:b/>
          <w:color w:val="auto"/>
          <w:sz w:val="24"/>
          <w:szCs w:val="24"/>
          <w:lang w:val="en-US"/>
        </w:rPr>
      </w:pPr>
    </w:p>
    <w:p w14:paraId="3C92751C" w14:textId="77777777" w:rsidR="00CE5650" w:rsidRPr="000A53F6" w:rsidRDefault="00D059FC"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SA</w:t>
      </w:r>
      <w:r w:rsidR="00CE5650" w:rsidRPr="000A53F6">
        <w:rPr>
          <w:rFonts w:ascii="Times New Roman" w:hAnsi="Times New Roman"/>
          <w:b/>
          <w:color w:val="auto"/>
          <w:sz w:val="24"/>
          <w:szCs w:val="24"/>
          <w:lang w:val="en-US"/>
        </w:rPr>
        <w:t>MRC</w:t>
      </w:r>
    </w:p>
    <w:p w14:paraId="59A38032" w14:textId="77777777" w:rsidR="00F52302" w:rsidRPr="0093633A" w:rsidRDefault="00F52302" w:rsidP="00941E30">
      <w:pPr>
        <w:jc w:val="both"/>
        <w:rPr>
          <w:rFonts w:ascii="Times New Roman" w:hAnsi="Times New Roman"/>
          <w:color w:val="auto"/>
          <w:sz w:val="24"/>
          <w:szCs w:val="24"/>
          <w:lang w:val="en-US"/>
        </w:rPr>
      </w:pPr>
    </w:p>
    <w:p w14:paraId="7079F3E0" w14:textId="77777777" w:rsidR="00EE44A0" w:rsidRPr="00015D19" w:rsidRDefault="00EA1BEF" w:rsidP="00941E30">
      <w:pPr>
        <w:pStyle w:val="ListParagraph"/>
        <w:numPr>
          <w:ilvl w:val="0"/>
          <w:numId w:val="94"/>
        </w:numPr>
        <w:spacing w:line="360" w:lineRule="auto"/>
        <w:jc w:val="both"/>
        <w:rPr>
          <w:rFonts w:ascii="Times New Roman" w:hAnsi="Times New Roman"/>
          <w:color w:val="auto"/>
          <w:sz w:val="24"/>
          <w:szCs w:val="24"/>
          <w:lang w:val="en-US"/>
        </w:rPr>
      </w:pPr>
      <w:r>
        <w:rPr>
          <w:rFonts w:ascii="Times New Roman" w:hAnsi="Times New Roman"/>
          <w:color w:val="auto"/>
          <w:sz w:val="24"/>
          <w:szCs w:val="24"/>
        </w:rPr>
        <w:t>The SAMRC sh</w:t>
      </w:r>
      <w:r w:rsidR="00015D19">
        <w:rPr>
          <w:rFonts w:ascii="Times New Roman" w:hAnsi="Times New Roman"/>
          <w:color w:val="auto"/>
          <w:sz w:val="24"/>
          <w:szCs w:val="24"/>
        </w:rPr>
        <w:t xml:space="preserve">ould </w:t>
      </w:r>
      <w:r w:rsidR="001C4BBA" w:rsidRPr="00941E30">
        <w:rPr>
          <w:rFonts w:ascii="Times New Roman" w:hAnsi="Times New Roman"/>
          <w:color w:val="auto"/>
          <w:sz w:val="24"/>
          <w:szCs w:val="24"/>
          <w:lang w:val="en-US"/>
        </w:rPr>
        <w:t>encourage black females to get into science.</w:t>
      </w:r>
    </w:p>
    <w:p w14:paraId="118DBFEE" w14:textId="77777777" w:rsidR="001C4BBA" w:rsidRPr="00941E30" w:rsidRDefault="00EA1BEF" w:rsidP="00941E30">
      <w:pPr>
        <w:pStyle w:val="ListParagraph"/>
        <w:numPr>
          <w:ilvl w:val="0"/>
          <w:numId w:val="94"/>
        </w:numPr>
        <w:spacing w:line="360" w:lineRule="auto"/>
        <w:jc w:val="both"/>
        <w:rPr>
          <w:rFonts w:ascii="Times New Roman" w:hAnsi="Times New Roman"/>
          <w:b/>
          <w:color w:val="auto"/>
          <w:sz w:val="24"/>
          <w:szCs w:val="24"/>
          <w:lang w:val="en-US"/>
        </w:rPr>
      </w:pPr>
      <w:r>
        <w:rPr>
          <w:rFonts w:ascii="Times New Roman" w:hAnsi="Times New Roman"/>
          <w:color w:val="auto"/>
          <w:sz w:val="24"/>
          <w:szCs w:val="24"/>
        </w:rPr>
        <w:t xml:space="preserve">The </w:t>
      </w:r>
      <w:r w:rsidR="00015D19">
        <w:rPr>
          <w:rFonts w:ascii="Times New Roman" w:hAnsi="Times New Roman"/>
          <w:color w:val="auto"/>
          <w:sz w:val="24"/>
          <w:szCs w:val="24"/>
        </w:rPr>
        <w:t>SAMRC</w:t>
      </w:r>
      <w:r>
        <w:rPr>
          <w:rFonts w:ascii="Times New Roman" w:hAnsi="Times New Roman"/>
          <w:color w:val="auto"/>
          <w:sz w:val="24"/>
          <w:szCs w:val="24"/>
        </w:rPr>
        <w:t xml:space="preserve"> is</w:t>
      </w:r>
      <w:r w:rsidR="00015D19">
        <w:rPr>
          <w:rFonts w:ascii="Times New Roman" w:hAnsi="Times New Roman"/>
          <w:color w:val="auto"/>
          <w:sz w:val="24"/>
          <w:szCs w:val="24"/>
        </w:rPr>
        <w:t xml:space="preserve"> e</w:t>
      </w:r>
      <w:r w:rsidR="001C4BBA" w:rsidRPr="00941E30">
        <w:rPr>
          <w:rFonts w:ascii="Times New Roman" w:hAnsi="Times New Roman"/>
          <w:color w:val="auto"/>
          <w:sz w:val="24"/>
          <w:szCs w:val="24"/>
        </w:rPr>
        <w:t>ncouraged to continue with research</w:t>
      </w:r>
      <w:r w:rsidR="00446BB9">
        <w:rPr>
          <w:rFonts w:ascii="Times New Roman" w:hAnsi="Times New Roman"/>
          <w:color w:val="auto"/>
          <w:sz w:val="24"/>
          <w:szCs w:val="24"/>
        </w:rPr>
        <w:t xml:space="preserve">, particularly </w:t>
      </w:r>
      <w:r w:rsidR="001C4BBA" w:rsidRPr="00941E30">
        <w:rPr>
          <w:rFonts w:ascii="Times New Roman" w:hAnsi="Times New Roman"/>
          <w:color w:val="auto"/>
          <w:sz w:val="24"/>
          <w:szCs w:val="24"/>
        </w:rPr>
        <w:t xml:space="preserve">on TB treatment and skills </w:t>
      </w:r>
      <w:r w:rsidR="00446BB9">
        <w:rPr>
          <w:rFonts w:ascii="Times New Roman" w:hAnsi="Times New Roman"/>
          <w:color w:val="auto"/>
          <w:sz w:val="24"/>
          <w:szCs w:val="24"/>
        </w:rPr>
        <w:t xml:space="preserve">capacity building </w:t>
      </w:r>
      <w:r w:rsidR="001C4BBA" w:rsidRPr="00941E30">
        <w:rPr>
          <w:rFonts w:ascii="Times New Roman" w:hAnsi="Times New Roman"/>
          <w:color w:val="auto"/>
          <w:sz w:val="24"/>
          <w:szCs w:val="24"/>
        </w:rPr>
        <w:t>on TB diagnosis.</w:t>
      </w:r>
    </w:p>
    <w:p w14:paraId="0608C224" w14:textId="77777777" w:rsidR="001C4BBA" w:rsidRPr="00941E30" w:rsidRDefault="004D64D7" w:rsidP="00941E30">
      <w:pPr>
        <w:pStyle w:val="ListParagraph"/>
        <w:numPr>
          <w:ilvl w:val="0"/>
          <w:numId w:val="94"/>
        </w:numPr>
        <w:spacing w:line="360" w:lineRule="auto"/>
        <w:jc w:val="both"/>
        <w:rPr>
          <w:rFonts w:ascii="Times New Roman" w:hAnsi="Times New Roman"/>
          <w:b/>
          <w:color w:val="auto"/>
          <w:sz w:val="24"/>
          <w:szCs w:val="24"/>
          <w:lang w:val="en-US"/>
        </w:rPr>
      </w:pPr>
      <w:r w:rsidRPr="00941E30">
        <w:rPr>
          <w:rFonts w:ascii="Times New Roman" w:hAnsi="Times New Roman"/>
          <w:color w:val="auto"/>
          <w:sz w:val="24"/>
          <w:szCs w:val="24"/>
        </w:rPr>
        <w:t xml:space="preserve">Ensure </w:t>
      </w:r>
      <w:r w:rsidR="00EA1BEF">
        <w:rPr>
          <w:rFonts w:ascii="Times New Roman" w:hAnsi="Times New Roman"/>
          <w:color w:val="auto"/>
          <w:sz w:val="24"/>
          <w:szCs w:val="24"/>
        </w:rPr>
        <w:t>wider access to</w:t>
      </w:r>
      <w:r w:rsidRPr="00941E30">
        <w:rPr>
          <w:rFonts w:ascii="Times New Roman" w:hAnsi="Times New Roman"/>
          <w:color w:val="auto"/>
          <w:sz w:val="24"/>
          <w:szCs w:val="24"/>
        </w:rPr>
        <w:t xml:space="preserve"> </w:t>
      </w:r>
      <w:r w:rsidR="0045471E">
        <w:rPr>
          <w:rFonts w:ascii="Times New Roman" w:hAnsi="Times New Roman"/>
          <w:color w:val="auto"/>
          <w:sz w:val="24"/>
          <w:szCs w:val="24"/>
        </w:rPr>
        <w:t xml:space="preserve">the </w:t>
      </w:r>
      <w:r w:rsidRPr="00941E30">
        <w:rPr>
          <w:rFonts w:ascii="Times New Roman" w:hAnsi="Times New Roman"/>
          <w:color w:val="auto"/>
          <w:sz w:val="24"/>
          <w:szCs w:val="24"/>
        </w:rPr>
        <w:t>mHealth</w:t>
      </w:r>
      <w:r w:rsidR="0045471E">
        <w:rPr>
          <w:rFonts w:ascii="Times New Roman" w:hAnsi="Times New Roman"/>
          <w:color w:val="auto"/>
          <w:sz w:val="24"/>
          <w:szCs w:val="24"/>
        </w:rPr>
        <w:t xml:space="preserve"> App</w:t>
      </w:r>
      <w:r w:rsidRPr="00941E30">
        <w:rPr>
          <w:rFonts w:ascii="Times New Roman" w:hAnsi="Times New Roman"/>
          <w:color w:val="auto"/>
          <w:sz w:val="24"/>
          <w:szCs w:val="24"/>
        </w:rPr>
        <w:t>.</w:t>
      </w:r>
    </w:p>
    <w:p w14:paraId="190C86CB" w14:textId="77777777" w:rsidR="00AA6883" w:rsidRPr="0093633A" w:rsidRDefault="00AA6883" w:rsidP="00941E30">
      <w:pPr>
        <w:jc w:val="both"/>
        <w:rPr>
          <w:rFonts w:ascii="Times New Roman" w:hAnsi="Times New Roman"/>
          <w:color w:val="auto"/>
          <w:sz w:val="24"/>
          <w:szCs w:val="24"/>
          <w:lang w:val="en-US"/>
        </w:rPr>
      </w:pPr>
    </w:p>
    <w:p w14:paraId="109BD791" w14:textId="77777777" w:rsidR="00AA6883" w:rsidRPr="000A53F6" w:rsidRDefault="00AA6883"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 xml:space="preserve">OHSC </w:t>
      </w:r>
    </w:p>
    <w:p w14:paraId="45A98388" w14:textId="77777777" w:rsidR="00AA6883" w:rsidRPr="0093633A" w:rsidRDefault="00AA6883" w:rsidP="00941E30">
      <w:pPr>
        <w:jc w:val="both"/>
        <w:rPr>
          <w:rFonts w:ascii="Times New Roman" w:hAnsi="Times New Roman"/>
          <w:b/>
          <w:color w:val="auto"/>
          <w:sz w:val="24"/>
          <w:szCs w:val="24"/>
          <w:lang w:val="en-US"/>
        </w:rPr>
      </w:pPr>
    </w:p>
    <w:p w14:paraId="1327D88B" w14:textId="77777777" w:rsidR="00015D19" w:rsidRPr="00015D19" w:rsidRDefault="00971B75">
      <w:pPr>
        <w:pStyle w:val="ListParagraph"/>
        <w:numPr>
          <w:ilvl w:val="0"/>
          <w:numId w:val="56"/>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Ensure that its </w:t>
      </w:r>
      <w:r w:rsidR="00015D19" w:rsidRPr="00941E30">
        <w:rPr>
          <w:rFonts w:ascii="Times New Roman" w:hAnsi="Times New Roman"/>
          <w:color w:val="auto"/>
          <w:sz w:val="24"/>
          <w:szCs w:val="24"/>
          <w:lang w:val="en-US"/>
        </w:rPr>
        <w:t>reports</w:t>
      </w:r>
      <w:r>
        <w:rPr>
          <w:rFonts w:ascii="Times New Roman" w:hAnsi="Times New Roman"/>
          <w:color w:val="auto"/>
          <w:sz w:val="24"/>
          <w:szCs w:val="24"/>
          <w:lang w:val="en-US"/>
        </w:rPr>
        <w:t xml:space="preserve"> address</w:t>
      </w:r>
      <w:r w:rsidRPr="00971B75">
        <w:rPr>
          <w:rFonts w:ascii="Times New Roman" w:hAnsi="Times New Roman"/>
          <w:color w:val="auto"/>
          <w:sz w:val="24"/>
          <w:szCs w:val="24"/>
          <w:lang w:val="en-US"/>
        </w:rPr>
        <w:t xml:space="preserve"> </w:t>
      </w:r>
      <w:r w:rsidRPr="00BB42E5">
        <w:rPr>
          <w:rFonts w:ascii="Times New Roman" w:hAnsi="Times New Roman"/>
          <w:color w:val="auto"/>
          <w:sz w:val="24"/>
          <w:szCs w:val="24"/>
          <w:lang w:val="en-US"/>
        </w:rPr>
        <w:t xml:space="preserve">remedial actions </w:t>
      </w:r>
      <w:r>
        <w:rPr>
          <w:rFonts w:ascii="Times New Roman" w:hAnsi="Times New Roman"/>
          <w:color w:val="auto"/>
          <w:sz w:val="24"/>
          <w:szCs w:val="24"/>
          <w:lang w:val="en-US"/>
        </w:rPr>
        <w:t xml:space="preserve">in order </w:t>
      </w:r>
      <w:r w:rsidR="00015D19" w:rsidRPr="00941E30">
        <w:rPr>
          <w:rFonts w:ascii="Times New Roman" w:hAnsi="Times New Roman"/>
          <w:color w:val="auto"/>
          <w:sz w:val="24"/>
          <w:szCs w:val="24"/>
          <w:lang w:val="en-US"/>
        </w:rPr>
        <w:t>to encourage quality improvement.</w:t>
      </w:r>
    </w:p>
    <w:p w14:paraId="7AAB01B1" w14:textId="77777777" w:rsidR="00AA6883" w:rsidRPr="0093633A" w:rsidRDefault="00AA6883">
      <w:pPr>
        <w:pStyle w:val="ListParagraph"/>
        <w:numPr>
          <w:ilvl w:val="0"/>
          <w:numId w:val="56"/>
        </w:numPr>
        <w:spacing w:line="360" w:lineRule="auto"/>
        <w:jc w:val="both"/>
        <w:rPr>
          <w:rFonts w:ascii="Times New Roman" w:hAnsi="Times New Roman"/>
          <w:b/>
          <w:color w:val="auto"/>
          <w:sz w:val="24"/>
          <w:szCs w:val="24"/>
          <w:lang w:val="en-US"/>
        </w:rPr>
      </w:pPr>
      <w:r w:rsidRPr="0093633A">
        <w:rPr>
          <w:rFonts w:ascii="Times New Roman" w:hAnsi="Times New Roman"/>
          <w:color w:val="auto"/>
          <w:sz w:val="24"/>
          <w:szCs w:val="24"/>
          <w:lang w:val="en-US"/>
        </w:rPr>
        <w:t xml:space="preserve">The OHSC should improve </w:t>
      </w:r>
      <w:r w:rsidR="00971B75">
        <w:rPr>
          <w:rFonts w:ascii="Times New Roman" w:hAnsi="Times New Roman"/>
          <w:color w:val="auto"/>
          <w:sz w:val="24"/>
          <w:szCs w:val="24"/>
          <w:lang w:val="en-US"/>
        </w:rPr>
        <w:t xml:space="preserve">the </w:t>
      </w:r>
      <w:r w:rsidRPr="0093633A">
        <w:rPr>
          <w:rFonts w:ascii="Times New Roman" w:hAnsi="Times New Roman"/>
          <w:color w:val="auto"/>
          <w:sz w:val="24"/>
          <w:szCs w:val="24"/>
          <w:lang w:val="en-US"/>
        </w:rPr>
        <w:t>turnaround time for complaints</w:t>
      </w:r>
      <w:r w:rsidR="00015D19">
        <w:rPr>
          <w:rFonts w:ascii="Times New Roman" w:hAnsi="Times New Roman"/>
          <w:color w:val="auto"/>
          <w:sz w:val="24"/>
          <w:szCs w:val="24"/>
          <w:lang w:val="en-US"/>
        </w:rPr>
        <w:t xml:space="preserve"> resolutions</w:t>
      </w:r>
      <w:r w:rsidRPr="0093633A">
        <w:rPr>
          <w:rFonts w:ascii="Times New Roman" w:hAnsi="Times New Roman"/>
          <w:color w:val="auto"/>
          <w:sz w:val="24"/>
          <w:szCs w:val="24"/>
          <w:lang w:val="en-US"/>
        </w:rPr>
        <w:t>.</w:t>
      </w:r>
    </w:p>
    <w:p w14:paraId="0D6CE228" w14:textId="77777777" w:rsidR="00656EF9" w:rsidRPr="0093633A" w:rsidRDefault="000243A8" w:rsidP="00656EF9">
      <w:pPr>
        <w:pStyle w:val="ListParagraph"/>
        <w:numPr>
          <w:ilvl w:val="0"/>
          <w:numId w:val="56"/>
        </w:numPr>
        <w:spacing w:line="360" w:lineRule="auto"/>
        <w:jc w:val="both"/>
        <w:rPr>
          <w:rFonts w:ascii="Times New Roman" w:hAnsi="Times New Roman"/>
          <w:b/>
          <w:color w:val="auto"/>
          <w:sz w:val="24"/>
          <w:szCs w:val="24"/>
          <w:lang w:val="en-US"/>
        </w:rPr>
      </w:pPr>
      <w:r>
        <w:rPr>
          <w:rFonts w:ascii="Times New Roman" w:hAnsi="Times New Roman"/>
          <w:color w:val="auto"/>
          <w:sz w:val="24"/>
          <w:szCs w:val="24"/>
          <w:lang w:val="en-US"/>
        </w:rPr>
        <w:t>Engage</w:t>
      </w:r>
      <w:r w:rsidR="00656EF9">
        <w:rPr>
          <w:rFonts w:ascii="Times New Roman" w:hAnsi="Times New Roman"/>
          <w:color w:val="auto"/>
          <w:sz w:val="24"/>
          <w:szCs w:val="24"/>
          <w:lang w:val="en-US"/>
        </w:rPr>
        <w:t xml:space="preserve"> the Department on the funding of the </w:t>
      </w:r>
      <w:r w:rsidR="00A21225">
        <w:rPr>
          <w:rFonts w:ascii="Times New Roman" w:hAnsi="Times New Roman"/>
          <w:color w:val="auto"/>
          <w:sz w:val="24"/>
          <w:szCs w:val="24"/>
          <w:lang w:val="en-US"/>
        </w:rPr>
        <w:t xml:space="preserve">Health </w:t>
      </w:r>
      <w:r w:rsidR="00656EF9">
        <w:rPr>
          <w:rFonts w:ascii="Times New Roman" w:hAnsi="Times New Roman"/>
          <w:color w:val="auto"/>
          <w:sz w:val="24"/>
          <w:szCs w:val="24"/>
          <w:lang w:val="en-US"/>
        </w:rPr>
        <w:t>Ombud</w:t>
      </w:r>
      <w:r w:rsidR="00A21225">
        <w:rPr>
          <w:rFonts w:ascii="Times New Roman" w:hAnsi="Times New Roman"/>
          <w:color w:val="auto"/>
          <w:sz w:val="24"/>
          <w:szCs w:val="24"/>
          <w:lang w:val="en-US"/>
        </w:rPr>
        <w:t>’s Office</w:t>
      </w:r>
      <w:r w:rsidR="00656EF9">
        <w:rPr>
          <w:rFonts w:ascii="Times New Roman" w:hAnsi="Times New Roman"/>
          <w:color w:val="auto"/>
          <w:sz w:val="24"/>
          <w:szCs w:val="24"/>
          <w:lang w:val="en-US"/>
        </w:rPr>
        <w:t xml:space="preserve">. </w:t>
      </w:r>
    </w:p>
    <w:p w14:paraId="252CDFF1" w14:textId="77777777" w:rsidR="00D032BF" w:rsidRPr="0093633A" w:rsidRDefault="00D032BF" w:rsidP="00941E30">
      <w:pPr>
        <w:jc w:val="both"/>
        <w:rPr>
          <w:rFonts w:ascii="Times New Roman" w:hAnsi="Times New Roman"/>
          <w:b/>
          <w:color w:val="auto"/>
          <w:sz w:val="24"/>
          <w:szCs w:val="24"/>
          <w:lang w:val="en-US"/>
        </w:rPr>
      </w:pPr>
    </w:p>
    <w:p w14:paraId="4597D7FF" w14:textId="77777777" w:rsidR="00AA6883" w:rsidRPr="000A53F6" w:rsidRDefault="00AA6883"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CMS</w:t>
      </w:r>
    </w:p>
    <w:p w14:paraId="6D463B5C" w14:textId="77777777" w:rsidR="00D059FC" w:rsidRPr="0093633A" w:rsidRDefault="00D059FC" w:rsidP="00941E30">
      <w:pPr>
        <w:jc w:val="both"/>
        <w:rPr>
          <w:rFonts w:ascii="Times New Roman" w:hAnsi="Times New Roman"/>
          <w:b/>
          <w:color w:val="auto"/>
          <w:sz w:val="24"/>
          <w:szCs w:val="24"/>
          <w:lang w:val="en-US"/>
        </w:rPr>
      </w:pPr>
    </w:p>
    <w:p w14:paraId="3A601D93" w14:textId="77777777" w:rsidR="00315138" w:rsidRPr="0093633A" w:rsidRDefault="00315138" w:rsidP="00941E30">
      <w:pPr>
        <w:pStyle w:val="ListParagraph"/>
        <w:numPr>
          <w:ilvl w:val="0"/>
          <w:numId w:val="57"/>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A</w:t>
      </w:r>
      <w:r w:rsidRPr="0093633A">
        <w:rPr>
          <w:rFonts w:ascii="Times New Roman" w:hAnsi="Times New Roman"/>
          <w:color w:val="auto"/>
          <w:sz w:val="24"/>
          <w:szCs w:val="24"/>
          <w:lang w:val="en-US"/>
        </w:rPr>
        <w:t xml:space="preserve">ccelerate the appointment of </w:t>
      </w:r>
      <w:r>
        <w:rPr>
          <w:rFonts w:ascii="Times New Roman" w:hAnsi="Times New Roman"/>
          <w:color w:val="auto"/>
          <w:sz w:val="24"/>
          <w:szCs w:val="24"/>
          <w:lang w:val="en-US"/>
        </w:rPr>
        <w:t xml:space="preserve">a </w:t>
      </w:r>
      <w:r w:rsidRPr="0093633A">
        <w:rPr>
          <w:rFonts w:ascii="Times New Roman" w:hAnsi="Times New Roman"/>
          <w:color w:val="auto"/>
          <w:sz w:val="24"/>
          <w:szCs w:val="24"/>
          <w:lang w:val="en-US"/>
        </w:rPr>
        <w:t>Registrar</w:t>
      </w:r>
      <w:r>
        <w:rPr>
          <w:rFonts w:ascii="Times New Roman" w:hAnsi="Times New Roman"/>
          <w:color w:val="auto"/>
          <w:sz w:val="24"/>
          <w:szCs w:val="24"/>
          <w:lang w:val="en-US"/>
        </w:rPr>
        <w:t>.</w:t>
      </w:r>
    </w:p>
    <w:p w14:paraId="145B72A3" w14:textId="77777777" w:rsidR="00F669BC" w:rsidRPr="008F446B" w:rsidRDefault="008B7A2C" w:rsidP="00941E30">
      <w:pPr>
        <w:pStyle w:val="ListParagraph"/>
        <w:numPr>
          <w:ilvl w:val="0"/>
          <w:numId w:val="57"/>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E</w:t>
      </w:r>
      <w:r w:rsidRPr="0093633A">
        <w:rPr>
          <w:rFonts w:ascii="Times New Roman" w:hAnsi="Times New Roman"/>
          <w:color w:val="auto"/>
          <w:sz w:val="24"/>
          <w:szCs w:val="24"/>
          <w:lang w:val="en-US"/>
        </w:rPr>
        <w:t xml:space="preserve">nhance </w:t>
      </w:r>
      <w:r>
        <w:rPr>
          <w:rFonts w:ascii="Times New Roman" w:hAnsi="Times New Roman"/>
          <w:color w:val="auto"/>
          <w:sz w:val="24"/>
          <w:szCs w:val="24"/>
          <w:lang w:val="en-US"/>
        </w:rPr>
        <w:t xml:space="preserve">public </w:t>
      </w:r>
      <w:r w:rsidRPr="0093633A">
        <w:rPr>
          <w:rFonts w:ascii="Times New Roman" w:hAnsi="Times New Roman"/>
          <w:color w:val="auto"/>
          <w:sz w:val="24"/>
          <w:szCs w:val="24"/>
          <w:lang w:val="en-US"/>
        </w:rPr>
        <w:t xml:space="preserve">education and awareness on </w:t>
      </w:r>
      <w:r w:rsidR="00F669BC">
        <w:rPr>
          <w:rFonts w:ascii="Times New Roman" w:hAnsi="Times New Roman"/>
          <w:sz w:val="24"/>
          <w:szCs w:val="24"/>
        </w:rPr>
        <w:t xml:space="preserve">medical schemes </w:t>
      </w:r>
      <w:r w:rsidR="00F669BC" w:rsidRPr="008D5007">
        <w:rPr>
          <w:rFonts w:ascii="Times New Roman" w:hAnsi="Times New Roman"/>
          <w:sz w:val="24"/>
          <w:szCs w:val="24"/>
        </w:rPr>
        <w:t>benefits</w:t>
      </w:r>
      <w:r w:rsidR="00F669BC">
        <w:rPr>
          <w:rFonts w:ascii="Times New Roman" w:hAnsi="Times New Roman"/>
          <w:sz w:val="24"/>
          <w:szCs w:val="24"/>
        </w:rPr>
        <w:t xml:space="preserve">. </w:t>
      </w:r>
    </w:p>
    <w:p w14:paraId="13498FB7" w14:textId="77777777" w:rsidR="00F669BC" w:rsidRPr="008F446B" w:rsidRDefault="008B7A2C" w:rsidP="00941E30">
      <w:pPr>
        <w:pStyle w:val="ListParagraph"/>
        <w:numPr>
          <w:ilvl w:val="0"/>
          <w:numId w:val="57"/>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Develop a strategy to address concern</w:t>
      </w:r>
      <w:r w:rsidR="00971B75">
        <w:rPr>
          <w:rFonts w:ascii="Times New Roman" w:hAnsi="Times New Roman"/>
          <w:color w:val="auto"/>
          <w:sz w:val="24"/>
          <w:szCs w:val="24"/>
          <w:lang w:val="en-US"/>
        </w:rPr>
        <w:t>s</w:t>
      </w:r>
      <w:r w:rsidR="00F669BC">
        <w:rPr>
          <w:rFonts w:ascii="Times New Roman" w:hAnsi="Times New Roman"/>
          <w:color w:val="auto"/>
          <w:sz w:val="24"/>
          <w:szCs w:val="24"/>
          <w:lang w:val="en-US"/>
        </w:rPr>
        <w:t xml:space="preserve"> around affordability of</w:t>
      </w:r>
      <w:r w:rsidR="00F669BC" w:rsidRPr="008F446B">
        <w:rPr>
          <w:rFonts w:ascii="Times New Roman" w:hAnsi="Times New Roman"/>
          <w:color w:val="auto"/>
          <w:sz w:val="24"/>
          <w:szCs w:val="24"/>
          <w:lang w:val="en-US"/>
        </w:rPr>
        <w:t xml:space="preserve"> medical schemes.</w:t>
      </w:r>
      <w:r w:rsidR="00CE24CA">
        <w:rPr>
          <w:rFonts w:ascii="Times New Roman" w:hAnsi="Times New Roman"/>
          <w:color w:val="auto"/>
          <w:sz w:val="24"/>
          <w:szCs w:val="24"/>
          <w:lang w:val="en-US"/>
        </w:rPr>
        <w:t xml:space="preserve"> Provide a report to the Committee. </w:t>
      </w:r>
    </w:p>
    <w:p w14:paraId="081B1150" w14:textId="77777777" w:rsidR="00CE5650" w:rsidRPr="000A53F6" w:rsidRDefault="00CE5650"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NHLS</w:t>
      </w:r>
    </w:p>
    <w:p w14:paraId="1173D586" w14:textId="77777777" w:rsidR="00AA6883" w:rsidRPr="0093633A" w:rsidRDefault="00AA6883" w:rsidP="00941E30">
      <w:pPr>
        <w:jc w:val="both"/>
        <w:rPr>
          <w:rFonts w:ascii="Times New Roman" w:hAnsi="Times New Roman"/>
          <w:color w:val="auto"/>
          <w:sz w:val="24"/>
          <w:szCs w:val="24"/>
          <w:lang w:val="en-US"/>
        </w:rPr>
      </w:pPr>
    </w:p>
    <w:p w14:paraId="23D336A5" w14:textId="77777777" w:rsidR="0071718E" w:rsidRDefault="009F75C3">
      <w:pPr>
        <w:pStyle w:val="ListParagraph"/>
        <w:numPr>
          <w:ilvl w:val="0"/>
          <w:numId w:val="56"/>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NHLS should ensure that v</w:t>
      </w:r>
      <w:r w:rsidR="0071718E">
        <w:rPr>
          <w:rFonts w:ascii="Times New Roman" w:hAnsi="Times New Roman"/>
          <w:color w:val="auto"/>
          <w:sz w:val="24"/>
          <w:szCs w:val="24"/>
          <w:lang w:val="en-US"/>
        </w:rPr>
        <w:t>acancies in key positions</w:t>
      </w:r>
      <w:r>
        <w:rPr>
          <w:rFonts w:ascii="Times New Roman" w:hAnsi="Times New Roman"/>
          <w:color w:val="auto"/>
          <w:sz w:val="24"/>
          <w:szCs w:val="24"/>
          <w:lang w:val="en-US"/>
        </w:rPr>
        <w:t xml:space="preserve"> are filled as matter of urgency.</w:t>
      </w:r>
    </w:p>
    <w:p w14:paraId="78E41DEC" w14:textId="77777777" w:rsidR="006A61B7" w:rsidRPr="0093633A" w:rsidRDefault="00527AFD" w:rsidP="006A61B7">
      <w:pPr>
        <w:pStyle w:val="ListParagraph"/>
        <w:numPr>
          <w:ilvl w:val="0"/>
          <w:numId w:val="56"/>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NHLS should resolve the </w:t>
      </w:r>
      <w:r w:rsidR="006A61B7">
        <w:rPr>
          <w:rFonts w:ascii="Times New Roman" w:hAnsi="Times New Roman"/>
          <w:color w:val="auto"/>
          <w:sz w:val="24"/>
          <w:szCs w:val="24"/>
          <w:lang w:val="en-US"/>
        </w:rPr>
        <w:t>long standing cases of former NHLS staff</w:t>
      </w:r>
      <w:r>
        <w:rPr>
          <w:rFonts w:ascii="Times New Roman" w:hAnsi="Times New Roman"/>
          <w:color w:val="auto"/>
          <w:sz w:val="24"/>
          <w:szCs w:val="24"/>
          <w:lang w:val="en-US"/>
        </w:rPr>
        <w:t xml:space="preserve"> and provide the Committee with a progress report</w:t>
      </w:r>
      <w:r w:rsidR="006A61B7">
        <w:rPr>
          <w:rFonts w:ascii="Times New Roman" w:hAnsi="Times New Roman"/>
          <w:color w:val="auto"/>
          <w:sz w:val="24"/>
          <w:szCs w:val="24"/>
          <w:lang w:val="en-US"/>
        </w:rPr>
        <w:t xml:space="preserve">. </w:t>
      </w:r>
    </w:p>
    <w:p w14:paraId="625CD999" w14:textId="77777777" w:rsidR="0062331F" w:rsidRPr="0093633A" w:rsidRDefault="0062331F" w:rsidP="00941E30">
      <w:pPr>
        <w:pStyle w:val="ListParagraph"/>
        <w:jc w:val="both"/>
        <w:rPr>
          <w:rFonts w:ascii="Times New Roman" w:hAnsi="Times New Roman"/>
          <w:color w:val="auto"/>
          <w:sz w:val="24"/>
          <w:szCs w:val="24"/>
          <w:lang w:val="en-US"/>
        </w:rPr>
      </w:pPr>
    </w:p>
    <w:p w14:paraId="1F14ADF5" w14:textId="77777777" w:rsidR="00CE5650" w:rsidRPr="000A53F6" w:rsidRDefault="00CE5650" w:rsidP="00941E30">
      <w:pPr>
        <w:pStyle w:val="ListParagraph"/>
        <w:numPr>
          <w:ilvl w:val="1"/>
          <w:numId w:val="90"/>
        </w:numPr>
        <w:jc w:val="both"/>
        <w:rPr>
          <w:rFonts w:ascii="Times New Roman" w:hAnsi="Times New Roman"/>
          <w:b/>
          <w:color w:val="auto"/>
          <w:sz w:val="24"/>
          <w:szCs w:val="24"/>
          <w:lang w:val="en-US"/>
        </w:rPr>
      </w:pPr>
      <w:r w:rsidRPr="000A53F6">
        <w:rPr>
          <w:rFonts w:ascii="Times New Roman" w:hAnsi="Times New Roman"/>
          <w:b/>
          <w:color w:val="auto"/>
          <w:sz w:val="24"/>
          <w:szCs w:val="24"/>
          <w:lang w:val="en-US"/>
        </w:rPr>
        <w:t>CCOD</w:t>
      </w:r>
    </w:p>
    <w:p w14:paraId="77624EA4" w14:textId="77777777" w:rsidR="00CE5650" w:rsidRPr="0093633A" w:rsidRDefault="00CE5650" w:rsidP="00941E30">
      <w:pPr>
        <w:pStyle w:val="ListParagraph"/>
        <w:ind w:left="786"/>
        <w:jc w:val="both"/>
        <w:rPr>
          <w:rFonts w:ascii="Times New Roman" w:hAnsi="Times New Roman"/>
          <w:color w:val="auto"/>
          <w:sz w:val="24"/>
          <w:szCs w:val="24"/>
          <w:lang w:val="en-US"/>
        </w:rPr>
      </w:pPr>
    </w:p>
    <w:p w14:paraId="116FE417" w14:textId="77777777" w:rsidR="0062331F" w:rsidRPr="0093633A" w:rsidRDefault="0062331F">
      <w:pPr>
        <w:pStyle w:val="ListParagraph"/>
        <w:numPr>
          <w:ilvl w:val="0"/>
          <w:numId w:val="12"/>
        </w:numPr>
        <w:spacing w:line="360" w:lineRule="auto"/>
        <w:jc w:val="both"/>
        <w:rPr>
          <w:rFonts w:ascii="Times New Roman" w:hAnsi="Times New Roman"/>
          <w:color w:val="auto"/>
          <w:sz w:val="24"/>
          <w:szCs w:val="24"/>
          <w:lang w:val="en-US"/>
        </w:rPr>
      </w:pPr>
      <w:r w:rsidRPr="0093633A">
        <w:rPr>
          <w:rFonts w:ascii="Times New Roman" w:hAnsi="Times New Roman"/>
          <w:color w:val="auto"/>
          <w:sz w:val="24"/>
          <w:szCs w:val="24"/>
          <w:lang w:val="en-US"/>
        </w:rPr>
        <w:t>The CCOD should furnish the Committee with a progress report on the compensation legislation.</w:t>
      </w:r>
    </w:p>
    <w:p w14:paraId="0C8DF93C" w14:textId="77777777" w:rsidR="009320AE" w:rsidRDefault="009320AE">
      <w:pPr>
        <w:pStyle w:val="ListParagraph"/>
        <w:numPr>
          <w:ilvl w:val="0"/>
          <w:numId w:val="12"/>
        </w:numPr>
        <w:spacing w:line="360" w:lineRule="auto"/>
        <w:jc w:val="both"/>
        <w:rPr>
          <w:rFonts w:ascii="Times New Roman" w:hAnsi="Times New Roman"/>
          <w:color w:val="auto"/>
          <w:sz w:val="24"/>
          <w:szCs w:val="24"/>
          <w:lang w:val="en-US"/>
        </w:rPr>
      </w:pPr>
      <w:r w:rsidRPr="0093633A">
        <w:rPr>
          <w:rFonts w:ascii="Times New Roman" w:hAnsi="Times New Roman"/>
          <w:color w:val="auto"/>
          <w:sz w:val="24"/>
          <w:szCs w:val="24"/>
          <w:lang w:val="en-US"/>
        </w:rPr>
        <w:t xml:space="preserve">The CCOD should </w:t>
      </w:r>
      <w:r w:rsidR="00AA6883" w:rsidRPr="0093633A">
        <w:rPr>
          <w:rFonts w:ascii="Times New Roman" w:hAnsi="Times New Roman"/>
          <w:color w:val="auto"/>
          <w:sz w:val="24"/>
          <w:szCs w:val="24"/>
          <w:lang w:val="en-US"/>
        </w:rPr>
        <w:t>accelerate</w:t>
      </w:r>
      <w:r w:rsidRPr="0093633A">
        <w:rPr>
          <w:rFonts w:ascii="Times New Roman" w:hAnsi="Times New Roman"/>
          <w:color w:val="auto"/>
          <w:sz w:val="24"/>
          <w:szCs w:val="24"/>
          <w:lang w:val="en-US"/>
        </w:rPr>
        <w:t xml:space="preserve"> the backlog of annual</w:t>
      </w:r>
      <w:r w:rsidR="00402E01">
        <w:rPr>
          <w:rFonts w:ascii="Times New Roman" w:hAnsi="Times New Roman"/>
          <w:color w:val="auto"/>
          <w:sz w:val="24"/>
          <w:szCs w:val="24"/>
          <w:lang w:val="en-US"/>
        </w:rPr>
        <w:t xml:space="preserve"> reports and</w:t>
      </w:r>
      <w:r w:rsidRPr="0093633A">
        <w:rPr>
          <w:rFonts w:ascii="Times New Roman" w:hAnsi="Times New Roman"/>
          <w:color w:val="auto"/>
          <w:sz w:val="24"/>
          <w:szCs w:val="24"/>
          <w:lang w:val="en-US"/>
        </w:rPr>
        <w:t xml:space="preserve"> financial statements is cleared.</w:t>
      </w:r>
    </w:p>
    <w:p w14:paraId="3D9F3316" w14:textId="77777777" w:rsidR="00402E01" w:rsidRPr="0093633A" w:rsidRDefault="00402E01">
      <w:pPr>
        <w:pStyle w:val="ListParagraph"/>
        <w:numPr>
          <w:ilvl w:val="0"/>
          <w:numId w:val="12"/>
        </w:numPr>
        <w:spacing w:line="360" w:lineRule="auto"/>
        <w:jc w:val="both"/>
        <w:rPr>
          <w:rFonts w:ascii="Times New Roman" w:hAnsi="Times New Roman"/>
          <w:color w:val="auto"/>
          <w:sz w:val="24"/>
          <w:szCs w:val="24"/>
          <w:lang w:val="en-US"/>
        </w:rPr>
      </w:pPr>
      <w:r>
        <w:rPr>
          <w:rFonts w:ascii="Times New Roman" w:hAnsi="Times New Roman"/>
          <w:color w:val="auto"/>
          <w:sz w:val="24"/>
          <w:szCs w:val="24"/>
          <w:lang w:val="en-US"/>
        </w:rPr>
        <w:t>Ensure that decentralized services reach different provinces.</w:t>
      </w:r>
    </w:p>
    <w:p w14:paraId="1F77A6FD" w14:textId="77777777" w:rsidR="000C5C1E" w:rsidRPr="0093633A" w:rsidRDefault="000C5C1E">
      <w:pPr>
        <w:spacing w:line="360" w:lineRule="auto"/>
        <w:jc w:val="both"/>
        <w:rPr>
          <w:rFonts w:ascii="Times New Roman" w:hAnsi="Times New Roman"/>
          <w:color w:val="auto"/>
          <w:sz w:val="24"/>
          <w:szCs w:val="24"/>
          <w:lang w:val="en-US"/>
        </w:rPr>
      </w:pPr>
    </w:p>
    <w:p w14:paraId="4C4E0323" w14:textId="77777777" w:rsidR="00AF547A" w:rsidRPr="0093633A" w:rsidRDefault="00AF547A">
      <w:pPr>
        <w:spacing w:line="360" w:lineRule="auto"/>
        <w:jc w:val="both"/>
        <w:rPr>
          <w:rFonts w:ascii="Times New Roman" w:hAnsi="Times New Roman"/>
          <w:color w:val="auto"/>
          <w:sz w:val="24"/>
          <w:szCs w:val="24"/>
          <w:lang w:val="en-US"/>
        </w:rPr>
      </w:pPr>
      <w:r w:rsidRPr="0093633A">
        <w:rPr>
          <w:rFonts w:ascii="Times New Roman" w:hAnsi="Times New Roman"/>
          <w:color w:val="auto"/>
          <w:sz w:val="24"/>
          <w:szCs w:val="24"/>
          <w:lang w:val="en-US"/>
        </w:rPr>
        <w:t>Unless otherwise indicated, the</w:t>
      </w:r>
      <w:r w:rsidR="0035670F" w:rsidRPr="0093633A">
        <w:rPr>
          <w:rFonts w:ascii="Times New Roman" w:hAnsi="Times New Roman"/>
          <w:color w:val="auto"/>
          <w:sz w:val="24"/>
          <w:szCs w:val="24"/>
          <w:lang w:val="en-US"/>
        </w:rPr>
        <w:t xml:space="preserve"> </w:t>
      </w:r>
      <w:r w:rsidRPr="0093633A">
        <w:rPr>
          <w:rFonts w:ascii="Times New Roman" w:hAnsi="Times New Roman"/>
          <w:color w:val="auto"/>
          <w:sz w:val="24"/>
          <w:szCs w:val="24"/>
          <w:lang w:val="en-US"/>
        </w:rPr>
        <w:t>Department</w:t>
      </w:r>
      <w:r w:rsidR="0035670F" w:rsidRPr="0093633A">
        <w:rPr>
          <w:rFonts w:ascii="Times New Roman" w:hAnsi="Times New Roman"/>
          <w:color w:val="auto"/>
          <w:sz w:val="24"/>
          <w:szCs w:val="24"/>
          <w:lang w:val="en-US"/>
        </w:rPr>
        <w:t xml:space="preserve"> </w:t>
      </w:r>
      <w:r w:rsidRPr="0093633A">
        <w:rPr>
          <w:rFonts w:ascii="Times New Roman" w:hAnsi="Times New Roman"/>
          <w:color w:val="auto"/>
          <w:sz w:val="24"/>
          <w:szCs w:val="24"/>
          <w:lang w:val="en-US"/>
        </w:rPr>
        <w:t>should respond to the recommendations in three months from the day the report is adopted by the House.</w:t>
      </w:r>
    </w:p>
    <w:p w14:paraId="67DB3DA3" w14:textId="77777777" w:rsidR="00AF547A" w:rsidRPr="0093633A" w:rsidRDefault="00AF547A" w:rsidP="00941E30">
      <w:pPr>
        <w:jc w:val="both"/>
        <w:rPr>
          <w:rFonts w:ascii="Times New Roman" w:hAnsi="Times New Roman"/>
          <w:b/>
          <w:color w:val="auto"/>
          <w:sz w:val="24"/>
          <w:szCs w:val="24"/>
          <w:lang w:val="en-ZA"/>
        </w:rPr>
      </w:pPr>
    </w:p>
    <w:p w14:paraId="60D893F1" w14:textId="77777777" w:rsidR="00AF547A" w:rsidRPr="0093633A" w:rsidRDefault="00AF547A" w:rsidP="00941E30">
      <w:pPr>
        <w:jc w:val="both"/>
        <w:rPr>
          <w:rFonts w:ascii="Times New Roman" w:hAnsi="Times New Roman"/>
          <w:color w:val="auto"/>
          <w:sz w:val="24"/>
          <w:szCs w:val="24"/>
          <w:lang w:val="en-US"/>
        </w:rPr>
      </w:pPr>
      <w:r w:rsidRPr="0093633A">
        <w:rPr>
          <w:rFonts w:ascii="Times New Roman" w:hAnsi="Times New Roman"/>
          <w:b/>
          <w:color w:val="auto"/>
          <w:sz w:val="24"/>
          <w:szCs w:val="24"/>
          <w:lang w:val="en-ZA"/>
        </w:rPr>
        <w:t>Report to be considered</w:t>
      </w:r>
      <w:r w:rsidR="00B44EA4" w:rsidRPr="0093633A">
        <w:rPr>
          <w:rFonts w:ascii="Times New Roman" w:hAnsi="Times New Roman"/>
          <w:b/>
          <w:color w:val="auto"/>
          <w:sz w:val="24"/>
          <w:szCs w:val="24"/>
          <w:lang w:val="en-ZA"/>
        </w:rPr>
        <w:t>.</w:t>
      </w:r>
      <w:r w:rsidRPr="0093633A">
        <w:rPr>
          <w:rFonts w:ascii="Times New Roman" w:hAnsi="Times New Roman"/>
          <w:b/>
          <w:color w:val="auto"/>
          <w:sz w:val="24"/>
          <w:szCs w:val="24"/>
          <w:lang w:val="en-ZA"/>
        </w:rPr>
        <w:t xml:space="preserve">   </w:t>
      </w:r>
    </w:p>
    <w:p w14:paraId="6FB07CCF" w14:textId="77777777" w:rsidR="009F33B2" w:rsidRPr="00941E30" w:rsidRDefault="009F33B2" w:rsidP="00941E30">
      <w:pPr>
        <w:jc w:val="both"/>
        <w:rPr>
          <w:rFonts w:ascii="Times New Roman" w:hAnsi="Times New Roman"/>
          <w:lang w:val="en-US"/>
        </w:rPr>
      </w:pPr>
    </w:p>
    <w:sectPr w:rsidR="009F33B2" w:rsidRPr="00941E30" w:rsidSect="00B43B26">
      <w:footerReference w:type="even" r:id="rId17"/>
      <w:footerReference w:type="default" r:id="rId18"/>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6231" w14:textId="77777777" w:rsidR="00903282" w:rsidRDefault="00903282">
      <w:r>
        <w:separator/>
      </w:r>
    </w:p>
  </w:endnote>
  <w:endnote w:type="continuationSeparator" w:id="0">
    <w:p w14:paraId="02BB295F" w14:textId="77777777" w:rsidR="00903282" w:rsidRDefault="0090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6B9C" w14:textId="77777777" w:rsidR="00CC75C4" w:rsidRDefault="00CC75C4"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72FB2" w14:textId="77777777" w:rsidR="00CC75C4" w:rsidRDefault="00CC75C4" w:rsidP="008B1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BB5D" w14:textId="5E882D8E" w:rsidR="00CC75C4" w:rsidRDefault="00CC75C4" w:rsidP="00FA2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FAC">
      <w:rPr>
        <w:rStyle w:val="PageNumber"/>
        <w:noProof/>
      </w:rPr>
      <w:t>5</w:t>
    </w:r>
    <w:r>
      <w:rPr>
        <w:rStyle w:val="PageNumber"/>
      </w:rPr>
      <w:fldChar w:fldCharType="end"/>
    </w:r>
  </w:p>
  <w:p w14:paraId="6274DAAD" w14:textId="77777777" w:rsidR="00CC75C4" w:rsidRDefault="00CC75C4" w:rsidP="008B1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0E12" w14:textId="77777777" w:rsidR="00903282" w:rsidRDefault="00903282">
      <w:r>
        <w:separator/>
      </w:r>
    </w:p>
  </w:footnote>
  <w:footnote w:type="continuationSeparator" w:id="0">
    <w:p w14:paraId="1A0F8E52" w14:textId="77777777" w:rsidR="00903282" w:rsidRDefault="00903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20"/>
    <w:multiLevelType w:val="hybridMultilevel"/>
    <w:tmpl w:val="4D145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F663D9"/>
    <w:multiLevelType w:val="hybridMultilevel"/>
    <w:tmpl w:val="2DB015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BD64FF"/>
    <w:multiLevelType w:val="hybridMultilevel"/>
    <w:tmpl w:val="995AB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052FF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7877B7D"/>
    <w:multiLevelType w:val="multilevel"/>
    <w:tmpl w:val="6E16CB1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F56A91"/>
    <w:multiLevelType w:val="multilevel"/>
    <w:tmpl w:val="9628242C"/>
    <w:lvl w:ilvl="0">
      <w:start w:val="1"/>
      <w:numFmt w:val="decimal"/>
      <w:lvlText w:val="%1."/>
      <w:lvlJc w:val="left"/>
      <w:pPr>
        <w:ind w:left="360" w:hanging="360"/>
      </w:pPr>
      <w:rPr>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B807084"/>
    <w:multiLevelType w:val="hybridMultilevel"/>
    <w:tmpl w:val="5EC41D9E"/>
    <w:lvl w:ilvl="0" w:tplc="1C090001">
      <w:start w:val="1"/>
      <w:numFmt w:val="bullet"/>
      <w:lvlText w:val=""/>
      <w:lvlJc w:val="left"/>
      <w:pPr>
        <w:ind w:left="720" w:hanging="360"/>
      </w:pPr>
      <w:rPr>
        <w:rFonts w:ascii="Symbol" w:hAnsi="Symbol" w:hint="default"/>
      </w:rPr>
    </w:lvl>
    <w:lvl w:ilvl="1" w:tplc="B7E0AB5A">
      <w:start w:val="5"/>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EC1315"/>
    <w:multiLevelType w:val="multilevel"/>
    <w:tmpl w:val="90BCF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C9F4FBC"/>
    <w:multiLevelType w:val="hybridMultilevel"/>
    <w:tmpl w:val="7A360712"/>
    <w:lvl w:ilvl="0" w:tplc="A524F076">
      <w:start w:val="1"/>
      <w:numFmt w:val="bullet"/>
      <w:lvlText w:val=""/>
      <w:lvlJc w:val="left"/>
      <w:pPr>
        <w:ind w:left="720" w:hanging="360"/>
      </w:pPr>
      <w:rPr>
        <w:rFonts w:ascii="Times New Roman" w:hAnsi="Times New Roman" w:cs="Times New Roman"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D6E582C"/>
    <w:multiLevelType w:val="hybridMultilevel"/>
    <w:tmpl w:val="93ACC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FF72596"/>
    <w:multiLevelType w:val="hybridMultilevel"/>
    <w:tmpl w:val="6054C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0872DAA"/>
    <w:multiLevelType w:val="hybridMultilevel"/>
    <w:tmpl w:val="ED208A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0FA6A11"/>
    <w:multiLevelType w:val="hybridMultilevel"/>
    <w:tmpl w:val="60E215EE"/>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4DA29E5"/>
    <w:multiLevelType w:val="hybridMultilevel"/>
    <w:tmpl w:val="E0444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3C5B23"/>
    <w:multiLevelType w:val="hybridMultilevel"/>
    <w:tmpl w:val="18D06C4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5">
    <w:nsid w:val="15494813"/>
    <w:multiLevelType w:val="multilevel"/>
    <w:tmpl w:val="9280DF2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7ED18B8"/>
    <w:multiLevelType w:val="multilevel"/>
    <w:tmpl w:val="1C09001D"/>
    <w:styleLink w:val="Style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4C1038"/>
    <w:multiLevelType w:val="hybridMultilevel"/>
    <w:tmpl w:val="D62A8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FA94B39"/>
    <w:multiLevelType w:val="hybridMultilevel"/>
    <w:tmpl w:val="284E7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0633281"/>
    <w:multiLevelType w:val="multilevel"/>
    <w:tmpl w:val="625A7B7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11A0B5E"/>
    <w:multiLevelType w:val="hybridMultilevel"/>
    <w:tmpl w:val="50C29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14D4903"/>
    <w:multiLevelType w:val="hybridMultilevel"/>
    <w:tmpl w:val="9A52C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1C0790D"/>
    <w:multiLevelType w:val="hybridMultilevel"/>
    <w:tmpl w:val="65D4E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1D517DF"/>
    <w:multiLevelType w:val="hybridMultilevel"/>
    <w:tmpl w:val="34F4D0FE"/>
    <w:lvl w:ilvl="0" w:tplc="1C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3C912A5"/>
    <w:multiLevelType w:val="hybridMultilevel"/>
    <w:tmpl w:val="D7AEC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3DD12A0"/>
    <w:multiLevelType w:val="hybridMultilevel"/>
    <w:tmpl w:val="68167D0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nsid w:val="25BD764D"/>
    <w:multiLevelType w:val="hybridMultilevel"/>
    <w:tmpl w:val="2474DE00"/>
    <w:lvl w:ilvl="0" w:tplc="C4600CF2">
      <w:start w:val="19"/>
      <w:numFmt w:val="bullet"/>
      <w:lvlText w:val="-"/>
      <w:lvlJc w:val="left"/>
      <w:pPr>
        <w:ind w:left="1140" w:hanging="360"/>
      </w:pPr>
      <w:rPr>
        <w:rFonts w:ascii="Times New Roman" w:eastAsia="Times New Roman" w:hAnsi="Times New Roman" w:cs="Times New Roman"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7">
    <w:nsid w:val="26542289"/>
    <w:multiLevelType w:val="hybridMultilevel"/>
    <w:tmpl w:val="1D2C7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7E650CA"/>
    <w:multiLevelType w:val="hybridMultilevel"/>
    <w:tmpl w:val="EFC4F244"/>
    <w:lvl w:ilvl="0" w:tplc="87DA3B86">
      <w:start w:val="1"/>
      <w:numFmt w:val="bullet"/>
      <w:lvlText w:val=""/>
      <w:lvlJc w:val="left"/>
      <w:pPr>
        <w:ind w:left="644" w:hanging="360"/>
      </w:pPr>
      <w:rPr>
        <w:rFonts w:ascii="Symbol" w:hAnsi="Symbol" w:hint="default"/>
        <w:color w:val="auto"/>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8573CB2"/>
    <w:multiLevelType w:val="hybridMultilevel"/>
    <w:tmpl w:val="85AA5B7A"/>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30">
    <w:nsid w:val="2A681CAE"/>
    <w:multiLevelType w:val="hybridMultilevel"/>
    <w:tmpl w:val="03482A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B9653A4"/>
    <w:multiLevelType w:val="hybridMultilevel"/>
    <w:tmpl w:val="491C48D2"/>
    <w:lvl w:ilvl="0" w:tplc="A2AC49D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C3B1C77"/>
    <w:multiLevelType w:val="multilevel"/>
    <w:tmpl w:val="7B341D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D154D7F"/>
    <w:multiLevelType w:val="hybridMultilevel"/>
    <w:tmpl w:val="6D4C9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DD57456"/>
    <w:multiLevelType w:val="multilevel"/>
    <w:tmpl w:val="E37A782C"/>
    <w:styleLink w:val="Style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E746491"/>
    <w:multiLevelType w:val="multilevel"/>
    <w:tmpl w:val="2F22B51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EA650C2"/>
    <w:multiLevelType w:val="hybridMultilevel"/>
    <w:tmpl w:val="2FE013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F5C0879"/>
    <w:multiLevelType w:val="multilevel"/>
    <w:tmpl w:val="8ACE8DFA"/>
    <w:lvl w:ilvl="0">
      <w:start w:val="4"/>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0DB7EA9"/>
    <w:multiLevelType w:val="hybridMultilevel"/>
    <w:tmpl w:val="4BFA422A"/>
    <w:lvl w:ilvl="0" w:tplc="D6B0DBBE">
      <w:start w:val="1"/>
      <w:numFmt w:val="bullet"/>
      <w:lvlText w:val=""/>
      <w:lvlJc w:val="left"/>
      <w:pPr>
        <w:ind w:left="720" w:hanging="360"/>
      </w:pPr>
      <w:rPr>
        <w:rFonts w:ascii="Symbol" w:hAnsi="Symbol" w:hint="default"/>
        <w:color w:val="auto"/>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42C2865"/>
    <w:multiLevelType w:val="multilevel"/>
    <w:tmpl w:val="D31A4CE8"/>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48A4505"/>
    <w:multiLevelType w:val="multilevel"/>
    <w:tmpl w:val="E3001478"/>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50840E3"/>
    <w:multiLevelType w:val="hybridMultilevel"/>
    <w:tmpl w:val="14349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5123C5F"/>
    <w:multiLevelType w:val="hybridMultilevel"/>
    <w:tmpl w:val="7BA869AA"/>
    <w:lvl w:ilvl="0" w:tplc="1C090001">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7561B7E"/>
    <w:multiLevelType w:val="hybridMultilevel"/>
    <w:tmpl w:val="AFEEC774"/>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44">
    <w:nsid w:val="37655018"/>
    <w:multiLevelType w:val="hybridMultilevel"/>
    <w:tmpl w:val="3B0A6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37B43DC2"/>
    <w:multiLevelType w:val="multilevel"/>
    <w:tmpl w:val="EFC05F7A"/>
    <w:lvl w:ilvl="0">
      <w:start w:val="1"/>
      <w:numFmt w:val="decimal"/>
      <w:lvlText w:val="%1."/>
      <w:lvlJc w:val="left"/>
      <w:pPr>
        <w:ind w:left="360" w:hanging="360"/>
      </w:pPr>
      <w:rPr>
        <w:rFonts w:hint="default"/>
        <w:b/>
        <w:sz w:val="24"/>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383333AE"/>
    <w:multiLevelType w:val="hybridMultilevel"/>
    <w:tmpl w:val="CC8247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7">
    <w:nsid w:val="3898584E"/>
    <w:multiLevelType w:val="multilevel"/>
    <w:tmpl w:val="D3BC827E"/>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394834DD"/>
    <w:multiLevelType w:val="hybridMultilevel"/>
    <w:tmpl w:val="96D4A6F6"/>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636" w:hanging="360"/>
      </w:pPr>
      <w:rPr>
        <w:rFonts w:ascii="Courier New" w:hAnsi="Courier New" w:cs="Courier New" w:hint="default"/>
      </w:rPr>
    </w:lvl>
    <w:lvl w:ilvl="2" w:tplc="1C090005" w:tentative="1">
      <w:start w:val="1"/>
      <w:numFmt w:val="bullet"/>
      <w:lvlText w:val=""/>
      <w:lvlJc w:val="left"/>
      <w:pPr>
        <w:ind w:left="1356" w:hanging="360"/>
      </w:pPr>
      <w:rPr>
        <w:rFonts w:ascii="Wingdings" w:hAnsi="Wingdings" w:hint="default"/>
      </w:rPr>
    </w:lvl>
    <w:lvl w:ilvl="3" w:tplc="1C090001" w:tentative="1">
      <w:start w:val="1"/>
      <w:numFmt w:val="bullet"/>
      <w:lvlText w:val=""/>
      <w:lvlJc w:val="left"/>
      <w:pPr>
        <w:ind w:left="2076" w:hanging="360"/>
      </w:pPr>
      <w:rPr>
        <w:rFonts w:ascii="Symbol" w:hAnsi="Symbol" w:hint="default"/>
      </w:rPr>
    </w:lvl>
    <w:lvl w:ilvl="4" w:tplc="1C090003" w:tentative="1">
      <w:start w:val="1"/>
      <w:numFmt w:val="bullet"/>
      <w:lvlText w:val="o"/>
      <w:lvlJc w:val="left"/>
      <w:pPr>
        <w:ind w:left="2796" w:hanging="360"/>
      </w:pPr>
      <w:rPr>
        <w:rFonts w:ascii="Courier New" w:hAnsi="Courier New" w:cs="Courier New" w:hint="default"/>
      </w:rPr>
    </w:lvl>
    <w:lvl w:ilvl="5" w:tplc="1C090005" w:tentative="1">
      <w:start w:val="1"/>
      <w:numFmt w:val="bullet"/>
      <w:lvlText w:val=""/>
      <w:lvlJc w:val="left"/>
      <w:pPr>
        <w:ind w:left="3516" w:hanging="360"/>
      </w:pPr>
      <w:rPr>
        <w:rFonts w:ascii="Wingdings" w:hAnsi="Wingdings" w:hint="default"/>
      </w:rPr>
    </w:lvl>
    <w:lvl w:ilvl="6" w:tplc="1C090001" w:tentative="1">
      <w:start w:val="1"/>
      <w:numFmt w:val="bullet"/>
      <w:lvlText w:val=""/>
      <w:lvlJc w:val="left"/>
      <w:pPr>
        <w:ind w:left="4236" w:hanging="360"/>
      </w:pPr>
      <w:rPr>
        <w:rFonts w:ascii="Symbol" w:hAnsi="Symbol" w:hint="default"/>
      </w:rPr>
    </w:lvl>
    <w:lvl w:ilvl="7" w:tplc="1C090003" w:tentative="1">
      <w:start w:val="1"/>
      <w:numFmt w:val="bullet"/>
      <w:lvlText w:val="o"/>
      <w:lvlJc w:val="left"/>
      <w:pPr>
        <w:ind w:left="4956" w:hanging="360"/>
      </w:pPr>
      <w:rPr>
        <w:rFonts w:ascii="Courier New" w:hAnsi="Courier New" w:cs="Courier New" w:hint="default"/>
      </w:rPr>
    </w:lvl>
    <w:lvl w:ilvl="8" w:tplc="1C090005" w:tentative="1">
      <w:start w:val="1"/>
      <w:numFmt w:val="bullet"/>
      <w:lvlText w:val=""/>
      <w:lvlJc w:val="left"/>
      <w:pPr>
        <w:ind w:left="5676" w:hanging="360"/>
      </w:pPr>
      <w:rPr>
        <w:rFonts w:ascii="Wingdings" w:hAnsi="Wingdings" w:hint="default"/>
      </w:rPr>
    </w:lvl>
  </w:abstractNum>
  <w:abstractNum w:abstractNumId="49">
    <w:nsid w:val="3981475B"/>
    <w:multiLevelType w:val="multilevel"/>
    <w:tmpl w:val="66A2F38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3C386F15"/>
    <w:multiLevelType w:val="hybridMultilevel"/>
    <w:tmpl w:val="A66E6E3A"/>
    <w:lvl w:ilvl="0" w:tplc="42844A60">
      <w:start w:val="1"/>
      <w:numFmt w:val="bullet"/>
      <w:lvlText w:val="•"/>
      <w:lvlJc w:val="left"/>
      <w:pPr>
        <w:tabs>
          <w:tab w:val="num" w:pos="720"/>
        </w:tabs>
        <w:ind w:left="720" w:hanging="360"/>
      </w:pPr>
      <w:rPr>
        <w:rFonts w:ascii="Arial" w:hAnsi="Arial" w:hint="default"/>
      </w:rPr>
    </w:lvl>
    <w:lvl w:ilvl="1" w:tplc="B66846F4" w:tentative="1">
      <w:start w:val="1"/>
      <w:numFmt w:val="bullet"/>
      <w:lvlText w:val="•"/>
      <w:lvlJc w:val="left"/>
      <w:pPr>
        <w:tabs>
          <w:tab w:val="num" w:pos="1440"/>
        </w:tabs>
        <w:ind w:left="1440" w:hanging="360"/>
      </w:pPr>
      <w:rPr>
        <w:rFonts w:ascii="Arial" w:hAnsi="Arial" w:hint="default"/>
      </w:rPr>
    </w:lvl>
    <w:lvl w:ilvl="2" w:tplc="9476034A" w:tentative="1">
      <w:start w:val="1"/>
      <w:numFmt w:val="bullet"/>
      <w:lvlText w:val="•"/>
      <w:lvlJc w:val="left"/>
      <w:pPr>
        <w:tabs>
          <w:tab w:val="num" w:pos="2160"/>
        </w:tabs>
        <w:ind w:left="2160" w:hanging="360"/>
      </w:pPr>
      <w:rPr>
        <w:rFonts w:ascii="Arial" w:hAnsi="Arial" w:hint="default"/>
      </w:rPr>
    </w:lvl>
    <w:lvl w:ilvl="3" w:tplc="A23A1F98" w:tentative="1">
      <w:start w:val="1"/>
      <w:numFmt w:val="bullet"/>
      <w:lvlText w:val="•"/>
      <w:lvlJc w:val="left"/>
      <w:pPr>
        <w:tabs>
          <w:tab w:val="num" w:pos="2880"/>
        </w:tabs>
        <w:ind w:left="2880" w:hanging="360"/>
      </w:pPr>
      <w:rPr>
        <w:rFonts w:ascii="Arial" w:hAnsi="Arial" w:hint="default"/>
      </w:rPr>
    </w:lvl>
    <w:lvl w:ilvl="4" w:tplc="5BDEBC44" w:tentative="1">
      <w:start w:val="1"/>
      <w:numFmt w:val="bullet"/>
      <w:lvlText w:val="•"/>
      <w:lvlJc w:val="left"/>
      <w:pPr>
        <w:tabs>
          <w:tab w:val="num" w:pos="3600"/>
        </w:tabs>
        <w:ind w:left="3600" w:hanging="360"/>
      </w:pPr>
      <w:rPr>
        <w:rFonts w:ascii="Arial" w:hAnsi="Arial" w:hint="default"/>
      </w:rPr>
    </w:lvl>
    <w:lvl w:ilvl="5" w:tplc="087E281E" w:tentative="1">
      <w:start w:val="1"/>
      <w:numFmt w:val="bullet"/>
      <w:lvlText w:val="•"/>
      <w:lvlJc w:val="left"/>
      <w:pPr>
        <w:tabs>
          <w:tab w:val="num" w:pos="4320"/>
        </w:tabs>
        <w:ind w:left="4320" w:hanging="360"/>
      </w:pPr>
      <w:rPr>
        <w:rFonts w:ascii="Arial" w:hAnsi="Arial" w:hint="default"/>
      </w:rPr>
    </w:lvl>
    <w:lvl w:ilvl="6" w:tplc="4F7CA236" w:tentative="1">
      <w:start w:val="1"/>
      <w:numFmt w:val="bullet"/>
      <w:lvlText w:val="•"/>
      <w:lvlJc w:val="left"/>
      <w:pPr>
        <w:tabs>
          <w:tab w:val="num" w:pos="5040"/>
        </w:tabs>
        <w:ind w:left="5040" w:hanging="360"/>
      </w:pPr>
      <w:rPr>
        <w:rFonts w:ascii="Arial" w:hAnsi="Arial" w:hint="default"/>
      </w:rPr>
    </w:lvl>
    <w:lvl w:ilvl="7" w:tplc="7BD89BDE" w:tentative="1">
      <w:start w:val="1"/>
      <w:numFmt w:val="bullet"/>
      <w:lvlText w:val="•"/>
      <w:lvlJc w:val="left"/>
      <w:pPr>
        <w:tabs>
          <w:tab w:val="num" w:pos="5760"/>
        </w:tabs>
        <w:ind w:left="5760" w:hanging="360"/>
      </w:pPr>
      <w:rPr>
        <w:rFonts w:ascii="Arial" w:hAnsi="Arial" w:hint="default"/>
      </w:rPr>
    </w:lvl>
    <w:lvl w:ilvl="8" w:tplc="0BA62CE8" w:tentative="1">
      <w:start w:val="1"/>
      <w:numFmt w:val="bullet"/>
      <w:lvlText w:val="•"/>
      <w:lvlJc w:val="left"/>
      <w:pPr>
        <w:tabs>
          <w:tab w:val="num" w:pos="6480"/>
        </w:tabs>
        <w:ind w:left="6480" w:hanging="360"/>
      </w:pPr>
      <w:rPr>
        <w:rFonts w:ascii="Arial" w:hAnsi="Arial" w:hint="default"/>
      </w:rPr>
    </w:lvl>
  </w:abstractNum>
  <w:abstractNum w:abstractNumId="51">
    <w:nsid w:val="3C96019E"/>
    <w:multiLevelType w:val="hybridMultilevel"/>
    <w:tmpl w:val="50543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3DD838DC"/>
    <w:multiLevelType w:val="multilevel"/>
    <w:tmpl w:val="30163E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42160385"/>
    <w:multiLevelType w:val="hybridMultilevel"/>
    <w:tmpl w:val="1DAE1A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nsid w:val="47EC7547"/>
    <w:multiLevelType w:val="hybridMultilevel"/>
    <w:tmpl w:val="2FB45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AF72F31"/>
    <w:multiLevelType w:val="hybridMultilevel"/>
    <w:tmpl w:val="6EAAD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4C0C3B60"/>
    <w:multiLevelType w:val="hybridMultilevel"/>
    <w:tmpl w:val="4956B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C6D30EF"/>
    <w:multiLevelType w:val="hybridMultilevel"/>
    <w:tmpl w:val="A24A7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D1A1764"/>
    <w:multiLevelType w:val="hybridMultilevel"/>
    <w:tmpl w:val="F7589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EDA4FA5"/>
    <w:multiLevelType w:val="hybridMultilevel"/>
    <w:tmpl w:val="88549538"/>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60">
    <w:nsid w:val="50A810A9"/>
    <w:multiLevelType w:val="multilevel"/>
    <w:tmpl w:val="C1902AA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1">
    <w:nsid w:val="50BA2BC1"/>
    <w:multiLevelType w:val="hybridMultilevel"/>
    <w:tmpl w:val="87986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51D52ACC"/>
    <w:multiLevelType w:val="hybridMultilevel"/>
    <w:tmpl w:val="873A1C1E"/>
    <w:lvl w:ilvl="0" w:tplc="1C090001">
      <w:start w:val="1"/>
      <w:numFmt w:val="bullet"/>
      <w:lvlText w:val=""/>
      <w:lvlJc w:val="left"/>
      <w:pPr>
        <w:ind w:left="720" w:hanging="360"/>
      </w:pPr>
      <w:rPr>
        <w:rFonts w:ascii="Symbol" w:hAnsi="Symbol" w:hint="default"/>
      </w:rPr>
    </w:lvl>
    <w:lvl w:ilvl="1" w:tplc="11B23ABE">
      <w:numFmt w:val="bullet"/>
      <w:lvlText w:val="•"/>
      <w:lvlJc w:val="left"/>
      <w:pPr>
        <w:ind w:left="1440" w:hanging="360"/>
      </w:pPr>
      <w:rPr>
        <w:rFonts w:ascii="Arial" w:eastAsiaTheme="minorHAnsi" w:hAnsi="Arial" w:cs="Arial" w:hint="default"/>
        <w:color w:val="595A5A"/>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52861AC5"/>
    <w:multiLevelType w:val="hybridMultilevel"/>
    <w:tmpl w:val="7AE649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52CB0D1B"/>
    <w:multiLevelType w:val="multilevel"/>
    <w:tmpl w:val="122C9A8A"/>
    <w:lvl w:ilvl="0">
      <w:start w:val="2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52E848F8"/>
    <w:multiLevelType w:val="hybridMultilevel"/>
    <w:tmpl w:val="44A020C4"/>
    <w:lvl w:ilvl="0" w:tplc="78FE4620">
      <w:start w:val="1"/>
      <w:numFmt w:val="bullet"/>
      <w:lvlText w:val=""/>
      <w:lvlJc w:val="left"/>
      <w:pPr>
        <w:ind w:left="786" w:hanging="360"/>
      </w:pPr>
      <w:rPr>
        <w:rFonts w:ascii="Symbol" w:hAnsi="Symbol" w:hint="default"/>
        <w:sz w:val="24"/>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6">
    <w:nsid w:val="53907096"/>
    <w:multiLevelType w:val="hybridMultilevel"/>
    <w:tmpl w:val="DA56C5F8"/>
    <w:lvl w:ilvl="0" w:tplc="3306E912">
      <w:start w:val="1"/>
      <w:numFmt w:val="bullet"/>
      <w:lvlText w:val="•"/>
      <w:lvlJc w:val="left"/>
      <w:pPr>
        <w:tabs>
          <w:tab w:val="num" w:pos="720"/>
        </w:tabs>
        <w:ind w:left="720" w:hanging="360"/>
      </w:pPr>
      <w:rPr>
        <w:rFonts w:ascii="Arial" w:hAnsi="Arial" w:hint="default"/>
      </w:rPr>
    </w:lvl>
    <w:lvl w:ilvl="1" w:tplc="F1DAC7D8" w:tentative="1">
      <w:start w:val="1"/>
      <w:numFmt w:val="bullet"/>
      <w:lvlText w:val="•"/>
      <w:lvlJc w:val="left"/>
      <w:pPr>
        <w:tabs>
          <w:tab w:val="num" w:pos="1440"/>
        </w:tabs>
        <w:ind w:left="1440" w:hanging="360"/>
      </w:pPr>
      <w:rPr>
        <w:rFonts w:ascii="Arial" w:hAnsi="Arial" w:hint="default"/>
      </w:rPr>
    </w:lvl>
    <w:lvl w:ilvl="2" w:tplc="532AC762" w:tentative="1">
      <w:start w:val="1"/>
      <w:numFmt w:val="bullet"/>
      <w:lvlText w:val="•"/>
      <w:lvlJc w:val="left"/>
      <w:pPr>
        <w:tabs>
          <w:tab w:val="num" w:pos="2160"/>
        </w:tabs>
        <w:ind w:left="2160" w:hanging="360"/>
      </w:pPr>
      <w:rPr>
        <w:rFonts w:ascii="Arial" w:hAnsi="Arial" w:hint="default"/>
      </w:rPr>
    </w:lvl>
    <w:lvl w:ilvl="3" w:tplc="975C3A80" w:tentative="1">
      <w:start w:val="1"/>
      <w:numFmt w:val="bullet"/>
      <w:lvlText w:val="•"/>
      <w:lvlJc w:val="left"/>
      <w:pPr>
        <w:tabs>
          <w:tab w:val="num" w:pos="2880"/>
        </w:tabs>
        <w:ind w:left="2880" w:hanging="360"/>
      </w:pPr>
      <w:rPr>
        <w:rFonts w:ascii="Arial" w:hAnsi="Arial" w:hint="default"/>
      </w:rPr>
    </w:lvl>
    <w:lvl w:ilvl="4" w:tplc="B9C073F6" w:tentative="1">
      <w:start w:val="1"/>
      <w:numFmt w:val="bullet"/>
      <w:lvlText w:val="•"/>
      <w:lvlJc w:val="left"/>
      <w:pPr>
        <w:tabs>
          <w:tab w:val="num" w:pos="3600"/>
        </w:tabs>
        <w:ind w:left="3600" w:hanging="360"/>
      </w:pPr>
      <w:rPr>
        <w:rFonts w:ascii="Arial" w:hAnsi="Arial" w:hint="default"/>
      </w:rPr>
    </w:lvl>
    <w:lvl w:ilvl="5" w:tplc="214E3768" w:tentative="1">
      <w:start w:val="1"/>
      <w:numFmt w:val="bullet"/>
      <w:lvlText w:val="•"/>
      <w:lvlJc w:val="left"/>
      <w:pPr>
        <w:tabs>
          <w:tab w:val="num" w:pos="4320"/>
        </w:tabs>
        <w:ind w:left="4320" w:hanging="360"/>
      </w:pPr>
      <w:rPr>
        <w:rFonts w:ascii="Arial" w:hAnsi="Arial" w:hint="default"/>
      </w:rPr>
    </w:lvl>
    <w:lvl w:ilvl="6" w:tplc="F6C6BF96" w:tentative="1">
      <w:start w:val="1"/>
      <w:numFmt w:val="bullet"/>
      <w:lvlText w:val="•"/>
      <w:lvlJc w:val="left"/>
      <w:pPr>
        <w:tabs>
          <w:tab w:val="num" w:pos="5040"/>
        </w:tabs>
        <w:ind w:left="5040" w:hanging="360"/>
      </w:pPr>
      <w:rPr>
        <w:rFonts w:ascii="Arial" w:hAnsi="Arial" w:hint="default"/>
      </w:rPr>
    </w:lvl>
    <w:lvl w:ilvl="7" w:tplc="9190DD54" w:tentative="1">
      <w:start w:val="1"/>
      <w:numFmt w:val="bullet"/>
      <w:lvlText w:val="•"/>
      <w:lvlJc w:val="left"/>
      <w:pPr>
        <w:tabs>
          <w:tab w:val="num" w:pos="5760"/>
        </w:tabs>
        <w:ind w:left="5760" w:hanging="360"/>
      </w:pPr>
      <w:rPr>
        <w:rFonts w:ascii="Arial" w:hAnsi="Arial" w:hint="default"/>
      </w:rPr>
    </w:lvl>
    <w:lvl w:ilvl="8" w:tplc="7ED8BB5E" w:tentative="1">
      <w:start w:val="1"/>
      <w:numFmt w:val="bullet"/>
      <w:lvlText w:val="•"/>
      <w:lvlJc w:val="left"/>
      <w:pPr>
        <w:tabs>
          <w:tab w:val="num" w:pos="6480"/>
        </w:tabs>
        <w:ind w:left="6480" w:hanging="360"/>
      </w:pPr>
      <w:rPr>
        <w:rFonts w:ascii="Arial" w:hAnsi="Arial" w:hint="default"/>
      </w:rPr>
    </w:lvl>
  </w:abstractNum>
  <w:abstractNum w:abstractNumId="67">
    <w:nsid w:val="53E3799B"/>
    <w:multiLevelType w:val="hybridMultilevel"/>
    <w:tmpl w:val="F0D23730"/>
    <w:lvl w:ilvl="0" w:tplc="03CA9F46">
      <w:start w:val="2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47A03D1"/>
    <w:multiLevelType w:val="hybridMultilevel"/>
    <w:tmpl w:val="1C7C2BC0"/>
    <w:lvl w:ilvl="0" w:tplc="BB5C6F1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65962BA"/>
    <w:multiLevelType w:val="hybridMultilevel"/>
    <w:tmpl w:val="D3C82CE2"/>
    <w:lvl w:ilvl="0" w:tplc="BB5C6F12">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8370502"/>
    <w:multiLevelType w:val="hybridMultilevel"/>
    <w:tmpl w:val="040A35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nsid w:val="58657571"/>
    <w:multiLevelType w:val="hybridMultilevel"/>
    <w:tmpl w:val="837EF8F0"/>
    <w:lvl w:ilvl="0" w:tplc="AA74D8EE">
      <w:start w:val="1"/>
      <w:numFmt w:val="bullet"/>
      <w:lvlText w:val=""/>
      <w:lvlJc w:val="left"/>
      <w:pPr>
        <w:ind w:left="786" w:hanging="360"/>
      </w:pPr>
      <w:rPr>
        <w:rFonts w:ascii="Symbol" w:hAnsi="Symbol" w:hint="default"/>
        <w:color w:val="auto"/>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2">
    <w:nsid w:val="589A4E32"/>
    <w:multiLevelType w:val="hybridMultilevel"/>
    <w:tmpl w:val="3AF4F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5A901B2A"/>
    <w:multiLevelType w:val="multilevel"/>
    <w:tmpl w:val="FADC88E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AC15572"/>
    <w:multiLevelType w:val="hybridMultilevel"/>
    <w:tmpl w:val="9A485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B8952C1"/>
    <w:multiLevelType w:val="hybridMultilevel"/>
    <w:tmpl w:val="FE825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5C41688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0492465"/>
    <w:multiLevelType w:val="multilevel"/>
    <w:tmpl w:val="DD28C1A4"/>
    <w:lvl w:ilvl="0">
      <w:start w:val="4"/>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360" w:hanging="36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720" w:hanging="720"/>
      </w:pPr>
      <w:rPr>
        <w:rFonts w:ascii="Times New Roman" w:hAnsi="Times New Roman" w:cs="Times New Roman" w:hint="default"/>
        <w:b w:val="0"/>
        <w:color w:val="auto"/>
        <w:sz w:val="24"/>
      </w:rPr>
    </w:lvl>
    <w:lvl w:ilvl="4">
      <w:start w:val="1"/>
      <w:numFmt w:val="decimal"/>
      <w:lvlText w:val="%1.%2.%3.%4.%5"/>
      <w:lvlJc w:val="left"/>
      <w:pPr>
        <w:ind w:left="1080" w:hanging="1080"/>
      </w:pPr>
      <w:rPr>
        <w:rFonts w:ascii="Times New Roman" w:hAnsi="Times New Roman" w:cs="Times New Roman" w:hint="default"/>
        <w:b w:val="0"/>
        <w:color w:val="auto"/>
        <w:sz w:val="24"/>
      </w:rPr>
    </w:lvl>
    <w:lvl w:ilvl="5">
      <w:start w:val="1"/>
      <w:numFmt w:val="decimal"/>
      <w:lvlText w:val="%1.%2.%3.%4.%5.%6"/>
      <w:lvlJc w:val="left"/>
      <w:pPr>
        <w:ind w:left="1080" w:hanging="1080"/>
      </w:pPr>
      <w:rPr>
        <w:rFonts w:ascii="Times New Roman" w:hAnsi="Times New Roman" w:cs="Times New Roman" w:hint="default"/>
        <w:b w:val="0"/>
        <w:color w:val="auto"/>
        <w:sz w:val="24"/>
      </w:rPr>
    </w:lvl>
    <w:lvl w:ilvl="6">
      <w:start w:val="1"/>
      <w:numFmt w:val="decimal"/>
      <w:lvlText w:val="%1.%2.%3.%4.%5.%6.%7"/>
      <w:lvlJc w:val="left"/>
      <w:pPr>
        <w:ind w:left="1080" w:hanging="1080"/>
      </w:pPr>
      <w:rPr>
        <w:rFonts w:ascii="Times New Roman" w:hAnsi="Times New Roman" w:cs="Times New Roman" w:hint="default"/>
        <w:b w:val="0"/>
        <w:color w:val="auto"/>
        <w:sz w:val="24"/>
      </w:rPr>
    </w:lvl>
    <w:lvl w:ilvl="7">
      <w:start w:val="1"/>
      <w:numFmt w:val="decimal"/>
      <w:lvlText w:val="%1.%2.%3.%4.%5.%6.%7.%8"/>
      <w:lvlJc w:val="left"/>
      <w:pPr>
        <w:ind w:left="1440" w:hanging="1440"/>
      </w:pPr>
      <w:rPr>
        <w:rFonts w:ascii="Times New Roman" w:hAnsi="Times New Roman" w:cs="Times New Roman" w:hint="default"/>
        <w:b w:val="0"/>
        <w:color w:val="auto"/>
        <w:sz w:val="24"/>
      </w:rPr>
    </w:lvl>
    <w:lvl w:ilvl="8">
      <w:start w:val="1"/>
      <w:numFmt w:val="decimal"/>
      <w:lvlText w:val="%1.%2.%3.%4.%5.%6.%7.%8.%9"/>
      <w:lvlJc w:val="left"/>
      <w:pPr>
        <w:ind w:left="1440" w:hanging="1440"/>
      </w:pPr>
      <w:rPr>
        <w:rFonts w:ascii="Times New Roman" w:hAnsi="Times New Roman" w:cs="Times New Roman" w:hint="default"/>
        <w:b w:val="0"/>
        <w:color w:val="auto"/>
        <w:sz w:val="24"/>
      </w:rPr>
    </w:lvl>
  </w:abstractNum>
  <w:abstractNum w:abstractNumId="78">
    <w:nsid w:val="614A217E"/>
    <w:multiLevelType w:val="multilevel"/>
    <w:tmpl w:val="130630C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37A78BA"/>
    <w:multiLevelType w:val="hybridMultilevel"/>
    <w:tmpl w:val="989AE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64770645"/>
    <w:multiLevelType w:val="multilevel"/>
    <w:tmpl w:val="5C0804DA"/>
    <w:lvl w:ilvl="0">
      <w:start w:val="1"/>
      <w:numFmt w:val="bullet"/>
      <w:lvlText w:val=""/>
      <w:lvlJc w:val="left"/>
      <w:pPr>
        <w:ind w:left="360" w:hanging="360"/>
      </w:pPr>
      <w:rPr>
        <w:rFonts w:ascii="Symbol" w:hAnsi="Symbol"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7EF06BD"/>
    <w:multiLevelType w:val="hybridMultilevel"/>
    <w:tmpl w:val="74B6F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69D30080"/>
    <w:multiLevelType w:val="multilevel"/>
    <w:tmpl w:val="E37A782C"/>
    <w:numStyleLink w:val="Style1"/>
  </w:abstractNum>
  <w:abstractNum w:abstractNumId="83">
    <w:nsid w:val="6A341941"/>
    <w:multiLevelType w:val="multilevel"/>
    <w:tmpl w:val="2C1E03E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6C2B05BE"/>
    <w:multiLevelType w:val="hybridMultilevel"/>
    <w:tmpl w:val="4BAA1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C76270A"/>
    <w:multiLevelType w:val="multilevel"/>
    <w:tmpl w:val="BDE47DF0"/>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D3A0CE4"/>
    <w:multiLevelType w:val="hybridMultilevel"/>
    <w:tmpl w:val="54128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14C322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0">
    <w:nsid w:val="76305F7C"/>
    <w:multiLevelType w:val="hybridMultilevel"/>
    <w:tmpl w:val="7826E59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1">
    <w:nsid w:val="764E7326"/>
    <w:multiLevelType w:val="hybridMultilevel"/>
    <w:tmpl w:val="C64AB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BFD7677"/>
    <w:multiLevelType w:val="hybridMultilevel"/>
    <w:tmpl w:val="75F48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7D6300C0"/>
    <w:multiLevelType w:val="multilevel"/>
    <w:tmpl w:val="F75E6BA6"/>
    <w:lvl w:ilvl="0">
      <w:start w:val="1"/>
      <w:numFmt w:val="bullet"/>
      <w:lvlText w:val=""/>
      <w:lvlJc w:val="left"/>
      <w:pPr>
        <w:ind w:left="72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4"/>
  </w:num>
  <w:num w:numId="3">
    <w:abstractNumId w:val="16"/>
  </w:num>
  <w:num w:numId="4">
    <w:abstractNumId w:val="8"/>
  </w:num>
  <w:num w:numId="5">
    <w:abstractNumId w:val="28"/>
  </w:num>
  <w:num w:numId="6">
    <w:abstractNumId w:val="65"/>
  </w:num>
  <w:num w:numId="7">
    <w:abstractNumId w:val="55"/>
  </w:num>
  <w:num w:numId="8">
    <w:abstractNumId w:val="33"/>
  </w:num>
  <w:num w:numId="9">
    <w:abstractNumId w:val="48"/>
  </w:num>
  <w:num w:numId="10">
    <w:abstractNumId w:val="27"/>
  </w:num>
  <w:num w:numId="11">
    <w:abstractNumId w:val="38"/>
  </w:num>
  <w:num w:numId="12">
    <w:abstractNumId w:val="71"/>
  </w:num>
  <w:num w:numId="13">
    <w:abstractNumId w:val="63"/>
  </w:num>
  <w:num w:numId="14">
    <w:abstractNumId w:val="93"/>
  </w:num>
  <w:num w:numId="15">
    <w:abstractNumId w:val="44"/>
  </w:num>
  <w:num w:numId="16">
    <w:abstractNumId w:val="62"/>
  </w:num>
  <w:num w:numId="17">
    <w:abstractNumId w:val="24"/>
  </w:num>
  <w:num w:numId="18">
    <w:abstractNumId w:val="10"/>
  </w:num>
  <w:num w:numId="19">
    <w:abstractNumId w:val="18"/>
  </w:num>
  <w:num w:numId="20">
    <w:abstractNumId w:val="14"/>
  </w:num>
  <w:num w:numId="21">
    <w:abstractNumId w:val="91"/>
  </w:num>
  <w:num w:numId="22">
    <w:abstractNumId w:val="74"/>
  </w:num>
  <w:num w:numId="23">
    <w:abstractNumId w:val="57"/>
  </w:num>
  <w:num w:numId="24">
    <w:abstractNumId w:val="25"/>
  </w:num>
  <w:num w:numId="25">
    <w:abstractNumId w:val="56"/>
  </w:num>
  <w:num w:numId="26">
    <w:abstractNumId w:val="54"/>
  </w:num>
  <w:num w:numId="27">
    <w:abstractNumId w:val="35"/>
  </w:num>
  <w:num w:numId="28">
    <w:abstractNumId w:val="41"/>
  </w:num>
  <w:num w:numId="29">
    <w:abstractNumId w:val="77"/>
  </w:num>
  <w:num w:numId="30">
    <w:abstractNumId w:val="20"/>
  </w:num>
  <w:num w:numId="31">
    <w:abstractNumId w:val="83"/>
  </w:num>
  <w:num w:numId="32">
    <w:abstractNumId w:val="32"/>
  </w:num>
  <w:num w:numId="33">
    <w:abstractNumId w:val="9"/>
  </w:num>
  <w:num w:numId="34">
    <w:abstractNumId w:val="12"/>
  </w:num>
  <w:num w:numId="35">
    <w:abstractNumId w:val="7"/>
  </w:num>
  <w:num w:numId="36">
    <w:abstractNumId w:val="15"/>
  </w:num>
  <w:num w:numId="37">
    <w:abstractNumId w:val="60"/>
  </w:num>
  <w:num w:numId="38">
    <w:abstractNumId w:val="61"/>
  </w:num>
  <w:num w:numId="39">
    <w:abstractNumId w:val="68"/>
  </w:num>
  <w:num w:numId="40">
    <w:abstractNumId w:val="69"/>
  </w:num>
  <w:num w:numId="41">
    <w:abstractNumId w:val="51"/>
  </w:num>
  <w:num w:numId="42">
    <w:abstractNumId w:val="19"/>
  </w:num>
  <w:num w:numId="43">
    <w:abstractNumId w:val="2"/>
  </w:num>
  <w:num w:numId="44">
    <w:abstractNumId w:val="36"/>
  </w:num>
  <w:num w:numId="45">
    <w:abstractNumId w:val="1"/>
  </w:num>
  <w:num w:numId="46">
    <w:abstractNumId w:val="11"/>
  </w:num>
  <w:num w:numId="47">
    <w:abstractNumId w:val="70"/>
  </w:num>
  <w:num w:numId="48">
    <w:abstractNumId w:val="22"/>
  </w:num>
  <w:num w:numId="49">
    <w:abstractNumId w:val="31"/>
  </w:num>
  <w:num w:numId="50">
    <w:abstractNumId w:val="59"/>
  </w:num>
  <w:num w:numId="51">
    <w:abstractNumId w:val="87"/>
  </w:num>
  <w:num w:numId="52">
    <w:abstractNumId w:val="72"/>
  </w:num>
  <w:num w:numId="53">
    <w:abstractNumId w:val="21"/>
  </w:num>
  <w:num w:numId="54">
    <w:abstractNumId w:val="92"/>
  </w:num>
  <w:num w:numId="55">
    <w:abstractNumId w:val="0"/>
  </w:num>
  <w:num w:numId="56">
    <w:abstractNumId w:val="84"/>
  </w:num>
  <w:num w:numId="57">
    <w:abstractNumId w:val="75"/>
  </w:num>
  <w:num w:numId="58">
    <w:abstractNumId w:val="58"/>
  </w:num>
  <w:num w:numId="59">
    <w:abstractNumId w:val="23"/>
  </w:num>
  <w:num w:numId="60">
    <w:abstractNumId w:val="39"/>
  </w:num>
  <w:num w:numId="61">
    <w:abstractNumId w:val="90"/>
  </w:num>
  <w:num w:numId="62">
    <w:abstractNumId w:val="6"/>
  </w:num>
  <w:num w:numId="63">
    <w:abstractNumId w:val="13"/>
  </w:num>
  <w:num w:numId="64">
    <w:abstractNumId w:val="81"/>
  </w:num>
  <w:num w:numId="65">
    <w:abstractNumId w:val="79"/>
  </w:num>
  <w:num w:numId="66">
    <w:abstractNumId w:val="30"/>
  </w:num>
  <w:num w:numId="67">
    <w:abstractNumId w:val="86"/>
  </w:num>
  <w:num w:numId="68">
    <w:abstractNumId w:val="29"/>
  </w:num>
  <w:num w:numId="69">
    <w:abstractNumId w:val="53"/>
  </w:num>
  <w:num w:numId="70">
    <w:abstractNumId w:val="17"/>
  </w:num>
  <w:num w:numId="71">
    <w:abstractNumId w:val="43"/>
  </w:num>
  <w:num w:numId="72">
    <w:abstractNumId w:val="26"/>
  </w:num>
  <w:num w:numId="73">
    <w:abstractNumId w:val="49"/>
  </w:num>
  <w:num w:numId="74">
    <w:abstractNumId w:val="47"/>
  </w:num>
  <w:num w:numId="75">
    <w:abstractNumId w:val="4"/>
  </w:num>
  <w:num w:numId="76">
    <w:abstractNumId w:val="64"/>
  </w:num>
  <w:num w:numId="77">
    <w:abstractNumId w:val="85"/>
  </w:num>
  <w:num w:numId="78">
    <w:abstractNumId w:val="89"/>
  </w:num>
  <w:num w:numId="79">
    <w:abstractNumId w:val="52"/>
  </w:num>
  <w:num w:numId="80">
    <w:abstractNumId w:val="78"/>
  </w:num>
  <w:num w:numId="81">
    <w:abstractNumId w:val="73"/>
  </w:num>
  <w:num w:numId="82">
    <w:abstractNumId w:val="40"/>
  </w:num>
  <w:num w:numId="83">
    <w:abstractNumId w:val="80"/>
  </w:num>
  <w:num w:numId="84">
    <w:abstractNumId w:val="67"/>
  </w:num>
  <w:num w:numId="85">
    <w:abstractNumId w:val="45"/>
  </w:num>
  <w:num w:numId="86">
    <w:abstractNumId w:val="88"/>
  </w:num>
  <w:num w:numId="87">
    <w:abstractNumId w:val="76"/>
  </w:num>
  <w:num w:numId="88">
    <w:abstractNumId w:val="82"/>
  </w:num>
  <w:num w:numId="89">
    <w:abstractNumId w:val="3"/>
  </w:num>
  <w:num w:numId="90">
    <w:abstractNumId w:val="37"/>
  </w:num>
  <w:num w:numId="91">
    <w:abstractNumId w:val="46"/>
  </w:num>
  <w:num w:numId="92">
    <w:abstractNumId w:val="66"/>
  </w:num>
  <w:num w:numId="93">
    <w:abstractNumId w:val="50"/>
  </w:num>
  <w:num w:numId="94">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0707"/>
    <w:rsid w:val="000007D0"/>
    <w:rsid w:val="00000E3E"/>
    <w:rsid w:val="00001B6A"/>
    <w:rsid w:val="00001C3B"/>
    <w:rsid w:val="0000213B"/>
    <w:rsid w:val="000024C4"/>
    <w:rsid w:val="00004DD1"/>
    <w:rsid w:val="000070B3"/>
    <w:rsid w:val="00010449"/>
    <w:rsid w:val="000123FF"/>
    <w:rsid w:val="00012C75"/>
    <w:rsid w:val="0001418A"/>
    <w:rsid w:val="00014D6B"/>
    <w:rsid w:val="00015D19"/>
    <w:rsid w:val="00015FED"/>
    <w:rsid w:val="00017BAC"/>
    <w:rsid w:val="0002086F"/>
    <w:rsid w:val="00020C7F"/>
    <w:rsid w:val="00022AF4"/>
    <w:rsid w:val="000237B6"/>
    <w:rsid w:val="000240DB"/>
    <w:rsid w:val="000243A8"/>
    <w:rsid w:val="000250AF"/>
    <w:rsid w:val="00025527"/>
    <w:rsid w:val="00026AF9"/>
    <w:rsid w:val="00026CC3"/>
    <w:rsid w:val="00026FA7"/>
    <w:rsid w:val="00030895"/>
    <w:rsid w:val="00030A1C"/>
    <w:rsid w:val="0003122F"/>
    <w:rsid w:val="000313E1"/>
    <w:rsid w:val="000322C6"/>
    <w:rsid w:val="000331B6"/>
    <w:rsid w:val="000337C3"/>
    <w:rsid w:val="00033DE3"/>
    <w:rsid w:val="00036334"/>
    <w:rsid w:val="0003670C"/>
    <w:rsid w:val="000377DC"/>
    <w:rsid w:val="000400C9"/>
    <w:rsid w:val="0004044E"/>
    <w:rsid w:val="00041991"/>
    <w:rsid w:val="00041CAB"/>
    <w:rsid w:val="00042209"/>
    <w:rsid w:val="00042343"/>
    <w:rsid w:val="00044002"/>
    <w:rsid w:val="00044663"/>
    <w:rsid w:val="00044882"/>
    <w:rsid w:val="00044DB6"/>
    <w:rsid w:val="000458AB"/>
    <w:rsid w:val="00047509"/>
    <w:rsid w:val="00047ECB"/>
    <w:rsid w:val="00051AFB"/>
    <w:rsid w:val="00052C26"/>
    <w:rsid w:val="000530B0"/>
    <w:rsid w:val="00053E3D"/>
    <w:rsid w:val="0005529B"/>
    <w:rsid w:val="000552BA"/>
    <w:rsid w:val="0005599D"/>
    <w:rsid w:val="00055CF1"/>
    <w:rsid w:val="00056941"/>
    <w:rsid w:val="00057510"/>
    <w:rsid w:val="000577A2"/>
    <w:rsid w:val="000578CE"/>
    <w:rsid w:val="00057CC1"/>
    <w:rsid w:val="00057E02"/>
    <w:rsid w:val="00060CC3"/>
    <w:rsid w:val="000614F9"/>
    <w:rsid w:val="0006182E"/>
    <w:rsid w:val="00061FE8"/>
    <w:rsid w:val="00062809"/>
    <w:rsid w:val="00063E4F"/>
    <w:rsid w:val="00064AEC"/>
    <w:rsid w:val="00065366"/>
    <w:rsid w:val="00066486"/>
    <w:rsid w:val="00066A81"/>
    <w:rsid w:val="00067664"/>
    <w:rsid w:val="000700AE"/>
    <w:rsid w:val="0007094D"/>
    <w:rsid w:val="00070E7C"/>
    <w:rsid w:val="00070E9C"/>
    <w:rsid w:val="000717D8"/>
    <w:rsid w:val="000725E2"/>
    <w:rsid w:val="00073240"/>
    <w:rsid w:val="0007369A"/>
    <w:rsid w:val="000739B8"/>
    <w:rsid w:val="00073F1C"/>
    <w:rsid w:val="00076315"/>
    <w:rsid w:val="0007753C"/>
    <w:rsid w:val="000778B0"/>
    <w:rsid w:val="00080755"/>
    <w:rsid w:val="00080C1D"/>
    <w:rsid w:val="00081620"/>
    <w:rsid w:val="0008170D"/>
    <w:rsid w:val="00082526"/>
    <w:rsid w:val="00083B03"/>
    <w:rsid w:val="00083E0A"/>
    <w:rsid w:val="000844C7"/>
    <w:rsid w:val="0008522C"/>
    <w:rsid w:val="00085512"/>
    <w:rsid w:val="000855EC"/>
    <w:rsid w:val="00085BAF"/>
    <w:rsid w:val="000867AE"/>
    <w:rsid w:val="0008739D"/>
    <w:rsid w:val="00092AAA"/>
    <w:rsid w:val="000934F5"/>
    <w:rsid w:val="0009447E"/>
    <w:rsid w:val="00094B5C"/>
    <w:rsid w:val="0009501B"/>
    <w:rsid w:val="000969FF"/>
    <w:rsid w:val="000A0410"/>
    <w:rsid w:val="000A07C4"/>
    <w:rsid w:val="000A0D4A"/>
    <w:rsid w:val="000A1AE3"/>
    <w:rsid w:val="000A2749"/>
    <w:rsid w:val="000A2BE2"/>
    <w:rsid w:val="000A3F94"/>
    <w:rsid w:val="000A4299"/>
    <w:rsid w:val="000A50AE"/>
    <w:rsid w:val="000A52D3"/>
    <w:rsid w:val="000A53F6"/>
    <w:rsid w:val="000A55DD"/>
    <w:rsid w:val="000A59C9"/>
    <w:rsid w:val="000A6240"/>
    <w:rsid w:val="000A7DE4"/>
    <w:rsid w:val="000B04F0"/>
    <w:rsid w:val="000B14A2"/>
    <w:rsid w:val="000B16B9"/>
    <w:rsid w:val="000B1A6C"/>
    <w:rsid w:val="000B1E74"/>
    <w:rsid w:val="000B296C"/>
    <w:rsid w:val="000B2BF1"/>
    <w:rsid w:val="000B2E6F"/>
    <w:rsid w:val="000B48B3"/>
    <w:rsid w:val="000B4B05"/>
    <w:rsid w:val="000B4CA4"/>
    <w:rsid w:val="000B4F08"/>
    <w:rsid w:val="000B523D"/>
    <w:rsid w:val="000B55D9"/>
    <w:rsid w:val="000B693C"/>
    <w:rsid w:val="000C0064"/>
    <w:rsid w:val="000C0F58"/>
    <w:rsid w:val="000C11C1"/>
    <w:rsid w:val="000C2736"/>
    <w:rsid w:val="000C2E70"/>
    <w:rsid w:val="000C4E32"/>
    <w:rsid w:val="000C551E"/>
    <w:rsid w:val="000C5AB7"/>
    <w:rsid w:val="000C5C1E"/>
    <w:rsid w:val="000C665A"/>
    <w:rsid w:val="000C76F0"/>
    <w:rsid w:val="000C7982"/>
    <w:rsid w:val="000D15C3"/>
    <w:rsid w:val="000D1E7C"/>
    <w:rsid w:val="000D2038"/>
    <w:rsid w:val="000D2CFD"/>
    <w:rsid w:val="000D3829"/>
    <w:rsid w:val="000D4718"/>
    <w:rsid w:val="000D50FA"/>
    <w:rsid w:val="000D5808"/>
    <w:rsid w:val="000D585A"/>
    <w:rsid w:val="000D5FFB"/>
    <w:rsid w:val="000D6EC1"/>
    <w:rsid w:val="000D706F"/>
    <w:rsid w:val="000D7574"/>
    <w:rsid w:val="000D7C5E"/>
    <w:rsid w:val="000E01CC"/>
    <w:rsid w:val="000E038D"/>
    <w:rsid w:val="000E0B58"/>
    <w:rsid w:val="000E0CE7"/>
    <w:rsid w:val="000E1187"/>
    <w:rsid w:val="000E13D9"/>
    <w:rsid w:val="000E608A"/>
    <w:rsid w:val="000E63C2"/>
    <w:rsid w:val="000E6F5E"/>
    <w:rsid w:val="000E78D4"/>
    <w:rsid w:val="000E7ADF"/>
    <w:rsid w:val="000F32A5"/>
    <w:rsid w:val="000F3A05"/>
    <w:rsid w:val="000F3A68"/>
    <w:rsid w:val="000F4C35"/>
    <w:rsid w:val="000F5490"/>
    <w:rsid w:val="000F72FA"/>
    <w:rsid w:val="00100CB2"/>
    <w:rsid w:val="001014C3"/>
    <w:rsid w:val="0010187E"/>
    <w:rsid w:val="001019FC"/>
    <w:rsid w:val="00102A41"/>
    <w:rsid w:val="00102B81"/>
    <w:rsid w:val="00103B43"/>
    <w:rsid w:val="00103F05"/>
    <w:rsid w:val="00104007"/>
    <w:rsid w:val="00104807"/>
    <w:rsid w:val="00105907"/>
    <w:rsid w:val="00106B83"/>
    <w:rsid w:val="00107538"/>
    <w:rsid w:val="00107B73"/>
    <w:rsid w:val="00110067"/>
    <w:rsid w:val="00110A44"/>
    <w:rsid w:val="00111013"/>
    <w:rsid w:val="00112029"/>
    <w:rsid w:val="00112128"/>
    <w:rsid w:val="00114A3C"/>
    <w:rsid w:val="00114C54"/>
    <w:rsid w:val="0011548D"/>
    <w:rsid w:val="001157FC"/>
    <w:rsid w:val="001163F5"/>
    <w:rsid w:val="0011660C"/>
    <w:rsid w:val="00116A7E"/>
    <w:rsid w:val="0011721E"/>
    <w:rsid w:val="0012012C"/>
    <w:rsid w:val="00122FC6"/>
    <w:rsid w:val="00123256"/>
    <w:rsid w:val="00123BA0"/>
    <w:rsid w:val="00124B85"/>
    <w:rsid w:val="00125554"/>
    <w:rsid w:val="00125849"/>
    <w:rsid w:val="00125A76"/>
    <w:rsid w:val="00125B49"/>
    <w:rsid w:val="00126230"/>
    <w:rsid w:val="0012649C"/>
    <w:rsid w:val="00126895"/>
    <w:rsid w:val="001274DE"/>
    <w:rsid w:val="001278C5"/>
    <w:rsid w:val="00130563"/>
    <w:rsid w:val="00133DBD"/>
    <w:rsid w:val="00134CC9"/>
    <w:rsid w:val="001357EA"/>
    <w:rsid w:val="00136375"/>
    <w:rsid w:val="001370A2"/>
    <w:rsid w:val="00137CF7"/>
    <w:rsid w:val="001400B7"/>
    <w:rsid w:val="00140CA4"/>
    <w:rsid w:val="001410CD"/>
    <w:rsid w:val="001414FE"/>
    <w:rsid w:val="00141580"/>
    <w:rsid w:val="00141E28"/>
    <w:rsid w:val="001445A6"/>
    <w:rsid w:val="001445B3"/>
    <w:rsid w:val="001447C9"/>
    <w:rsid w:val="0014549B"/>
    <w:rsid w:val="00145748"/>
    <w:rsid w:val="00145784"/>
    <w:rsid w:val="00146542"/>
    <w:rsid w:val="00146C67"/>
    <w:rsid w:val="001476EB"/>
    <w:rsid w:val="00147B70"/>
    <w:rsid w:val="00150752"/>
    <w:rsid w:val="00150C96"/>
    <w:rsid w:val="00151356"/>
    <w:rsid w:val="0015138E"/>
    <w:rsid w:val="00151571"/>
    <w:rsid w:val="001518C5"/>
    <w:rsid w:val="00151D9E"/>
    <w:rsid w:val="00152A0C"/>
    <w:rsid w:val="00153246"/>
    <w:rsid w:val="0015339B"/>
    <w:rsid w:val="0015388B"/>
    <w:rsid w:val="001548EA"/>
    <w:rsid w:val="00154ACF"/>
    <w:rsid w:val="0015563A"/>
    <w:rsid w:val="001558A3"/>
    <w:rsid w:val="00155F4A"/>
    <w:rsid w:val="001608B5"/>
    <w:rsid w:val="001609DC"/>
    <w:rsid w:val="001614B7"/>
    <w:rsid w:val="00161BB6"/>
    <w:rsid w:val="00161C5E"/>
    <w:rsid w:val="00161E70"/>
    <w:rsid w:val="001625A9"/>
    <w:rsid w:val="00162648"/>
    <w:rsid w:val="00162B1A"/>
    <w:rsid w:val="00163942"/>
    <w:rsid w:val="0016420A"/>
    <w:rsid w:val="001651CD"/>
    <w:rsid w:val="00167510"/>
    <w:rsid w:val="00170217"/>
    <w:rsid w:val="0017147D"/>
    <w:rsid w:val="00174835"/>
    <w:rsid w:val="00174BE6"/>
    <w:rsid w:val="001751B1"/>
    <w:rsid w:val="00175AFE"/>
    <w:rsid w:val="0017628A"/>
    <w:rsid w:val="00176FE0"/>
    <w:rsid w:val="0017774C"/>
    <w:rsid w:val="00180240"/>
    <w:rsid w:val="0018119A"/>
    <w:rsid w:val="00181A18"/>
    <w:rsid w:val="00186BFA"/>
    <w:rsid w:val="00186FF5"/>
    <w:rsid w:val="0019037E"/>
    <w:rsid w:val="001904A6"/>
    <w:rsid w:val="00190806"/>
    <w:rsid w:val="00191594"/>
    <w:rsid w:val="001917A7"/>
    <w:rsid w:val="00192163"/>
    <w:rsid w:val="00192C1D"/>
    <w:rsid w:val="001936DB"/>
    <w:rsid w:val="00195030"/>
    <w:rsid w:val="00196082"/>
    <w:rsid w:val="00197B0D"/>
    <w:rsid w:val="001A0F11"/>
    <w:rsid w:val="001A12A1"/>
    <w:rsid w:val="001A1D4D"/>
    <w:rsid w:val="001A2DEE"/>
    <w:rsid w:val="001A2FDE"/>
    <w:rsid w:val="001A3292"/>
    <w:rsid w:val="001A365F"/>
    <w:rsid w:val="001A3AC3"/>
    <w:rsid w:val="001A3BE2"/>
    <w:rsid w:val="001A4787"/>
    <w:rsid w:val="001A6630"/>
    <w:rsid w:val="001A66BB"/>
    <w:rsid w:val="001A679B"/>
    <w:rsid w:val="001A6DB4"/>
    <w:rsid w:val="001A7660"/>
    <w:rsid w:val="001A7F10"/>
    <w:rsid w:val="001B1667"/>
    <w:rsid w:val="001B3675"/>
    <w:rsid w:val="001B3F2D"/>
    <w:rsid w:val="001B49CE"/>
    <w:rsid w:val="001B541F"/>
    <w:rsid w:val="001B5973"/>
    <w:rsid w:val="001B659E"/>
    <w:rsid w:val="001B6FF5"/>
    <w:rsid w:val="001C029E"/>
    <w:rsid w:val="001C09FC"/>
    <w:rsid w:val="001C1231"/>
    <w:rsid w:val="001C1C4A"/>
    <w:rsid w:val="001C1F02"/>
    <w:rsid w:val="001C1F69"/>
    <w:rsid w:val="001C2246"/>
    <w:rsid w:val="001C27A0"/>
    <w:rsid w:val="001C3CA8"/>
    <w:rsid w:val="001C4BBA"/>
    <w:rsid w:val="001C4C20"/>
    <w:rsid w:val="001C4E71"/>
    <w:rsid w:val="001C5699"/>
    <w:rsid w:val="001C5EDC"/>
    <w:rsid w:val="001C66FD"/>
    <w:rsid w:val="001C6F7A"/>
    <w:rsid w:val="001C7C51"/>
    <w:rsid w:val="001D0182"/>
    <w:rsid w:val="001D0478"/>
    <w:rsid w:val="001D10A0"/>
    <w:rsid w:val="001D12D2"/>
    <w:rsid w:val="001D14AE"/>
    <w:rsid w:val="001D1719"/>
    <w:rsid w:val="001D2F61"/>
    <w:rsid w:val="001D4AF6"/>
    <w:rsid w:val="001D4ED1"/>
    <w:rsid w:val="001D526E"/>
    <w:rsid w:val="001D5DB8"/>
    <w:rsid w:val="001D6E63"/>
    <w:rsid w:val="001D76D7"/>
    <w:rsid w:val="001D7B40"/>
    <w:rsid w:val="001D7EB9"/>
    <w:rsid w:val="001D7FA9"/>
    <w:rsid w:val="001E0694"/>
    <w:rsid w:val="001E094F"/>
    <w:rsid w:val="001E1102"/>
    <w:rsid w:val="001E2452"/>
    <w:rsid w:val="001E3243"/>
    <w:rsid w:val="001E3D07"/>
    <w:rsid w:val="001E4930"/>
    <w:rsid w:val="001E5733"/>
    <w:rsid w:val="001E7CCF"/>
    <w:rsid w:val="001E7DE3"/>
    <w:rsid w:val="001F2E01"/>
    <w:rsid w:val="001F3577"/>
    <w:rsid w:val="001F44A6"/>
    <w:rsid w:val="001F49BE"/>
    <w:rsid w:val="001F5BE5"/>
    <w:rsid w:val="001F6C9F"/>
    <w:rsid w:val="002007F1"/>
    <w:rsid w:val="002024BA"/>
    <w:rsid w:val="002024C6"/>
    <w:rsid w:val="00203C07"/>
    <w:rsid w:val="00203FBB"/>
    <w:rsid w:val="00204307"/>
    <w:rsid w:val="00204424"/>
    <w:rsid w:val="0020466D"/>
    <w:rsid w:val="00204B3C"/>
    <w:rsid w:val="00204F6F"/>
    <w:rsid w:val="00205530"/>
    <w:rsid w:val="00207966"/>
    <w:rsid w:val="00210C62"/>
    <w:rsid w:val="00210F2E"/>
    <w:rsid w:val="00211AE6"/>
    <w:rsid w:val="00212851"/>
    <w:rsid w:val="00212AC5"/>
    <w:rsid w:val="0021322A"/>
    <w:rsid w:val="00213688"/>
    <w:rsid w:val="0021421D"/>
    <w:rsid w:val="002165E7"/>
    <w:rsid w:val="002170C4"/>
    <w:rsid w:val="0021711E"/>
    <w:rsid w:val="002201B0"/>
    <w:rsid w:val="00220374"/>
    <w:rsid w:val="002203BF"/>
    <w:rsid w:val="00220925"/>
    <w:rsid w:val="00221363"/>
    <w:rsid w:val="0022231F"/>
    <w:rsid w:val="00222B75"/>
    <w:rsid w:val="0022300A"/>
    <w:rsid w:val="00223B2A"/>
    <w:rsid w:val="00223CF0"/>
    <w:rsid w:val="00224277"/>
    <w:rsid w:val="00226FC0"/>
    <w:rsid w:val="00227211"/>
    <w:rsid w:val="00227387"/>
    <w:rsid w:val="0023021B"/>
    <w:rsid w:val="002321BA"/>
    <w:rsid w:val="00232719"/>
    <w:rsid w:val="00232B1B"/>
    <w:rsid w:val="00233027"/>
    <w:rsid w:val="0023316B"/>
    <w:rsid w:val="002344A9"/>
    <w:rsid w:val="002345F1"/>
    <w:rsid w:val="00234FBB"/>
    <w:rsid w:val="00235064"/>
    <w:rsid w:val="002362CF"/>
    <w:rsid w:val="00236E18"/>
    <w:rsid w:val="00240DD5"/>
    <w:rsid w:val="0024108A"/>
    <w:rsid w:val="00241661"/>
    <w:rsid w:val="002426FB"/>
    <w:rsid w:val="0024531D"/>
    <w:rsid w:val="00245D22"/>
    <w:rsid w:val="002465EB"/>
    <w:rsid w:val="00246B8D"/>
    <w:rsid w:val="00250CC8"/>
    <w:rsid w:val="00251186"/>
    <w:rsid w:val="0025122D"/>
    <w:rsid w:val="00251A9A"/>
    <w:rsid w:val="0025353E"/>
    <w:rsid w:val="002538AC"/>
    <w:rsid w:val="002542CA"/>
    <w:rsid w:val="00254D81"/>
    <w:rsid w:val="002557B7"/>
    <w:rsid w:val="0025676F"/>
    <w:rsid w:val="002568A2"/>
    <w:rsid w:val="0025717F"/>
    <w:rsid w:val="002604E3"/>
    <w:rsid w:val="00260776"/>
    <w:rsid w:val="00260ED6"/>
    <w:rsid w:val="00261242"/>
    <w:rsid w:val="0026195C"/>
    <w:rsid w:val="0026202D"/>
    <w:rsid w:val="002623B9"/>
    <w:rsid w:val="0026271A"/>
    <w:rsid w:val="00265710"/>
    <w:rsid w:val="00266654"/>
    <w:rsid w:val="00266942"/>
    <w:rsid w:val="00267374"/>
    <w:rsid w:val="00267BA8"/>
    <w:rsid w:val="00270590"/>
    <w:rsid w:val="00271DD0"/>
    <w:rsid w:val="00273AC2"/>
    <w:rsid w:val="00274A09"/>
    <w:rsid w:val="00274E39"/>
    <w:rsid w:val="00275285"/>
    <w:rsid w:val="002766EF"/>
    <w:rsid w:val="00277335"/>
    <w:rsid w:val="0027795B"/>
    <w:rsid w:val="00280D1D"/>
    <w:rsid w:val="00281257"/>
    <w:rsid w:val="0028168C"/>
    <w:rsid w:val="00281840"/>
    <w:rsid w:val="0028219B"/>
    <w:rsid w:val="00282793"/>
    <w:rsid w:val="00282E79"/>
    <w:rsid w:val="00283292"/>
    <w:rsid w:val="00284334"/>
    <w:rsid w:val="0028523D"/>
    <w:rsid w:val="00285EC7"/>
    <w:rsid w:val="00285F1C"/>
    <w:rsid w:val="00287C8B"/>
    <w:rsid w:val="002907D4"/>
    <w:rsid w:val="002908F6"/>
    <w:rsid w:val="0029265F"/>
    <w:rsid w:val="00292881"/>
    <w:rsid w:val="00292A75"/>
    <w:rsid w:val="00292C8D"/>
    <w:rsid w:val="00293951"/>
    <w:rsid w:val="00296337"/>
    <w:rsid w:val="00297E37"/>
    <w:rsid w:val="002A1F67"/>
    <w:rsid w:val="002A2453"/>
    <w:rsid w:val="002A297A"/>
    <w:rsid w:val="002A4773"/>
    <w:rsid w:val="002A4809"/>
    <w:rsid w:val="002A4C5B"/>
    <w:rsid w:val="002B0A1C"/>
    <w:rsid w:val="002B0DF6"/>
    <w:rsid w:val="002B365A"/>
    <w:rsid w:val="002B3902"/>
    <w:rsid w:val="002B3E77"/>
    <w:rsid w:val="002B4C33"/>
    <w:rsid w:val="002B501C"/>
    <w:rsid w:val="002B5E19"/>
    <w:rsid w:val="002B5E8A"/>
    <w:rsid w:val="002B6AE7"/>
    <w:rsid w:val="002B6CF7"/>
    <w:rsid w:val="002B7CA4"/>
    <w:rsid w:val="002C1F72"/>
    <w:rsid w:val="002C26CD"/>
    <w:rsid w:val="002C2EE2"/>
    <w:rsid w:val="002C3AE8"/>
    <w:rsid w:val="002C3F7F"/>
    <w:rsid w:val="002C45ED"/>
    <w:rsid w:val="002C4C03"/>
    <w:rsid w:val="002C4D0C"/>
    <w:rsid w:val="002C6B47"/>
    <w:rsid w:val="002C76D7"/>
    <w:rsid w:val="002C7D16"/>
    <w:rsid w:val="002D0054"/>
    <w:rsid w:val="002D0659"/>
    <w:rsid w:val="002D1ECD"/>
    <w:rsid w:val="002D282A"/>
    <w:rsid w:val="002D3444"/>
    <w:rsid w:val="002D4630"/>
    <w:rsid w:val="002D5D26"/>
    <w:rsid w:val="002E01B8"/>
    <w:rsid w:val="002E0389"/>
    <w:rsid w:val="002E0C12"/>
    <w:rsid w:val="002E0C1B"/>
    <w:rsid w:val="002E0CF3"/>
    <w:rsid w:val="002E18B4"/>
    <w:rsid w:val="002E31C8"/>
    <w:rsid w:val="002E39FA"/>
    <w:rsid w:val="002E4191"/>
    <w:rsid w:val="002E43CA"/>
    <w:rsid w:val="002E47BA"/>
    <w:rsid w:val="002E5B56"/>
    <w:rsid w:val="002E650F"/>
    <w:rsid w:val="002E6836"/>
    <w:rsid w:val="002E740B"/>
    <w:rsid w:val="002E7512"/>
    <w:rsid w:val="002E7CE3"/>
    <w:rsid w:val="002F1825"/>
    <w:rsid w:val="002F3CFF"/>
    <w:rsid w:val="002F466B"/>
    <w:rsid w:val="002F470F"/>
    <w:rsid w:val="002F4FCE"/>
    <w:rsid w:val="002F5186"/>
    <w:rsid w:val="002F5489"/>
    <w:rsid w:val="002F7126"/>
    <w:rsid w:val="002F75E2"/>
    <w:rsid w:val="002F7C62"/>
    <w:rsid w:val="002F7C8F"/>
    <w:rsid w:val="00300661"/>
    <w:rsid w:val="00301880"/>
    <w:rsid w:val="00301951"/>
    <w:rsid w:val="003022F9"/>
    <w:rsid w:val="00302A94"/>
    <w:rsid w:val="003043CE"/>
    <w:rsid w:val="003059FD"/>
    <w:rsid w:val="0030723F"/>
    <w:rsid w:val="0030767C"/>
    <w:rsid w:val="003077A3"/>
    <w:rsid w:val="00312F2F"/>
    <w:rsid w:val="0031314D"/>
    <w:rsid w:val="003136D1"/>
    <w:rsid w:val="00315138"/>
    <w:rsid w:val="00316028"/>
    <w:rsid w:val="003165E4"/>
    <w:rsid w:val="00321312"/>
    <w:rsid w:val="003225C8"/>
    <w:rsid w:val="00323893"/>
    <w:rsid w:val="00323A85"/>
    <w:rsid w:val="00324033"/>
    <w:rsid w:val="003244D0"/>
    <w:rsid w:val="00324690"/>
    <w:rsid w:val="00324FD0"/>
    <w:rsid w:val="00325665"/>
    <w:rsid w:val="00330A89"/>
    <w:rsid w:val="0033222E"/>
    <w:rsid w:val="0033443E"/>
    <w:rsid w:val="00334600"/>
    <w:rsid w:val="00334735"/>
    <w:rsid w:val="00334A3F"/>
    <w:rsid w:val="0033523B"/>
    <w:rsid w:val="003352CF"/>
    <w:rsid w:val="003358A6"/>
    <w:rsid w:val="0033660D"/>
    <w:rsid w:val="0033664A"/>
    <w:rsid w:val="00336753"/>
    <w:rsid w:val="003369EB"/>
    <w:rsid w:val="00336FC5"/>
    <w:rsid w:val="00337698"/>
    <w:rsid w:val="0034003F"/>
    <w:rsid w:val="00341C78"/>
    <w:rsid w:val="00344949"/>
    <w:rsid w:val="003452C8"/>
    <w:rsid w:val="003455A2"/>
    <w:rsid w:val="003461A4"/>
    <w:rsid w:val="00346963"/>
    <w:rsid w:val="00347153"/>
    <w:rsid w:val="003471AE"/>
    <w:rsid w:val="0035176B"/>
    <w:rsid w:val="00351EFD"/>
    <w:rsid w:val="0035315A"/>
    <w:rsid w:val="00354546"/>
    <w:rsid w:val="0035455F"/>
    <w:rsid w:val="00355A54"/>
    <w:rsid w:val="0035670F"/>
    <w:rsid w:val="0035683D"/>
    <w:rsid w:val="003606DE"/>
    <w:rsid w:val="003608FF"/>
    <w:rsid w:val="0036144D"/>
    <w:rsid w:val="00361898"/>
    <w:rsid w:val="003628A1"/>
    <w:rsid w:val="00362970"/>
    <w:rsid w:val="003635D3"/>
    <w:rsid w:val="00364794"/>
    <w:rsid w:val="00364B4D"/>
    <w:rsid w:val="00365521"/>
    <w:rsid w:val="003659E5"/>
    <w:rsid w:val="00366602"/>
    <w:rsid w:val="003701E7"/>
    <w:rsid w:val="0037056F"/>
    <w:rsid w:val="00370F9D"/>
    <w:rsid w:val="003723E5"/>
    <w:rsid w:val="0037275E"/>
    <w:rsid w:val="00372D3E"/>
    <w:rsid w:val="00373742"/>
    <w:rsid w:val="00373EA6"/>
    <w:rsid w:val="00374939"/>
    <w:rsid w:val="00374BAB"/>
    <w:rsid w:val="00374ED9"/>
    <w:rsid w:val="003754F5"/>
    <w:rsid w:val="00375915"/>
    <w:rsid w:val="003765DA"/>
    <w:rsid w:val="00380662"/>
    <w:rsid w:val="00381983"/>
    <w:rsid w:val="00382681"/>
    <w:rsid w:val="003828AE"/>
    <w:rsid w:val="00384BA8"/>
    <w:rsid w:val="00384FBA"/>
    <w:rsid w:val="00386542"/>
    <w:rsid w:val="00386775"/>
    <w:rsid w:val="00386F52"/>
    <w:rsid w:val="0038722E"/>
    <w:rsid w:val="003876D6"/>
    <w:rsid w:val="003879BD"/>
    <w:rsid w:val="00390506"/>
    <w:rsid w:val="00391856"/>
    <w:rsid w:val="00391D13"/>
    <w:rsid w:val="00392B59"/>
    <w:rsid w:val="00393AAD"/>
    <w:rsid w:val="00393BE5"/>
    <w:rsid w:val="00394829"/>
    <w:rsid w:val="00394C11"/>
    <w:rsid w:val="00394C67"/>
    <w:rsid w:val="003952F5"/>
    <w:rsid w:val="00397DAA"/>
    <w:rsid w:val="003A0069"/>
    <w:rsid w:val="003A0356"/>
    <w:rsid w:val="003A0B31"/>
    <w:rsid w:val="003A0C21"/>
    <w:rsid w:val="003A135A"/>
    <w:rsid w:val="003A1C84"/>
    <w:rsid w:val="003A1CFE"/>
    <w:rsid w:val="003A3190"/>
    <w:rsid w:val="003A46DA"/>
    <w:rsid w:val="003A5161"/>
    <w:rsid w:val="003A5E2F"/>
    <w:rsid w:val="003A60D5"/>
    <w:rsid w:val="003A6961"/>
    <w:rsid w:val="003A6D28"/>
    <w:rsid w:val="003A6E85"/>
    <w:rsid w:val="003A6FA1"/>
    <w:rsid w:val="003B0929"/>
    <w:rsid w:val="003B0BD8"/>
    <w:rsid w:val="003B1021"/>
    <w:rsid w:val="003B20BE"/>
    <w:rsid w:val="003B2CBE"/>
    <w:rsid w:val="003B303D"/>
    <w:rsid w:val="003B4C8C"/>
    <w:rsid w:val="003B5AA2"/>
    <w:rsid w:val="003B6126"/>
    <w:rsid w:val="003B66E2"/>
    <w:rsid w:val="003B77B8"/>
    <w:rsid w:val="003C0408"/>
    <w:rsid w:val="003C0E51"/>
    <w:rsid w:val="003C212C"/>
    <w:rsid w:val="003C2482"/>
    <w:rsid w:val="003C2AA4"/>
    <w:rsid w:val="003C2ABC"/>
    <w:rsid w:val="003C32A8"/>
    <w:rsid w:val="003C333D"/>
    <w:rsid w:val="003C34CC"/>
    <w:rsid w:val="003C4CEB"/>
    <w:rsid w:val="003C5C52"/>
    <w:rsid w:val="003C5D2D"/>
    <w:rsid w:val="003C61AA"/>
    <w:rsid w:val="003C7AC9"/>
    <w:rsid w:val="003C7E2D"/>
    <w:rsid w:val="003D164C"/>
    <w:rsid w:val="003D191E"/>
    <w:rsid w:val="003D258D"/>
    <w:rsid w:val="003D2880"/>
    <w:rsid w:val="003D46A4"/>
    <w:rsid w:val="003D48C8"/>
    <w:rsid w:val="003D4996"/>
    <w:rsid w:val="003D5989"/>
    <w:rsid w:val="003D61F8"/>
    <w:rsid w:val="003D651C"/>
    <w:rsid w:val="003D6BE5"/>
    <w:rsid w:val="003D7568"/>
    <w:rsid w:val="003D77DC"/>
    <w:rsid w:val="003D7FAD"/>
    <w:rsid w:val="003E0B60"/>
    <w:rsid w:val="003E1134"/>
    <w:rsid w:val="003E1C67"/>
    <w:rsid w:val="003E1D1A"/>
    <w:rsid w:val="003E2D65"/>
    <w:rsid w:val="003E3481"/>
    <w:rsid w:val="003E3A3A"/>
    <w:rsid w:val="003E3EB4"/>
    <w:rsid w:val="003E4350"/>
    <w:rsid w:val="003E437B"/>
    <w:rsid w:val="003E61AF"/>
    <w:rsid w:val="003E6AAF"/>
    <w:rsid w:val="003E7058"/>
    <w:rsid w:val="003E7B78"/>
    <w:rsid w:val="003F15B3"/>
    <w:rsid w:val="003F1711"/>
    <w:rsid w:val="003F1EAB"/>
    <w:rsid w:val="003F278B"/>
    <w:rsid w:val="003F55E9"/>
    <w:rsid w:val="003F58A7"/>
    <w:rsid w:val="003F5CF7"/>
    <w:rsid w:val="003F6375"/>
    <w:rsid w:val="003F6B5F"/>
    <w:rsid w:val="003F72B1"/>
    <w:rsid w:val="004008B6"/>
    <w:rsid w:val="00401231"/>
    <w:rsid w:val="00402E01"/>
    <w:rsid w:val="00403470"/>
    <w:rsid w:val="004044A9"/>
    <w:rsid w:val="004046B3"/>
    <w:rsid w:val="004047C5"/>
    <w:rsid w:val="0040485A"/>
    <w:rsid w:val="00404D21"/>
    <w:rsid w:val="00405A56"/>
    <w:rsid w:val="0040633C"/>
    <w:rsid w:val="004063C5"/>
    <w:rsid w:val="004069BD"/>
    <w:rsid w:val="004071C5"/>
    <w:rsid w:val="00407F8C"/>
    <w:rsid w:val="00410EE2"/>
    <w:rsid w:val="00412CF4"/>
    <w:rsid w:val="00412E23"/>
    <w:rsid w:val="004160B9"/>
    <w:rsid w:val="0041668A"/>
    <w:rsid w:val="0041687F"/>
    <w:rsid w:val="00416FA7"/>
    <w:rsid w:val="00417534"/>
    <w:rsid w:val="004178EB"/>
    <w:rsid w:val="004203BE"/>
    <w:rsid w:val="00420FE4"/>
    <w:rsid w:val="00421991"/>
    <w:rsid w:val="004220F7"/>
    <w:rsid w:val="00422649"/>
    <w:rsid w:val="00422827"/>
    <w:rsid w:val="00424476"/>
    <w:rsid w:val="00424720"/>
    <w:rsid w:val="00424D19"/>
    <w:rsid w:val="00425C6B"/>
    <w:rsid w:val="004275E0"/>
    <w:rsid w:val="00427B41"/>
    <w:rsid w:val="00427FDD"/>
    <w:rsid w:val="004303BF"/>
    <w:rsid w:val="004308E4"/>
    <w:rsid w:val="00430930"/>
    <w:rsid w:val="004316A4"/>
    <w:rsid w:val="00431FB9"/>
    <w:rsid w:val="00432726"/>
    <w:rsid w:val="00434068"/>
    <w:rsid w:val="0043407D"/>
    <w:rsid w:val="00434631"/>
    <w:rsid w:val="00434AE7"/>
    <w:rsid w:val="00435879"/>
    <w:rsid w:val="004366E2"/>
    <w:rsid w:val="004369F0"/>
    <w:rsid w:val="00436FED"/>
    <w:rsid w:val="004375A9"/>
    <w:rsid w:val="00437A0B"/>
    <w:rsid w:val="0044155F"/>
    <w:rsid w:val="00442664"/>
    <w:rsid w:val="00443B82"/>
    <w:rsid w:val="00443E36"/>
    <w:rsid w:val="004451AB"/>
    <w:rsid w:val="0044545A"/>
    <w:rsid w:val="00446173"/>
    <w:rsid w:val="00446BB9"/>
    <w:rsid w:val="00447BB6"/>
    <w:rsid w:val="00447FEB"/>
    <w:rsid w:val="00450333"/>
    <w:rsid w:val="0045046C"/>
    <w:rsid w:val="00450513"/>
    <w:rsid w:val="00452E9E"/>
    <w:rsid w:val="0045471E"/>
    <w:rsid w:val="00454F60"/>
    <w:rsid w:val="0045623F"/>
    <w:rsid w:val="00456384"/>
    <w:rsid w:val="004566A9"/>
    <w:rsid w:val="00457A66"/>
    <w:rsid w:val="00460659"/>
    <w:rsid w:val="00460888"/>
    <w:rsid w:val="00460CBF"/>
    <w:rsid w:val="00460DC2"/>
    <w:rsid w:val="00461BA0"/>
    <w:rsid w:val="00463961"/>
    <w:rsid w:val="004646A1"/>
    <w:rsid w:val="00464FB9"/>
    <w:rsid w:val="004665BB"/>
    <w:rsid w:val="004676B5"/>
    <w:rsid w:val="00467E50"/>
    <w:rsid w:val="0047051A"/>
    <w:rsid w:val="004707D8"/>
    <w:rsid w:val="00470DA1"/>
    <w:rsid w:val="00471C7E"/>
    <w:rsid w:val="00472227"/>
    <w:rsid w:val="004736CC"/>
    <w:rsid w:val="0047407E"/>
    <w:rsid w:val="00474B48"/>
    <w:rsid w:val="0047568F"/>
    <w:rsid w:val="00476B1D"/>
    <w:rsid w:val="00477113"/>
    <w:rsid w:val="0047778B"/>
    <w:rsid w:val="004779C1"/>
    <w:rsid w:val="0048018F"/>
    <w:rsid w:val="0048068E"/>
    <w:rsid w:val="00480750"/>
    <w:rsid w:val="0048089B"/>
    <w:rsid w:val="004819FF"/>
    <w:rsid w:val="00481CF3"/>
    <w:rsid w:val="004828B8"/>
    <w:rsid w:val="00482CCC"/>
    <w:rsid w:val="004830E2"/>
    <w:rsid w:val="00483388"/>
    <w:rsid w:val="00483FC5"/>
    <w:rsid w:val="00485346"/>
    <w:rsid w:val="0048549C"/>
    <w:rsid w:val="004858A3"/>
    <w:rsid w:val="00486123"/>
    <w:rsid w:val="00487ED8"/>
    <w:rsid w:val="00490226"/>
    <w:rsid w:val="004905FE"/>
    <w:rsid w:val="00490B2C"/>
    <w:rsid w:val="00493302"/>
    <w:rsid w:val="004939D0"/>
    <w:rsid w:val="004945AA"/>
    <w:rsid w:val="00494815"/>
    <w:rsid w:val="004965B5"/>
    <w:rsid w:val="0049676B"/>
    <w:rsid w:val="00497C58"/>
    <w:rsid w:val="004A330C"/>
    <w:rsid w:val="004A456E"/>
    <w:rsid w:val="004A4905"/>
    <w:rsid w:val="004A5CFA"/>
    <w:rsid w:val="004A5F9C"/>
    <w:rsid w:val="004A655B"/>
    <w:rsid w:val="004A6907"/>
    <w:rsid w:val="004A7005"/>
    <w:rsid w:val="004B1325"/>
    <w:rsid w:val="004B16C0"/>
    <w:rsid w:val="004B16D3"/>
    <w:rsid w:val="004B22F5"/>
    <w:rsid w:val="004B2D9B"/>
    <w:rsid w:val="004B3C38"/>
    <w:rsid w:val="004B42FF"/>
    <w:rsid w:val="004B4EA0"/>
    <w:rsid w:val="004B6ACC"/>
    <w:rsid w:val="004B7CA4"/>
    <w:rsid w:val="004C272D"/>
    <w:rsid w:val="004C56A9"/>
    <w:rsid w:val="004C587B"/>
    <w:rsid w:val="004C696F"/>
    <w:rsid w:val="004C69B3"/>
    <w:rsid w:val="004C6F20"/>
    <w:rsid w:val="004C780F"/>
    <w:rsid w:val="004C7AA5"/>
    <w:rsid w:val="004D01EF"/>
    <w:rsid w:val="004D07FA"/>
    <w:rsid w:val="004D0A9B"/>
    <w:rsid w:val="004D0BDE"/>
    <w:rsid w:val="004D19B9"/>
    <w:rsid w:val="004D1D1C"/>
    <w:rsid w:val="004D2805"/>
    <w:rsid w:val="004D2C46"/>
    <w:rsid w:val="004D2D22"/>
    <w:rsid w:val="004D384A"/>
    <w:rsid w:val="004D3DBE"/>
    <w:rsid w:val="004D5D44"/>
    <w:rsid w:val="004D64D7"/>
    <w:rsid w:val="004D7823"/>
    <w:rsid w:val="004E05FD"/>
    <w:rsid w:val="004E08EB"/>
    <w:rsid w:val="004E1C8A"/>
    <w:rsid w:val="004E1DD0"/>
    <w:rsid w:val="004E2A7C"/>
    <w:rsid w:val="004E4904"/>
    <w:rsid w:val="004E4DD2"/>
    <w:rsid w:val="004E6745"/>
    <w:rsid w:val="004E6AF8"/>
    <w:rsid w:val="004E7F8C"/>
    <w:rsid w:val="004F006A"/>
    <w:rsid w:val="004F042E"/>
    <w:rsid w:val="004F098B"/>
    <w:rsid w:val="004F0D3A"/>
    <w:rsid w:val="004F1B4E"/>
    <w:rsid w:val="004F24DE"/>
    <w:rsid w:val="004F53B3"/>
    <w:rsid w:val="004F53E7"/>
    <w:rsid w:val="004F54CE"/>
    <w:rsid w:val="004F6705"/>
    <w:rsid w:val="004F7741"/>
    <w:rsid w:val="004F7B6D"/>
    <w:rsid w:val="004F7B82"/>
    <w:rsid w:val="004F7C76"/>
    <w:rsid w:val="0050003A"/>
    <w:rsid w:val="0050196E"/>
    <w:rsid w:val="0050197A"/>
    <w:rsid w:val="00501C10"/>
    <w:rsid w:val="005027B0"/>
    <w:rsid w:val="00502DCE"/>
    <w:rsid w:val="00505870"/>
    <w:rsid w:val="00506328"/>
    <w:rsid w:val="005076B0"/>
    <w:rsid w:val="00507B8A"/>
    <w:rsid w:val="005114C3"/>
    <w:rsid w:val="005116B6"/>
    <w:rsid w:val="00512BAC"/>
    <w:rsid w:val="0051519A"/>
    <w:rsid w:val="00515527"/>
    <w:rsid w:val="00516A2A"/>
    <w:rsid w:val="0051775F"/>
    <w:rsid w:val="00517C59"/>
    <w:rsid w:val="00517EA5"/>
    <w:rsid w:val="0052074C"/>
    <w:rsid w:val="00520E91"/>
    <w:rsid w:val="00521F50"/>
    <w:rsid w:val="005227A8"/>
    <w:rsid w:val="005227DB"/>
    <w:rsid w:val="00522A53"/>
    <w:rsid w:val="00523897"/>
    <w:rsid w:val="00523B96"/>
    <w:rsid w:val="00523D2E"/>
    <w:rsid w:val="00524EA6"/>
    <w:rsid w:val="005251D3"/>
    <w:rsid w:val="005262A9"/>
    <w:rsid w:val="00526529"/>
    <w:rsid w:val="005267EB"/>
    <w:rsid w:val="005268A3"/>
    <w:rsid w:val="005269F4"/>
    <w:rsid w:val="00527AFD"/>
    <w:rsid w:val="00530BA3"/>
    <w:rsid w:val="005313DB"/>
    <w:rsid w:val="005314C9"/>
    <w:rsid w:val="00531A38"/>
    <w:rsid w:val="00531D42"/>
    <w:rsid w:val="0053200C"/>
    <w:rsid w:val="0053290B"/>
    <w:rsid w:val="00533CE3"/>
    <w:rsid w:val="005344D9"/>
    <w:rsid w:val="005350C0"/>
    <w:rsid w:val="00535363"/>
    <w:rsid w:val="005358EA"/>
    <w:rsid w:val="0053598F"/>
    <w:rsid w:val="00536205"/>
    <w:rsid w:val="00536435"/>
    <w:rsid w:val="00536782"/>
    <w:rsid w:val="00536E34"/>
    <w:rsid w:val="005377A8"/>
    <w:rsid w:val="005411DD"/>
    <w:rsid w:val="00542A63"/>
    <w:rsid w:val="00542F4F"/>
    <w:rsid w:val="00543C79"/>
    <w:rsid w:val="00543DC2"/>
    <w:rsid w:val="00544828"/>
    <w:rsid w:val="0054710A"/>
    <w:rsid w:val="00550DA4"/>
    <w:rsid w:val="00551988"/>
    <w:rsid w:val="005523D7"/>
    <w:rsid w:val="00554B03"/>
    <w:rsid w:val="00554BDB"/>
    <w:rsid w:val="00555891"/>
    <w:rsid w:val="00555DA0"/>
    <w:rsid w:val="00556176"/>
    <w:rsid w:val="005564F8"/>
    <w:rsid w:val="0055699B"/>
    <w:rsid w:val="00556B9A"/>
    <w:rsid w:val="005576B5"/>
    <w:rsid w:val="005577D0"/>
    <w:rsid w:val="00560295"/>
    <w:rsid w:val="00564911"/>
    <w:rsid w:val="005653E7"/>
    <w:rsid w:val="0056550B"/>
    <w:rsid w:val="005656DE"/>
    <w:rsid w:val="00566439"/>
    <w:rsid w:val="00570234"/>
    <w:rsid w:val="005704B2"/>
    <w:rsid w:val="005707BF"/>
    <w:rsid w:val="00570D39"/>
    <w:rsid w:val="005710C8"/>
    <w:rsid w:val="005728BA"/>
    <w:rsid w:val="00572C30"/>
    <w:rsid w:val="00572D0D"/>
    <w:rsid w:val="00573EA3"/>
    <w:rsid w:val="00574218"/>
    <w:rsid w:val="005746DA"/>
    <w:rsid w:val="0057541C"/>
    <w:rsid w:val="00575DF6"/>
    <w:rsid w:val="0057646A"/>
    <w:rsid w:val="00576B84"/>
    <w:rsid w:val="005811CF"/>
    <w:rsid w:val="00581959"/>
    <w:rsid w:val="00582259"/>
    <w:rsid w:val="00582C71"/>
    <w:rsid w:val="0058348B"/>
    <w:rsid w:val="00583FD1"/>
    <w:rsid w:val="00584151"/>
    <w:rsid w:val="005846B1"/>
    <w:rsid w:val="005849D2"/>
    <w:rsid w:val="00585E17"/>
    <w:rsid w:val="0058602B"/>
    <w:rsid w:val="00590B34"/>
    <w:rsid w:val="00590C29"/>
    <w:rsid w:val="00590E3F"/>
    <w:rsid w:val="00591383"/>
    <w:rsid w:val="00592774"/>
    <w:rsid w:val="005928F8"/>
    <w:rsid w:val="00592D29"/>
    <w:rsid w:val="005957CD"/>
    <w:rsid w:val="005A00CE"/>
    <w:rsid w:val="005A0389"/>
    <w:rsid w:val="005A1449"/>
    <w:rsid w:val="005A14A0"/>
    <w:rsid w:val="005A162A"/>
    <w:rsid w:val="005A1869"/>
    <w:rsid w:val="005A253F"/>
    <w:rsid w:val="005A4AAB"/>
    <w:rsid w:val="005A4E21"/>
    <w:rsid w:val="005A5673"/>
    <w:rsid w:val="005A71FA"/>
    <w:rsid w:val="005A7E09"/>
    <w:rsid w:val="005B0C10"/>
    <w:rsid w:val="005B340B"/>
    <w:rsid w:val="005B3613"/>
    <w:rsid w:val="005B3CA7"/>
    <w:rsid w:val="005B4469"/>
    <w:rsid w:val="005B5F5A"/>
    <w:rsid w:val="005B6F80"/>
    <w:rsid w:val="005B7299"/>
    <w:rsid w:val="005B7EC7"/>
    <w:rsid w:val="005C1254"/>
    <w:rsid w:val="005C140C"/>
    <w:rsid w:val="005C3551"/>
    <w:rsid w:val="005C4013"/>
    <w:rsid w:val="005C4BC0"/>
    <w:rsid w:val="005C5B06"/>
    <w:rsid w:val="005C5C0C"/>
    <w:rsid w:val="005C6598"/>
    <w:rsid w:val="005C688D"/>
    <w:rsid w:val="005C71C4"/>
    <w:rsid w:val="005D04BA"/>
    <w:rsid w:val="005D05DD"/>
    <w:rsid w:val="005D06B5"/>
    <w:rsid w:val="005D0DF9"/>
    <w:rsid w:val="005D365D"/>
    <w:rsid w:val="005D39A6"/>
    <w:rsid w:val="005D3DE5"/>
    <w:rsid w:val="005D5EAD"/>
    <w:rsid w:val="005D63BF"/>
    <w:rsid w:val="005D7576"/>
    <w:rsid w:val="005E02DC"/>
    <w:rsid w:val="005E0A53"/>
    <w:rsid w:val="005E0A6B"/>
    <w:rsid w:val="005E0C71"/>
    <w:rsid w:val="005E14B3"/>
    <w:rsid w:val="005E1BCE"/>
    <w:rsid w:val="005E326B"/>
    <w:rsid w:val="005E3997"/>
    <w:rsid w:val="005E3CD6"/>
    <w:rsid w:val="005E436C"/>
    <w:rsid w:val="005E5428"/>
    <w:rsid w:val="005E5A38"/>
    <w:rsid w:val="005E5DF4"/>
    <w:rsid w:val="005E6BFD"/>
    <w:rsid w:val="005E6D68"/>
    <w:rsid w:val="005E6D9C"/>
    <w:rsid w:val="005E6E02"/>
    <w:rsid w:val="005E767E"/>
    <w:rsid w:val="005E79BF"/>
    <w:rsid w:val="005E7B68"/>
    <w:rsid w:val="005F022B"/>
    <w:rsid w:val="005F0B33"/>
    <w:rsid w:val="005F1635"/>
    <w:rsid w:val="005F18B1"/>
    <w:rsid w:val="005F2CFC"/>
    <w:rsid w:val="005F386C"/>
    <w:rsid w:val="005F486C"/>
    <w:rsid w:val="005F5579"/>
    <w:rsid w:val="005F78DA"/>
    <w:rsid w:val="005F7A0E"/>
    <w:rsid w:val="005F7ECF"/>
    <w:rsid w:val="0060200F"/>
    <w:rsid w:val="006034E4"/>
    <w:rsid w:val="006036E7"/>
    <w:rsid w:val="00607541"/>
    <w:rsid w:val="00607E26"/>
    <w:rsid w:val="00607F04"/>
    <w:rsid w:val="0061056E"/>
    <w:rsid w:val="00610815"/>
    <w:rsid w:val="006114EF"/>
    <w:rsid w:val="00611D49"/>
    <w:rsid w:val="00612B8A"/>
    <w:rsid w:val="00613BB6"/>
    <w:rsid w:val="0061490F"/>
    <w:rsid w:val="006157F0"/>
    <w:rsid w:val="0061736F"/>
    <w:rsid w:val="00620447"/>
    <w:rsid w:val="006205E0"/>
    <w:rsid w:val="00622928"/>
    <w:rsid w:val="00623217"/>
    <w:rsid w:val="0062331F"/>
    <w:rsid w:val="0062383B"/>
    <w:rsid w:val="00624899"/>
    <w:rsid w:val="00625DF5"/>
    <w:rsid w:val="006273FE"/>
    <w:rsid w:val="00630BB6"/>
    <w:rsid w:val="00633201"/>
    <w:rsid w:val="00633B3E"/>
    <w:rsid w:val="00633EAA"/>
    <w:rsid w:val="00634AF0"/>
    <w:rsid w:val="00635C48"/>
    <w:rsid w:val="00636140"/>
    <w:rsid w:val="00636B2C"/>
    <w:rsid w:val="00636B99"/>
    <w:rsid w:val="00637E51"/>
    <w:rsid w:val="006405D8"/>
    <w:rsid w:val="00641D53"/>
    <w:rsid w:val="0064301B"/>
    <w:rsid w:val="00643416"/>
    <w:rsid w:val="0064345E"/>
    <w:rsid w:val="00644632"/>
    <w:rsid w:val="00644B71"/>
    <w:rsid w:val="00647E3A"/>
    <w:rsid w:val="006516AA"/>
    <w:rsid w:val="00651B61"/>
    <w:rsid w:val="00652A53"/>
    <w:rsid w:val="00653856"/>
    <w:rsid w:val="00654295"/>
    <w:rsid w:val="00655221"/>
    <w:rsid w:val="00656EF9"/>
    <w:rsid w:val="0065773E"/>
    <w:rsid w:val="00657B27"/>
    <w:rsid w:val="00657BA3"/>
    <w:rsid w:val="006601D6"/>
    <w:rsid w:val="00660AD5"/>
    <w:rsid w:val="00661BBC"/>
    <w:rsid w:val="00662CA5"/>
    <w:rsid w:val="00662CE3"/>
    <w:rsid w:val="006634A7"/>
    <w:rsid w:val="00663F4B"/>
    <w:rsid w:val="006667F5"/>
    <w:rsid w:val="00666C97"/>
    <w:rsid w:val="00667571"/>
    <w:rsid w:val="0067053F"/>
    <w:rsid w:val="00670C17"/>
    <w:rsid w:val="006714D0"/>
    <w:rsid w:val="0067173F"/>
    <w:rsid w:val="00672E4A"/>
    <w:rsid w:val="00674018"/>
    <w:rsid w:val="006742EE"/>
    <w:rsid w:val="00675353"/>
    <w:rsid w:val="00675A3B"/>
    <w:rsid w:val="00676F3A"/>
    <w:rsid w:val="0067727F"/>
    <w:rsid w:val="006802B9"/>
    <w:rsid w:val="00680353"/>
    <w:rsid w:val="006808E1"/>
    <w:rsid w:val="00681CA4"/>
    <w:rsid w:val="00682DAA"/>
    <w:rsid w:val="006830BA"/>
    <w:rsid w:val="006844A0"/>
    <w:rsid w:val="006844E3"/>
    <w:rsid w:val="00684F5A"/>
    <w:rsid w:val="00685412"/>
    <w:rsid w:val="0068672E"/>
    <w:rsid w:val="0068754E"/>
    <w:rsid w:val="00687B58"/>
    <w:rsid w:val="0069053F"/>
    <w:rsid w:val="00690C11"/>
    <w:rsid w:val="00690DBA"/>
    <w:rsid w:val="00690DFB"/>
    <w:rsid w:val="006916B9"/>
    <w:rsid w:val="00691AAE"/>
    <w:rsid w:val="0069370F"/>
    <w:rsid w:val="006938EA"/>
    <w:rsid w:val="0069537D"/>
    <w:rsid w:val="00696432"/>
    <w:rsid w:val="006967DB"/>
    <w:rsid w:val="00696C5A"/>
    <w:rsid w:val="00696C68"/>
    <w:rsid w:val="00697112"/>
    <w:rsid w:val="006A08CF"/>
    <w:rsid w:val="006A1318"/>
    <w:rsid w:val="006A1BF8"/>
    <w:rsid w:val="006A1D5F"/>
    <w:rsid w:val="006A253C"/>
    <w:rsid w:val="006A2CBE"/>
    <w:rsid w:val="006A2D38"/>
    <w:rsid w:val="006A41D6"/>
    <w:rsid w:val="006A4641"/>
    <w:rsid w:val="006A547B"/>
    <w:rsid w:val="006A588C"/>
    <w:rsid w:val="006A61B7"/>
    <w:rsid w:val="006A6655"/>
    <w:rsid w:val="006A6678"/>
    <w:rsid w:val="006A6FC0"/>
    <w:rsid w:val="006B080E"/>
    <w:rsid w:val="006B0F0E"/>
    <w:rsid w:val="006B3146"/>
    <w:rsid w:val="006B39C0"/>
    <w:rsid w:val="006B43A0"/>
    <w:rsid w:val="006B5BC5"/>
    <w:rsid w:val="006B5D24"/>
    <w:rsid w:val="006B6705"/>
    <w:rsid w:val="006B7324"/>
    <w:rsid w:val="006B7A44"/>
    <w:rsid w:val="006B7AD3"/>
    <w:rsid w:val="006C1207"/>
    <w:rsid w:val="006C472F"/>
    <w:rsid w:val="006C474A"/>
    <w:rsid w:val="006C5B93"/>
    <w:rsid w:val="006C63CA"/>
    <w:rsid w:val="006D0ACF"/>
    <w:rsid w:val="006D18B1"/>
    <w:rsid w:val="006D199A"/>
    <w:rsid w:val="006D2B69"/>
    <w:rsid w:val="006D419B"/>
    <w:rsid w:val="006D4774"/>
    <w:rsid w:val="006D4D47"/>
    <w:rsid w:val="006D532D"/>
    <w:rsid w:val="006D5B8B"/>
    <w:rsid w:val="006D6133"/>
    <w:rsid w:val="006D68AD"/>
    <w:rsid w:val="006D7A89"/>
    <w:rsid w:val="006E0039"/>
    <w:rsid w:val="006E0387"/>
    <w:rsid w:val="006E0EF5"/>
    <w:rsid w:val="006E2004"/>
    <w:rsid w:val="006E2913"/>
    <w:rsid w:val="006E366A"/>
    <w:rsid w:val="006E48F5"/>
    <w:rsid w:val="006E5B16"/>
    <w:rsid w:val="006E5C75"/>
    <w:rsid w:val="006E7667"/>
    <w:rsid w:val="006E76BD"/>
    <w:rsid w:val="006F0C19"/>
    <w:rsid w:val="006F2754"/>
    <w:rsid w:val="006F2905"/>
    <w:rsid w:val="006F32EC"/>
    <w:rsid w:val="006F43DF"/>
    <w:rsid w:val="006F5078"/>
    <w:rsid w:val="006F5D72"/>
    <w:rsid w:val="006F6CA3"/>
    <w:rsid w:val="0070084D"/>
    <w:rsid w:val="00702E48"/>
    <w:rsid w:val="007038F0"/>
    <w:rsid w:val="007058FF"/>
    <w:rsid w:val="00706C32"/>
    <w:rsid w:val="007076B0"/>
    <w:rsid w:val="007101A2"/>
    <w:rsid w:val="00710B38"/>
    <w:rsid w:val="00711B47"/>
    <w:rsid w:val="00712196"/>
    <w:rsid w:val="00714399"/>
    <w:rsid w:val="007154CD"/>
    <w:rsid w:val="0071718E"/>
    <w:rsid w:val="007219A2"/>
    <w:rsid w:val="00722BF2"/>
    <w:rsid w:val="007233E3"/>
    <w:rsid w:val="007258FD"/>
    <w:rsid w:val="00725E84"/>
    <w:rsid w:val="00726E47"/>
    <w:rsid w:val="00727F58"/>
    <w:rsid w:val="00730724"/>
    <w:rsid w:val="007310B4"/>
    <w:rsid w:val="00731321"/>
    <w:rsid w:val="00733176"/>
    <w:rsid w:val="00733669"/>
    <w:rsid w:val="007361A2"/>
    <w:rsid w:val="007364A5"/>
    <w:rsid w:val="007368D1"/>
    <w:rsid w:val="0073799E"/>
    <w:rsid w:val="00737C15"/>
    <w:rsid w:val="00740CF7"/>
    <w:rsid w:val="00740ED7"/>
    <w:rsid w:val="0074164C"/>
    <w:rsid w:val="00741897"/>
    <w:rsid w:val="00742CD8"/>
    <w:rsid w:val="0074412A"/>
    <w:rsid w:val="00745468"/>
    <w:rsid w:val="0074547C"/>
    <w:rsid w:val="00746BB6"/>
    <w:rsid w:val="00747ABD"/>
    <w:rsid w:val="00747BEF"/>
    <w:rsid w:val="00750E3A"/>
    <w:rsid w:val="00751AD8"/>
    <w:rsid w:val="00752B15"/>
    <w:rsid w:val="00752CEB"/>
    <w:rsid w:val="00753D5A"/>
    <w:rsid w:val="00754080"/>
    <w:rsid w:val="00754F88"/>
    <w:rsid w:val="00754FF3"/>
    <w:rsid w:val="00755106"/>
    <w:rsid w:val="007566B5"/>
    <w:rsid w:val="00756C7B"/>
    <w:rsid w:val="00761E98"/>
    <w:rsid w:val="00762ABB"/>
    <w:rsid w:val="00763180"/>
    <w:rsid w:val="00764379"/>
    <w:rsid w:val="0076502E"/>
    <w:rsid w:val="007651BE"/>
    <w:rsid w:val="007657F8"/>
    <w:rsid w:val="007660EA"/>
    <w:rsid w:val="007668B2"/>
    <w:rsid w:val="0076775A"/>
    <w:rsid w:val="00767BC3"/>
    <w:rsid w:val="00771D2B"/>
    <w:rsid w:val="00773871"/>
    <w:rsid w:val="00774021"/>
    <w:rsid w:val="00775AD3"/>
    <w:rsid w:val="00776917"/>
    <w:rsid w:val="00776AF5"/>
    <w:rsid w:val="007773F3"/>
    <w:rsid w:val="00780426"/>
    <w:rsid w:val="00780E3E"/>
    <w:rsid w:val="00780E9B"/>
    <w:rsid w:val="00781CF8"/>
    <w:rsid w:val="00781D3C"/>
    <w:rsid w:val="00783159"/>
    <w:rsid w:val="00784187"/>
    <w:rsid w:val="0078582B"/>
    <w:rsid w:val="00785988"/>
    <w:rsid w:val="00786F4D"/>
    <w:rsid w:val="007901E9"/>
    <w:rsid w:val="0079043D"/>
    <w:rsid w:val="0079086C"/>
    <w:rsid w:val="00792348"/>
    <w:rsid w:val="00793B3C"/>
    <w:rsid w:val="0079577D"/>
    <w:rsid w:val="007960A0"/>
    <w:rsid w:val="0079723E"/>
    <w:rsid w:val="007A008F"/>
    <w:rsid w:val="007A0637"/>
    <w:rsid w:val="007A08DE"/>
    <w:rsid w:val="007A0FEC"/>
    <w:rsid w:val="007A1B28"/>
    <w:rsid w:val="007A1EFE"/>
    <w:rsid w:val="007A2067"/>
    <w:rsid w:val="007A2A87"/>
    <w:rsid w:val="007A2DCE"/>
    <w:rsid w:val="007A37B6"/>
    <w:rsid w:val="007A3997"/>
    <w:rsid w:val="007A3FBF"/>
    <w:rsid w:val="007A40A9"/>
    <w:rsid w:val="007A44CA"/>
    <w:rsid w:val="007A562E"/>
    <w:rsid w:val="007A6C2D"/>
    <w:rsid w:val="007A75B6"/>
    <w:rsid w:val="007A7BBF"/>
    <w:rsid w:val="007B0B9A"/>
    <w:rsid w:val="007B0D99"/>
    <w:rsid w:val="007B1A32"/>
    <w:rsid w:val="007B30E2"/>
    <w:rsid w:val="007B3649"/>
    <w:rsid w:val="007B3BC7"/>
    <w:rsid w:val="007B46E8"/>
    <w:rsid w:val="007B6A20"/>
    <w:rsid w:val="007B7F3C"/>
    <w:rsid w:val="007C072C"/>
    <w:rsid w:val="007C140A"/>
    <w:rsid w:val="007C1E54"/>
    <w:rsid w:val="007C222B"/>
    <w:rsid w:val="007C24C9"/>
    <w:rsid w:val="007C29EC"/>
    <w:rsid w:val="007C2D24"/>
    <w:rsid w:val="007C3411"/>
    <w:rsid w:val="007C4366"/>
    <w:rsid w:val="007C6F40"/>
    <w:rsid w:val="007C720C"/>
    <w:rsid w:val="007C7B5F"/>
    <w:rsid w:val="007D0107"/>
    <w:rsid w:val="007D13D5"/>
    <w:rsid w:val="007D1F56"/>
    <w:rsid w:val="007D217A"/>
    <w:rsid w:val="007D365B"/>
    <w:rsid w:val="007D398E"/>
    <w:rsid w:val="007D3D2E"/>
    <w:rsid w:val="007D5072"/>
    <w:rsid w:val="007D57B8"/>
    <w:rsid w:val="007D59D4"/>
    <w:rsid w:val="007D5AA1"/>
    <w:rsid w:val="007D5F79"/>
    <w:rsid w:val="007D6394"/>
    <w:rsid w:val="007D6FB2"/>
    <w:rsid w:val="007D7583"/>
    <w:rsid w:val="007D77B6"/>
    <w:rsid w:val="007D7FB0"/>
    <w:rsid w:val="007E0C75"/>
    <w:rsid w:val="007E25EF"/>
    <w:rsid w:val="007E57B2"/>
    <w:rsid w:val="007E5CBE"/>
    <w:rsid w:val="007E746F"/>
    <w:rsid w:val="007E7646"/>
    <w:rsid w:val="007F0063"/>
    <w:rsid w:val="007F1B7C"/>
    <w:rsid w:val="007F2328"/>
    <w:rsid w:val="007F243E"/>
    <w:rsid w:val="007F2BB8"/>
    <w:rsid w:val="007F361A"/>
    <w:rsid w:val="007F3BA7"/>
    <w:rsid w:val="007F4303"/>
    <w:rsid w:val="007F5838"/>
    <w:rsid w:val="007F6500"/>
    <w:rsid w:val="007F712D"/>
    <w:rsid w:val="00802932"/>
    <w:rsid w:val="008032C2"/>
    <w:rsid w:val="00803985"/>
    <w:rsid w:val="0080478C"/>
    <w:rsid w:val="00804C4F"/>
    <w:rsid w:val="00805293"/>
    <w:rsid w:val="00805D73"/>
    <w:rsid w:val="00805F46"/>
    <w:rsid w:val="0080663E"/>
    <w:rsid w:val="0080678B"/>
    <w:rsid w:val="00812A1F"/>
    <w:rsid w:val="00814332"/>
    <w:rsid w:val="00815660"/>
    <w:rsid w:val="008173AA"/>
    <w:rsid w:val="008177E6"/>
    <w:rsid w:val="00820702"/>
    <w:rsid w:val="00821691"/>
    <w:rsid w:val="00821748"/>
    <w:rsid w:val="00822128"/>
    <w:rsid w:val="00823125"/>
    <w:rsid w:val="00823689"/>
    <w:rsid w:val="00823743"/>
    <w:rsid w:val="008239F9"/>
    <w:rsid w:val="00824EE8"/>
    <w:rsid w:val="00825218"/>
    <w:rsid w:val="0082532D"/>
    <w:rsid w:val="008254F8"/>
    <w:rsid w:val="00825953"/>
    <w:rsid w:val="00826536"/>
    <w:rsid w:val="00826591"/>
    <w:rsid w:val="00827284"/>
    <w:rsid w:val="00827919"/>
    <w:rsid w:val="00827A36"/>
    <w:rsid w:val="00830C78"/>
    <w:rsid w:val="008313D7"/>
    <w:rsid w:val="00831EE0"/>
    <w:rsid w:val="008340E5"/>
    <w:rsid w:val="008346DE"/>
    <w:rsid w:val="00834FC8"/>
    <w:rsid w:val="0083521F"/>
    <w:rsid w:val="00835AB1"/>
    <w:rsid w:val="008366FE"/>
    <w:rsid w:val="00836D4C"/>
    <w:rsid w:val="00837006"/>
    <w:rsid w:val="00837823"/>
    <w:rsid w:val="008379F2"/>
    <w:rsid w:val="00837E16"/>
    <w:rsid w:val="00840ABB"/>
    <w:rsid w:val="00841757"/>
    <w:rsid w:val="00841782"/>
    <w:rsid w:val="00841CB9"/>
    <w:rsid w:val="0084207B"/>
    <w:rsid w:val="00842679"/>
    <w:rsid w:val="0084298D"/>
    <w:rsid w:val="008441ED"/>
    <w:rsid w:val="008456E6"/>
    <w:rsid w:val="00846765"/>
    <w:rsid w:val="00846F1C"/>
    <w:rsid w:val="0084718D"/>
    <w:rsid w:val="0084766F"/>
    <w:rsid w:val="00847794"/>
    <w:rsid w:val="00847A27"/>
    <w:rsid w:val="00850886"/>
    <w:rsid w:val="00850A86"/>
    <w:rsid w:val="00851101"/>
    <w:rsid w:val="00852485"/>
    <w:rsid w:val="008531A5"/>
    <w:rsid w:val="008532E9"/>
    <w:rsid w:val="00853799"/>
    <w:rsid w:val="008537CA"/>
    <w:rsid w:val="008539FA"/>
    <w:rsid w:val="00853D3D"/>
    <w:rsid w:val="00853F92"/>
    <w:rsid w:val="00854AE0"/>
    <w:rsid w:val="0085593D"/>
    <w:rsid w:val="00856864"/>
    <w:rsid w:val="00857380"/>
    <w:rsid w:val="00857D01"/>
    <w:rsid w:val="008614E7"/>
    <w:rsid w:val="00861D32"/>
    <w:rsid w:val="00861D75"/>
    <w:rsid w:val="0086356A"/>
    <w:rsid w:val="00863728"/>
    <w:rsid w:val="0086606E"/>
    <w:rsid w:val="00866A91"/>
    <w:rsid w:val="00866F3A"/>
    <w:rsid w:val="008702EC"/>
    <w:rsid w:val="00870623"/>
    <w:rsid w:val="008716E7"/>
    <w:rsid w:val="0087222E"/>
    <w:rsid w:val="00873B84"/>
    <w:rsid w:val="0087456F"/>
    <w:rsid w:val="00875D89"/>
    <w:rsid w:val="00876512"/>
    <w:rsid w:val="008767EC"/>
    <w:rsid w:val="008768E5"/>
    <w:rsid w:val="00877DBC"/>
    <w:rsid w:val="008805DF"/>
    <w:rsid w:val="00880B1D"/>
    <w:rsid w:val="00881424"/>
    <w:rsid w:val="00881837"/>
    <w:rsid w:val="00882486"/>
    <w:rsid w:val="008834C8"/>
    <w:rsid w:val="008835EC"/>
    <w:rsid w:val="00884126"/>
    <w:rsid w:val="00884256"/>
    <w:rsid w:val="0088529B"/>
    <w:rsid w:val="00885628"/>
    <w:rsid w:val="0088580C"/>
    <w:rsid w:val="008868C0"/>
    <w:rsid w:val="00887C57"/>
    <w:rsid w:val="00890E91"/>
    <w:rsid w:val="00891565"/>
    <w:rsid w:val="00891C88"/>
    <w:rsid w:val="00892E5B"/>
    <w:rsid w:val="00892EA3"/>
    <w:rsid w:val="00894C2D"/>
    <w:rsid w:val="00894D55"/>
    <w:rsid w:val="008953DB"/>
    <w:rsid w:val="00895960"/>
    <w:rsid w:val="008962FB"/>
    <w:rsid w:val="00896644"/>
    <w:rsid w:val="00897986"/>
    <w:rsid w:val="008A2426"/>
    <w:rsid w:val="008A5143"/>
    <w:rsid w:val="008A54D1"/>
    <w:rsid w:val="008A583D"/>
    <w:rsid w:val="008A5AD8"/>
    <w:rsid w:val="008A6C03"/>
    <w:rsid w:val="008A7066"/>
    <w:rsid w:val="008A7EE1"/>
    <w:rsid w:val="008B117F"/>
    <w:rsid w:val="008B1269"/>
    <w:rsid w:val="008B17FD"/>
    <w:rsid w:val="008B1AD5"/>
    <w:rsid w:val="008B1C41"/>
    <w:rsid w:val="008B1D7D"/>
    <w:rsid w:val="008B1F63"/>
    <w:rsid w:val="008B2AAC"/>
    <w:rsid w:val="008B34E5"/>
    <w:rsid w:val="008B3716"/>
    <w:rsid w:val="008B58A5"/>
    <w:rsid w:val="008B5F44"/>
    <w:rsid w:val="008B616B"/>
    <w:rsid w:val="008B66FC"/>
    <w:rsid w:val="008B7A2C"/>
    <w:rsid w:val="008B7F70"/>
    <w:rsid w:val="008C05A6"/>
    <w:rsid w:val="008C080C"/>
    <w:rsid w:val="008C08A6"/>
    <w:rsid w:val="008C09BF"/>
    <w:rsid w:val="008C0B61"/>
    <w:rsid w:val="008C0B92"/>
    <w:rsid w:val="008C1276"/>
    <w:rsid w:val="008C1691"/>
    <w:rsid w:val="008C19B2"/>
    <w:rsid w:val="008C24E4"/>
    <w:rsid w:val="008C271C"/>
    <w:rsid w:val="008C32A7"/>
    <w:rsid w:val="008C34B0"/>
    <w:rsid w:val="008C43EB"/>
    <w:rsid w:val="008C5207"/>
    <w:rsid w:val="008C5D90"/>
    <w:rsid w:val="008C6341"/>
    <w:rsid w:val="008C6357"/>
    <w:rsid w:val="008C6537"/>
    <w:rsid w:val="008C6699"/>
    <w:rsid w:val="008C6E49"/>
    <w:rsid w:val="008C7D53"/>
    <w:rsid w:val="008D05ED"/>
    <w:rsid w:val="008D3A61"/>
    <w:rsid w:val="008D3FAF"/>
    <w:rsid w:val="008D44BC"/>
    <w:rsid w:val="008D6912"/>
    <w:rsid w:val="008E0256"/>
    <w:rsid w:val="008E0850"/>
    <w:rsid w:val="008E0D47"/>
    <w:rsid w:val="008E16D5"/>
    <w:rsid w:val="008E2628"/>
    <w:rsid w:val="008E2659"/>
    <w:rsid w:val="008E2981"/>
    <w:rsid w:val="008E3AD6"/>
    <w:rsid w:val="008E44CC"/>
    <w:rsid w:val="008E4E61"/>
    <w:rsid w:val="008E51E9"/>
    <w:rsid w:val="008E5AAD"/>
    <w:rsid w:val="008E5D18"/>
    <w:rsid w:val="008E5D5F"/>
    <w:rsid w:val="008E683D"/>
    <w:rsid w:val="008E7F4C"/>
    <w:rsid w:val="008F0142"/>
    <w:rsid w:val="008F0730"/>
    <w:rsid w:val="008F08C2"/>
    <w:rsid w:val="008F14A7"/>
    <w:rsid w:val="008F1D08"/>
    <w:rsid w:val="008F339F"/>
    <w:rsid w:val="008F3546"/>
    <w:rsid w:val="008F3C57"/>
    <w:rsid w:val="008F446B"/>
    <w:rsid w:val="008F4865"/>
    <w:rsid w:val="008F51A9"/>
    <w:rsid w:val="008F5FA8"/>
    <w:rsid w:val="008F6D9F"/>
    <w:rsid w:val="008F78ED"/>
    <w:rsid w:val="008F7B84"/>
    <w:rsid w:val="00900446"/>
    <w:rsid w:val="00901711"/>
    <w:rsid w:val="00901D9A"/>
    <w:rsid w:val="00902E19"/>
    <w:rsid w:val="00903282"/>
    <w:rsid w:val="0090344B"/>
    <w:rsid w:val="0090458E"/>
    <w:rsid w:val="009058CB"/>
    <w:rsid w:val="00905AA9"/>
    <w:rsid w:val="00905C49"/>
    <w:rsid w:val="00906A98"/>
    <w:rsid w:val="00906C4C"/>
    <w:rsid w:val="00906FAE"/>
    <w:rsid w:val="009077B6"/>
    <w:rsid w:val="00907C5A"/>
    <w:rsid w:val="00911A7D"/>
    <w:rsid w:val="00912344"/>
    <w:rsid w:val="00912BF6"/>
    <w:rsid w:val="00913002"/>
    <w:rsid w:val="0091372C"/>
    <w:rsid w:val="00914D18"/>
    <w:rsid w:val="00914FA1"/>
    <w:rsid w:val="009158B7"/>
    <w:rsid w:val="00917347"/>
    <w:rsid w:val="0091745B"/>
    <w:rsid w:val="00920C0A"/>
    <w:rsid w:val="00920CA1"/>
    <w:rsid w:val="00921E66"/>
    <w:rsid w:val="00922727"/>
    <w:rsid w:val="00926837"/>
    <w:rsid w:val="00926A13"/>
    <w:rsid w:val="00927AC6"/>
    <w:rsid w:val="009303D4"/>
    <w:rsid w:val="009320AE"/>
    <w:rsid w:val="00932FEB"/>
    <w:rsid w:val="00933026"/>
    <w:rsid w:val="00933862"/>
    <w:rsid w:val="00933DEF"/>
    <w:rsid w:val="0093430C"/>
    <w:rsid w:val="00935247"/>
    <w:rsid w:val="009353C8"/>
    <w:rsid w:val="00936162"/>
    <w:rsid w:val="0093633A"/>
    <w:rsid w:val="009374A8"/>
    <w:rsid w:val="00941E30"/>
    <w:rsid w:val="009422D9"/>
    <w:rsid w:val="00942390"/>
    <w:rsid w:val="00942BC6"/>
    <w:rsid w:val="00943429"/>
    <w:rsid w:val="00944228"/>
    <w:rsid w:val="009442BA"/>
    <w:rsid w:val="00946C5B"/>
    <w:rsid w:val="00947D08"/>
    <w:rsid w:val="0095027A"/>
    <w:rsid w:val="00950653"/>
    <w:rsid w:val="009509F9"/>
    <w:rsid w:val="00951903"/>
    <w:rsid w:val="00951A95"/>
    <w:rsid w:val="00954272"/>
    <w:rsid w:val="009544A7"/>
    <w:rsid w:val="00954B78"/>
    <w:rsid w:val="00960EAF"/>
    <w:rsid w:val="00961859"/>
    <w:rsid w:val="0096258C"/>
    <w:rsid w:val="00962DFE"/>
    <w:rsid w:val="00963AE7"/>
    <w:rsid w:val="0096432A"/>
    <w:rsid w:val="0096484E"/>
    <w:rsid w:val="009674A1"/>
    <w:rsid w:val="0096765B"/>
    <w:rsid w:val="0097046B"/>
    <w:rsid w:val="009716AC"/>
    <w:rsid w:val="00971B75"/>
    <w:rsid w:val="00972AB4"/>
    <w:rsid w:val="00973B1E"/>
    <w:rsid w:val="00973EAF"/>
    <w:rsid w:val="00975272"/>
    <w:rsid w:val="009777CB"/>
    <w:rsid w:val="0097781D"/>
    <w:rsid w:val="009802C0"/>
    <w:rsid w:val="00980929"/>
    <w:rsid w:val="009812C0"/>
    <w:rsid w:val="009827FB"/>
    <w:rsid w:val="009845AF"/>
    <w:rsid w:val="00984748"/>
    <w:rsid w:val="0098494C"/>
    <w:rsid w:val="00984970"/>
    <w:rsid w:val="00984CBA"/>
    <w:rsid w:val="009865BA"/>
    <w:rsid w:val="009900CB"/>
    <w:rsid w:val="00990134"/>
    <w:rsid w:val="009901E7"/>
    <w:rsid w:val="009902C7"/>
    <w:rsid w:val="00991887"/>
    <w:rsid w:val="00991922"/>
    <w:rsid w:val="00991F2D"/>
    <w:rsid w:val="00991F96"/>
    <w:rsid w:val="00992AF5"/>
    <w:rsid w:val="00992CA4"/>
    <w:rsid w:val="009943B5"/>
    <w:rsid w:val="00994443"/>
    <w:rsid w:val="00994680"/>
    <w:rsid w:val="0099507B"/>
    <w:rsid w:val="0099583B"/>
    <w:rsid w:val="00996230"/>
    <w:rsid w:val="009971B0"/>
    <w:rsid w:val="009975F0"/>
    <w:rsid w:val="00997B98"/>
    <w:rsid w:val="009A0D3D"/>
    <w:rsid w:val="009A1736"/>
    <w:rsid w:val="009A183E"/>
    <w:rsid w:val="009A194D"/>
    <w:rsid w:val="009A1C00"/>
    <w:rsid w:val="009A2142"/>
    <w:rsid w:val="009A22FD"/>
    <w:rsid w:val="009A293A"/>
    <w:rsid w:val="009A2951"/>
    <w:rsid w:val="009A2E87"/>
    <w:rsid w:val="009A312C"/>
    <w:rsid w:val="009A3B60"/>
    <w:rsid w:val="009A3BAC"/>
    <w:rsid w:val="009A4F44"/>
    <w:rsid w:val="009A548A"/>
    <w:rsid w:val="009A58CF"/>
    <w:rsid w:val="009A5F97"/>
    <w:rsid w:val="009A6154"/>
    <w:rsid w:val="009B1977"/>
    <w:rsid w:val="009B1D19"/>
    <w:rsid w:val="009B1DF6"/>
    <w:rsid w:val="009B2B73"/>
    <w:rsid w:val="009B303B"/>
    <w:rsid w:val="009B4491"/>
    <w:rsid w:val="009B4CF2"/>
    <w:rsid w:val="009B4EB6"/>
    <w:rsid w:val="009B503B"/>
    <w:rsid w:val="009B77AA"/>
    <w:rsid w:val="009B79FB"/>
    <w:rsid w:val="009C066C"/>
    <w:rsid w:val="009C15EA"/>
    <w:rsid w:val="009C2370"/>
    <w:rsid w:val="009C2A4A"/>
    <w:rsid w:val="009C3630"/>
    <w:rsid w:val="009C548F"/>
    <w:rsid w:val="009C54D0"/>
    <w:rsid w:val="009C5C38"/>
    <w:rsid w:val="009C5D3C"/>
    <w:rsid w:val="009C74CF"/>
    <w:rsid w:val="009C765D"/>
    <w:rsid w:val="009D1BE2"/>
    <w:rsid w:val="009D3A67"/>
    <w:rsid w:val="009D463B"/>
    <w:rsid w:val="009D48F7"/>
    <w:rsid w:val="009D5360"/>
    <w:rsid w:val="009D59E9"/>
    <w:rsid w:val="009D5A2C"/>
    <w:rsid w:val="009D6044"/>
    <w:rsid w:val="009D61D6"/>
    <w:rsid w:val="009D6483"/>
    <w:rsid w:val="009D7646"/>
    <w:rsid w:val="009D7BB6"/>
    <w:rsid w:val="009E1684"/>
    <w:rsid w:val="009E190E"/>
    <w:rsid w:val="009E1AE6"/>
    <w:rsid w:val="009E2D2F"/>
    <w:rsid w:val="009E2E47"/>
    <w:rsid w:val="009E5455"/>
    <w:rsid w:val="009E5567"/>
    <w:rsid w:val="009E5BA9"/>
    <w:rsid w:val="009E6662"/>
    <w:rsid w:val="009E6DCA"/>
    <w:rsid w:val="009E7CFA"/>
    <w:rsid w:val="009F0588"/>
    <w:rsid w:val="009F1F31"/>
    <w:rsid w:val="009F23F9"/>
    <w:rsid w:val="009F2BB3"/>
    <w:rsid w:val="009F2D0B"/>
    <w:rsid w:val="009F2F4D"/>
    <w:rsid w:val="009F33B2"/>
    <w:rsid w:val="009F3C5A"/>
    <w:rsid w:val="009F4487"/>
    <w:rsid w:val="009F75C3"/>
    <w:rsid w:val="00A00931"/>
    <w:rsid w:val="00A00A01"/>
    <w:rsid w:val="00A029A8"/>
    <w:rsid w:val="00A0336D"/>
    <w:rsid w:val="00A036A9"/>
    <w:rsid w:val="00A04BAE"/>
    <w:rsid w:val="00A05192"/>
    <w:rsid w:val="00A05CF4"/>
    <w:rsid w:val="00A07603"/>
    <w:rsid w:val="00A1189B"/>
    <w:rsid w:val="00A11D23"/>
    <w:rsid w:val="00A12168"/>
    <w:rsid w:val="00A12ACA"/>
    <w:rsid w:val="00A14B07"/>
    <w:rsid w:val="00A14FE8"/>
    <w:rsid w:val="00A1628F"/>
    <w:rsid w:val="00A16485"/>
    <w:rsid w:val="00A1680F"/>
    <w:rsid w:val="00A17A31"/>
    <w:rsid w:val="00A20BC6"/>
    <w:rsid w:val="00A21225"/>
    <w:rsid w:val="00A22C00"/>
    <w:rsid w:val="00A23551"/>
    <w:rsid w:val="00A2466F"/>
    <w:rsid w:val="00A251FB"/>
    <w:rsid w:val="00A2610A"/>
    <w:rsid w:val="00A27305"/>
    <w:rsid w:val="00A275C8"/>
    <w:rsid w:val="00A27C4C"/>
    <w:rsid w:val="00A30E03"/>
    <w:rsid w:val="00A31231"/>
    <w:rsid w:val="00A31E96"/>
    <w:rsid w:val="00A340BC"/>
    <w:rsid w:val="00A36AD4"/>
    <w:rsid w:val="00A375EB"/>
    <w:rsid w:val="00A37B0F"/>
    <w:rsid w:val="00A41581"/>
    <w:rsid w:val="00A41EF4"/>
    <w:rsid w:val="00A42E3F"/>
    <w:rsid w:val="00A42EB8"/>
    <w:rsid w:val="00A42FAC"/>
    <w:rsid w:val="00A43F60"/>
    <w:rsid w:val="00A445E1"/>
    <w:rsid w:val="00A44978"/>
    <w:rsid w:val="00A44EDC"/>
    <w:rsid w:val="00A50F42"/>
    <w:rsid w:val="00A51A09"/>
    <w:rsid w:val="00A51B1C"/>
    <w:rsid w:val="00A51E96"/>
    <w:rsid w:val="00A52838"/>
    <w:rsid w:val="00A529DE"/>
    <w:rsid w:val="00A52C6E"/>
    <w:rsid w:val="00A52E3B"/>
    <w:rsid w:val="00A532E9"/>
    <w:rsid w:val="00A53608"/>
    <w:rsid w:val="00A5390E"/>
    <w:rsid w:val="00A53CD5"/>
    <w:rsid w:val="00A5476A"/>
    <w:rsid w:val="00A56094"/>
    <w:rsid w:val="00A5634B"/>
    <w:rsid w:val="00A56E3C"/>
    <w:rsid w:val="00A5709A"/>
    <w:rsid w:val="00A572D7"/>
    <w:rsid w:val="00A57450"/>
    <w:rsid w:val="00A5775F"/>
    <w:rsid w:val="00A57770"/>
    <w:rsid w:val="00A60310"/>
    <w:rsid w:val="00A60FA6"/>
    <w:rsid w:val="00A639E5"/>
    <w:rsid w:val="00A647E2"/>
    <w:rsid w:val="00A65A31"/>
    <w:rsid w:val="00A7021E"/>
    <w:rsid w:val="00A709B2"/>
    <w:rsid w:val="00A70C8E"/>
    <w:rsid w:val="00A7171D"/>
    <w:rsid w:val="00A71BBF"/>
    <w:rsid w:val="00A72227"/>
    <w:rsid w:val="00A72782"/>
    <w:rsid w:val="00A72B69"/>
    <w:rsid w:val="00A7433D"/>
    <w:rsid w:val="00A7451C"/>
    <w:rsid w:val="00A74AAC"/>
    <w:rsid w:val="00A75B83"/>
    <w:rsid w:val="00A802A8"/>
    <w:rsid w:val="00A831F3"/>
    <w:rsid w:val="00A83783"/>
    <w:rsid w:val="00A842E4"/>
    <w:rsid w:val="00A84399"/>
    <w:rsid w:val="00A85949"/>
    <w:rsid w:val="00A85CD4"/>
    <w:rsid w:val="00A91863"/>
    <w:rsid w:val="00A934AF"/>
    <w:rsid w:val="00A93C8A"/>
    <w:rsid w:val="00A95CD6"/>
    <w:rsid w:val="00A9699C"/>
    <w:rsid w:val="00A969EC"/>
    <w:rsid w:val="00A96DC6"/>
    <w:rsid w:val="00A96E97"/>
    <w:rsid w:val="00A970B0"/>
    <w:rsid w:val="00A9786C"/>
    <w:rsid w:val="00AA3525"/>
    <w:rsid w:val="00AA3928"/>
    <w:rsid w:val="00AA466A"/>
    <w:rsid w:val="00AA637A"/>
    <w:rsid w:val="00AA6883"/>
    <w:rsid w:val="00AA6E25"/>
    <w:rsid w:val="00AA70F7"/>
    <w:rsid w:val="00AA754F"/>
    <w:rsid w:val="00AA7DA7"/>
    <w:rsid w:val="00AB0011"/>
    <w:rsid w:val="00AB005E"/>
    <w:rsid w:val="00AB04CC"/>
    <w:rsid w:val="00AB1051"/>
    <w:rsid w:val="00AB1474"/>
    <w:rsid w:val="00AB1A9A"/>
    <w:rsid w:val="00AB2ECA"/>
    <w:rsid w:val="00AB3378"/>
    <w:rsid w:val="00AB33FA"/>
    <w:rsid w:val="00AB3412"/>
    <w:rsid w:val="00AB3574"/>
    <w:rsid w:val="00AB50BD"/>
    <w:rsid w:val="00AB6DE2"/>
    <w:rsid w:val="00AC16B4"/>
    <w:rsid w:val="00AC1C6E"/>
    <w:rsid w:val="00AC2B29"/>
    <w:rsid w:val="00AC4087"/>
    <w:rsid w:val="00AC57C1"/>
    <w:rsid w:val="00AC5900"/>
    <w:rsid w:val="00AC5905"/>
    <w:rsid w:val="00AC595A"/>
    <w:rsid w:val="00AC72B2"/>
    <w:rsid w:val="00AC73A9"/>
    <w:rsid w:val="00AC7FFB"/>
    <w:rsid w:val="00AD0278"/>
    <w:rsid w:val="00AD02EB"/>
    <w:rsid w:val="00AD0AE9"/>
    <w:rsid w:val="00AD0F18"/>
    <w:rsid w:val="00AD1185"/>
    <w:rsid w:val="00AD2423"/>
    <w:rsid w:val="00AD24AD"/>
    <w:rsid w:val="00AD2CF6"/>
    <w:rsid w:val="00AD3E16"/>
    <w:rsid w:val="00AD4473"/>
    <w:rsid w:val="00AD532D"/>
    <w:rsid w:val="00AD62EB"/>
    <w:rsid w:val="00AD6484"/>
    <w:rsid w:val="00AD6611"/>
    <w:rsid w:val="00AD75DB"/>
    <w:rsid w:val="00AD79AA"/>
    <w:rsid w:val="00AD7E83"/>
    <w:rsid w:val="00AE0FAC"/>
    <w:rsid w:val="00AE191A"/>
    <w:rsid w:val="00AE1DA4"/>
    <w:rsid w:val="00AE2D95"/>
    <w:rsid w:val="00AE444A"/>
    <w:rsid w:val="00AE4D86"/>
    <w:rsid w:val="00AE5B26"/>
    <w:rsid w:val="00AF00C9"/>
    <w:rsid w:val="00AF0C9F"/>
    <w:rsid w:val="00AF2566"/>
    <w:rsid w:val="00AF2639"/>
    <w:rsid w:val="00AF2931"/>
    <w:rsid w:val="00AF295E"/>
    <w:rsid w:val="00AF53EA"/>
    <w:rsid w:val="00AF547A"/>
    <w:rsid w:val="00AF6542"/>
    <w:rsid w:val="00B010F9"/>
    <w:rsid w:val="00B01370"/>
    <w:rsid w:val="00B01C9F"/>
    <w:rsid w:val="00B02369"/>
    <w:rsid w:val="00B027FF"/>
    <w:rsid w:val="00B02948"/>
    <w:rsid w:val="00B03441"/>
    <w:rsid w:val="00B03586"/>
    <w:rsid w:val="00B05F4A"/>
    <w:rsid w:val="00B067C3"/>
    <w:rsid w:val="00B06D0C"/>
    <w:rsid w:val="00B07403"/>
    <w:rsid w:val="00B11085"/>
    <w:rsid w:val="00B11670"/>
    <w:rsid w:val="00B118BA"/>
    <w:rsid w:val="00B12451"/>
    <w:rsid w:val="00B12D11"/>
    <w:rsid w:val="00B12FA5"/>
    <w:rsid w:val="00B1378C"/>
    <w:rsid w:val="00B13B05"/>
    <w:rsid w:val="00B15ACF"/>
    <w:rsid w:val="00B15BB9"/>
    <w:rsid w:val="00B15E50"/>
    <w:rsid w:val="00B15F43"/>
    <w:rsid w:val="00B174F6"/>
    <w:rsid w:val="00B17669"/>
    <w:rsid w:val="00B200D1"/>
    <w:rsid w:val="00B20A73"/>
    <w:rsid w:val="00B21121"/>
    <w:rsid w:val="00B21E76"/>
    <w:rsid w:val="00B231F6"/>
    <w:rsid w:val="00B233A7"/>
    <w:rsid w:val="00B24197"/>
    <w:rsid w:val="00B250A6"/>
    <w:rsid w:val="00B25563"/>
    <w:rsid w:val="00B25704"/>
    <w:rsid w:val="00B25C6C"/>
    <w:rsid w:val="00B26FF5"/>
    <w:rsid w:val="00B30378"/>
    <w:rsid w:val="00B307FB"/>
    <w:rsid w:val="00B308FD"/>
    <w:rsid w:val="00B33576"/>
    <w:rsid w:val="00B33AFC"/>
    <w:rsid w:val="00B33C89"/>
    <w:rsid w:val="00B33E9D"/>
    <w:rsid w:val="00B34BF6"/>
    <w:rsid w:val="00B3597A"/>
    <w:rsid w:val="00B36BDC"/>
    <w:rsid w:val="00B37944"/>
    <w:rsid w:val="00B37A96"/>
    <w:rsid w:val="00B40E2A"/>
    <w:rsid w:val="00B43B26"/>
    <w:rsid w:val="00B43D32"/>
    <w:rsid w:val="00B44EA4"/>
    <w:rsid w:val="00B46355"/>
    <w:rsid w:val="00B50DFE"/>
    <w:rsid w:val="00B51E0D"/>
    <w:rsid w:val="00B52644"/>
    <w:rsid w:val="00B54BF1"/>
    <w:rsid w:val="00B55F62"/>
    <w:rsid w:val="00B6076A"/>
    <w:rsid w:val="00B608AC"/>
    <w:rsid w:val="00B609C9"/>
    <w:rsid w:val="00B61470"/>
    <w:rsid w:val="00B615A1"/>
    <w:rsid w:val="00B6211B"/>
    <w:rsid w:val="00B631CC"/>
    <w:rsid w:val="00B63C9B"/>
    <w:rsid w:val="00B656E0"/>
    <w:rsid w:val="00B65925"/>
    <w:rsid w:val="00B65945"/>
    <w:rsid w:val="00B65E65"/>
    <w:rsid w:val="00B6732B"/>
    <w:rsid w:val="00B70FF2"/>
    <w:rsid w:val="00B71EF5"/>
    <w:rsid w:val="00B72A6D"/>
    <w:rsid w:val="00B72BFD"/>
    <w:rsid w:val="00B72C22"/>
    <w:rsid w:val="00B73DAD"/>
    <w:rsid w:val="00B74F4B"/>
    <w:rsid w:val="00B76445"/>
    <w:rsid w:val="00B766C0"/>
    <w:rsid w:val="00B769FE"/>
    <w:rsid w:val="00B77AD9"/>
    <w:rsid w:val="00B80D18"/>
    <w:rsid w:val="00B810E1"/>
    <w:rsid w:val="00B81249"/>
    <w:rsid w:val="00B81891"/>
    <w:rsid w:val="00B81BE4"/>
    <w:rsid w:val="00B827E7"/>
    <w:rsid w:val="00B84696"/>
    <w:rsid w:val="00B84A8C"/>
    <w:rsid w:val="00B85572"/>
    <w:rsid w:val="00B85F90"/>
    <w:rsid w:val="00B86336"/>
    <w:rsid w:val="00B873DB"/>
    <w:rsid w:val="00B91A91"/>
    <w:rsid w:val="00B9279C"/>
    <w:rsid w:val="00B92983"/>
    <w:rsid w:val="00B92C21"/>
    <w:rsid w:val="00B93FFD"/>
    <w:rsid w:val="00B945D4"/>
    <w:rsid w:val="00B94634"/>
    <w:rsid w:val="00B94C71"/>
    <w:rsid w:val="00B955EF"/>
    <w:rsid w:val="00B963CC"/>
    <w:rsid w:val="00B96608"/>
    <w:rsid w:val="00B96724"/>
    <w:rsid w:val="00BA060C"/>
    <w:rsid w:val="00BA10A2"/>
    <w:rsid w:val="00BA1224"/>
    <w:rsid w:val="00BA17D2"/>
    <w:rsid w:val="00BA4AD5"/>
    <w:rsid w:val="00BA4BA2"/>
    <w:rsid w:val="00BA5673"/>
    <w:rsid w:val="00BA63BB"/>
    <w:rsid w:val="00BA6445"/>
    <w:rsid w:val="00BA667E"/>
    <w:rsid w:val="00BA731D"/>
    <w:rsid w:val="00BA74DC"/>
    <w:rsid w:val="00BA75CC"/>
    <w:rsid w:val="00BA7602"/>
    <w:rsid w:val="00BB214A"/>
    <w:rsid w:val="00BB2571"/>
    <w:rsid w:val="00BB2B9A"/>
    <w:rsid w:val="00BB2EAE"/>
    <w:rsid w:val="00BB4A14"/>
    <w:rsid w:val="00BB5533"/>
    <w:rsid w:val="00BB5B0F"/>
    <w:rsid w:val="00BB69B1"/>
    <w:rsid w:val="00BB6CF8"/>
    <w:rsid w:val="00BB7ED8"/>
    <w:rsid w:val="00BC162F"/>
    <w:rsid w:val="00BC1EDA"/>
    <w:rsid w:val="00BC530C"/>
    <w:rsid w:val="00BC6527"/>
    <w:rsid w:val="00BC67E5"/>
    <w:rsid w:val="00BC7A60"/>
    <w:rsid w:val="00BD0216"/>
    <w:rsid w:val="00BD086E"/>
    <w:rsid w:val="00BD12D4"/>
    <w:rsid w:val="00BD2245"/>
    <w:rsid w:val="00BD25A2"/>
    <w:rsid w:val="00BD3250"/>
    <w:rsid w:val="00BD3E8F"/>
    <w:rsid w:val="00BD459B"/>
    <w:rsid w:val="00BD5214"/>
    <w:rsid w:val="00BD5AB0"/>
    <w:rsid w:val="00BD65F0"/>
    <w:rsid w:val="00BD6694"/>
    <w:rsid w:val="00BD675A"/>
    <w:rsid w:val="00BD6959"/>
    <w:rsid w:val="00BD7C9A"/>
    <w:rsid w:val="00BE17FE"/>
    <w:rsid w:val="00BE34BF"/>
    <w:rsid w:val="00BE3600"/>
    <w:rsid w:val="00BE3DAC"/>
    <w:rsid w:val="00BE595F"/>
    <w:rsid w:val="00BE5E80"/>
    <w:rsid w:val="00BE6ED2"/>
    <w:rsid w:val="00BE71ED"/>
    <w:rsid w:val="00BE7283"/>
    <w:rsid w:val="00BE7C5E"/>
    <w:rsid w:val="00BE7E95"/>
    <w:rsid w:val="00BF08B4"/>
    <w:rsid w:val="00BF0F2E"/>
    <w:rsid w:val="00BF1B80"/>
    <w:rsid w:val="00BF2036"/>
    <w:rsid w:val="00BF2375"/>
    <w:rsid w:val="00BF2F97"/>
    <w:rsid w:val="00BF3116"/>
    <w:rsid w:val="00BF4448"/>
    <w:rsid w:val="00BF54D7"/>
    <w:rsid w:val="00BF5D55"/>
    <w:rsid w:val="00BF6312"/>
    <w:rsid w:val="00BF6778"/>
    <w:rsid w:val="00BF696A"/>
    <w:rsid w:val="00BF6B3F"/>
    <w:rsid w:val="00BF7336"/>
    <w:rsid w:val="00BF7F03"/>
    <w:rsid w:val="00C001E0"/>
    <w:rsid w:val="00C01E6F"/>
    <w:rsid w:val="00C0311F"/>
    <w:rsid w:val="00C04CEE"/>
    <w:rsid w:val="00C05C14"/>
    <w:rsid w:val="00C05C82"/>
    <w:rsid w:val="00C05DFB"/>
    <w:rsid w:val="00C077F8"/>
    <w:rsid w:val="00C101D3"/>
    <w:rsid w:val="00C1109E"/>
    <w:rsid w:val="00C123BD"/>
    <w:rsid w:val="00C13412"/>
    <w:rsid w:val="00C1395E"/>
    <w:rsid w:val="00C14150"/>
    <w:rsid w:val="00C145C1"/>
    <w:rsid w:val="00C156BD"/>
    <w:rsid w:val="00C1616C"/>
    <w:rsid w:val="00C16350"/>
    <w:rsid w:val="00C20147"/>
    <w:rsid w:val="00C202ED"/>
    <w:rsid w:val="00C2121C"/>
    <w:rsid w:val="00C21B5A"/>
    <w:rsid w:val="00C21E2A"/>
    <w:rsid w:val="00C22132"/>
    <w:rsid w:val="00C22F34"/>
    <w:rsid w:val="00C2339A"/>
    <w:rsid w:val="00C23C8A"/>
    <w:rsid w:val="00C247D9"/>
    <w:rsid w:val="00C26001"/>
    <w:rsid w:val="00C26D38"/>
    <w:rsid w:val="00C27F72"/>
    <w:rsid w:val="00C31313"/>
    <w:rsid w:val="00C3165B"/>
    <w:rsid w:val="00C32C31"/>
    <w:rsid w:val="00C3399F"/>
    <w:rsid w:val="00C33C1E"/>
    <w:rsid w:val="00C346A8"/>
    <w:rsid w:val="00C347F8"/>
    <w:rsid w:val="00C34D39"/>
    <w:rsid w:val="00C34DCE"/>
    <w:rsid w:val="00C35432"/>
    <w:rsid w:val="00C3650A"/>
    <w:rsid w:val="00C36539"/>
    <w:rsid w:val="00C37150"/>
    <w:rsid w:val="00C40DC3"/>
    <w:rsid w:val="00C41A09"/>
    <w:rsid w:val="00C41EA7"/>
    <w:rsid w:val="00C42967"/>
    <w:rsid w:val="00C44D68"/>
    <w:rsid w:val="00C462BA"/>
    <w:rsid w:val="00C46B64"/>
    <w:rsid w:val="00C472E1"/>
    <w:rsid w:val="00C47E54"/>
    <w:rsid w:val="00C514F3"/>
    <w:rsid w:val="00C52265"/>
    <w:rsid w:val="00C52278"/>
    <w:rsid w:val="00C539E3"/>
    <w:rsid w:val="00C53A28"/>
    <w:rsid w:val="00C5470E"/>
    <w:rsid w:val="00C5513F"/>
    <w:rsid w:val="00C561EA"/>
    <w:rsid w:val="00C5647D"/>
    <w:rsid w:val="00C56E4D"/>
    <w:rsid w:val="00C57205"/>
    <w:rsid w:val="00C603D7"/>
    <w:rsid w:val="00C61D76"/>
    <w:rsid w:val="00C63A7B"/>
    <w:rsid w:val="00C66013"/>
    <w:rsid w:val="00C6780C"/>
    <w:rsid w:val="00C700CD"/>
    <w:rsid w:val="00C7068B"/>
    <w:rsid w:val="00C7127B"/>
    <w:rsid w:val="00C71B53"/>
    <w:rsid w:val="00C7409F"/>
    <w:rsid w:val="00C75769"/>
    <w:rsid w:val="00C76C44"/>
    <w:rsid w:val="00C776C9"/>
    <w:rsid w:val="00C77863"/>
    <w:rsid w:val="00C803A9"/>
    <w:rsid w:val="00C80926"/>
    <w:rsid w:val="00C813E5"/>
    <w:rsid w:val="00C82708"/>
    <w:rsid w:val="00C835F8"/>
    <w:rsid w:val="00C841A1"/>
    <w:rsid w:val="00C84A5D"/>
    <w:rsid w:val="00C85A4B"/>
    <w:rsid w:val="00C85F35"/>
    <w:rsid w:val="00C873A7"/>
    <w:rsid w:val="00C874A4"/>
    <w:rsid w:val="00C87EAF"/>
    <w:rsid w:val="00C90320"/>
    <w:rsid w:val="00C904D7"/>
    <w:rsid w:val="00C90871"/>
    <w:rsid w:val="00C90EB4"/>
    <w:rsid w:val="00C922AC"/>
    <w:rsid w:val="00C92941"/>
    <w:rsid w:val="00C93587"/>
    <w:rsid w:val="00C956DC"/>
    <w:rsid w:val="00C95A76"/>
    <w:rsid w:val="00C97BAB"/>
    <w:rsid w:val="00CA055D"/>
    <w:rsid w:val="00CA1457"/>
    <w:rsid w:val="00CA18EB"/>
    <w:rsid w:val="00CA19A7"/>
    <w:rsid w:val="00CA216A"/>
    <w:rsid w:val="00CA2440"/>
    <w:rsid w:val="00CA26D1"/>
    <w:rsid w:val="00CA2A2B"/>
    <w:rsid w:val="00CA2D93"/>
    <w:rsid w:val="00CA3ED7"/>
    <w:rsid w:val="00CA50D0"/>
    <w:rsid w:val="00CA51E7"/>
    <w:rsid w:val="00CA5312"/>
    <w:rsid w:val="00CA5B37"/>
    <w:rsid w:val="00CA7C2E"/>
    <w:rsid w:val="00CA7CFE"/>
    <w:rsid w:val="00CB0594"/>
    <w:rsid w:val="00CB1CE5"/>
    <w:rsid w:val="00CB2846"/>
    <w:rsid w:val="00CB3059"/>
    <w:rsid w:val="00CB39E2"/>
    <w:rsid w:val="00CB47D6"/>
    <w:rsid w:val="00CB543B"/>
    <w:rsid w:val="00CB5578"/>
    <w:rsid w:val="00CB596B"/>
    <w:rsid w:val="00CB59D4"/>
    <w:rsid w:val="00CB5B1D"/>
    <w:rsid w:val="00CB7F84"/>
    <w:rsid w:val="00CC0682"/>
    <w:rsid w:val="00CC124D"/>
    <w:rsid w:val="00CC1DDA"/>
    <w:rsid w:val="00CC3331"/>
    <w:rsid w:val="00CC39F5"/>
    <w:rsid w:val="00CC4687"/>
    <w:rsid w:val="00CC4F54"/>
    <w:rsid w:val="00CC59C4"/>
    <w:rsid w:val="00CC6505"/>
    <w:rsid w:val="00CC75C4"/>
    <w:rsid w:val="00CC7AA9"/>
    <w:rsid w:val="00CD0171"/>
    <w:rsid w:val="00CD1486"/>
    <w:rsid w:val="00CD3417"/>
    <w:rsid w:val="00CD4744"/>
    <w:rsid w:val="00CD587E"/>
    <w:rsid w:val="00CD65CE"/>
    <w:rsid w:val="00CD78AC"/>
    <w:rsid w:val="00CD7F99"/>
    <w:rsid w:val="00CE0AF8"/>
    <w:rsid w:val="00CE24CA"/>
    <w:rsid w:val="00CE2647"/>
    <w:rsid w:val="00CE3009"/>
    <w:rsid w:val="00CE4F5D"/>
    <w:rsid w:val="00CE559A"/>
    <w:rsid w:val="00CE5650"/>
    <w:rsid w:val="00CE70BA"/>
    <w:rsid w:val="00CE7339"/>
    <w:rsid w:val="00CF0216"/>
    <w:rsid w:val="00CF0680"/>
    <w:rsid w:val="00CF0807"/>
    <w:rsid w:val="00CF08FF"/>
    <w:rsid w:val="00CF139F"/>
    <w:rsid w:val="00CF1B0F"/>
    <w:rsid w:val="00CF1B18"/>
    <w:rsid w:val="00CF1F54"/>
    <w:rsid w:val="00CF2B77"/>
    <w:rsid w:val="00CF2DF4"/>
    <w:rsid w:val="00CF4CBC"/>
    <w:rsid w:val="00CF5641"/>
    <w:rsid w:val="00CF5A8F"/>
    <w:rsid w:val="00CF5DF1"/>
    <w:rsid w:val="00CF5F70"/>
    <w:rsid w:val="00CF6232"/>
    <w:rsid w:val="00CF65B5"/>
    <w:rsid w:val="00D00779"/>
    <w:rsid w:val="00D02318"/>
    <w:rsid w:val="00D02358"/>
    <w:rsid w:val="00D032BF"/>
    <w:rsid w:val="00D0390F"/>
    <w:rsid w:val="00D044B1"/>
    <w:rsid w:val="00D050EC"/>
    <w:rsid w:val="00D059FC"/>
    <w:rsid w:val="00D05BCF"/>
    <w:rsid w:val="00D076B1"/>
    <w:rsid w:val="00D10ADA"/>
    <w:rsid w:val="00D11F0E"/>
    <w:rsid w:val="00D12433"/>
    <w:rsid w:val="00D12D60"/>
    <w:rsid w:val="00D13288"/>
    <w:rsid w:val="00D156A7"/>
    <w:rsid w:val="00D1651F"/>
    <w:rsid w:val="00D1661C"/>
    <w:rsid w:val="00D17373"/>
    <w:rsid w:val="00D178A6"/>
    <w:rsid w:val="00D228A2"/>
    <w:rsid w:val="00D24624"/>
    <w:rsid w:val="00D24CDF"/>
    <w:rsid w:val="00D26153"/>
    <w:rsid w:val="00D3244C"/>
    <w:rsid w:val="00D32662"/>
    <w:rsid w:val="00D327D3"/>
    <w:rsid w:val="00D32F45"/>
    <w:rsid w:val="00D334C8"/>
    <w:rsid w:val="00D335B8"/>
    <w:rsid w:val="00D33CC2"/>
    <w:rsid w:val="00D33F8B"/>
    <w:rsid w:val="00D34BBC"/>
    <w:rsid w:val="00D35577"/>
    <w:rsid w:val="00D35775"/>
    <w:rsid w:val="00D35A68"/>
    <w:rsid w:val="00D370F9"/>
    <w:rsid w:val="00D3725F"/>
    <w:rsid w:val="00D379EB"/>
    <w:rsid w:val="00D40075"/>
    <w:rsid w:val="00D414E0"/>
    <w:rsid w:val="00D41800"/>
    <w:rsid w:val="00D41E5F"/>
    <w:rsid w:val="00D41F18"/>
    <w:rsid w:val="00D4400A"/>
    <w:rsid w:val="00D441D4"/>
    <w:rsid w:val="00D4499F"/>
    <w:rsid w:val="00D44A36"/>
    <w:rsid w:val="00D45F84"/>
    <w:rsid w:val="00D4656E"/>
    <w:rsid w:val="00D479E5"/>
    <w:rsid w:val="00D47B74"/>
    <w:rsid w:val="00D50A8D"/>
    <w:rsid w:val="00D51F9A"/>
    <w:rsid w:val="00D5264C"/>
    <w:rsid w:val="00D53975"/>
    <w:rsid w:val="00D53E7C"/>
    <w:rsid w:val="00D53F49"/>
    <w:rsid w:val="00D5407E"/>
    <w:rsid w:val="00D551AB"/>
    <w:rsid w:val="00D55943"/>
    <w:rsid w:val="00D55A7F"/>
    <w:rsid w:val="00D57059"/>
    <w:rsid w:val="00D57A7D"/>
    <w:rsid w:val="00D60D04"/>
    <w:rsid w:val="00D62FDA"/>
    <w:rsid w:val="00D63D1B"/>
    <w:rsid w:val="00D65409"/>
    <w:rsid w:val="00D67094"/>
    <w:rsid w:val="00D67BEF"/>
    <w:rsid w:val="00D67F51"/>
    <w:rsid w:val="00D7146F"/>
    <w:rsid w:val="00D71CD7"/>
    <w:rsid w:val="00D71D95"/>
    <w:rsid w:val="00D728B2"/>
    <w:rsid w:val="00D732A9"/>
    <w:rsid w:val="00D74741"/>
    <w:rsid w:val="00D76473"/>
    <w:rsid w:val="00D76928"/>
    <w:rsid w:val="00D76D34"/>
    <w:rsid w:val="00D76D53"/>
    <w:rsid w:val="00D77A33"/>
    <w:rsid w:val="00D8119C"/>
    <w:rsid w:val="00D82668"/>
    <w:rsid w:val="00D829A5"/>
    <w:rsid w:val="00D830F3"/>
    <w:rsid w:val="00D845FF"/>
    <w:rsid w:val="00D85BF9"/>
    <w:rsid w:val="00D86349"/>
    <w:rsid w:val="00D87792"/>
    <w:rsid w:val="00D87C97"/>
    <w:rsid w:val="00D87CBE"/>
    <w:rsid w:val="00D9050C"/>
    <w:rsid w:val="00D90A4A"/>
    <w:rsid w:val="00D90DB3"/>
    <w:rsid w:val="00D9130A"/>
    <w:rsid w:val="00D91E35"/>
    <w:rsid w:val="00D94681"/>
    <w:rsid w:val="00D94CE6"/>
    <w:rsid w:val="00D9548A"/>
    <w:rsid w:val="00D9577A"/>
    <w:rsid w:val="00D970F6"/>
    <w:rsid w:val="00D975FF"/>
    <w:rsid w:val="00D97C1C"/>
    <w:rsid w:val="00DA1C00"/>
    <w:rsid w:val="00DA22B2"/>
    <w:rsid w:val="00DA36FC"/>
    <w:rsid w:val="00DA53BB"/>
    <w:rsid w:val="00DA58B8"/>
    <w:rsid w:val="00DA5E54"/>
    <w:rsid w:val="00DA649A"/>
    <w:rsid w:val="00DA68E1"/>
    <w:rsid w:val="00DA7047"/>
    <w:rsid w:val="00DA7559"/>
    <w:rsid w:val="00DB0E30"/>
    <w:rsid w:val="00DB12E0"/>
    <w:rsid w:val="00DB13C7"/>
    <w:rsid w:val="00DB16B3"/>
    <w:rsid w:val="00DB1A58"/>
    <w:rsid w:val="00DB1DC2"/>
    <w:rsid w:val="00DB3481"/>
    <w:rsid w:val="00DB3C76"/>
    <w:rsid w:val="00DB4143"/>
    <w:rsid w:val="00DB436F"/>
    <w:rsid w:val="00DB44C6"/>
    <w:rsid w:val="00DB5016"/>
    <w:rsid w:val="00DB5E8C"/>
    <w:rsid w:val="00DB6645"/>
    <w:rsid w:val="00DB6B10"/>
    <w:rsid w:val="00DB75D9"/>
    <w:rsid w:val="00DB7E30"/>
    <w:rsid w:val="00DC0622"/>
    <w:rsid w:val="00DC0DF7"/>
    <w:rsid w:val="00DC11A2"/>
    <w:rsid w:val="00DC1920"/>
    <w:rsid w:val="00DC1991"/>
    <w:rsid w:val="00DC1A6C"/>
    <w:rsid w:val="00DC1AFB"/>
    <w:rsid w:val="00DC201C"/>
    <w:rsid w:val="00DC265F"/>
    <w:rsid w:val="00DC2F5B"/>
    <w:rsid w:val="00DC4297"/>
    <w:rsid w:val="00DC551A"/>
    <w:rsid w:val="00DC60D2"/>
    <w:rsid w:val="00DC6D09"/>
    <w:rsid w:val="00DC6FD0"/>
    <w:rsid w:val="00DC7822"/>
    <w:rsid w:val="00DC7D73"/>
    <w:rsid w:val="00DD0ADC"/>
    <w:rsid w:val="00DD1A33"/>
    <w:rsid w:val="00DD1CBA"/>
    <w:rsid w:val="00DD1EA5"/>
    <w:rsid w:val="00DD204F"/>
    <w:rsid w:val="00DD2EAA"/>
    <w:rsid w:val="00DD3DA6"/>
    <w:rsid w:val="00DD40FB"/>
    <w:rsid w:val="00DD4E81"/>
    <w:rsid w:val="00DD5667"/>
    <w:rsid w:val="00DD6060"/>
    <w:rsid w:val="00DD733E"/>
    <w:rsid w:val="00DD7861"/>
    <w:rsid w:val="00DD7B68"/>
    <w:rsid w:val="00DE08D0"/>
    <w:rsid w:val="00DE30F0"/>
    <w:rsid w:val="00DE321A"/>
    <w:rsid w:val="00DE344B"/>
    <w:rsid w:val="00DE4512"/>
    <w:rsid w:val="00DE4F6F"/>
    <w:rsid w:val="00DE511E"/>
    <w:rsid w:val="00DE53D3"/>
    <w:rsid w:val="00DE5F11"/>
    <w:rsid w:val="00DE6589"/>
    <w:rsid w:val="00DE7165"/>
    <w:rsid w:val="00DF17B4"/>
    <w:rsid w:val="00DF4B20"/>
    <w:rsid w:val="00DF4CE4"/>
    <w:rsid w:val="00DF52E1"/>
    <w:rsid w:val="00DF6814"/>
    <w:rsid w:val="00DF7026"/>
    <w:rsid w:val="00DF7422"/>
    <w:rsid w:val="00DF7677"/>
    <w:rsid w:val="00E00D29"/>
    <w:rsid w:val="00E0160A"/>
    <w:rsid w:val="00E02A73"/>
    <w:rsid w:val="00E0338B"/>
    <w:rsid w:val="00E04057"/>
    <w:rsid w:val="00E04286"/>
    <w:rsid w:val="00E04D7D"/>
    <w:rsid w:val="00E0523B"/>
    <w:rsid w:val="00E06541"/>
    <w:rsid w:val="00E06829"/>
    <w:rsid w:val="00E10399"/>
    <w:rsid w:val="00E11CFE"/>
    <w:rsid w:val="00E12786"/>
    <w:rsid w:val="00E13B16"/>
    <w:rsid w:val="00E13E74"/>
    <w:rsid w:val="00E163D4"/>
    <w:rsid w:val="00E17491"/>
    <w:rsid w:val="00E17852"/>
    <w:rsid w:val="00E17861"/>
    <w:rsid w:val="00E17DB5"/>
    <w:rsid w:val="00E20CDF"/>
    <w:rsid w:val="00E20E68"/>
    <w:rsid w:val="00E214B3"/>
    <w:rsid w:val="00E21509"/>
    <w:rsid w:val="00E228C2"/>
    <w:rsid w:val="00E22C3F"/>
    <w:rsid w:val="00E230B3"/>
    <w:rsid w:val="00E237D6"/>
    <w:rsid w:val="00E244FA"/>
    <w:rsid w:val="00E24798"/>
    <w:rsid w:val="00E2560C"/>
    <w:rsid w:val="00E27877"/>
    <w:rsid w:val="00E27BE2"/>
    <w:rsid w:val="00E3034D"/>
    <w:rsid w:val="00E31188"/>
    <w:rsid w:val="00E31FF1"/>
    <w:rsid w:val="00E321AC"/>
    <w:rsid w:val="00E32C56"/>
    <w:rsid w:val="00E333B0"/>
    <w:rsid w:val="00E342FE"/>
    <w:rsid w:val="00E34F20"/>
    <w:rsid w:val="00E35182"/>
    <w:rsid w:val="00E35E62"/>
    <w:rsid w:val="00E366D3"/>
    <w:rsid w:val="00E36F69"/>
    <w:rsid w:val="00E377CA"/>
    <w:rsid w:val="00E42433"/>
    <w:rsid w:val="00E42527"/>
    <w:rsid w:val="00E42647"/>
    <w:rsid w:val="00E4366A"/>
    <w:rsid w:val="00E43DF5"/>
    <w:rsid w:val="00E44188"/>
    <w:rsid w:val="00E4505B"/>
    <w:rsid w:val="00E45DDA"/>
    <w:rsid w:val="00E464D4"/>
    <w:rsid w:val="00E465C4"/>
    <w:rsid w:val="00E46619"/>
    <w:rsid w:val="00E46FD2"/>
    <w:rsid w:val="00E471C9"/>
    <w:rsid w:val="00E50159"/>
    <w:rsid w:val="00E501F1"/>
    <w:rsid w:val="00E50880"/>
    <w:rsid w:val="00E51195"/>
    <w:rsid w:val="00E51A21"/>
    <w:rsid w:val="00E534D1"/>
    <w:rsid w:val="00E53FBA"/>
    <w:rsid w:val="00E543D6"/>
    <w:rsid w:val="00E55F20"/>
    <w:rsid w:val="00E56325"/>
    <w:rsid w:val="00E56F3A"/>
    <w:rsid w:val="00E5717C"/>
    <w:rsid w:val="00E57E8C"/>
    <w:rsid w:val="00E6152E"/>
    <w:rsid w:val="00E62F32"/>
    <w:rsid w:val="00E64ACB"/>
    <w:rsid w:val="00E665C3"/>
    <w:rsid w:val="00E6679C"/>
    <w:rsid w:val="00E67E05"/>
    <w:rsid w:val="00E7011C"/>
    <w:rsid w:val="00E707F4"/>
    <w:rsid w:val="00E708E9"/>
    <w:rsid w:val="00E712D7"/>
    <w:rsid w:val="00E7238D"/>
    <w:rsid w:val="00E73734"/>
    <w:rsid w:val="00E737C6"/>
    <w:rsid w:val="00E74535"/>
    <w:rsid w:val="00E746FC"/>
    <w:rsid w:val="00E747EC"/>
    <w:rsid w:val="00E750F6"/>
    <w:rsid w:val="00E76115"/>
    <w:rsid w:val="00E76660"/>
    <w:rsid w:val="00E817F2"/>
    <w:rsid w:val="00E81B61"/>
    <w:rsid w:val="00E81C24"/>
    <w:rsid w:val="00E822B2"/>
    <w:rsid w:val="00E837DC"/>
    <w:rsid w:val="00E83AAB"/>
    <w:rsid w:val="00E83C5A"/>
    <w:rsid w:val="00E83F53"/>
    <w:rsid w:val="00E84764"/>
    <w:rsid w:val="00E84BFA"/>
    <w:rsid w:val="00E84DB9"/>
    <w:rsid w:val="00E85E77"/>
    <w:rsid w:val="00E85F98"/>
    <w:rsid w:val="00E86CF0"/>
    <w:rsid w:val="00E91F86"/>
    <w:rsid w:val="00E926A6"/>
    <w:rsid w:val="00E927B4"/>
    <w:rsid w:val="00E9283A"/>
    <w:rsid w:val="00E93BA2"/>
    <w:rsid w:val="00E94729"/>
    <w:rsid w:val="00E94846"/>
    <w:rsid w:val="00E94D77"/>
    <w:rsid w:val="00E96FBE"/>
    <w:rsid w:val="00E97A22"/>
    <w:rsid w:val="00E97C2F"/>
    <w:rsid w:val="00EA002D"/>
    <w:rsid w:val="00EA068D"/>
    <w:rsid w:val="00EA149D"/>
    <w:rsid w:val="00EA1787"/>
    <w:rsid w:val="00EA1862"/>
    <w:rsid w:val="00EA1BEF"/>
    <w:rsid w:val="00EA1D8E"/>
    <w:rsid w:val="00EA2616"/>
    <w:rsid w:val="00EA4A68"/>
    <w:rsid w:val="00EA5AE1"/>
    <w:rsid w:val="00EA6640"/>
    <w:rsid w:val="00EA7821"/>
    <w:rsid w:val="00EB1980"/>
    <w:rsid w:val="00EB1D97"/>
    <w:rsid w:val="00EB226D"/>
    <w:rsid w:val="00EB2AFA"/>
    <w:rsid w:val="00EB2B0C"/>
    <w:rsid w:val="00EB2F0C"/>
    <w:rsid w:val="00EB32CA"/>
    <w:rsid w:val="00EB382C"/>
    <w:rsid w:val="00EB3956"/>
    <w:rsid w:val="00EB3CA5"/>
    <w:rsid w:val="00EB4003"/>
    <w:rsid w:val="00EB424C"/>
    <w:rsid w:val="00EB4817"/>
    <w:rsid w:val="00EB4992"/>
    <w:rsid w:val="00EB4F85"/>
    <w:rsid w:val="00EB79C3"/>
    <w:rsid w:val="00EB7F4C"/>
    <w:rsid w:val="00EC0FB3"/>
    <w:rsid w:val="00EC282F"/>
    <w:rsid w:val="00EC29A0"/>
    <w:rsid w:val="00EC3415"/>
    <w:rsid w:val="00EC411D"/>
    <w:rsid w:val="00EC43E2"/>
    <w:rsid w:val="00EC50CE"/>
    <w:rsid w:val="00EC5997"/>
    <w:rsid w:val="00EC6454"/>
    <w:rsid w:val="00EC6BD4"/>
    <w:rsid w:val="00EC75AE"/>
    <w:rsid w:val="00EC77EA"/>
    <w:rsid w:val="00ED021C"/>
    <w:rsid w:val="00ED0989"/>
    <w:rsid w:val="00ED1298"/>
    <w:rsid w:val="00ED23FD"/>
    <w:rsid w:val="00ED3104"/>
    <w:rsid w:val="00ED350A"/>
    <w:rsid w:val="00ED3633"/>
    <w:rsid w:val="00ED44F5"/>
    <w:rsid w:val="00ED4539"/>
    <w:rsid w:val="00ED490C"/>
    <w:rsid w:val="00ED5BFE"/>
    <w:rsid w:val="00ED612B"/>
    <w:rsid w:val="00ED6DA5"/>
    <w:rsid w:val="00ED72D3"/>
    <w:rsid w:val="00ED7447"/>
    <w:rsid w:val="00ED7849"/>
    <w:rsid w:val="00ED7DC6"/>
    <w:rsid w:val="00EE0195"/>
    <w:rsid w:val="00EE0938"/>
    <w:rsid w:val="00EE09AC"/>
    <w:rsid w:val="00EE1450"/>
    <w:rsid w:val="00EE218A"/>
    <w:rsid w:val="00EE444A"/>
    <w:rsid w:val="00EE44A0"/>
    <w:rsid w:val="00EE47D5"/>
    <w:rsid w:val="00EE53C4"/>
    <w:rsid w:val="00EE6479"/>
    <w:rsid w:val="00EF1683"/>
    <w:rsid w:val="00EF18BD"/>
    <w:rsid w:val="00EF204B"/>
    <w:rsid w:val="00EF3B69"/>
    <w:rsid w:val="00EF414B"/>
    <w:rsid w:val="00EF4F88"/>
    <w:rsid w:val="00EF5417"/>
    <w:rsid w:val="00EF5A2D"/>
    <w:rsid w:val="00EF5B95"/>
    <w:rsid w:val="00EF61D0"/>
    <w:rsid w:val="00EF6C2F"/>
    <w:rsid w:val="00EF6CFE"/>
    <w:rsid w:val="00EF7099"/>
    <w:rsid w:val="00EF720E"/>
    <w:rsid w:val="00EF7B8A"/>
    <w:rsid w:val="00F00DE2"/>
    <w:rsid w:val="00F01526"/>
    <w:rsid w:val="00F022AC"/>
    <w:rsid w:val="00F02A07"/>
    <w:rsid w:val="00F0300B"/>
    <w:rsid w:val="00F034AB"/>
    <w:rsid w:val="00F046E8"/>
    <w:rsid w:val="00F057ED"/>
    <w:rsid w:val="00F063AA"/>
    <w:rsid w:val="00F0649C"/>
    <w:rsid w:val="00F06843"/>
    <w:rsid w:val="00F06D8F"/>
    <w:rsid w:val="00F07773"/>
    <w:rsid w:val="00F104DB"/>
    <w:rsid w:val="00F10873"/>
    <w:rsid w:val="00F109D6"/>
    <w:rsid w:val="00F1106B"/>
    <w:rsid w:val="00F1309D"/>
    <w:rsid w:val="00F132A0"/>
    <w:rsid w:val="00F145FC"/>
    <w:rsid w:val="00F14B7A"/>
    <w:rsid w:val="00F177D9"/>
    <w:rsid w:val="00F17D86"/>
    <w:rsid w:val="00F17F8F"/>
    <w:rsid w:val="00F21D71"/>
    <w:rsid w:val="00F22A16"/>
    <w:rsid w:val="00F23A6A"/>
    <w:rsid w:val="00F24093"/>
    <w:rsid w:val="00F244F6"/>
    <w:rsid w:val="00F2537C"/>
    <w:rsid w:val="00F2559E"/>
    <w:rsid w:val="00F31BBE"/>
    <w:rsid w:val="00F32295"/>
    <w:rsid w:val="00F3312B"/>
    <w:rsid w:val="00F333AB"/>
    <w:rsid w:val="00F339E8"/>
    <w:rsid w:val="00F34275"/>
    <w:rsid w:val="00F359EE"/>
    <w:rsid w:val="00F360B0"/>
    <w:rsid w:val="00F365AA"/>
    <w:rsid w:val="00F369E4"/>
    <w:rsid w:val="00F378C9"/>
    <w:rsid w:val="00F40827"/>
    <w:rsid w:val="00F40AE8"/>
    <w:rsid w:val="00F40CDB"/>
    <w:rsid w:val="00F418C6"/>
    <w:rsid w:val="00F42F88"/>
    <w:rsid w:val="00F4354B"/>
    <w:rsid w:val="00F43A97"/>
    <w:rsid w:val="00F44126"/>
    <w:rsid w:val="00F443A8"/>
    <w:rsid w:val="00F45651"/>
    <w:rsid w:val="00F46050"/>
    <w:rsid w:val="00F4646B"/>
    <w:rsid w:val="00F465A1"/>
    <w:rsid w:val="00F476D0"/>
    <w:rsid w:val="00F51047"/>
    <w:rsid w:val="00F51604"/>
    <w:rsid w:val="00F51A67"/>
    <w:rsid w:val="00F51F5D"/>
    <w:rsid w:val="00F51F72"/>
    <w:rsid w:val="00F52302"/>
    <w:rsid w:val="00F52B1A"/>
    <w:rsid w:val="00F52FBA"/>
    <w:rsid w:val="00F54373"/>
    <w:rsid w:val="00F547AF"/>
    <w:rsid w:val="00F578B7"/>
    <w:rsid w:val="00F57AC7"/>
    <w:rsid w:val="00F57DD9"/>
    <w:rsid w:val="00F61259"/>
    <w:rsid w:val="00F61513"/>
    <w:rsid w:val="00F61761"/>
    <w:rsid w:val="00F61BCC"/>
    <w:rsid w:val="00F6399D"/>
    <w:rsid w:val="00F64C1B"/>
    <w:rsid w:val="00F64FA2"/>
    <w:rsid w:val="00F652F9"/>
    <w:rsid w:val="00F6561F"/>
    <w:rsid w:val="00F658CB"/>
    <w:rsid w:val="00F65B2F"/>
    <w:rsid w:val="00F6627A"/>
    <w:rsid w:val="00F669BC"/>
    <w:rsid w:val="00F67FF7"/>
    <w:rsid w:val="00F7172E"/>
    <w:rsid w:val="00F727B4"/>
    <w:rsid w:val="00F728BF"/>
    <w:rsid w:val="00F72C5A"/>
    <w:rsid w:val="00F7385C"/>
    <w:rsid w:val="00F73973"/>
    <w:rsid w:val="00F743BF"/>
    <w:rsid w:val="00F74F7D"/>
    <w:rsid w:val="00F751CA"/>
    <w:rsid w:val="00F757E9"/>
    <w:rsid w:val="00F75E65"/>
    <w:rsid w:val="00F76585"/>
    <w:rsid w:val="00F76B0C"/>
    <w:rsid w:val="00F77D92"/>
    <w:rsid w:val="00F816EF"/>
    <w:rsid w:val="00F81F86"/>
    <w:rsid w:val="00F8221B"/>
    <w:rsid w:val="00F82355"/>
    <w:rsid w:val="00F82CA6"/>
    <w:rsid w:val="00F85841"/>
    <w:rsid w:val="00F864BC"/>
    <w:rsid w:val="00F8699D"/>
    <w:rsid w:val="00F87AD5"/>
    <w:rsid w:val="00F9026C"/>
    <w:rsid w:val="00F908BA"/>
    <w:rsid w:val="00F90F33"/>
    <w:rsid w:val="00F91DE1"/>
    <w:rsid w:val="00F93089"/>
    <w:rsid w:val="00F948F4"/>
    <w:rsid w:val="00F94944"/>
    <w:rsid w:val="00F94EBE"/>
    <w:rsid w:val="00F9561A"/>
    <w:rsid w:val="00F959AA"/>
    <w:rsid w:val="00F96507"/>
    <w:rsid w:val="00F9749A"/>
    <w:rsid w:val="00F976AC"/>
    <w:rsid w:val="00FA028D"/>
    <w:rsid w:val="00FA1237"/>
    <w:rsid w:val="00FA1267"/>
    <w:rsid w:val="00FA172F"/>
    <w:rsid w:val="00FA212F"/>
    <w:rsid w:val="00FA21A4"/>
    <w:rsid w:val="00FA230C"/>
    <w:rsid w:val="00FA2910"/>
    <w:rsid w:val="00FA3E74"/>
    <w:rsid w:val="00FA4166"/>
    <w:rsid w:val="00FA48BD"/>
    <w:rsid w:val="00FA589E"/>
    <w:rsid w:val="00FA6C5F"/>
    <w:rsid w:val="00FB0AF9"/>
    <w:rsid w:val="00FB0D8E"/>
    <w:rsid w:val="00FB0E7A"/>
    <w:rsid w:val="00FB1E9E"/>
    <w:rsid w:val="00FB1F09"/>
    <w:rsid w:val="00FB2539"/>
    <w:rsid w:val="00FB4087"/>
    <w:rsid w:val="00FB49BA"/>
    <w:rsid w:val="00FB587C"/>
    <w:rsid w:val="00FB5B9D"/>
    <w:rsid w:val="00FB636A"/>
    <w:rsid w:val="00FB646B"/>
    <w:rsid w:val="00FB6B30"/>
    <w:rsid w:val="00FB6FEE"/>
    <w:rsid w:val="00FC013C"/>
    <w:rsid w:val="00FC02A9"/>
    <w:rsid w:val="00FC3C95"/>
    <w:rsid w:val="00FC483A"/>
    <w:rsid w:val="00FC57AE"/>
    <w:rsid w:val="00FC7B0D"/>
    <w:rsid w:val="00FD0F02"/>
    <w:rsid w:val="00FD111A"/>
    <w:rsid w:val="00FD1641"/>
    <w:rsid w:val="00FD24E1"/>
    <w:rsid w:val="00FD2CA8"/>
    <w:rsid w:val="00FD4C06"/>
    <w:rsid w:val="00FD530A"/>
    <w:rsid w:val="00FD6740"/>
    <w:rsid w:val="00FD6CF4"/>
    <w:rsid w:val="00FD7129"/>
    <w:rsid w:val="00FD7C96"/>
    <w:rsid w:val="00FE261F"/>
    <w:rsid w:val="00FE2CA8"/>
    <w:rsid w:val="00FE2D8D"/>
    <w:rsid w:val="00FE34FB"/>
    <w:rsid w:val="00FE3B9D"/>
    <w:rsid w:val="00FE4337"/>
    <w:rsid w:val="00FE5224"/>
    <w:rsid w:val="00FE6763"/>
    <w:rsid w:val="00FE6CB1"/>
    <w:rsid w:val="00FE7FFA"/>
    <w:rsid w:val="00FF1304"/>
    <w:rsid w:val="00FF14D8"/>
    <w:rsid w:val="00FF2A6E"/>
    <w:rsid w:val="00FF2D1E"/>
    <w:rsid w:val="00FF2E99"/>
    <w:rsid w:val="00FF33B5"/>
    <w:rsid w:val="00FF37C8"/>
    <w:rsid w:val="00FF4085"/>
    <w:rsid w:val="00FF438E"/>
    <w:rsid w:val="00FF5990"/>
    <w:rsid w:val="00FF79E5"/>
    <w:rsid w:val="00FF7C2F"/>
    <w:rsid w:val="00FF7D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0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numPr>
        <w:numId w:val="89"/>
      </w:numPr>
      <w:outlineLvl w:val="0"/>
    </w:pPr>
    <w:rPr>
      <w:rFonts w:cs="Arial"/>
      <w:b/>
      <w:bCs/>
      <w:kern w:val="32"/>
      <w:sz w:val="20"/>
      <w:szCs w:val="20"/>
    </w:rPr>
  </w:style>
  <w:style w:type="paragraph" w:styleId="Heading2">
    <w:name w:val="heading 2"/>
    <w:basedOn w:val="Normal"/>
    <w:next w:val="Normal"/>
    <w:qFormat/>
    <w:rsid w:val="004071C5"/>
    <w:pPr>
      <w:keepNext/>
      <w:numPr>
        <w:ilvl w:val="1"/>
        <w:numId w:val="89"/>
      </w:numPr>
      <w:outlineLvl w:val="1"/>
    </w:pPr>
    <w:rPr>
      <w:rFonts w:cs="Arial"/>
      <w:b/>
      <w:bCs/>
      <w:iCs/>
    </w:rPr>
  </w:style>
  <w:style w:type="paragraph" w:styleId="Heading3">
    <w:name w:val="heading 3"/>
    <w:basedOn w:val="Normal"/>
    <w:next w:val="Normal"/>
    <w:qFormat/>
    <w:rsid w:val="004071C5"/>
    <w:pPr>
      <w:keepNext/>
      <w:numPr>
        <w:ilvl w:val="2"/>
        <w:numId w:val="89"/>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726E47"/>
    <w:pPr>
      <w:keepNext/>
      <w:keepLines/>
      <w:numPr>
        <w:ilvl w:val="3"/>
        <w:numId w:val="8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26E47"/>
    <w:pPr>
      <w:keepNext/>
      <w:keepLines/>
      <w:numPr>
        <w:ilvl w:val="4"/>
        <w:numId w:val="8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21711E"/>
    <w:pPr>
      <w:numPr>
        <w:ilvl w:val="5"/>
        <w:numId w:val="89"/>
      </w:num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numPr>
        <w:ilvl w:val="6"/>
        <w:numId w:val="89"/>
      </w:numPr>
      <w:spacing w:before="240" w:after="60"/>
      <w:outlineLvl w:val="6"/>
    </w:pPr>
    <w:rPr>
      <w:rFonts w:ascii="Times New Roman" w:hAnsi="Times New Roman"/>
      <w:sz w:val="24"/>
      <w:szCs w:val="24"/>
    </w:rPr>
  </w:style>
  <w:style w:type="paragraph" w:styleId="Heading8">
    <w:name w:val="heading 8"/>
    <w:basedOn w:val="Normal"/>
    <w:next w:val="Normal"/>
    <w:qFormat/>
    <w:rsid w:val="0021711E"/>
    <w:pPr>
      <w:numPr>
        <w:ilvl w:val="7"/>
        <w:numId w:val="8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726E47"/>
    <w:pPr>
      <w:keepNext/>
      <w:keepLines/>
      <w:numPr>
        <w:ilvl w:val="8"/>
        <w:numId w:val="8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uiPriority w:val="99"/>
    <w:rsid w:val="00533CE3"/>
    <w:rPr>
      <w:rFonts w:ascii="Arial" w:hAnsi="Arial"/>
      <w:sz w:val="18"/>
      <w:lang w:val="en-GB" w:eastAsia="en-US"/>
    </w:rPr>
  </w:style>
  <w:style w:type="character" w:styleId="FootnoteReference">
    <w:name w:val="footnote reference"/>
    <w:aliases w:val="ftref"/>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2"/>
      </w:numPr>
    </w:pPr>
  </w:style>
  <w:style w:type="numbering" w:customStyle="1" w:styleId="Style2">
    <w:name w:val="Style2"/>
    <w:uiPriority w:val="99"/>
    <w:rsid w:val="00FD7129"/>
    <w:pPr>
      <w:numPr>
        <w:numId w:val="3"/>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link w:val="NoSpacingChar"/>
    <w:uiPriority w:val="1"/>
    <w:qFormat/>
    <w:rsid w:val="00F06D8F"/>
    <w:rPr>
      <w:rFonts w:ascii="Arial" w:hAnsi="Arial"/>
      <w:sz w:val="22"/>
      <w:szCs w:val="24"/>
      <w:lang w:val="en-GB" w:eastAsia="en-US"/>
    </w:rPr>
  </w:style>
  <w:style w:type="table" w:customStyle="1" w:styleId="TableGrid1">
    <w:name w:val="Table Grid1"/>
    <w:basedOn w:val="TableNormal"/>
    <w:next w:val="TableGrid"/>
    <w:rsid w:val="00024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rsid w:val="00D71CD7"/>
    <w:rPr>
      <w:rFonts w:ascii="Arial" w:hAnsi="Arial"/>
      <w:sz w:val="18"/>
      <w:lang w:val="en-GB" w:eastAsia="en-US"/>
    </w:rPr>
  </w:style>
  <w:style w:type="character" w:customStyle="1" w:styleId="NoSpacingChar">
    <w:name w:val="No Spacing Char"/>
    <w:basedOn w:val="DefaultParagraphFont"/>
    <w:link w:val="NoSpacing"/>
    <w:uiPriority w:val="1"/>
    <w:rsid w:val="003B20BE"/>
    <w:rPr>
      <w:rFonts w:ascii="Arial" w:hAnsi="Arial"/>
      <w:sz w:val="22"/>
      <w:szCs w:val="24"/>
      <w:lang w:val="en-GB" w:eastAsia="en-US"/>
    </w:rPr>
  </w:style>
  <w:style w:type="character" w:customStyle="1" w:styleId="Heading4Char">
    <w:name w:val="Heading 4 Char"/>
    <w:basedOn w:val="DefaultParagraphFont"/>
    <w:link w:val="Heading4"/>
    <w:semiHidden/>
    <w:rsid w:val="00726E47"/>
    <w:rPr>
      <w:rFonts w:asciiTheme="majorHAnsi" w:eastAsiaTheme="majorEastAsia" w:hAnsiTheme="majorHAnsi" w:cstheme="majorBidi"/>
      <w:i/>
      <w:iCs/>
      <w:color w:val="365F91" w:themeColor="accent1" w:themeShade="BF"/>
      <w:spacing w:val="6"/>
      <w:sz w:val="18"/>
      <w:szCs w:val="18"/>
      <w:lang w:val="en-GB" w:eastAsia="en-GB"/>
    </w:rPr>
  </w:style>
  <w:style w:type="character" w:customStyle="1" w:styleId="Heading5Char">
    <w:name w:val="Heading 5 Char"/>
    <w:basedOn w:val="DefaultParagraphFont"/>
    <w:link w:val="Heading5"/>
    <w:semiHidden/>
    <w:rsid w:val="00726E47"/>
    <w:rPr>
      <w:rFonts w:asciiTheme="majorHAnsi" w:eastAsiaTheme="majorEastAsia" w:hAnsiTheme="majorHAnsi" w:cstheme="majorBidi"/>
      <w:color w:val="365F91" w:themeColor="accent1" w:themeShade="BF"/>
      <w:spacing w:val="6"/>
      <w:sz w:val="18"/>
      <w:szCs w:val="18"/>
      <w:lang w:val="en-GB" w:eastAsia="en-GB"/>
    </w:rPr>
  </w:style>
  <w:style w:type="character" w:customStyle="1" w:styleId="Heading9Char">
    <w:name w:val="Heading 9 Char"/>
    <w:basedOn w:val="DefaultParagraphFont"/>
    <w:link w:val="Heading9"/>
    <w:semiHidden/>
    <w:rsid w:val="00726E47"/>
    <w:rPr>
      <w:rFonts w:asciiTheme="majorHAnsi" w:eastAsiaTheme="majorEastAsia" w:hAnsiTheme="majorHAnsi" w:cstheme="majorBidi"/>
      <w:i/>
      <w:iCs/>
      <w:color w:val="272727" w:themeColor="text1" w:themeTint="D8"/>
      <w:spacing w:val="6"/>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link w:val="Heading1Char"/>
    <w:qFormat/>
    <w:rsid w:val="001F2E01"/>
    <w:pPr>
      <w:keepNext/>
      <w:numPr>
        <w:numId w:val="89"/>
      </w:numPr>
      <w:outlineLvl w:val="0"/>
    </w:pPr>
    <w:rPr>
      <w:rFonts w:cs="Arial"/>
      <w:b/>
      <w:bCs/>
      <w:kern w:val="32"/>
      <w:sz w:val="20"/>
      <w:szCs w:val="20"/>
    </w:rPr>
  </w:style>
  <w:style w:type="paragraph" w:styleId="Heading2">
    <w:name w:val="heading 2"/>
    <w:basedOn w:val="Normal"/>
    <w:next w:val="Normal"/>
    <w:qFormat/>
    <w:rsid w:val="004071C5"/>
    <w:pPr>
      <w:keepNext/>
      <w:numPr>
        <w:ilvl w:val="1"/>
        <w:numId w:val="89"/>
      </w:numPr>
      <w:outlineLvl w:val="1"/>
    </w:pPr>
    <w:rPr>
      <w:rFonts w:cs="Arial"/>
      <w:b/>
      <w:bCs/>
      <w:iCs/>
    </w:rPr>
  </w:style>
  <w:style w:type="paragraph" w:styleId="Heading3">
    <w:name w:val="heading 3"/>
    <w:basedOn w:val="Normal"/>
    <w:next w:val="Normal"/>
    <w:qFormat/>
    <w:rsid w:val="004071C5"/>
    <w:pPr>
      <w:keepNext/>
      <w:numPr>
        <w:ilvl w:val="2"/>
        <w:numId w:val="89"/>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726E47"/>
    <w:pPr>
      <w:keepNext/>
      <w:keepLines/>
      <w:numPr>
        <w:ilvl w:val="3"/>
        <w:numId w:val="8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26E47"/>
    <w:pPr>
      <w:keepNext/>
      <w:keepLines/>
      <w:numPr>
        <w:ilvl w:val="4"/>
        <w:numId w:val="8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21711E"/>
    <w:pPr>
      <w:numPr>
        <w:ilvl w:val="5"/>
        <w:numId w:val="89"/>
      </w:numPr>
      <w:spacing w:before="240" w:after="60"/>
      <w:outlineLvl w:val="5"/>
    </w:pPr>
    <w:rPr>
      <w:rFonts w:ascii="Times New Roman" w:hAnsi="Times New Roman"/>
      <w:b/>
      <w:bCs/>
      <w:sz w:val="22"/>
      <w:szCs w:val="22"/>
    </w:rPr>
  </w:style>
  <w:style w:type="paragraph" w:styleId="Heading7">
    <w:name w:val="heading 7"/>
    <w:basedOn w:val="Normal"/>
    <w:next w:val="Normal"/>
    <w:qFormat/>
    <w:rsid w:val="0021711E"/>
    <w:pPr>
      <w:numPr>
        <w:ilvl w:val="6"/>
        <w:numId w:val="89"/>
      </w:numPr>
      <w:spacing w:before="240" w:after="60"/>
      <w:outlineLvl w:val="6"/>
    </w:pPr>
    <w:rPr>
      <w:rFonts w:ascii="Times New Roman" w:hAnsi="Times New Roman"/>
      <w:sz w:val="24"/>
      <w:szCs w:val="24"/>
    </w:rPr>
  </w:style>
  <w:style w:type="paragraph" w:styleId="Heading8">
    <w:name w:val="heading 8"/>
    <w:basedOn w:val="Normal"/>
    <w:next w:val="Normal"/>
    <w:qFormat/>
    <w:rsid w:val="0021711E"/>
    <w:pPr>
      <w:numPr>
        <w:ilvl w:val="7"/>
        <w:numId w:val="8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726E47"/>
    <w:pPr>
      <w:keepNext/>
      <w:keepLines/>
      <w:numPr>
        <w:ilvl w:val="8"/>
        <w:numId w:val="8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uiPriority w:val="5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odyText2">
    <w:name w:val="Body Text 2"/>
    <w:basedOn w:val="Normal"/>
    <w:rsid w:val="0021711E"/>
    <w:rPr>
      <w:rFonts w:ascii="Times New Roman" w:hAnsi="Times New Roman"/>
      <w:color w:val="auto"/>
      <w:spacing w:val="0"/>
      <w:sz w:val="24"/>
      <w:szCs w:val="20"/>
      <w:lang w:eastAsia="en-US"/>
    </w:rPr>
  </w:style>
  <w:style w:type="paragraph" w:styleId="BodyText3">
    <w:name w:val="Body Text 3"/>
    <w:basedOn w:val="Normal"/>
    <w:rsid w:val="0021711E"/>
    <w:pPr>
      <w:jc w:val="both"/>
    </w:pPr>
    <w:rPr>
      <w:rFonts w:ascii="Times New Roman" w:hAnsi="Times New Roman"/>
      <w:b/>
      <w:bCs/>
      <w:i/>
      <w:iCs/>
      <w:color w:val="auto"/>
      <w:spacing w:val="0"/>
      <w:sz w:val="24"/>
      <w:szCs w:val="20"/>
      <w:lang w:eastAsia="en-US"/>
    </w:rPr>
  </w:style>
  <w:style w:type="paragraph" w:styleId="BodyTextIndent">
    <w:name w:val="Body Text Indent"/>
    <w:basedOn w:val="Normal"/>
    <w:rsid w:val="0021711E"/>
    <w:pPr>
      <w:ind w:left="1440" w:hanging="1440"/>
      <w:jc w:val="both"/>
    </w:pPr>
    <w:rPr>
      <w:rFonts w:ascii="Tahoma" w:hAnsi="Tahoma" w:cs="Tahoma"/>
      <w:b/>
      <w:bCs/>
      <w:color w:val="auto"/>
      <w:spacing w:val="0"/>
      <w:sz w:val="24"/>
      <w:szCs w:val="20"/>
      <w:lang w:eastAsia="en-US"/>
    </w:rPr>
  </w:style>
  <w:style w:type="character" w:styleId="Hyperlink">
    <w:name w:val="Hyperlink"/>
    <w:rsid w:val="006A1D5F"/>
    <w:rPr>
      <w:color w:val="0000FF"/>
      <w:u w:val="single"/>
    </w:rPr>
  </w:style>
  <w:style w:type="paragraph" w:styleId="Title">
    <w:name w:val="Title"/>
    <w:basedOn w:val="Normal"/>
    <w:qFormat/>
    <w:rsid w:val="008313D7"/>
    <w:pPr>
      <w:jc w:val="center"/>
    </w:pPr>
    <w:rPr>
      <w:rFonts w:ascii="Times New Roman" w:hAnsi="Times New Roman"/>
      <w:b/>
      <w:bCs/>
      <w:color w:val="auto"/>
      <w:spacing w:val="0"/>
      <w:sz w:val="24"/>
      <w:szCs w:val="24"/>
      <w:lang w:eastAsia="en-US"/>
    </w:rPr>
  </w:style>
  <w:style w:type="paragraph" w:styleId="BalloonText">
    <w:name w:val="Balloon Text"/>
    <w:basedOn w:val="Normal"/>
    <w:link w:val="BalloonTextChar"/>
    <w:rsid w:val="0028168C"/>
    <w:rPr>
      <w:rFonts w:ascii="Tahoma" w:hAnsi="Tahoma" w:cs="Tahoma"/>
      <w:sz w:val="16"/>
      <w:szCs w:val="16"/>
    </w:rPr>
  </w:style>
  <w:style w:type="character" w:customStyle="1" w:styleId="BalloonTextChar">
    <w:name w:val="Balloon Text Char"/>
    <w:link w:val="BalloonText"/>
    <w:rsid w:val="0028168C"/>
    <w:rPr>
      <w:rFonts w:ascii="Tahoma" w:hAnsi="Tahoma" w:cs="Tahoma"/>
      <w:color w:val="001F00"/>
      <w:spacing w:val="6"/>
      <w:sz w:val="16"/>
      <w:szCs w:val="16"/>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CA18EB"/>
    <w:pPr>
      <w:ind w:left="720"/>
      <w:contextualSpacing/>
    </w:pPr>
  </w:style>
  <w:style w:type="paragraph" w:styleId="FootnoteText">
    <w:name w:val="footnote text"/>
    <w:aliases w:val="Footnote Text Char1,Footnote Text Char Char,fn Char"/>
    <w:basedOn w:val="Normal"/>
    <w:link w:val="FootnoteTextChar"/>
    <w:rsid w:val="00533CE3"/>
    <w:pPr>
      <w:jc w:val="both"/>
    </w:pPr>
    <w:rPr>
      <w:color w:val="auto"/>
      <w:spacing w:val="0"/>
      <w:szCs w:val="20"/>
      <w:lang w:eastAsia="en-US"/>
    </w:rPr>
  </w:style>
  <w:style w:type="character" w:customStyle="1" w:styleId="FootnoteTextChar">
    <w:name w:val="Footnote Text Char"/>
    <w:aliases w:val="Footnote Text Char1 Char,Footnote Text Char Char Char,fn Char Char"/>
    <w:link w:val="FootnoteText"/>
    <w:uiPriority w:val="99"/>
    <w:rsid w:val="00533CE3"/>
    <w:rPr>
      <w:rFonts w:ascii="Arial" w:hAnsi="Arial"/>
      <w:sz w:val="18"/>
      <w:lang w:val="en-GB" w:eastAsia="en-US"/>
    </w:rPr>
  </w:style>
  <w:style w:type="character" w:styleId="FootnoteReference">
    <w:name w:val="footnote reference"/>
    <w:aliases w:val="ftref"/>
    <w:rsid w:val="00533CE3"/>
    <w:rPr>
      <w:vertAlign w:val="superscript"/>
    </w:rPr>
  </w:style>
  <w:style w:type="character" w:customStyle="1" w:styleId="Heading1Char">
    <w:name w:val="Heading 1 Char"/>
    <w:link w:val="Heading1"/>
    <w:rsid w:val="001B5973"/>
    <w:rPr>
      <w:rFonts w:ascii="Arial" w:hAnsi="Arial" w:cs="Arial"/>
      <w:b/>
      <w:bCs/>
      <w:color w:val="001F00"/>
      <w:spacing w:val="6"/>
      <w:kern w:val="32"/>
      <w:lang w:val="en-GB" w:eastAsia="en-GB"/>
    </w:rPr>
  </w:style>
  <w:style w:type="numbering" w:customStyle="1" w:styleId="Style1">
    <w:name w:val="Style1"/>
    <w:uiPriority w:val="99"/>
    <w:rsid w:val="00FD7129"/>
    <w:pPr>
      <w:numPr>
        <w:numId w:val="2"/>
      </w:numPr>
    </w:pPr>
  </w:style>
  <w:style w:type="numbering" w:customStyle="1" w:styleId="Style2">
    <w:name w:val="Style2"/>
    <w:uiPriority w:val="99"/>
    <w:rsid w:val="00FD7129"/>
    <w:pPr>
      <w:numPr>
        <w:numId w:val="3"/>
      </w:numPr>
    </w:pPr>
  </w:style>
  <w:style w:type="character" w:styleId="CommentReference">
    <w:name w:val="annotation reference"/>
    <w:semiHidden/>
    <w:unhideWhenUsed/>
    <w:rsid w:val="000E0B58"/>
    <w:rPr>
      <w:sz w:val="16"/>
      <w:szCs w:val="16"/>
    </w:rPr>
  </w:style>
  <w:style w:type="paragraph" w:styleId="CommentText">
    <w:name w:val="annotation text"/>
    <w:basedOn w:val="Normal"/>
    <w:link w:val="CommentTextChar"/>
    <w:semiHidden/>
    <w:unhideWhenUsed/>
    <w:rsid w:val="000E0B58"/>
    <w:rPr>
      <w:sz w:val="20"/>
      <w:szCs w:val="20"/>
    </w:rPr>
  </w:style>
  <w:style w:type="character" w:customStyle="1" w:styleId="CommentTextChar">
    <w:name w:val="Comment Text Char"/>
    <w:link w:val="CommentText"/>
    <w:semiHidden/>
    <w:rsid w:val="000E0B58"/>
    <w:rPr>
      <w:rFonts w:ascii="Arial" w:hAnsi="Arial"/>
      <w:color w:val="001F00"/>
      <w:spacing w:val="6"/>
      <w:lang w:val="en-GB" w:eastAsia="en-GB"/>
    </w:rPr>
  </w:style>
  <w:style w:type="paragraph" w:styleId="CommentSubject">
    <w:name w:val="annotation subject"/>
    <w:basedOn w:val="CommentText"/>
    <w:next w:val="CommentText"/>
    <w:link w:val="CommentSubjectChar"/>
    <w:semiHidden/>
    <w:unhideWhenUsed/>
    <w:rsid w:val="000E0B58"/>
    <w:rPr>
      <w:b/>
      <w:bCs/>
    </w:rPr>
  </w:style>
  <w:style w:type="character" w:customStyle="1" w:styleId="CommentSubjectChar">
    <w:name w:val="Comment Subject Char"/>
    <w:link w:val="CommentSubject"/>
    <w:semiHidden/>
    <w:rsid w:val="000E0B58"/>
    <w:rPr>
      <w:rFonts w:ascii="Arial" w:hAnsi="Arial"/>
      <w:b/>
      <w:bCs/>
      <w:color w:val="001F00"/>
      <w:spacing w:val="6"/>
      <w:lang w:val="en-GB" w:eastAsia="en-GB"/>
    </w:rPr>
  </w:style>
  <w:style w:type="paragraph" w:styleId="Caption">
    <w:name w:val="caption"/>
    <w:basedOn w:val="Normal"/>
    <w:next w:val="Normal"/>
    <w:unhideWhenUsed/>
    <w:qFormat/>
    <w:rsid w:val="00857D01"/>
    <w:rPr>
      <w:b/>
      <w:bCs/>
      <w:sz w:val="20"/>
      <w:szCs w:val="20"/>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rsid w:val="004B4EA0"/>
    <w:rPr>
      <w:rFonts w:ascii="Arial" w:hAnsi="Arial"/>
      <w:color w:val="001F00"/>
      <w:spacing w:val="6"/>
      <w:sz w:val="18"/>
      <w:szCs w:val="18"/>
      <w:lang w:val="en-GB" w:eastAsia="en-GB"/>
    </w:rPr>
  </w:style>
  <w:style w:type="paragraph" w:styleId="NoSpacing">
    <w:name w:val="No Spacing"/>
    <w:link w:val="NoSpacingChar"/>
    <w:uiPriority w:val="1"/>
    <w:qFormat/>
    <w:rsid w:val="00F06D8F"/>
    <w:rPr>
      <w:rFonts w:ascii="Arial" w:hAnsi="Arial"/>
      <w:sz w:val="22"/>
      <w:szCs w:val="24"/>
      <w:lang w:val="en-GB" w:eastAsia="en-US"/>
    </w:rPr>
  </w:style>
  <w:style w:type="table" w:customStyle="1" w:styleId="TableGrid1">
    <w:name w:val="Table Grid1"/>
    <w:basedOn w:val="TableNormal"/>
    <w:next w:val="TableGrid"/>
    <w:rsid w:val="000240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2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F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01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372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rsid w:val="00D71CD7"/>
    <w:rPr>
      <w:rFonts w:ascii="Arial" w:hAnsi="Arial"/>
      <w:sz w:val="18"/>
      <w:lang w:val="en-GB" w:eastAsia="en-US"/>
    </w:rPr>
  </w:style>
  <w:style w:type="character" w:customStyle="1" w:styleId="NoSpacingChar">
    <w:name w:val="No Spacing Char"/>
    <w:basedOn w:val="DefaultParagraphFont"/>
    <w:link w:val="NoSpacing"/>
    <w:uiPriority w:val="1"/>
    <w:rsid w:val="003B20BE"/>
    <w:rPr>
      <w:rFonts w:ascii="Arial" w:hAnsi="Arial"/>
      <w:sz w:val="22"/>
      <w:szCs w:val="24"/>
      <w:lang w:val="en-GB" w:eastAsia="en-US"/>
    </w:rPr>
  </w:style>
  <w:style w:type="character" w:customStyle="1" w:styleId="Heading4Char">
    <w:name w:val="Heading 4 Char"/>
    <w:basedOn w:val="DefaultParagraphFont"/>
    <w:link w:val="Heading4"/>
    <w:semiHidden/>
    <w:rsid w:val="00726E47"/>
    <w:rPr>
      <w:rFonts w:asciiTheme="majorHAnsi" w:eastAsiaTheme="majorEastAsia" w:hAnsiTheme="majorHAnsi" w:cstheme="majorBidi"/>
      <w:i/>
      <w:iCs/>
      <w:color w:val="365F91" w:themeColor="accent1" w:themeShade="BF"/>
      <w:spacing w:val="6"/>
      <w:sz w:val="18"/>
      <w:szCs w:val="18"/>
      <w:lang w:val="en-GB" w:eastAsia="en-GB"/>
    </w:rPr>
  </w:style>
  <w:style w:type="character" w:customStyle="1" w:styleId="Heading5Char">
    <w:name w:val="Heading 5 Char"/>
    <w:basedOn w:val="DefaultParagraphFont"/>
    <w:link w:val="Heading5"/>
    <w:semiHidden/>
    <w:rsid w:val="00726E47"/>
    <w:rPr>
      <w:rFonts w:asciiTheme="majorHAnsi" w:eastAsiaTheme="majorEastAsia" w:hAnsiTheme="majorHAnsi" w:cstheme="majorBidi"/>
      <w:color w:val="365F91" w:themeColor="accent1" w:themeShade="BF"/>
      <w:spacing w:val="6"/>
      <w:sz w:val="18"/>
      <w:szCs w:val="18"/>
      <w:lang w:val="en-GB" w:eastAsia="en-GB"/>
    </w:rPr>
  </w:style>
  <w:style w:type="character" w:customStyle="1" w:styleId="Heading9Char">
    <w:name w:val="Heading 9 Char"/>
    <w:basedOn w:val="DefaultParagraphFont"/>
    <w:link w:val="Heading9"/>
    <w:semiHidden/>
    <w:rsid w:val="00726E47"/>
    <w:rPr>
      <w:rFonts w:asciiTheme="majorHAnsi" w:eastAsiaTheme="majorEastAsia" w:hAnsiTheme="majorHAnsi" w:cstheme="majorBidi"/>
      <w:i/>
      <w:iCs/>
      <w:color w:val="272727" w:themeColor="text1" w:themeTint="D8"/>
      <w:spacing w:val="6"/>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6038534">
          <w:marLeft w:val="0"/>
          <w:marRight w:val="0"/>
          <w:marTop w:val="0"/>
          <w:marBottom w:val="0"/>
          <w:divBdr>
            <w:top w:val="none" w:sz="0" w:space="0" w:color="auto"/>
            <w:left w:val="none" w:sz="0" w:space="0" w:color="auto"/>
            <w:bottom w:val="none" w:sz="0" w:space="0" w:color="auto"/>
            <w:right w:val="none" w:sz="0" w:space="0" w:color="auto"/>
          </w:divBdr>
          <w:divsChild>
            <w:div w:id="106656874">
              <w:marLeft w:val="0"/>
              <w:marRight w:val="0"/>
              <w:marTop w:val="0"/>
              <w:marBottom w:val="0"/>
              <w:divBdr>
                <w:top w:val="none" w:sz="0" w:space="0" w:color="auto"/>
                <w:left w:val="none" w:sz="0" w:space="0" w:color="auto"/>
                <w:bottom w:val="none" w:sz="0" w:space="0" w:color="auto"/>
                <w:right w:val="none" w:sz="0" w:space="0" w:color="auto"/>
              </w:divBdr>
            </w:div>
            <w:div w:id="663629639">
              <w:marLeft w:val="0"/>
              <w:marRight w:val="0"/>
              <w:marTop w:val="0"/>
              <w:marBottom w:val="0"/>
              <w:divBdr>
                <w:top w:val="none" w:sz="0" w:space="0" w:color="auto"/>
                <w:left w:val="none" w:sz="0" w:space="0" w:color="auto"/>
                <w:bottom w:val="none" w:sz="0" w:space="0" w:color="auto"/>
                <w:right w:val="none" w:sz="0" w:space="0" w:color="auto"/>
              </w:divBdr>
            </w:div>
            <w:div w:id="1580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7771">
      <w:bodyDiv w:val="1"/>
      <w:marLeft w:val="0"/>
      <w:marRight w:val="0"/>
      <w:marTop w:val="0"/>
      <w:marBottom w:val="0"/>
      <w:divBdr>
        <w:top w:val="none" w:sz="0" w:space="0" w:color="auto"/>
        <w:left w:val="none" w:sz="0" w:space="0" w:color="auto"/>
        <w:bottom w:val="none" w:sz="0" w:space="0" w:color="auto"/>
        <w:right w:val="none" w:sz="0" w:space="0" w:color="auto"/>
      </w:divBdr>
      <w:divsChild>
        <w:div w:id="269623947">
          <w:marLeft w:val="0"/>
          <w:marRight w:val="0"/>
          <w:marTop w:val="0"/>
          <w:marBottom w:val="0"/>
          <w:divBdr>
            <w:top w:val="none" w:sz="0" w:space="0" w:color="auto"/>
            <w:left w:val="none" w:sz="0" w:space="0" w:color="auto"/>
            <w:bottom w:val="none" w:sz="0" w:space="0" w:color="auto"/>
            <w:right w:val="none" w:sz="0" w:space="0" w:color="auto"/>
          </w:divBdr>
        </w:div>
        <w:div w:id="1250696830">
          <w:marLeft w:val="0"/>
          <w:marRight w:val="0"/>
          <w:marTop w:val="0"/>
          <w:marBottom w:val="0"/>
          <w:divBdr>
            <w:top w:val="none" w:sz="0" w:space="0" w:color="auto"/>
            <w:left w:val="none" w:sz="0" w:space="0" w:color="auto"/>
            <w:bottom w:val="none" w:sz="0" w:space="0" w:color="auto"/>
            <w:right w:val="none" w:sz="0" w:space="0" w:color="auto"/>
          </w:divBdr>
        </w:div>
        <w:div w:id="1430930794">
          <w:marLeft w:val="0"/>
          <w:marRight w:val="0"/>
          <w:marTop w:val="0"/>
          <w:marBottom w:val="0"/>
          <w:divBdr>
            <w:top w:val="none" w:sz="0" w:space="0" w:color="auto"/>
            <w:left w:val="none" w:sz="0" w:space="0" w:color="auto"/>
            <w:bottom w:val="none" w:sz="0" w:space="0" w:color="auto"/>
            <w:right w:val="none" w:sz="0" w:space="0" w:color="auto"/>
          </w:divBdr>
        </w:div>
      </w:divsChild>
    </w:div>
    <w:div w:id="451636292">
      <w:bodyDiv w:val="1"/>
      <w:marLeft w:val="0"/>
      <w:marRight w:val="0"/>
      <w:marTop w:val="0"/>
      <w:marBottom w:val="0"/>
      <w:divBdr>
        <w:top w:val="none" w:sz="0" w:space="0" w:color="auto"/>
        <w:left w:val="none" w:sz="0" w:space="0" w:color="auto"/>
        <w:bottom w:val="none" w:sz="0" w:space="0" w:color="auto"/>
        <w:right w:val="none" w:sz="0" w:space="0" w:color="auto"/>
      </w:divBdr>
      <w:divsChild>
        <w:div w:id="335114182">
          <w:marLeft w:val="360"/>
          <w:marRight w:val="0"/>
          <w:marTop w:val="200"/>
          <w:marBottom w:val="0"/>
          <w:divBdr>
            <w:top w:val="none" w:sz="0" w:space="0" w:color="auto"/>
            <w:left w:val="none" w:sz="0" w:space="0" w:color="auto"/>
            <w:bottom w:val="none" w:sz="0" w:space="0" w:color="auto"/>
            <w:right w:val="none" w:sz="0" w:space="0" w:color="auto"/>
          </w:divBdr>
        </w:div>
        <w:div w:id="1838612983">
          <w:marLeft w:val="360"/>
          <w:marRight w:val="0"/>
          <w:marTop w:val="200"/>
          <w:marBottom w:val="0"/>
          <w:divBdr>
            <w:top w:val="none" w:sz="0" w:space="0" w:color="auto"/>
            <w:left w:val="none" w:sz="0" w:space="0" w:color="auto"/>
            <w:bottom w:val="none" w:sz="0" w:space="0" w:color="auto"/>
            <w:right w:val="none" w:sz="0" w:space="0" w:color="auto"/>
          </w:divBdr>
        </w:div>
      </w:divsChild>
    </w:div>
    <w:div w:id="61868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5396513">
          <w:marLeft w:val="0"/>
          <w:marRight w:val="0"/>
          <w:marTop w:val="0"/>
          <w:marBottom w:val="0"/>
          <w:divBdr>
            <w:top w:val="none" w:sz="0" w:space="0" w:color="auto"/>
            <w:left w:val="none" w:sz="0" w:space="0" w:color="auto"/>
            <w:bottom w:val="none" w:sz="0" w:space="0" w:color="auto"/>
            <w:right w:val="none" w:sz="0" w:space="0" w:color="auto"/>
          </w:divBdr>
          <w:divsChild>
            <w:div w:id="829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914">
      <w:bodyDiv w:val="1"/>
      <w:marLeft w:val="0"/>
      <w:marRight w:val="0"/>
      <w:marTop w:val="0"/>
      <w:marBottom w:val="0"/>
      <w:divBdr>
        <w:top w:val="none" w:sz="0" w:space="0" w:color="auto"/>
        <w:left w:val="none" w:sz="0" w:space="0" w:color="auto"/>
        <w:bottom w:val="none" w:sz="0" w:space="0" w:color="auto"/>
        <w:right w:val="none" w:sz="0" w:space="0" w:color="auto"/>
      </w:divBdr>
      <w:divsChild>
        <w:div w:id="453796679">
          <w:marLeft w:val="360"/>
          <w:marRight w:val="0"/>
          <w:marTop w:val="200"/>
          <w:marBottom w:val="0"/>
          <w:divBdr>
            <w:top w:val="none" w:sz="0" w:space="0" w:color="auto"/>
            <w:left w:val="none" w:sz="0" w:space="0" w:color="auto"/>
            <w:bottom w:val="none" w:sz="0" w:space="0" w:color="auto"/>
            <w:right w:val="none" w:sz="0" w:space="0" w:color="auto"/>
          </w:divBdr>
        </w:div>
        <w:div w:id="1962301557">
          <w:marLeft w:val="360"/>
          <w:marRight w:val="0"/>
          <w:marTop w:val="200"/>
          <w:marBottom w:val="0"/>
          <w:divBdr>
            <w:top w:val="none" w:sz="0" w:space="0" w:color="auto"/>
            <w:left w:val="none" w:sz="0" w:space="0" w:color="auto"/>
            <w:bottom w:val="none" w:sz="0" w:space="0" w:color="auto"/>
            <w:right w:val="none" w:sz="0" w:space="0" w:color="auto"/>
          </w:divBdr>
        </w:div>
      </w:divsChild>
    </w:div>
    <w:div w:id="910194134">
      <w:bodyDiv w:val="1"/>
      <w:marLeft w:val="0"/>
      <w:marRight w:val="0"/>
      <w:marTop w:val="0"/>
      <w:marBottom w:val="0"/>
      <w:divBdr>
        <w:top w:val="none" w:sz="0" w:space="0" w:color="auto"/>
        <w:left w:val="none" w:sz="0" w:space="0" w:color="auto"/>
        <w:bottom w:val="none" w:sz="0" w:space="0" w:color="auto"/>
        <w:right w:val="none" w:sz="0" w:space="0" w:color="auto"/>
      </w:divBdr>
    </w:div>
    <w:div w:id="13249727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9475688">
          <w:marLeft w:val="0"/>
          <w:marRight w:val="0"/>
          <w:marTop w:val="0"/>
          <w:marBottom w:val="0"/>
          <w:divBdr>
            <w:top w:val="none" w:sz="0" w:space="0" w:color="auto"/>
            <w:left w:val="none" w:sz="0" w:space="0" w:color="auto"/>
            <w:bottom w:val="none" w:sz="0" w:space="0" w:color="auto"/>
            <w:right w:val="none" w:sz="0" w:space="0" w:color="auto"/>
          </w:divBdr>
          <w:divsChild>
            <w:div w:id="1865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074">
      <w:bodyDiv w:val="1"/>
      <w:marLeft w:val="0"/>
      <w:marRight w:val="0"/>
      <w:marTop w:val="0"/>
      <w:marBottom w:val="0"/>
      <w:divBdr>
        <w:top w:val="none" w:sz="0" w:space="0" w:color="auto"/>
        <w:left w:val="none" w:sz="0" w:space="0" w:color="auto"/>
        <w:bottom w:val="none" w:sz="0" w:space="0" w:color="auto"/>
        <w:right w:val="none" w:sz="0" w:space="0" w:color="auto"/>
      </w:divBdr>
    </w:div>
    <w:div w:id="1806661955">
      <w:bodyDiv w:val="1"/>
      <w:marLeft w:val="0"/>
      <w:marRight w:val="0"/>
      <w:marTop w:val="0"/>
      <w:marBottom w:val="0"/>
      <w:divBdr>
        <w:top w:val="none" w:sz="0" w:space="0" w:color="auto"/>
        <w:left w:val="none" w:sz="0" w:space="0" w:color="auto"/>
        <w:bottom w:val="none" w:sz="0" w:space="0" w:color="auto"/>
        <w:right w:val="none" w:sz="0" w:space="0" w:color="auto"/>
      </w:divBdr>
      <w:divsChild>
        <w:div w:id="46882622">
          <w:marLeft w:val="360"/>
          <w:marRight w:val="0"/>
          <w:marTop w:val="200"/>
          <w:marBottom w:val="0"/>
          <w:divBdr>
            <w:top w:val="none" w:sz="0" w:space="0" w:color="auto"/>
            <w:left w:val="none" w:sz="0" w:space="0" w:color="auto"/>
            <w:bottom w:val="none" w:sz="0" w:space="0" w:color="auto"/>
            <w:right w:val="none" w:sz="0" w:space="0" w:color="auto"/>
          </w:divBdr>
        </w:div>
        <w:div w:id="449667689">
          <w:marLeft w:val="360"/>
          <w:marRight w:val="0"/>
          <w:marTop w:val="200"/>
          <w:marBottom w:val="0"/>
          <w:divBdr>
            <w:top w:val="none" w:sz="0" w:space="0" w:color="auto"/>
            <w:left w:val="none" w:sz="0" w:space="0" w:color="auto"/>
            <w:bottom w:val="none" w:sz="0" w:space="0" w:color="auto"/>
            <w:right w:val="none" w:sz="0" w:space="0" w:color="auto"/>
          </w:divBdr>
        </w:div>
      </w:divsChild>
    </w:div>
    <w:div w:id="18362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45F4-F235-4C3A-A22E-53D09A56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12521</Words>
  <Characters>71370</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83724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2018-04-25T12:35:00Z</cp:lastPrinted>
  <dcterms:created xsi:type="dcterms:W3CDTF">2018-05-04T09:25:00Z</dcterms:created>
  <dcterms:modified xsi:type="dcterms:W3CDTF">2018-05-04T09:25:00Z</dcterms:modified>
</cp:coreProperties>
</file>