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B4" w:rsidRPr="00857C1A" w:rsidRDefault="008B2BB4" w:rsidP="00857C1A">
      <w:pPr>
        <w:spacing w:after="0" w:line="336" w:lineRule="auto"/>
        <w:ind w:left="2160" w:hanging="2160"/>
        <w:jc w:val="both"/>
        <w:rPr>
          <w:rFonts w:ascii="Century Gothic" w:hAnsi="Century Gothic"/>
          <w:b/>
          <w:sz w:val="20"/>
          <w:szCs w:val="20"/>
        </w:rPr>
      </w:pPr>
    </w:p>
    <w:p w:rsidR="00350C01" w:rsidRPr="00857C1A" w:rsidRDefault="00BC2CC6" w:rsidP="00857C1A">
      <w:pPr>
        <w:spacing w:after="0" w:line="336" w:lineRule="auto"/>
        <w:ind w:left="2160" w:hanging="2160"/>
        <w:jc w:val="both"/>
        <w:rPr>
          <w:rFonts w:ascii="Century Gothic" w:hAnsi="Century Gothic"/>
          <w:b/>
          <w:sz w:val="20"/>
          <w:szCs w:val="20"/>
        </w:rPr>
      </w:pPr>
      <w:r w:rsidRPr="00857C1A">
        <w:rPr>
          <w:rFonts w:ascii="Century Gothic" w:hAnsi="Century Gothic"/>
          <w:b/>
          <w:sz w:val="20"/>
          <w:szCs w:val="20"/>
        </w:rPr>
        <w:t xml:space="preserve">REPORT BY THE AUDIT COMMITTEE CHAIRPERSON </w:t>
      </w:r>
    </w:p>
    <w:p w:rsidR="008B2BB4" w:rsidRPr="00857C1A" w:rsidRDefault="00C5761E" w:rsidP="00857C1A">
      <w:pPr>
        <w:spacing w:after="0" w:line="336" w:lineRule="auto"/>
        <w:ind w:left="2160" w:hanging="21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</w:p>
    <w:p w:rsidR="008B2BB4" w:rsidRPr="00857C1A" w:rsidRDefault="008B2BB4" w:rsidP="00857C1A">
      <w:pPr>
        <w:spacing w:after="0" w:line="336" w:lineRule="auto"/>
        <w:ind w:left="2160" w:hanging="2160"/>
        <w:jc w:val="both"/>
        <w:rPr>
          <w:rFonts w:ascii="Century Gothic" w:hAnsi="Century Gothic"/>
          <w:b/>
          <w:sz w:val="20"/>
          <w:szCs w:val="20"/>
        </w:rPr>
      </w:pPr>
      <w:r w:rsidRPr="00857C1A">
        <w:rPr>
          <w:rFonts w:ascii="Century Gothic" w:hAnsi="Century Gothic"/>
          <w:b/>
          <w:sz w:val="20"/>
          <w:szCs w:val="20"/>
        </w:rPr>
        <w:t>Audit Committee Responsibilities:</w:t>
      </w:r>
    </w:p>
    <w:p w:rsidR="00C5761E" w:rsidRDefault="00C5761E" w:rsidP="00857C1A">
      <w:pPr>
        <w:spacing w:after="0" w:line="336" w:lineRule="auto"/>
        <w:rPr>
          <w:rFonts w:ascii="Century Gothic" w:hAnsi="Century Gothic"/>
          <w:sz w:val="20"/>
          <w:szCs w:val="20"/>
        </w:rPr>
      </w:pPr>
    </w:p>
    <w:p w:rsidR="00382DC1" w:rsidRPr="00857C1A" w:rsidRDefault="00A24DCD" w:rsidP="00857C1A">
      <w:pPr>
        <w:spacing w:after="0" w:line="336" w:lineRule="auto"/>
        <w:rPr>
          <w:rFonts w:ascii="Century Gothic" w:hAnsi="Century Gothic"/>
          <w:sz w:val="20"/>
          <w:szCs w:val="20"/>
        </w:rPr>
      </w:pPr>
      <w:r w:rsidRPr="00857C1A">
        <w:rPr>
          <w:rFonts w:ascii="Century Gothic" w:hAnsi="Century Gothic"/>
          <w:sz w:val="20"/>
          <w:szCs w:val="20"/>
        </w:rPr>
        <w:t>The Audit Committee functions in accordance</w:t>
      </w:r>
      <w:r w:rsidR="00382DC1" w:rsidRPr="00857C1A">
        <w:rPr>
          <w:rFonts w:ascii="Century Gothic" w:hAnsi="Century Gothic"/>
          <w:sz w:val="20"/>
          <w:szCs w:val="20"/>
        </w:rPr>
        <w:t xml:space="preserve"> </w:t>
      </w:r>
      <w:r w:rsidR="00E71D4C" w:rsidRPr="00857C1A">
        <w:rPr>
          <w:rFonts w:ascii="Century Gothic" w:hAnsi="Century Gothic"/>
          <w:sz w:val="20"/>
          <w:szCs w:val="20"/>
        </w:rPr>
        <w:t>with</w:t>
      </w:r>
      <w:r w:rsidR="00382DC1" w:rsidRPr="00857C1A">
        <w:rPr>
          <w:rFonts w:ascii="Century Gothic" w:hAnsi="Century Gothic"/>
          <w:sz w:val="20"/>
          <w:szCs w:val="20"/>
        </w:rPr>
        <w:t xml:space="preserve"> the </w:t>
      </w:r>
      <w:r w:rsidRPr="00857C1A">
        <w:rPr>
          <w:rFonts w:ascii="Century Gothic" w:hAnsi="Century Gothic"/>
          <w:sz w:val="20"/>
          <w:szCs w:val="20"/>
        </w:rPr>
        <w:t>Audit C</w:t>
      </w:r>
      <w:r w:rsidR="00382DC1" w:rsidRPr="00857C1A">
        <w:rPr>
          <w:rFonts w:ascii="Century Gothic" w:hAnsi="Century Gothic"/>
          <w:sz w:val="20"/>
          <w:szCs w:val="20"/>
        </w:rPr>
        <w:t xml:space="preserve">ommittee Terms </w:t>
      </w:r>
      <w:r w:rsidRPr="00857C1A">
        <w:rPr>
          <w:rFonts w:ascii="Century Gothic" w:hAnsi="Century Gothic"/>
          <w:sz w:val="20"/>
          <w:szCs w:val="20"/>
        </w:rPr>
        <w:t xml:space="preserve">of Reference as approved by Cabinet and the Accounting Officer </w:t>
      </w:r>
      <w:r w:rsidR="00382DC1" w:rsidRPr="00857C1A">
        <w:rPr>
          <w:rFonts w:ascii="Century Gothic" w:hAnsi="Century Gothic"/>
          <w:sz w:val="20"/>
          <w:szCs w:val="20"/>
        </w:rPr>
        <w:t>of the respective Department</w:t>
      </w:r>
      <w:r w:rsidR="00E71D4C" w:rsidRPr="00857C1A">
        <w:rPr>
          <w:rFonts w:ascii="Century Gothic" w:hAnsi="Century Gothic"/>
          <w:sz w:val="20"/>
          <w:szCs w:val="20"/>
        </w:rPr>
        <w:t>s</w:t>
      </w:r>
      <w:r w:rsidR="00382DC1" w:rsidRPr="00857C1A">
        <w:rPr>
          <w:rFonts w:ascii="Century Gothic" w:hAnsi="Century Gothic"/>
          <w:sz w:val="20"/>
          <w:szCs w:val="20"/>
        </w:rPr>
        <w:t>. The Terms of Reference dictates the required statutory requirements and disclosures of the Audi Committee.</w:t>
      </w:r>
    </w:p>
    <w:p w:rsidR="00E71D4C" w:rsidRPr="00857C1A" w:rsidRDefault="00E71D4C" w:rsidP="00857C1A">
      <w:pPr>
        <w:spacing w:after="0" w:line="336" w:lineRule="auto"/>
        <w:rPr>
          <w:rStyle w:val="s1"/>
          <w:rFonts w:ascii="Century Gothic" w:hAnsi="Century Gothic"/>
          <w:sz w:val="20"/>
          <w:szCs w:val="20"/>
        </w:rPr>
      </w:pPr>
    </w:p>
    <w:p w:rsidR="00006EF7" w:rsidRPr="00857C1A" w:rsidRDefault="00006EF7" w:rsidP="00857C1A">
      <w:pPr>
        <w:pStyle w:val="p2"/>
        <w:spacing w:line="336" w:lineRule="auto"/>
        <w:rPr>
          <w:rFonts w:ascii="Century Gothic" w:hAnsi="Century Gothic"/>
          <w:sz w:val="20"/>
          <w:szCs w:val="20"/>
        </w:rPr>
      </w:pPr>
    </w:p>
    <w:p w:rsidR="00350C01" w:rsidRPr="00857C1A" w:rsidRDefault="00E84DDD" w:rsidP="00857C1A">
      <w:pPr>
        <w:spacing w:after="0" w:line="336" w:lineRule="auto"/>
        <w:ind w:left="2160" w:hanging="2160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857C1A">
        <w:rPr>
          <w:rFonts w:ascii="Century Gothic" w:hAnsi="Century Gothic"/>
          <w:b/>
          <w:sz w:val="20"/>
          <w:szCs w:val="20"/>
        </w:rPr>
        <w:t xml:space="preserve">Emerging and continuing </w:t>
      </w:r>
      <w:r w:rsidR="00E17510" w:rsidRPr="00857C1A">
        <w:rPr>
          <w:rFonts w:ascii="Century Gothic" w:hAnsi="Century Gothic"/>
          <w:b/>
          <w:sz w:val="20"/>
          <w:szCs w:val="20"/>
        </w:rPr>
        <w:t xml:space="preserve">Transversal Risks for </w:t>
      </w:r>
      <w:r w:rsidR="00350C01" w:rsidRPr="00857C1A">
        <w:rPr>
          <w:rFonts w:ascii="Century Gothic" w:hAnsi="Century Gothic"/>
          <w:b/>
          <w:sz w:val="20"/>
          <w:szCs w:val="20"/>
        </w:rPr>
        <w:t>Departments</w:t>
      </w:r>
      <w:r w:rsidR="00E17510" w:rsidRPr="00857C1A">
        <w:rPr>
          <w:rFonts w:ascii="Century Gothic" w:hAnsi="Century Gothic"/>
          <w:b/>
          <w:sz w:val="20"/>
          <w:szCs w:val="20"/>
        </w:rPr>
        <w:t xml:space="preserve"> </w:t>
      </w:r>
      <w:r w:rsidR="00B861D1" w:rsidRPr="00857C1A">
        <w:rPr>
          <w:rFonts w:ascii="Century Gothic" w:hAnsi="Century Gothic"/>
          <w:b/>
          <w:sz w:val="20"/>
          <w:szCs w:val="20"/>
        </w:rPr>
        <w:t>discussed in this report:</w:t>
      </w:r>
    </w:p>
    <w:p w:rsidR="00350C01" w:rsidRPr="00857C1A" w:rsidRDefault="00350C01" w:rsidP="00857C1A">
      <w:pPr>
        <w:numPr>
          <w:ilvl w:val="0"/>
          <w:numId w:val="22"/>
        </w:numPr>
        <w:spacing w:after="0" w:line="33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857C1A">
        <w:rPr>
          <w:rFonts w:ascii="Century Gothic" w:hAnsi="Century Gothic"/>
          <w:sz w:val="20"/>
          <w:szCs w:val="20"/>
        </w:rPr>
        <w:t>Treasury Regulations – may introduce new requirements once effective</w:t>
      </w:r>
      <w:r w:rsidR="00F57A27" w:rsidRPr="00857C1A">
        <w:rPr>
          <w:rFonts w:ascii="Century Gothic" w:hAnsi="Century Gothic"/>
          <w:sz w:val="20"/>
          <w:szCs w:val="20"/>
        </w:rPr>
        <w:t>.</w:t>
      </w:r>
    </w:p>
    <w:p w:rsidR="00350C01" w:rsidRPr="00857C1A" w:rsidRDefault="00350C01" w:rsidP="00857C1A">
      <w:pPr>
        <w:numPr>
          <w:ilvl w:val="0"/>
          <w:numId w:val="22"/>
        </w:numPr>
        <w:spacing w:after="0" w:line="33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857C1A">
        <w:rPr>
          <w:rFonts w:ascii="Century Gothic" w:hAnsi="Century Gothic"/>
          <w:sz w:val="20"/>
          <w:szCs w:val="20"/>
        </w:rPr>
        <w:t>Modified Cash Standards – including Componentisation of fixed assets, Inventory Disclosure</w:t>
      </w:r>
      <w:r w:rsidR="00006EF7" w:rsidRPr="00857C1A">
        <w:rPr>
          <w:rFonts w:ascii="Century Gothic" w:hAnsi="Century Gothic"/>
          <w:sz w:val="20"/>
          <w:szCs w:val="20"/>
        </w:rPr>
        <w:t xml:space="preserve"> (postponed)</w:t>
      </w:r>
      <w:r w:rsidR="00F57A27" w:rsidRPr="00857C1A">
        <w:rPr>
          <w:rFonts w:ascii="Century Gothic" w:hAnsi="Century Gothic"/>
          <w:sz w:val="20"/>
          <w:szCs w:val="20"/>
        </w:rPr>
        <w:t>.</w:t>
      </w:r>
    </w:p>
    <w:p w:rsidR="00350C01" w:rsidRPr="00857C1A" w:rsidRDefault="00350C01" w:rsidP="00857C1A">
      <w:pPr>
        <w:numPr>
          <w:ilvl w:val="0"/>
          <w:numId w:val="22"/>
        </w:numPr>
        <w:spacing w:after="0" w:line="33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857C1A">
        <w:rPr>
          <w:rFonts w:ascii="Century Gothic" w:hAnsi="Century Gothic"/>
          <w:sz w:val="20"/>
          <w:szCs w:val="20"/>
        </w:rPr>
        <w:t>SCM and the continuous changes implemented by National Treasury including the Centralised Supplier Database and National Contracts</w:t>
      </w:r>
      <w:r w:rsidR="00F57A27" w:rsidRPr="00857C1A">
        <w:rPr>
          <w:rFonts w:ascii="Century Gothic" w:hAnsi="Century Gothic"/>
          <w:sz w:val="20"/>
          <w:szCs w:val="20"/>
        </w:rPr>
        <w:t>.</w:t>
      </w:r>
    </w:p>
    <w:p w:rsidR="00350C01" w:rsidRPr="00857C1A" w:rsidRDefault="00350C01" w:rsidP="00857C1A">
      <w:pPr>
        <w:numPr>
          <w:ilvl w:val="0"/>
          <w:numId w:val="22"/>
        </w:numPr>
        <w:spacing w:after="0" w:line="33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857C1A">
        <w:rPr>
          <w:rFonts w:ascii="Century Gothic" w:hAnsi="Century Gothic"/>
          <w:sz w:val="20"/>
          <w:szCs w:val="20"/>
        </w:rPr>
        <w:t>Predetermined Objectives – well defined and how reported on/ National Indicators not well defined and how to deal with these/ process</w:t>
      </w:r>
      <w:r w:rsidR="00C222C0" w:rsidRPr="00857C1A">
        <w:rPr>
          <w:rFonts w:ascii="Century Gothic" w:hAnsi="Century Gothic"/>
          <w:sz w:val="20"/>
          <w:szCs w:val="20"/>
        </w:rPr>
        <w:t>/ AG working towards expressing an Opinion therefore every year the Audit will become more onerous</w:t>
      </w:r>
      <w:r w:rsidR="00F57A27" w:rsidRPr="00857C1A">
        <w:rPr>
          <w:rFonts w:ascii="Century Gothic" w:hAnsi="Century Gothic"/>
          <w:sz w:val="20"/>
          <w:szCs w:val="20"/>
        </w:rPr>
        <w:t>.</w:t>
      </w:r>
    </w:p>
    <w:p w:rsidR="00350C01" w:rsidRPr="00857C1A" w:rsidRDefault="00350C01" w:rsidP="00857C1A">
      <w:pPr>
        <w:numPr>
          <w:ilvl w:val="0"/>
          <w:numId w:val="22"/>
        </w:numPr>
        <w:spacing w:after="0" w:line="33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857C1A">
        <w:rPr>
          <w:rFonts w:ascii="Century Gothic" w:hAnsi="Century Gothic"/>
          <w:sz w:val="20"/>
          <w:szCs w:val="20"/>
        </w:rPr>
        <w:t>Cash-flow management under extreme budgetary constraints</w:t>
      </w:r>
      <w:r w:rsidR="00F57A27" w:rsidRPr="00857C1A">
        <w:rPr>
          <w:rFonts w:ascii="Century Gothic" w:hAnsi="Century Gothic"/>
          <w:sz w:val="20"/>
          <w:szCs w:val="20"/>
        </w:rPr>
        <w:t>.</w:t>
      </w:r>
    </w:p>
    <w:p w:rsidR="00E4626B" w:rsidRPr="00857C1A" w:rsidRDefault="00382DC1" w:rsidP="00857C1A">
      <w:pPr>
        <w:numPr>
          <w:ilvl w:val="0"/>
          <w:numId w:val="22"/>
        </w:numPr>
        <w:spacing w:after="0" w:line="33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857C1A">
        <w:rPr>
          <w:rFonts w:ascii="Century Gothic" w:hAnsi="Century Gothic"/>
          <w:sz w:val="20"/>
          <w:szCs w:val="20"/>
        </w:rPr>
        <w:t>Inadequate m</w:t>
      </w:r>
      <w:r w:rsidR="00E4626B" w:rsidRPr="00857C1A">
        <w:rPr>
          <w:rFonts w:ascii="Century Gothic" w:hAnsi="Century Gothic"/>
          <w:sz w:val="20"/>
          <w:szCs w:val="20"/>
        </w:rPr>
        <w:t xml:space="preserve">easures to protect personal information due to non-implementation of POPI requirements, resulting in financial and reputational risk – Plans to mitigate this risk is being </w:t>
      </w:r>
      <w:r w:rsidR="00C222C0" w:rsidRPr="00857C1A">
        <w:rPr>
          <w:rFonts w:ascii="Century Gothic" w:hAnsi="Century Gothic"/>
          <w:sz w:val="20"/>
          <w:szCs w:val="20"/>
        </w:rPr>
        <w:t>attended to</w:t>
      </w:r>
      <w:r w:rsidR="00E4626B" w:rsidRPr="00857C1A">
        <w:rPr>
          <w:rFonts w:ascii="Century Gothic" w:hAnsi="Century Gothic"/>
          <w:sz w:val="20"/>
          <w:szCs w:val="20"/>
        </w:rPr>
        <w:t xml:space="preserve"> by Legal services under DOTP.</w:t>
      </w:r>
    </w:p>
    <w:p w:rsidR="00457517" w:rsidRPr="00857C1A" w:rsidRDefault="00A24DCD" w:rsidP="00857C1A">
      <w:pPr>
        <w:numPr>
          <w:ilvl w:val="0"/>
          <w:numId w:val="22"/>
        </w:numPr>
        <w:spacing w:after="0" w:line="33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857C1A">
        <w:rPr>
          <w:rFonts w:ascii="Century Gothic" w:hAnsi="Century Gothic"/>
          <w:sz w:val="20"/>
          <w:szCs w:val="20"/>
        </w:rPr>
        <w:t xml:space="preserve">The Water, Business Continuity, Misaligned Organizational Culture and Budget risks have </w:t>
      </w:r>
      <w:r w:rsidR="00457517" w:rsidRPr="00857C1A">
        <w:rPr>
          <w:rFonts w:ascii="Century Gothic" w:hAnsi="Century Gothic"/>
          <w:sz w:val="20"/>
          <w:szCs w:val="20"/>
        </w:rPr>
        <w:t>been included in the Provincial Risk Register</w:t>
      </w:r>
      <w:r w:rsidR="00717145" w:rsidRPr="00857C1A">
        <w:rPr>
          <w:rFonts w:ascii="Century Gothic" w:hAnsi="Century Gothic"/>
          <w:sz w:val="20"/>
          <w:szCs w:val="20"/>
        </w:rPr>
        <w:t>.</w:t>
      </w:r>
    </w:p>
    <w:p w:rsidR="00857C1A" w:rsidRPr="00857C1A" w:rsidRDefault="00857C1A" w:rsidP="00857C1A">
      <w:pPr>
        <w:spacing w:after="0" w:line="336" w:lineRule="auto"/>
        <w:rPr>
          <w:rFonts w:ascii="Century Gothic" w:hAnsi="Century Gothic"/>
          <w:sz w:val="20"/>
          <w:szCs w:val="20"/>
        </w:rPr>
      </w:pPr>
      <w:r w:rsidRPr="00857C1A">
        <w:rPr>
          <w:rFonts w:ascii="Century Gothic" w:hAnsi="Century Gothic"/>
          <w:sz w:val="20"/>
          <w:szCs w:val="20"/>
        </w:rPr>
        <w:br w:type="page"/>
      </w:r>
    </w:p>
    <w:p w:rsidR="009964E5" w:rsidRPr="00C5761E" w:rsidRDefault="00382DC1" w:rsidP="00E71D4C">
      <w:pPr>
        <w:spacing w:after="0" w:line="360" w:lineRule="auto"/>
        <w:ind w:left="2160" w:hanging="2160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C5761E">
        <w:rPr>
          <w:rFonts w:ascii="Century Gothic" w:hAnsi="Century Gothic"/>
          <w:b/>
          <w:sz w:val="20"/>
          <w:szCs w:val="20"/>
        </w:rPr>
        <w:lastRenderedPageBreak/>
        <w:t xml:space="preserve">Department of </w:t>
      </w:r>
      <w:r w:rsidR="00A87C55" w:rsidRPr="00C5761E">
        <w:rPr>
          <w:rFonts w:ascii="Century Gothic" w:hAnsi="Century Gothic"/>
          <w:b/>
          <w:sz w:val="20"/>
          <w:szCs w:val="20"/>
        </w:rPr>
        <w:t>the Premier</w:t>
      </w:r>
      <w:r w:rsidR="004561ED" w:rsidRPr="00C5761E">
        <w:rPr>
          <w:rFonts w:ascii="Century Gothic" w:hAnsi="Century Gothic"/>
          <w:b/>
          <w:sz w:val="20"/>
          <w:szCs w:val="20"/>
        </w:rPr>
        <w:t xml:space="preserve">: </w:t>
      </w:r>
      <w:r w:rsidR="00B46D03" w:rsidRPr="00C5761E">
        <w:rPr>
          <w:rFonts w:ascii="Century Gothic" w:hAnsi="Century Gothic"/>
          <w:b/>
          <w:sz w:val="20"/>
          <w:szCs w:val="20"/>
        </w:rPr>
        <w:t xml:space="preserve"> </w:t>
      </w:r>
      <w:r w:rsidR="00C14724" w:rsidRPr="00C5761E">
        <w:rPr>
          <w:rFonts w:ascii="Century Gothic" w:hAnsi="Century Gothic"/>
          <w:b/>
          <w:sz w:val="20"/>
          <w:szCs w:val="20"/>
        </w:rPr>
        <w:tab/>
      </w:r>
      <w:r w:rsidR="005174D4" w:rsidRPr="00C5761E">
        <w:rPr>
          <w:rFonts w:ascii="Century Gothic" w:hAnsi="Century Gothic"/>
          <w:b/>
          <w:sz w:val="20"/>
          <w:szCs w:val="20"/>
        </w:rPr>
        <w:t xml:space="preserve">Vote </w:t>
      </w:r>
      <w:r w:rsidR="009D61AF" w:rsidRPr="00C5761E">
        <w:rPr>
          <w:rFonts w:ascii="Century Gothic" w:hAnsi="Century Gothic"/>
          <w:b/>
          <w:sz w:val="20"/>
          <w:szCs w:val="20"/>
        </w:rPr>
        <w:t xml:space="preserve">No:  </w:t>
      </w:r>
      <w:r w:rsidRPr="00C5761E">
        <w:rPr>
          <w:rFonts w:ascii="Century Gothic" w:hAnsi="Century Gothic"/>
          <w:b/>
          <w:sz w:val="20"/>
          <w:szCs w:val="20"/>
        </w:rPr>
        <w:t>1</w:t>
      </w:r>
    </w:p>
    <w:p w:rsidR="009964E5" w:rsidRPr="00C5761E" w:rsidRDefault="009964E5" w:rsidP="00E71D4C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5761E">
        <w:rPr>
          <w:rFonts w:ascii="Century Gothic" w:hAnsi="Century Gothic"/>
          <w:b/>
          <w:sz w:val="20"/>
          <w:szCs w:val="20"/>
        </w:rPr>
        <w:t>AUDIT COMMITTEE:</w:t>
      </w:r>
      <w:r w:rsidR="00B46D03" w:rsidRPr="00C5761E">
        <w:rPr>
          <w:rFonts w:ascii="Century Gothic" w:hAnsi="Century Gothic"/>
          <w:b/>
          <w:sz w:val="20"/>
          <w:szCs w:val="20"/>
        </w:rPr>
        <w:tab/>
      </w:r>
      <w:r w:rsidR="00F7262C" w:rsidRPr="00C5761E">
        <w:rPr>
          <w:rFonts w:ascii="Century Gothic" w:hAnsi="Century Gothic"/>
          <w:b/>
          <w:sz w:val="20"/>
          <w:szCs w:val="20"/>
        </w:rPr>
        <w:t>Governance &amp; Administration Cluster</w:t>
      </w:r>
    </w:p>
    <w:p w:rsidR="009964E5" w:rsidRPr="00E71D4C" w:rsidRDefault="009964E5" w:rsidP="00E71D4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375"/>
      </w:tblGrid>
      <w:tr w:rsidR="0027586B" w:rsidRPr="00E71D4C" w:rsidTr="00306746">
        <w:trPr>
          <w:trHeight w:val="69"/>
          <w:tblHeader/>
        </w:trPr>
        <w:tc>
          <w:tcPr>
            <w:tcW w:w="7939" w:type="dxa"/>
            <w:shd w:val="clear" w:color="auto" w:fill="EEECE1"/>
          </w:tcPr>
          <w:p w:rsidR="0027586B" w:rsidRPr="00E71D4C" w:rsidRDefault="0027586B" w:rsidP="009D16D5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375" w:type="dxa"/>
            <w:shd w:val="clear" w:color="auto" w:fill="EEECE1"/>
          </w:tcPr>
          <w:p w:rsidR="0027586B" w:rsidRPr="00E71D4C" w:rsidRDefault="0027586B" w:rsidP="009D16D5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71D4C">
              <w:rPr>
                <w:rFonts w:ascii="Century Gothic" w:hAnsi="Century Gothic"/>
                <w:b/>
                <w:sz w:val="20"/>
                <w:szCs w:val="20"/>
              </w:rPr>
              <w:t>Action taken</w:t>
            </w:r>
          </w:p>
        </w:tc>
      </w:tr>
      <w:tr w:rsidR="0027586B" w:rsidRPr="00E71D4C" w:rsidTr="002A4361">
        <w:trPr>
          <w:trHeight w:val="69"/>
        </w:trPr>
        <w:tc>
          <w:tcPr>
            <w:tcW w:w="7939" w:type="dxa"/>
          </w:tcPr>
          <w:p w:rsidR="0079071B" w:rsidRPr="00E71D4C" w:rsidRDefault="003E6FE3" w:rsidP="009D16D5">
            <w:p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>Internal Audit</w:t>
            </w:r>
            <w:r w:rsidR="00382DC1"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assignments</w:t>
            </w:r>
            <w:r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completed </w:t>
            </w:r>
            <w:r w:rsidR="00382DC1"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during </w:t>
            </w:r>
            <w:r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>Quarters 1 and 2</w:t>
            </w:r>
            <w:r w:rsidR="00382DC1"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  <w:p w:rsidR="00382DC1" w:rsidRPr="00E71D4C" w:rsidRDefault="00382DC1" w:rsidP="009D16D5">
            <w:p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E72B24" w:rsidRDefault="00E72B24" w:rsidP="009D16D5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06746">
              <w:rPr>
                <w:rFonts w:ascii="Century Gothic" w:hAnsi="Century Gothic"/>
                <w:b/>
                <w:sz w:val="20"/>
                <w:szCs w:val="20"/>
              </w:rPr>
              <w:t>DPSA Directive on Delegations (Assurance Assignment)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E71D4C">
              <w:rPr>
                <w:rFonts w:ascii="Century Gothic" w:hAnsi="Century Gothic"/>
                <w:sz w:val="20"/>
                <w:szCs w:val="20"/>
              </w:rPr>
              <w:t xml:space="preserve">areas for improvement were recommended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management actions </w:t>
            </w:r>
            <w:r w:rsidR="00045402">
              <w:rPr>
                <w:rFonts w:ascii="Century Gothic" w:hAnsi="Century Gothic"/>
                <w:sz w:val="20"/>
                <w:szCs w:val="20"/>
              </w:rPr>
              <w:t>were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agreed by the department.  </w:t>
            </w:r>
          </w:p>
          <w:p w:rsidR="00A24DCD" w:rsidRPr="00E71D4C" w:rsidRDefault="00045402" w:rsidP="009D16D5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06746">
              <w:rPr>
                <w:rFonts w:ascii="Century Gothic" w:hAnsi="Century Gothic"/>
                <w:b/>
                <w:sz w:val="20"/>
                <w:szCs w:val="20"/>
              </w:rPr>
              <w:t>Service Excellence Awards</w:t>
            </w:r>
            <w:r w:rsidR="00382DC1" w:rsidRPr="00306746">
              <w:rPr>
                <w:rFonts w:ascii="Century Gothic" w:hAnsi="Century Gothic"/>
                <w:b/>
                <w:sz w:val="20"/>
                <w:szCs w:val="20"/>
              </w:rPr>
              <w:t xml:space="preserve"> (Assurance Assignment)</w:t>
            </w:r>
            <w:r w:rsidR="00382DC1" w:rsidRPr="00E71D4C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concluded that </w:t>
            </w:r>
            <w:r w:rsidR="00C5761E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69387D">
              <w:rPr>
                <w:rFonts w:ascii="Century Gothic" w:eastAsiaTheme="minorHAnsi" w:hAnsi="Century Gothic" w:cs="Century Gothic"/>
                <w:color w:val="000000"/>
                <w:sz w:val="20"/>
                <w:lang w:val="en-ZA"/>
              </w:rPr>
              <w:t>approved Provincial Service Excellence Awards Framework was consistently applied in all material respects during the assessment and adjudication stages of the 201</w:t>
            </w:r>
            <w:r>
              <w:rPr>
                <w:rFonts w:ascii="Century Gothic" w:eastAsiaTheme="minorHAnsi" w:hAnsi="Century Gothic" w:cs="Century Gothic"/>
                <w:color w:val="000000"/>
                <w:sz w:val="20"/>
                <w:lang w:val="en-ZA"/>
              </w:rPr>
              <w:t>7</w:t>
            </w:r>
            <w:r w:rsidRPr="0069387D">
              <w:rPr>
                <w:rFonts w:ascii="Century Gothic" w:eastAsiaTheme="minorHAnsi" w:hAnsi="Century Gothic" w:cs="Century Gothic"/>
                <w:color w:val="000000"/>
                <w:sz w:val="20"/>
                <w:lang w:val="en-ZA"/>
              </w:rPr>
              <w:t xml:space="preserve"> awards process.</w:t>
            </w:r>
            <w:r>
              <w:rPr>
                <w:rFonts w:ascii="Century Gothic" w:eastAsiaTheme="minorHAnsi" w:hAnsi="Century Gothic" w:cs="Century Gothic"/>
                <w:color w:val="000000"/>
                <w:sz w:val="20"/>
                <w:lang w:val="en-ZA"/>
              </w:rPr>
              <w:t xml:space="preserve">  No recommendations made.</w:t>
            </w:r>
          </w:p>
          <w:p w:rsidR="00A24DCD" w:rsidRPr="00E71D4C" w:rsidRDefault="00045402" w:rsidP="009D16D5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06746">
              <w:rPr>
                <w:rFonts w:ascii="Century Gothic" w:hAnsi="Century Gothic"/>
                <w:b/>
                <w:sz w:val="20"/>
                <w:szCs w:val="20"/>
              </w:rPr>
              <w:t>Policy Comment Co-ordination</w:t>
            </w:r>
            <w:r w:rsidR="00382DC1" w:rsidRPr="00306746">
              <w:rPr>
                <w:rFonts w:ascii="Century Gothic" w:hAnsi="Century Gothic"/>
                <w:b/>
                <w:sz w:val="20"/>
                <w:szCs w:val="20"/>
              </w:rPr>
              <w:t xml:space="preserve"> (Assurance Assignment)</w:t>
            </w:r>
            <w:r w:rsidR="00382DC1" w:rsidRPr="00E71D4C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sz w:val="20"/>
                <w:szCs w:val="20"/>
              </w:rPr>
              <w:t>control weaknesses were identified and recommendations made.  Action plans to address weaknesses were agreed by the department.</w:t>
            </w:r>
          </w:p>
          <w:p w:rsidR="009F2DB6" w:rsidRPr="009D16D5" w:rsidRDefault="009D16D5" w:rsidP="009D16D5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val="en-Z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ZA"/>
              </w:rPr>
              <w:t xml:space="preserve">Implementation of the ICT Governance </w:t>
            </w:r>
            <w:r w:rsidRPr="009D16D5">
              <w:rPr>
                <w:rFonts w:ascii="Century Gothic" w:hAnsi="Century Gothic"/>
                <w:b/>
                <w:bCs/>
                <w:sz w:val="20"/>
                <w:szCs w:val="20"/>
                <w:lang w:val="en-ZA"/>
              </w:rPr>
              <w:t>Framework</w:t>
            </w:r>
            <w:r w:rsidRPr="009D16D5">
              <w:rPr>
                <w:rFonts w:ascii="Century Gothic" w:hAnsi="Century Gothic"/>
                <w:b/>
                <w:sz w:val="20"/>
                <w:szCs w:val="20"/>
                <w:lang w:val="en-ZA"/>
              </w:rPr>
              <w:t xml:space="preserve"> (Assurance Assignment)</w:t>
            </w:r>
            <w:r>
              <w:rPr>
                <w:rFonts w:ascii="Century Gothic" w:hAnsi="Century Gothic"/>
                <w:sz w:val="20"/>
                <w:szCs w:val="20"/>
                <w:lang w:val="en-ZA"/>
              </w:rPr>
              <w:t xml:space="preserve"> - areas for improvement were recommended and management actions were agreed by the department.  </w:t>
            </w:r>
          </w:p>
        </w:tc>
        <w:tc>
          <w:tcPr>
            <w:tcW w:w="2375" w:type="dxa"/>
          </w:tcPr>
          <w:p w:rsidR="0027586B" w:rsidRPr="00E71D4C" w:rsidRDefault="0027586B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50116" w:rsidRPr="00E71D4C" w:rsidRDefault="00750116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50116" w:rsidRPr="00E71D4C" w:rsidRDefault="00A24DCD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1D4C">
              <w:rPr>
                <w:rFonts w:ascii="Century Gothic" w:hAnsi="Century Gothic"/>
                <w:sz w:val="20"/>
                <w:szCs w:val="20"/>
              </w:rPr>
              <w:t>The agreed actions are monitored for implementation by the Audit Committee. The Department’s Internal Control Unit reports on the implementation status at every Audit Committee meeting</w:t>
            </w:r>
            <w:r w:rsidR="00B07AE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50116" w:rsidRPr="00E71D4C" w:rsidRDefault="00750116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14724" w:rsidRPr="00E71D4C" w:rsidRDefault="00C14724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2DB6" w:rsidRPr="00E71D4C" w:rsidTr="00176153">
        <w:trPr>
          <w:trHeight w:val="69"/>
        </w:trPr>
        <w:tc>
          <w:tcPr>
            <w:tcW w:w="7939" w:type="dxa"/>
          </w:tcPr>
          <w:p w:rsidR="009F2DB6" w:rsidRPr="00E71D4C" w:rsidRDefault="00A24DCD" w:rsidP="009D16D5">
            <w:p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>Risks influencing</w:t>
            </w:r>
            <w:r w:rsidR="00382DC1"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the Department </w:t>
            </w:r>
          </w:p>
          <w:p w:rsidR="00382DC1" w:rsidRDefault="00382DC1" w:rsidP="009D16D5">
            <w:p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306746" w:rsidRPr="00306746" w:rsidRDefault="00306746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06746">
              <w:rPr>
                <w:rFonts w:ascii="Century Gothic" w:hAnsi="Century Gothic"/>
                <w:sz w:val="20"/>
                <w:szCs w:val="20"/>
              </w:rPr>
              <w:t>Inadequate financial resources resulting in DotP being less impactful and influential in the longer term.</w:t>
            </w:r>
          </w:p>
          <w:p w:rsidR="00306746" w:rsidRPr="00306746" w:rsidRDefault="00306746" w:rsidP="009D16D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06746">
              <w:rPr>
                <w:rFonts w:ascii="Century Gothic" w:hAnsi="Century Gothic" w:cs="Century Gothic"/>
                <w:sz w:val="20"/>
                <w:szCs w:val="20"/>
              </w:rPr>
              <w:t>Inability to comply with continuous changing SCM environment</w:t>
            </w:r>
          </w:p>
          <w:p w:rsidR="00045402" w:rsidRPr="00306746" w:rsidRDefault="00306746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306746">
              <w:rPr>
                <w:rFonts w:ascii="Century Gothic" w:hAnsi="Century Gothic" w:cs="Century Gothic"/>
                <w:sz w:val="20"/>
                <w:szCs w:val="20"/>
              </w:rPr>
              <w:t>Loss of assets</w:t>
            </w:r>
          </w:p>
          <w:p w:rsidR="00306746" w:rsidRPr="00306746" w:rsidRDefault="00306746" w:rsidP="009D16D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306746">
              <w:rPr>
                <w:rFonts w:ascii="Century Gothic" w:hAnsi="Century Gothic" w:cs="Century Gothic"/>
                <w:sz w:val="20"/>
                <w:szCs w:val="20"/>
              </w:rPr>
              <w:t>Resource and capacity to deliver on mandate and responsibility</w:t>
            </w:r>
          </w:p>
          <w:p w:rsidR="00306746" w:rsidRPr="00306746" w:rsidRDefault="00306746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306746">
              <w:rPr>
                <w:rFonts w:ascii="Century Gothic" w:hAnsi="Century Gothic" w:cs="Century Gothic"/>
                <w:sz w:val="20"/>
                <w:szCs w:val="20"/>
              </w:rPr>
              <w:t xml:space="preserve">Inadequate IT capacity </w:t>
            </w:r>
          </w:p>
          <w:p w:rsidR="00306746" w:rsidRPr="00306746" w:rsidRDefault="00306746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06746">
              <w:rPr>
                <w:rFonts w:ascii="Century Gothic" w:hAnsi="Century Gothic"/>
                <w:sz w:val="20"/>
                <w:szCs w:val="20"/>
              </w:rPr>
              <w:t>The inability to access critical IT systems or information</w:t>
            </w:r>
          </w:p>
          <w:p w:rsidR="00045402" w:rsidRDefault="00045402" w:rsidP="009D16D5">
            <w:pPr>
              <w:tabs>
                <w:tab w:val="left" w:pos="5340"/>
              </w:tabs>
              <w:spacing w:after="0" w:line="360" w:lineRule="auto"/>
              <w:ind w:right="4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45402" w:rsidRPr="00E71D4C" w:rsidRDefault="00306746" w:rsidP="00857C1A">
            <w:p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06746">
              <w:rPr>
                <w:rFonts w:ascii="Century Gothic" w:hAnsi="Century Gothic"/>
                <w:i/>
                <w:sz w:val="20"/>
                <w:szCs w:val="20"/>
              </w:rPr>
              <w:t>(From top 5 departmental risks Q1 &amp; Q2 and AC emerging risk discussion)</w:t>
            </w:r>
          </w:p>
        </w:tc>
        <w:tc>
          <w:tcPr>
            <w:tcW w:w="2375" w:type="dxa"/>
          </w:tcPr>
          <w:p w:rsidR="009F2DB6" w:rsidRPr="00E71D4C" w:rsidRDefault="009F2DB6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06746" w:rsidRDefault="0030674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57C1A" w:rsidRDefault="00857C1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61128D" w:rsidRPr="00C5761E" w:rsidRDefault="00306746" w:rsidP="00E71D4C">
      <w:pPr>
        <w:spacing w:after="0" w:line="360" w:lineRule="auto"/>
        <w:ind w:left="2160" w:hanging="2160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C5761E">
        <w:rPr>
          <w:rFonts w:ascii="Century Gothic" w:hAnsi="Century Gothic"/>
          <w:b/>
          <w:sz w:val="20"/>
          <w:szCs w:val="20"/>
        </w:rPr>
        <w:lastRenderedPageBreak/>
        <w:t>Western Cape Provincial Treasury:</w:t>
      </w:r>
      <w:r w:rsidR="00382DC1" w:rsidRPr="00C5761E">
        <w:rPr>
          <w:rFonts w:ascii="Century Gothic" w:hAnsi="Century Gothic"/>
          <w:b/>
          <w:sz w:val="20"/>
          <w:szCs w:val="20"/>
        </w:rPr>
        <w:tab/>
        <w:t xml:space="preserve">Vote No:  </w:t>
      </w:r>
      <w:r w:rsidRPr="00C5761E">
        <w:rPr>
          <w:rFonts w:ascii="Century Gothic" w:hAnsi="Century Gothic"/>
          <w:b/>
          <w:sz w:val="20"/>
          <w:szCs w:val="20"/>
        </w:rPr>
        <w:t>3</w:t>
      </w:r>
    </w:p>
    <w:p w:rsidR="0061128D" w:rsidRPr="00C5761E" w:rsidRDefault="00382DC1" w:rsidP="00E71D4C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5761E">
        <w:rPr>
          <w:rFonts w:ascii="Century Gothic" w:hAnsi="Century Gothic"/>
          <w:b/>
          <w:sz w:val="20"/>
          <w:szCs w:val="20"/>
        </w:rPr>
        <w:t>AUDIT COMMITTEE:</w:t>
      </w:r>
      <w:r w:rsidRPr="00C5761E">
        <w:rPr>
          <w:rFonts w:ascii="Century Gothic" w:hAnsi="Century Gothic"/>
          <w:b/>
          <w:sz w:val="20"/>
          <w:szCs w:val="20"/>
        </w:rPr>
        <w:tab/>
      </w:r>
      <w:r w:rsidR="00306746" w:rsidRPr="00C5761E">
        <w:rPr>
          <w:rFonts w:ascii="Century Gothic" w:hAnsi="Century Gothic"/>
          <w:b/>
          <w:sz w:val="20"/>
          <w:szCs w:val="20"/>
        </w:rPr>
        <w:t>Governance &amp; Administration</w:t>
      </w:r>
      <w:r w:rsidRPr="00C5761E">
        <w:rPr>
          <w:rFonts w:ascii="Century Gothic" w:hAnsi="Century Gothic"/>
          <w:b/>
          <w:sz w:val="20"/>
          <w:szCs w:val="20"/>
        </w:rPr>
        <w:t xml:space="preserve"> Cluster</w:t>
      </w:r>
    </w:p>
    <w:p w:rsidR="0061128D" w:rsidRPr="00E71D4C" w:rsidRDefault="0061128D" w:rsidP="00E71D4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375"/>
      </w:tblGrid>
      <w:tr w:rsidR="00505A59" w:rsidRPr="00E71D4C" w:rsidTr="00306746">
        <w:trPr>
          <w:trHeight w:val="69"/>
          <w:tblHeader/>
        </w:trPr>
        <w:tc>
          <w:tcPr>
            <w:tcW w:w="7939" w:type="dxa"/>
            <w:shd w:val="clear" w:color="auto" w:fill="EEECE1"/>
          </w:tcPr>
          <w:p w:rsidR="00505A59" w:rsidRPr="00E71D4C" w:rsidRDefault="00505A59" w:rsidP="009D16D5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375" w:type="dxa"/>
            <w:shd w:val="clear" w:color="auto" w:fill="EEECE1"/>
          </w:tcPr>
          <w:p w:rsidR="00505A59" w:rsidRPr="00E71D4C" w:rsidRDefault="00306746" w:rsidP="009D16D5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Action taken </w:t>
            </w:r>
          </w:p>
        </w:tc>
      </w:tr>
      <w:tr w:rsidR="00505A59" w:rsidRPr="00E71D4C" w:rsidTr="00F12513">
        <w:trPr>
          <w:trHeight w:val="69"/>
        </w:trPr>
        <w:tc>
          <w:tcPr>
            <w:tcW w:w="7939" w:type="dxa"/>
          </w:tcPr>
          <w:p w:rsidR="00505A59" w:rsidRPr="00E71D4C" w:rsidRDefault="00505A59" w:rsidP="009D16D5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>Internal Audit</w:t>
            </w:r>
            <w:r w:rsidR="00382DC1"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assignments</w:t>
            </w:r>
            <w:r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completed Quarters 1 and 2</w:t>
            </w:r>
          </w:p>
          <w:p w:rsidR="00382DC1" w:rsidRPr="00E71D4C" w:rsidRDefault="00382DC1" w:rsidP="009D16D5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306746" w:rsidRDefault="00306746" w:rsidP="009D16D5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06746">
              <w:rPr>
                <w:rFonts w:ascii="Century Gothic" w:hAnsi="Century Gothic"/>
                <w:b/>
                <w:sz w:val="20"/>
                <w:szCs w:val="20"/>
              </w:rPr>
              <w:t>DPSA Directive on Delegations (Assurance Assignment)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minor </w:t>
            </w:r>
            <w:r w:rsidRPr="00E71D4C">
              <w:rPr>
                <w:rFonts w:ascii="Century Gothic" w:hAnsi="Century Gothic"/>
                <w:sz w:val="20"/>
                <w:szCs w:val="20"/>
              </w:rPr>
              <w:t xml:space="preserve">areas for improvement were recommended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management actions were agreed by the department.  </w:t>
            </w:r>
          </w:p>
          <w:p w:rsidR="00382DC1" w:rsidRPr="00E71D4C" w:rsidRDefault="00306746" w:rsidP="009D16D5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06746">
              <w:rPr>
                <w:rFonts w:ascii="Century Gothic" w:hAnsi="Century Gothic"/>
                <w:b/>
                <w:sz w:val="20"/>
                <w:szCs w:val="20"/>
              </w:rPr>
              <w:t>Monitoring and Reporting of Status of Implementation of Agreed Management Action Plans (Consulting Engagement)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assisted the department </w:t>
            </w:r>
            <w:r>
              <w:rPr>
                <w:rFonts w:ascii="Century Gothic" w:hAnsi="Century Gothic"/>
                <w:sz w:val="20"/>
              </w:rPr>
              <w:t xml:space="preserve">with designing a proactive </w:t>
            </w:r>
            <w:r w:rsidR="00D93198">
              <w:rPr>
                <w:rFonts w:ascii="Century Gothic" w:hAnsi="Century Gothic"/>
                <w:sz w:val="20"/>
              </w:rPr>
              <w:t xml:space="preserve">internal </w:t>
            </w:r>
            <w:r>
              <w:rPr>
                <w:rFonts w:ascii="Century Gothic" w:hAnsi="Century Gothic"/>
                <w:sz w:val="20"/>
              </w:rPr>
              <w:t xml:space="preserve">follow up process to improve the implementation rate of agreed management action plans.  Specific focus was on identifying and documenting the control activities to be implemented </w:t>
            </w:r>
            <w:r w:rsidR="00D93198">
              <w:rPr>
                <w:rFonts w:ascii="Century Gothic" w:hAnsi="Century Gothic"/>
                <w:sz w:val="20"/>
              </w:rPr>
              <w:t xml:space="preserve">by Provincial Treasury </w:t>
            </w:r>
            <w:r>
              <w:rPr>
                <w:rFonts w:ascii="Century Gothic" w:hAnsi="Century Gothic"/>
                <w:sz w:val="20"/>
              </w:rPr>
              <w:t>to achieve this.</w:t>
            </w:r>
          </w:p>
          <w:p w:rsidR="003001BF" w:rsidRDefault="00712E58" w:rsidP="009D16D5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12E58">
              <w:rPr>
                <w:rFonts w:ascii="Century Gothic" w:hAnsi="Century Gothic"/>
                <w:b/>
                <w:sz w:val="20"/>
                <w:szCs w:val="20"/>
              </w:rPr>
              <w:t>MFMA Normative Financial Compliance / MGRO Processes (Assurance Assignment)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E71D4C">
              <w:rPr>
                <w:rFonts w:ascii="Century Gothic" w:hAnsi="Century Gothic"/>
                <w:sz w:val="20"/>
                <w:szCs w:val="20"/>
              </w:rPr>
              <w:t xml:space="preserve">areas for improvement were recommended and </w:t>
            </w:r>
            <w:r>
              <w:rPr>
                <w:rFonts w:ascii="Century Gothic" w:hAnsi="Century Gothic"/>
                <w:sz w:val="20"/>
                <w:szCs w:val="20"/>
              </w:rPr>
              <w:t>management actions were agreed by the department.</w:t>
            </w:r>
          </w:p>
          <w:p w:rsidR="00712E58" w:rsidRPr="00712E58" w:rsidRDefault="00712E58" w:rsidP="009D16D5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COSO</w:t>
            </w:r>
            <w:r w:rsidR="00744C71">
              <w:rPr>
                <w:rFonts w:ascii="Century Gothic" w:hAnsi="Century Gothic"/>
                <w:b/>
                <w:sz w:val="20"/>
                <w:szCs w:val="20"/>
              </w:rPr>
              <w:t xml:space="preserve"> Internal Control Questionnaire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(Consulting Engagement)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– assisted Provincial Treasury to identify shortcomings in the internal control environment against the COSO components and principles through an internal control questionnaire, and measures </w:t>
            </w:r>
            <w:r>
              <w:rPr>
                <w:rFonts w:ascii="Century Gothic" w:hAnsi="Century Gothic" w:cs="Arial"/>
                <w:sz w:val="20"/>
                <w:szCs w:val="20"/>
              </w:rPr>
              <w:t>required to further strengthen the system of governance, risk management and internal control within PT.</w:t>
            </w:r>
          </w:p>
          <w:p w:rsidR="00712E58" w:rsidRDefault="00712E58" w:rsidP="009D16D5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Provincial Government Accounting (Assurance Assignment) - </w:t>
            </w:r>
            <w:r w:rsidR="00B07AE1">
              <w:rPr>
                <w:rFonts w:ascii="Century Gothic" w:hAnsi="Century Gothic"/>
                <w:sz w:val="20"/>
                <w:szCs w:val="20"/>
              </w:rPr>
              <w:t xml:space="preserve">minor </w:t>
            </w:r>
            <w:r w:rsidR="00B07AE1" w:rsidRPr="00E71D4C">
              <w:rPr>
                <w:rFonts w:ascii="Century Gothic" w:hAnsi="Century Gothic"/>
                <w:sz w:val="20"/>
                <w:szCs w:val="20"/>
              </w:rPr>
              <w:t xml:space="preserve">areas for improvement were recommended and </w:t>
            </w:r>
            <w:r w:rsidR="00B07AE1">
              <w:rPr>
                <w:rFonts w:ascii="Century Gothic" w:hAnsi="Century Gothic"/>
                <w:sz w:val="20"/>
                <w:szCs w:val="20"/>
              </w:rPr>
              <w:t xml:space="preserve">management actions were agreed by the department. </w:t>
            </w:r>
          </w:p>
          <w:p w:rsidR="00712E58" w:rsidRDefault="00712E58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82DC1" w:rsidRPr="00E71D4C" w:rsidRDefault="00B07AE1" w:rsidP="00583DEC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Based on the follow up audits performed by Internal Audit, th</w:t>
            </w:r>
            <w:r w:rsidRPr="004875BE">
              <w:rPr>
                <w:rFonts w:ascii="Century Gothic" w:hAnsi="Century Gothic"/>
                <w:sz w:val="20"/>
              </w:rPr>
              <w:t xml:space="preserve">e implementation rate </w:t>
            </w:r>
            <w:r>
              <w:rPr>
                <w:rFonts w:ascii="Century Gothic" w:hAnsi="Century Gothic"/>
                <w:sz w:val="20"/>
              </w:rPr>
              <w:t xml:space="preserve">of </w:t>
            </w:r>
            <w:r w:rsidRPr="004875BE">
              <w:rPr>
                <w:rFonts w:ascii="Century Gothic" w:hAnsi="Century Gothic"/>
                <w:sz w:val="20"/>
              </w:rPr>
              <w:t xml:space="preserve">management action plans </w:t>
            </w:r>
            <w:r w:rsidR="004E20F4">
              <w:rPr>
                <w:rFonts w:ascii="Century Gothic" w:hAnsi="Century Gothic"/>
                <w:sz w:val="20"/>
              </w:rPr>
              <w:t>remain a concern</w:t>
            </w:r>
            <w:r w:rsidR="008F03F8">
              <w:rPr>
                <w:rFonts w:ascii="Century Gothic" w:hAnsi="Century Gothic"/>
                <w:sz w:val="20"/>
              </w:rPr>
              <w:t xml:space="preserve">. The </w:t>
            </w:r>
            <w:r w:rsidR="00583DEC">
              <w:rPr>
                <w:rFonts w:ascii="Century Gothic" w:hAnsi="Century Gothic"/>
                <w:sz w:val="20"/>
              </w:rPr>
              <w:t>A</w:t>
            </w:r>
            <w:r w:rsidR="008F03F8">
              <w:rPr>
                <w:rFonts w:ascii="Century Gothic" w:hAnsi="Century Gothic"/>
                <w:sz w:val="20"/>
              </w:rPr>
              <w:t xml:space="preserve">udit Committee continues to exercise oversight over the implementation of the action plans, in order to </w:t>
            </w:r>
            <w:r w:rsidR="009946CF">
              <w:rPr>
                <w:rFonts w:ascii="Century Gothic" w:hAnsi="Century Gothic"/>
                <w:sz w:val="20"/>
              </w:rPr>
              <w:t>hold</w:t>
            </w:r>
            <w:r w:rsidR="004E20F4" w:rsidRPr="004E20F4">
              <w:rPr>
                <w:rFonts w:ascii="Century Gothic" w:hAnsi="Century Gothic"/>
                <w:sz w:val="20"/>
              </w:rPr>
              <w:t xml:space="preserve"> senior and line management and s</w:t>
            </w:r>
            <w:r w:rsidR="004E20F4">
              <w:rPr>
                <w:rFonts w:ascii="Century Gothic" w:hAnsi="Century Gothic"/>
                <w:sz w:val="20"/>
              </w:rPr>
              <w:t>taff accountable for non-implementation.</w:t>
            </w:r>
          </w:p>
        </w:tc>
        <w:tc>
          <w:tcPr>
            <w:tcW w:w="2375" w:type="dxa"/>
          </w:tcPr>
          <w:p w:rsidR="00505A59" w:rsidRPr="00E71D4C" w:rsidRDefault="00505A59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05A59" w:rsidRPr="00E71D4C" w:rsidRDefault="00505A59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07AE1" w:rsidRPr="00E71D4C" w:rsidRDefault="00B07AE1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1D4C">
              <w:rPr>
                <w:rFonts w:ascii="Century Gothic" w:hAnsi="Century Gothic"/>
                <w:sz w:val="20"/>
                <w:szCs w:val="20"/>
              </w:rPr>
              <w:t>The agreed actions are monitored for implementation by the Audit Committee. The Department’s Internal Control Unit reports on the implementation status at every Audit Committee meeting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05A59" w:rsidRDefault="00505A59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07AE1" w:rsidRDefault="00B07AE1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07AE1" w:rsidRDefault="00B07AE1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07AE1" w:rsidRPr="00E71D4C" w:rsidRDefault="00B07AE1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5A59" w:rsidRPr="00E71D4C" w:rsidTr="006C0724">
        <w:trPr>
          <w:trHeight w:val="1026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C5761E" w:rsidRPr="00E71D4C" w:rsidRDefault="00C5761E" w:rsidP="00C5761E">
            <w:p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lastRenderedPageBreak/>
              <w:t xml:space="preserve">Risks influencing the Department </w:t>
            </w:r>
          </w:p>
          <w:p w:rsidR="00505A59" w:rsidRDefault="00505A59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E20F4" w:rsidRPr="004E20F4" w:rsidRDefault="004E20F4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20F4">
              <w:rPr>
                <w:rFonts w:ascii="Century Gothic" w:hAnsi="Century Gothic"/>
                <w:sz w:val="20"/>
                <w:szCs w:val="20"/>
              </w:rPr>
              <w:t>Uncertainty in terms of the funding and the total cost to pursue piloting the IFMS.</w:t>
            </w:r>
          </w:p>
          <w:p w:rsidR="004E20F4" w:rsidRPr="004E20F4" w:rsidRDefault="004E20F4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20F4">
              <w:rPr>
                <w:rFonts w:ascii="Century Gothic" w:hAnsi="Century Gothic"/>
                <w:sz w:val="20"/>
                <w:szCs w:val="20"/>
              </w:rPr>
              <w:t>Inadequate security measures to protect personal information.</w:t>
            </w:r>
          </w:p>
          <w:p w:rsidR="004E20F4" w:rsidRPr="004E20F4" w:rsidRDefault="004E20F4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20F4">
              <w:rPr>
                <w:rFonts w:ascii="Century Gothic" w:hAnsi="Century Gothic"/>
                <w:sz w:val="20"/>
                <w:szCs w:val="20"/>
              </w:rPr>
              <w:t>Lack of financial management capacity and systems within CFO offices in municipalities.</w:t>
            </w:r>
          </w:p>
          <w:p w:rsidR="004E20F4" w:rsidRPr="004E20F4" w:rsidRDefault="004E20F4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20F4">
              <w:rPr>
                <w:rFonts w:ascii="Century Gothic" w:hAnsi="Century Gothic"/>
                <w:sz w:val="20"/>
                <w:szCs w:val="20"/>
              </w:rPr>
              <w:t>Lack of integration and reliance on outside systems and manual system.</w:t>
            </w:r>
          </w:p>
          <w:p w:rsidR="004E20F4" w:rsidRPr="004E20F4" w:rsidRDefault="004E20F4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20F4">
              <w:rPr>
                <w:rFonts w:ascii="Century Gothic" w:hAnsi="Century Gothic"/>
                <w:sz w:val="20"/>
                <w:szCs w:val="20"/>
              </w:rPr>
              <w:t>Regression in SCM performance.</w:t>
            </w:r>
          </w:p>
          <w:p w:rsidR="004E20F4" w:rsidRDefault="004E20F4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Uncertain fiscal outlook (budget allocation).  </w:t>
            </w:r>
            <w:r w:rsidRPr="004E20F4">
              <w:rPr>
                <w:rFonts w:ascii="Century Gothic" w:hAnsi="Century Gothic"/>
                <w:sz w:val="20"/>
                <w:szCs w:val="20"/>
              </w:rPr>
              <w:t xml:space="preserve">Transversal risk of the state of the fiscus going forward,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associated </w:t>
            </w:r>
            <w:r w:rsidRPr="004E20F4">
              <w:rPr>
                <w:rFonts w:ascii="Century Gothic" w:hAnsi="Century Gothic"/>
                <w:sz w:val="20"/>
                <w:szCs w:val="20"/>
              </w:rPr>
              <w:t>risk of downgrades by ratings agencies.</w:t>
            </w:r>
          </w:p>
          <w:p w:rsidR="004E20F4" w:rsidRDefault="004E20F4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4E20F4">
              <w:rPr>
                <w:rFonts w:ascii="Century Gothic" w:hAnsi="Century Gothic"/>
                <w:sz w:val="20"/>
                <w:szCs w:val="20"/>
              </w:rPr>
              <w:t>isparity between National and Provincial Treasury Instructions</w:t>
            </w:r>
            <w:r>
              <w:rPr>
                <w:rFonts w:ascii="Century Gothic" w:hAnsi="Century Gothic"/>
                <w:sz w:val="20"/>
                <w:szCs w:val="20"/>
              </w:rPr>
              <w:t>, and the l</w:t>
            </w:r>
            <w:r w:rsidRPr="004E20F4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ck of national treasury responsiveness</w:t>
            </w:r>
            <w:r w:rsidRPr="004E20F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82DC1" w:rsidRDefault="00382DC1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E20F4" w:rsidRPr="00744C71" w:rsidRDefault="00744C71" w:rsidP="009D16D5">
            <w:p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306746">
              <w:rPr>
                <w:rFonts w:ascii="Century Gothic" w:hAnsi="Century Gothic"/>
                <w:i/>
                <w:sz w:val="20"/>
                <w:szCs w:val="20"/>
              </w:rPr>
              <w:t>(From top 5 departmental risks Q1 &amp; Q2 and AC emerging risk discussion)</w:t>
            </w:r>
          </w:p>
          <w:p w:rsidR="004E20F4" w:rsidRPr="00E71D4C" w:rsidRDefault="004E20F4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05A59" w:rsidRPr="00E71D4C" w:rsidRDefault="00505A59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37828" w:rsidRPr="00E71D4C" w:rsidRDefault="00637828" w:rsidP="00E71D4C">
      <w:pPr>
        <w:spacing w:after="0" w:line="360" w:lineRule="auto"/>
        <w:ind w:left="2160" w:hanging="2160"/>
        <w:jc w:val="both"/>
        <w:rPr>
          <w:rFonts w:ascii="Century Gothic" w:hAnsi="Century Gothic"/>
          <w:sz w:val="20"/>
          <w:szCs w:val="20"/>
        </w:rPr>
      </w:pPr>
    </w:p>
    <w:p w:rsidR="005F5902" w:rsidRPr="00E71D4C" w:rsidRDefault="005F5902" w:rsidP="00E71D4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06746" w:rsidRDefault="00306746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744C71" w:rsidRPr="00C5761E" w:rsidRDefault="00744C71" w:rsidP="00ED55DD">
      <w:pPr>
        <w:spacing w:after="0" w:line="360" w:lineRule="auto"/>
        <w:ind w:left="2160" w:hanging="2160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C5761E">
        <w:rPr>
          <w:rFonts w:ascii="Century Gothic" w:hAnsi="Century Gothic"/>
          <w:b/>
          <w:sz w:val="20"/>
          <w:szCs w:val="20"/>
        </w:rPr>
        <w:lastRenderedPageBreak/>
        <w:t>Department of Local Government:</w:t>
      </w:r>
      <w:r w:rsidRPr="00C5761E">
        <w:rPr>
          <w:rFonts w:ascii="Century Gothic" w:hAnsi="Century Gothic"/>
          <w:b/>
          <w:sz w:val="20"/>
          <w:szCs w:val="20"/>
        </w:rPr>
        <w:tab/>
        <w:t>Vote No:  14</w:t>
      </w:r>
    </w:p>
    <w:p w:rsidR="00744C71" w:rsidRPr="00C5761E" w:rsidRDefault="00744C71" w:rsidP="00ED55DD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5761E">
        <w:rPr>
          <w:rFonts w:ascii="Century Gothic" w:hAnsi="Century Gothic"/>
          <w:b/>
          <w:sz w:val="20"/>
          <w:szCs w:val="20"/>
        </w:rPr>
        <w:t>AUDIT COMMITTEE:</w:t>
      </w:r>
      <w:r w:rsidRPr="00C5761E">
        <w:rPr>
          <w:rFonts w:ascii="Century Gothic" w:hAnsi="Century Gothic"/>
          <w:b/>
          <w:sz w:val="20"/>
          <w:szCs w:val="20"/>
        </w:rPr>
        <w:tab/>
        <w:t>Governance &amp; Administration Cluster</w:t>
      </w:r>
    </w:p>
    <w:p w:rsidR="00744C71" w:rsidRPr="00E71D4C" w:rsidRDefault="00744C71" w:rsidP="00744C71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375"/>
      </w:tblGrid>
      <w:tr w:rsidR="007A7880" w:rsidRPr="00E71D4C" w:rsidTr="00744C71">
        <w:trPr>
          <w:trHeight w:val="69"/>
          <w:tblHeader/>
        </w:trPr>
        <w:tc>
          <w:tcPr>
            <w:tcW w:w="7939" w:type="dxa"/>
            <w:shd w:val="clear" w:color="auto" w:fill="EEECE1"/>
          </w:tcPr>
          <w:p w:rsidR="007A7880" w:rsidRPr="00E71D4C" w:rsidRDefault="007A7880" w:rsidP="009D16D5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EEECE1"/>
          </w:tcPr>
          <w:p w:rsidR="007A7880" w:rsidRPr="00E71D4C" w:rsidRDefault="007A7880" w:rsidP="009D16D5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71D4C">
              <w:rPr>
                <w:rFonts w:ascii="Century Gothic" w:hAnsi="Century Gothic"/>
                <w:b/>
                <w:sz w:val="20"/>
                <w:szCs w:val="20"/>
              </w:rPr>
              <w:t>Action taken</w:t>
            </w:r>
          </w:p>
        </w:tc>
      </w:tr>
      <w:tr w:rsidR="007A7880" w:rsidRPr="00E71D4C" w:rsidTr="00F12513">
        <w:trPr>
          <w:trHeight w:val="69"/>
        </w:trPr>
        <w:tc>
          <w:tcPr>
            <w:tcW w:w="7939" w:type="dxa"/>
          </w:tcPr>
          <w:p w:rsidR="007A7880" w:rsidRDefault="00637828" w:rsidP="009D16D5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Internal Audit </w:t>
            </w:r>
            <w:r w:rsidR="006E49BF"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assignments </w:t>
            </w:r>
            <w:r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completed </w:t>
            </w:r>
            <w:r w:rsidR="006E49BF"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during </w:t>
            </w:r>
            <w:r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>Quarters 1 and 2</w:t>
            </w:r>
          </w:p>
          <w:p w:rsidR="00744C71" w:rsidRPr="00E71D4C" w:rsidRDefault="00744C71" w:rsidP="009D16D5">
            <w:pPr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44C71" w:rsidRDefault="00744C71" w:rsidP="009D16D5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06746">
              <w:rPr>
                <w:rFonts w:ascii="Century Gothic" w:hAnsi="Century Gothic"/>
                <w:b/>
                <w:sz w:val="20"/>
                <w:szCs w:val="20"/>
              </w:rPr>
              <w:t>DPSA Directive on Delegations (Assurance Assignment)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E71D4C">
              <w:rPr>
                <w:rFonts w:ascii="Century Gothic" w:hAnsi="Century Gothic"/>
                <w:sz w:val="20"/>
                <w:szCs w:val="20"/>
              </w:rPr>
              <w:t xml:space="preserve">areas for improvement were recommended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management actions were agreed by the department. </w:t>
            </w:r>
          </w:p>
          <w:p w:rsidR="00BF1721" w:rsidRPr="00712E58" w:rsidRDefault="00BF1721" w:rsidP="009D16D5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COSO Consulting Engagement (Part 1): Internal Control Questionnaire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– assisted the department to identify shortcomings in the internal control environment against the COSO components and principles through an internal control questionnaire, and measures </w:t>
            </w:r>
            <w:r>
              <w:rPr>
                <w:rFonts w:ascii="Century Gothic" w:hAnsi="Century Gothic" w:cs="Arial"/>
                <w:sz w:val="20"/>
                <w:szCs w:val="20"/>
              </w:rPr>
              <w:t>required to further strengthen the system of governance, risk management and internal control within DLG.</w:t>
            </w:r>
          </w:p>
          <w:p w:rsidR="006E49BF" w:rsidRPr="00E71D4C" w:rsidRDefault="00BF1721" w:rsidP="009D16D5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COSO Consulting Engagement (Part 2): Fire Brigade Services </w:t>
            </w:r>
            <w:r>
              <w:rPr>
                <w:rFonts w:ascii="Century Gothic" w:hAnsi="Century Gothic"/>
                <w:sz w:val="20"/>
                <w:szCs w:val="20"/>
              </w:rPr>
              <w:t>– assisted the department to development process maps for the Veld and Forest Fires and Informal Settlements Fire</w:t>
            </w:r>
            <w:r w:rsidR="00415346">
              <w:rPr>
                <w:rFonts w:ascii="Century Gothic" w:hAnsi="Century Gothic"/>
                <w:sz w:val="20"/>
                <w:szCs w:val="20"/>
              </w:rPr>
              <w:t xml:space="preserve"> Reduction business processes, with a specific focus on control measures and gaps in the process.  M</w:t>
            </w:r>
            <w:r w:rsidR="00415346" w:rsidRPr="00415346">
              <w:rPr>
                <w:rFonts w:ascii="Century Gothic" w:hAnsi="Century Gothic"/>
                <w:sz w:val="20"/>
                <w:szCs w:val="20"/>
              </w:rPr>
              <w:t>anagement action</w:t>
            </w:r>
            <w:r w:rsidR="00415346">
              <w:rPr>
                <w:rFonts w:ascii="Century Gothic" w:hAnsi="Century Gothic"/>
                <w:sz w:val="20"/>
                <w:szCs w:val="20"/>
              </w:rPr>
              <w:t xml:space="preserve"> plan</w:t>
            </w:r>
            <w:r w:rsidR="00415346" w:rsidRPr="00415346">
              <w:rPr>
                <w:rFonts w:ascii="Century Gothic" w:hAnsi="Century Gothic"/>
                <w:sz w:val="20"/>
                <w:szCs w:val="20"/>
              </w:rPr>
              <w:t>s were agreed by the department</w:t>
            </w:r>
            <w:r w:rsidR="00415346">
              <w:rPr>
                <w:rFonts w:ascii="Century Gothic" w:hAnsi="Century Gothic"/>
                <w:sz w:val="20"/>
                <w:szCs w:val="20"/>
              </w:rPr>
              <w:t xml:space="preserve"> for the gaps identified.  </w:t>
            </w:r>
          </w:p>
          <w:p w:rsidR="006E49BF" w:rsidRPr="00E71D4C" w:rsidRDefault="006E49BF" w:rsidP="009D16D5">
            <w:pPr>
              <w:spacing w:after="0" w:line="36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5" w:type="dxa"/>
          </w:tcPr>
          <w:p w:rsidR="00744C71" w:rsidRPr="00E71D4C" w:rsidRDefault="00744C71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44C71" w:rsidRPr="00E71D4C" w:rsidRDefault="00744C71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44C71" w:rsidRPr="00E71D4C" w:rsidRDefault="00744C71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1D4C">
              <w:rPr>
                <w:rFonts w:ascii="Century Gothic" w:hAnsi="Century Gothic"/>
                <w:sz w:val="20"/>
                <w:szCs w:val="20"/>
              </w:rPr>
              <w:t>The agreed actions are monitored for implementation by the Audit Committee. The Department’s Internal Control Unit reports on the implementation status at every Audit Committee meeting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44C71" w:rsidRDefault="00744C71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44C71" w:rsidRDefault="00744C71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44C71" w:rsidRDefault="00744C71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A7880" w:rsidRPr="00E71D4C" w:rsidRDefault="007A7880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7880" w:rsidRPr="00E71D4C" w:rsidTr="00F12513">
        <w:trPr>
          <w:trHeight w:val="1026"/>
        </w:trPr>
        <w:tc>
          <w:tcPr>
            <w:tcW w:w="7939" w:type="dxa"/>
            <w:tcBorders>
              <w:top w:val="single" w:sz="4" w:space="0" w:color="auto"/>
            </w:tcBorders>
          </w:tcPr>
          <w:p w:rsidR="007A7880" w:rsidRPr="00C5761E" w:rsidRDefault="00C5761E" w:rsidP="00C5761E">
            <w:p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71D4C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Risks influencing the Department </w:t>
            </w:r>
          </w:p>
          <w:p w:rsidR="007A7880" w:rsidRDefault="007A7880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D78B3" w:rsidRPr="007333A6" w:rsidRDefault="00CD78B3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33A6">
              <w:rPr>
                <w:rFonts w:ascii="Century Gothic" w:hAnsi="Century Gothic"/>
                <w:sz w:val="20"/>
                <w:szCs w:val="20"/>
              </w:rPr>
              <w:t>Lack of compliance with legal requirement (Disaster Management Act as well as policies).</w:t>
            </w:r>
          </w:p>
          <w:p w:rsidR="00CD78B3" w:rsidRPr="007333A6" w:rsidRDefault="00CD78B3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33A6">
              <w:rPr>
                <w:rFonts w:ascii="Century Gothic" w:hAnsi="Century Gothic"/>
                <w:sz w:val="20"/>
                <w:szCs w:val="20"/>
              </w:rPr>
              <w:t>Support initiatives not having anticipated impact on municipal maturity.</w:t>
            </w:r>
          </w:p>
          <w:p w:rsidR="00CD78B3" w:rsidRPr="007333A6" w:rsidRDefault="00CD78B3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33A6">
              <w:rPr>
                <w:rFonts w:ascii="Century Gothic" w:hAnsi="Century Gothic"/>
                <w:sz w:val="20"/>
                <w:szCs w:val="20"/>
              </w:rPr>
              <w:t>National Departments Regional Offices, Provincial Government and Municipalities not having a credible risk profile to inform risk reduction (prevention and mitigation), preparedness and response plan.</w:t>
            </w:r>
          </w:p>
          <w:p w:rsidR="00CD78B3" w:rsidRPr="007333A6" w:rsidRDefault="00CD78B3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33A6">
              <w:rPr>
                <w:rFonts w:ascii="Century Gothic" w:hAnsi="Century Gothic"/>
                <w:sz w:val="20"/>
                <w:szCs w:val="20"/>
              </w:rPr>
              <w:t>Limited participation of stakeholders in the Thusong Programme.</w:t>
            </w:r>
          </w:p>
          <w:p w:rsidR="00CD78B3" w:rsidRPr="00906B74" w:rsidRDefault="00CD78B3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33A6">
              <w:rPr>
                <w:rFonts w:ascii="Century Gothic" w:hAnsi="Century Gothic"/>
                <w:sz w:val="20"/>
                <w:szCs w:val="20"/>
              </w:rPr>
              <w:t>Ability of the Department to continue operations in the event of a significant disruption or disaster.</w:t>
            </w:r>
          </w:p>
          <w:p w:rsidR="00CD78B3" w:rsidRDefault="00CD78B3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06B74">
              <w:rPr>
                <w:rFonts w:ascii="Century Gothic" w:hAnsi="Century Gothic"/>
                <w:sz w:val="20"/>
                <w:szCs w:val="20"/>
              </w:rPr>
              <w:t>Incomplete or inaccurate reporting on ward committee functionality.</w:t>
            </w:r>
          </w:p>
          <w:p w:rsidR="00CD78B3" w:rsidRDefault="00CD78B3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06B74">
              <w:rPr>
                <w:rFonts w:ascii="Century Gothic" w:hAnsi="Century Gothic"/>
                <w:sz w:val="20"/>
                <w:szCs w:val="20"/>
              </w:rPr>
              <w:lastRenderedPageBreak/>
              <w:t>Municipalities may not sufficiently implement disaster risk reduction measures (through the IDP) and as required by legislation.</w:t>
            </w:r>
          </w:p>
          <w:p w:rsidR="007A7880" w:rsidRDefault="00052AE9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Lack of ability to implement e</w:t>
            </w:r>
            <w:r w:rsidRPr="00052AE9">
              <w:rPr>
                <w:rFonts w:ascii="Century Gothic" w:hAnsi="Century Gothic"/>
                <w:sz w:val="20"/>
                <w:szCs w:val="20"/>
              </w:rPr>
              <w:t>mergency procurement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measures.</w:t>
            </w:r>
          </w:p>
          <w:p w:rsidR="00052AE9" w:rsidRDefault="00052AE9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52AE9">
              <w:rPr>
                <w:rFonts w:ascii="Century Gothic" w:hAnsi="Century Gothic"/>
                <w:sz w:val="20"/>
                <w:szCs w:val="20"/>
              </w:rPr>
              <w:t>Traditional Leaders Bill, in terms of financial implications for the department.</w:t>
            </w:r>
          </w:p>
          <w:p w:rsidR="00052AE9" w:rsidRPr="00E71D4C" w:rsidRDefault="00052AE9" w:rsidP="009D16D5">
            <w:pPr>
              <w:pStyle w:val="ListParagraph"/>
              <w:numPr>
                <w:ilvl w:val="0"/>
                <w:numId w:val="35"/>
              </w:num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52AE9">
              <w:rPr>
                <w:rFonts w:ascii="Century Gothic" w:hAnsi="Century Gothic"/>
                <w:sz w:val="20"/>
                <w:szCs w:val="20"/>
              </w:rPr>
              <w:t>Water infrastructure risk, that needs to be articulated and included in the register.</w:t>
            </w:r>
          </w:p>
          <w:p w:rsidR="007A7880" w:rsidRDefault="007A7880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333A6" w:rsidRPr="00744C71" w:rsidRDefault="007333A6" w:rsidP="009D16D5">
            <w:pPr>
              <w:tabs>
                <w:tab w:val="left" w:pos="5340"/>
              </w:tabs>
              <w:spacing w:after="0"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u w:val="single"/>
              </w:rPr>
            </w:pPr>
            <w:r w:rsidRPr="00306746">
              <w:rPr>
                <w:rFonts w:ascii="Century Gothic" w:hAnsi="Century Gothic"/>
                <w:i/>
                <w:sz w:val="20"/>
                <w:szCs w:val="20"/>
              </w:rPr>
              <w:t>(From top 5 departmental risks Q1 &amp; Q2 and AC emerging risk discussion)</w:t>
            </w:r>
          </w:p>
          <w:p w:rsidR="007333A6" w:rsidRPr="00E71D4C" w:rsidRDefault="007333A6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7A7880" w:rsidRPr="00E71D4C" w:rsidRDefault="007A7880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A7880" w:rsidRPr="00E71D4C" w:rsidRDefault="007A7880" w:rsidP="009D16D5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10591" w:rsidRDefault="00E10591" w:rsidP="00052AE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5761E" w:rsidRDefault="00C5761E" w:rsidP="00E71D4C">
      <w:pPr>
        <w:spacing w:after="0" w:line="360" w:lineRule="auto"/>
        <w:jc w:val="both"/>
        <w:outlineLvl w:val="0"/>
        <w:rPr>
          <w:rFonts w:ascii="Century Gothic" w:hAnsi="Century Gothic"/>
          <w:sz w:val="20"/>
          <w:szCs w:val="20"/>
        </w:rPr>
      </w:pPr>
    </w:p>
    <w:p w:rsidR="00B00BE8" w:rsidRPr="00E71D4C" w:rsidRDefault="00B00BE8" w:rsidP="00E71D4C">
      <w:pPr>
        <w:spacing w:after="0" w:line="360" w:lineRule="auto"/>
        <w:jc w:val="both"/>
        <w:outlineLvl w:val="0"/>
        <w:rPr>
          <w:rFonts w:ascii="Century Gothic" w:hAnsi="Century Gothic"/>
          <w:sz w:val="20"/>
          <w:szCs w:val="20"/>
        </w:rPr>
      </w:pPr>
      <w:r w:rsidRPr="00E71D4C">
        <w:rPr>
          <w:rFonts w:ascii="Century Gothic" w:hAnsi="Century Gothic"/>
          <w:sz w:val="20"/>
          <w:szCs w:val="20"/>
        </w:rPr>
        <w:t>Yours sincerely</w:t>
      </w:r>
    </w:p>
    <w:p w:rsidR="00B00BE8" w:rsidRDefault="00B00BE8" w:rsidP="00E71D4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8B3" w:rsidRPr="00E71D4C" w:rsidRDefault="00CD78B3" w:rsidP="00E71D4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00BE8" w:rsidRPr="00E71D4C" w:rsidRDefault="00B00BE8" w:rsidP="00E71D4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00BE8" w:rsidRDefault="00CD78B3" w:rsidP="00E71D4C">
      <w:pPr>
        <w:spacing w:after="0" w:line="360" w:lineRule="auto"/>
        <w:jc w:val="both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Kerry</w:t>
      </w:r>
      <w:r w:rsidR="00C5761E">
        <w:rPr>
          <w:rFonts w:ascii="Century Gothic" w:hAnsi="Century Gothic"/>
          <w:b/>
          <w:sz w:val="20"/>
          <w:szCs w:val="20"/>
        </w:rPr>
        <w:t xml:space="preserve"> R.</w:t>
      </w:r>
      <w:r>
        <w:rPr>
          <w:rFonts w:ascii="Century Gothic" w:hAnsi="Century Gothic"/>
          <w:b/>
          <w:sz w:val="20"/>
          <w:szCs w:val="20"/>
        </w:rPr>
        <w:t xml:space="preserve"> Larkin</w:t>
      </w:r>
    </w:p>
    <w:p w:rsidR="00C5761E" w:rsidRPr="00E71D4C" w:rsidRDefault="00C5761E" w:rsidP="00E71D4C">
      <w:pPr>
        <w:spacing w:after="0" w:line="360" w:lineRule="auto"/>
        <w:jc w:val="both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Chairman: G&amp;A Cluster Audit Committee</w:t>
      </w:r>
    </w:p>
    <w:p w:rsidR="00C5761E" w:rsidRDefault="00C5761E" w:rsidP="00E71D4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00BE8" w:rsidRPr="00E71D4C" w:rsidRDefault="00CD78B3" w:rsidP="00E71D4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 April 2018</w:t>
      </w:r>
    </w:p>
    <w:sectPr w:rsidR="00B00BE8" w:rsidRPr="00E71D4C" w:rsidSect="00F1783C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BA" w:rsidRDefault="00CE66BA" w:rsidP="009964E5">
      <w:pPr>
        <w:spacing w:after="0" w:line="240" w:lineRule="auto"/>
      </w:pPr>
      <w:r>
        <w:separator/>
      </w:r>
    </w:p>
  </w:endnote>
  <w:endnote w:type="continuationSeparator" w:id="0">
    <w:p w:rsidR="00CE66BA" w:rsidRDefault="00CE66BA" w:rsidP="0099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CF" w:rsidRDefault="005312E6" w:rsidP="00717145">
    <w:pPr>
      <w:pStyle w:val="Footer"/>
      <w:jc w:val="right"/>
    </w:pPr>
    <w:r>
      <w:fldChar w:fldCharType="begin"/>
    </w:r>
    <w:r w:rsidR="00ED03CF">
      <w:instrText xml:space="preserve"> PAGE   \* MERGEFORMAT </w:instrText>
    </w:r>
    <w:r>
      <w:fldChar w:fldCharType="separate"/>
    </w:r>
    <w:r w:rsidR="00696060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BA" w:rsidRDefault="00CE66BA" w:rsidP="009964E5">
      <w:pPr>
        <w:spacing w:after="0" w:line="240" w:lineRule="auto"/>
      </w:pPr>
      <w:r>
        <w:separator/>
      </w:r>
    </w:p>
  </w:footnote>
  <w:footnote w:type="continuationSeparator" w:id="0">
    <w:p w:rsidR="00CE66BA" w:rsidRDefault="00CE66BA" w:rsidP="0099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B4" w:rsidRPr="00E71D4C" w:rsidRDefault="009964E5" w:rsidP="00E71D4C">
    <w:pPr>
      <w:pStyle w:val="Header"/>
      <w:spacing w:line="360" w:lineRule="auto"/>
      <w:jc w:val="center"/>
      <w:rPr>
        <w:rFonts w:ascii="Century Gothic" w:hAnsi="Century Gothic"/>
        <w:caps/>
        <w:sz w:val="20"/>
        <w:szCs w:val="20"/>
      </w:rPr>
    </w:pPr>
    <w:r w:rsidRPr="00E71D4C">
      <w:rPr>
        <w:rFonts w:ascii="Century Gothic" w:hAnsi="Century Gothic"/>
        <w:caps/>
        <w:sz w:val="20"/>
        <w:szCs w:val="20"/>
      </w:rPr>
      <w:t>AUDIT COMMITTEE BRIEFING T</w:t>
    </w:r>
    <w:r w:rsidR="003E6FE3" w:rsidRPr="00E71D4C">
      <w:rPr>
        <w:rFonts w:ascii="Century Gothic" w:hAnsi="Century Gothic"/>
        <w:caps/>
        <w:sz w:val="20"/>
        <w:szCs w:val="20"/>
      </w:rPr>
      <w:t>O SCOPA for Quarters 1 and 2</w:t>
    </w:r>
    <w:r w:rsidR="00E71D4C" w:rsidRPr="00E71D4C">
      <w:rPr>
        <w:rFonts w:ascii="Century Gothic" w:hAnsi="Century Gothic"/>
        <w:caps/>
        <w:sz w:val="20"/>
        <w:szCs w:val="20"/>
      </w:rPr>
      <w:t xml:space="preserve"> of 2017/18</w:t>
    </w:r>
  </w:p>
  <w:p w:rsidR="00A41B27" w:rsidRPr="00E71D4C" w:rsidRDefault="00E71D4C" w:rsidP="00E71D4C">
    <w:pPr>
      <w:pStyle w:val="Header"/>
      <w:spacing w:line="360" w:lineRule="auto"/>
      <w:jc w:val="center"/>
      <w:rPr>
        <w:rFonts w:ascii="Century Gothic" w:hAnsi="Century Gothic"/>
        <w:caps/>
        <w:sz w:val="20"/>
        <w:szCs w:val="20"/>
      </w:rPr>
    </w:pPr>
    <w:r w:rsidRPr="00E71D4C">
      <w:rPr>
        <w:rFonts w:ascii="Century Gothic" w:hAnsi="Century Gothic"/>
        <w:caps/>
        <w:sz w:val="20"/>
        <w:szCs w:val="20"/>
      </w:rPr>
      <w:t>Governance &amp; Administration</w:t>
    </w:r>
    <w:r w:rsidR="009F7628" w:rsidRPr="00E71D4C">
      <w:rPr>
        <w:rFonts w:ascii="Century Gothic" w:hAnsi="Century Gothic"/>
        <w:caps/>
        <w:sz w:val="20"/>
        <w:szCs w:val="20"/>
      </w:rPr>
      <w:t xml:space="preserve"> Cluster</w:t>
    </w:r>
  </w:p>
  <w:p w:rsidR="009F7628" w:rsidRPr="00E71D4C" w:rsidRDefault="00857C1A" w:rsidP="00E71D4C">
    <w:pPr>
      <w:pStyle w:val="Header"/>
      <w:spacing w:line="360" w:lineRule="auto"/>
      <w:jc w:val="center"/>
      <w:rPr>
        <w:rFonts w:ascii="Century Gothic" w:hAnsi="Century Gothic"/>
        <w:caps/>
        <w:sz w:val="20"/>
        <w:szCs w:val="20"/>
      </w:rPr>
    </w:pPr>
    <w:r>
      <w:rPr>
        <w:rFonts w:ascii="Century Gothic" w:hAnsi="Century Gothic"/>
        <w:caps/>
        <w:sz w:val="20"/>
        <w:szCs w:val="20"/>
      </w:rPr>
      <w:t>(Department</w:t>
    </w:r>
    <w:r w:rsidR="00864749">
      <w:rPr>
        <w:rFonts w:ascii="Century Gothic" w:hAnsi="Century Gothic"/>
        <w:caps/>
        <w:sz w:val="20"/>
        <w:szCs w:val="20"/>
      </w:rPr>
      <w:t>S</w:t>
    </w:r>
    <w:r w:rsidR="008B2BB4" w:rsidRPr="00E71D4C">
      <w:rPr>
        <w:rFonts w:ascii="Century Gothic" w:hAnsi="Century Gothic"/>
        <w:caps/>
        <w:sz w:val="20"/>
        <w:szCs w:val="20"/>
      </w:rPr>
      <w:t xml:space="preserve"> of </w:t>
    </w:r>
    <w:r w:rsidR="00E71D4C" w:rsidRPr="00E71D4C">
      <w:rPr>
        <w:rFonts w:ascii="Century Gothic" w:hAnsi="Century Gothic"/>
        <w:caps/>
        <w:sz w:val="20"/>
        <w:szCs w:val="20"/>
      </w:rPr>
      <w:t>the Premier, Provincial Treasury and Local Government)</w:t>
    </w:r>
  </w:p>
  <w:p w:rsidR="009964E5" w:rsidRPr="00E71D4C" w:rsidRDefault="009964E5" w:rsidP="00E71D4C">
    <w:pPr>
      <w:pStyle w:val="Header"/>
      <w:spacing w:line="360" w:lineRule="auto"/>
      <w:jc w:val="center"/>
      <w:rPr>
        <w:rFonts w:ascii="Century Gothic" w:hAnsi="Century Gothic"/>
        <w:cap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B8"/>
    <w:multiLevelType w:val="hybridMultilevel"/>
    <w:tmpl w:val="BACEF970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5375"/>
    <w:multiLevelType w:val="multilevel"/>
    <w:tmpl w:val="CFA4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D1DCC"/>
    <w:multiLevelType w:val="hybridMultilevel"/>
    <w:tmpl w:val="0BC6270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A0E4F"/>
    <w:multiLevelType w:val="hybridMultilevel"/>
    <w:tmpl w:val="20A003F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1CEA"/>
    <w:multiLevelType w:val="hybridMultilevel"/>
    <w:tmpl w:val="DD2C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04BFE"/>
    <w:multiLevelType w:val="hybridMultilevel"/>
    <w:tmpl w:val="30C4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B58C2"/>
    <w:multiLevelType w:val="hybridMultilevel"/>
    <w:tmpl w:val="9B4EA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47B3E"/>
    <w:multiLevelType w:val="hybridMultilevel"/>
    <w:tmpl w:val="8ED06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70AEF"/>
    <w:multiLevelType w:val="hybridMultilevel"/>
    <w:tmpl w:val="376EE1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E365D"/>
    <w:multiLevelType w:val="hybridMultilevel"/>
    <w:tmpl w:val="B38A3ED0"/>
    <w:lvl w:ilvl="0" w:tplc="1C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231178F9"/>
    <w:multiLevelType w:val="hybridMultilevel"/>
    <w:tmpl w:val="5BE0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C584A"/>
    <w:multiLevelType w:val="hybridMultilevel"/>
    <w:tmpl w:val="05DE534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04F41"/>
    <w:multiLevelType w:val="hybridMultilevel"/>
    <w:tmpl w:val="6F44188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C2B6A"/>
    <w:multiLevelType w:val="hybridMultilevel"/>
    <w:tmpl w:val="DE8C1ED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43AA1"/>
    <w:multiLevelType w:val="hybridMultilevel"/>
    <w:tmpl w:val="6142806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126CF"/>
    <w:multiLevelType w:val="hybridMultilevel"/>
    <w:tmpl w:val="03F408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97067C"/>
    <w:multiLevelType w:val="hybridMultilevel"/>
    <w:tmpl w:val="D662E43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223D"/>
    <w:multiLevelType w:val="hybridMultilevel"/>
    <w:tmpl w:val="D76E36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C4B57"/>
    <w:multiLevelType w:val="hybridMultilevel"/>
    <w:tmpl w:val="8CE6E9BC"/>
    <w:lvl w:ilvl="0" w:tplc="2208F18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65" w:hanging="360"/>
      </w:pPr>
    </w:lvl>
    <w:lvl w:ilvl="2" w:tplc="1C09001B" w:tentative="1">
      <w:start w:val="1"/>
      <w:numFmt w:val="lowerRoman"/>
      <w:lvlText w:val="%3."/>
      <w:lvlJc w:val="right"/>
      <w:pPr>
        <w:ind w:left="2685" w:hanging="180"/>
      </w:pPr>
    </w:lvl>
    <w:lvl w:ilvl="3" w:tplc="1C09000F" w:tentative="1">
      <w:start w:val="1"/>
      <w:numFmt w:val="decimal"/>
      <w:lvlText w:val="%4."/>
      <w:lvlJc w:val="left"/>
      <w:pPr>
        <w:ind w:left="3405" w:hanging="360"/>
      </w:pPr>
    </w:lvl>
    <w:lvl w:ilvl="4" w:tplc="1C090019" w:tentative="1">
      <w:start w:val="1"/>
      <w:numFmt w:val="lowerLetter"/>
      <w:lvlText w:val="%5."/>
      <w:lvlJc w:val="left"/>
      <w:pPr>
        <w:ind w:left="4125" w:hanging="360"/>
      </w:pPr>
    </w:lvl>
    <w:lvl w:ilvl="5" w:tplc="1C09001B" w:tentative="1">
      <w:start w:val="1"/>
      <w:numFmt w:val="lowerRoman"/>
      <w:lvlText w:val="%6."/>
      <w:lvlJc w:val="right"/>
      <w:pPr>
        <w:ind w:left="4845" w:hanging="180"/>
      </w:pPr>
    </w:lvl>
    <w:lvl w:ilvl="6" w:tplc="1C09000F" w:tentative="1">
      <w:start w:val="1"/>
      <w:numFmt w:val="decimal"/>
      <w:lvlText w:val="%7."/>
      <w:lvlJc w:val="left"/>
      <w:pPr>
        <w:ind w:left="5565" w:hanging="360"/>
      </w:pPr>
    </w:lvl>
    <w:lvl w:ilvl="7" w:tplc="1C090019" w:tentative="1">
      <w:start w:val="1"/>
      <w:numFmt w:val="lowerLetter"/>
      <w:lvlText w:val="%8."/>
      <w:lvlJc w:val="left"/>
      <w:pPr>
        <w:ind w:left="6285" w:hanging="360"/>
      </w:pPr>
    </w:lvl>
    <w:lvl w:ilvl="8" w:tplc="1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3AAD3BFC"/>
    <w:multiLevelType w:val="hybridMultilevel"/>
    <w:tmpl w:val="FEA6B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8E78FC"/>
    <w:multiLevelType w:val="hybridMultilevel"/>
    <w:tmpl w:val="126AE6B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8F1DCD"/>
    <w:multiLevelType w:val="hybridMultilevel"/>
    <w:tmpl w:val="E57A0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082A8C"/>
    <w:multiLevelType w:val="hybridMultilevel"/>
    <w:tmpl w:val="E1F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41434"/>
    <w:multiLevelType w:val="hybridMultilevel"/>
    <w:tmpl w:val="FEA6B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4742AC"/>
    <w:multiLevelType w:val="hybridMultilevel"/>
    <w:tmpl w:val="4E44F8F8"/>
    <w:lvl w:ilvl="0" w:tplc="899836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B4DFF"/>
    <w:multiLevelType w:val="hybridMultilevel"/>
    <w:tmpl w:val="D662E43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B57C4"/>
    <w:multiLevelType w:val="hybridMultilevel"/>
    <w:tmpl w:val="666EF432"/>
    <w:lvl w:ilvl="0" w:tplc="1C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7">
    <w:nsid w:val="51112FEB"/>
    <w:multiLevelType w:val="hybridMultilevel"/>
    <w:tmpl w:val="FB1C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F0089E"/>
    <w:multiLevelType w:val="hybridMultilevel"/>
    <w:tmpl w:val="DD2C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11249"/>
    <w:multiLevelType w:val="hybridMultilevel"/>
    <w:tmpl w:val="C92E85E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4C0437"/>
    <w:multiLevelType w:val="hybridMultilevel"/>
    <w:tmpl w:val="06AE8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07DA2"/>
    <w:multiLevelType w:val="hybridMultilevel"/>
    <w:tmpl w:val="DD2C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4598C"/>
    <w:multiLevelType w:val="hybridMultilevel"/>
    <w:tmpl w:val="DD2C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76B2F"/>
    <w:multiLevelType w:val="hybridMultilevel"/>
    <w:tmpl w:val="80805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882166"/>
    <w:multiLevelType w:val="hybridMultilevel"/>
    <w:tmpl w:val="983C9BAE"/>
    <w:lvl w:ilvl="0" w:tplc="09C8A6F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15A63"/>
    <w:multiLevelType w:val="hybridMultilevel"/>
    <w:tmpl w:val="FD8EC7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C43AF"/>
    <w:multiLevelType w:val="hybridMultilevel"/>
    <w:tmpl w:val="F1DE51A0"/>
    <w:lvl w:ilvl="0" w:tplc="E41E1A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3659F4"/>
    <w:multiLevelType w:val="hybridMultilevel"/>
    <w:tmpl w:val="C0C83472"/>
    <w:lvl w:ilvl="0" w:tplc="BACEFE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BC6832"/>
    <w:multiLevelType w:val="hybridMultilevel"/>
    <w:tmpl w:val="21202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4B49A6"/>
    <w:multiLevelType w:val="hybridMultilevel"/>
    <w:tmpl w:val="3D5E9B02"/>
    <w:lvl w:ilvl="0" w:tplc="1C090005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21"/>
  </w:num>
  <w:num w:numId="5">
    <w:abstractNumId w:val="10"/>
  </w:num>
  <w:num w:numId="6">
    <w:abstractNumId w:val="32"/>
  </w:num>
  <w:num w:numId="7">
    <w:abstractNumId w:val="31"/>
  </w:num>
  <w:num w:numId="8">
    <w:abstractNumId w:val="28"/>
  </w:num>
  <w:num w:numId="9">
    <w:abstractNumId w:val="27"/>
  </w:num>
  <w:num w:numId="10">
    <w:abstractNumId w:val="12"/>
  </w:num>
  <w:num w:numId="11">
    <w:abstractNumId w:val="30"/>
  </w:num>
  <w:num w:numId="12">
    <w:abstractNumId w:val="0"/>
  </w:num>
  <w:num w:numId="13">
    <w:abstractNumId w:val="29"/>
  </w:num>
  <w:num w:numId="14">
    <w:abstractNumId w:val="20"/>
  </w:num>
  <w:num w:numId="15">
    <w:abstractNumId w:val="2"/>
  </w:num>
  <w:num w:numId="16">
    <w:abstractNumId w:val="9"/>
  </w:num>
  <w:num w:numId="17">
    <w:abstractNumId w:val="6"/>
  </w:num>
  <w:num w:numId="18">
    <w:abstractNumId w:val="26"/>
  </w:num>
  <w:num w:numId="19">
    <w:abstractNumId w:val="39"/>
  </w:num>
  <w:num w:numId="20">
    <w:abstractNumId w:val="36"/>
  </w:num>
  <w:num w:numId="21">
    <w:abstractNumId w:val="35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5"/>
  </w:num>
  <w:num w:numId="27">
    <w:abstractNumId w:val="16"/>
  </w:num>
  <w:num w:numId="28">
    <w:abstractNumId w:val="18"/>
  </w:num>
  <w:num w:numId="29">
    <w:abstractNumId w:val="34"/>
  </w:num>
  <w:num w:numId="30">
    <w:abstractNumId w:val="13"/>
  </w:num>
  <w:num w:numId="31">
    <w:abstractNumId w:val="14"/>
  </w:num>
  <w:num w:numId="32">
    <w:abstractNumId w:val="24"/>
  </w:num>
  <w:num w:numId="33">
    <w:abstractNumId w:val="11"/>
  </w:num>
  <w:num w:numId="34">
    <w:abstractNumId w:val="1"/>
  </w:num>
  <w:num w:numId="35">
    <w:abstractNumId w:val="7"/>
  </w:num>
  <w:num w:numId="36">
    <w:abstractNumId w:val="38"/>
  </w:num>
  <w:num w:numId="37">
    <w:abstractNumId w:val="19"/>
  </w:num>
  <w:num w:numId="38">
    <w:abstractNumId w:val="8"/>
  </w:num>
  <w:num w:numId="39">
    <w:abstractNumId w:val="15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964E5"/>
    <w:rsid w:val="00006EF7"/>
    <w:rsid w:val="00022C26"/>
    <w:rsid w:val="00024DA3"/>
    <w:rsid w:val="000305CB"/>
    <w:rsid w:val="00031ACC"/>
    <w:rsid w:val="00045402"/>
    <w:rsid w:val="00052AE9"/>
    <w:rsid w:val="00054E3B"/>
    <w:rsid w:val="000575E9"/>
    <w:rsid w:val="00066AB9"/>
    <w:rsid w:val="00082732"/>
    <w:rsid w:val="00085FB0"/>
    <w:rsid w:val="00091D4B"/>
    <w:rsid w:val="00094042"/>
    <w:rsid w:val="0009789E"/>
    <w:rsid w:val="000A1925"/>
    <w:rsid w:val="000A51AC"/>
    <w:rsid w:val="000B25CC"/>
    <w:rsid w:val="000B74F2"/>
    <w:rsid w:val="000C2100"/>
    <w:rsid w:val="000C6D34"/>
    <w:rsid w:val="000D1285"/>
    <w:rsid w:val="000E1F00"/>
    <w:rsid w:val="000E4803"/>
    <w:rsid w:val="000E54BA"/>
    <w:rsid w:val="000F1507"/>
    <w:rsid w:val="000F1BAF"/>
    <w:rsid w:val="000F672A"/>
    <w:rsid w:val="00111531"/>
    <w:rsid w:val="00136EE4"/>
    <w:rsid w:val="00150340"/>
    <w:rsid w:val="00152AE7"/>
    <w:rsid w:val="0015302F"/>
    <w:rsid w:val="00161E21"/>
    <w:rsid w:val="00167FFE"/>
    <w:rsid w:val="00170136"/>
    <w:rsid w:val="001721E6"/>
    <w:rsid w:val="00172534"/>
    <w:rsid w:val="00176153"/>
    <w:rsid w:val="001833CA"/>
    <w:rsid w:val="0018426F"/>
    <w:rsid w:val="00197344"/>
    <w:rsid w:val="001A029B"/>
    <w:rsid w:val="001B1B94"/>
    <w:rsid w:val="001B2169"/>
    <w:rsid w:val="001B4D29"/>
    <w:rsid w:val="001C0CA4"/>
    <w:rsid w:val="001D163D"/>
    <w:rsid w:val="001D4A90"/>
    <w:rsid w:val="001F02D5"/>
    <w:rsid w:val="001F077A"/>
    <w:rsid w:val="001F43E7"/>
    <w:rsid w:val="002119EF"/>
    <w:rsid w:val="00213422"/>
    <w:rsid w:val="00213A88"/>
    <w:rsid w:val="00213C56"/>
    <w:rsid w:val="002207D8"/>
    <w:rsid w:val="00220AFE"/>
    <w:rsid w:val="00263805"/>
    <w:rsid w:val="0027586B"/>
    <w:rsid w:val="0027702C"/>
    <w:rsid w:val="00293CB7"/>
    <w:rsid w:val="0029448D"/>
    <w:rsid w:val="00294B61"/>
    <w:rsid w:val="002A078B"/>
    <w:rsid w:val="002A4361"/>
    <w:rsid w:val="002A5CD8"/>
    <w:rsid w:val="002A5EA1"/>
    <w:rsid w:val="002B5449"/>
    <w:rsid w:val="002C3707"/>
    <w:rsid w:val="002F0584"/>
    <w:rsid w:val="002F58BE"/>
    <w:rsid w:val="003001BF"/>
    <w:rsid w:val="00303AE3"/>
    <w:rsid w:val="00306746"/>
    <w:rsid w:val="00307BFB"/>
    <w:rsid w:val="003265AB"/>
    <w:rsid w:val="00331960"/>
    <w:rsid w:val="003425F1"/>
    <w:rsid w:val="0034352E"/>
    <w:rsid w:val="00345F5D"/>
    <w:rsid w:val="00350C01"/>
    <w:rsid w:val="003547D3"/>
    <w:rsid w:val="003724AD"/>
    <w:rsid w:val="00382DC1"/>
    <w:rsid w:val="003839C8"/>
    <w:rsid w:val="00386748"/>
    <w:rsid w:val="00393773"/>
    <w:rsid w:val="00394914"/>
    <w:rsid w:val="003A4F52"/>
    <w:rsid w:val="003A6B7F"/>
    <w:rsid w:val="003C1126"/>
    <w:rsid w:val="003C3FEF"/>
    <w:rsid w:val="003D017D"/>
    <w:rsid w:val="003D4B0F"/>
    <w:rsid w:val="003D74A6"/>
    <w:rsid w:val="003D7DA8"/>
    <w:rsid w:val="003E6FE3"/>
    <w:rsid w:val="003F0244"/>
    <w:rsid w:val="003F3A57"/>
    <w:rsid w:val="003F5656"/>
    <w:rsid w:val="003F6B02"/>
    <w:rsid w:val="00402182"/>
    <w:rsid w:val="00403FFE"/>
    <w:rsid w:val="00415346"/>
    <w:rsid w:val="004266B2"/>
    <w:rsid w:val="004306B2"/>
    <w:rsid w:val="00432757"/>
    <w:rsid w:val="00432B2B"/>
    <w:rsid w:val="00433BA7"/>
    <w:rsid w:val="0044298A"/>
    <w:rsid w:val="00444E79"/>
    <w:rsid w:val="004530DB"/>
    <w:rsid w:val="004561ED"/>
    <w:rsid w:val="00457517"/>
    <w:rsid w:val="00460157"/>
    <w:rsid w:val="00471B00"/>
    <w:rsid w:val="00471CAE"/>
    <w:rsid w:val="0047623A"/>
    <w:rsid w:val="0048158B"/>
    <w:rsid w:val="004818AC"/>
    <w:rsid w:val="0048383C"/>
    <w:rsid w:val="00485BF6"/>
    <w:rsid w:val="00491181"/>
    <w:rsid w:val="004934CD"/>
    <w:rsid w:val="004938AD"/>
    <w:rsid w:val="004A47DF"/>
    <w:rsid w:val="004A4D91"/>
    <w:rsid w:val="004A74E4"/>
    <w:rsid w:val="004C0B9A"/>
    <w:rsid w:val="004D1BA8"/>
    <w:rsid w:val="004E1CE8"/>
    <w:rsid w:val="004E20F4"/>
    <w:rsid w:val="004E6A92"/>
    <w:rsid w:val="00505A59"/>
    <w:rsid w:val="00506791"/>
    <w:rsid w:val="005174D4"/>
    <w:rsid w:val="005312E6"/>
    <w:rsid w:val="00537057"/>
    <w:rsid w:val="0056037E"/>
    <w:rsid w:val="00562367"/>
    <w:rsid w:val="0056302B"/>
    <w:rsid w:val="00583DEC"/>
    <w:rsid w:val="00584387"/>
    <w:rsid w:val="005948E6"/>
    <w:rsid w:val="005961C0"/>
    <w:rsid w:val="005A374C"/>
    <w:rsid w:val="005B1E51"/>
    <w:rsid w:val="005B3895"/>
    <w:rsid w:val="005B45FF"/>
    <w:rsid w:val="005E17E6"/>
    <w:rsid w:val="005E64F6"/>
    <w:rsid w:val="005F0BF4"/>
    <w:rsid w:val="005F0CFB"/>
    <w:rsid w:val="005F4CA4"/>
    <w:rsid w:val="005F584C"/>
    <w:rsid w:val="005F5902"/>
    <w:rsid w:val="0060162E"/>
    <w:rsid w:val="00604A07"/>
    <w:rsid w:val="00605579"/>
    <w:rsid w:val="0061128D"/>
    <w:rsid w:val="00614B6C"/>
    <w:rsid w:val="00616871"/>
    <w:rsid w:val="00617D27"/>
    <w:rsid w:val="00617FDB"/>
    <w:rsid w:val="00620D64"/>
    <w:rsid w:val="00625AFE"/>
    <w:rsid w:val="006306FC"/>
    <w:rsid w:val="00637828"/>
    <w:rsid w:val="00657A22"/>
    <w:rsid w:val="006666CF"/>
    <w:rsid w:val="006707FE"/>
    <w:rsid w:val="00671852"/>
    <w:rsid w:val="00674E5A"/>
    <w:rsid w:val="0067767A"/>
    <w:rsid w:val="00683C59"/>
    <w:rsid w:val="006874ED"/>
    <w:rsid w:val="00692B8C"/>
    <w:rsid w:val="00695B04"/>
    <w:rsid w:val="00696060"/>
    <w:rsid w:val="006A0E38"/>
    <w:rsid w:val="006A63EB"/>
    <w:rsid w:val="006B4927"/>
    <w:rsid w:val="006C06A8"/>
    <w:rsid w:val="006C0724"/>
    <w:rsid w:val="006D2435"/>
    <w:rsid w:val="006D4443"/>
    <w:rsid w:val="006D4E02"/>
    <w:rsid w:val="006D7476"/>
    <w:rsid w:val="006E02D5"/>
    <w:rsid w:val="006E0FB1"/>
    <w:rsid w:val="006E49BF"/>
    <w:rsid w:val="006F4D10"/>
    <w:rsid w:val="00703F8B"/>
    <w:rsid w:val="00705057"/>
    <w:rsid w:val="0070705D"/>
    <w:rsid w:val="00711368"/>
    <w:rsid w:val="00712E58"/>
    <w:rsid w:val="00717145"/>
    <w:rsid w:val="007233FD"/>
    <w:rsid w:val="00725E00"/>
    <w:rsid w:val="00726E86"/>
    <w:rsid w:val="00732320"/>
    <w:rsid w:val="007333A6"/>
    <w:rsid w:val="00737F21"/>
    <w:rsid w:val="00744C71"/>
    <w:rsid w:val="007469C7"/>
    <w:rsid w:val="00747285"/>
    <w:rsid w:val="00750116"/>
    <w:rsid w:val="00753A23"/>
    <w:rsid w:val="00755D0E"/>
    <w:rsid w:val="00770E24"/>
    <w:rsid w:val="00771BAD"/>
    <w:rsid w:val="00776BF4"/>
    <w:rsid w:val="007877D4"/>
    <w:rsid w:val="0079071B"/>
    <w:rsid w:val="007A04C3"/>
    <w:rsid w:val="007A7880"/>
    <w:rsid w:val="007B58A7"/>
    <w:rsid w:val="007C2664"/>
    <w:rsid w:val="007C7BE6"/>
    <w:rsid w:val="007D5087"/>
    <w:rsid w:val="007D6821"/>
    <w:rsid w:val="00803A72"/>
    <w:rsid w:val="00806317"/>
    <w:rsid w:val="00811B2A"/>
    <w:rsid w:val="00812D11"/>
    <w:rsid w:val="008166B0"/>
    <w:rsid w:val="00824A3E"/>
    <w:rsid w:val="00834806"/>
    <w:rsid w:val="00834954"/>
    <w:rsid w:val="008359C3"/>
    <w:rsid w:val="008362C9"/>
    <w:rsid w:val="008401B4"/>
    <w:rsid w:val="00841FEE"/>
    <w:rsid w:val="00843700"/>
    <w:rsid w:val="0085191F"/>
    <w:rsid w:val="00854E14"/>
    <w:rsid w:val="00857C1A"/>
    <w:rsid w:val="00864749"/>
    <w:rsid w:val="00872B84"/>
    <w:rsid w:val="0087379D"/>
    <w:rsid w:val="0087419D"/>
    <w:rsid w:val="00885F15"/>
    <w:rsid w:val="00890AE5"/>
    <w:rsid w:val="00897BB0"/>
    <w:rsid w:val="008A5BFD"/>
    <w:rsid w:val="008A6461"/>
    <w:rsid w:val="008B2BB4"/>
    <w:rsid w:val="008B3175"/>
    <w:rsid w:val="008B4985"/>
    <w:rsid w:val="008C3906"/>
    <w:rsid w:val="008D1264"/>
    <w:rsid w:val="008D1C2B"/>
    <w:rsid w:val="008D48DB"/>
    <w:rsid w:val="008E0263"/>
    <w:rsid w:val="008E50A6"/>
    <w:rsid w:val="008E6944"/>
    <w:rsid w:val="008F03F8"/>
    <w:rsid w:val="008F18B8"/>
    <w:rsid w:val="008F6B9D"/>
    <w:rsid w:val="0090286C"/>
    <w:rsid w:val="00903AEF"/>
    <w:rsid w:val="00906B74"/>
    <w:rsid w:val="00910026"/>
    <w:rsid w:val="00917867"/>
    <w:rsid w:val="00921B18"/>
    <w:rsid w:val="0092249F"/>
    <w:rsid w:val="00922689"/>
    <w:rsid w:val="00923266"/>
    <w:rsid w:val="009257C4"/>
    <w:rsid w:val="0093083C"/>
    <w:rsid w:val="00944AF0"/>
    <w:rsid w:val="00955005"/>
    <w:rsid w:val="00965DF1"/>
    <w:rsid w:val="009700F9"/>
    <w:rsid w:val="00972396"/>
    <w:rsid w:val="0099178D"/>
    <w:rsid w:val="009946CF"/>
    <w:rsid w:val="00996140"/>
    <w:rsid w:val="009964E5"/>
    <w:rsid w:val="00997D4B"/>
    <w:rsid w:val="009A5FA7"/>
    <w:rsid w:val="009A6758"/>
    <w:rsid w:val="009B00BA"/>
    <w:rsid w:val="009C2566"/>
    <w:rsid w:val="009C2C53"/>
    <w:rsid w:val="009D16D5"/>
    <w:rsid w:val="009D5A49"/>
    <w:rsid w:val="009D61AF"/>
    <w:rsid w:val="009E2FDB"/>
    <w:rsid w:val="009E5BC3"/>
    <w:rsid w:val="009F2263"/>
    <w:rsid w:val="009F2DB6"/>
    <w:rsid w:val="009F4BD4"/>
    <w:rsid w:val="009F7628"/>
    <w:rsid w:val="00A0477B"/>
    <w:rsid w:val="00A05B4F"/>
    <w:rsid w:val="00A23BF5"/>
    <w:rsid w:val="00A24DCD"/>
    <w:rsid w:val="00A27CA2"/>
    <w:rsid w:val="00A4099F"/>
    <w:rsid w:val="00A41B27"/>
    <w:rsid w:val="00A53CE8"/>
    <w:rsid w:val="00A54282"/>
    <w:rsid w:val="00A76F97"/>
    <w:rsid w:val="00A80E58"/>
    <w:rsid w:val="00A81EE7"/>
    <w:rsid w:val="00A84CF5"/>
    <w:rsid w:val="00A850BD"/>
    <w:rsid w:val="00A8563C"/>
    <w:rsid w:val="00A87C55"/>
    <w:rsid w:val="00A910EA"/>
    <w:rsid w:val="00A916B2"/>
    <w:rsid w:val="00AA2F01"/>
    <w:rsid w:val="00AB40E6"/>
    <w:rsid w:val="00AB7BBA"/>
    <w:rsid w:val="00AC15BB"/>
    <w:rsid w:val="00AD64DE"/>
    <w:rsid w:val="00AE4A3E"/>
    <w:rsid w:val="00AF281E"/>
    <w:rsid w:val="00AF46AC"/>
    <w:rsid w:val="00B0053D"/>
    <w:rsid w:val="00B00BE8"/>
    <w:rsid w:val="00B06E02"/>
    <w:rsid w:val="00B07AE1"/>
    <w:rsid w:val="00B33569"/>
    <w:rsid w:val="00B46D03"/>
    <w:rsid w:val="00B5762A"/>
    <w:rsid w:val="00B634EC"/>
    <w:rsid w:val="00B6368B"/>
    <w:rsid w:val="00B8365F"/>
    <w:rsid w:val="00B84875"/>
    <w:rsid w:val="00B8537C"/>
    <w:rsid w:val="00B861D1"/>
    <w:rsid w:val="00B922F3"/>
    <w:rsid w:val="00B928B2"/>
    <w:rsid w:val="00BA2800"/>
    <w:rsid w:val="00BA48AD"/>
    <w:rsid w:val="00BB1948"/>
    <w:rsid w:val="00BB2CAC"/>
    <w:rsid w:val="00BB48E2"/>
    <w:rsid w:val="00BC253F"/>
    <w:rsid w:val="00BC2CC6"/>
    <w:rsid w:val="00BC4029"/>
    <w:rsid w:val="00BC50D2"/>
    <w:rsid w:val="00BD180D"/>
    <w:rsid w:val="00BD533C"/>
    <w:rsid w:val="00BD68B5"/>
    <w:rsid w:val="00BD6D8A"/>
    <w:rsid w:val="00BE3C24"/>
    <w:rsid w:val="00BF1721"/>
    <w:rsid w:val="00BF1A53"/>
    <w:rsid w:val="00C02AD9"/>
    <w:rsid w:val="00C13657"/>
    <w:rsid w:val="00C14724"/>
    <w:rsid w:val="00C222C0"/>
    <w:rsid w:val="00C24851"/>
    <w:rsid w:val="00C276F3"/>
    <w:rsid w:val="00C34706"/>
    <w:rsid w:val="00C4729A"/>
    <w:rsid w:val="00C5761E"/>
    <w:rsid w:val="00C5790F"/>
    <w:rsid w:val="00C60F69"/>
    <w:rsid w:val="00C61769"/>
    <w:rsid w:val="00C63EA0"/>
    <w:rsid w:val="00C704DD"/>
    <w:rsid w:val="00C7078B"/>
    <w:rsid w:val="00C7725D"/>
    <w:rsid w:val="00C80B85"/>
    <w:rsid w:val="00C81486"/>
    <w:rsid w:val="00C82949"/>
    <w:rsid w:val="00C9481E"/>
    <w:rsid w:val="00CC25D3"/>
    <w:rsid w:val="00CD733D"/>
    <w:rsid w:val="00CD78B3"/>
    <w:rsid w:val="00CE66BA"/>
    <w:rsid w:val="00CE713F"/>
    <w:rsid w:val="00D03B4E"/>
    <w:rsid w:val="00D0594D"/>
    <w:rsid w:val="00D26848"/>
    <w:rsid w:val="00D35D0D"/>
    <w:rsid w:val="00D44F55"/>
    <w:rsid w:val="00D5058A"/>
    <w:rsid w:val="00D57A8F"/>
    <w:rsid w:val="00D62A72"/>
    <w:rsid w:val="00D7127B"/>
    <w:rsid w:val="00D72979"/>
    <w:rsid w:val="00D72CBB"/>
    <w:rsid w:val="00D75577"/>
    <w:rsid w:val="00D81BEC"/>
    <w:rsid w:val="00D83820"/>
    <w:rsid w:val="00D9023D"/>
    <w:rsid w:val="00D903C2"/>
    <w:rsid w:val="00D93198"/>
    <w:rsid w:val="00D93EDA"/>
    <w:rsid w:val="00D94DCD"/>
    <w:rsid w:val="00DA2C32"/>
    <w:rsid w:val="00DB53D6"/>
    <w:rsid w:val="00DC0274"/>
    <w:rsid w:val="00DD1F1E"/>
    <w:rsid w:val="00DD339C"/>
    <w:rsid w:val="00DE3A6F"/>
    <w:rsid w:val="00DE41BA"/>
    <w:rsid w:val="00DF11C9"/>
    <w:rsid w:val="00DF2451"/>
    <w:rsid w:val="00DF78F9"/>
    <w:rsid w:val="00DF7EE7"/>
    <w:rsid w:val="00E06643"/>
    <w:rsid w:val="00E10591"/>
    <w:rsid w:val="00E14D6E"/>
    <w:rsid w:val="00E16BFB"/>
    <w:rsid w:val="00E16E0F"/>
    <w:rsid w:val="00E17510"/>
    <w:rsid w:val="00E318F6"/>
    <w:rsid w:val="00E46142"/>
    <w:rsid w:val="00E4626B"/>
    <w:rsid w:val="00E53EA6"/>
    <w:rsid w:val="00E55D04"/>
    <w:rsid w:val="00E56C73"/>
    <w:rsid w:val="00E61DA9"/>
    <w:rsid w:val="00E71D4C"/>
    <w:rsid w:val="00E72B24"/>
    <w:rsid w:val="00E84DDD"/>
    <w:rsid w:val="00E92BE6"/>
    <w:rsid w:val="00E9390A"/>
    <w:rsid w:val="00E94E5D"/>
    <w:rsid w:val="00E97DD4"/>
    <w:rsid w:val="00EA451D"/>
    <w:rsid w:val="00EA52BF"/>
    <w:rsid w:val="00EB1F21"/>
    <w:rsid w:val="00EB28CA"/>
    <w:rsid w:val="00EB7422"/>
    <w:rsid w:val="00EC4A16"/>
    <w:rsid w:val="00EC4E29"/>
    <w:rsid w:val="00ED03CF"/>
    <w:rsid w:val="00ED0B51"/>
    <w:rsid w:val="00F078FF"/>
    <w:rsid w:val="00F12513"/>
    <w:rsid w:val="00F1783C"/>
    <w:rsid w:val="00F20628"/>
    <w:rsid w:val="00F20DE4"/>
    <w:rsid w:val="00F30C48"/>
    <w:rsid w:val="00F31B9D"/>
    <w:rsid w:val="00F424FF"/>
    <w:rsid w:val="00F509A0"/>
    <w:rsid w:val="00F511BE"/>
    <w:rsid w:val="00F57A27"/>
    <w:rsid w:val="00F632CA"/>
    <w:rsid w:val="00F644BF"/>
    <w:rsid w:val="00F65FAB"/>
    <w:rsid w:val="00F70EC6"/>
    <w:rsid w:val="00F725A7"/>
    <w:rsid w:val="00F7262C"/>
    <w:rsid w:val="00F74C6C"/>
    <w:rsid w:val="00F756D3"/>
    <w:rsid w:val="00F96819"/>
    <w:rsid w:val="00FA1499"/>
    <w:rsid w:val="00FA425F"/>
    <w:rsid w:val="00FA4EE5"/>
    <w:rsid w:val="00FA5716"/>
    <w:rsid w:val="00FB433C"/>
    <w:rsid w:val="00FB4BBC"/>
    <w:rsid w:val="00FC308F"/>
    <w:rsid w:val="00FC43BC"/>
    <w:rsid w:val="00FD29E7"/>
    <w:rsid w:val="00FD5B8A"/>
    <w:rsid w:val="00FE1D58"/>
    <w:rsid w:val="00FF270E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E5"/>
  </w:style>
  <w:style w:type="paragraph" w:styleId="Footer">
    <w:name w:val="footer"/>
    <w:basedOn w:val="Normal"/>
    <w:link w:val="FooterChar"/>
    <w:uiPriority w:val="99"/>
    <w:unhideWhenUsed/>
    <w:rsid w:val="0099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E5"/>
  </w:style>
  <w:style w:type="paragraph" w:styleId="ListParagraph">
    <w:name w:val="List Paragraph"/>
    <w:aliases w:val="List Paragraph 1,Indent Paragraph"/>
    <w:basedOn w:val="Normal"/>
    <w:link w:val="ListParagraphChar"/>
    <w:qFormat/>
    <w:rsid w:val="00996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4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A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E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E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E38"/>
    <w:rPr>
      <w:b/>
      <w:bCs/>
    </w:rPr>
  </w:style>
  <w:style w:type="paragraph" w:styleId="BodyText">
    <w:name w:val="Body Text"/>
    <w:aliases w:val="Body Text Char Char"/>
    <w:basedOn w:val="Normal"/>
    <w:link w:val="BodyTextChar"/>
    <w:semiHidden/>
    <w:rsid w:val="00D72CBB"/>
    <w:pPr>
      <w:spacing w:before="130" w:after="130" w:line="260" w:lineRule="atLeast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aliases w:val="Body Text Char Char Char"/>
    <w:link w:val="BodyText"/>
    <w:semiHidden/>
    <w:rsid w:val="00D72CBB"/>
    <w:rPr>
      <w:rFonts w:ascii="Arial" w:eastAsia="Times New Roman" w:hAnsi="Arial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AE4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Default">
    <w:name w:val="Default"/>
    <w:rsid w:val="009D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ZA" w:eastAsia="en-Z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7628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9F7628"/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8B2BB4"/>
    <w:pPr>
      <w:spacing w:after="0" w:line="240" w:lineRule="auto"/>
    </w:pPr>
    <w:rPr>
      <w:rFonts w:ascii="Arial" w:hAnsi="Arial" w:cs="Arial"/>
      <w:color w:val="00338D"/>
      <w:sz w:val="30"/>
      <w:szCs w:val="30"/>
    </w:rPr>
  </w:style>
  <w:style w:type="paragraph" w:customStyle="1" w:styleId="p2">
    <w:name w:val="p2"/>
    <w:basedOn w:val="Normal"/>
    <w:rsid w:val="008B2BB4"/>
    <w:pPr>
      <w:spacing w:after="0" w:line="240" w:lineRule="auto"/>
    </w:pPr>
    <w:rPr>
      <w:rFonts w:ascii="Arial" w:hAnsi="Arial" w:cs="Arial"/>
      <w:color w:val="323333"/>
      <w:sz w:val="21"/>
      <w:szCs w:val="21"/>
    </w:rPr>
  </w:style>
  <w:style w:type="character" w:customStyle="1" w:styleId="s1">
    <w:name w:val="s1"/>
    <w:rsid w:val="008B2BB4"/>
  </w:style>
  <w:style w:type="character" w:customStyle="1" w:styleId="ListParagraphChar">
    <w:name w:val="List Paragraph Char"/>
    <w:aliases w:val="List Paragraph 1 Char,Indent Paragraph Char"/>
    <w:link w:val="ListParagraph"/>
    <w:locked/>
    <w:rsid w:val="00712E5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E5"/>
  </w:style>
  <w:style w:type="paragraph" w:styleId="Footer">
    <w:name w:val="footer"/>
    <w:basedOn w:val="Normal"/>
    <w:link w:val="FooterChar"/>
    <w:uiPriority w:val="99"/>
    <w:unhideWhenUsed/>
    <w:rsid w:val="0099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E5"/>
  </w:style>
  <w:style w:type="paragraph" w:styleId="ListParagraph">
    <w:name w:val="List Paragraph"/>
    <w:aliases w:val="List Paragraph 1,Indent Paragraph"/>
    <w:basedOn w:val="Normal"/>
    <w:link w:val="ListParagraphChar"/>
    <w:qFormat/>
    <w:rsid w:val="00996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4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A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E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E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E38"/>
    <w:rPr>
      <w:b/>
      <w:bCs/>
    </w:rPr>
  </w:style>
  <w:style w:type="paragraph" w:styleId="BodyText">
    <w:name w:val="Body Text"/>
    <w:aliases w:val="Body Text Char Char"/>
    <w:basedOn w:val="Normal"/>
    <w:link w:val="BodyTextChar"/>
    <w:semiHidden/>
    <w:rsid w:val="00D72CBB"/>
    <w:pPr>
      <w:spacing w:before="130" w:after="130" w:line="260" w:lineRule="atLeast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aliases w:val="Body Text Char Char Char"/>
    <w:link w:val="BodyText"/>
    <w:semiHidden/>
    <w:rsid w:val="00D72CBB"/>
    <w:rPr>
      <w:rFonts w:ascii="Arial" w:eastAsia="Times New Roman" w:hAnsi="Arial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AE4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Default">
    <w:name w:val="Default"/>
    <w:rsid w:val="009D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ZA" w:eastAsia="en-Z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7628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9F7628"/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8B2BB4"/>
    <w:pPr>
      <w:spacing w:after="0" w:line="240" w:lineRule="auto"/>
    </w:pPr>
    <w:rPr>
      <w:rFonts w:ascii="Arial" w:hAnsi="Arial" w:cs="Arial"/>
      <w:color w:val="00338D"/>
      <w:sz w:val="30"/>
      <w:szCs w:val="30"/>
    </w:rPr>
  </w:style>
  <w:style w:type="paragraph" w:customStyle="1" w:styleId="p2">
    <w:name w:val="p2"/>
    <w:basedOn w:val="Normal"/>
    <w:rsid w:val="008B2BB4"/>
    <w:pPr>
      <w:spacing w:after="0" w:line="240" w:lineRule="auto"/>
    </w:pPr>
    <w:rPr>
      <w:rFonts w:ascii="Arial" w:hAnsi="Arial" w:cs="Arial"/>
      <w:color w:val="323333"/>
      <w:sz w:val="21"/>
      <w:szCs w:val="21"/>
    </w:rPr>
  </w:style>
  <w:style w:type="character" w:customStyle="1" w:styleId="s1">
    <w:name w:val="s1"/>
    <w:rsid w:val="008B2BB4"/>
  </w:style>
  <w:style w:type="character" w:customStyle="1" w:styleId="ListParagraphChar">
    <w:name w:val="List Paragraph Char"/>
    <w:aliases w:val="List Paragraph 1 Char,Indent Paragraph Char"/>
    <w:link w:val="ListParagraph"/>
    <w:locked/>
    <w:rsid w:val="00712E5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B347-4469-4D41-9986-DDF429CF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Kingwill</dc:creator>
  <cp:lastModifiedBy>PUMZA</cp:lastModifiedBy>
  <cp:revision>2</cp:revision>
  <cp:lastPrinted>2015-10-19T17:59:00Z</cp:lastPrinted>
  <dcterms:created xsi:type="dcterms:W3CDTF">2018-04-20T11:08:00Z</dcterms:created>
  <dcterms:modified xsi:type="dcterms:W3CDTF">2018-04-20T11:08:00Z</dcterms:modified>
</cp:coreProperties>
</file>