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135" w:rsidRDefault="00893035" w:rsidP="00893035">
      <w:pPr>
        <w:jc w:val="right"/>
      </w:pPr>
      <w:bookmarkStart w:id="0" w:name="_GoBack"/>
      <w:bookmarkEnd w:id="0"/>
      <w:r w:rsidRPr="003D06E0">
        <w:rPr>
          <w:rFonts w:cs="Arial"/>
          <w:noProof/>
          <w:sz w:val="18"/>
          <w:szCs w:val="18"/>
          <w:lang w:eastAsia="en-ZA"/>
        </w:rPr>
        <w:drawing>
          <wp:inline distT="0" distB="0" distL="0" distR="0">
            <wp:extent cx="6435018" cy="613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9045" cy="615607"/>
                    </a:xfrm>
                    <a:prstGeom prst="rect">
                      <a:avLst/>
                    </a:prstGeom>
                    <a:noFill/>
                    <a:ln>
                      <a:noFill/>
                    </a:ln>
                  </pic:spPr>
                </pic:pic>
              </a:graphicData>
            </a:graphic>
          </wp:inline>
        </w:drawing>
      </w:r>
    </w:p>
    <w:p w:rsidR="00893035" w:rsidRPr="00893035" w:rsidRDefault="00DE6B46" w:rsidP="00893035">
      <w:pPr>
        <w:spacing w:after="0" w:line="240" w:lineRule="auto"/>
        <w:contextualSpacing/>
        <w:jc w:val="center"/>
        <w:rPr>
          <w:rFonts w:ascii="Arial" w:eastAsia="Times New Roman" w:hAnsi="Arial" w:cs="Arial"/>
          <w:b/>
          <w:color w:val="002060"/>
          <w:sz w:val="32"/>
          <w:szCs w:val="32"/>
          <w:lang w:val="en-US"/>
        </w:rPr>
      </w:pPr>
      <w:r>
        <w:rPr>
          <w:rFonts w:ascii="Arial" w:eastAsia="Times New Roman" w:hAnsi="Arial" w:cs="Arial"/>
          <w:b/>
          <w:color w:val="002060"/>
          <w:sz w:val="32"/>
          <w:szCs w:val="32"/>
          <w:lang w:val="en-US"/>
        </w:rPr>
        <w:t>Public Works</w:t>
      </w:r>
    </w:p>
    <w:p w:rsidR="00893035" w:rsidRPr="00893035" w:rsidRDefault="00893035" w:rsidP="00893035">
      <w:pPr>
        <w:spacing w:after="0" w:line="240" w:lineRule="auto"/>
        <w:contextualSpacing/>
        <w:jc w:val="center"/>
        <w:rPr>
          <w:rFonts w:ascii="Arial" w:eastAsia="Times New Roman" w:hAnsi="Arial" w:cs="Arial"/>
          <w:b/>
          <w:color w:val="002060"/>
          <w:sz w:val="32"/>
          <w:szCs w:val="32"/>
          <w:lang w:val="en-US"/>
        </w:rPr>
      </w:pPr>
      <w:r>
        <w:rPr>
          <w:rFonts w:ascii="Arial" w:eastAsia="Times New Roman" w:hAnsi="Arial" w:cs="Arial"/>
          <w:b/>
          <w:color w:val="002060"/>
          <w:sz w:val="32"/>
          <w:szCs w:val="32"/>
          <w:lang w:val="en-US"/>
        </w:rPr>
        <w:t>Quarterly b</w:t>
      </w:r>
      <w:r w:rsidRPr="00893035">
        <w:rPr>
          <w:rFonts w:ascii="Arial" w:eastAsia="Times New Roman" w:hAnsi="Arial" w:cs="Arial"/>
          <w:b/>
          <w:color w:val="002060"/>
          <w:sz w:val="32"/>
          <w:szCs w:val="32"/>
          <w:lang w:val="en-US"/>
        </w:rPr>
        <w:t>riefing document</w:t>
      </w:r>
      <w:r>
        <w:rPr>
          <w:rFonts w:ascii="Arial" w:eastAsia="Times New Roman" w:hAnsi="Arial" w:cs="Arial"/>
          <w:b/>
          <w:color w:val="002060"/>
          <w:sz w:val="32"/>
          <w:szCs w:val="32"/>
          <w:lang w:val="en-US"/>
        </w:rPr>
        <w:t xml:space="preserve">: </w:t>
      </w:r>
      <w:r>
        <w:rPr>
          <w:rFonts w:ascii="Arial" w:eastAsia="Times New Roman" w:hAnsi="Arial" w:cs="Arial"/>
          <w:b/>
          <w:color w:val="002060"/>
          <w:sz w:val="32"/>
          <w:szCs w:val="32"/>
          <w:lang w:val="en-US"/>
        </w:rPr>
        <w:br/>
        <w:t>3</w:t>
      </w:r>
      <w:r w:rsidRPr="00893035">
        <w:rPr>
          <w:rFonts w:ascii="Arial" w:eastAsia="Times New Roman" w:hAnsi="Arial" w:cs="Arial"/>
          <w:b/>
          <w:color w:val="002060"/>
          <w:sz w:val="32"/>
          <w:szCs w:val="32"/>
          <w:vertAlign w:val="superscript"/>
          <w:lang w:val="en-US"/>
        </w:rPr>
        <w:t>rd</w:t>
      </w:r>
      <w:r>
        <w:rPr>
          <w:rFonts w:ascii="Arial" w:eastAsia="Times New Roman" w:hAnsi="Arial" w:cs="Arial"/>
          <w:b/>
          <w:color w:val="002060"/>
          <w:sz w:val="32"/>
          <w:szCs w:val="32"/>
          <w:lang w:val="en-US"/>
        </w:rPr>
        <w:t xml:space="preserve"> Quarter ended 31 December </w:t>
      </w:r>
      <w:r w:rsidR="007C1B01">
        <w:rPr>
          <w:rFonts w:ascii="Arial" w:eastAsia="Times New Roman" w:hAnsi="Arial" w:cs="Arial"/>
          <w:b/>
          <w:color w:val="002060"/>
          <w:sz w:val="32"/>
          <w:szCs w:val="32"/>
          <w:lang w:val="en-US"/>
        </w:rPr>
        <w:t>2017</w:t>
      </w:r>
    </w:p>
    <w:p w:rsidR="00893035" w:rsidRDefault="00893035" w:rsidP="00893035">
      <w:pPr>
        <w:spacing w:after="0" w:line="240" w:lineRule="auto"/>
        <w:contextualSpacing/>
        <w:jc w:val="center"/>
        <w:rPr>
          <w:rFonts w:ascii="Arial" w:eastAsia="Times New Roman" w:hAnsi="Arial" w:cs="Arial"/>
          <w:b/>
          <w:color w:val="002060"/>
          <w:sz w:val="32"/>
          <w:szCs w:val="32"/>
          <w:lang w:val="en-US"/>
        </w:rPr>
      </w:pPr>
    </w:p>
    <w:p w:rsidR="00893035" w:rsidRDefault="00893035" w:rsidP="00893035">
      <w:pPr>
        <w:spacing w:after="0" w:line="240" w:lineRule="auto"/>
        <w:contextualSpacing/>
        <w:jc w:val="center"/>
        <w:rPr>
          <w:rFonts w:ascii="Arial" w:eastAsia="Times New Roman" w:hAnsi="Arial" w:cs="Arial"/>
          <w:b/>
          <w:color w:val="002060"/>
          <w:sz w:val="32"/>
          <w:szCs w:val="32"/>
          <w:lang w:val="en-US"/>
        </w:rPr>
      </w:pPr>
    </w:p>
    <w:p w:rsidR="00857969" w:rsidRDefault="00857969" w:rsidP="00893035">
      <w:pPr>
        <w:spacing w:after="0" w:line="240" w:lineRule="auto"/>
        <w:contextualSpacing/>
        <w:jc w:val="center"/>
        <w:rPr>
          <w:rFonts w:ascii="Arial" w:eastAsia="Times New Roman" w:hAnsi="Arial" w:cs="Arial"/>
          <w:b/>
          <w:color w:val="002060"/>
          <w:sz w:val="32"/>
          <w:szCs w:val="32"/>
          <w:lang w:val="en-US"/>
        </w:rPr>
      </w:pPr>
    </w:p>
    <w:p w:rsidR="00857969" w:rsidRDefault="00857969" w:rsidP="00893035">
      <w:pPr>
        <w:spacing w:after="0" w:line="240" w:lineRule="auto"/>
        <w:contextualSpacing/>
        <w:jc w:val="center"/>
        <w:rPr>
          <w:rFonts w:ascii="Arial" w:eastAsia="Times New Roman" w:hAnsi="Arial" w:cs="Arial"/>
          <w:b/>
          <w:color w:val="002060"/>
          <w:sz w:val="32"/>
          <w:szCs w:val="32"/>
          <w:lang w:val="en-US"/>
        </w:rPr>
      </w:pPr>
    </w:p>
    <w:p w:rsidR="00857969" w:rsidRDefault="00857969" w:rsidP="00893035">
      <w:pPr>
        <w:spacing w:after="0" w:line="240" w:lineRule="auto"/>
        <w:contextualSpacing/>
        <w:jc w:val="center"/>
        <w:rPr>
          <w:rFonts w:ascii="Arial" w:eastAsia="Times New Roman" w:hAnsi="Arial" w:cs="Arial"/>
          <w:b/>
          <w:color w:val="002060"/>
          <w:sz w:val="32"/>
          <w:szCs w:val="32"/>
          <w:lang w:val="en-US"/>
        </w:rPr>
      </w:pPr>
    </w:p>
    <w:p w:rsidR="00857969" w:rsidRPr="00893035" w:rsidRDefault="00857969" w:rsidP="00893035">
      <w:pPr>
        <w:spacing w:after="0" w:line="240" w:lineRule="auto"/>
        <w:contextualSpacing/>
        <w:jc w:val="center"/>
        <w:rPr>
          <w:rFonts w:ascii="Arial" w:eastAsia="Times New Roman" w:hAnsi="Arial" w:cs="Arial"/>
          <w:b/>
          <w:color w:val="002060"/>
          <w:sz w:val="32"/>
          <w:szCs w:val="32"/>
          <w:lang w:val="en-US"/>
        </w:rPr>
      </w:pPr>
    </w:p>
    <w:p w:rsidR="00893035" w:rsidRPr="00893035" w:rsidRDefault="00893035" w:rsidP="00893035">
      <w:pPr>
        <w:jc w:val="center"/>
        <w:rPr>
          <w:rFonts w:ascii="Arial" w:hAnsi="Arial" w:cs="Arial"/>
          <w:color w:val="002060"/>
          <w:sz w:val="28"/>
          <w:szCs w:val="28"/>
        </w:rPr>
      </w:pPr>
      <w:r w:rsidRPr="00893035">
        <w:rPr>
          <w:rFonts w:ascii="Arial" w:hAnsi="Arial" w:cs="Arial"/>
          <w:b/>
          <w:color w:val="002060"/>
          <w:sz w:val="28"/>
          <w:szCs w:val="28"/>
        </w:rPr>
        <w:t>Reputation promise of the Auditor General of South Africa</w:t>
      </w:r>
    </w:p>
    <w:p w:rsidR="00893035" w:rsidRPr="00893035" w:rsidRDefault="00857969" w:rsidP="00893035">
      <w:pPr>
        <w:contextualSpacing/>
        <w:jc w:val="center"/>
        <w:rPr>
          <w:rFonts w:ascii="Arial" w:hAnsi="Arial" w:cs="Arial"/>
          <w:color w:val="002060"/>
          <w:sz w:val="28"/>
          <w:szCs w:val="28"/>
        </w:rPr>
      </w:pPr>
      <w:r>
        <w:rPr>
          <w:rFonts w:ascii="Arial" w:hAnsi="Arial" w:cs="Arial"/>
          <w:color w:val="002060"/>
          <w:sz w:val="28"/>
          <w:szCs w:val="28"/>
        </w:rPr>
        <w:t>“</w:t>
      </w:r>
      <w:r w:rsidR="00893035" w:rsidRPr="00893035">
        <w:rPr>
          <w:rFonts w:ascii="Arial" w:hAnsi="Arial" w:cs="Arial"/>
          <w:color w:val="002060"/>
          <w:sz w:val="28"/>
          <w:szCs w:val="28"/>
        </w:rPr>
        <w:t xml:space="preserve">The Auditor-General </w:t>
      </w:r>
      <w:r w:rsidR="00893035" w:rsidRPr="00893035">
        <w:rPr>
          <w:rFonts w:ascii="Arial" w:hAnsi="Arial" w:cs="Arial"/>
          <w:b/>
          <w:color w:val="002060"/>
          <w:sz w:val="28"/>
          <w:szCs w:val="28"/>
        </w:rPr>
        <w:t>has a constitutional mandate</w:t>
      </w:r>
      <w:r w:rsidR="00893035" w:rsidRPr="00893035">
        <w:rPr>
          <w:rFonts w:ascii="Arial" w:hAnsi="Arial" w:cs="Arial"/>
          <w:color w:val="002060"/>
          <w:sz w:val="28"/>
          <w:szCs w:val="28"/>
        </w:rPr>
        <w:t xml:space="preserve"> and, as the </w:t>
      </w:r>
      <w:r w:rsidR="00893035" w:rsidRPr="00893035">
        <w:rPr>
          <w:rFonts w:ascii="Arial" w:hAnsi="Arial" w:cs="Arial"/>
          <w:b/>
          <w:color w:val="002060"/>
          <w:sz w:val="28"/>
          <w:szCs w:val="28"/>
        </w:rPr>
        <w:t>Supreme Audit Institution</w:t>
      </w:r>
      <w:r w:rsidR="00893035" w:rsidRPr="00893035">
        <w:rPr>
          <w:rFonts w:ascii="Arial" w:hAnsi="Arial" w:cs="Arial"/>
          <w:color w:val="002060"/>
          <w:sz w:val="28"/>
          <w:szCs w:val="28"/>
        </w:rPr>
        <w:t xml:space="preserve"> (SAI) of South Africa, it </w:t>
      </w:r>
      <w:r w:rsidR="00893035" w:rsidRPr="00893035">
        <w:rPr>
          <w:rFonts w:ascii="Arial" w:hAnsi="Arial" w:cs="Arial"/>
          <w:b/>
          <w:color w:val="002060"/>
          <w:sz w:val="28"/>
          <w:szCs w:val="28"/>
        </w:rPr>
        <w:t>exists to strengthen our country’s democracy</w:t>
      </w:r>
      <w:r w:rsidR="00893035" w:rsidRPr="00893035">
        <w:rPr>
          <w:rFonts w:ascii="Arial" w:hAnsi="Arial" w:cs="Arial"/>
          <w:color w:val="002060"/>
          <w:sz w:val="28"/>
          <w:szCs w:val="28"/>
        </w:rPr>
        <w:t xml:space="preserve"> by </w:t>
      </w:r>
      <w:r w:rsidR="00893035" w:rsidRPr="00893035">
        <w:rPr>
          <w:rFonts w:ascii="Arial" w:hAnsi="Arial" w:cs="Arial"/>
          <w:b/>
          <w:color w:val="002060"/>
          <w:sz w:val="28"/>
          <w:szCs w:val="28"/>
        </w:rPr>
        <w:t>enabling oversight, accountability and governance</w:t>
      </w:r>
      <w:r w:rsidR="00893035" w:rsidRPr="00893035">
        <w:rPr>
          <w:rFonts w:ascii="Arial" w:hAnsi="Arial" w:cs="Arial"/>
          <w:color w:val="002060"/>
          <w:sz w:val="28"/>
          <w:szCs w:val="28"/>
        </w:rPr>
        <w:t xml:space="preserve"> in the public sector through auditing, </w:t>
      </w:r>
      <w:r w:rsidR="00893035" w:rsidRPr="00893035">
        <w:rPr>
          <w:rFonts w:ascii="Arial" w:hAnsi="Arial" w:cs="Arial"/>
          <w:b/>
          <w:color w:val="002060"/>
          <w:sz w:val="28"/>
          <w:szCs w:val="28"/>
        </w:rPr>
        <w:t>thereby building public confidence.</w:t>
      </w:r>
      <w:r>
        <w:rPr>
          <w:rFonts w:ascii="Arial" w:hAnsi="Arial" w:cs="Arial"/>
          <w:b/>
          <w:color w:val="002060"/>
          <w:sz w:val="28"/>
          <w:szCs w:val="28"/>
        </w:rPr>
        <w:t>”</w:t>
      </w:r>
    </w:p>
    <w:p w:rsidR="00893035" w:rsidRDefault="00893035">
      <w:pPr>
        <w:rPr>
          <w:rFonts w:ascii="Arial" w:hAnsi="Arial" w:cs="Arial"/>
          <w:color w:val="002060"/>
          <w:sz w:val="20"/>
          <w:szCs w:val="20"/>
        </w:rPr>
      </w:pPr>
    </w:p>
    <w:p w:rsidR="00857969" w:rsidRDefault="00857969">
      <w:pPr>
        <w:rPr>
          <w:rFonts w:ascii="Arial" w:hAnsi="Arial" w:cs="Arial"/>
          <w:color w:val="002060"/>
          <w:sz w:val="20"/>
          <w:szCs w:val="20"/>
        </w:rPr>
      </w:pPr>
    </w:p>
    <w:p w:rsidR="00857969" w:rsidRDefault="00857969">
      <w:pPr>
        <w:rPr>
          <w:rFonts w:ascii="Arial" w:hAnsi="Arial" w:cs="Arial"/>
          <w:color w:val="002060"/>
          <w:sz w:val="20"/>
          <w:szCs w:val="20"/>
        </w:rPr>
      </w:pPr>
    </w:p>
    <w:p w:rsidR="00857969" w:rsidRPr="00893035" w:rsidRDefault="00857969">
      <w:pPr>
        <w:rPr>
          <w:rFonts w:ascii="Arial" w:hAnsi="Arial" w:cs="Arial"/>
          <w:color w:val="002060"/>
          <w:sz w:val="20"/>
          <w:szCs w:val="20"/>
        </w:rPr>
      </w:pPr>
    </w:p>
    <w:tbl>
      <w:tblPr>
        <w:tblStyle w:val="TableGrid"/>
        <w:tblW w:w="3473" w:type="pct"/>
        <w:jc w:val="center"/>
        <w:tblLook w:val="04A0"/>
      </w:tblPr>
      <w:tblGrid>
        <w:gridCol w:w="868"/>
        <w:gridCol w:w="5494"/>
        <w:gridCol w:w="877"/>
      </w:tblGrid>
      <w:tr w:rsidR="00893035" w:rsidRPr="00893035" w:rsidTr="004D7905">
        <w:trPr>
          <w:trHeight w:val="118"/>
          <w:jc w:val="center"/>
        </w:trPr>
        <w:tc>
          <w:tcPr>
            <w:tcW w:w="600" w:type="pct"/>
            <w:tcBorders>
              <w:bottom w:val="single" w:sz="4" w:space="0" w:color="auto"/>
            </w:tcBorders>
            <w:shd w:val="clear" w:color="auto" w:fill="DBE5F1" w:themeFill="accent1" w:themeFillTint="33"/>
          </w:tcPr>
          <w:p w:rsidR="00893035" w:rsidRPr="00893035" w:rsidRDefault="00893035" w:rsidP="00CD0A9C">
            <w:pPr>
              <w:contextualSpacing/>
              <w:jc w:val="center"/>
              <w:rPr>
                <w:rFonts w:ascii="Arial" w:eastAsia="Times New Roman" w:hAnsi="Arial" w:cs="Arial"/>
                <w:b/>
                <w:color w:val="000000" w:themeColor="text1"/>
                <w:sz w:val="18"/>
                <w:szCs w:val="18"/>
                <w:lang w:val="en-US"/>
              </w:rPr>
            </w:pPr>
            <w:r w:rsidRPr="00893035">
              <w:rPr>
                <w:rFonts w:ascii="Arial" w:eastAsia="Times New Roman" w:hAnsi="Arial" w:cs="Arial"/>
                <w:b/>
                <w:color w:val="000000" w:themeColor="text1"/>
                <w:sz w:val="18"/>
                <w:szCs w:val="18"/>
                <w:lang w:val="en-US"/>
              </w:rPr>
              <w:t>Section</w:t>
            </w:r>
          </w:p>
        </w:tc>
        <w:tc>
          <w:tcPr>
            <w:tcW w:w="3795" w:type="pct"/>
            <w:tcBorders>
              <w:bottom w:val="single" w:sz="4" w:space="0" w:color="auto"/>
            </w:tcBorders>
            <w:shd w:val="clear" w:color="auto" w:fill="DBE5F1" w:themeFill="accent1" w:themeFillTint="33"/>
          </w:tcPr>
          <w:p w:rsidR="00893035" w:rsidRPr="00893035" w:rsidRDefault="00893035" w:rsidP="00CD0A9C">
            <w:pPr>
              <w:contextualSpacing/>
              <w:jc w:val="center"/>
              <w:rPr>
                <w:rFonts w:ascii="Arial" w:eastAsia="Times New Roman" w:hAnsi="Arial" w:cs="Arial"/>
                <w:b/>
                <w:color w:val="000000" w:themeColor="text1"/>
                <w:sz w:val="18"/>
                <w:szCs w:val="18"/>
                <w:lang w:val="en-US"/>
              </w:rPr>
            </w:pPr>
            <w:r>
              <w:rPr>
                <w:rFonts w:ascii="Arial" w:eastAsia="Times New Roman" w:hAnsi="Arial" w:cs="Arial"/>
                <w:b/>
                <w:color w:val="000000" w:themeColor="text1"/>
                <w:sz w:val="18"/>
                <w:szCs w:val="18"/>
                <w:lang w:val="en-US"/>
              </w:rPr>
              <w:t>Index/Content</w:t>
            </w:r>
          </w:p>
        </w:tc>
        <w:tc>
          <w:tcPr>
            <w:tcW w:w="606" w:type="pct"/>
            <w:tcBorders>
              <w:bottom w:val="single" w:sz="4" w:space="0" w:color="auto"/>
            </w:tcBorders>
            <w:shd w:val="clear" w:color="auto" w:fill="DBE5F1" w:themeFill="accent1" w:themeFillTint="33"/>
          </w:tcPr>
          <w:p w:rsidR="00893035" w:rsidRPr="00893035" w:rsidRDefault="00893035" w:rsidP="00CD0A9C">
            <w:pPr>
              <w:contextualSpacing/>
              <w:jc w:val="center"/>
              <w:rPr>
                <w:rFonts w:ascii="Arial" w:eastAsia="Times New Roman" w:hAnsi="Arial" w:cs="Arial"/>
                <w:b/>
                <w:color w:val="000000" w:themeColor="text1"/>
                <w:sz w:val="18"/>
                <w:szCs w:val="18"/>
                <w:lang w:val="en-US"/>
              </w:rPr>
            </w:pPr>
            <w:r w:rsidRPr="00893035">
              <w:rPr>
                <w:rFonts w:ascii="Arial" w:eastAsia="Times New Roman" w:hAnsi="Arial" w:cs="Arial"/>
                <w:b/>
                <w:color w:val="000000" w:themeColor="text1"/>
                <w:sz w:val="18"/>
                <w:szCs w:val="18"/>
                <w:lang w:val="en-US"/>
              </w:rPr>
              <w:t>Page number</w:t>
            </w:r>
          </w:p>
        </w:tc>
      </w:tr>
      <w:tr w:rsidR="00893035" w:rsidRPr="00893035" w:rsidTr="004D7905">
        <w:trPr>
          <w:jc w:val="center"/>
        </w:trPr>
        <w:tc>
          <w:tcPr>
            <w:tcW w:w="600" w:type="pct"/>
            <w:shd w:val="clear" w:color="auto" w:fill="F2F2F2" w:themeFill="background1" w:themeFillShade="F2"/>
          </w:tcPr>
          <w:p w:rsidR="00893035" w:rsidRPr="00893035" w:rsidRDefault="00893035" w:rsidP="00CD0A9C">
            <w:pPr>
              <w:jc w:val="center"/>
              <w:rPr>
                <w:rFonts w:ascii="Arial" w:eastAsia="Times New Roman" w:hAnsi="Arial" w:cs="Arial"/>
                <w:color w:val="000000" w:themeColor="text1"/>
                <w:sz w:val="18"/>
                <w:szCs w:val="18"/>
                <w:lang w:val="en-US"/>
              </w:rPr>
            </w:pPr>
            <w:r w:rsidRPr="00893035">
              <w:rPr>
                <w:rFonts w:ascii="Arial" w:eastAsia="Times New Roman" w:hAnsi="Arial" w:cs="Arial"/>
                <w:color w:val="000000" w:themeColor="text1"/>
                <w:sz w:val="18"/>
                <w:szCs w:val="18"/>
                <w:lang w:val="en-US"/>
              </w:rPr>
              <w:t>1</w:t>
            </w:r>
          </w:p>
        </w:tc>
        <w:tc>
          <w:tcPr>
            <w:tcW w:w="3795" w:type="pct"/>
            <w:shd w:val="clear" w:color="auto" w:fill="F2F2F2" w:themeFill="background1" w:themeFillShade="F2"/>
          </w:tcPr>
          <w:p w:rsidR="00893035" w:rsidRPr="00893035" w:rsidRDefault="00893035" w:rsidP="00CD0A9C">
            <w:pPr>
              <w:contextualSpacing/>
              <w:rPr>
                <w:rFonts w:ascii="Arial" w:eastAsia="Times New Roman" w:hAnsi="Arial" w:cs="Arial"/>
                <w:color w:val="000000" w:themeColor="text1"/>
                <w:sz w:val="18"/>
                <w:szCs w:val="18"/>
                <w:lang w:val="en-US"/>
              </w:rPr>
            </w:pPr>
            <w:r w:rsidRPr="00893035">
              <w:rPr>
                <w:rFonts w:ascii="Arial" w:eastAsia="Times New Roman" w:hAnsi="Arial" w:cs="Arial"/>
                <w:color w:val="000000" w:themeColor="text1"/>
                <w:sz w:val="18"/>
                <w:szCs w:val="18"/>
                <w:lang w:val="en-US"/>
              </w:rPr>
              <w:t>Role of the Auditor-General of South Africa</w:t>
            </w:r>
          </w:p>
        </w:tc>
        <w:tc>
          <w:tcPr>
            <w:tcW w:w="606" w:type="pct"/>
            <w:shd w:val="clear" w:color="auto" w:fill="F2F2F2" w:themeFill="background1" w:themeFillShade="F2"/>
          </w:tcPr>
          <w:p w:rsidR="00893035" w:rsidRPr="0079155A" w:rsidRDefault="00893035" w:rsidP="00CD0A9C">
            <w:pPr>
              <w:jc w:val="center"/>
              <w:rPr>
                <w:rFonts w:ascii="Arial" w:hAnsi="Arial" w:cs="Arial"/>
                <w:sz w:val="18"/>
                <w:szCs w:val="18"/>
              </w:rPr>
            </w:pPr>
            <w:r w:rsidRPr="0079155A">
              <w:rPr>
                <w:rFonts w:ascii="Arial" w:hAnsi="Arial" w:cs="Arial"/>
                <w:sz w:val="18"/>
                <w:szCs w:val="18"/>
              </w:rPr>
              <w:t>2</w:t>
            </w:r>
          </w:p>
        </w:tc>
      </w:tr>
      <w:tr w:rsidR="00893035" w:rsidRPr="00893035" w:rsidTr="004D7905">
        <w:trPr>
          <w:jc w:val="center"/>
        </w:trPr>
        <w:tc>
          <w:tcPr>
            <w:tcW w:w="600" w:type="pct"/>
            <w:shd w:val="clear" w:color="auto" w:fill="F2F2F2" w:themeFill="background1" w:themeFillShade="F2"/>
          </w:tcPr>
          <w:p w:rsidR="00893035" w:rsidRPr="00893035" w:rsidRDefault="00893035" w:rsidP="00CD0A9C">
            <w:pPr>
              <w:jc w:val="center"/>
              <w:rPr>
                <w:rFonts w:ascii="Arial" w:hAnsi="Arial" w:cs="Arial"/>
                <w:sz w:val="18"/>
                <w:szCs w:val="18"/>
              </w:rPr>
            </w:pPr>
            <w:r w:rsidRPr="00893035">
              <w:rPr>
                <w:rFonts w:ascii="Arial" w:hAnsi="Arial" w:cs="Arial"/>
                <w:sz w:val="18"/>
                <w:szCs w:val="18"/>
              </w:rPr>
              <w:t>2</w:t>
            </w:r>
          </w:p>
        </w:tc>
        <w:tc>
          <w:tcPr>
            <w:tcW w:w="3795" w:type="pct"/>
            <w:shd w:val="clear" w:color="auto" w:fill="F2F2F2" w:themeFill="background1" w:themeFillShade="F2"/>
          </w:tcPr>
          <w:p w:rsidR="00893035" w:rsidRPr="00893035" w:rsidRDefault="00893035" w:rsidP="00CD0A9C">
            <w:pPr>
              <w:contextualSpacing/>
              <w:rPr>
                <w:rFonts w:ascii="Arial" w:eastAsia="Times New Roman" w:hAnsi="Arial" w:cs="Arial"/>
                <w:color w:val="000000" w:themeColor="text1"/>
                <w:sz w:val="18"/>
                <w:szCs w:val="18"/>
                <w:lang w:val="en-US"/>
              </w:rPr>
            </w:pPr>
            <w:r w:rsidRPr="00893035">
              <w:rPr>
                <w:rFonts w:ascii="Arial" w:eastAsia="Times New Roman" w:hAnsi="Arial" w:cs="Arial"/>
                <w:color w:val="000000" w:themeColor="text1"/>
                <w:sz w:val="18"/>
                <w:szCs w:val="18"/>
                <w:lang w:val="en-US"/>
              </w:rPr>
              <w:t>Audit definitions and audit outcomes</w:t>
            </w:r>
          </w:p>
        </w:tc>
        <w:tc>
          <w:tcPr>
            <w:tcW w:w="606" w:type="pct"/>
            <w:shd w:val="clear" w:color="auto" w:fill="F2F2F2" w:themeFill="background1" w:themeFillShade="F2"/>
          </w:tcPr>
          <w:p w:rsidR="00893035" w:rsidRPr="0079155A" w:rsidRDefault="002A1B04" w:rsidP="00CD0A9C">
            <w:pPr>
              <w:jc w:val="center"/>
              <w:rPr>
                <w:rFonts w:ascii="Arial" w:hAnsi="Arial" w:cs="Arial"/>
                <w:sz w:val="18"/>
                <w:szCs w:val="18"/>
              </w:rPr>
            </w:pPr>
            <w:r>
              <w:rPr>
                <w:rFonts w:ascii="Arial" w:hAnsi="Arial" w:cs="Arial"/>
                <w:sz w:val="18"/>
                <w:szCs w:val="18"/>
              </w:rPr>
              <w:t>2</w:t>
            </w:r>
          </w:p>
        </w:tc>
      </w:tr>
      <w:tr w:rsidR="00167B82" w:rsidRPr="00893035" w:rsidTr="004D7905">
        <w:trPr>
          <w:jc w:val="center"/>
        </w:trPr>
        <w:tc>
          <w:tcPr>
            <w:tcW w:w="600" w:type="pct"/>
            <w:shd w:val="clear" w:color="auto" w:fill="F2F2F2" w:themeFill="background1" w:themeFillShade="F2"/>
          </w:tcPr>
          <w:p w:rsidR="00167B82" w:rsidRDefault="00167B82" w:rsidP="00CD0A9C">
            <w:pPr>
              <w:jc w:val="center"/>
              <w:rPr>
                <w:rFonts w:ascii="Arial" w:hAnsi="Arial" w:cs="Arial"/>
                <w:sz w:val="18"/>
                <w:szCs w:val="18"/>
              </w:rPr>
            </w:pPr>
            <w:r>
              <w:rPr>
                <w:rFonts w:ascii="Arial" w:hAnsi="Arial" w:cs="Arial"/>
                <w:sz w:val="18"/>
                <w:szCs w:val="18"/>
              </w:rPr>
              <w:t>3</w:t>
            </w:r>
          </w:p>
        </w:tc>
        <w:tc>
          <w:tcPr>
            <w:tcW w:w="3795" w:type="pct"/>
            <w:shd w:val="clear" w:color="auto" w:fill="F2F2F2" w:themeFill="background1" w:themeFillShade="F2"/>
          </w:tcPr>
          <w:p w:rsidR="00167B82" w:rsidRPr="00D74F3E" w:rsidRDefault="00AC7AA6" w:rsidP="00D74F3E">
            <w:pPr>
              <w:contextualSpacing/>
              <w:rPr>
                <w:rFonts w:ascii="Arial" w:eastAsia="Times New Roman" w:hAnsi="Arial" w:cs="Arial"/>
                <w:color w:val="000000" w:themeColor="text1"/>
                <w:sz w:val="18"/>
                <w:szCs w:val="18"/>
                <w:lang w:val="en-US"/>
              </w:rPr>
            </w:pPr>
            <w:r w:rsidRPr="00AC7AA6">
              <w:rPr>
                <w:rFonts w:ascii="Arial" w:eastAsia="Times New Roman" w:hAnsi="Arial" w:cs="Arial"/>
                <w:color w:val="000000" w:themeColor="text1"/>
                <w:sz w:val="18"/>
                <w:szCs w:val="18"/>
                <w:lang w:val="en-US"/>
              </w:rPr>
              <w:t>AGSA review of the draft 2018-19 Annual Performance Plan</w:t>
            </w:r>
          </w:p>
        </w:tc>
        <w:tc>
          <w:tcPr>
            <w:tcW w:w="606" w:type="pct"/>
            <w:shd w:val="clear" w:color="auto" w:fill="F2F2F2" w:themeFill="background1" w:themeFillShade="F2"/>
          </w:tcPr>
          <w:p w:rsidR="00167B82" w:rsidRDefault="00167B82" w:rsidP="00CD0A9C">
            <w:pPr>
              <w:jc w:val="center"/>
              <w:rPr>
                <w:rFonts w:ascii="Arial" w:hAnsi="Arial" w:cs="Arial"/>
                <w:sz w:val="18"/>
                <w:szCs w:val="18"/>
              </w:rPr>
            </w:pPr>
            <w:r>
              <w:rPr>
                <w:rFonts w:ascii="Arial" w:hAnsi="Arial" w:cs="Arial"/>
                <w:sz w:val="18"/>
                <w:szCs w:val="18"/>
              </w:rPr>
              <w:t>3</w:t>
            </w:r>
          </w:p>
        </w:tc>
      </w:tr>
      <w:tr w:rsidR="004D7905" w:rsidRPr="00893035" w:rsidTr="004D7905">
        <w:trPr>
          <w:jc w:val="center"/>
        </w:trPr>
        <w:tc>
          <w:tcPr>
            <w:tcW w:w="600" w:type="pct"/>
            <w:shd w:val="clear" w:color="auto" w:fill="F2F2F2" w:themeFill="background1" w:themeFillShade="F2"/>
          </w:tcPr>
          <w:p w:rsidR="004D7905" w:rsidRPr="00893035" w:rsidRDefault="00167B82" w:rsidP="00CD0A9C">
            <w:pPr>
              <w:jc w:val="center"/>
              <w:rPr>
                <w:rFonts w:ascii="Arial" w:hAnsi="Arial" w:cs="Arial"/>
                <w:sz w:val="18"/>
                <w:szCs w:val="18"/>
              </w:rPr>
            </w:pPr>
            <w:r>
              <w:rPr>
                <w:rFonts w:ascii="Arial" w:hAnsi="Arial" w:cs="Arial"/>
                <w:sz w:val="18"/>
                <w:szCs w:val="18"/>
              </w:rPr>
              <w:t>4</w:t>
            </w:r>
          </w:p>
        </w:tc>
        <w:tc>
          <w:tcPr>
            <w:tcW w:w="3795" w:type="pct"/>
            <w:shd w:val="clear" w:color="auto" w:fill="F2F2F2" w:themeFill="background1" w:themeFillShade="F2"/>
          </w:tcPr>
          <w:p w:rsidR="004D7905" w:rsidRPr="00893035" w:rsidRDefault="00D74F3E" w:rsidP="00D74F3E">
            <w:pPr>
              <w:contextualSpacing/>
              <w:rPr>
                <w:rFonts w:ascii="Arial" w:eastAsia="Times New Roman" w:hAnsi="Arial" w:cs="Arial"/>
                <w:color w:val="000000" w:themeColor="text1"/>
                <w:sz w:val="18"/>
                <w:szCs w:val="18"/>
                <w:lang w:val="en-US"/>
              </w:rPr>
            </w:pPr>
            <w:r w:rsidRPr="00D74F3E">
              <w:rPr>
                <w:rFonts w:ascii="Arial" w:eastAsia="Times New Roman" w:hAnsi="Arial" w:cs="Arial"/>
                <w:color w:val="000000" w:themeColor="text1"/>
                <w:sz w:val="18"/>
                <w:szCs w:val="18"/>
                <w:lang w:val="en-US"/>
              </w:rPr>
              <w:t xml:space="preserve">Entities within the </w:t>
            </w:r>
            <w:r w:rsidRPr="00891532">
              <w:rPr>
                <w:rFonts w:ascii="Arial" w:eastAsia="Times New Roman" w:hAnsi="Arial" w:cs="Arial"/>
                <w:color w:val="000000" w:themeColor="text1"/>
                <w:sz w:val="18"/>
                <w:szCs w:val="18"/>
                <w:lang w:val="en-US"/>
              </w:rPr>
              <w:t>Public Works</w:t>
            </w:r>
            <w:r w:rsidRPr="00D74F3E">
              <w:rPr>
                <w:rFonts w:ascii="Arial" w:eastAsia="Times New Roman" w:hAnsi="Arial" w:cs="Arial"/>
                <w:color w:val="000000" w:themeColor="text1"/>
                <w:sz w:val="18"/>
                <w:szCs w:val="18"/>
                <w:lang w:val="en-US"/>
              </w:rPr>
              <w:t xml:space="preserve"> portfolio </w:t>
            </w:r>
          </w:p>
        </w:tc>
        <w:tc>
          <w:tcPr>
            <w:tcW w:w="606" w:type="pct"/>
            <w:shd w:val="clear" w:color="auto" w:fill="F2F2F2" w:themeFill="background1" w:themeFillShade="F2"/>
          </w:tcPr>
          <w:p w:rsidR="004D7905" w:rsidRPr="0079155A" w:rsidRDefault="00167B82" w:rsidP="00CD0A9C">
            <w:pPr>
              <w:jc w:val="center"/>
              <w:rPr>
                <w:rFonts w:ascii="Arial" w:hAnsi="Arial" w:cs="Arial"/>
                <w:sz w:val="18"/>
                <w:szCs w:val="18"/>
              </w:rPr>
            </w:pPr>
            <w:r>
              <w:rPr>
                <w:rFonts w:ascii="Arial" w:hAnsi="Arial" w:cs="Arial"/>
                <w:sz w:val="18"/>
                <w:szCs w:val="18"/>
              </w:rPr>
              <w:t>4</w:t>
            </w:r>
          </w:p>
        </w:tc>
      </w:tr>
      <w:tr w:rsidR="001F53C3" w:rsidRPr="00893035" w:rsidTr="00B3747A">
        <w:trPr>
          <w:jc w:val="center"/>
        </w:trPr>
        <w:tc>
          <w:tcPr>
            <w:tcW w:w="600" w:type="pct"/>
            <w:shd w:val="clear" w:color="auto" w:fill="F2F2F2" w:themeFill="background1" w:themeFillShade="F2"/>
          </w:tcPr>
          <w:p w:rsidR="001F53C3" w:rsidRPr="00893035" w:rsidRDefault="00167B82" w:rsidP="00B3747A">
            <w:pPr>
              <w:jc w:val="center"/>
              <w:rPr>
                <w:rFonts w:ascii="Arial" w:hAnsi="Arial" w:cs="Arial"/>
                <w:sz w:val="18"/>
                <w:szCs w:val="18"/>
              </w:rPr>
            </w:pPr>
            <w:r>
              <w:rPr>
                <w:rFonts w:ascii="Arial" w:hAnsi="Arial" w:cs="Arial"/>
                <w:sz w:val="18"/>
                <w:szCs w:val="18"/>
              </w:rPr>
              <w:t>5</w:t>
            </w:r>
          </w:p>
        </w:tc>
        <w:tc>
          <w:tcPr>
            <w:tcW w:w="3795" w:type="pct"/>
            <w:shd w:val="clear" w:color="auto" w:fill="F2F2F2" w:themeFill="background1" w:themeFillShade="F2"/>
          </w:tcPr>
          <w:p w:rsidR="001F53C3" w:rsidRPr="00893035" w:rsidRDefault="001F53C3" w:rsidP="00B3747A">
            <w:pPr>
              <w:contextualSpacing/>
              <w:rPr>
                <w:rFonts w:ascii="Arial" w:eastAsia="Times New Roman" w:hAnsi="Arial" w:cs="Arial"/>
                <w:color w:val="000000" w:themeColor="text1"/>
                <w:sz w:val="18"/>
                <w:szCs w:val="18"/>
                <w:lang w:val="en-US"/>
              </w:rPr>
            </w:pPr>
            <w:r>
              <w:rPr>
                <w:rFonts w:ascii="Arial" w:eastAsia="Times New Roman" w:hAnsi="Arial" w:cs="Arial"/>
                <w:color w:val="000000" w:themeColor="text1"/>
                <w:sz w:val="18"/>
                <w:szCs w:val="18"/>
                <w:lang w:val="en-US"/>
              </w:rPr>
              <w:t>Audit progress</w:t>
            </w:r>
            <w:r w:rsidR="00C140EC">
              <w:rPr>
                <w:rFonts w:ascii="Arial" w:eastAsia="Times New Roman" w:hAnsi="Arial" w:cs="Arial"/>
                <w:color w:val="000000" w:themeColor="text1"/>
                <w:sz w:val="18"/>
                <w:szCs w:val="18"/>
                <w:lang w:val="en-US"/>
              </w:rPr>
              <w:t>:</w:t>
            </w:r>
          </w:p>
        </w:tc>
        <w:tc>
          <w:tcPr>
            <w:tcW w:w="606" w:type="pct"/>
            <w:shd w:val="clear" w:color="auto" w:fill="F2F2F2" w:themeFill="background1" w:themeFillShade="F2"/>
          </w:tcPr>
          <w:p w:rsidR="001F53C3" w:rsidRPr="0079155A" w:rsidRDefault="000071D0" w:rsidP="00B3747A">
            <w:pPr>
              <w:jc w:val="center"/>
              <w:rPr>
                <w:rFonts w:ascii="Arial" w:hAnsi="Arial" w:cs="Arial"/>
                <w:sz w:val="18"/>
                <w:szCs w:val="18"/>
              </w:rPr>
            </w:pPr>
            <w:r>
              <w:rPr>
                <w:rFonts w:ascii="Arial" w:hAnsi="Arial" w:cs="Arial"/>
                <w:sz w:val="18"/>
                <w:szCs w:val="18"/>
              </w:rPr>
              <w:t>5</w:t>
            </w:r>
          </w:p>
        </w:tc>
      </w:tr>
      <w:tr w:rsidR="008F66CC" w:rsidRPr="00893035" w:rsidTr="00B3747A">
        <w:trPr>
          <w:jc w:val="center"/>
        </w:trPr>
        <w:tc>
          <w:tcPr>
            <w:tcW w:w="600" w:type="pct"/>
            <w:shd w:val="clear" w:color="auto" w:fill="F2F2F2" w:themeFill="background1" w:themeFillShade="F2"/>
          </w:tcPr>
          <w:p w:rsidR="008F66CC" w:rsidRDefault="00C140EC" w:rsidP="00C140EC">
            <w:pPr>
              <w:jc w:val="right"/>
              <w:rPr>
                <w:rFonts w:ascii="Arial" w:hAnsi="Arial" w:cs="Arial"/>
                <w:sz w:val="18"/>
                <w:szCs w:val="18"/>
              </w:rPr>
            </w:pPr>
            <w:r>
              <w:rPr>
                <w:rFonts w:ascii="Arial" w:hAnsi="Arial" w:cs="Arial"/>
                <w:sz w:val="18"/>
                <w:szCs w:val="18"/>
              </w:rPr>
              <w:t>5.1</w:t>
            </w:r>
          </w:p>
        </w:tc>
        <w:tc>
          <w:tcPr>
            <w:tcW w:w="3795" w:type="pct"/>
            <w:shd w:val="clear" w:color="auto" w:fill="F2F2F2" w:themeFill="background1" w:themeFillShade="F2"/>
          </w:tcPr>
          <w:p w:rsidR="008F66CC" w:rsidRDefault="00C140EC" w:rsidP="00C140EC">
            <w:pPr>
              <w:ind w:left="720"/>
              <w:contextualSpacing/>
              <w:rPr>
                <w:rFonts w:ascii="Arial" w:eastAsia="Times New Roman" w:hAnsi="Arial" w:cs="Arial"/>
                <w:color w:val="000000" w:themeColor="text1"/>
                <w:sz w:val="18"/>
                <w:szCs w:val="18"/>
                <w:lang w:val="en-US"/>
              </w:rPr>
            </w:pPr>
            <w:r>
              <w:rPr>
                <w:rFonts w:ascii="Arial" w:eastAsia="Times New Roman" w:hAnsi="Arial" w:cs="Arial"/>
                <w:color w:val="000000" w:themeColor="text1"/>
                <w:sz w:val="18"/>
                <w:szCs w:val="18"/>
                <w:lang w:val="en-US"/>
              </w:rPr>
              <w:t>Department of Public Works</w:t>
            </w:r>
          </w:p>
        </w:tc>
        <w:tc>
          <w:tcPr>
            <w:tcW w:w="606" w:type="pct"/>
            <w:shd w:val="clear" w:color="auto" w:fill="F2F2F2" w:themeFill="background1" w:themeFillShade="F2"/>
          </w:tcPr>
          <w:p w:rsidR="008F66CC" w:rsidRDefault="00C140EC" w:rsidP="00B3747A">
            <w:pPr>
              <w:jc w:val="center"/>
              <w:rPr>
                <w:rFonts w:ascii="Arial" w:hAnsi="Arial" w:cs="Arial"/>
                <w:sz w:val="18"/>
                <w:szCs w:val="18"/>
              </w:rPr>
            </w:pPr>
            <w:r>
              <w:rPr>
                <w:rFonts w:ascii="Arial" w:hAnsi="Arial" w:cs="Arial"/>
                <w:sz w:val="18"/>
                <w:szCs w:val="18"/>
              </w:rPr>
              <w:t>5</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5.2</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sidRPr="00C140EC">
              <w:rPr>
                <w:rFonts w:ascii="Arial" w:eastAsia="Times New Roman" w:hAnsi="Arial" w:cs="Arial"/>
                <w:color w:val="000000" w:themeColor="text1"/>
                <w:sz w:val="18"/>
                <w:szCs w:val="18"/>
                <w:lang w:val="en-US"/>
              </w:rPr>
              <w:t>Prop</w:t>
            </w:r>
            <w:r>
              <w:rPr>
                <w:rFonts w:ascii="Arial" w:eastAsia="Times New Roman" w:hAnsi="Arial" w:cs="Arial"/>
                <w:color w:val="000000" w:themeColor="text1"/>
                <w:sz w:val="18"/>
                <w:szCs w:val="18"/>
                <w:lang w:val="en-US"/>
              </w:rPr>
              <w:t xml:space="preserve">erty management Trading Entity </w:t>
            </w:r>
          </w:p>
        </w:tc>
        <w:tc>
          <w:tcPr>
            <w:tcW w:w="606" w:type="pct"/>
            <w:shd w:val="clear" w:color="auto" w:fill="F2F2F2" w:themeFill="background1" w:themeFillShade="F2"/>
          </w:tcPr>
          <w:p w:rsidR="00C140EC" w:rsidRDefault="00C140EC" w:rsidP="00B3747A">
            <w:pPr>
              <w:jc w:val="center"/>
              <w:rPr>
                <w:rFonts w:ascii="Arial" w:hAnsi="Arial" w:cs="Arial"/>
                <w:sz w:val="18"/>
                <w:szCs w:val="18"/>
              </w:rPr>
            </w:pPr>
            <w:r>
              <w:rPr>
                <w:rFonts w:ascii="Arial" w:hAnsi="Arial" w:cs="Arial"/>
                <w:sz w:val="18"/>
                <w:szCs w:val="18"/>
              </w:rPr>
              <w:t>7</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5.3</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Pr>
                <w:rFonts w:ascii="Arial" w:eastAsia="Times New Roman" w:hAnsi="Arial" w:cs="Arial"/>
                <w:color w:val="000000" w:themeColor="text1"/>
                <w:sz w:val="18"/>
                <w:szCs w:val="18"/>
                <w:lang w:val="en-US"/>
              </w:rPr>
              <w:t xml:space="preserve">Independent Development Trust </w:t>
            </w:r>
          </w:p>
        </w:tc>
        <w:tc>
          <w:tcPr>
            <w:tcW w:w="606" w:type="pct"/>
            <w:shd w:val="clear" w:color="auto" w:fill="F2F2F2" w:themeFill="background1" w:themeFillShade="F2"/>
          </w:tcPr>
          <w:p w:rsidR="00C140EC" w:rsidRDefault="00C140EC" w:rsidP="00B3747A">
            <w:pPr>
              <w:jc w:val="center"/>
              <w:rPr>
                <w:rFonts w:ascii="Arial" w:hAnsi="Arial" w:cs="Arial"/>
                <w:sz w:val="18"/>
                <w:szCs w:val="18"/>
              </w:rPr>
            </w:pPr>
            <w:r>
              <w:rPr>
                <w:rFonts w:ascii="Arial" w:hAnsi="Arial" w:cs="Arial"/>
                <w:sz w:val="18"/>
                <w:szCs w:val="18"/>
              </w:rPr>
              <w:t>9</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5.4</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sidRPr="00C140EC">
              <w:rPr>
                <w:rFonts w:ascii="Arial" w:eastAsia="Times New Roman" w:hAnsi="Arial" w:cs="Arial"/>
                <w:color w:val="000000" w:themeColor="text1"/>
                <w:sz w:val="18"/>
                <w:szCs w:val="18"/>
                <w:lang w:val="en-US"/>
              </w:rPr>
              <w:t>Co</w:t>
            </w:r>
            <w:r>
              <w:rPr>
                <w:rFonts w:ascii="Arial" w:eastAsia="Times New Roman" w:hAnsi="Arial" w:cs="Arial"/>
                <w:color w:val="000000" w:themeColor="text1"/>
                <w:sz w:val="18"/>
                <w:szCs w:val="18"/>
                <w:lang w:val="en-US"/>
              </w:rPr>
              <w:t>uncil for the Built Environment</w:t>
            </w:r>
          </w:p>
        </w:tc>
        <w:tc>
          <w:tcPr>
            <w:tcW w:w="606" w:type="pct"/>
            <w:shd w:val="clear" w:color="auto" w:fill="F2F2F2" w:themeFill="background1" w:themeFillShade="F2"/>
          </w:tcPr>
          <w:p w:rsidR="00C140EC" w:rsidRDefault="00595B05" w:rsidP="00B3747A">
            <w:pPr>
              <w:jc w:val="center"/>
              <w:rPr>
                <w:rFonts w:ascii="Arial" w:hAnsi="Arial" w:cs="Arial"/>
                <w:sz w:val="18"/>
                <w:szCs w:val="18"/>
              </w:rPr>
            </w:pPr>
            <w:r>
              <w:rPr>
                <w:rFonts w:ascii="Arial" w:hAnsi="Arial" w:cs="Arial"/>
                <w:sz w:val="18"/>
                <w:szCs w:val="18"/>
              </w:rPr>
              <w:t>11</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5.5</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sidRPr="00C140EC">
              <w:rPr>
                <w:rFonts w:ascii="Arial" w:eastAsia="Times New Roman" w:hAnsi="Arial" w:cs="Arial"/>
                <w:color w:val="000000" w:themeColor="text1"/>
                <w:sz w:val="18"/>
                <w:szCs w:val="18"/>
                <w:lang w:val="en-US"/>
              </w:rPr>
              <w:t>Construc</w:t>
            </w:r>
            <w:r>
              <w:rPr>
                <w:rFonts w:ascii="Arial" w:eastAsia="Times New Roman" w:hAnsi="Arial" w:cs="Arial"/>
                <w:color w:val="000000" w:themeColor="text1"/>
                <w:sz w:val="18"/>
                <w:szCs w:val="18"/>
                <w:lang w:val="en-US"/>
              </w:rPr>
              <w:t>tion Industry Development Board</w:t>
            </w:r>
          </w:p>
        </w:tc>
        <w:tc>
          <w:tcPr>
            <w:tcW w:w="606" w:type="pct"/>
            <w:shd w:val="clear" w:color="auto" w:fill="F2F2F2" w:themeFill="background1" w:themeFillShade="F2"/>
          </w:tcPr>
          <w:p w:rsidR="00C140EC" w:rsidRDefault="00C140EC" w:rsidP="00595B05">
            <w:pPr>
              <w:jc w:val="center"/>
              <w:rPr>
                <w:rFonts w:ascii="Arial" w:hAnsi="Arial" w:cs="Arial"/>
                <w:sz w:val="18"/>
                <w:szCs w:val="18"/>
              </w:rPr>
            </w:pPr>
            <w:r>
              <w:rPr>
                <w:rFonts w:ascii="Arial" w:hAnsi="Arial" w:cs="Arial"/>
                <w:sz w:val="18"/>
                <w:szCs w:val="18"/>
              </w:rPr>
              <w:t>1</w:t>
            </w:r>
            <w:r w:rsidR="00595B05">
              <w:rPr>
                <w:rFonts w:ascii="Arial" w:hAnsi="Arial" w:cs="Arial"/>
                <w:sz w:val="18"/>
                <w:szCs w:val="18"/>
              </w:rPr>
              <w:t>2</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5.6</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sidRPr="00C140EC">
              <w:rPr>
                <w:rFonts w:ascii="Arial" w:eastAsia="Times New Roman" w:hAnsi="Arial" w:cs="Arial"/>
                <w:color w:val="000000" w:themeColor="text1"/>
                <w:sz w:val="18"/>
                <w:szCs w:val="18"/>
                <w:lang w:val="en-US"/>
              </w:rPr>
              <w:t>Agrément South Af</w:t>
            </w:r>
            <w:r>
              <w:rPr>
                <w:rFonts w:ascii="Arial" w:eastAsia="Times New Roman" w:hAnsi="Arial" w:cs="Arial"/>
                <w:color w:val="000000" w:themeColor="text1"/>
                <w:sz w:val="18"/>
                <w:szCs w:val="18"/>
                <w:lang w:val="en-US"/>
              </w:rPr>
              <w:t>rica</w:t>
            </w:r>
          </w:p>
        </w:tc>
        <w:tc>
          <w:tcPr>
            <w:tcW w:w="606" w:type="pct"/>
            <w:shd w:val="clear" w:color="auto" w:fill="F2F2F2" w:themeFill="background1" w:themeFillShade="F2"/>
          </w:tcPr>
          <w:p w:rsidR="00C140EC" w:rsidRDefault="00C140EC" w:rsidP="00595B05">
            <w:pPr>
              <w:jc w:val="center"/>
              <w:rPr>
                <w:rFonts w:ascii="Arial" w:hAnsi="Arial" w:cs="Arial"/>
                <w:sz w:val="18"/>
                <w:szCs w:val="18"/>
              </w:rPr>
            </w:pPr>
            <w:r>
              <w:rPr>
                <w:rFonts w:ascii="Arial" w:hAnsi="Arial" w:cs="Arial"/>
                <w:sz w:val="18"/>
                <w:szCs w:val="18"/>
              </w:rPr>
              <w:t>1</w:t>
            </w:r>
            <w:r w:rsidR="00595B05">
              <w:rPr>
                <w:rFonts w:ascii="Arial" w:hAnsi="Arial" w:cs="Arial"/>
                <w:sz w:val="18"/>
                <w:szCs w:val="18"/>
              </w:rPr>
              <w:t>3</w:t>
            </w:r>
          </w:p>
        </w:tc>
      </w:tr>
      <w:tr w:rsidR="00C140EC" w:rsidRPr="00893035" w:rsidTr="00B3747A">
        <w:trPr>
          <w:jc w:val="center"/>
        </w:trPr>
        <w:tc>
          <w:tcPr>
            <w:tcW w:w="600" w:type="pct"/>
            <w:shd w:val="clear" w:color="auto" w:fill="F2F2F2" w:themeFill="background1" w:themeFillShade="F2"/>
          </w:tcPr>
          <w:p w:rsidR="00C140EC" w:rsidRDefault="00C140EC" w:rsidP="00C140EC">
            <w:pPr>
              <w:jc w:val="right"/>
              <w:rPr>
                <w:rFonts w:ascii="Arial" w:hAnsi="Arial" w:cs="Arial"/>
                <w:sz w:val="18"/>
                <w:szCs w:val="18"/>
              </w:rPr>
            </w:pPr>
            <w:r>
              <w:rPr>
                <w:rFonts w:ascii="Arial" w:hAnsi="Arial" w:cs="Arial"/>
                <w:sz w:val="18"/>
                <w:szCs w:val="18"/>
              </w:rPr>
              <w:t>5.7</w:t>
            </w:r>
          </w:p>
        </w:tc>
        <w:tc>
          <w:tcPr>
            <w:tcW w:w="3795" w:type="pct"/>
            <w:shd w:val="clear" w:color="auto" w:fill="F2F2F2" w:themeFill="background1" w:themeFillShade="F2"/>
          </w:tcPr>
          <w:p w:rsidR="00C140EC" w:rsidRDefault="00C140EC" w:rsidP="00C140EC">
            <w:pPr>
              <w:ind w:left="720"/>
              <w:contextualSpacing/>
              <w:rPr>
                <w:rFonts w:ascii="Arial" w:eastAsia="Times New Roman" w:hAnsi="Arial" w:cs="Arial"/>
                <w:color w:val="000000" w:themeColor="text1"/>
                <w:sz w:val="18"/>
                <w:szCs w:val="18"/>
                <w:lang w:val="en-US"/>
              </w:rPr>
            </w:pPr>
            <w:r w:rsidRPr="00C140EC">
              <w:rPr>
                <w:rFonts w:ascii="Arial" w:eastAsia="Times New Roman" w:hAnsi="Arial" w:cs="Arial"/>
                <w:color w:val="000000" w:themeColor="text1"/>
                <w:sz w:val="18"/>
                <w:szCs w:val="18"/>
                <w:lang w:val="en-US"/>
              </w:rPr>
              <w:t>Engineering Council of South Africa</w:t>
            </w:r>
          </w:p>
        </w:tc>
        <w:tc>
          <w:tcPr>
            <w:tcW w:w="606" w:type="pct"/>
            <w:shd w:val="clear" w:color="auto" w:fill="F2F2F2" w:themeFill="background1" w:themeFillShade="F2"/>
          </w:tcPr>
          <w:p w:rsidR="00C140EC" w:rsidRDefault="00C140EC" w:rsidP="00595B05">
            <w:pPr>
              <w:jc w:val="center"/>
              <w:rPr>
                <w:rFonts w:ascii="Arial" w:hAnsi="Arial" w:cs="Arial"/>
                <w:sz w:val="18"/>
                <w:szCs w:val="18"/>
              </w:rPr>
            </w:pPr>
            <w:r>
              <w:rPr>
                <w:rFonts w:ascii="Arial" w:hAnsi="Arial" w:cs="Arial"/>
                <w:sz w:val="18"/>
                <w:szCs w:val="18"/>
              </w:rPr>
              <w:t>1</w:t>
            </w:r>
            <w:r w:rsidR="00595B05">
              <w:rPr>
                <w:rFonts w:ascii="Arial" w:hAnsi="Arial" w:cs="Arial"/>
                <w:sz w:val="18"/>
                <w:szCs w:val="18"/>
              </w:rPr>
              <w:t>3</w:t>
            </w:r>
          </w:p>
        </w:tc>
      </w:tr>
    </w:tbl>
    <w:p w:rsidR="002C6518" w:rsidRDefault="002C6518" w:rsidP="00857969">
      <w:pPr>
        <w:spacing w:after="0" w:line="240" w:lineRule="auto"/>
        <w:jc w:val="center"/>
        <w:rPr>
          <w:rFonts w:ascii="Arial" w:hAnsi="Arial" w:cs="Arial"/>
          <w:color w:val="002060"/>
          <w:sz w:val="20"/>
          <w:szCs w:val="20"/>
        </w:rPr>
      </w:pPr>
    </w:p>
    <w:p w:rsidR="00857969" w:rsidRDefault="00857969" w:rsidP="00857969">
      <w:pPr>
        <w:spacing w:after="0" w:line="240" w:lineRule="auto"/>
        <w:jc w:val="center"/>
        <w:rPr>
          <w:rFonts w:ascii="Arial" w:hAnsi="Arial" w:cs="Arial"/>
          <w:color w:val="002060"/>
          <w:sz w:val="20"/>
          <w:szCs w:val="20"/>
        </w:rPr>
        <w:sectPr w:rsidR="00857969" w:rsidSect="00893035">
          <w:footerReference w:type="default" r:id="rId9"/>
          <w:pgSz w:w="11906" w:h="16838"/>
          <w:pgMar w:top="426" w:right="849" w:bottom="567" w:left="851" w:header="708" w:footer="708" w:gutter="0"/>
          <w:cols w:space="708"/>
          <w:docGrid w:linePitch="360"/>
        </w:sectPr>
      </w:pPr>
    </w:p>
    <w:p w:rsidR="00857969" w:rsidRDefault="00857969" w:rsidP="00857969">
      <w:pPr>
        <w:spacing w:after="0" w:line="240" w:lineRule="auto"/>
        <w:jc w:val="center"/>
        <w:rPr>
          <w:rFonts w:ascii="Arial" w:hAnsi="Arial" w:cs="Arial"/>
          <w:color w:val="002060"/>
          <w:sz w:val="20"/>
          <w:szCs w:val="20"/>
        </w:rPr>
      </w:pPr>
    </w:p>
    <w:tbl>
      <w:tblPr>
        <w:tblStyle w:val="TableGrid"/>
        <w:tblW w:w="0" w:type="auto"/>
        <w:shd w:val="clear" w:color="auto" w:fill="1F497D" w:themeFill="text2"/>
        <w:tblLook w:val="04A0"/>
      </w:tblPr>
      <w:tblGrid>
        <w:gridCol w:w="10422"/>
      </w:tblGrid>
      <w:tr w:rsidR="00C77C72" w:rsidRPr="00C77C72" w:rsidTr="00C77C72">
        <w:tc>
          <w:tcPr>
            <w:tcW w:w="10422" w:type="dxa"/>
            <w:shd w:val="clear" w:color="auto" w:fill="1F497D" w:themeFill="text2"/>
          </w:tcPr>
          <w:p w:rsidR="00857969" w:rsidRPr="00C77C72" w:rsidRDefault="00857969" w:rsidP="003D357E">
            <w:pPr>
              <w:pStyle w:val="ListParagraph"/>
              <w:numPr>
                <w:ilvl w:val="0"/>
                <w:numId w:val="1"/>
              </w:numPr>
              <w:spacing w:before="20" w:after="20"/>
              <w:ind w:left="714" w:hanging="357"/>
              <w:contextualSpacing w:val="0"/>
              <w:rPr>
                <w:rFonts w:ascii="Arial" w:hAnsi="Arial" w:cs="Arial"/>
                <w:color w:val="FFFFFF" w:themeColor="background1"/>
              </w:rPr>
            </w:pPr>
            <w:r w:rsidRPr="00C77C72">
              <w:rPr>
                <w:rFonts w:ascii="Arial" w:hAnsi="Arial" w:cs="Arial"/>
                <w:color w:val="FFFFFF" w:themeColor="background1"/>
              </w:rPr>
              <w:t>The Role of the Auditor-General of South Africa</w:t>
            </w:r>
          </w:p>
        </w:tc>
      </w:tr>
    </w:tbl>
    <w:p w:rsidR="002C6518" w:rsidRDefault="00704CC6" w:rsidP="00857969">
      <w:pPr>
        <w:spacing w:after="0" w:line="240" w:lineRule="auto"/>
        <w:jc w:val="center"/>
        <w:rPr>
          <w:rFonts w:ascii="Arial" w:hAnsi="Arial" w:cs="Arial"/>
          <w:color w:val="002060"/>
          <w:sz w:val="20"/>
          <w:szCs w:val="20"/>
        </w:rPr>
      </w:pPr>
      <w:r w:rsidRPr="00704CC6">
        <w:rPr>
          <w:noProof/>
          <w:lang w:eastAsia="en-Z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left:0;text-align:left;margin-left:413.15pt;margin-top:6.5pt;width:40.05pt;height:284.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" adj="5700" strokecolor="#00b050" strokeweight="2.25pt"/>
        </w:pict>
      </w:r>
    </w:p>
    <w:p w:rsidR="00893035" w:rsidRDefault="00857969" w:rsidP="00857969">
      <w:pPr>
        <w:spacing w:after="0" w:line="240" w:lineRule="auto"/>
        <w:rPr>
          <w:rFonts w:ascii="Arial" w:hAnsi="Arial" w:cs="Arial"/>
          <w:color w:val="002060"/>
          <w:sz w:val="20"/>
          <w:szCs w:val="20"/>
        </w:rPr>
      </w:pPr>
      <w:r>
        <w:rPr>
          <w:noProof/>
          <w:lang w:eastAsia="en-ZA"/>
        </w:rPr>
        <w:drawing>
          <wp:anchor distT="0" distB="0" distL="114300" distR="114300" simplePos="0" relativeHeight="251665408" behindDoc="0" locked="0" layoutInCell="1" allowOverlap="1">
            <wp:simplePos x="0" y="0"/>
            <wp:positionH relativeFrom="column">
              <wp:posOffset>5601970</wp:posOffset>
            </wp:positionH>
            <wp:positionV relativeFrom="paragraph">
              <wp:posOffset>848128</wp:posOffset>
            </wp:positionV>
            <wp:extent cx="1416205" cy="1905000"/>
            <wp:effectExtent l="0" t="0" r="0" b="0"/>
            <wp:wrapNone/>
            <wp:docPr id="14" name="Picture 4" descr="C:\Users\AndriesS.AGSA\AppData\Local\Microsoft\Windows\Temporary Internet Files\Content.IE5\J1MHBRWH\1088925_annual_report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AndriesS.AGSA\AppData\Local\Microsoft\Windows\Temporary Internet Files\Content.IE5\J1MHBRWH\1088925_annual_report_3[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205" cy="1905000"/>
                    </a:xfrm>
                    <a:prstGeom prst="rect">
                      <a:avLst/>
                    </a:prstGeom>
                    <a:blipFill>
                      <a:blip r:embed="rId11"/>
                      <a:tile tx="0" ty="0" sx="100000" sy="100000" flip="none" algn="tl"/>
                    </a:blipFill>
                  </pic:spPr>
                </pic:pic>
              </a:graphicData>
            </a:graphic>
          </wp:anchor>
        </w:drawing>
      </w:r>
      <w:r w:rsidR="002C6518">
        <w:rPr>
          <w:noProof/>
          <w:lang w:eastAsia="en-ZA"/>
        </w:rPr>
        <w:drawing>
          <wp:inline distT="0" distB="0" distL="0" distR="0">
            <wp:extent cx="5252224" cy="1572322"/>
            <wp:effectExtent l="0" t="0" r="571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474" cy="1582575"/>
                    </a:xfrm>
                    <a:prstGeom prst="rect">
                      <a:avLst/>
                    </a:prstGeom>
                    <a:noFill/>
                    <a:ln>
                      <a:noFill/>
                    </a:ln>
                    <a:extLst/>
                  </pic:spPr>
                </pic:pic>
              </a:graphicData>
            </a:graphic>
          </wp:inline>
        </w:drawing>
      </w:r>
    </w:p>
    <w:p w:rsidR="002C6518" w:rsidRDefault="00E517A5" w:rsidP="00857969">
      <w:pPr>
        <w:spacing w:after="0" w:line="240" w:lineRule="auto"/>
        <w:jc w:val="center"/>
        <w:rPr>
          <w:rFonts w:ascii="Arial" w:hAnsi="Arial" w:cs="Arial"/>
          <w:color w:val="002060"/>
          <w:sz w:val="20"/>
          <w:szCs w:val="20"/>
        </w:rPr>
      </w:pPr>
      <w:r>
        <w:rPr>
          <w:noProof/>
          <w:lang w:eastAsia="en-ZA"/>
        </w:rPr>
        <w:drawing>
          <wp:anchor distT="0" distB="0" distL="114300" distR="114300" simplePos="0" relativeHeight="251659264" behindDoc="0" locked="0" layoutInCell="1" allowOverlap="1">
            <wp:simplePos x="0" y="0"/>
            <wp:positionH relativeFrom="column">
              <wp:posOffset>17145</wp:posOffset>
            </wp:positionH>
            <wp:positionV relativeFrom="paragraph">
              <wp:posOffset>32029</wp:posOffset>
            </wp:positionV>
            <wp:extent cx="5296535" cy="1593215"/>
            <wp:effectExtent l="0" t="0" r="0" b="698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6535" cy="1593215"/>
                    </a:xfrm>
                    <a:prstGeom prst="rect">
                      <a:avLst/>
                    </a:prstGeom>
                    <a:noFill/>
                    <a:ln>
                      <a:noFill/>
                    </a:ln>
                    <a:extLst/>
                  </pic:spPr>
                </pic:pic>
              </a:graphicData>
            </a:graphic>
          </wp:anchor>
        </w:drawing>
      </w:r>
      <w:r w:rsidR="00704CC6">
        <w:rPr>
          <w:rFonts w:ascii="Arial" w:hAnsi="Arial" w:cs="Arial"/>
          <w:noProof/>
          <w:color w:val="002060"/>
          <w:sz w:val="20"/>
          <w:szCs w:val="20"/>
          <w:lang w:eastAsia="en-ZA"/>
        </w:rPr>
        <w:pict>
          <v:shapetype id="_x0000_t202" coordsize="21600,21600" o:spt="202" path="m,l,21600r21600,l21600,xe">
            <v:stroke joinstyle="miter"/>
            <v:path gradientshapeok="t" o:connecttype="rect"/>
          </v:shapetype>
          <v:shape id="Text Box 2" o:spid="_x0000_s1032" type="#_x0000_t202" style="position:absolute;left:0;text-align:left;margin-left:471.3pt;margin-top:5.05pt;width:53.4pt;height:110.55pt;rotation:-502309fd;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" fillcolor="#365f91 [2404]" strokecolor="#365f91 [2404]">
            <v:textbox style="mso-fit-shape-to-text:t">
              <w:txbxContent>
                <w:p w:rsidR="00017444" w:rsidRPr="00E517A5" w:rsidRDefault="00017444" w:rsidP="00E517A5">
                  <w:pPr>
                    <w:spacing w:after="0" w:line="240" w:lineRule="auto"/>
                    <w:jc w:val="center"/>
                    <w:rPr>
                      <w:rFonts w:ascii="Arial Narrow" w:hAnsi="Arial Narrow"/>
                      <w:b/>
                      <w:color w:val="92D050"/>
                    </w:rPr>
                  </w:pPr>
                  <w:r w:rsidRPr="00E517A5">
                    <w:rPr>
                      <w:rFonts w:ascii="Arial Narrow" w:hAnsi="Arial Narrow"/>
                      <w:b/>
                      <w:color w:val="92D050"/>
                    </w:rPr>
                    <w:t>201</w:t>
                  </w:r>
                  <w:r w:rsidR="00D74F3E">
                    <w:rPr>
                      <w:rFonts w:ascii="Arial Narrow" w:hAnsi="Arial Narrow"/>
                      <w:b/>
                      <w:color w:val="92D050"/>
                    </w:rPr>
                    <w:t>8</w:t>
                  </w:r>
                </w:p>
              </w:txbxContent>
            </v:textbox>
          </v:shape>
        </w:pict>
      </w:r>
    </w:p>
    <w:p w:rsidR="002C6518" w:rsidRDefault="002C6518" w:rsidP="00857969">
      <w:pPr>
        <w:spacing w:after="0" w:line="240" w:lineRule="auto"/>
        <w:jc w:val="center"/>
        <w:rPr>
          <w:rFonts w:ascii="Arial" w:hAnsi="Arial" w:cs="Arial"/>
          <w:color w:val="002060"/>
          <w:sz w:val="20"/>
          <w:szCs w:val="20"/>
        </w:rPr>
      </w:pPr>
    </w:p>
    <w:p w:rsidR="002C6518" w:rsidRDefault="002C6518" w:rsidP="00857969">
      <w:pPr>
        <w:spacing w:after="0" w:line="240" w:lineRule="auto"/>
        <w:jc w:val="center"/>
        <w:rPr>
          <w:rFonts w:ascii="Arial" w:hAnsi="Arial" w:cs="Arial"/>
          <w:color w:val="002060"/>
          <w:sz w:val="20"/>
          <w:szCs w:val="20"/>
        </w:rPr>
      </w:pPr>
    </w:p>
    <w:p w:rsidR="002C6518" w:rsidRDefault="002C6518" w:rsidP="00857969">
      <w:pPr>
        <w:spacing w:after="0" w:line="240" w:lineRule="auto"/>
        <w:jc w:val="center"/>
        <w:rPr>
          <w:rFonts w:ascii="Arial" w:hAnsi="Arial" w:cs="Arial"/>
          <w:color w:val="002060"/>
          <w:sz w:val="20"/>
          <w:szCs w:val="20"/>
        </w:rPr>
      </w:pPr>
    </w:p>
    <w:p w:rsidR="002C6518" w:rsidRDefault="002C6518" w:rsidP="00857969">
      <w:pPr>
        <w:spacing w:after="0" w:line="240" w:lineRule="auto"/>
        <w:jc w:val="center"/>
        <w:rPr>
          <w:rFonts w:ascii="Arial" w:hAnsi="Arial" w:cs="Arial"/>
          <w:color w:val="002060"/>
          <w:sz w:val="20"/>
          <w:szCs w:val="20"/>
        </w:rPr>
      </w:pPr>
    </w:p>
    <w:p w:rsidR="00893035" w:rsidRDefault="00893035" w:rsidP="00857969">
      <w:pPr>
        <w:spacing w:after="0" w:line="240" w:lineRule="auto"/>
        <w:jc w:val="center"/>
        <w:rPr>
          <w:rFonts w:ascii="Arial" w:hAnsi="Arial" w:cs="Arial"/>
          <w:color w:val="002060"/>
          <w:sz w:val="20"/>
          <w:szCs w:val="20"/>
        </w:rPr>
      </w:pPr>
    </w:p>
    <w:p w:rsidR="00893035" w:rsidRDefault="00893035" w:rsidP="00857969">
      <w:pPr>
        <w:spacing w:after="0" w:line="240" w:lineRule="auto"/>
        <w:rPr>
          <w:rFonts w:ascii="Arial" w:hAnsi="Arial" w:cs="Arial"/>
          <w:color w:val="002060"/>
          <w:sz w:val="20"/>
          <w:szCs w:val="20"/>
        </w:rPr>
      </w:pPr>
    </w:p>
    <w:p w:rsidR="00893035" w:rsidRDefault="00893035" w:rsidP="00857969">
      <w:pPr>
        <w:spacing w:after="0" w:line="240" w:lineRule="auto"/>
        <w:rPr>
          <w:rFonts w:ascii="Arial" w:hAnsi="Arial" w:cs="Arial"/>
          <w:color w:val="002060"/>
          <w:sz w:val="20"/>
          <w:szCs w:val="20"/>
        </w:rPr>
      </w:pPr>
    </w:p>
    <w:p w:rsidR="00857969" w:rsidRDefault="00E517A5" w:rsidP="00857969">
      <w:pPr>
        <w:spacing w:after="0" w:line="240" w:lineRule="auto"/>
        <w:rPr>
          <w:rFonts w:ascii="Arial" w:hAnsi="Arial" w:cs="Arial"/>
          <w:color w:val="002060"/>
          <w:sz w:val="20"/>
          <w:szCs w:val="20"/>
        </w:rPr>
      </w:pPr>
      <w:r>
        <w:rPr>
          <w:noProof/>
          <w:lang w:eastAsia="en-ZA"/>
        </w:rPr>
        <w:drawing>
          <wp:anchor distT="0" distB="0" distL="114300" distR="114300" simplePos="0" relativeHeight="251660288" behindDoc="0" locked="0" layoutInCell="1" allowOverlap="1">
            <wp:simplePos x="0" y="0"/>
            <wp:positionH relativeFrom="column">
              <wp:posOffset>1075055</wp:posOffset>
            </wp:positionH>
            <wp:positionV relativeFrom="paragraph">
              <wp:posOffset>97434</wp:posOffset>
            </wp:positionV>
            <wp:extent cx="4248150" cy="71310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713105"/>
                    </a:xfrm>
                    <a:prstGeom prst="rect">
                      <a:avLst/>
                    </a:prstGeom>
                    <a:noFill/>
                    <a:ln>
                      <a:noFill/>
                    </a:ln>
                    <a:extLst/>
                  </pic:spPr>
                </pic:pic>
              </a:graphicData>
            </a:graphic>
          </wp:anchor>
        </w:drawing>
      </w:r>
    </w:p>
    <w:p w:rsidR="00857969" w:rsidRDefault="00857969" w:rsidP="00857969">
      <w:pPr>
        <w:spacing w:after="0" w:line="240" w:lineRule="auto"/>
        <w:rPr>
          <w:rFonts w:ascii="Arial" w:hAnsi="Arial" w:cs="Arial"/>
          <w:color w:val="002060"/>
          <w:sz w:val="20"/>
          <w:szCs w:val="20"/>
        </w:rPr>
      </w:pPr>
    </w:p>
    <w:p w:rsidR="00857969" w:rsidRDefault="00704CC6" w:rsidP="00857969">
      <w:pPr>
        <w:spacing w:after="0" w:line="240" w:lineRule="auto"/>
        <w:rPr>
          <w:rFonts w:ascii="Arial" w:hAnsi="Arial" w:cs="Arial"/>
          <w:color w:val="002060"/>
          <w:sz w:val="20"/>
          <w:szCs w:val="20"/>
        </w:rPr>
      </w:pPr>
      <w:r w:rsidRPr="00704CC6">
        <w:rPr>
          <w:noProof/>
          <w:lang w:eastAsia="en-ZA"/>
        </w:rPr>
        <w:pict>
          <v:line id="Straight Connector 19" o:spid="_x0000_s103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8.3pt,.15pt" to="38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" strokecolor="#4579b8 [3044]"/>
        </w:pict>
      </w:r>
    </w:p>
    <w:p w:rsidR="00857969" w:rsidRDefault="00857969" w:rsidP="00857969">
      <w:pPr>
        <w:spacing w:after="0" w:line="240" w:lineRule="auto"/>
        <w:rPr>
          <w:rFonts w:ascii="Arial" w:hAnsi="Arial" w:cs="Arial"/>
          <w:color w:val="002060"/>
          <w:sz w:val="20"/>
          <w:szCs w:val="20"/>
        </w:rPr>
      </w:pPr>
    </w:p>
    <w:p w:rsidR="00857969" w:rsidRDefault="00704CC6" w:rsidP="00857969">
      <w:pPr>
        <w:spacing w:after="0" w:line="240" w:lineRule="auto"/>
        <w:rPr>
          <w:rFonts w:ascii="Arial" w:hAnsi="Arial" w:cs="Arial"/>
          <w:color w:val="002060"/>
          <w:sz w:val="20"/>
          <w:szCs w:val="20"/>
        </w:rPr>
      </w:pPr>
      <w:r w:rsidRPr="00704CC6">
        <w:rPr>
          <w:noProof/>
          <w:lang w:eastAsia="en-ZA"/>
        </w:rPr>
        <w:pict>
          <v:line id="Straight Connector 4" o:spid="_x0000_s103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9.75pt,9.7pt" to="183.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" strokecolor="#4579b8 [3044]"/>
        </w:pict>
      </w:r>
      <w:r w:rsidRPr="00704CC6">
        <w:rPr>
          <w:noProof/>
          <w:lang w:eastAsia="en-ZA"/>
        </w:rPr>
        <w:pict>
          <v:line id="Straight Connector 18" o:spid="_x0000_s1029"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1.65pt,9.7pt" to="31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" strokecolor="#4579b8 [3044]"/>
        </w:pict>
      </w:r>
    </w:p>
    <w:p w:rsidR="00857969" w:rsidRDefault="00857969" w:rsidP="00857969">
      <w:pPr>
        <w:spacing w:after="0" w:line="240" w:lineRule="auto"/>
        <w:rPr>
          <w:rFonts w:ascii="Arial" w:hAnsi="Arial" w:cs="Arial"/>
          <w:color w:val="002060"/>
          <w:sz w:val="20"/>
          <w:szCs w:val="20"/>
        </w:rPr>
      </w:pPr>
    </w:p>
    <w:p w:rsidR="00C77C72" w:rsidRDefault="00C77C72" w:rsidP="00857969">
      <w:pPr>
        <w:spacing w:after="0" w:line="240" w:lineRule="auto"/>
        <w:rPr>
          <w:rFonts w:ascii="Arial" w:hAnsi="Arial" w:cs="Arial"/>
          <w:color w:val="002060"/>
          <w:sz w:val="20"/>
          <w:szCs w:val="20"/>
        </w:rPr>
      </w:pPr>
    </w:p>
    <w:tbl>
      <w:tblPr>
        <w:tblStyle w:val="TableGrid"/>
        <w:tblW w:w="0" w:type="auto"/>
        <w:shd w:val="clear" w:color="auto" w:fill="1F497D" w:themeFill="text2"/>
        <w:tblLook w:val="04A0"/>
      </w:tblPr>
      <w:tblGrid>
        <w:gridCol w:w="10422"/>
      </w:tblGrid>
      <w:tr w:rsidR="00C77C72" w:rsidRPr="00C77C72" w:rsidTr="00C77C72">
        <w:tc>
          <w:tcPr>
            <w:tcW w:w="10422" w:type="dxa"/>
            <w:shd w:val="clear" w:color="auto" w:fill="1F497D" w:themeFill="text2"/>
          </w:tcPr>
          <w:p w:rsidR="00857969" w:rsidRPr="00C77C72" w:rsidRDefault="00857969" w:rsidP="003D357E">
            <w:pPr>
              <w:pStyle w:val="ListParagraph"/>
              <w:numPr>
                <w:ilvl w:val="0"/>
                <w:numId w:val="1"/>
              </w:numPr>
              <w:spacing w:before="20" w:after="20"/>
              <w:contextualSpacing w:val="0"/>
              <w:rPr>
                <w:rFonts w:ascii="Arial" w:hAnsi="Arial" w:cs="Arial"/>
                <w:color w:val="FFFFFF" w:themeColor="background1"/>
              </w:rPr>
            </w:pPr>
            <w:r w:rsidRPr="00C77C72">
              <w:rPr>
                <w:rFonts w:ascii="Arial" w:hAnsi="Arial" w:cs="Arial"/>
                <w:color w:val="FFFFFF" w:themeColor="background1"/>
              </w:rPr>
              <w:t>Audit definitions and outcomes</w:t>
            </w:r>
          </w:p>
        </w:tc>
      </w:tr>
    </w:tbl>
    <w:p w:rsidR="00857969" w:rsidRDefault="00857969" w:rsidP="00857969">
      <w:pPr>
        <w:spacing w:after="0" w:line="240" w:lineRule="auto"/>
        <w:rPr>
          <w:rFonts w:ascii="Arial" w:hAnsi="Arial" w:cs="Arial"/>
          <w:color w:val="002060"/>
          <w:sz w:val="20"/>
          <w:szCs w:val="20"/>
        </w:rPr>
      </w:pPr>
    </w:p>
    <w:tbl>
      <w:tblPr>
        <w:tblStyle w:val="TableGrid"/>
        <w:tblW w:w="10456" w:type="dxa"/>
        <w:tblLook w:val="04A0"/>
      </w:tblPr>
      <w:tblGrid>
        <w:gridCol w:w="3380"/>
        <w:gridCol w:w="7076"/>
      </w:tblGrid>
      <w:tr w:rsidR="00935687" w:rsidRPr="00935687" w:rsidTr="00C77C72">
        <w:tc>
          <w:tcPr>
            <w:tcW w:w="3380" w:type="dxa"/>
            <w:shd w:val="clear" w:color="auto" w:fill="B8CCE4" w:themeFill="accent1" w:themeFillTint="66"/>
          </w:tcPr>
          <w:p w:rsidR="00935687" w:rsidRPr="00C77C72" w:rsidRDefault="00935687" w:rsidP="004D7905">
            <w:pPr>
              <w:contextualSpacing/>
              <w:jc w:val="center"/>
              <w:rPr>
                <w:rFonts w:ascii="Arial" w:hAnsi="Arial" w:cs="Arial"/>
                <w:b/>
                <w:color w:val="002060"/>
                <w:sz w:val="18"/>
                <w:szCs w:val="18"/>
              </w:rPr>
            </w:pPr>
            <w:r w:rsidRPr="00C77C72">
              <w:rPr>
                <w:rFonts w:ascii="Arial" w:hAnsi="Arial" w:cs="Arial"/>
                <w:b/>
                <w:color w:val="002060"/>
                <w:sz w:val="18"/>
                <w:szCs w:val="18"/>
              </w:rPr>
              <w:t>Audit outcome of financial statements</w:t>
            </w:r>
          </w:p>
        </w:tc>
        <w:tc>
          <w:tcPr>
            <w:tcW w:w="7076" w:type="dxa"/>
            <w:tcBorders>
              <w:bottom w:val="single" w:sz="4" w:space="0" w:color="auto"/>
            </w:tcBorders>
            <w:shd w:val="clear" w:color="auto" w:fill="B8CCE4" w:themeFill="accent1" w:themeFillTint="66"/>
            <w:vAlign w:val="center"/>
          </w:tcPr>
          <w:p w:rsidR="00935687" w:rsidRPr="00C77C72" w:rsidRDefault="00935687" w:rsidP="00675EE1">
            <w:pPr>
              <w:contextualSpacing/>
              <w:jc w:val="center"/>
              <w:rPr>
                <w:rFonts w:ascii="Arial" w:hAnsi="Arial" w:cs="Arial"/>
                <w:b/>
                <w:color w:val="002060"/>
                <w:sz w:val="18"/>
                <w:szCs w:val="18"/>
              </w:rPr>
            </w:pPr>
            <w:r w:rsidRPr="00C77C72">
              <w:rPr>
                <w:rFonts w:ascii="Arial" w:hAnsi="Arial" w:cs="Arial"/>
                <w:b/>
                <w:color w:val="002060"/>
                <w:sz w:val="18"/>
                <w:szCs w:val="18"/>
              </w:rPr>
              <w:t>Definition</w:t>
            </w:r>
            <w:r w:rsidR="00675EE1" w:rsidRPr="00C77C72">
              <w:rPr>
                <w:rFonts w:ascii="Arial" w:hAnsi="Arial" w:cs="Arial"/>
                <w:b/>
                <w:color w:val="002060"/>
                <w:sz w:val="18"/>
                <w:szCs w:val="18"/>
              </w:rPr>
              <w:t>s</w:t>
            </w:r>
          </w:p>
        </w:tc>
      </w:tr>
      <w:tr w:rsidR="00935687" w:rsidRPr="00935687" w:rsidTr="0079155A">
        <w:trPr>
          <w:trHeight w:val="1379"/>
        </w:trPr>
        <w:tc>
          <w:tcPr>
            <w:tcW w:w="3380" w:type="dxa"/>
            <w:shd w:val="clear" w:color="auto" w:fill="00B050"/>
            <w:vAlign w:val="center"/>
          </w:tcPr>
          <w:p w:rsidR="00935687" w:rsidRPr="00935687" w:rsidRDefault="00935687" w:rsidP="00CD0A9C">
            <w:pPr>
              <w:contextualSpacing/>
              <w:jc w:val="center"/>
              <w:rPr>
                <w:rFonts w:ascii="Arial" w:hAnsi="Arial" w:cs="Arial"/>
                <w:color w:val="FFFFFF" w:themeColor="background1"/>
                <w:sz w:val="18"/>
                <w:szCs w:val="18"/>
              </w:rPr>
            </w:pPr>
            <w:r w:rsidRPr="00935687">
              <w:rPr>
                <w:rFonts w:ascii="Arial" w:hAnsi="Arial" w:cs="Arial"/>
                <w:color w:val="FFFFFF" w:themeColor="background1"/>
                <w:sz w:val="18"/>
                <w:szCs w:val="18"/>
              </w:rPr>
              <w:t>Clean Audit Outcome</w:t>
            </w:r>
          </w:p>
          <w:p w:rsidR="00935687" w:rsidRPr="00935687" w:rsidRDefault="00935687" w:rsidP="00CD0A9C">
            <w:pPr>
              <w:contextualSpacing/>
              <w:jc w:val="center"/>
              <w:rPr>
                <w:rFonts w:ascii="Arial" w:hAnsi="Arial" w:cs="Arial"/>
                <w:sz w:val="18"/>
                <w:szCs w:val="18"/>
              </w:rPr>
            </w:pPr>
            <w:r w:rsidRPr="00935687">
              <w:rPr>
                <w:rFonts w:ascii="Arial" w:hAnsi="Arial" w:cs="Arial"/>
                <w:noProof/>
                <w:color w:val="FFFFFF" w:themeColor="background1"/>
                <w:sz w:val="18"/>
                <w:szCs w:val="18"/>
                <w:lang w:eastAsia="en-ZA"/>
              </w:rPr>
              <w:drawing>
                <wp:inline distT="0" distB="0" distL="0" distR="0">
                  <wp:extent cx="1405194" cy="685390"/>
                  <wp:effectExtent l="0" t="0" r="508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370" cy="692305"/>
                          </a:xfrm>
                          <a:prstGeom prst="rect">
                            <a:avLst/>
                          </a:prstGeom>
                        </pic:spPr>
                      </pic:pic>
                    </a:graphicData>
                  </a:graphic>
                </wp:inline>
              </w:drawing>
            </w:r>
          </w:p>
        </w:tc>
        <w:tc>
          <w:tcPr>
            <w:tcW w:w="7076" w:type="dxa"/>
            <w:shd w:val="clear" w:color="auto" w:fill="FFFFFF" w:themeFill="background1"/>
          </w:tcPr>
          <w:p w:rsidR="00935687" w:rsidRPr="00935687" w:rsidRDefault="00935687" w:rsidP="00CD0A9C">
            <w:pPr>
              <w:contextualSpacing/>
              <w:rPr>
                <w:rFonts w:ascii="Arial" w:hAnsi="Arial" w:cs="Arial"/>
                <w:sz w:val="18"/>
                <w:szCs w:val="18"/>
              </w:rPr>
            </w:pPr>
            <w:r w:rsidRPr="00935687">
              <w:rPr>
                <w:rFonts w:ascii="Arial" w:hAnsi="Arial" w:cs="Arial"/>
                <w:sz w:val="18"/>
                <w:szCs w:val="18"/>
              </w:rPr>
              <w:t>The financial statements of the auditee are free from material misstatements (financial</w:t>
            </w:r>
            <w:r w:rsidR="00067E1C">
              <w:rPr>
                <w:rFonts w:ascii="Arial" w:hAnsi="Arial" w:cs="Arial"/>
                <w:sz w:val="18"/>
                <w:szCs w:val="18"/>
              </w:rPr>
              <w:t>ly</w:t>
            </w:r>
            <w:r w:rsidRPr="00935687">
              <w:rPr>
                <w:rFonts w:ascii="Arial" w:hAnsi="Arial" w:cs="Arial"/>
                <w:sz w:val="18"/>
                <w:szCs w:val="18"/>
              </w:rPr>
              <w:t xml:space="preserve"> unqualified audit opinion) and there are no material findings on the report on performance against pre-determined objectives or compliance with key laws and regulations.</w:t>
            </w:r>
          </w:p>
        </w:tc>
      </w:tr>
      <w:tr w:rsidR="00935687" w:rsidRPr="00935687" w:rsidTr="0079155A">
        <w:trPr>
          <w:trHeight w:val="1379"/>
        </w:trPr>
        <w:tc>
          <w:tcPr>
            <w:tcW w:w="3380" w:type="dxa"/>
            <w:shd w:val="clear" w:color="auto" w:fill="FFFF00"/>
            <w:vAlign w:val="center"/>
          </w:tcPr>
          <w:p w:rsidR="00935687" w:rsidRPr="00935687" w:rsidRDefault="00935687" w:rsidP="00935687">
            <w:pPr>
              <w:shd w:val="clear" w:color="auto" w:fill="FFFF00"/>
              <w:contextualSpacing/>
              <w:jc w:val="center"/>
              <w:rPr>
                <w:rFonts w:ascii="Arial" w:hAnsi="Arial" w:cs="Arial"/>
                <w:sz w:val="18"/>
                <w:szCs w:val="18"/>
              </w:rPr>
            </w:pPr>
            <w:r w:rsidRPr="00935687">
              <w:rPr>
                <w:rFonts w:ascii="Arial" w:hAnsi="Arial" w:cs="Arial"/>
                <w:sz w:val="18"/>
                <w:szCs w:val="18"/>
              </w:rPr>
              <w:t>Financially unqualified audit opinion with findings</w:t>
            </w:r>
          </w:p>
          <w:p w:rsidR="00935687" w:rsidRPr="00935687" w:rsidRDefault="00935687" w:rsidP="00CD0A9C">
            <w:pPr>
              <w:contextualSpacing/>
              <w:jc w:val="center"/>
              <w:rPr>
                <w:rFonts w:ascii="Arial" w:hAnsi="Arial" w:cs="Arial"/>
                <w:sz w:val="18"/>
                <w:szCs w:val="18"/>
              </w:rPr>
            </w:pPr>
            <w:r w:rsidRPr="00935687">
              <w:rPr>
                <w:rFonts w:ascii="Arial" w:hAnsi="Arial" w:cs="Arial"/>
                <w:noProof/>
                <w:sz w:val="18"/>
                <w:szCs w:val="18"/>
                <w:lang w:eastAsia="en-ZA"/>
              </w:rPr>
              <w:drawing>
                <wp:inline distT="0" distB="0" distL="0" distR="0">
                  <wp:extent cx="1416205" cy="613317"/>
                  <wp:effectExtent l="0" t="0" r="0" b="0"/>
                  <wp:docPr id="25" name="Picture 2" descr="C:\Users\AntoniusV.AGSA\AppData\Local\Microsoft\Windows\Temporary Internet Files\Content.Outlook\Q9GDGQ4H\Unqualified with finding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Users\AntoniusV.AGSA\AppData\Local\Microsoft\Windows\Temporary Internet Files\Content.Outlook\Q9GDGQ4H\Unqualified with findings.jpg"/>
                          <pic:cNvPicPr preferRelativeResize="0">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1029" cy="615406"/>
                          </a:xfrm>
                          <a:prstGeom prst="rect">
                            <a:avLst/>
                          </a:prstGeom>
                          <a:extLst/>
                        </pic:spPr>
                      </pic:pic>
                    </a:graphicData>
                  </a:graphic>
                </wp:inline>
              </w:drawing>
            </w:r>
          </w:p>
        </w:tc>
        <w:tc>
          <w:tcPr>
            <w:tcW w:w="7076" w:type="dxa"/>
            <w:shd w:val="clear" w:color="auto" w:fill="FFFFFF" w:themeFill="background1"/>
          </w:tcPr>
          <w:p w:rsidR="00935687" w:rsidRPr="00935687" w:rsidRDefault="00935687" w:rsidP="00CD0A9C">
            <w:pPr>
              <w:contextualSpacing/>
              <w:rPr>
                <w:rFonts w:ascii="Arial" w:hAnsi="Arial" w:cs="Arial"/>
                <w:sz w:val="18"/>
                <w:szCs w:val="18"/>
              </w:rPr>
            </w:pPr>
            <w:r w:rsidRPr="00935687">
              <w:rPr>
                <w:rFonts w:ascii="Arial" w:hAnsi="Arial" w:cs="Arial"/>
                <w:sz w:val="18"/>
                <w:szCs w:val="18"/>
              </w:rPr>
              <w:t>The financial statements contain no material misstatements but there are material findings on the report on performance against pre-determined objectives and/or compliance with key laws and regulations.</w:t>
            </w:r>
          </w:p>
        </w:tc>
      </w:tr>
      <w:tr w:rsidR="00935687" w:rsidRPr="00935687" w:rsidTr="0079155A">
        <w:trPr>
          <w:trHeight w:val="1379"/>
        </w:trPr>
        <w:tc>
          <w:tcPr>
            <w:tcW w:w="3380" w:type="dxa"/>
            <w:shd w:val="clear" w:color="auto" w:fill="7030A0"/>
            <w:vAlign w:val="center"/>
          </w:tcPr>
          <w:p w:rsidR="00935687" w:rsidRPr="00935687" w:rsidRDefault="008950C8" w:rsidP="00935687">
            <w:pPr>
              <w:contextualSpacing/>
              <w:jc w:val="center"/>
              <w:rPr>
                <w:rFonts w:ascii="Arial" w:hAnsi="Arial" w:cs="Arial"/>
                <w:sz w:val="18"/>
                <w:szCs w:val="18"/>
              </w:rPr>
            </w:pPr>
            <w:r w:rsidRPr="00935687">
              <w:rPr>
                <w:rFonts w:ascii="Arial" w:hAnsi="Arial" w:cs="Arial"/>
                <w:noProof/>
                <w:sz w:val="18"/>
                <w:szCs w:val="18"/>
                <w:lang w:eastAsia="en-ZA"/>
              </w:rPr>
              <w:drawing>
                <wp:anchor distT="0" distB="0" distL="114300" distR="114300" simplePos="0" relativeHeight="251678720" behindDoc="0" locked="0" layoutInCell="1" allowOverlap="1">
                  <wp:simplePos x="0" y="0"/>
                  <wp:positionH relativeFrom="page">
                    <wp:posOffset>361950</wp:posOffset>
                  </wp:positionH>
                  <wp:positionV relativeFrom="page">
                    <wp:posOffset>231775</wp:posOffset>
                  </wp:positionV>
                  <wp:extent cx="1348740" cy="630555"/>
                  <wp:effectExtent l="0" t="0" r="3810" b="0"/>
                  <wp:wrapTopAndBottom/>
                  <wp:docPr id="9" name="Picture 2" descr="C:\Users\AntoniusV.AGSA\AppData\Local\Microsoft\Windows\Temporary Internet Files\Content.Outlook\Q9GDGQ4H\Qualified aud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Users\AntoniusV.AGSA\AppData\Local\Microsoft\Windows\Temporary Internet Files\Content.Outlook\Q9GDGQ4H\Qualified audit.jpg"/>
                          <pic:cNvPicPr preferRelativeResize="0">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630555"/>
                          </a:xfrm>
                          <a:prstGeom prst="rect">
                            <a:avLst/>
                          </a:prstGeom>
                          <a:noFill/>
                          <a:extLst/>
                        </pic:spPr>
                      </pic:pic>
                    </a:graphicData>
                  </a:graphic>
                </wp:anchor>
              </w:drawing>
            </w:r>
            <w:r w:rsidR="00935687" w:rsidRPr="00935687">
              <w:rPr>
                <w:rFonts w:ascii="Arial" w:hAnsi="Arial" w:cs="Arial"/>
                <w:color w:val="FFFFFF" w:themeColor="background1"/>
                <w:sz w:val="18"/>
                <w:szCs w:val="18"/>
              </w:rPr>
              <w:t>Qualified audit opinion</w:t>
            </w:r>
          </w:p>
        </w:tc>
        <w:tc>
          <w:tcPr>
            <w:tcW w:w="7076" w:type="dxa"/>
            <w:shd w:val="clear" w:color="auto" w:fill="FFFFFF" w:themeFill="background1"/>
          </w:tcPr>
          <w:p w:rsidR="00935687" w:rsidRPr="00935687" w:rsidRDefault="00935687" w:rsidP="00CD0A9C">
            <w:pPr>
              <w:contextualSpacing/>
              <w:rPr>
                <w:rFonts w:ascii="Arial" w:hAnsi="Arial" w:cs="Arial"/>
                <w:sz w:val="18"/>
                <w:szCs w:val="18"/>
              </w:rPr>
            </w:pPr>
            <w:r w:rsidRPr="00935687">
              <w:rPr>
                <w:rFonts w:ascii="Arial" w:hAnsi="Arial" w:cs="Arial"/>
                <w:sz w:val="18"/>
                <w:szCs w:val="18"/>
              </w:rPr>
              <w:t>The financial statements contain material misstatements in specific amounts or there is insufficient evidence for the auditor to conclude that the specific amounts included in the financial statements are not material misstated.</w:t>
            </w:r>
          </w:p>
        </w:tc>
      </w:tr>
      <w:tr w:rsidR="00935687" w:rsidRPr="00935687" w:rsidTr="0079155A">
        <w:trPr>
          <w:trHeight w:val="1379"/>
        </w:trPr>
        <w:tc>
          <w:tcPr>
            <w:tcW w:w="3380" w:type="dxa"/>
            <w:shd w:val="clear" w:color="auto" w:fill="FF66FF"/>
            <w:vAlign w:val="center"/>
          </w:tcPr>
          <w:p w:rsidR="00935687" w:rsidRPr="00935687" w:rsidRDefault="00935687" w:rsidP="00935687">
            <w:pPr>
              <w:contextualSpacing/>
              <w:jc w:val="center"/>
              <w:rPr>
                <w:rFonts w:ascii="Arial" w:hAnsi="Arial" w:cs="Arial"/>
                <w:sz w:val="18"/>
                <w:szCs w:val="18"/>
              </w:rPr>
            </w:pPr>
            <w:r w:rsidRPr="00935687">
              <w:rPr>
                <w:rFonts w:ascii="Arial" w:hAnsi="Arial" w:cs="Arial"/>
                <w:sz w:val="18"/>
                <w:szCs w:val="18"/>
              </w:rPr>
              <w:t>Adverse audit opinion</w:t>
            </w:r>
          </w:p>
          <w:p w:rsidR="00935687" w:rsidRPr="00935687" w:rsidRDefault="00935687" w:rsidP="00935687">
            <w:pPr>
              <w:contextualSpacing/>
              <w:jc w:val="center"/>
              <w:rPr>
                <w:rFonts w:ascii="Arial" w:hAnsi="Arial" w:cs="Arial"/>
                <w:sz w:val="18"/>
                <w:szCs w:val="18"/>
              </w:rPr>
            </w:pPr>
            <w:r w:rsidRPr="004D7905">
              <w:rPr>
                <w:rFonts w:ascii="Arial" w:hAnsi="Arial" w:cs="Arial"/>
                <w:noProof/>
                <w:sz w:val="18"/>
                <w:szCs w:val="18"/>
                <w:shd w:val="clear" w:color="auto" w:fill="FF66FF"/>
                <w:lang w:eastAsia="en-ZA"/>
              </w:rPr>
              <w:drawing>
                <wp:inline distT="0" distB="0" distL="0" distR="0">
                  <wp:extent cx="1360449" cy="635619"/>
                  <wp:effectExtent l="0" t="0" r="0" b="0"/>
                  <wp:docPr id="6" name="Picture 2" descr="C:\Users\AntoniusV.AGSA\AppData\Local\Microsoft\Windows\Temporary Internet Files\Content.Outlook\Q9GDGQ4H\Adverse aud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C:\Users\AntoniusV.AGSA\AppData\Local\Microsoft\Windows\Temporary Internet Files\Content.Outlook\Q9GDGQ4H\Adverse audit.jpg"/>
                          <pic:cNvPicPr preferRelativeResize="0">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082" cy="637783"/>
                          </a:xfrm>
                          <a:prstGeom prst="rect">
                            <a:avLst/>
                          </a:prstGeom>
                          <a:noFill/>
                          <a:extLst/>
                        </pic:spPr>
                      </pic:pic>
                    </a:graphicData>
                  </a:graphic>
                </wp:inline>
              </w:drawing>
            </w:r>
          </w:p>
        </w:tc>
        <w:tc>
          <w:tcPr>
            <w:tcW w:w="7076" w:type="dxa"/>
            <w:shd w:val="clear" w:color="auto" w:fill="FFFFFF" w:themeFill="background1"/>
          </w:tcPr>
          <w:p w:rsidR="00935687" w:rsidRPr="00935687" w:rsidRDefault="00935687" w:rsidP="00CD0A9C">
            <w:pPr>
              <w:contextualSpacing/>
              <w:rPr>
                <w:rFonts w:ascii="Arial" w:hAnsi="Arial" w:cs="Arial"/>
                <w:sz w:val="18"/>
                <w:szCs w:val="18"/>
              </w:rPr>
            </w:pPr>
            <w:r w:rsidRPr="00935687">
              <w:rPr>
                <w:rFonts w:ascii="Arial" w:hAnsi="Arial" w:cs="Arial"/>
                <w:sz w:val="18"/>
                <w:szCs w:val="18"/>
              </w:rPr>
              <w:t>The financial statements contain misstatements that are not confined to specific amounts or the misstatements represent a substantial portion of the financial statements.</w:t>
            </w:r>
          </w:p>
        </w:tc>
      </w:tr>
      <w:tr w:rsidR="00935687" w:rsidRPr="00935687" w:rsidTr="0079155A">
        <w:trPr>
          <w:trHeight w:val="1379"/>
        </w:trPr>
        <w:tc>
          <w:tcPr>
            <w:tcW w:w="3380" w:type="dxa"/>
            <w:shd w:val="clear" w:color="auto" w:fill="FF0000"/>
            <w:vAlign w:val="center"/>
          </w:tcPr>
          <w:p w:rsidR="00935687" w:rsidRPr="00C77C72" w:rsidRDefault="00935687" w:rsidP="00C77C72">
            <w:pPr>
              <w:contextualSpacing/>
              <w:jc w:val="center"/>
              <w:rPr>
                <w:rFonts w:ascii="Arial" w:hAnsi="Arial" w:cs="Arial"/>
                <w:color w:val="FFFFFF" w:themeColor="background1"/>
                <w:sz w:val="18"/>
                <w:szCs w:val="18"/>
              </w:rPr>
            </w:pPr>
            <w:r w:rsidRPr="00935687">
              <w:rPr>
                <w:rFonts w:ascii="Arial" w:hAnsi="Arial" w:cs="Arial"/>
                <w:noProof/>
                <w:color w:val="FFFFFF" w:themeColor="background1"/>
                <w:sz w:val="18"/>
                <w:szCs w:val="18"/>
                <w:lang w:eastAsia="en-ZA"/>
              </w:rPr>
              <w:drawing>
                <wp:anchor distT="0" distB="0" distL="114300" distR="114300" simplePos="0" relativeHeight="251676672" behindDoc="0" locked="0" layoutInCell="1" allowOverlap="1">
                  <wp:simplePos x="0" y="0"/>
                  <wp:positionH relativeFrom="column">
                    <wp:posOffset>275590</wp:posOffset>
                  </wp:positionH>
                  <wp:positionV relativeFrom="page">
                    <wp:posOffset>271145</wp:posOffset>
                  </wp:positionV>
                  <wp:extent cx="1416050" cy="590550"/>
                  <wp:effectExtent l="0" t="0" r="0" b="0"/>
                  <wp:wrapSquare wrapText="bothSides"/>
                  <wp:docPr id="2" name="Picture 2" descr="C:\Users\AntoniusV.AGSA\AppData\Local\Microsoft\Windows\Temporary Internet Files\Content.Outlook\Q9GDGQ4H\Disclaim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descr="C:\Users\AntoniusV.AGSA\AppData\Local\Microsoft\Windows\Temporary Internet Files\Content.Outlook\Q9GDGQ4H\Disclaimer.jpg"/>
                          <pic:cNvPicPr preferRelativeResize="0">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0" cy="590550"/>
                          </a:xfrm>
                          <a:prstGeom prst="rect">
                            <a:avLst/>
                          </a:prstGeom>
                          <a:noFill/>
                          <a:extLst/>
                        </pic:spPr>
                      </pic:pic>
                    </a:graphicData>
                  </a:graphic>
                </wp:anchor>
              </w:drawing>
            </w:r>
            <w:r w:rsidRPr="00935687">
              <w:rPr>
                <w:rFonts w:ascii="Arial" w:hAnsi="Arial" w:cs="Arial"/>
                <w:color w:val="FFFFFF" w:themeColor="background1"/>
                <w:sz w:val="18"/>
                <w:szCs w:val="18"/>
              </w:rPr>
              <w:t>Disclaimer of audit opinion</w:t>
            </w:r>
          </w:p>
        </w:tc>
        <w:tc>
          <w:tcPr>
            <w:tcW w:w="7076" w:type="dxa"/>
            <w:shd w:val="clear" w:color="auto" w:fill="FFFFFF" w:themeFill="background1"/>
          </w:tcPr>
          <w:p w:rsidR="00935687" w:rsidRPr="00935687" w:rsidRDefault="00935687" w:rsidP="00CD0A9C">
            <w:pPr>
              <w:contextualSpacing/>
              <w:rPr>
                <w:rFonts w:ascii="Arial" w:hAnsi="Arial" w:cs="Arial"/>
                <w:sz w:val="18"/>
                <w:szCs w:val="18"/>
              </w:rPr>
            </w:pPr>
            <w:r w:rsidRPr="00935687">
              <w:rPr>
                <w:rFonts w:ascii="Arial" w:hAnsi="Arial" w:cs="Arial"/>
                <w:sz w:val="18"/>
                <w:szCs w:val="18"/>
              </w:rPr>
              <w:t>There was insufficient appropriate evidence (documentation) on which the auditor could base an opinion concerning the items reported in the financial statements. The lack of sufficient evidence is not confined to specific amounts or represents a substantial portion of the information contained in the financial statements.</w:t>
            </w:r>
          </w:p>
        </w:tc>
      </w:tr>
    </w:tbl>
    <w:p w:rsidR="008950C8" w:rsidRDefault="008950C8" w:rsidP="00675EE1">
      <w:pPr>
        <w:spacing w:after="0" w:line="240" w:lineRule="auto"/>
        <w:rPr>
          <w:rFonts w:ascii="Arial" w:hAnsi="Arial" w:cs="Arial"/>
          <w:color w:val="FFFFFF" w:themeColor="background1"/>
          <w:sz w:val="20"/>
          <w:szCs w:val="20"/>
        </w:rPr>
        <w:sectPr w:rsidR="008950C8" w:rsidSect="00893035">
          <w:pgSz w:w="11906" w:h="16838"/>
          <w:pgMar w:top="426" w:right="849" w:bottom="567" w:left="851" w:header="708" w:footer="708" w:gutter="0"/>
          <w:cols w:space="708"/>
          <w:docGrid w:linePitch="360"/>
        </w:sectPr>
      </w:pPr>
    </w:p>
    <w:tbl>
      <w:tblPr>
        <w:tblStyle w:val="TableGrid"/>
        <w:tblW w:w="0" w:type="auto"/>
        <w:shd w:val="clear" w:color="auto" w:fill="1F497D" w:themeFill="text2"/>
        <w:tblLook w:val="04A0"/>
      </w:tblPr>
      <w:tblGrid>
        <w:gridCol w:w="10422"/>
      </w:tblGrid>
      <w:tr w:rsidR="00167B82" w:rsidRPr="00C77C72" w:rsidTr="008B575E">
        <w:tc>
          <w:tcPr>
            <w:tcW w:w="10422" w:type="dxa"/>
            <w:shd w:val="clear" w:color="auto" w:fill="1F497D" w:themeFill="text2"/>
          </w:tcPr>
          <w:p w:rsidR="00167B82" w:rsidRPr="00C77C72" w:rsidRDefault="00AC7AA6" w:rsidP="00AC7AA6">
            <w:pPr>
              <w:pStyle w:val="ListParagraph"/>
              <w:numPr>
                <w:ilvl w:val="0"/>
                <w:numId w:val="1"/>
              </w:numPr>
              <w:spacing w:before="20" w:after="20"/>
              <w:contextualSpacing w:val="0"/>
              <w:rPr>
                <w:rFonts w:ascii="Arial" w:hAnsi="Arial" w:cs="Arial"/>
                <w:color w:val="FFFFFF" w:themeColor="background1"/>
              </w:rPr>
            </w:pPr>
            <w:r w:rsidRPr="00AC7AA6">
              <w:rPr>
                <w:rFonts w:ascii="Arial" w:hAnsi="Arial" w:cs="Arial"/>
                <w:color w:val="FFFFFF" w:themeColor="background1"/>
              </w:rPr>
              <w:lastRenderedPageBreak/>
              <w:t>AGSA</w:t>
            </w:r>
            <w:r>
              <w:rPr>
                <w:rFonts w:ascii="Arial" w:hAnsi="Arial" w:cs="Arial"/>
                <w:color w:val="FFFFFF" w:themeColor="background1"/>
              </w:rPr>
              <w:t xml:space="preserve"> review of the draft 2018-19 Annual Performance Plan</w:t>
            </w:r>
          </w:p>
        </w:tc>
      </w:tr>
    </w:tbl>
    <w:p w:rsidR="00D3228D" w:rsidRDefault="00B272D2">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63.5pt" o:ole="">
            <v:imagedata r:id="rId20" o:title=""/>
          </v:shape>
          <o:OLEObject Type="Embed" ProgID="PowerPoint.Slide.12" ShapeID="_x0000_i1025" DrawAspect="Content" ObjectID="_1585558773" r:id="rId21"/>
        </w:object>
      </w:r>
      <w:r w:rsidR="00D3228D">
        <w:br w:type="page"/>
      </w:r>
    </w:p>
    <w:p w:rsidR="00D3228D" w:rsidRDefault="009343ED">
      <w:r>
        <w:object w:dxaOrig="7316" w:dyaOrig="5183">
          <v:shape id="_x0000_i1026" type="#_x0000_t75" style="width:751.5pt;height:396pt" o:ole="">
            <v:imagedata r:id="rId22" o:title=""/>
          </v:shape>
          <o:OLEObject Type="Embed" ProgID="PowerPoint.Slide.12" ShapeID="_x0000_i1026" DrawAspect="Content" ObjectID="_1585558774" r:id="rId23"/>
        </w:object>
      </w:r>
    </w:p>
    <w:p w:rsidR="00D3228D" w:rsidRDefault="00D3228D"/>
    <w:p w:rsidR="00D3228D" w:rsidRDefault="00D3228D">
      <w:pPr>
        <w:sectPr w:rsidR="00D3228D" w:rsidSect="0088164B">
          <w:pgSz w:w="16838" w:h="11906" w:orient="landscape"/>
          <w:pgMar w:top="849" w:right="567" w:bottom="851" w:left="426" w:header="708" w:footer="708" w:gutter="0"/>
          <w:cols w:space="708"/>
          <w:docGrid w:linePitch="360"/>
        </w:sectPr>
      </w:pPr>
    </w:p>
    <w:p w:rsidR="0088164B" w:rsidRDefault="0088164B"/>
    <w:tbl>
      <w:tblPr>
        <w:tblStyle w:val="TableGrid"/>
        <w:tblW w:w="0" w:type="auto"/>
        <w:tblInd w:w="-34" w:type="dxa"/>
        <w:tblLook w:val="04A0"/>
      </w:tblPr>
      <w:tblGrid>
        <w:gridCol w:w="10456"/>
      </w:tblGrid>
      <w:tr w:rsidR="00E33FE9" w:rsidRPr="00E33FE9" w:rsidTr="0088164B">
        <w:tc>
          <w:tcPr>
            <w:tcW w:w="10456" w:type="dxa"/>
            <w:shd w:val="clear" w:color="auto" w:fill="1F497D" w:themeFill="text2"/>
          </w:tcPr>
          <w:p w:rsidR="00C77C72" w:rsidRPr="00E33FE9" w:rsidRDefault="00D74F3E" w:rsidP="003D357E">
            <w:pPr>
              <w:pStyle w:val="ListParagraph"/>
              <w:numPr>
                <w:ilvl w:val="0"/>
                <w:numId w:val="1"/>
              </w:numPr>
              <w:spacing w:before="20" w:after="20"/>
              <w:contextualSpacing w:val="0"/>
              <w:rPr>
                <w:rFonts w:ascii="Arial" w:hAnsi="Arial" w:cs="Arial"/>
                <w:color w:val="FFFFFF" w:themeColor="background1"/>
              </w:rPr>
            </w:pPr>
            <w:r w:rsidRPr="00D74F3E">
              <w:rPr>
                <w:rFonts w:ascii="Arial" w:hAnsi="Arial" w:cs="Arial"/>
                <w:color w:val="FFFFFF" w:themeColor="background1"/>
              </w:rPr>
              <w:t>Entities within the Public Works portfolio</w:t>
            </w:r>
            <w:r w:rsidR="00E33FE9" w:rsidRPr="00E33FE9">
              <w:rPr>
                <w:rFonts w:ascii="Arial" w:hAnsi="Arial" w:cs="Arial"/>
                <w:color w:val="FFFFFF" w:themeColor="background1"/>
              </w:rPr>
              <w:t xml:space="preserve"> </w:t>
            </w:r>
          </w:p>
        </w:tc>
      </w:tr>
    </w:tbl>
    <w:p w:rsidR="00675EE1" w:rsidRPr="00E4329D" w:rsidRDefault="00675EE1" w:rsidP="00857969">
      <w:pPr>
        <w:spacing w:after="0" w:line="240" w:lineRule="auto"/>
        <w:rPr>
          <w:rFonts w:ascii="Arial" w:hAnsi="Arial" w:cs="Arial"/>
          <w:color w:val="002060"/>
          <w:sz w:val="20"/>
          <w:szCs w:val="20"/>
        </w:rPr>
      </w:pPr>
    </w:p>
    <w:p w:rsidR="0089059C" w:rsidRPr="00E33FE9" w:rsidRDefault="0089059C" w:rsidP="0089059C">
      <w:pPr>
        <w:autoSpaceDE w:val="0"/>
        <w:autoSpaceDN w:val="0"/>
        <w:adjustRightInd w:val="0"/>
        <w:spacing w:after="0" w:line="240" w:lineRule="auto"/>
        <w:rPr>
          <w:rFonts w:ascii="Arial" w:hAnsi="Arial" w:cs="Arial"/>
          <w:color w:val="002060"/>
          <w:sz w:val="20"/>
          <w:szCs w:val="20"/>
        </w:rPr>
      </w:pPr>
      <w:r>
        <w:rPr>
          <w:rFonts w:ascii="Arial" w:hAnsi="Arial" w:cs="Arial"/>
          <w:b/>
          <w:color w:val="002060"/>
          <w:sz w:val="20"/>
          <w:szCs w:val="20"/>
        </w:rPr>
        <w:t xml:space="preserve">Purpose: </w:t>
      </w:r>
      <w:r>
        <w:rPr>
          <w:rFonts w:ascii="Arial" w:hAnsi="Arial" w:cs="Arial"/>
          <w:color w:val="002060"/>
          <w:sz w:val="20"/>
          <w:szCs w:val="20"/>
        </w:rPr>
        <w:t>P</w:t>
      </w:r>
      <w:r w:rsidRPr="004149B6">
        <w:rPr>
          <w:rFonts w:ascii="Arial" w:hAnsi="Arial" w:cs="Arial"/>
          <w:color w:val="002060"/>
          <w:sz w:val="20"/>
          <w:szCs w:val="20"/>
        </w:rPr>
        <w:t xml:space="preserve">roviding functional accommodation to national and provincial departments by letting government-owned properties and leasing private sector properties. The department also has custodianship of </w:t>
      </w:r>
      <w:r w:rsidR="00FB13D8">
        <w:rPr>
          <w:rFonts w:ascii="Arial" w:hAnsi="Arial" w:cs="Arial"/>
          <w:color w:val="002060"/>
          <w:sz w:val="20"/>
          <w:szCs w:val="20"/>
        </w:rPr>
        <w:t xml:space="preserve">the majority of </w:t>
      </w:r>
      <w:r w:rsidRPr="004149B6">
        <w:rPr>
          <w:rFonts w:ascii="Arial" w:hAnsi="Arial" w:cs="Arial"/>
          <w:color w:val="002060"/>
          <w:sz w:val="20"/>
          <w:szCs w:val="20"/>
        </w:rPr>
        <w:t>national government immovable assets</w:t>
      </w:r>
      <w:r>
        <w:rPr>
          <w:rFonts w:ascii="Arial" w:hAnsi="Arial" w:cs="Arial"/>
          <w:color w:val="002060"/>
          <w:sz w:val="20"/>
          <w:szCs w:val="20"/>
        </w:rPr>
        <w:t>.</w:t>
      </w:r>
    </w:p>
    <w:p w:rsidR="009D1C06" w:rsidRDefault="009D1C06" w:rsidP="00660B48">
      <w:pPr>
        <w:autoSpaceDE w:val="0"/>
        <w:autoSpaceDN w:val="0"/>
        <w:adjustRightInd w:val="0"/>
        <w:spacing w:after="0" w:line="240" w:lineRule="auto"/>
        <w:rPr>
          <w:rFonts w:ascii="Arial" w:hAnsi="Arial" w:cs="Arial"/>
          <w:color w:val="002060"/>
          <w:sz w:val="20"/>
          <w:szCs w:val="20"/>
          <w:u w:val="single"/>
        </w:rPr>
      </w:pPr>
    </w:p>
    <w:p w:rsidR="00021498" w:rsidRPr="00021498" w:rsidRDefault="00021498" w:rsidP="00660B48">
      <w:pPr>
        <w:autoSpaceDE w:val="0"/>
        <w:autoSpaceDN w:val="0"/>
        <w:adjustRightInd w:val="0"/>
        <w:spacing w:after="0" w:line="240" w:lineRule="auto"/>
        <w:rPr>
          <w:rFonts w:ascii="Arial" w:hAnsi="Arial" w:cs="Arial"/>
          <w:color w:val="002060"/>
          <w:sz w:val="20"/>
          <w:szCs w:val="20"/>
          <w:u w:val="single"/>
        </w:rPr>
      </w:pPr>
      <w:r w:rsidRPr="00021498">
        <w:rPr>
          <w:rFonts w:ascii="Arial" w:hAnsi="Arial" w:cs="Arial"/>
          <w:color w:val="002060"/>
          <w:sz w:val="20"/>
          <w:szCs w:val="20"/>
          <w:u w:val="single"/>
        </w:rPr>
        <w:t>Oversight, monitoring and support</w:t>
      </w:r>
      <w:r w:rsidR="00A945CC">
        <w:rPr>
          <w:rFonts w:ascii="Arial" w:hAnsi="Arial" w:cs="Arial"/>
          <w:color w:val="002060"/>
          <w:sz w:val="20"/>
          <w:szCs w:val="20"/>
          <w:u w:val="single"/>
        </w:rPr>
        <w:t xml:space="preserve"> </w:t>
      </w:r>
    </w:p>
    <w:p w:rsidR="00AA246F" w:rsidRDefault="00660B48" w:rsidP="00660B48">
      <w:pPr>
        <w:autoSpaceDE w:val="0"/>
        <w:autoSpaceDN w:val="0"/>
        <w:adjustRightInd w:val="0"/>
        <w:spacing w:after="0" w:line="240" w:lineRule="auto"/>
        <w:rPr>
          <w:rFonts w:ascii="Arial" w:hAnsi="Arial" w:cs="Arial"/>
          <w:color w:val="002060"/>
          <w:sz w:val="20"/>
          <w:szCs w:val="20"/>
        </w:rPr>
      </w:pPr>
      <w:r w:rsidRPr="00660B48">
        <w:rPr>
          <w:rFonts w:ascii="Arial" w:hAnsi="Arial" w:cs="Arial"/>
          <w:color w:val="002060"/>
          <w:sz w:val="20"/>
          <w:szCs w:val="20"/>
        </w:rPr>
        <w:t xml:space="preserve">The Department of </w:t>
      </w:r>
      <w:r w:rsidR="00DC1E96">
        <w:rPr>
          <w:rFonts w:ascii="Arial" w:hAnsi="Arial" w:cs="Arial"/>
          <w:color w:val="002060"/>
          <w:sz w:val="20"/>
          <w:szCs w:val="20"/>
        </w:rPr>
        <w:t>Public Works</w:t>
      </w:r>
      <w:r w:rsidR="00B24C18">
        <w:rPr>
          <w:rFonts w:ascii="Arial" w:hAnsi="Arial" w:cs="Arial"/>
          <w:color w:val="002060"/>
          <w:sz w:val="20"/>
          <w:szCs w:val="20"/>
        </w:rPr>
        <w:t xml:space="preserve"> (D</w:t>
      </w:r>
      <w:r w:rsidR="00DC1E96">
        <w:rPr>
          <w:rFonts w:ascii="Arial" w:hAnsi="Arial" w:cs="Arial"/>
          <w:color w:val="002060"/>
          <w:sz w:val="20"/>
          <w:szCs w:val="20"/>
        </w:rPr>
        <w:t>PW</w:t>
      </w:r>
      <w:r w:rsidR="00B24C18">
        <w:rPr>
          <w:rFonts w:ascii="Arial" w:hAnsi="Arial" w:cs="Arial"/>
          <w:color w:val="002060"/>
          <w:sz w:val="20"/>
          <w:szCs w:val="20"/>
        </w:rPr>
        <w:t>)</w:t>
      </w:r>
      <w:r w:rsidRPr="00660B48">
        <w:rPr>
          <w:rFonts w:ascii="Arial" w:hAnsi="Arial" w:cs="Arial"/>
          <w:color w:val="002060"/>
          <w:sz w:val="20"/>
          <w:szCs w:val="20"/>
        </w:rPr>
        <w:t xml:space="preserve"> is mandated to: </w:t>
      </w:r>
    </w:p>
    <w:p w:rsidR="00DC1E96" w:rsidRPr="00DC1E96" w:rsidRDefault="00DC1E96" w:rsidP="003D357E">
      <w:pPr>
        <w:pStyle w:val="ListParagraph"/>
        <w:numPr>
          <w:ilvl w:val="0"/>
          <w:numId w:val="2"/>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provide quality accommodation and related services to clients</w:t>
      </w:r>
    </w:p>
    <w:p w:rsidR="00DC1E96" w:rsidRPr="00DC1E96" w:rsidRDefault="00DC1E96" w:rsidP="003D357E">
      <w:pPr>
        <w:pStyle w:val="ListParagraph"/>
        <w:numPr>
          <w:ilvl w:val="0"/>
          <w:numId w:val="2"/>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efficiently and effectively manage the immovable assets in the portfolio</w:t>
      </w:r>
    </w:p>
    <w:p w:rsidR="00DC1E96" w:rsidRPr="00DC1E96" w:rsidRDefault="00DC1E96" w:rsidP="003D357E">
      <w:pPr>
        <w:pStyle w:val="ListParagraph"/>
        <w:numPr>
          <w:ilvl w:val="0"/>
          <w:numId w:val="2"/>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actively contribute to the national goals of job creation and poverty alleviation through the expanded public works programme (EPWP)</w:t>
      </w:r>
    </w:p>
    <w:p w:rsidR="00DC1E96" w:rsidRPr="00DC1E96" w:rsidRDefault="00DC1E96" w:rsidP="003D357E">
      <w:pPr>
        <w:pStyle w:val="ListParagraph"/>
        <w:numPr>
          <w:ilvl w:val="0"/>
          <w:numId w:val="2"/>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provide expert built-environment advice to stakeholders</w:t>
      </w:r>
    </w:p>
    <w:p w:rsidR="00660B48" w:rsidRDefault="00DC1E96" w:rsidP="003D357E">
      <w:pPr>
        <w:pStyle w:val="ListParagraph"/>
        <w:numPr>
          <w:ilvl w:val="0"/>
          <w:numId w:val="2"/>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provide strategic leadership to the South African construction and property industries.</w:t>
      </w:r>
    </w:p>
    <w:p w:rsidR="007D706F" w:rsidRDefault="007D706F" w:rsidP="007D706F">
      <w:pPr>
        <w:autoSpaceDE w:val="0"/>
        <w:autoSpaceDN w:val="0"/>
        <w:adjustRightInd w:val="0"/>
        <w:spacing w:after="0" w:line="240" w:lineRule="auto"/>
        <w:rPr>
          <w:rFonts w:ascii="Arial" w:hAnsi="Arial" w:cs="Arial"/>
          <w:color w:val="002060"/>
          <w:sz w:val="20"/>
          <w:szCs w:val="20"/>
        </w:rPr>
      </w:pPr>
    </w:p>
    <w:p w:rsidR="007D706F" w:rsidRPr="00334EED" w:rsidRDefault="007D706F" w:rsidP="007D706F">
      <w:pPr>
        <w:spacing w:after="0" w:line="240" w:lineRule="auto"/>
        <w:ind w:left="993" w:hanging="993"/>
        <w:rPr>
          <w:rFonts w:ascii="Arial" w:hAnsi="Arial" w:cs="Arial"/>
          <w:b/>
          <w:color w:val="002060"/>
          <w:sz w:val="20"/>
          <w:szCs w:val="20"/>
        </w:rPr>
      </w:pPr>
      <w:r>
        <w:rPr>
          <w:rFonts w:ascii="Arial" w:hAnsi="Arial" w:cs="Arial"/>
          <w:b/>
          <w:color w:val="002060"/>
          <w:sz w:val="20"/>
          <w:szCs w:val="20"/>
        </w:rPr>
        <w:t>Entities within the portfolio</w:t>
      </w:r>
    </w:p>
    <w:p w:rsidR="007D706F" w:rsidRDefault="007D706F" w:rsidP="007D706F">
      <w:pPr>
        <w:spacing w:after="0" w:line="240" w:lineRule="auto"/>
        <w:rPr>
          <w:rFonts w:ascii="Arial" w:hAnsi="Arial" w:cs="Arial"/>
          <w:color w:val="002060"/>
          <w:sz w:val="20"/>
          <w:szCs w:val="20"/>
        </w:rPr>
      </w:pPr>
    </w:p>
    <w:p w:rsidR="007D706F" w:rsidRDefault="007D706F" w:rsidP="007D706F">
      <w:pPr>
        <w:spacing w:after="0" w:line="240" w:lineRule="auto"/>
        <w:rPr>
          <w:rFonts w:ascii="Arial" w:hAnsi="Arial" w:cs="Arial"/>
          <w:color w:val="002060"/>
          <w:sz w:val="20"/>
          <w:szCs w:val="20"/>
        </w:rPr>
      </w:pPr>
      <w:r w:rsidRPr="00B24C18">
        <w:rPr>
          <w:rFonts w:ascii="Arial" w:hAnsi="Arial" w:cs="Arial"/>
          <w:color w:val="002060"/>
          <w:sz w:val="20"/>
          <w:szCs w:val="20"/>
        </w:rPr>
        <w:t>In line with the responsibilities</w:t>
      </w:r>
      <w:r>
        <w:rPr>
          <w:rFonts w:ascii="Arial" w:hAnsi="Arial" w:cs="Arial"/>
          <w:color w:val="002060"/>
          <w:sz w:val="20"/>
          <w:szCs w:val="20"/>
        </w:rPr>
        <w:t xml:space="preserve"> highlighted above</w:t>
      </w:r>
      <w:r w:rsidRPr="00B24C18">
        <w:rPr>
          <w:rFonts w:ascii="Arial" w:hAnsi="Arial" w:cs="Arial"/>
          <w:color w:val="002060"/>
          <w:sz w:val="20"/>
          <w:szCs w:val="20"/>
        </w:rPr>
        <w:t xml:space="preserve">, </w:t>
      </w:r>
      <w:r>
        <w:rPr>
          <w:rFonts w:ascii="Arial" w:hAnsi="Arial" w:cs="Arial"/>
          <w:color w:val="002060"/>
          <w:sz w:val="20"/>
          <w:szCs w:val="20"/>
        </w:rPr>
        <w:t>DPW</w:t>
      </w:r>
      <w:r w:rsidRPr="00B24C18">
        <w:rPr>
          <w:rFonts w:ascii="Arial" w:hAnsi="Arial" w:cs="Arial"/>
          <w:color w:val="002060"/>
          <w:sz w:val="20"/>
          <w:szCs w:val="20"/>
        </w:rPr>
        <w:t>’s mandate includes administration of the following</w:t>
      </w:r>
      <w:r>
        <w:rPr>
          <w:rFonts w:ascii="Arial" w:hAnsi="Arial" w:cs="Arial"/>
          <w:color w:val="002060"/>
          <w:sz w:val="20"/>
          <w:szCs w:val="20"/>
        </w:rPr>
        <w:t xml:space="preserve"> entities</w:t>
      </w:r>
      <w:r w:rsidRPr="00B24C18">
        <w:rPr>
          <w:rFonts w:ascii="Arial" w:hAnsi="Arial" w:cs="Arial"/>
          <w:color w:val="002060"/>
          <w:sz w:val="20"/>
          <w:szCs w:val="20"/>
        </w:rPr>
        <w:t>:</w:t>
      </w:r>
    </w:p>
    <w:p w:rsidR="007D706F" w:rsidRDefault="007D706F" w:rsidP="007D706F">
      <w:pPr>
        <w:spacing w:after="0" w:line="240" w:lineRule="auto"/>
        <w:rPr>
          <w:rFonts w:ascii="Arial" w:hAnsi="Arial" w:cs="Arial"/>
          <w:color w:val="002060"/>
          <w:sz w:val="20"/>
          <w:szCs w:val="20"/>
        </w:rPr>
      </w:pPr>
    </w:p>
    <w:tbl>
      <w:tblPr>
        <w:tblStyle w:val="TableGrid"/>
        <w:tblW w:w="0" w:type="auto"/>
        <w:tblLook w:val="04A0"/>
      </w:tblPr>
      <w:tblGrid>
        <w:gridCol w:w="1526"/>
        <w:gridCol w:w="4536"/>
        <w:gridCol w:w="3402"/>
      </w:tblGrid>
      <w:tr w:rsidR="007D706F" w:rsidRPr="007D706F" w:rsidTr="007D706F">
        <w:tc>
          <w:tcPr>
            <w:tcW w:w="1526" w:type="dxa"/>
            <w:shd w:val="clear" w:color="auto" w:fill="002060"/>
            <w:vAlign w:val="center"/>
          </w:tcPr>
          <w:p w:rsidR="007D706F" w:rsidRPr="007D706F" w:rsidRDefault="007D706F" w:rsidP="00D84CA8">
            <w:pPr>
              <w:rPr>
                <w:rFonts w:ascii="Arial" w:hAnsi="Arial" w:cs="Arial"/>
                <w:bCs/>
                <w:iCs/>
                <w:color w:val="FFFFFF" w:themeColor="background1"/>
                <w:sz w:val="20"/>
                <w:szCs w:val="20"/>
              </w:rPr>
            </w:pPr>
            <w:r w:rsidRPr="007D706F">
              <w:rPr>
                <w:rFonts w:ascii="Arial" w:hAnsi="Arial" w:cs="Arial"/>
                <w:bCs/>
                <w:iCs/>
                <w:color w:val="FFFFFF" w:themeColor="background1"/>
                <w:sz w:val="20"/>
                <w:szCs w:val="20"/>
              </w:rPr>
              <w:t>Acronym</w:t>
            </w:r>
          </w:p>
        </w:tc>
        <w:tc>
          <w:tcPr>
            <w:tcW w:w="4536" w:type="dxa"/>
            <w:shd w:val="clear" w:color="auto" w:fill="002060"/>
          </w:tcPr>
          <w:p w:rsidR="007D706F" w:rsidRPr="007D706F" w:rsidRDefault="007D706F" w:rsidP="00D84CA8">
            <w:pPr>
              <w:rPr>
                <w:rFonts w:ascii="Arial" w:hAnsi="Arial" w:cs="Arial"/>
                <w:bCs/>
                <w:iCs/>
                <w:color w:val="FFFFFF" w:themeColor="background1"/>
                <w:sz w:val="20"/>
                <w:szCs w:val="20"/>
              </w:rPr>
            </w:pPr>
            <w:r w:rsidRPr="007D706F">
              <w:rPr>
                <w:rFonts w:ascii="Arial" w:hAnsi="Arial" w:cs="Arial"/>
                <w:bCs/>
                <w:iCs/>
                <w:color w:val="FFFFFF" w:themeColor="background1"/>
                <w:sz w:val="20"/>
                <w:szCs w:val="20"/>
              </w:rPr>
              <w:t>Entity</w:t>
            </w:r>
          </w:p>
        </w:tc>
        <w:tc>
          <w:tcPr>
            <w:tcW w:w="3402" w:type="dxa"/>
            <w:shd w:val="clear" w:color="auto" w:fill="002060"/>
          </w:tcPr>
          <w:p w:rsidR="007D706F" w:rsidRPr="007D706F" w:rsidRDefault="007D706F" w:rsidP="00D84CA8">
            <w:pPr>
              <w:jc w:val="center"/>
              <w:rPr>
                <w:rFonts w:ascii="Arial" w:hAnsi="Arial" w:cs="Arial"/>
                <w:bCs/>
                <w:iCs/>
                <w:color w:val="FFFFFF" w:themeColor="background1"/>
                <w:sz w:val="20"/>
                <w:szCs w:val="20"/>
              </w:rPr>
            </w:pPr>
            <w:r>
              <w:rPr>
                <w:rFonts w:ascii="Arial" w:hAnsi="Arial" w:cs="Arial"/>
                <w:bCs/>
                <w:iCs/>
                <w:color w:val="FFFFFF" w:themeColor="background1"/>
                <w:sz w:val="20"/>
                <w:szCs w:val="20"/>
              </w:rPr>
              <w:t>Type of Entity</w:t>
            </w:r>
          </w:p>
        </w:tc>
      </w:tr>
      <w:tr w:rsidR="007D706F" w:rsidRPr="007D706F" w:rsidTr="007D706F">
        <w:tc>
          <w:tcPr>
            <w:tcW w:w="1526" w:type="dxa"/>
            <w:vAlign w:val="center"/>
          </w:tcPr>
          <w:p w:rsidR="007D706F" w:rsidRPr="007D706F" w:rsidRDefault="007D706F" w:rsidP="00D84CA8">
            <w:pPr>
              <w:rPr>
                <w:rFonts w:ascii="Arial" w:hAnsi="Arial" w:cs="Arial"/>
                <w:bCs/>
                <w:iCs/>
                <w:color w:val="003B79"/>
                <w:sz w:val="20"/>
                <w:szCs w:val="20"/>
              </w:rPr>
            </w:pPr>
            <w:r w:rsidRPr="007D706F">
              <w:rPr>
                <w:rFonts w:ascii="Arial" w:hAnsi="Arial" w:cs="Arial"/>
                <w:color w:val="244061" w:themeColor="accent1" w:themeShade="80"/>
                <w:sz w:val="20"/>
                <w:szCs w:val="20"/>
              </w:rPr>
              <w:t>PMTE</w:t>
            </w:r>
          </w:p>
        </w:tc>
        <w:tc>
          <w:tcPr>
            <w:tcW w:w="4536" w:type="dxa"/>
            <w:vAlign w:val="center"/>
          </w:tcPr>
          <w:p w:rsidR="007D706F" w:rsidRPr="007D706F" w:rsidRDefault="007D706F" w:rsidP="00D84CA8">
            <w:pPr>
              <w:pStyle w:val="BodySingle"/>
              <w:ind w:left="0"/>
              <w:rPr>
                <w:rFonts w:cs="Arial"/>
                <w:i w:val="0"/>
                <w:color w:val="244061" w:themeColor="accent1" w:themeShade="80"/>
              </w:rPr>
            </w:pPr>
            <w:r w:rsidRPr="007D706F">
              <w:rPr>
                <w:rFonts w:cs="Arial"/>
                <w:i w:val="0"/>
                <w:color w:val="244061" w:themeColor="accent1" w:themeShade="80"/>
              </w:rPr>
              <w:t xml:space="preserve">Property management Trading Entity </w:t>
            </w:r>
          </w:p>
        </w:tc>
        <w:tc>
          <w:tcPr>
            <w:tcW w:w="3402" w:type="dxa"/>
            <w:shd w:val="clear" w:color="auto" w:fill="auto"/>
          </w:tcPr>
          <w:p w:rsidR="007D706F" w:rsidRPr="007D706F" w:rsidRDefault="007D706F" w:rsidP="007D706F">
            <w:pPr>
              <w:rPr>
                <w:rFonts w:ascii="Arial" w:hAnsi="Arial" w:cs="Arial"/>
                <w:sz w:val="20"/>
                <w:szCs w:val="20"/>
              </w:rPr>
            </w:pPr>
            <w:r>
              <w:rPr>
                <w:rFonts w:ascii="Arial" w:hAnsi="Arial" w:cs="Arial"/>
                <w:color w:val="002060"/>
                <w:sz w:val="20"/>
                <w:szCs w:val="20"/>
              </w:rPr>
              <w:t>Trading Entity</w:t>
            </w:r>
          </w:p>
        </w:tc>
      </w:tr>
      <w:tr w:rsidR="007D706F" w:rsidRPr="007D706F" w:rsidTr="007D706F">
        <w:tc>
          <w:tcPr>
            <w:tcW w:w="1526" w:type="dxa"/>
            <w:vAlign w:val="center"/>
          </w:tcPr>
          <w:p w:rsidR="007D706F" w:rsidRPr="007D706F" w:rsidRDefault="007D706F" w:rsidP="00D84CA8">
            <w:pPr>
              <w:rPr>
                <w:rFonts w:ascii="Arial" w:hAnsi="Arial" w:cs="Arial"/>
                <w:bCs/>
                <w:iCs/>
                <w:color w:val="003B79"/>
                <w:sz w:val="20"/>
                <w:szCs w:val="20"/>
              </w:rPr>
            </w:pPr>
            <w:r w:rsidRPr="007D706F">
              <w:rPr>
                <w:rFonts w:ascii="Arial" w:hAnsi="Arial" w:cs="Arial"/>
                <w:color w:val="244061" w:themeColor="accent1" w:themeShade="80"/>
                <w:sz w:val="20"/>
                <w:szCs w:val="20"/>
              </w:rPr>
              <w:t>IDT</w:t>
            </w:r>
          </w:p>
        </w:tc>
        <w:tc>
          <w:tcPr>
            <w:tcW w:w="4536" w:type="dxa"/>
            <w:vAlign w:val="center"/>
          </w:tcPr>
          <w:p w:rsidR="007D706F" w:rsidRPr="007D706F" w:rsidRDefault="007D706F" w:rsidP="00D84CA8">
            <w:pPr>
              <w:pStyle w:val="BodySingle"/>
              <w:ind w:left="0"/>
              <w:rPr>
                <w:rFonts w:cs="Arial"/>
                <w:i w:val="0"/>
                <w:color w:val="244061" w:themeColor="accent1" w:themeShade="80"/>
              </w:rPr>
            </w:pPr>
            <w:r w:rsidRPr="007D706F">
              <w:rPr>
                <w:rFonts w:cs="Arial"/>
                <w:i w:val="0"/>
                <w:color w:val="244061" w:themeColor="accent1" w:themeShade="80"/>
              </w:rPr>
              <w:t xml:space="preserve">Independent Development Trust </w:t>
            </w:r>
          </w:p>
        </w:tc>
        <w:tc>
          <w:tcPr>
            <w:tcW w:w="3402" w:type="dxa"/>
            <w:shd w:val="clear" w:color="auto" w:fill="auto"/>
          </w:tcPr>
          <w:p w:rsidR="007D706F" w:rsidRPr="007D706F" w:rsidRDefault="00BE5A46" w:rsidP="007D706F">
            <w:pPr>
              <w:rPr>
                <w:rFonts w:ascii="Arial" w:hAnsi="Arial" w:cs="Arial"/>
                <w:sz w:val="20"/>
                <w:szCs w:val="20"/>
              </w:rPr>
            </w:pPr>
            <w:r>
              <w:rPr>
                <w:rFonts w:ascii="Arial" w:hAnsi="Arial" w:cs="Arial"/>
                <w:color w:val="002060"/>
                <w:sz w:val="20"/>
                <w:szCs w:val="20"/>
              </w:rPr>
              <w:t>PFMA Schedule 3B</w:t>
            </w:r>
            <w:r w:rsidR="007D706F" w:rsidRPr="007D706F">
              <w:rPr>
                <w:rFonts w:ascii="Arial" w:hAnsi="Arial" w:cs="Arial"/>
                <w:color w:val="002060"/>
                <w:sz w:val="20"/>
                <w:szCs w:val="20"/>
              </w:rPr>
              <w:t xml:space="preserve"> listed entity</w:t>
            </w:r>
          </w:p>
        </w:tc>
      </w:tr>
      <w:tr w:rsidR="007C1B01" w:rsidRPr="007D706F" w:rsidTr="007C1B01">
        <w:tc>
          <w:tcPr>
            <w:tcW w:w="1526" w:type="dxa"/>
            <w:vAlign w:val="center"/>
          </w:tcPr>
          <w:p w:rsidR="007C1B01" w:rsidRPr="007D706F" w:rsidRDefault="007C1B01" w:rsidP="007C1B01">
            <w:pPr>
              <w:rPr>
                <w:rFonts w:ascii="Arial" w:hAnsi="Arial" w:cs="Arial"/>
                <w:bCs/>
                <w:iCs/>
                <w:color w:val="003B79"/>
                <w:sz w:val="20"/>
                <w:szCs w:val="20"/>
              </w:rPr>
            </w:pPr>
            <w:r w:rsidRPr="007D706F">
              <w:rPr>
                <w:rFonts w:ascii="Arial" w:hAnsi="Arial" w:cs="Arial"/>
                <w:color w:val="244061" w:themeColor="accent1" w:themeShade="80"/>
                <w:sz w:val="20"/>
                <w:szCs w:val="20"/>
              </w:rPr>
              <w:t>CBE</w:t>
            </w:r>
          </w:p>
        </w:tc>
        <w:tc>
          <w:tcPr>
            <w:tcW w:w="4536" w:type="dxa"/>
            <w:vAlign w:val="center"/>
          </w:tcPr>
          <w:p w:rsidR="007C1B01" w:rsidRPr="007D706F" w:rsidRDefault="007C1B01" w:rsidP="007C1B01">
            <w:pPr>
              <w:pStyle w:val="BodySingle"/>
              <w:ind w:left="0"/>
              <w:rPr>
                <w:rFonts w:cs="Arial"/>
                <w:i w:val="0"/>
                <w:color w:val="244061" w:themeColor="accent1" w:themeShade="80"/>
              </w:rPr>
            </w:pPr>
            <w:r w:rsidRPr="007D706F">
              <w:rPr>
                <w:rFonts w:cs="Arial"/>
                <w:i w:val="0"/>
                <w:color w:val="244061" w:themeColor="accent1" w:themeShade="80"/>
              </w:rPr>
              <w:t>Council for the Built Environment</w:t>
            </w:r>
          </w:p>
        </w:tc>
        <w:tc>
          <w:tcPr>
            <w:tcW w:w="3402" w:type="dxa"/>
            <w:shd w:val="clear" w:color="auto" w:fill="auto"/>
          </w:tcPr>
          <w:p w:rsidR="007C1B01" w:rsidRPr="007D706F" w:rsidRDefault="007C1B01" w:rsidP="007C1B01">
            <w:pPr>
              <w:rPr>
                <w:rFonts w:ascii="Arial" w:hAnsi="Arial" w:cs="Arial"/>
                <w:color w:val="002060"/>
                <w:sz w:val="20"/>
                <w:szCs w:val="20"/>
              </w:rPr>
            </w:pPr>
            <w:r w:rsidRPr="007D706F">
              <w:rPr>
                <w:rFonts w:ascii="Arial" w:hAnsi="Arial" w:cs="Arial"/>
                <w:color w:val="002060"/>
                <w:sz w:val="20"/>
                <w:szCs w:val="20"/>
              </w:rPr>
              <w:t>PFMA Schedule 3A listed entity</w:t>
            </w:r>
          </w:p>
        </w:tc>
      </w:tr>
      <w:tr w:rsidR="007C1B01" w:rsidRPr="007D706F" w:rsidTr="007C1B01">
        <w:trPr>
          <w:trHeight w:val="208"/>
        </w:trPr>
        <w:tc>
          <w:tcPr>
            <w:tcW w:w="1526" w:type="dxa"/>
            <w:vAlign w:val="center"/>
          </w:tcPr>
          <w:p w:rsidR="007C1B01" w:rsidRPr="007D706F" w:rsidRDefault="007C1B01" w:rsidP="007C1B01">
            <w:pPr>
              <w:rPr>
                <w:rFonts w:ascii="Arial" w:hAnsi="Arial" w:cs="Arial"/>
                <w:bCs/>
                <w:iCs/>
                <w:color w:val="003B79"/>
                <w:sz w:val="20"/>
                <w:szCs w:val="20"/>
              </w:rPr>
            </w:pPr>
            <w:r w:rsidRPr="007D706F">
              <w:rPr>
                <w:rFonts w:ascii="Arial" w:hAnsi="Arial" w:cs="Arial"/>
                <w:color w:val="244061" w:themeColor="accent1" w:themeShade="80"/>
                <w:sz w:val="20"/>
                <w:szCs w:val="20"/>
              </w:rPr>
              <w:t>CIDB</w:t>
            </w:r>
          </w:p>
        </w:tc>
        <w:tc>
          <w:tcPr>
            <w:tcW w:w="4536" w:type="dxa"/>
            <w:vAlign w:val="center"/>
          </w:tcPr>
          <w:p w:rsidR="007C1B01" w:rsidRPr="007D706F" w:rsidRDefault="007C1B01" w:rsidP="007C1B01">
            <w:pPr>
              <w:pStyle w:val="BodySingle"/>
              <w:ind w:left="0"/>
              <w:rPr>
                <w:rFonts w:cs="Arial"/>
                <w:i w:val="0"/>
                <w:color w:val="244061" w:themeColor="accent1" w:themeShade="80"/>
              </w:rPr>
            </w:pPr>
            <w:r w:rsidRPr="007D706F">
              <w:rPr>
                <w:rFonts w:cs="Arial"/>
                <w:i w:val="0"/>
                <w:color w:val="244061" w:themeColor="accent1" w:themeShade="80"/>
              </w:rPr>
              <w:t>Construction Industry Development Board</w:t>
            </w:r>
          </w:p>
        </w:tc>
        <w:tc>
          <w:tcPr>
            <w:tcW w:w="3402" w:type="dxa"/>
            <w:shd w:val="clear" w:color="auto" w:fill="auto"/>
          </w:tcPr>
          <w:p w:rsidR="007C1B01" w:rsidRPr="007D706F" w:rsidRDefault="007C1B01" w:rsidP="007C1B01">
            <w:pPr>
              <w:rPr>
                <w:rFonts w:ascii="Arial" w:hAnsi="Arial" w:cs="Arial"/>
                <w:color w:val="002060"/>
                <w:sz w:val="20"/>
                <w:szCs w:val="20"/>
              </w:rPr>
            </w:pPr>
            <w:r w:rsidRPr="007D706F">
              <w:rPr>
                <w:rFonts w:ascii="Arial" w:hAnsi="Arial" w:cs="Arial"/>
                <w:color w:val="002060"/>
                <w:sz w:val="20"/>
                <w:szCs w:val="20"/>
              </w:rPr>
              <w:t>PFMA Schedule 3A listed entity</w:t>
            </w:r>
          </w:p>
        </w:tc>
      </w:tr>
      <w:tr w:rsidR="007D706F" w:rsidRPr="007D706F" w:rsidTr="007D706F">
        <w:tc>
          <w:tcPr>
            <w:tcW w:w="1526" w:type="dxa"/>
            <w:vAlign w:val="center"/>
          </w:tcPr>
          <w:p w:rsidR="007D706F" w:rsidRPr="007D706F" w:rsidRDefault="009D1C06" w:rsidP="00D84CA8">
            <w:pPr>
              <w:rPr>
                <w:rFonts w:ascii="Arial" w:hAnsi="Arial" w:cs="Arial"/>
                <w:bCs/>
                <w:iCs/>
                <w:color w:val="003B79"/>
                <w:sz w:val="20"/>
                <w:szCs w:val="20"/>
              </w:rPr>
            </w:pPr>
            <w:r>
              <w:rPr>
                <w:rFonts w:ascii="Arial" w:hAnsi="Arial" w:cs="Arial"/>
                <w:color w:val="244061" w:themeColor="accent1" w:themeShade="80"/>
                <w:sz w:val="20"/>
                <w:szCs w:val="20"/>
              </w:rPr>
              <w:t>ASA</w:t>
            </w:r>
          </w:p>
        </w:tc>
        <w:tc>
          <w:tcPr>
            <w:tcW w:w="4536" w:type="dxa"/>
            <w:vAlign w:val="center"/>
          </w:tcPr>
          <w:p w:rsidR="007D706F" w:rsidRPr="007D706F" w:rsidRDefault="007C1B01" w:rsidP="00D84CA8">
            <w:pPr>
              <w:pStyle w:val="BodySingle"/>
              <w:ind w:left="0"/>
              <w:rPr>
                <w:rFonts w:cs="Arial"/>
                <w:i w:val="0"/>
                <w:color w:val="244061" w:themeColor="accent1" w:themeShade="80"/>
              </w:rPr>
            </w:pPr>
            <w:r w:rsidRPr="007C1B01">
              <w:rPr>
                <w:rFonts w:cs="Arial"/>
                <w:i w:val="0"/>
                <w:color w:val="244061" w:themeColor="accent1" w:themeShade="80"/>
              </w:rPr>
              <w:t>Agrément South Africa</w:t>
            </w:r>
          </w:p>
        </w:tc>
        <w:tc>
          <w:tcPr>
            <w:tcW w:w="3402" w:type="dxa"/>
            <w:shd w:val="clear" w:color="auto" w:fill="auto"/>
          </w:tcPr>
          <w:p w:rsidR="007D706F" w:rsidRPr="007D706F" w:rsidRDefault="007D706F" w:rsidP="007D706F">
            <w:pPr>
              <w:rPr>
                <w:rFonts w:ascii="Arial" w:hAnsi="Arial" w:cs="Arial"/>
                <w:color w:val="002060"/>
                <w:sz w:val="20"/>
                <w:szCs w:val="20"/>
              </w:rPr>
            </w:pPr>
            <w:r w:rsidRPr="007D706F">
              <w:rPr>
                <w:rFonts w:ascii="Arial" w:hAnsi="Arial" w:cs="Arial"/>
                <w:color w:val="002060"/>
                <w:sz w:val="20"/>
                <w:szCs w:val="20"/>
              </w:rPr>
              <w:t>PFMA Schedule 3A listed entity</w:t>
            </w:r>
          </w:p>
        </w:tc>
      </w:tr>
      <w:tr w:rsidR="007D706F" w:rsidRPr="007D706F" w:rsidTr="007D706F">
        <w:trPr>
          <w:trHeight w:val="208"/>
        </w:trPr>
        <w:tc>
          <w:tcPr>
            <w:tcW w:w="1526" w:type="dxa"/>
            <w:vAlign w:val="center"/>
          </w:tcPr>
          <w:p w:rsidR="007D706F" w:rsidRPr="007D706F" w:rsidRDefault="007C1B01" w:rsidP="00D84CA8">
            <w:pPr>
              <w:rPr>
                <w:rFonts w:ascii="Arial" w:hAnsi="Arial" w:cs="Arial"/>
                <w:bCs/>
                <w:iCs/>
                <w:color w:val="003B79"/>
                <w:sz w:val="20"/>
                <w:szCs w:val="20"/>
              </w:rPr>
            </w:pPr>
            <w:r>
              <w:rPr>
                <w:rFonts w:ascii="Arial" w:hAnsi="Arial" w:cs="Arial"/>
                <w:color w:val="244061" w:themeColor="accent1" w:themeShade="80"/>
                <w:sz w:val="20"/>
                <w:szCs w:val="20"/>
              </w:rPr>
              <w:t>ECSA</w:t>
            </w:r>
          </w:p>
        </w:tc>
        <w:tc>
          <w:tcPr>
            <w:tcW w:w="4536" w:type="dxa"/>
            <w:vAlign w:val="center"/>
          </w:tcPr>
          <w:p w:rsidR="007D706F" w:rsidRPr="007D706F" w:rsidRDefault="007C1B01" w:rsidP="00D84CA8">
            <w:pPr>
              <w:pStyle w:val="BodySingle"/>
              <w:ind w:left="0"/>
              <w:rPr>
                <w:rFonts w:cs="Arial"/>
                <w:i w:val="0"/>
                <w:color w:val="244061" w:themeColor="accent1" w:themeShade="80"/>
              </w:rPr>
            </w:pPr>
            <w:r>
              <w:rPr>
                <w:rFonts w:cs="Arial"/>
                <w:i w:val="0"/>
                <w:color w:val="244061" w:themeColor="accent1" w:themeShade="80"/>
              </w:rPr>
              <w:t>E</w:t>
            </w:r>
            <w:r w:rsidR="008E7539">
              <w:rPr>
                <w:rFonts w:cs="Arial"/>
                <w:i w:val="0"/>
                <w:color w:val="244061" w:themeColor="accent1" w:themeShade="80"/>
              </w:rPr>
              <w:t>ngineering Council of South Afr</w:t>
            </w:r>
            <w:r>
              <w:rPr>
                <w:rFonts w:cs="Arial"/>
                <w:i w:val="0"/>
                <w:color w:val="244061" w:themeColor="accent1" w:themeShade="80"/>
              </w:rPr>
              <w:t>i</w:t>
            </w:r>
            <w:r w:rsidR="008E7539">
              <w:rPr>
                <w:rFonts w:cs="Arial"/>
                <w:i w:val="0"/>
                <w:color w:val="244061" w:themeColor="accent1" w:themeShade="80"/>
              </w:rPr>
              <w:t>c</w:t>
            </w:r>
            <w:r>
              <w:rPr>
                <w:rFonts w:cs="Arial"/>
                <w:i w:val="0"/>
                <w:color w:val="244061" w:themeColor="accent1" w:themeShade="80"/>
              </w:rPr>
              <w:t>a</w:t>
            </w:r>
          </w:p>
        </w:tc>
        <w:tc>
          <w:tcPr>
            <w:tcW w:w="3402" w:type="dxa"/>
            <w:shd w:val="clear" w:color="auto" w:fill="auto"/>
          </w:tcPr>
          <w:p w:rsidR="007D706F" w:rsidRPr="007D706F" w:rsidRDefault="007C1B01" w:rsidP="007C1B01">
            <w:pPr>
              <w:rPr>
                <w:rFonts w:ascii="Arial" w:hAnsi="Arial" w:cs="Arial"/>
                <w:color w:val="002060"/>
                <w:sz w:val="20"/>
                <w:szCs w:val="20"/>
              </w:rPr>
            </w:pPr>
            <w:r>
              <w:rPr>
                <w:rFonts w:ascii="Arial" w:hAnsi="Arial" w:cs="Arial"/>
                <w:color w:val="002060"/>
                <w:sz w:val="20"/>
                <w:szCs w:val="20"/>
              </w:rPr>
              <w:t>Un</w:t>
            </w:r>
            <w:r w:rsidRPr="007D706F">
              <w:rPr>
                <w:rFonts w:ascii="Arial" w:hAnsi="Arial" w:cs="Arial"/>
                <w:color w:val="002060"/>
                <w:sz w:val="20"/>
                <w:szCs w:val="20"/>
              </w:rPr>
              <w:t xml:space="preserve">listed </w:t>
            </w:r>
            <w:r w:rsidR="007D706F" w:rsidRPr="007D706F">
              <w:rPr>
                <w:rFonts w:ascii="Arial" w:hAnsi="Arial" w:cs="Arial"/>
                <w:color w:val="002060"/>
                <w:sz w:val="20"/>
                <w:szCs w:val="20"/>
              </w:rPr>
              <w:t>PFMA entity</w:t>
            </w:r>
          </w:p>
        </w:tc>
      </w:tr>
    </w:tbl>
    <w:p w:rsidR="007D706F" w:rsidRPr="007D706F" w:rsidRDefault="007D706F" w:rsidP="007D706F">
      <w:pPr>
        <w:autoSpaceDE w:val="0"/>
        <w:autoSpaceDN w:val="0"/>
        <w:adjustRightInd w:val="0"/>
        <w:spacing w:after="0" w:line="240" w:lineRule="auto"/>
        <w:rPr>
          <w:rFonts w:ascii="Arial" w:hAnsi="Arial" w:cs="Arial"/>
          <w:color w:val="002060"/>
          <w:sz w:val="20"/>
          <w:szCs w:val="20"/>
        </w:rPr>
      </w:pPr>
    </w:p>
    <w:p w:rsidR="009F64D3" w:rsidRDefault="009F64D3" w:rsidP="004668B8">
      <w:pPr>
        <w:spacing w:after="0" w:line="240" w:lineRule="auto"/>
        <w:rPr>
          <w:rFonts w:ascii="Arial" w:hAnsi="Arial" w:cs="Arial"/>
          <w:color w:val="002060"/>
          <w:sz w:val="20"/>
          <w:szCs w:val="20"/>
          <w:highlight w:val="yellow"/>
        </w:rPr>
      </w:pPr>
    </w:p>
    <w:p w:rsidR="00DC1E96" w:rsidRDefault="00DC1E96" w:rsidP="00DC1E96">
      <w:p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 xml:space="preserve">During 2006 a decision was taken that the national Department of Public Works would devolve accommodation-related costs to client departments, which ultimately resulted in the establishment of the Property Management Trading Entity (PMTE). </w:t>
      </w:r>
    </w:p>
    <w:p w:rsidR="00DC1E96" w:rsidRPr="00DC1E96" w:rsidRDefault="00DC1E96" w:rsidP="00DC1E96">
      <w:pPr>
        <w:autoSpaceDE w:val="0"/>
        <w:autoSpaceDN w:val="0"/>
        <w:adjustRightInd w:val="0"/>
        <w:spacing w:after="0" w:line="240" w:lineRule="auto"/>
        <w:rPr>
          <w:rFonts w:ascii="Arial" w:hAnsi="Arial" w:cs="Arial"/>
          <w:color w:val="002060"/>
          <w:sz w:val="20"/>
          <w:szCs w:val="20"/>
        </w:rPr>
      </w:pPr>
    </w:p>
    <w:p w:rsidR="00DC1E96" w:rsidRPr="00DC1E96" w:rsidRDefault="00DC1E96" w:rsidP="00DC1E96">
      <w:p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The following functions are performed by the PMTE on behalf of the national Department of Public Works:</w:t>
      </w:r>
    </w:p>
    <w:p w:rsidR="00786D6E" w:rsidRDefault="00786D6E" w:rsidP="003D357E">
      <w:pPr>
        <w:pStyle w:val="ListParagraph"/>
        <w:numPr>
          <w:ilvl w:val="0"/>
          <w:numId w:val="3"/>
        </w:numPr>
        <w:autoSpaceDE w:val="0"/>
        <w:autoSpaceDN w:val="0"/>
        <w:adjustRightInd w:val="0"/>
        <w:spacing w:after="0" w:line="240" w:lineRule="auto"/>
        <w:rPr>
          <w:rFonts w:ascii="Arial" w:hAnsi="Arial" w:cs="Arial"/>
          <w:color w:val="002060"/>
          <w:sz w:val="20"/>
          <w:szCs w:val="20"/>
        </w:rPr>
      </w:pPr>
      <w:r>
        <w:rPr>
          <w:rFonts w:ascii="Arial" w:hAnsi="Arial" w:cs="Arial"/>
          <w:color w:val="002060"/>
          <w:sz w:val="20"/>
          <w:szCs w:val="20"/>
        </w:rPr>
        <w:t>Custodian of immovable assets.</w:t>
      </w:r>
    </w:p>
    <w:p w:rsidR="00DC1E96" w:rsidRPr="00DC1E96" w:rsidRDefault="00DC1E96" w:rsidP="003D357E">
      <w:pPr>
        <w:pStyle w:val="ListParagraph"/>
        <w:numPr>
          <w:ilvl w:val="0"/>
          <w:numId w:val="3"/>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Construction and planned maintenance, which include constructing new infrastructure, and refurbishing, upgrading and adding to existing infrastructure.</w:t>
      </w:r>
    </w:p>
    <w:p w:rsidR="009D1C06" w:rsidRDefault="00DC1E96" w:rsidP="003D357E">
      <w:pPr>
        <w:pStyle w:val="ListParagraph"/>
        <w:numPr>
          <w:ilvl w:val="0"/>
          <w:numId w:val="3"/>
        </w:numPr>
        <w:autoSpaceDE w:val="0"/>
        <w:autoSpaceDN w:val="0"/>
        <w:adjustRightInd w:val="0"/>
        <w:spacing w:after="0" w:line="240" w:lineRule="auto"/>
        <w:rPr>
          <w:rFonts w:ascii="Arial" w:hAnsi="Arial" w:cs="Arial"/>
          <w:color w:val="002060"/>
          <w:sz w:val="20"/>
          <w:szCs w:val="20"/>
        </w:rPr>
      </w:pPr>
      <w:r w:rsidRPr="00DC1E96">
        <w:rPr>
          <w:rFonts w:ascii="Arial" w:hAnsi="Arial" w:cs="Arial"/>
          <w:color w:val="002060"/>
          <w:sz w:val="20"/>
          <w:szCs w:val="20"/>
        </w:rPr>
        <w:t>Entering into lease agreements with private landlords on behalf of other departments in instances where state-owned properties cannot fulfil the needs of client departments.</w:t>
      </w:r>
    </w:p>
    <w:p w:rsidR="00DC1E96" w:rsidRPr="009D1C06" w:rsidRDefault="009D1C06" w:rsidP="009D1C06">
      <w:pPr>
        <w:rPr>
          <w:rFonts w:ascii="Arial" w:hAnsi="Arial" w:cs="Arial"/>
          <w:color w:val="002060"/>
          <w:sz w:val="20"/>
          <w:szCs w:val="20"/>
        </w:rPr>
      </w:pPr>
      <w:r>
        <w:rPr>
          <w:rFonts w:ascii="Arial" w:hAnsi="Arial" w:cs="Arial"/>
          <w:color w:val="002060"/>
          <w:sz w:val="20"/>
          <w:szCs w:val="20"/>
        </w:rPr>
        <w:br w:type="page"/>
      </w:r>
    </w:p>
    <w:p w:rsidR="001F53C3" w:rsidRPr="00DC1E96" w:rsidRDefault="001F53C3" w:rsidP="001F53C3">
      <w:pPr>
        <w:pStyle w:val="ListParagraph"/>
        <w:autoSpaceDE w:val="0"/>
        <w:autoSpaceDN w:val="0"/>
        <w:adjustRightInd w:val="0"/>
        <w:spacing w:after="0" w:line="240" w:lineRule="auto"/>
        <w:rPr>
          <w:rFonts w:ascii="Arial" w:hAnsi="Arial" w:cs="Arial"/>
          <w:color w:val="002060"/>
          <w:sz w:val="20"/>
          <w:szCs w:val="20"/>
        </w:rPr>
      </w:pPr>
    </w:p>
    <w:tbl>
      <w:tblPr>
        <w:tblStyle w:val="TableGrid"/>
        <w:tblW w:w="0" w:type="auto"/>
        <w:shd w:val="clear" w:color="auto" w:fill="1F497D" w:themeFill="text2"/>
        <w:tblLook w:val="04A0"/>
      </w:tblPr>
      <w:tblGrid>
        <w:gridCol w:w="10422"/>
      </w:tblGrid>
      <w:tr w:rsidR="001F53C3" w:rsidRPr="009C2039" w:rsidTr="00B3747A">
        <w:tc>
          <w:tcPr>
            <w:tcW w:w="10422" w:type="dxa"/>
            <w:shd w:val="clear" w:color="auto" w:fill="1F497D" w:themeFill="text2"/>
          </w:tcPr>
          <w:p w:rsidR="001F53C3" w:rsidRPr="009C2039" w:rsidRDefault="001F53C3" w:rsidP="003D357E">
            <w:pPr>
              <w:pStyle w:val="ListParagraph"/>
              <w:numPr>
                <w:ilvl w:val="0"/>
                <w:numId w:val="1"/>
              </w:numPr>
              <w:spacing w:before="20" w:after="20"/>
              <w:rPr>
                <w:rFonts w:ascii="Arial" w:hAnsi="Arial" w:cs="Arial"/>
                <w:color w:val="FFFFFF" w:themeColor="background1"/>
              </w:rPr>
            </w:pPr>
            <w:r>
              <w:rPr>
                <w:rFonts w:ascii="Arial" w:hAnsi="Arial" w:cs="Arial"/>
                <w:color w:val="FFFFFF" w:themeColor="background1"/>
              </w:rPr>
              <w:t>Audit progress</w:t>
            </w:r>
          </w:p>
        </w:tc>
      </w:tr>
    </w:tbl>
    <w:p w:rsidR="001F53C3" w:rsidRDefault="001F53C3" w:rsidP="00D4767F">
      <w:pPr>
        <w:autoSpaceDE w:val="0"/>
        <w:autoSpaceDN w:val="0"/>
        <w:adjustRightInd w:val="0"/>
        <w:spacing w:after="0" w:line="240" w:lineRule="auto"/>
        <w:rPr>
          <w:rFonts w:ascii="Arial" w:hAnsi="Arial" w:cs="Arial"/>
          <w:color w:val="002060"/>
          <w:sz w:val="20"/>
          <w:szCs w:val="20"/>
        </w:rPr>
      </w:pPr>
    </w:p>
    <w:p w:rsidR="00017444" w:rsidRPr="00017444" w:rsidRDefault="008F66CC" w:rsidP="00D4767F">
      <w:pPr>
        <w:autoSpaceDE w:val="0"/>
        <w:autoSpaceDN w:val="0"/>
        <w:adjustRightInd w:val="0"/>
        <w:spacing w:after="0" w:line="240" w:lineRule="auto"/>
        <w:rPr>
          <w:rFonts w:ascii="Arial" w:hAnsi="Arial" w:cs="Arial"/>
          <w:b/>
          <w:color w:val="002060"/>
          <w:sz w:val="20"/>
          <w:szCs w:val="20"/>
          <w:u w:val="single"/>
        </w:rPr>
      </w:pPr>
      <w:r>
        <w:rPr>
          <w:rFonts w:ascii="Arial" w:hAnsi="Arial" w:cs="Arial"/>
          <w:b/>
          <w:color w:val="002060"/>
          <w:sz w:val="20"/>
          <w:szCs w:val="20"/>
          <w:u w:val="single"/>
        </w:rPr>
        <w:t xml:space="preserve">5.1 </w:t>
      </w:r>
      <w:r>
        <w:rPr>
          <w:rFonts w:ascii="Arial" w:hAnsi="Arial" w:cs="Arial"/>
          <w:b/>
          <w:color w:val="002060"/>
          <w:sz w:val="20"/>
          <w:szCs w:val="20"/>
          <w:u w:val="single"/>
        </w:rPr>
        <w:tab/>
      </w:r>
      <w:r w:rsidR="00017444" w:rsidRPr="00017444">
        <w:rPr>
          <w:rFonts w:ascii="Arial" w:hAnsi="Arial" w:cs="Arial"/>
          <w:b/>
          <w:color w:val="002060"/>
          <w:sz w:val="20"/>
          <w:szCs w:val="20"/>
          <w:u w:val="single"/>
        </w:rPr>
        <w:t xml:space="preserve">Department of Public Works </w:t>
      </w:r>
    </w:p>
    <w:p w:rsidR="00017444" w:rsidRDefault="00017444" w:rsidP="00D4767F">
      <w:pPr>
        <w:autoSpaceDE w:val="0"/>
        <w:autoSpaceDN w:val="0"/>
        <w:adjustRightInd w:val="0"/>
        <w:spacing w:after="0" w:line="240" w:lineRule="auto"/>
        <w:rPr>
          <w:rFonts w:ascii="Arial" w:hAnsi="Arial" w:cs="Arial"/>
          <w:color w:val="002060"/>
          <w:sz w:val="20"/>
          <w:szCs w:val="20"/>
        </w:rPr>
      </w:pPr>
    </w:p>
    <w:p w:rsidR="00017444" w:rsidRDefault="00233361" w:rsidP="00D4767F">
      <w:pPr>
        <w:autoSpaceDE w:val="0"/>
        <w:autoSpaceDN w:val="0"/>
        <w:adjustRightInd w:val="0"/>
        <w:spacing w:after="0" w:line="240" w:lineRule="auto"/>
        <w:rPr>
          <w:rFonts w:ascii="Arial" w:hAnsi="Arial" w:cs="Arial"/>
          <w:color w:val="002060"/>
          <w:sz w:val="20"/>
          <w:szCs w:val="20"/>
        </w:rPr>
      </w:pPr>
      <w:r>
        <w:rPr>
          <w:rFonts w:ascii="Arial" w:hAnsi="Arial" w:cs="Arial"/>
          <w:color w:val="002060"/>
          <w:sz w:val="20"/>
          <w:szCs w:val="20"/>
        </w:rPr>
        <w:t>Due to the close relationship between DPW and PMTE, these are audited side by side where possible to ensure more efficient use of resources. Due to the audit of PMTE in the prior period being delayed by late submission of Annual Financial Statements, the department requested that we commence the current year interim audit later to enable them to implement some of th</w:t>
      </w:r>
      <w:r w:rsidR="00B3392A">
        <w:rPr>
          <w:rFonts w:ascii="Arial" w:hAnsi="Arial" w:cs="Arial"/>
          <w:color w:val="002060"/>
          <w:sz w:val="20"/>
          <w:szCs w:val="20"/>
        </w:rPr>
        <w:t xml:space="preserve">e recommendations that we made. </w:t>
      </w:r>
    </w:p>
    <w:p w:rsidR="00017444" w:rsidRDefault="00017444" w:rsidP="00D4767F">
      <w:pPr>
        <w:autoSpaceDE w:val="0"/>
        <w:autoSpaceDN w:val="0"/>
        <w:adjustRightInd w:val="0"/>
        <w:spacing w:after="0" w:line="240" w:lineRule="auto"/>
        <w:rPr>
          <w:rFonts w:ascii="Arial" w:hAnsi="Arial" w:cs="Arial"/>
          <w:color w:val="002060"/>
          <w:sz w:val="20"/>
          <w:szCs w:val="20"/>
        </w:rPr>
      </w:pPr>
    </w:p>
    <w:p w:rsidR="00233361" w:rsidRDefault="00B3392A" w:rsidP="00D4767F">
      <w:pPr>
        <w:autoSpaceDE w:val="0"/>
        <w:autoSpaceDN w:val="0"/>
        <w:adjustRightInd w:val="0"/>
        <w:spacing w:after="0" w:line="240" w:lineRule="auto"/>
        <w:rPr>
          <w:rFonts w:ascii="Arial" w:hAnsi="Arial" w:cs="Arial"/>
          <w:color w:val="002060"/>
          <w:sz w:val="20"/>
          <w:szCs w:val="20"/>
        </w:rPr>
      </w:pPr>
      <w:r>
        <w:rPr>
          <w:rFonts w:ascii="Arial" w:hAnsi="Arial" w:cs="Arial"/>
          <w:color w:val="002060"/>
          <w:sz w:val="20"/>
          <w:szCs w:val="20"/>
        </w:rPr>
        <w:t xml:space="preserve">We have included some </w:t>
      </w:r>
      <w:r w:rsidR="00017444">
        <w:rPr>
          <w:rFonts w:ascii="Arial" w:hAnsi="Arial" w:cs="Arial"/>
          <w:color w:val="002060"/>
          <w:sz w:val="20"/>
          <w:szCs w:val="20"/>
        </w:rPr>
        <w:t xml:space="preserve">of the key matters that </w:t>
      </w:r>
      <w:r w:rsidR="00B04A13">
        <w:rPr>
          <w:rFonts w:ascii="Arial" w:hAnsi="Arial" w:cs="Arial"/>
          <w:color w:val="002060"/>
          <w:sz w:val="20"/>
          <w:szCs w:val="20"/>
        </w:rPr>
        <w:t xml:space="preserve">were </w:t>
      </w:r>
      <w:r w:rsidR="00017444">
        <w:rPr>
          <w:rFonts w:ascii="Arial" w:hAnsi="Arial" w:cs="Arial"/>
          <w:color w:val="002060"/>
          <w:sz w:val="20"/>
          <w:szCs w:val="20"/>
        </w:rPr>
        <w:t>raised in the prior period below.</w:t>
      </w:r>
      <w:r w:rsidR="00B04A13">
        <w:rPr>
          <w:rFonts w:ascii="Arial" w:hAnsi="Arial" w:cs="Arial"/>
          <w:color w:val="002060"/>
          <w:sz w:val="20"/>
          <w:szCs w:val="20"/>
        </w:rPr>
        <w:t xml:space="preserve"> Further feedback will be provided to the department subsequent to the </w:t>
      </w:r>
      <w:r w:rsidR="00167B82">
        <w:rPr>
          <w:rFonts w:ascii="Arial" w:hAnsi="Arial" w:cs="Arial"/>
          <w:color w:val="002060"/>
          <w:sz w:val="20"/>
          <w:szCs w:val="20"/>
        </w:rPr>
        <w:t xml:space="preserve">receipt of information and performance </w:t>
      </w:r>
      <w:r w:rsidR="00B04A13">
        <w:rPr>
          <w:rFonts w:ascii="Arial" w:hAnsi="Arial" w:cs="Arial"/>
          <w:color w:val="002060"/>
          <w:sz w:val="20"/>
          <w:szCs w:val="20"/>
        </w:rPr>
        <w:t>of our interim audit.</w:t>
      </w:r>
    </w:p>
    <w:p w:rsidR="00233361" w:rsidRDefault="00233361" w:rsidP="00D4767F">
      <w:pPr>
        <w:autoSpaceDE w:val="0"/>
        <w:autoSpaceDN w:val="0"/>
        <w:adjustRightInd w:val="0"/>
        <w:spacing w:after="0" w:line="240" w:lineRule="auto"/>
        <w:rPr>
          <w:rFonts w:ascii="Arial" w:hAnsi="Arial" w:cs="Arial"/>
          <w:color w:val="002060"/>
          <w:sz w:val="20"/>
          <w:szCs w:val="20"/>
        </w:rPr>
      </w:pPr>
    </w:p>
    <w:p w:rsidR="000B16F1" w:rsidRDefault="000B16F1" w:rsidP="00D4767F">
      <w:pPr>
        <w:autoSpaceDE w:val="0"/>
        <w:autoSpaceDN w:val="0"/>
        <w:adjustRightInd w:val="0"/>
        <w:spacing w:after="0" w:line="240" w:lineRule="auto"/>
        <w:rPr>
          <w:rFonts w:ascii="Arial" w:hAnsi="Arial" w:cs="Arial"/>
          <w:color w:val="002060"/>
          <w:sz w:val="20"/>
          <w:szCs w:val="20"/>
        </w:rPr>
      </w:pPr>
      <w:r>
        <w:rPr>
          <w:rFonts w:ascii="Arial" w:hAnsi="Arial" w:cs="Arial"/>
          <w:color w:val="002060"/>
          <w:sz w:val="20"/>
          <w:szCs w:val="20"/>
        </w:rPr>
        <w:t>For DPW the status of key focus areas is as follows:</w:t>
      </w:r>
    </w:p>
    <w:p w:rsidR="000B16F1" w:rsidRDefault="000B16F1" w:rsidP="00D4767F">
      <w:pPr>
        <w:autoSpaceDE w:val="0"/>
        <w:autoSpaceDN w:val="0"/>
        <w:adjustRightInd w:val="0"/>
        <w:spacing w:after="0" w:line="240" w:lineRule="auto"/>
        <w:rPr>
          <w:rFonts w:ascii="Arial" w:hAnsi="Arial" w:cs="Arial"/>
          <w:color w:val="002060"/>
          <w:sz w:val="20"/>
          <w:szCs w:val="20"/>
        </w:rPr>
      </w:pPr>
    </w:p>
    <w:p w:rsidR="000B16F1" w:rsidRDefault="000B16F1" w:rsidP="00D4767F">
      <w:pPr>
        <w:autoSpaceDE w:val="0"/>
        <w:autoSpaceDN w:val="0"/>
        <w:adjustRightInd w:val="0"/>
        <w:spacing w:after="0" w:line="240" w:lineRule="auto"/>
        <w:rPr>
          <w:rFonts w:ascii="Arial" w:hAnsi="Arial" w:cs="Arial"/>
          <w:color w:val="002060"/>
          <w:sz w:val="20"/>
          <w:szCs w:val="20"/>
        </w:rPr>
      </w:pPr>
      <w:r w:rsidRPr="00E6278B">
        <w:rPr>
          <w:rFonts w:ascii="Arial" w:hAnsi="Arial" w:cs="Arial"/>
          <w:noProof/>
          <w:lang w:eastAsia="en-ZA"/>
        </w:rPr>
        <w:drawing>
          <wp:inline distT="0" distB="0" distL="0" distR="0">
            <wp:extent cx="5958840" cy="30861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B16F1" w:rsidRDefault="000B16F1" w:rsidP="00D4767F">
      <w:pPr>
        <w:autoSpaceDE w:val="0"/>
        <w:autoSpaceDN w:val="0"/>
        <w:adjustRightInd w:val="0"/>
        <w:spacing w:after="0" w:line="240" w:lineRule="auto"/>
        <w:rPr>
          <w:rFonts w:ascii="Arial" w:hAnsi="Arial" w:cs="Arial"/>
          <w:color w:val="002060"/>
          <w:sz w:val="20"/>
          <w:szCs w:val="20"/>
        </w:rPr>
      </w:pPr>
    </w:p>
    <w:p w:rsidR="00C140EC" w:rsidRPr="00B46DAB" w:rsidRDefault="00C140EC" w:rsidP="00C140EC">
      <w:pPr>
        <w:pStyle w:val="ListParagraph"/>
        <w:ind w:left="360"/>
        <w:rPr>
          <w:rFonts w:ascii="Arial" w:hAnsi="Arial" w:cs="Arial"/>
          <w:color w:val="002060"/>
          <w:sz w:val="20"/>
          <w:szCs w:val="20"/>
        </w:rPr>
      </w:pPr>
      <w:r w:rsidRPr="00B46DAB">
        <w:rPr>
          <w:rFonts w:ascii="Arial" w:hAnsi="Arial" w:cs="Arial"/>
          <w:color w:val="002060"/>
          <w:sz w:val="20"/>
          <w:szCs w:val="20"/>
        </w:rPr>
        <w:t>The legend applied is as follows:</w:t>
      </w:r>
    </w:p>
    <w:p w:rsidR="00C140EC" w:rsidRDefault="00C140EC" w:rsidP="00D4767F">
      <w:pPr>
        <w:autoSpaceDE w:val="0"/>
        <w:autoSpaceDN w:val="0"/>
        <w:adjustRightInd w:val="0"/>
        <w:spacing w:after="0" w:line="240" w:lineRule="auto"/>
        <w:rPr>
          <w:rFonts w:ascii="Arial" w:hAnsi="Arial" w:cs="Arial"/>
          <w:color w:val="002060"/>
          <w:sz w:val="20"/>
          <w:szCs w:val="20"/>
        </w:rPr>
      </w:pPr>
    </w:p>
    <w:tbl>
      <w:tblPr>
        <w:tblpPr w:leftFromText="180" w:rightFromText="180" w:vertAnchor="text" w:tblpY="1"/>
        <w:tblOverlap w:val="never"/>
        <w:tblW w:w="9072" w:type="dxa"/>
        <w:tblCellMar>
          <w:left w:w="0" w:type="dxa"/>
          <w:right w:w="0" w:type="dxa"/>
        </w:tblCellMar>
        <w:tblLook w:val="04A0"/>
      </w:tblPr>
      <w:tblGrid>
        <w:gridCol w:w="1366"/>
        <w:gridCol w:w="7706"/>
      </w:tblGrid>
      <w:tr w:rsidR="00C140EC" w:rsidRPr="00C22F2B" w:rsidTr="008135B0">
        <w:tc>
          <w:tcPr>
            <w:tcW w:w="1366" w:type="dxa"/>
            <w:tcBorders>
              <w:top w:val="single" w:sz="8" w:space="0" w:color="auto"/>
              <w:left w:val="single" w:sz="8" w:space="0" w:color="auto"/>
              <w:bottom w:val="single" w:sz="8" w:space="0" w:color="auto"/>
              <w:right w:val="single" w:sz="8" w:space="0" w:color="auto"/>
            </w:tcBorders>
            <w:shd w:val="clear" w:color="auto" w:fill="B4EAB0"/>
            <w:tcMar>
              <w:top w:w="0" w:type="dxa"/>
              <w:left w:w="108" w:type="dxa"/>
              <w:bottom w:w="0" w:type="dxa"/>
              <w:right w:w="108" w:type="dxa"/>
            </w:tcMar>
            <w:vAlign w:val="center"/>
            <w:hideMark/>
          </w:tcPr>
          <w:p w:rsidR="00C140EC" w:rsidRPr="00C140EC" w:rsidRDefault="00C140EC" w:rsidP="008135B0">
            <w:pPr>
              <w:spacing w:before="120" w:after="120"/>
              <w:jc w:val="center"/>
              <w:rPr>
                <w:rFonts w:ascii="Arial" w:eastAsia="Calibri" w:hAnsi="Arial" w:cs="Arial"/>
                <w:sz w:val="20"/>
                <w:lang w:val="en-GB"/>
              </w:rPr>
            </w:pPr>
            <w:r w:rsidRPr="00C140EC">
              <w:rPr>
                <w:rFonts w:ascii="Arial" w:hAnsi="Arial" w:cs="Arial"/>
                <w:sz w:val="20"/>
              </w:rPr>
              <w:t>Good</w:t>
            </w:r>
          </w:p>
        </w:tc>
        <w:tc>
          <w:tcPr>
            <w:tcW w:w="77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0EC" w:rsidRPr="00C140EC" w:rsidRDefault="00C140EC" w:rsidP="008135B0">
            <w:pPr>
              <w:spacing w:before="120" w:after="120"/>
              <w:rPr>
                <w:rFonts w:ascii="Arial" w:eastAsia="Calibri" w:hAnsi="Arial" w:cs="Arial"/>
                <w:sz w:val="20"/>
                <w:lang w:val="en-GB"/>
              </w:rPr>
            </w:pPr>
            <w:r w:rsidRPr="00B46DAB">
              <w:rPr>
                <w:rFonts w:ascii="Arial" w:hAnsi="Arial" w:cs="Arial"/>
                <w:color w:val="002060"/>
                <w:sz w:val="20"/>
                <w:szCs w:val="20"/>
              </w:rPr>
              <w:t>The basics are in place as no concerns were identified</w:t>
            </w:r>
            <w:r w:rsidRPr="00C140EC">
              <w:rPr>
                <w:rFonts w:ascii="Arial" w:eastAsia="Calibri" w:hAnsi="Arial" w:cs="Arial"/>
                <w:sz w:val="20"/>
                <w:lang w:val="en-GB" w:eastAsia="en-ZA"/>
              </w:rPr>
              <w:t>.</w:t>
            </w:r>
          </w:p>
        </w:tc>
      </w:tr>
      <w:tr w:rsidR="00C140EC" w:rsidRPr="00C22F2B" w:rsidTr="008135B0">
        <w:tc>
          <w:tcPr>
            <w:tcW w:w="1366" w:type="dxa"/>
            <w:tcBorders>
              <w:top w:val="single" w:sz="8" w:space="0" w:color="auto"/>
              <w:left w:val="single" w:sz="8" w:space="0" w:color="auto"/>
              <w:bottom w:val="single" w:sz="8" w:space="0" w:color="auto"/>
              <w:right w:val="single" w:sz="8" w:space="0" w:color="auto"/>
            </w:tcBorders>
            <w:shd w:val="clear" w:color="auto" w:fill="FBF7C1"/>
            <w:tcMar>
              <w:top w:w="0" w:type="dxa"/>
              <w:left w:w="108" w:type="dxa"/>
              <w:bottom w:w="0" w:type="dxa"/>
              <w:right w:w="108" w:type="dxa"/>
            </w:tcMar>
            <w:vAlign w:val="center"/>
            <w:hideMark/>
          </w:tcPr>
          <w:p w:rsidR="00C140EC" w:rsidRPr="00C140EC" w:rsidRDefault="00C140EC" w:rsidP="008135B0">
            <w:pPr>
              <w:spacing w:before="120" w:after="120"/>
              <w:jc w:val="center"/>
              <w:rPr>
                <w:rFonts w:ascii="Arial" w:eastAsia="Calibri" w:hAnsi="Arial" w:cs="Arial"/>
                <w:sz w:val="20"/>
                <w:lang w:val="en-GB"/>
              </w:rPr>
            </w:pPr>
            <w:r w:rsidRPr="00C140EC">
              <w:rPr>
                <w:rFonts w:ascii="Arial" w:hAnsi="Arial" w:cs="Arial"/>
                <w:sz w:val="20"/>
              </w:rPr>
              <w:t>Concerning</w:t>
            </w:r>
          </w:p>
        </w:tc>
        <w:tc>
          <w:tcPr>
            <w:tcW w:w="7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0EC" w:rsidRPr="00C140EC" w:rsidRDefault="00C140EC" w:rsidP="008135B0">
            <w:pPr>
              <w:spacing w:before="120" w:after="120"/>
              <w:rPr>
                <w:rFonts w:ascii="Arial" w:eastAsia="Calibri" w:hAnsi="Arial" w:cs="Arial"/>
                <w:sz w:val="20"/>
                <w:lang w:val="en-GB"/>
              </w:rPr>
            </w:pPr>
            <w:r w:rsidRPr="00B46DAB">
              <w:rPr>
                <w:rFonts w:ascii="Arial" w:hAnsi="Arial" w:cs="Arial"/>
                <w:color w:val="002060"/>
                <w:sz w:val="20"/>
                <w:szCs w:val="20"/>
              </w:rPr>
              <w:t>Concerns identified.</w:t>
            </w:r>
          </w:p>
        </w:tc>
      </w:tr>
      <w:tr w:rsidR="00C140EC" w:rsidRPr="00C22F2B" w:rsidTr="008135B0">
        <w:tc>
          <w:tcPr>
            <w:tcW w:w="1366" w:type="dxa"/>
            <w:tcBorders>
              <w:top w:val="single" w:sz="8" w:space="0" w:color="auto"/>
              <w:left w:val="single" w:sz="8" w:space="0" w:color="auto"/>
              <w:bottom w:val="single" w:sz="8" w:space="0" w:color="auto"/>
              <w:right w:val="single" w:sz="8" w:space="0" w:color="auto"/>
            </w:tcBorders>
            <w:shd w:val="clear" w:color="auto" w:fill="F9A1A1"/>
            <w:tcMar>
              <w:top w:w="0" w:type="dxa"/>
              <w:left w:w="108" w:type="dxa"/>
              <w:bottom w:w="0" w:type="dxa"/>
              <w:right w:w="108" w:type="dxa"/>
            </w:tcMar>
            <w:vAlign w:val="center"/>
            <w:hideMark/>
          </w:tcPr>
          <w:p w:rsidR="00C140EC" w:rsidRPr="00C140EC" w:rsidRDefault="00C140EC" w:rsidP="008135B0">
            <w:pPr>
              <w:spacing w:before="120" w:after="120"/>
              <w:jc w:val="center"/>
              <w:rPr>
                <w:rFonts w:ascii="Arial" w:eastAsia="Calibri" w:hAnsi="Arial" w:cs="Arial"/>
                <w:sz w:val="20"/>
                <w:lang w:val="en-GB"/>
              </w:rPr>
            </w:pPr>
            <w:r w:rsidRPr="00C140EC">
              <w:rPr>
                <w:rFonts w:ascii="Arial" w:hAnsi="Arial" w:cs="Arial"/>
                <w:sz w:val="20"/>
              </w:rPr>
              <w:t>Intervention required</w:t>
            </w:r>
          </w:p>
        </w:tc>
        <w:tc>
          <w:tcPr>
            <w:tcW w:w="7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0EC" w:rsidRPr="00C140EC" w:rsidRDefault="00C140EC" w:rsidP="008135B0">
            <w:pPr>
              <w:spacing w:before="120" w:after="120"/>
              <w:rPr>
                <w:rFonts w:ascii="Arial" w:eastAsia="Calibri" w:hAnsi="Arial" w:cs="Arial"/>
                <w:sz w:val="20"/>
                <w:lang w:val="en-GB"/>
              </w:rPr>
            </w:pPr>
            <w:r w:rsidRPr="00B46DAB">
              <w:rPr>
                <w:rFonts w:ascii="Arial" w:hAnsi="Arial" w:cs="Arial"/>
                <w:color w:val="002060"/>
                <w:sz w:val="20"/>
                <w:szCs w:val="20"/>
              </w:rPr>
              <w:t>Level of concerns identified is an indicator that the AO needs to urgently intervene to prevent audit failure.</w:t>
            </w:r>
          </w:p>
        </w:tc>
      </w:tr>
    </w:tbl>
    <w:p w:rsidR="00C140EC" w:rsidRDefault="00C140EC" w:rsidP="00D4767F">
      <w:pPr>
        <w:autoSpaceDE w:val="0"/>
        <w:autoSpaceDN w:val="0"/>
        <w:adjustRightInd w:val="0"/>
        <w:spacing w:after="0" w:line="240" w:lineRule="auto"/>
        <w:rPr>
          <w:rFonts w:ascii="Arial" w:hAnsi="Arial" w:cs="Arial"/>
          <w:color w:val="002060"/>
          <w:sz w:val="20"/>
          <w:szCs w:val="20"/>
        </w:rPr>
      </w:pPr>
    </w:p>
    <w:p w:rsidR="00C140EC" w:rsidRDefault="00C140EC" w:rsidP="00D4767F">
      <w:pPr>
        <w:autoSpaceDE w:val="0"/>
        <w:autoSpaceDN w:val="0"/>
        <w:adjustRightInd w:val="0"/>
        <w:spacing w:after="0" w:line="240" w:lineRule="auto"/>
        <w:rPr>
          <w:rFonts w:ascii="Arial" w:hAnsi="Arial" w:cs="Arial"/>
          <w:color w:val="002060"/>
          <w:sz w:val="20"/>
          <w:szCs w:val="20"/>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C140EC" w:rsidRDefault="00C140EC" w:rsidP="00E4329D">
      <w:pPr>
        <w:spacing w:after="0" w:line="240" w:lineRule="auto"/>
        <w:rPr>
          <w:rFonts w:ascii="Arial" w:hAnsi="Arial" w:cs="Arial"/>
          <w:color w:val="002060"/>
          <w:sz w:val="20"/>
          <w:szCs w:val="20"/>
          <w:u w:val="single"/>
        </w:rPr>
      </w:pPr>
    </w:p>
    <w:p w:rsidR="00021498" w:rsidRPr="00021498" w:rsidRDefault="00FB0CDB" w:rsidP="00E4329D">
      <w:pPr>
        <w:spacing w:after="0" w:line="240" w:lineRule="auto"/>
        <w:rPr>
          <w:rFonts w:ascii="Arial" w:hAnsi="Arial" w:cs="Arial"/>
          <w:color w:val="002060"/>
          <w:sz w:val="20"/>
          <w:szCs w:val="20"/>
          <w:u w:val="single"/>
        </w:rPr>
      </w:pPr>
      <w:r>
        <w:rPr>
          <w:rFonts w:ascii="Arial" w:hAnsi="Arial" w:cs="Arial"/>
          <w:color w:val="002060"/>
          <w:sz w:val="20"/>
          <w:szCs w:val="20"/>
          <w:u w:val="single"/>
        </w:rPr>
        <w:t xml:space="preserve">Expanded Public </w:t>
      </w:r>
      <w:r w:rsidR="00021498" w:rsidRPr="00021498">
        <w:rPr>
          <w:rFonts w:ascii="Arial" w:hAnsi="Arial" w:cs="Arial"/>
          <w:color w:val="002060"/>
          <w:sz w:val="20"/>
          <w:szCs w:val="20"/>
          <w:u w:val="single"/>
        </w:rPr>
        <w:t>Work</w:t>
      </w:r>
      <w:r>
        <w:rPr>
          <w:rFonts w:ascii="Arial" w:hAnsi="Arial" w:cs="Arial"/>
          <w:color w:val="002060"/>
          <w:sz w:val="20"/>
          <w:szCs w:val="20"/>
          <w:u w:val="single"/>
        </w:rPr>
        <w:t>s</w:t>
      </w:r>
      <w:r w:rsidR="00021498" w:rsidRPr="00021498">
        <w:rPr>
          <w:rFonts w:ascii="Arial" w:hAnsi="Arial" w:cs="Arial"/>
          <w:color w:val="002060"/>
          <w:sz w:val="20"/>
          <w:szCs w:val="20"/>
          <w:u w:val="single"/>
        </w:rPr>
        <w:t xml:space="preserve"> Programme</w:t>
      </w:r>
      <w:r w:rsidR="00021498">
        <w:rPr>
          <w:rFonts w:ascii="Arial" w:hAnsi="Arial" w:cs="Arial"/>
          <w:color w:val="002060"/>
          <w:sz w:val="20"/>
          <w:szCs w:val="20"/>
          <w:u w:val="single"/>
        </w:rPr>
        <w:t xml:space="preserve"> (</w:t>
      </w:r>
      <w:r>
        <w:rPr>
          <w:rFonts w:ascii="Arial" w:hAnsi="Arial" w:cs="Arial"/>
          <w:color w:val="002060"/>
          <w:sz w:val="20"/>
          <w:szCs w:val="20"/>
          <w:u w:val="single"/>
        </w:rPr>
        <w:t>EP</w:t>
      </w:r>
      <w:r w:rsidR="00021498">
        <w:rPr>
          <w:rFonts w:ascii="Arial" w:hAnsi="Arial" w:cs="Arial"/>
          <w:color w:val="002060"/>
          <w:sz w:val="20"/>
          <w:szCs w:val="20"/>
          <w:u w:val="single"/>
        </w:rPr>
        <w:t>WP)</w:t>
      </w:r>
    </w:p>
    <w:p w:rsidR="003E010B" w:rsidRDefault="00E84334" w:rsidP="00E84334">
      <w:pPr>
        <w:pStyle w:val="ListParagraph"/>
        <w:numPr>
          <w:ilvl w:val="0"/>
          <w:numId w:val="11"/>
        </w:numPr>
        <w:spacing w:after="0" w:line="240" w:lineRule="auto"/>
        <w:rPr>
          <w:rFonts w:ascii="Arial" w:hAnsi="Arial" w:cs="Arial"/>
          <w:color w:val="002060"/>
          <w:sz w:val="20"/>
          <w:szCs w:val="20"/>
        </w:rPr>
      </w:pPr>
      <w:r w:rsidRPr="00E84334">
        <w:rPr>
          <w:rFonts w:ascii="Arial" w:hAnsi="Arial" w:cs="Arial"/>
          <w:color w:val="002060"/>
          <w:sz w:val="20"/>
          <w:szCs w:val="20"/>
        </w:rPr>
        <w:t>During the interim audit the focus was on EPWP to give management early warning signs. It was noted that the reported achievements for predetermined objectives included in the quarterly performance reports were not supported by appropriate audit evidence. Similar findings, as identified in the prior year have been raised in the interim period.</w:t>
      </w:r>
    </w:p>
    <w:p w:rsidR="003E010B" w:rsidRPr="00E84334" w:rsidRDefault="003E010B" w:rsidP="00E84334">
      <w:pPr>
        <w:spacing w:after="0" w:line="240" w:lineRule="auto"/>
        <w:rPr>
          <w:rFonts w:ascii="Arial" w:hAnsi="Arial" w:cs="Arial"/>
          <w:color w:val="002060"/>
          <w:sz w:val="20"/>
          <w:szCs w:val="20"/>
        </w:rPr>
      </w:pPr>
    </w:p>
    <w:p w:rsidR="00261A56" w:rsidRPr="00167B82" w:rsidRDefault="00DA5C97" w:rsidP="003D357E">
      <w:pPr>
        <w:pStyle w:val="ListParagraph"/>
        <w:numPr>
          <w:ilvl w:val="0"/>
          <w:numId w:val="11"/>
        </w:numPr>
        <w:spacing w:after="0" w:line="240" w:lineRule="auto"/>
        <w:rPr>
          <w:rFonts w:ascii="Arial" w:hAnsi="Arial" w:cs="Arial"/>
          <w:color w:val="002060"/>
          <w:sz w:val="20"/>
          <w:szCs w:val="20"/>
        </w:rPr>
      </w:pPr>
      <w:r w:rsidRPr="00167B82">
        <w:rPr>
          <w:rFonts w:ascii="Arial" w:hAnsi="Arial" w:cs="Arial"/>
          <w:color w:val="002060"/>
          <w:sz w:val="20"/>
          <w:szCs w:val="20"/>
        </w:rPr>
        <w:t xml:space="preserve"> </w:t>
      </w:r>
      <w:r w:rsidR="00261A56" w:rsidRPr="00167B82">
        <w:rPr>
          <w:rFonts w:ascii="Arial" w:hAnsi="Arial" w:cs="Arial"/>
          <w:color w:val="002060"/>
          <w:sz w:val="20"/>
          <w:szCs w:val="20"/>
        </w:rPr>
        <w:t xml:space="preserve">Audit work </w:t>
      </w:r>
      <w:r w:rsidR="000B7D8F">
        <w:rPr>
          <w:rFonts w:ascii="Arial" w:hAnsi="Arial" w:cs="Arial"/>
          <w:color w:val="002060"/>
          <w:sz w:val="20"/>
          <w:szCs w:val="20"/>
        </w:rPr>
        <w:t xml:space="preserve">was </w:t>
      </w:r>
      <w:r w:rsidR="00261A56" w:rsidRPr="00167B82">
        <w:rPr>
          <w:rFonts w:ascii="Arial" w:hAnsi="Arial" w:cs="Arial"/>
          <w:color w:val="002060"/>
          <w:sz w:val="20"/>
          <w:szCs w:val="20"/>
        </w:rPr>
        <w:t xml:space="preserve">performed </w:t>
      </w:r>
      <w:r w:rsidR="003E010B">
        <w:rPr>
          <w:rFonts w:ascii="Arial" w:hAnsi="Arial" w:cs="Arial"/>
          <w:color w:val="002060"/>
          <w:sz w:val="20"/>
          <w:szCs w:val="20"/>
        </w:rPr>
        <w:t xml:space="preserve">in </w:t>
      </w:r>
      <w:r w:rsidR="00E84334">
        <w:rPr>
          <w:rFonts w:ascii="Arial" w:hAnsi="Arial" w:cs="Arial"/>
          <w:color w:val="002060"/>
          <w:sz w:val="20"/>
          <w:szCs w:val="20"/>
        </w:rPr>
        <w:t>the interim period</w:t>
      </w:r>
      <w:r w:rsidR="000B7D8F">
        <w:rPr>
          <w:rFonts w:ascii="Arial" w:hAnsi="Arial" w:cs="Arial"/>
          <w:color w:val="002060"/>
          <w:sz w:val="20"/>
          <w:szCs w:val="20"/>
        </w:rPr>
        <w:t xml:space="preserve">, </w:t>
      </w:r>
      <w:r w:rsidR="00261A56" w:rsidRPr="00167B82">
        <w:rPr>
          <w:rFonts w:ascii="Arial" w:hAnsi="Arial" w:cs="Arial"/>
          <w:color w:val="002060"/>
          <w:sz w:val="20"/>
          <w:szCs w:val="20"/>
        </w:rPr>
        <w:t xml:space="preserve">and issues similar to those previously identified were noted to have recurred in the current period, including </w:t>
      </w:r>
      <w:r w:rsidR="00261A56" w:rsidRPr="00167B82">
        <w:rPr>
          <w:rFonts w:ascii="Arial" w:hAnsi="Arial" w:cs="Arial"/>
          <w:i/>
          <w:color w:val="002060"/>
          <w:sz w:val="20"/>
          <w:szCs w:val="20"/>
        </w:rPr>
        <w:t xml:space="preserve">inter alia </w:t>
      </w:r>
      <w:r w:rsidR="00261A56" w:rsidRPr="00167B82">
        <w:rPr>
          <w:rFonts w:ascii="Arial" w:hAnsi="Arial" w:cs="Arial"/>
          <w:color w:val="002060"/>
          <w:sz w:val="20"/>
          <w:szCs w:val="20"/>
        </w:rPr>
        <w:t>the following:</w:t>
      </w:r>
    </w:p>
    <w:p w:rsidR="00261A56" w:rsidRPr="00261A56" w:rsidRDefault="00261A56" w:rsidP="00261A56">
      <w:pPr>
        <w:spacing w:after="0" w:line="240" w:lineRule="auto"/>
        <w:rPr>
          <w:rFonts w:ascii="Arial" w:hAnsi="Arial" w:cs="Arial"/>
          <w:color w:val="002060"/>
          <w:sz w:val="20"/>
          <w:szCs w:val="20"/>
        </w:rPr>
      </w:pPr>
    </w:p>
    <w:p w:rsidR="00261A56" w:rsidRPr="00261A56" w:rsidRDefault="00261A56" w:rsidP="003D357E">
      <w:pPr>
        <w:numPr>
          <w:ilvl w:val="0"/>
          <w:numId w:val="13"/>
        </w:numPr>
        <w:spacing w:after="0" w:line="240" w:lineRule="auto"/>
        <w:rPr>
          <w:rFonts w:ascii="Arial" w:hAnsi="Arial" w:cs="Arial"/>
          <w:color w:val="002060"/>
          <w:sz w:val="20"/>
          <w:szCs w:val="20"/>
        </w:rPr>
      </w:pPr>
      <w:r w:rsidRPr="00261A56">
        <w:rPr>
          <w:rFonts w:ascii="Arial" w:hAnsi="Arial" w:cs="Arial"/>
          <w:color w:val="002060"/>
          <w:sz w:val="20"/>
          <w:szCs w:val="20"/>
        </w:rPr>
        <w:t>Work opportunities reported at these projects were not always supported by reliable supporting evidence, such as identity documents, attendance registers and proof of payments.</w:t>
      </w:r>
    </w:p>
    <w:p w:rsidR="00261A56" w:rsidRPr="00261A56" w:rsidRDefault="00261A56" w:rsidP="003D357E">
      <w:pPr>
        <w:numPr>
          <w:ilvl w:val="0"/>
          <w:numId w:val="13"/>
        </w:numPr>
        <w:spacing w:after="0" w:line="240" w:lineRule="auto"/>
        <w:rPr>
          <w:rFonts w:ascii="Arial" w:hAnsi="Arial" w:cs="Arial"/>
          <w:color w:val="002060"/>
          <w:sz w:val="20"/>
          <w:szCs w:val="20"/>
        </w:rPr>
      </w:pPr>
      <w:r w:rsidRPr="00261A56">
        <w:rPr>
          <w:rFonts w:ascii="Arial" w:hAnsi="Arial" w:cs="Arial"/>
          <w:color w:val="002060"/>
          <w:sz w:val="20"/>
          <w:szCs w:val="20"/>
        </w:rPr>
        <w:t>Reported beneficiaries were in some cases deceased.</w:t>
      </w:r>
    </w:p>
    <w:p w:rsidR="00261A56" w:rsidRPr="00261A56" w:rsidRDefault="00261A56" w:rsidP="003D357E">
      <w:pPr>
        <w:numPr>
          <w:ilvl w:val="0"/>
          <w:numId w:val="13"/>
        </w:numPr>
        <w:spacing w:after="0" w:line="240" w:lineRule="auto"/>
        <w:rPr>
          <w:rFonts w:ascii="Arial" w:hAnsi="Arial" w:cs="Arial"/>
          <w:color w:val="002060"/>
          <w:sz w:val="20"/>
          <w:szCs w:val="20"/>
        </w:rPr>
      </w:pPr>
      <w:r w:rsidRPr="00261A56">
        <w:rPr>
          <w:rFonts w:ascii="Arial" w:hAnsi="Arial" w:cs="Arial"/>
          <w:color w:val="002060"/>
          <w:sz w:val="20"/>
          <w:szCs w:val="20"/>
        </w:rPr>
        <w:t>The identity numbers of some beneficiaries were found to be invalid.</w:t>
      </w:r>
    </w:p>
    <w:p w:rsidR="00261A56" w:rsidRDefault="00261A56" w:rsidP="003D357E">
      <w:pPr>
        <w:numPr>
          <w:ilvl w:val="0"/>
          <w:numId w:val="13"/>
        </w:numPr>
        <w:spacing w:after="0" w:line="240" w:lineRule="auto"/>
        <w:rPr>
          <w:rFonts w:ascii="Arial" w:hAnsi="Arial" w:cs="Arial"/>
          <w:color w:val="002060"/>
          <w:sz w:val="20"/>
          <w:szCs w:val="20"/>
        </w:rPr>
      </w:pPr>
      <w:r w:rsidRPr="00261A56">
        <w:rPr>
          <w:rFonts w:ascii="Arial" w:hAnsi="Arial" w:cs="Arial"/>
          <w:color w:val="002060"/>
          <w:sz w:val="20"/>
          <w:szCs w:val="20"/>
        </w:rPr>
        <w:t>Some beneficiaries were included on multiple projects when they worked on only one project</w:t>
      </w:r>
    </w:p>
    <w:p w:rsidR="00E84334" w:rsidRDefault="00E84334" w:rsidP="003D357E">
      <w:pPr>
        <w:numPr>
          <w:ilvl w:val="0"/>
          <w:numId w:val="13"/>
        </w:numPr>
        <w:spacing w:after="0" w:line="240" w:lineRule="auto"/>
        <w:rPr>
          <w:rFonts w:ascii="Arial" w:hAnsi="Arial" w:cs="Arial"/>
          <w:color w:val="002060"/>
          <w:sz w:val="20"/>
          <w:szCs w:val="20"/>
        </w:rPr>
      </w:pPr>
      <w:r w:rsidRPr="00E84334">
        <w:rPr>
          <w:rFonts w:ascii="Arial" w:hAnsi="Arial" w:cs="Arial"/>
          <w:color w:val="002060"/>
          <w:sz w:val="20"/>
          <w:szCs w:val="20"/>
        </w:rPr>
        <w:t>Beneficiaries not listed on the beneficiary list of the project</w:t>
      </w:r>
    </w:p>
    <w:p w:rsidR="00261A56" w:rsidRPr="00261A56" w:rsidRDefault="00261A56" w:rsidP="00261A56">
      <w:pPr>
        <w:spacing w:after="0" w:line="240" w:lineRule="auto"/>
        <w:ind w:left="1080"/>
        <w:rPr>
          <w:rFonts w:ascii="Arial" w:hAnsi="Arial" w:cs="Arial"/>
          <w:color w:val="002060"/>
          <w:sz w:val="20"/>
          <w:szCs w:val="20"/>
        </w:rPr>
      </w:pPr>
    </w:p>
    <w:p w:rsidR="00D701B4" w:rsidRDefault="00261A56" w:rsidP="00261A56">
      <w:pPr>
        <w:spacing w:after="0" w:line="240" w:lineRule="auto"/>
        <w:rPr>
          <w:rFonts w:ascii="Arial" w:hAnsi="Arial" w:cs="Arial"/>
          <w:color w:val="002060"/>
          <w:sz w:val="20"/>
          <w:szCs w:val="20"/>
        </w:rPr>
      </w:pPr>
      <w:r w:rsidRPr="00261A56">
        <w:rPr>
          <w:rFonts w:ascii="Arial" w:hAnsi="Arial" w:cs="Arial"/>
          <w:color w:val="002060"/>
          <w:sz w:val="20"/>
          <w:szCs w:val="20"/>
        </w:rPr>
        <w:lastRenderedPageBreak/>
        <w:t>The findings that were identified on monitoring of performance on the expanded public works programme indicate that it is not yet functioning optimally, and it cannot be concluded that the earmarked funds were in all instances spent in line with the intended purposes to reach the people as planned</w:t>
      </w:r>
      <w:r>
        <w:rPr>
          <w:rFonts w:ascii="Arial" w:hAnsi="Arial" w:cs="Arial"/>
          <w:color w:val="002060"/>
          <w:sz w:val="20"/>
          <w:szCs w:val="20"/>
        </w:rPr>
        <w:t>.</w:t>
      </w:r>
    </w:p>
    <w:p w:rsidR="00D701B4" w:rsidRDefault="00D701B4" w:rsidP="00261A56">
      <w:pPr>
        <w:spacing w:after="0" w:line="240" w:lineRule="auto"/>
        <w:rPr>
          <w:rFonts w:ascii="Arial" w:hAnsi="Arial" w:cs="Arial"/>
          <w:color w:val="002060"/>
          <w:sz w:val="20"/>
          <w:szCs w:val="20"/>
        </w:rPr>
      </w:pPr>
    </w:p>
    <w:p w:rsidR="00D701B4" w:rsidRPr="00D701B4" w:rsidRDefault="00D701B4" w:rsidP="00D701B4">
      <w:pPr>
        <w:spacing w:after="0" w:line="240" w:lineRule="auto"/>
        <w:rPr>
          <w:rFonts w:ascii="Arial" w:hAnsi="Arial" w:cs="Arial"/>
          <w:color w:val="002060"/>
          <w:sz w:val="20"/>
          <w:szCs w:val="20"/>
        </w:rPr>
      </w:pPr>
      <w:r w:rsidRPr="00D701B4">
        <w:rPr>
          <w:rFonts w:ascii="Arial" w:hAnsi="Arial" w:cs="Arial"/>
          <w:b/>
          <w:color w:val="002060"/>
          <w:sz w:val="20"/>
          <w:szCs w:val="20"/>
        </w:rPr>
        <w:t>The following is recommended</w:t>
      </w:r>
      <w:r w:rsidRPr="00D701B4">
        <w:rPr>
          <w:rFonts w:ascii="Arial" w:hAnsi="Arial" w:cs="Arial"/>
          <w:color w:val="002060"/>
          <w:sz w:val="20"/>
          <w:szCs w:val="20"/>
        </w:rPr>
        <w:t>:</w:t>
      </w:r>
    </w:p>
    <w:p w:rsidR="0085101E" w:rsidRPr="00C57D93" w:rsidRDefault="0085101E" w:rsidP="00C57D93">
      <w:pPr>
        <w:pStyle w:val="ListParagraph"/>
        <w:numPr>
          <w:ilvl w:val="0"/>
          <w:numId w:val="11"/>
        </w:numPr>
        <w:spacing w:after="0" w:line="240" w:lineRule="auto"/>
        <w:rPr>
          <w:rFonts w:ascii="Arial" w:hAnsi="Arial" w:cs="Arial"/>
          <w:color w:val="002060"/>
          <w:sz w:val="20"/>
          <w:szCs w:val="20"/>
        </w:rPr>
      </w:pPr>
      <w:r w:rsidRPr="00C57D93">
        <w:rPr>
          <w:rFonts w:ascii="Arial" w:hAnsi="Arial" w:cs="Arial"/>
          <w:color w:val="002060"/>
          <w:sz w:val="20"/>
          <w:szCs w:val="20"/>
        </w:rPr>
        <w:t xml:space="preserve">The grant agreement signed between the public bodies receiving expanded public works programme funding and the department should be enhanced. This should clarify the evidence that should be maintained, require money received to be reconciled with money spent, and include the number of work opportunities created. </w:t>
      </w:r>
    </w:p>
    <w:p w:rsidR="001F53C3" w:rsidRPr="00C57D93" w:rsidRDefault="0085101E" w:rsidP="00C57D93">
      <w:pPr>
        <w:pStyle w:val="ListParagraph"/>
        <w:numPr>
          <w:ilvl w:val="0"/>
          <w:numId w:val="11"/>
        </w:numPr>
        <w:spacing w:after="0" w:line="240" w:lineRule="auto"/>
        <w:rPr>
          <w:rFonts w:ascii="Arial" w:hAnsi="Arial" w:cs="Arial"/>
          <w:color w:val="002060"/>
          <w:sz w:val="20"/>
          <w:szCs w:val="20"/>
          <w:u w:val="single"/>
        </w:rPr>
      </w:pPr>
      <w:r w:rsidRPr="00C57D93">
        <w:rPr>
          <w:rFonts w:ascii="Arial" w:hAnsi="Arial" w:cs="Arial"/>
          <w:color w:val="002060"/>
          <w:sz w:val="20"/>
          <w:szCs w:val="20"/>
        </w:rPr>
        <w:t>Regular site visits should be conducted by the national department to the public bodies receiving grant funding, and improvements should be made to the expanded public works programme integrated grant template to ensure that proper records which support the reported job opportunities created are consistently maintained.</w:t>
      </w:r>
    </w:p>
    <w:p w:rsidR="00C57D93" w:rsidRDefault="00C57D93" w:rsidP="00B3392A">
      <w:pPr>
        <w:spacing w:after="0" w:line="240" w:lineRule="auto"/>
        <w:rPr>
          <w:rFonts w:ascii="Arial" w:hAnsi="Arial" w:cs="Arial"/>
          <w:b/>
          <w:color w:val="002060"/>
          <w:sz w:val="20"/>
          <w:szCs w:val="20"/>
          <w:u w:val="single"/>
        </w:rPr>
      </w:pPr>
    </w:p>
    <w:p w:rsidR="000B16F1" w:rsidRDefault="000B16F1" w:rsidP="00B3392A">
      <w:pPr>
        <w:spacing w:after="0" w:line="240" w:lineRule="auto"/>
        <w:rPr>
          <w:rFonts w:ascii="Arial" w:hAnsi="Arial" w:cs="Arial"/>
          <w:b/>
          <w:color w:val="002060"/>
          <w:sz w:val="20"/>
          <w:szCs w:val="20"/>
          <w:u w:val="single"/>
        </w:rPr>
      </w:pPr>
    </w:p>
    <w:p w:rsidR="008F66CC" w:rsidRDefault="008F66CC">
      <w:pPr>
        <w:rPr>
          <w:rFonts w:ascii="Arial" w:hAnsi="Arial" w:cs="Arial"/>
          <w:b/>
          <w:color w:val="002060"/>
          <w:sz w:val="20"/>
          <w:szCs w:val="20"/>
          <w:u w:val="single"/>
        </w:rPr>
      </w:pPr>
      <w:r>
        <w:rPr>
          <w:rFonts w:ascii="Arial" w:hAnsi="Arial" w:cs="Arial"/>
          <w:b/>
          <w:color w:val="002060"/>
          <w:sz w:val="20"/>
          <w:szCs w:val="20"/>
          <w:u w:val="single"/>
        </w:rPr>
        <w:br w:type="page"/>
      </w:r>
    </w:p>
    <w:p w:rsidR="00D701B4" w:rsidRDefault="008F66CC" w:rsidP="00B3392A">
      <w:pPr>
        <w:spacing w:after="0" w:line="240" w:lineRule="auto"/>
        <w:rPr>
          <w:rFonts w:ascii="Arial" w:hAnsi="Arial" w:cs="Arial"/>
          <w:b/>
          <w:color w:val="002060"/>
          <w:sz w:val="20"/>
          <w:szCs w:val="20"/>
          <w:u w:val="single"/>
        </w:rPr>
      </w:pPr>
      <w:r>
        <w:rPr>
          <w:rFonts w:ascii="Arial" w:hAnsi="Arial" w:cs="Arial"/>
          <w:b/>
          <w:color w:val="002060"/>
          <w:sz w:val="20"/>
          <w:szCs w:val="20"/>
          <w:u w:val="single"/>
        </w:rPr>
        <w:lastRenderedPageBreak/>
        <w:t xml:space="preserve">5.2 </w:t>
      </w:r>
      <w:r>
        <w:rPr>
          <w:rFonts w:ascii="Arial" w:hAnsi="Arial" w:cs="Arial"/>
          <w:b/>
          <w:color w:val="002060"/>
          <w:sz w:val="20"/>
          <w:szCs w:val="20"/>
          <w:u w:val="single"/>
        </w:rPr>
        <w:tab/>
      </w:r>
      <w:r w:rsidR="00D701B4" w:rsidRPr="00017444">
        <w:rPr>
          <w:rFonts w:ascii="Arial" w:hAnsi="Arial" w:cs="Arial"/>
          <w:b/>
          <w:color w:val="002060"/>
          <w:sz w:val="20"/>
          <w:szCs w:val="20"/>
          <w:u w:val="single"/>
        </w:rPr>
        <w:t>Property Management Trading Entity</w:t>
      </w:r>
    </w:p>
    <w:p w:rsidR="00D701B4" w:rsidRDefault="00D701B4" w:rsidP="00B3392A">
      <w:pPr>
        <w:spacing w:after="0" w:line="240" w:lineRule="auto"/>
        <w:rPr>
          <w:rFonts w:ascii="Arial" w:hAnsi="Arial" w:cs="Arial"/>
          <w:color w:val="002060"/>
          <w:sz w:val="20"/>
          <w:szCs w:val="20"/>
          <w:u w:val="single"/>
        </w:rPr>
      </w:pPr>
    </w:p>
    <w:p w:rsidR="000B16F1" w:rsidRDefault="000B16F1" w:rsidP="00B3392A">
      <w:pPr>
        <w:spacing w:after="0" w:line="240" w:lineRule="auto"/>
        <w:rPr>
          <w:rFonts w:ascii="Arial" w:hAnsi="Arial" w:cs="Arial"/>
          <w:color w:val="002060"/>
          <w:sz w:val="20"/>
          <w:szCs w:val="20"/>
        </w:rPr>
      </w:pPr>
      <w:r>
        <w:rPr>
          <w:rFonts w:ascii="Arial" w:hAnsi="Arial" w:cs="Arial"/>
          <w:color w:val="002060"/>
          <w:sz w:val="20"/>
          <w:szCs w:val="20"/>
        </w:rPr>
        <w:t>The status of key controls is as follows:</w:t>
      </w:r>
    </w:p>
    <w:p w:rsidR="000B16F1" w:rsidRDefault="000B16F1" w:rsidP="00B3392A">
      <w:pPr>
        <w:spacing w:after="0" w:line="240" w:lineRule="auto"/>
        <w:rPr>
          <w:rFonts w:ascii="Arial" w:hAnsi="Arial" w:cs="Arial"/>
          <w:color w:val="002060"/>
          <w:sz w:val="20"/>
          <w:szCs w:val="20"/>
        </w:rPr>
      </w:pPr>
    </w:p>
    <w:p w:rsidR="000B16F1" w:rsidRPr="000B16F1" w:rsidRDefault="000B16F1" w:rsidP="00B3392A">
      <w:pPr>
        <w:spacing w:after="0" w:line="240" w:lineRule="auto"/>
        <w:rPr>
          <w:rFonts w:ascii="Arial" w:hAnsi="Arial" w:cs="Arial"/>
          <w:color w:val="002060"/>
          <w:sz w:val="20"/>
          <w:szCs w:val="20"/>
        </w:rPr>
      </w:pPr>
      <w:r w:rsidRPr="00E6278B">
        <w:rPr>
          <w:rFonts w:ascii="Arial" w:hAnsi="Arial" w:cs="Arial"/>
          <w:noProof/>
          <w:lang w:eastAsia="en-ZA"/>
        </w:rPr>
        <w:drawing>
          <wp:inline distT="0" distB="0" distL="0" distR="0">
            <wp:extent cx="5958840" cy="30861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B16F1" w:rsidRDefault="000B16F1" w:rsidP="00B3392A">
      <w:pPr>
        <w:spacing w:after="0" w:line="240" w:lineRule="auto"/>
        <w:rPr>
          <w:rFonts w:ascii="Arial" w:hAnsi="Arial" w:cs="Arial"/>
          <w:color w:val="002060"/>
          <w:sz w:val="20"/>
          <w:szCs w:val="20"/>
          <w:u w:val="single"/>
        </w:rPr>
      </w:pPr>
    </w:p>
    <w:p w:rsidR="00314CA4" w:rsidRDefault="00314CA4" w:rsidP="00B3392A">
      <w:pPr>
        <w:spacing w:after="0" w:line="240" w:lineRule="auto"/>
        <w:rPr>
          <w:rFonts w:ascii="Arial" w:hAnsi="Arial" w:cs="Arial"/>
          <w:color w:val="002060"/>
          <w:sz w:val="20"/>
          <w:szCs w:val="20"/>
          <w:u w:val="single"/>
        </w:rPr>
      </w:pPr>
    </w:p>
    <w:p w:rsidR="00834CA9" w:rsidRDefault="00C57D93" w:rsidP="00E3133C">
      <w:pPr>
        <w:spacing w:after="0" w:line="240" w:lineRule="auto"/>
        <w:rPr>
          <w:rFonts w:ascii="Arial" w:hAnsi="Arial" w:cs="Arial"/>
          <w:bCs/>
          <w:color w:val="002060"/>
          <w:sz w:val="20"/>
          <w:szCs w:val="20"/>
        </w:rPr>
      </w:pPr>
      <w:r w:rsidRPr="00C57D93">
        <w:rPr>
          <w:rFonts w:ascii="Arial" w:hAnsi="Arial" w:cs="Arial"/>
          <w:bCs/>
          <w:color w:val="002060"/>
          <w:sz w:val="20"/>
          <w:szCs w:val="20"/>
          <w:lang w:val="en-US"/>
        </w:rPr>
        <w:t xml:space="preserve">The transitional provisions of the Accounting Standard Board Directive 2 expired during the 2016-17 financial period and the PMTE was therefore required to fully comply with the GRAP accounting requirements on immovable assets for the 2016-17 annual financial statements. To comply with this requirement, PMTE delayed the submission of their annual financial statements; </w:t>
      </w:r>
      <w:r w:rsidR="001B51EA" w:rsidRPr="00C57D93">
        <w:rPr>
          <w:rFonts w:ascii="Arial" w:hAnsi="Arial" w:cs="Arial"/>
          <w:bCs/>
          <w:color w:val="002060"/>
          <w:sz w:val="20"/>
          <w:szCs w:val="20"/>
          <w:lang w:val="en-US"/>
        </w:rPr>
        <w:t>however,</w:t>
      </w:r>
      <w:r w:rsidRPr="00C57D93">
        <w:rPr>
          <w:rFonts w:ascii="Arial" w:hAnsi="Arial" w:cs="Arial"/>
          <w:bCs/>
          <w:color w:val="002060"/>
          <w:sz w:val="20"/>
          <w:szCs w:val="20"/>
          <w:lang w:val="en-US"/>
        </w:rPr>
        <w:t xml:space="preserve"> this did not result in the desired improvement in the quality of the financial statements and supporting schedules submitted for auditing</w:t>
      </w:r>
      <w:r>
        <w:rPr>
          <w:rFonts w:ascii="Arial" w:hAnsi="Arial" w:cs="Arial"/>
          <w:bCs/>
          <w:color w:val="002060"/>
          <w:sz w:val="20"/>
          <w:szCs w:val="20"/>
          <w:lang w:val="en-US"/>
        </w:rPr>
        <w:t>.</w:t>
      </w:r>
    </w:p>
    <w:p w:rsidR="00D701B4" w:rsidRDefault="00D701B4" w:rsidP="00E3133C">
      <w:pPr>
        <w:spacing w:after="0" w:line="240" w:lineRule="auto"/>
        <w:rPr>
          <w:rFonts w:ascii="Arial" w:hAnsi="Arial" w:cs="Arial"/>
          <w:bCs/>
          <w:color w:val="002060"/>
          <w:sz w:val="20"/>
          <w:szCs w:val="20"/>
        </w:rPr>
      </w:pPr>
    </w:p>
    <w:p w:rsidR="00D701B4" w:rsidRPr="00D701B4" w:rsidRDefault="00D701B4" w:rsidP="00E3133C">
      <w:pPr>
        <w:spacing w:after="0" w:line="240" w:lineRule="auto"/>
        <w:rPr>
          <w:rFonts w:ascii="Arial" w:hAnsi="Arial" w:cs="Arial"/>
          <w:color w:val="002060"/>
          <w:sz w:val="20"/>
          <w:szCs w:val="20"/>
          <w:u w:val="single"/>
        </w:rPr>
      </w:pPr>
      <w:r w:rsidRPr="00D701B4">
        <w:rPr>
          <w:rFonts w:ascii="Arial" w:hAnsi="Arial" w:cs="Arial"/>
          <w:color w:val="002060"/>
          <w:sz w:val="20"/>
          <w:szCs w:val="20"/>
          <w:u w:val="single"/>
        </w:rPr>
        <w:t>Immovable assets</w:t>
      </w:r>
    </w:p>
    <w:p w:rsidR="00D701B4" w:rsidRPr="00D701B4" w:rsidRDefault="00D701B4" w:rsidP="00D701B4">
      <w:pPr>
        <w:spacing w:after="0" w:line="240" w:lineRule="auto"/>
        <w:rPr>
          <w:rFonts w:ascii="Arial" w:hAnsi="Arial" w:cs="Arial"/>
          <w:color w:val="002060"/>
          <w:sz w:val="20"/>
          <w:szCs w:val="20"/>
        </w:rPr>
      </w:pPr>
      <w:r w:rsidRPr="00D701B4">
        <w:rPr>
          <w:rFonts w:ascii="Arial" w:hAnsi="Arial" w:cs="Arial"/>
          <w:bCs/>
          <w:color w:val="002060"/>
          <w:sz w:val="20"/>
          <w:szCs w:val="20"/>
          <w:lang w:val="en-US"/>
        </w:rPr>
        <w:t>Significant weaknesses were identified in the immovable assets register submitted for audit, which was the main contributor to the entity receiving a negative audit outcome. The weaknesses identified and the key root causes were as follows:</w:t>
      </w:r>
    </w:p>
    <w:p w:rsidR="00D701B4" w:rsidRPr="00D701B4" w:rsidRDefault="00D701B4" w:rsidP="003D357E">
      <w:pPr>
        <w:numPr>
          <w:ilvl w:val="1"/>
          <w:numId w:val="5"/>
        </w:numPr>
        <w:spacing w:after="0" w:line="240" w:lineRule="auto"/>
        <w:rPr>
          <w:rFonts w:ascii="Arial" w:hAnsi="Arial" w:cs="Arial"/>
          <w:color w:val="002060"/>
          <w:sz w:val="20"/>
          <w:szCs w:val="20"/>
        </w:rPr>
      </w:pPr>
      <w:r w:rsidRPr="00D701B4">
        <w:rPr>
          <w:rFonts w:ascii="Arial" w:hAnsi="Arial" w:cs="Arial"/>
          <w:color w:val="002060"/>
          <w:sz w:val="20"/>
          <w:szCs w:val="20"/>
        </w:rPr>
        <w:t>Material errors identified during the audit process in the assigning of values to assets in line with the required principles of GRAP. This was mainly due to the process of reviewing the work done by the fieldworkers for reasonableness and accuracy being inadequate.</w:t>
      </w:r>
    </w:p>
    <w:p w:rsidR="00244660" w:rsidRDefault="00D701B4" w:rsidP="003D357E">
      <w:pPr>
        <w:pStyle w:val="ListParagraph"/>
        <w:numPr>
          <w:ilvl w:val="1"/>
          <w:numId w:val="5"/>
        </w:numPr>
        <w:spacing w:after="0" w:line="240" w:lineRule="auto"/>
        <w:rPr>
          <w:rFonts w:ascii="Arial" w:hAnsi="Arial" w:cs="Arial"/>
          <w:color w:val="002060"/>
          <w:sz w:val="20"/>
          <w:szCs w:val="20"/>
        </w:rPr>
      </w:pPr>
      <w:r w:rsidRPr="00D701B4">
        <w:rPr>
          <w:rFonts w:ascii="Arial" w:hAnsi="Arial" w:cs="Arial"/>
          <w:color w:val="002060"/>
          <w:sz w:val="20"/>
          <w:szCs w:val="20"/>
        </w:rPr>
        <w:t>Projects relating to maintenance (operating expenditure) were erroneously recognised as additions to PPE, as the department responsible for making this determination did not correctly apply the principles of GRAP.</w:t>
      </w:r>
    </w:p>
    <w:p w:rsidR="00D701B4" w:rsidRDefault="00D701B4" w:rsidP="00D701B4">
      <w:pPr>
        <w:spacing w:after="0" w:line="240" w:lineRule="auto"/>
        <w:rPr>
          <w:rFonts w:ascii="Arial" w:hAnsi="Arial" w:cs="Arial"/>
          <w:color w:val="002060"/>
          <w:sz w:val="20"/>
          <w:szCs w:val="20"/>
        </w:rPr>
      </w:pPr>
    </w:p>
    <w:p w:rsidR="000B7D8F" w:rsidRDefault="000B7D8F" w:rsidP="00D701B4">
      <w:pPr>
        <w:spacing w:after="0" w:line="240" w:lineRule="auto"/>
        <w:rPr>
          <w:rFonts w:ascii="Arial" w:hAnsi="Arial" w:cs="Arial"/>
          <w:color w:val="002060"/>
          <w:sz w:val="20"/>
          <w:szCs w:val="20"/>
          <w:u w:val="single"/>
        </w:rPr>
      </w:pPr>
      <w:r>
        <w:rPr>
          <w:rFonts w:ascii="Arial" w:hAnsi="Arial" w:cs="Arial"/>
          <w:color w:val="002060"/>
          <w:sz w:val="20"/>
          <w:szCs w:val="20"/>
          <w:u w:val="single"/>
        </w:rPr>
        <w:t>Accrued expenses</w:t>
      </w:r>
    </w:p>
    <w:p w:rsidR="000B7D8F" w:rsidRPr="000B7D8F" w:rsidRDefault="000071D0" w:rsidP="00D701B4">
      <w:pPr>
        <w:spacing w:after="0" w:line="240" w:lineRule="auto"/>
        <w:rPr>
          <w:rFonts w:ascii="Arial" w:hAnsi="Arial" w:cs="Arial"/>
          <w:color w:val="002060"/>
          <w:sz w:val="20"/>
          <w:szCs w:val="20"/>
        </w:rPr>
      </w:pPr>
      <w:r w:rsidRPr="000071D0">
        <w:rPr>
          <w:rFonts w:ascii="Arial" w:hAnsi="Arial" w:cs="Arial"/>
          <w:color w:val="002060"/>
          <w:sz w:val="20"/>
          <w:szCs w:val="20"/>
        </w:rPr>
        <w:t>The entity could not provide supporting documentati</w:t>
      </w:r>
      <w:r>
        <w:rPr>
          <w:rFonts w:ascii="Arial" w:hAnsi="Arial" w:cs="Arial"/>
          <w:color w:val="002060"/>
          <w:sz w:val="20"/>
          <w:szCs w:val="20"/>
        </w:rPr>
        <w:t xml:space="preserve">on for accrued expenses due to </w:t>
      </w:r>
      <w:r w:rsidRPr="000071D0">
        <w:rPr>
          <w:rFonts w:ascii="Arial" w:hAnsi="Arial" w:cs="Arial"/>
          <w:color w:val="002060"/>
          <w:sz w:val="20"/>
          <w:szCs w:val="20"/>
        </w:rPr>
        <w:t>inadequate systems for maintaining records.</w:t>
      </w:r>
      <w:r w:rsidR="000B7D8F">
        <w:rPr>
          <w:rFonts w:ascii="Arial" w:hAnsi="Arial" w:cs="Arial"/>
          <w:color w:val="002060"/>
          <w:sz w:val="20"/>
          <w:szCs w:val="20"/>
        </w:rPr>
        <w:t xml:space="preserve"> </w:t>
      </w:r>
    </w:p>
    <w:p w:rsidR="000B7D8F" w:rsidRDefault="000B7D8F" w:rsidP="00D701B4">
      <w:pPr>
        <w:spacing w:after="0" w:line="240" w:lineRule="auto"/>
        <w:rPr>
          <w:rFonts w:ascii="Arial" w:hAnsi="Arial" w:cs="Arial"/>
          <w:color w:val="002060"/>
          <w:sz w:val="20"/>
          <w:szCs w:val="20"/>
          <w:u w:val="single"/>
        </w:rPr>
      </w:pPr>
    </w:p>
    <w:p w:rsidR="00D701B4" w:rsidRPr="00D701B4" w:rsidRDefault="00D701B4" w:rsidP="00D701B4">
      <w:pPr>
        <w:spacing w:after="0" w:line="240" w:lineRule="auto"/>
        <w:rPr>
          <w:rFonts w:ascii="Arial" w:hAnsi="Arial" w:cs="Arial"/>
          <w:color w:val="002060"/>
          <w:sz w:val="20"/>
          <w:szCs w:val="20"/>
          <w:u w:val="single"/>
        </w:rPr>
      </w:pPr>
      <w:r w:rsidRPr="00D701B4">
        <w:rPr>
          <w:rFonts w:ascii="Arial" w:hAnsi="Arial" w:cs="Arial"/>
          <w:color w:val="002060"/>
          <w:sz w:val="20"/>
          <w:szCs w:val="20"/>
          <w:u w:val="single"/>
        </w:rPr>
        <w:t xml:space="preserve">Project management on infrastructure projects  </w:t>
      </w:r>
    </w:p>
    <w:p w:rsidR="00D701B4" w:rsidRPr="00D701B4" w:rsidRDefault="00D701B4" w:rsidP="00D701B4">
      <w:pPr>
        <w:spacing w:after="0" w:line="240" w:lineRule="auto"/>
        <w:rPr>
          <w:rFonts w:ascii="Arial" w:hAnsi="Arial" w:cs="Arial"/>
          <w:color w:val="002060"/>
          <w:sz w:val="20"/>
          <w:szCs w:val="20"/>
        </w:rPr>
      </w:pPr>
    </w:p>
    <w:p w:rsidR="00D701B4" w:rsidRPr="000B7D8F" w:rsidRDefault="00D701B4" w:rsidP="003D357E">
      <w:pPr>
        <w:pStyle w:val="ListParagraph"/>
        <w:numPr>
          <w:ilvl w:val="0"/>
          <w:numId w:val="14"/>
        </w:numPr>
        <w:spacing w:after="0" w:line="240" w:lineRule="auto"/>
        <w:rPr>
          <w:rFonts w:ascii="Arial" w:hAnsi="Arial" w:cs="Arial"/>
          <w:color w:val="002060"/>
          <w:sz w:val="20"/>
          <w:szCs w:val="20"/>
        </w:rPr>
      </w:pPr>
      <w:r w:rsidRPr="000B7D8F">
        <w:rPr>
          <w:rFonts w:ascii="Arial" w:hAnsi="Arial" w:cs="Arial"/>
          <w:color w:val="002060"/>
          <w:sz w:val="20"/>
          <w:szCs w:val="20"/>
        </w:rPr>
        <w:t>Our audit included an assessment of service delivery to add additional value through our auditing. We focused on certain key projects which are related to the core mandate of the entity. Out of the four construction projects audited, none were completed within budget and on time.</w:t>
      </w:r>
    </w:p>
    <w:p w:rsidR="00D701B4" w:rsidRPr="00D701B4" w:rsidRDefault="00D701B4" w:rsidP="00D701B4">
      <w:pPr>
        <w:spacing w:after="0" w:line="240" w:lineRule="auto"/>
        <w:rPr>
          <w:rFonts w:ascii="Arial" w:hAnsi="Arial" w:cs="Arial"/>
          <w:color w:val="002060"/>
          <w:sz w:val="20"/>
          <w:szCs w:val="20"/>
        </w:rPr>
      </w:pPr>
    </w:p>
    <w:p w:rsidR="00D701B4" w:rsidRPr="000B7D8F" w:rsidRDefault="00D701B4" w:rsidP="003D357E">
      <w:pPr>
        <w:pStyle w:val="ListParagraph"/>
        <w:numPr>
          <w:ilvl w:val="0"/>
          <w:numId w:val="14"/>
        </w:numPr>
        <w:spacing w:after="0" w:line="240" w:lineRule="auto"/>
        <w:rPr>
          <w:rFonts w:ascii="Arial" w:hAnsi="Arial" w:cs="Arial"/>
          <w:color w:val="002060"/>
          <w:sz w:val="20"/>
          <w:szCs w:val="20"/>
        </w:rPr>
      </w:pPr>
      <w:r w:rsidRPr="000B7D8F">
        <w:rPr>
          <w:rFonts w:ascii="Arial" w:hAnsi="Arial" w:cs="Arial"/>
          <w:color w:val="002060"/>
          <w:sz w:val="20"/>
          <w:szCs w:val="20"/>
        </w:rPr>
        <w:t xml:space="preserve">Weaknesses in the planning and monitoring of infrastructure projects resulted in fruitless and wasteful expenditure being incurred by the PMTE. </w:t>
      </w:r>
      <w:r w:rsidR="000B7D8F" w:rsidRPr="000B7D8F">
        <w:rPr>
          <w:rFonts w:ascii="Arial" w:hAnsi="Arial" w:cs="Arial"/>
          <w:color w:val="002060"/>
          <w:sz w:val="20"/>
          <w:szCs w:val="20"/>
        </w:rPr>
        <w:t>M</w:t>
      </w:r>
      <w:r w:rsidRPr="000B7D8F">
        <w:rPr>
          <w:rFonts w:ascii="Arial" w:hAnsi="Arial" w:cs="Arial"/>
          <w:color w:val="002060"/>
          <w:sz w:val="20"/>
          <w:szCs w:val="20"/>
        </w:rPr>
        <w:t>anagement has indicated that an extensive investigation will be performed to determine the full extent of the fruitless and wasteful expenditure incurred.</w:t>
      </w:r>
    </w:p>
    <w:p w:rsidR="00D701B4" w:rsidRPr="00D701B4" w:rsidRDefault="00D701B4" w:rsidP="00D701B4">
      <w:pPr>
        <w:spacing w:after="0" w:line="240" w:lineRule="auto"/>
        <w:rPr>
          <w:rFonts w:ascii="Arial" w:hAnsi="Arial" w:cs="Arial"/>
          <w:color w:val="002060"/>
          <w:sz w:val="20"/>
          <w:szCs w:val="20"/>
        </w:rPr>
      </w:pPr>
    </w:p>
    <w:p w:rsidR="00D701B4" w:rsidRPr="000B7D8F" w:rsidRDefault="00D701B4" w:rsidP="003D357E">
      <w:pPr>
        <w:pStyle w:val="ListParagraph"/>
        <w:numPr>
          <w:ilvl w:val="0"/>
          <w:numId w:val="14"/>
        </w:numPr>
        <w:spacing w:after="0" w:line="240" w:lineRule="auto"/>
        <w:rPr>
          <w:rFonts w:ascii="Arial" w:hAnsi="Arial" w:cs="Arial"/>
          <w:color w:val="002060"/>
          <w:sz w:val="20"/>
          <w:szCs w:val="20"/>
        </w:rPr>
      </w:pPr>
      <w:r w:rsidRPr="000B7D8F">
        <w:rPr>
          <w:rFonts w:ascii="Arial" w:hAnsi="Arial" w:cs="Arial"/>
          <w:color w:val="002060"/>
          <w:sz w:val="20"/>
          <w:szCs w:val="20"/>
        </w:rPr>
        <w:t>In addition, two of the projects were completed six and seven years after the anticipated completion date respectively, with overspending on these projects being in excess of R180 million.</w:t>
      </w:r>
    </w:p>
    <w:p w:rsidR="00D701B4" w:rsidRPr="00D701B4" w:rsidRDefault="00D701B4" w:rsidP="00D701B4">
      <w:pPr>
        <w:spacing w:after="0" w:line="240" w:lineRule="auto"/>
        <w:rPr>
          <w:rFonts w:ascii="Arial" w:hAnsi="Arial" w:cs="Arial"/>
          <w:color w:val="002060"/>
          <w:sz w:val="20"/>
          <w:szCs w:val="20"/>
        </w:rPr>
      </w:pPr>
    </w:p>
    <w:p w:rsidR="00595B05" w:rsidRDefault="00595B05">
      <w:pPr>
        <w:rPr>
          <w:rFonts w:ascii="Arial" w:hAnsi="Arial" w:cs="Arial"/>
          <w:b/>
          <w:color w:val="002060"/>
          <w:sz w:val="20"/>
          <w:szCs w:val="20"/>
        </w:rPr>
      </w:pPr>
      <w:r>
        <w:rPr>
          <w:rFonts w:ascii="Arial" w:hAnsi="Arial" w:cs="Arial"/>
          <w:b/>
          <w:color w:val="002060"/>
          <w:sz w:val="20"/>
          <w:szCs w:val="20"/>
        </w:rPr>
        <w:br w:type="page"/>
      </w:r>
    </w:p>
    <w:p w:rsidR="00D701B4" w:rsidRPr="00D701B4" w:rsidRDefault="00D701B4" w:rsidP="00D701B4">
      <w:pPr>
        <w:spacing w:after="0" w:line="240" w:lineRule="auto"/>
        <w:rPr>
          <w:rFonts w:ascii="Arial" w:hAnsi="Arial" w:cs="Arial"/>
          <w:color w:val="002060"/>
          <w:sz w:val="20"/>
          <w:szCs w:val="20"/>
        </w:rPr>
      </w:pPr>
      <w:r w:rsidRPr="00D701B4">
        <w:rPr>
          <w:rFonts w:ascii="Arial" w:hAnsi="Arial" w:cs="Arial"/>
          <w:b/>
          <w:color w:val="002060"/>
          <w:sz w:val="20"/>
          <w:szCs w:val="20"/>
        </w:rPr>
        <w:lastRenderedPageBreak/>
        <w:t>The following is recommended</w:t>
      </w:r>
      <w:r w:rsidRPr="00D701B4">
        <w:rPr>
          <w:rFonts w:ascii="Arial" w:hAnsi="Arial" w:cs="Arial"/>
          <w:color w:val="002060"/>
          <w:sz w:val="20"/>
          <w:szCs w:val="20"/>
        </w:rPr>
        <w:t>:</w:t>
      </w:r>
    </w:p>
    <w:p w:rsidR="00D701B4" w:rsidRPr="00D701B4" w:rsidRDefault="00D701B4" w:rsidP="00D701B4">
      <w:pPr>
        <w:spacing w:after="0" w:line="240" w:lineRule="auto"/>
        <w:rPr>
          <w:rFonts w:ascii="Arial" w:hAnsi="Arial" w:cs="Arial"/>
          <w:color w:val="002060"/>
          <w:sz w:val="20"/>
          <w:szCs w:val="20"/>
        </w:rPr>
      </w:pPr>
    </w:p>
    <w:p w:rsidR="00D701B4" w:rsidRPr="00D701B4" w:rsidRDefault="00D701B4" w:rsidP="003D357E">
      <w:pPr>
        <w:pStyle w:val="ListParagraph"/>
        <w:numPr>
          <w:ilvl w:val="0"/>
          <w:numId w:val="7"/>
        </w:numPr>
        <w:spacing w:after="0" w:line="240" w:lineRule="auto"/>
        <w:rPr>
          <w:rFonts w:ascii="Arial" w:hAnsi="Arial" w:cs="Arial"/>
          <w:color w:val="002060"/>
          <w:sz w:val="20"/>
          <w:szCs w:val="20"/>
        </w:rPr>
      </w:pPr>
      <w:r w:rsidRPr="00D701B4">
        <w:rPr>
          <w:rFonts w:ascii="Arial" w:hAnsi="Arial" w:cs="Arial"/>
          <w:color w:val="002060"/>
          <w:sz w:val="20"/>
          <w:szCs w:val="20"/>
        </w:rPr>
        <w:t>The immovable assets register should be thoroughly reviewed by management for validity and accuracy, and to ensure that all GRAP principles are fully adhered to when implementing the accounting policies related to immovable assets.</w:t>
      </w:r>
    </w:p>
    <w:p w:rsidR="00D701B4" w:rsidRPr="00D701B4" w:rsidRDefault="00D701B4" w:rsidP="003D357E">
      <w:pPr>
        <w:pStyle w:val="ListParagraph"/>
        <w:numPr>
          <w:ilvl w:val="0"/>
          <w:numId w:val="7"/>
        </w:numPr>
        <w:spacing w:after="0" w:line="240" w:lineRule="auto"/>
        <w:rPr>
          <w:rFonts w:ascii="Arial" w:hAnsi="Arial" w:cs="Arial"/>
          <w:color w:val="002060"/>
          <w:sz w:val="20"/>
          <w:szCs w:val="20"/>
        </w:rPr>
      </w:pPr>
      <w:r w:rsidRPr="00D701B4">
        <w:rPr>
          <w:rFonts w:ascii="Arial" w:hAnsi="Arial" w:cs="Arial"/>
          <w:color w:val="002060"/>
          <w:sz w:val="20"/>
          <w:szCs w:val="20"/>
        </w:rPr>
        <w:t>The full implementation of the accrual accounting and record management system should be expedited, in order to ensure regular, accurate and complete financial reporting.</w:t>
      </w:r>
      <w:r w:rsidRPr="00D701B4" w:rsidDel="00F918B6">
        <w:rPr>
          <w:rFonts w:ascii="Arial" w:hAnsi="Arial" w:cs="Arial"/>
          <w:color w:val="002060"/>
          <w:sz w:val="20"/>
          <w:szCs w:val="20"/>
        </w:rPr>
        <w:t xml:space="preserve"> </w:t>
      </w:r>
    </w:p>
    <w:p w:rsidR="00D701B4" w:rsidRPr="00D701B4" w:rsidRDefault="00D701B4" w:rsidP="003D357E">
      <w:pPr>
        <w:pStyle w:val="ListParagraph"/>
        <w:numPr>
          <w:ilvl w:val="0"/>
          <w:numId w:val="7"/>
        </w:numPr>
        <w:spacing w:after="0" w:line="240" w:lineRule="auto"/>
        <w:rPr>
          <w:rFonts w:ascii="Arial" w:hAnsi="Arial" w:cs="Arial"/>
          <w:color w:val="002060"/>
          <w:sz w:val="20"/>
          <w:szCs w:val="20"/>
        </w:rPr>
      </w:pPr>
      <w:r w:rsidRPr="00D701B4">
        <w:rPr>
          <w:rFonts w:ascii="Arial" w:hAnsi="Arial" w:cs="Arial"/>
          <w:color w:val="002060"/>
          <w:sz w:val="20"/>
          <w:szCs w:val="20"/>
        </w:rPr>
        <w:t>Project management on infrastructure projects – PMTE</w:t>
      </w:r>
    </w:p>
    <w:p w:rsidR="00D701B4" w:rsidRPr="00D701B4" w:rsidRDefault="00D701B4" w:rsidP="003D357E">
      <w:pPr>
        <w:numPr>
          <w:ilvl w:val="0"/>
          <w:numId w:val="6"/>
        </w:numPr>
        <w:spacing w:after="0" w:line="240" w:lineRule="auto"/>
        <w:rPr>
          <w:rFonts w:ascii="Arial" w:hAnsi="Arial" w:cs="Arial"/>
          <w:color w:val="002060"/>
          <w:sz w:val="20"/>
          <w:szCs w:val="20"/>
        </w:rPr>
      </w:pPr>
      <w:r w:rsidRPr="00D701B4">
        <w:rPr>
          <w:rFonts w:ascii="Arial" w:hAnsi="Arial" w:cs="Arial"/>
          <w:color w:val="002060"/>
          <w:sz w:val="20"/>
          <w:szCs w:val="20"/>
        </w:rPr>
        <w:t>Projects should be adequately planned, all affected stakeholder should be engaged prior to commencement of the project. Proper planning will minimise the risk of continues scope changes and over expenditure on project budgets.</w:t>
      </w:r>
    </w:p>
    <w:p w:rsidR="00D701B4" w:rsidRDefault="00D701B4" w:rsidP="003D357E">
      <w:pPr>
        <w:pStyle w:val="ListParagraph"/>
        <w:numPr>
          <w:ilvl w:val="0"/>
          <w:numId w:val="6"/>
        </w:numPr>
        <w:spacing w:after="0" w:line="240" w:lineRule="auto"/>
        <w:rPr>
          <w:rFonts w:ascii="Arial" w:hAnsi="Arial" w:cs="Arial"/>
          <w:color w:val="002060"/>
          <w:sz w:val="20"/>
          <w:szCs w:val="20"/>
        </w:rPr>
      </w:pPr>
      <w:r w:rsidRPr="00D701B4">
        <w:rPr>
          <w:rFonts w:ascii="Arial" w:hAnsi="Arial" w:cs="Arial"/>
          <w:color w:val="002060"/>
          <w:sz w:val="20"/>
          <w:szCs w:val="20"/>
        </w:rPr>
        <w:t>Consequence management actions to be instituted against project managers that had to monitor deliverables of contractor in terms of the contract and that approved payment to the contractor for unsatisfactorily performance.</w:t>
      </w:r>
    </w:p>
    <w:p w:rsidR="00D701B4" w:rsidRDefault="00D701B4" w:rsidP="00D701B4">
      <w:pPr>
        <w:spacing w:after="0" w:line="240" w:lineRule="auto"/>
        <w:rPr>
          <w:rFonts w:ascii="Arial" w:hAnsi="Arial" w:cs="Arial"/>
          <w:color w:val="002060"/>
          <w:sz w:val="20"/>
          <w:szCs w:val="20"/>
        </w:rPr>
      </w:pPr>
    </w:p>
    <w:p w:rsidR="00C11893" w:rsidRDefault="00C11893" w:rsidP="00D701B4">
      <w:pPr>
        <w:spacing w:after="0" w:line="240" w:lineRule="auto"/>
        <w:rPr>
          <w:rFonts w:ascii="Arial" w:hAnsi="Arial" w:cs="Arial"/>
          <w:color w:val="002060"/>
          <w:sz w:val="20"/>
          <w:szCs w:val="20"/>
        </w:rPr>
      </w:pPr>
    </w:p>
    <w:p w:rsidR="008F66CC" w:rsidRPr="00922520" w:rsidRDefault="008F66CC" w:rsidP="00293C1B">
      <w:pPr>
        <w:pStyle w:val="ListParagraph"/>
        <w:numPr>
          <w:ilvl w:val="0"/>
          <w:numId w:val="6"/>
        </w:numPr>
        <w:spacing w:after="0" w:line="240" w:lineRule="auto"/>
        <w:rPr>
          <w:rFonts w:ascii="Arial" w:hAnsi="Arial" w:cs="Arial"/>
          <w:color w:val="002060"/>
          <w:sz w:val="20"/>
          <w:szCs w:val="20"/>
        </w:rPr>
      </w:pPr>
      <w:r w:rsidRPr="00922520">
        <w:rPr>
          <w:rFonts w:ascii="Arial" w:hAnsi="Arial" w:cs="Arial"/>
          <w:color w:val="002060"/>
          <w:sz w:val="20"/>
          <w:szCs w:val="20"/>
        </w:rPr>
        <w:br w:type="page"/>
      </w:r>
    </w:p>
    <w:p w:rsidR="00D701B4" w:rsidRPr="00E01182" w:rsidRDefault="008F66CC" w:rsidP="00D701B4">
      <w:pPr>
        <w:spacing w:after="0" w:line="240" w:lineRule="auto"/>
        <w:rPr>
          <w:rFonts w:ascii="Arial" w:hAnsi="Arial" w:cs="Arial"/>
          <w:b/>
          <w:color w:val="002060"/>
          <w:sz w:val="20"/>
          <w:szCs w:val="20"/>
          <w:u w:val="single"/>
        </w:rPr>
      </w:pPr>
      <w:r>
        <w:rPr>
          <w:rFonts w:ascii="Arial" w:hAnsi="Arial" w:cs="Arial"/>
          <w:b/>
          <w:color w:val="002060"/>
          <w:sz w:val="20"/>
          <w:szCs w:val="20"/>
          <w:u w:val="single"/>
        </w:rPr>
        <w:lastRenderedPageBreak/>
        <w:t xml:space="preserve">5.3 </w:t>
      </w:r>
      <w:r>
        <w:rPr>
          <w:rFonts w:ascii="Arial" w:hAnsi="Arial" w:cs="Arial"/>
          <w:b/>
          <w:color w:val="002060"/>
          <w:sz w:val="20"/>
          <w:szCs w:val="20"/>
          <w:u w:val="single"/>
        </w:rPr>
        <w:tab/>
      </w:r>
      <w:r w:rsidR="00D701B4" w:rsidRPr="00E01182">
        <w:rPr>
          <w:rFonts w:ascii="Arial" w:hAnsi="Arial" w:cs="Arial"/>
          <w:b/>
          <w:color w:val="002060"/>
          <w:sz w:val="20"/>
          <w:szCs w:val="20"/>
          <w:u w:val="single"/>
        </w:rPr>
        <w:t xml:space="preserve">Independent Development Trust </w:t>
      </w:r>
    </w:p>
    <w:p w:rsidR="00244660" w:rsidRDefault="00244660" w:rsidP="00E3133C">
      <w:pPr>
        <w:spacing w:after="0" w:line="240" w:lineRule="auto"/>
        <w:rPr>
          <w:rFonts w:ascii="Arial" w:hAnsi="Arial" w:cs="Arial"/>
          <w:color w:val="002060"/>
          <w:sz w:val="20"/>
          <w:szCs w:val="20"/>
        </w:rPr>
      </w:pPr>
    </w:p>
    <w:p w:rsidR="004418C6" w:rsidRDefault="004418C6" w:rsidP="004418C6">
      <w:pPr>
        <w:spacing w:after="0" w:line="240" w:lineRule="auto"/>
        <w:rPr>
          <w:rFonts w:ascii="Arial" w:hAnsi="Arial" w:cs="Arial"/>
          <w:color w:val="002060"/>
          <w:sz w:val="20"/>
          <w:szCs w:val="20"/>
        </w:rPr>
      </w:pPr>
      <w:r>
        <w:rPr>
          <w:rFonts w:ascii="Arial" w:hAnsi="Arial" w:cs="Arial"/>
          <w:color w:val="002060"/>
          <w:sz w:val="20"/>
          <w:szCs w:val="20"/>
        </w:rPr>
        <w:t>The status of key controls is as follows:</w:t>
      </w:r>
    </w:p>
    <w:p w:rsidR="004418C6" w:rsidRDefault="004418C6" w:rsidP="00E01182">
      <w:pPr>
        <w:spacing w:after="0" w:line="240" w:lineRule="auto"/>
        <w:rPr>
          <w:rFonts w:ascii="Arial" w:hAnsi="Arial" w:cs="Arial"/>
          <w:color w:val="002060"/>
          <w:sz w:val="20"/>
          <w:szCs w:val="20"/>
        </w:rPr>
      </w:pPr>
      <w:r w:rsidRPr="00E6278B">
        <w:rPr>
          <w:rFonts w:ascii="Arial" w:hAnsi="Arial" w:cs="Arial"/>
          <w:noProof/>
          <w:lang w:eastAsia="en-ZA"/>
        </w:rPr>
        <w:drawing>
          <wp:inline distT="0" distB="0" distL="0" distR="0">
            <wp:extent cx="5958840" cy="30861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418C6" w:rsidRDefault="004418C6" w:rsidP="00E01182">
      <w:pPr>
        <w:spacing w:after="0" w:line="240" w:lineRule="auto"/>
        <w:rPr>
          <w:rFonts w:ascii="Arial" w:hAnsi="Arial" w:cs="Arial"/>
          <w:color w:val="002060"/>
          <w:sz w:val="20"/>
          <w:szCs w:val="20"/>
        </w:rPr>
      </w:pPr>
    </w:p>
    <w:p w:rsidR="00274C47" w:rsidRDefault="00E01182" w:rsidP="00E01182">
      <w:pPr>
        <w:spacing w:after="0" w:line="240" w:lineRule="auto"/>
        <w:rPr>
          <w:rFonts w:ascii="Arial" w:hAnsi="Arial" w:cs="Arial"/>
          <w:color w:val="002060"/>
          <w:sz w:val="20"/>
          <w:szCs w:val="20"/>
        </w:rPr>
      </w:pPr>
      <w:r w:rsidRPr="00E01182">
        <w:rPr>
          <w:rFonts w:ascii="Arial" w:hAnsi="Arial" w:cs="Arial"/>
          <w:color w:val="002060"/>
          <w:sz w:val="20"/>
          <w:szCs w:val="20"/>
        </w:rPr>
        <w:t xml:space="preserve">IDT is required to separately disclose </w:t>
      </w:r>
      <w:r w:rsidRPr="00E01182">
        <w:rPr>
          <w:rFonts w:ascii="Arial" w:hAnsi="Arial" w:cs="Arial"/>
          <w:color w:val="002060"/>
          <w:sz w:val="20"/>
          <w:szCs w:val="20"/>
          <w:lang w:val="en-US"/>
        </w:rPr>
        <w:t xml:space="preserve">programme liabilities rather than offsetting these amounts against other accounts, to enable the user of the financial statements to be able to clearly identify all applicable account balances and transactions per programme. </w:t>
      </w:r>
      <w:r>
        <w:rPr>
          <w:rFonts w:ascii="Arial" w:hAnsi="Arial" w:cs="Arial"/>
          <w:color w:val="002060"/>
          <w:sz w:val="20"/>
          <w:szCs w:val="20"/>
          <w:lang w:val="en-US"/>
        </w:rPr>
        <w:t xml:space="preserve">Prior to 2015-16, </w:t>
      </w:r>
      <w:r w:rsidRPr="00E01182">
        <w:rPr>
          <w:rFonts w:ascii="Arial" w:hAnsi="Arial" w:cs="Arial"/>
          <w:color w:val="002060"/>
          <w:sz w:val="20"/>
          <w:szCs w:val="20"/>
          <w:lang w:val="en-US"/>
        </w:rPr>
        <w:t>IDT did not</w:t>
      </w:r>
      <w:r>
        <w:rPr>
          <w:rFonts w:ascii="Arial" w:hAnsi="Arial" w:cs="Arial"/>
          <w:color w:val="002060"/>
          <w:sz w:val="20"/>
          <w:szCs w:val="20"/>
          <w:lang w:val="en-US"/>
        </w:rPr>
        <w:t xml:space="preserve"> </w:t>
      </w:r>
      <w:r w:rsidRPr="00E01182">
        <w:rPr>
          <w:rFonts w:ascii="Arial" w:hAnsi="Arial" w:cs="Arial"/>
          <w:color w:val="002060"/>
          <w:sz w:val="20"/>
          <w:szCs w:val="20"/>
          <w:lang w:val="en-US"/>
        </w:rPr>
        <w:t>maintain the necessary records nor were critical reconciliations prepared to enable IDT to identify the transactions per region</w:t>
      </w:r>
      <w:r>
        <w:rPr>
          <w:rFonts w:ascii="Arial" w:hAnsi="Arial" w:cs="Arial"/>
          <w:color w:val="002060"/>
          <w:sz w:val="20"/>
          <w:szCs w:val="20"/>
          <w:lang w:val="en-US"/>
        </w:rPr>
        <w:t>,</w:t>
      </w:r>
      <w:r w:rsidRPr="00E01182">
        <w:rPr>
          <w:rFonts w:ascii="Arial" w:hAnsi="Arial" w:cs="Arial"/>
          <w:color w:val="002060"/>
          <w:sz w:val="20"/>
          <w:szCs w:val="20"/>
          <w:lang w:val="en-US"/>
        </w:rPr>
        <w:t xml:space="preserve"> per programme </w:t>
      </w:r>
      <w:r>
        <w:rPr>
          <w:rFonts w:ascii="Arial" w:hAnsi="Arial" w:cs="Arial"/>
          <w:color w:val="002060"/>
          <w:sz w:val="20"/>
          <w:szCs w:val="20"/>
          <w:lang w:val="en-US"/>
        </w:rPr>
        <w:t xml:space="preserve">and per client department </w:t>
      </w:r>
      <w:r w:rsidRPr="00E01182">
        <w:rPr>
          <w:rFonts w:ascii="Arial" w:hAnsi="Arial" w:cs="Arial"/>
          <w:color w:val="002060"/>
          <w:sz w:val="20"/>
          <w:szCs w:val="20"/>
          <w:lang w:val="en-US"/>
        </w:rPr>
        <w:t>in order to separately report on programme expenditure, liabilities and receivables</w:t>
      </w:r>
      <w:r>
        <w:rPr>
          <w:rFonts w:ascii="Arial" w:hAnsi="Arial" w:cs="Arial"/>
          <w:color w:val="002060"/>
          <w:sz w:val="20"/>
          <w:szCs w:val="20"/>
          <w:lang w:val="en-US"/>
        </w:rPr>
        <w:t>.</w:t>
      </w:r>
      <w:r>
        <w:rPr>
          <w:rFonts w:ascii="Arial" w:hAnsi="Arial" w:cs="Arial"/>
          <w:color w:val="002060"/>
          <w:sz w:val="20"/>
          <w:szCs w:val="20"/>
        </w:rPr>
        <w:t xml:space="preserve"> Through the dedicated efforts of management, the IDT managed to identify and support transactions per programme and per client department </w:t>
      </w:r>
      <w:r w:rsidR="00B97F99">
        <w:rPr>
          <w:rFonts w:ascii="Arial" w:hAnsi="Arial" w:cs="Arial"/>
          <w:color w:val="002060"/>
          <w:sz w:val="20"/>
          <w:szCs w:val="20"/>
        </w:rPr>
        <w:t>during 2016-17.</w:t>
      </w:r>
    </w:p>
    <w:p w:rsidR="00B97F99" w:rsidRDefault="00B97F99" w:rsidP="00E01182">
      <w:pPr>
        <w:spacing w:after="0" w:line="240" w:lineRule="auto"/>
        <w:rPr>
          <w:rFonts w:ascii="Arial" w:hAnsi="Arial" w:cs="Arial"/>
          <w:color w:val="002060"/>
          <w:sz w:val="20"/>
          <w:szCs w:val="20"/>
        </w:rPr>
      </w:pPr>
    </w:p>
    <w:p w:rsidR="00B97F99" w:rsidRDefault="00B97F99" w:rsidP="00E01182">
      <w:pPr>
        <w:spacing w:after="0" w:line="240" w:lineRule="auto"/>
        <w:rPr>
          <w:rFonts w:ascii="Arial" w:hAnsi="Arial" w:cs="Arial"/>
          <w:color w:val="002060"/>
          <w:sz w:val="20"/>
          <w:szCs w:val="20"/>
          <w:lang w:val="en-US"/>
        </w:rPr>
      </w:pPr>
      <w:r w:rsidRPr="00B97F99">
        <w:rPr>
          <w:rFonts w:ascii="Arial" w:hAnsi="Arial" w:cs="Arial"/>
          <w:color w:val="002060"/>
          <w:sz w:val="20"/>
          <w:szCs w:val="20"/>
          <w:lang w:val="en-US"/>
        </w:rPr>
        <w:t xml:space="preserve">Certificates confirming work performed were </w:t>
      </w:r>
      <w:r>
        <w:rPr>
          <w:rFonts w:ascii="Arial" w:hAnsi="Arial" w:cs="Arial"/>
          <w:color w:val="002060"/>
          <w:sz w:val="20"/>
          <w:szCs w:val="20"/>
          <w:lang w:val="en-US"/>
        </w:rPr>
        <w:t xml:space="preserve">however </w:t>
      </w:r>
      <w:r w:rsidRPr="00B97F99">
        <w:rPr>
          <w:rFonts w:ascii="Arial" w:hAnsi="Arial" w:cs="Arial"/>
          <w:color w:val="002060"/>
          <w:sz w:val="20"/>
          <w:szCs w:val="20"/>
          <w:lang w:val="en-US"/>
        </w:rPr>
        <w:t>not submitted on a monthly basis, neither was there a process to ensure that certificates are at least submitted at year end.</w:t>
      </w:r>
      <w:r>
        <w:rPr>
          <w:rFonts w:ascii="Arial" w:hAnsi="Arial" w:cs="Arial"/>
          <w:color w:val="002060"/>
          <w:sz w:val="20"/>
          <w:szCs w:val="20"/>
          <w:lang w:val="en-US"/>
        </w:rPr>
        <w:t xml:space="preserve"> Consequently expenditure was accounted for in incorrect financial periods and the audit process could not conclude on the accuracy of programme expenditure as at 31 March 2017 which resulted in a negative audit outcome.</w:t>
      </w:r>
    </w:p>
    <w:p w:rsidR="00B97F99" w:rsidRDefault="00B97F99" w:rsidP="00E01182">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 xml:space="preserve">Management is still in the process of addressing the deficiencies that resulted in the prior year misstatements, in particular to address the issue of cut-off.  No information has been submitted to the auditors as yet for re-assessment. </w:t>
      </w:r>
    </w:p>
    <w:p w:rsidR="004418C6" w:rsidRPr="004418C6" w:rsidRDefault="004418C6" w:rsidP="004418C6">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 xml:space="preserve">Audit work performed to date again revealed cut-off findings and that progress certificates are not always collected on a monthly basis. </w:t>
      </w:r>
    </w:p>
    <w:p w:rsidR="004418C6" w:rsidRPr="004418C6" w:rsidRDefault="004418C6" w:rsidP="004418C6">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The implementation of National Treasury conditions for the bailout, including the process of restructuring the organisational structure, is underway and certain key staff members in divisions that integral to the audit process have exited the organisation.</w:t>
      </w:r>
    </w:p>
    <w:p w:rsidR="004418C6" w:rsidRPr="004418C6" w:rsidRDefault="004418C6" w:rsidP="004418C6">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 xml:space="preserve">The CEO has been on suspension for a period longer than six months and the CFO position is currently filled by an acting official. </w:t>
      </w:r>
    </w:p>
    <w:p w:rsidR="004418C6" w:rsidRPr="004418C6" w:rsidRDefault="004418C6" w:rsidP="004418C6">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 xml:space="preserve">Independent Development Trust is presently unable to pay their programme liabilities as they fall due, a problem that is compounded by large amounts being owed to IDT by client departments, in most instances outstanding for very long periods.  The Department of Education is of particular concern – especially KZN. </w:t>
      </w:r>
    </w:p>
    <w:p w:rsidR="004418C6" w:rsidRPr="004418C6" w:rsidRDefault="004418C6" w:rsidP="004418C6">
      <w:pPr>
        <w:spacing w:after="0" w:line="240" w:lineRule="auto"/>
        <w:rPr>
          <w:rFonts w:ascii="Arial" w:hAnsi="Arial" w:cs="Arial"/>
          <w:color w:val="002060"/>
          <w:sz w:val="20"/>
          <w:szCs w:val="20"/>
          <w:lang w:val="en-US"/>
        </w:rPr>
      </w:pPr>
    </w:p>
    <w:p w:rsidR="004418C6" w:rsidRPr="004418C6" w:rsidRDefault="004418C6" w:rsidP="004418C6">
      <w:pPr>
        <w:spacing w:after="0" w:line="240" w:lineRule="auto"/>
        <w:rPr>
          <w:rFonts w:ascii="Arial" w:hAnsi="Arial" w:cs="Arial"/>
          <w:color w:val="002060"/>
          <w:sz w:val="20"/>
          <w:szCs w:val="20"/>
          <w:lang w:val="en-US"/>
        </w:rPr>
      </w:pPr>
      <w:r w:rsidRPr="004418C6">
        <w:rPr>
          <w:rFonts w:ascii="Arial" w:hAnsi="Arial" w:cs="Arial"/>
          <w:color w:val="002060"/>
          <w:sz w:val="20"/>
          <w:szCs w:val="20"/>
          <w:lang w:val="en-US"/>
        </w:rPr>
        <w:t>There are strong indicators that IDT may not be able to function as a going concern in the foreseeable future and no bail out has been confirmed with National Treasury or DPW. The last trench of the prior year allocation was received in February.</w:t>
      </w:r>
    </w:p>
    <w:p w:rsidR="004418C6" w:rsidRPr="004418C6" w:rsidRDefault="004418C6" w:rsidP="004418C6">
      <w:pPr>
        <w:spacing w:after="0" w:line="240" w:lineRule="auto"/>
        <w:rPr>
          <w:rFonts w:ascii="Arial" w:hAnsi="Arial" w:cs="Arial"/>
          <w:color w:val="002060"/>
          <w:sz w:val="20"/>
          <w:szCs w:val="20"/>
          <w:lang w:val="en-US"/>
        </w:rPr>
      </w:pPr>
    </w:p>
    <w:p w:rsidR="004418C6" w:rsidRDefault="004418C6" w:rsidP="00E01182">
      <w:pPr>
        <w:spacing w:after="0" w:line="240" w:lineRule="auto"/>
        <w:rPr>
          <w:rFonts w:ascii="Arial" w:hAnsi="Arial" w:cs="Arial"/>
          <w:color w:val="002060"/>
          <w:sz w:val="20"/>
          <w:szCs w:val="20"/>
          <w:lang w:val="en-US"/>
        </w:rPr>
      </w:pPr>
    </w:p>
    <w:p w:rsidR="00595B05" w:rsidRDefault="00595B05">
      <w:pPr>
        <w:rPr>
          <w:rFonts w:ascii="Arial" w:hAnsi="Arial" w:cs="Arial"/>
          <w:b/>
          <w:color w:val="002060"/>
          <w:sz w:val="20"/>
          <w:szCs w:val="20"/>
        </w:rPr>
      </w:pPr>
      <w:r>
        <w:rPr>
          <w:rFonts w:ascii="Arial" w:hAnsi="Arial" w:cs="Arial"/>
          <w:b/>
          <w:color w:val="002060"/>
          <w:sz w:val="20"/>
          <w:szCs w:val="20"/>
        </w:rPr>
        <w:br w:type="page"/>
      </w:r>
    </w:p>
    <w:p w:rsidR="00B97F99" w:rsidRPr="00B97F99" w:rsidRDefault="00B97F99" w:rsidP="00B97F99">
      <w:pPr>
        <w:spacing w:after="0" w:line="240" w:lineRule="auto"/>
        <w:rPr>
          <w:rFonts w:ascii="Arial" w:hAnsi="Arial" w:cs="Arial"/>
          <w:color w:val="002060"/>
          <w:sz w:val="20"/>
          <w:szCs w:val="20"/>
        </w:rPr>
      </w:pPr>
      <w:r w:rsidRPr="00B97F99">
        <w:rPr>
          <w:rFonts w:ascii="Arial" w:hAnsi="Arial" w:cs="Arial"/>
          <w:b/>
          <w:color w:val="002060"/>
          <w:sz w:val="20"/>
          <w:szCs w:val="20"/>
        </w:rPr>
        <w:lastRenderedPageBreak/>
        <w:t>The following is recommended</w:t>
      </w:r>
      <w:r w:rsidRPr="00B97F99">
        <w:rPr>
          <w:rFonts w:ascii="Arial" w:hAnsi="Arial" w:cs="Arial"/>
          <w:color w:val="002060"/>
          <w:sz w:val="20"/>
          <w:szCs w:val="20"/>
        </w:rPr>
        <w:t>:</w:t>
      </w:r>
    </w:p>
    <w:p w:rsidR="00B97F99" w:rsidRPr="00B97F99" w:rsidRDefault="00B97F99" w:rsidP="00B97F99">
      <w:pPr>
        <w:spacing w:after="0" w:line="240" w:lineRule="auto"/>
        <w:rPr>
          <w:rFonts w:ascii="Arial" w:hAnsi="Arial" w:cs="Arial"/>
          <w:color w:val="002060"/>
          <w:sz w:val="20"/>
          <w:szCs w:val="20"/>
        </w:rPr>
      </w:pPr>
    </w:p>
    <w:p w:rsidR="00B97F99" w:rsidRDefault="00B97F99" w:rsidP="003D357E">
      <w:pPr>
        <w:pStyle w:val="ListParagraph"/>
        <w:numPr>
          <w:ilvl w:val="0"/>
          <w:numId w:val="8"/>
        </w:numPr>
        <w:spacing w:after="0" w:line="240" w:lineRule="auto"/>
        <w:rPr>
          <w:rFonts w:ascii="Arial" w:hAnsi="Arial" w:cs="Arial"/>
          <w:color w:val="002060"/>
          <w:sz w:val="20"/>
          <w:szCs w:val="20"/>
        </w:rPr>
      </w:pPr>
      <w:r w:rsidRPr="00B97F99">
        <w:rPr>
          <w:rFonts w:ascii="Arial" w:hAnsi="Arial" w:cs="Arial"/>
          <w:color w:val="002060"/>
          <w:sz w:val="20"/>
          <w:szCs w:val="20"/>
        </w:rPr>
        <w:t>Management must implement adequate controls to ensure that expenditure is recorded in the correct period as per progress certificates and these progress certificates should be collect</w:t>
      </w:r>
      <w:r>
        <w:rPr>
          <w:rFonts w:ascii="Arial" w:hAnsi="Arial" w:cs="Arial"/>
          <w:color w:val="002060"/>
          <w:sz w:val="20"/>
          <w:szCs w:val="20"/>
        </w:rPr>
        <w:t>ed</w:t>
      </w:r>
      <w:r w:rsidRPr="00B97F99">
        <w:rPr>
          <w:rFonts w:ascii="Arial" w:hAnsi="Arial" w:cs="Arial"/>
          <w:color w:val="002060"/>
          <w:sz w:val="20"/>
          <w:szCs w:val="20"/>
        </w:rPr>
        <w:t xml:space="preserve"> monthly from the contractors and consultants.</w:t>
      </w:r>
      <w:r>
        <w:rPr>
          <w:rFonts w:ascii="Arial" w:hAnsi="Arial" w:cs="Arial"/>
          <w:color w:val="002060"/>
          <w:sz w:val="20"/>
          <w:szCs w:val="20"/>
        </w:rPr>
        <w:t xml:space="preserve"> These efforts should be intensified at year end.</w:t>
      </w:r>
    </w:p>
    <w:p w:rsidR="00B97F99" w:rsidRPr="00B97F99" w:rsidRDefault="00B97F99" w:rsidP="00B97F99">
      <w:pPr>
        <w:pStyle w:val="ListParagraph"/>
        <w:spacing w:after="0" w:line="240" w:lineRule="auto"/>
        <w:ind w:left="360"/>
        <w:rPr>
          <w:rFonts w:ascii="Arial" w:hAnsi="Arial" w:cs="Arial"/>
          <w:color w:val="002060"/>
          <w:sz w:val="20"/>
          <w:szCs w:val="20"/>
        </w:rPr>
      </w:pPr>
    </w:p>
    <w:p w:rsidR="00B97F99" w:rsidRDefault="00B97F99" w:rsidP="003D357E">
      <w:pPr>
        <w:pStyle w:val="ListParagraph"/>
        <w:numPr>
          <w:ilvl w:val="0"/>
          <w:numId w:val="8"/>
        </w:numPr>
        <w:spacing w:after="0" w:line="240" w:lineRule="auto"/>
        <w:rPr>
          <w:rFonts w:ascii="Arial" w:hAnsi="Arial" w:cs="Arial"/>
          <w:color w:val="002060"/>
          <w:sz w:val="20"/>
          <w:szCs w:val="20"/>
        </w:rPr>
      </w:pPr>
      <w:r w:rsidRPr="00B97F99">
        <w:rPr>
          <w:rFonts w:ascii="Arial" w:hAnsi="Arial" w:cs="Arial"/>
          <w:color w:val="002060"/>
          <w:sz w:val="20"/>
          <w:szCs w:val="20"/>
        </w:rPr>
        <w:t>Proper record keeping in a timely manner to ensure that complete, accurate and relevant information is readily accessible and available to support reported financial and performance information.</w:t>
      </w:r>
    </w:p>
    <w:p w:rsidR="00B97F99" w:rsidRPr="00B97F99" w:rsidRDefault="00B97F99" w:rsidP="00B97F99">
      <w:pPr>
        <w:spacing w:after="0" w:line="240" w:lineRule="auto"/>
        <w:rPr>
          <w:rFonts w:ascii="Arial" w:hAnsi="Arial" w:cs="Arial"/>
          <w:color w:val="002060"/>
          <w:sz w:val="20"/>
          <w:szCs w:val="20"/>
        </w:rPr>
      </w:pPr>
    </w:p>
    <w:p w:rsidR="00B97F99" w:rsidRDefault="00B97F99" w:rsidP="003D357E">
      <w:pPr>
        <w:pStyle w:val="ListParagraph"/>
        <w:numPr>
          <w:ilvl w:val="0"/>
          <w:numId w:val="8"/>
        </w:numPr>
        <w:spacing w:after="0" w:line="240" w:lineRule="auto"/>
        <w:rPr>
          <w:rFonts w:ascii="Arial" w:hAnsi="Arial" w:cs="Arial"/>
          <w:color w:val="002060"/>
          <w:sz w:val="20"/>
          <w:szCs w:val="20"/>
        </w:rPr>
      </w:pPr>
      <w:r w:rsidRPr="00B97F99">
        <w:rPr>
          <w:rFonts w:ascii="Arial" w:hAnsi="Arial" w:cs="Arial"/>
          <w:color w:val="002060"/>
          <w:sz w:val="20"/>
          <w:szCs w:val="20"/>
        </w:rPr>
        <w:t xml:space="preserve">Consequence management actions to be instituted against project managers that </w:t>
      </w:r>
      <w:r>
        <w:rPr>
          <w:rFonts w:ascii="Arial" w:hAnsi="Arial" w:cs="Arial"/>
          <w:color w:val="002060"/>
          <w:sz w:val="20"/>
          <w:szCs w:val="20"/>
        </w:rPr>
        <w:t>fail to</w:t>
      </w:r>
      <w:r w:rsidRPr="00B97F99">
        <w:rPr>
          <w:rFonts w:ascii="Arial" w:hAnsi="Arial" w:cs="Arial"/>
          <w:color w:val="002060"/>
          <w:sz w:val="20"/>
          <w:szCs w:val="20"/>
        </w:rPr>
        <w:t xml:space="preserve"> </w:t>
      </w:r>
      <w:r>
        <w:rPr>
          <w:rFonts w:ascii="Arial" w:hAnsi="Arial" w:cs="Arial"/>
          <w:color w:val="002060"/>
          <w:sz w:val="20"/>
          <w:szCs w:val="20"/>
        </w:rPr>
        <w:t>maintain proper</w:t>
      </w:r>
      <w:r w:rsidRPr="00B97F99">
        <w:rPr>
          <w:rFonts w:ascii="Arial" w:hAnsi="Arial" w:cs="Arial"/>
          <w:color w:val="002060"/>
          <w:sz w:val="20"/>
          <w:szCs w:val="20"/>
        </w:rPr>
        <w:t xml:space="preserve"> records.</w:t>
      </w:r>
    </w:p>
    <w:p w:rsidR="00C11893" w:rsidRDefault="00C11893">
      <w:pPr>
        <w:rPr>
          <w:rFonts w:ascii="Arial" w:hAnsi="Arial" w:cs="Arial"/>
          <w:color w:val="002060"/>
          <w:sz w:val="20"/>
          <w:szCs w:val="20"/>
        </w:rPr>
      </w:pPr>
      <w:r>
        <w:rPr>
          <w:rFonts w:ascii="Arial" w:hAnsi="Arial" w:cs="Arial"/>
          <w:color w:val="002060"/>
          <w:sz w:val="20"/>
          <w:szCs w:val="20"/>
        </w:rPr>
        <w:br w:type="page"/>
      </w:r>
    </w:p>
    <w:p w:rsidR="0095642C" w:rsidRPr="0095642C" w:rsidRDefault="0095642C" w:rsidP="0095642C">
      <w:pPr>
        <w:pStyle w:val="ListParagraph"/>
        <w:rPr>
          <w:rFonts w:ascii="Arial" w:hAnsi="Arial" w:cs="Arial"/>
          <w:color w:val="002060"/>
          <w:sz w:val="20"/>
          <w:szCs w:val="20"/>
        </w:rPr>
      </w:pPr>
    </w:p>
    <w:p w:rsidR="0095642C" w:rsidRDefault="008F66CC" w:rsidP="0095642C">
      <w:pPr>
        <w:spacing w:after="0" w:line="240" w:lineRule="auto"/>
        <w:rPr>
          <w:rFonts w:ascii="Arial" w:hAnsi="Arial" w:cs="Arial"/>
          <w:b/>
          <w:color w:val="002060"/>
          <w:sz w:val="20"/>
          <w:szCs w:val="20"/>
          <w:u w:val="single"/>
        </w:rPr>
      </w:pPr>
      <w:r>
        <w:rPr>
          <w:rFonts w:ascii="Arial" w:hAnsi="Arial" w:cs="Arial"/>
          <w:b/>
          <w:color w:val="002060"/>
          <w:sz w:val="20"/>
          <w:szCs w:val="20"/>
          <w:u w:val="single"/>
        </w:rPr>
        <w:t xml:space="preserve">5.4 </w:t>
      </w:r>
      <w:r>
        <w:rPr>
          <w:rFonts w:ascii="Arial" w:hAnsi="Arial" w:cs="Arial"/>
          <w:b/>
          <w:color w:val="002060"/>
          <w:sz w:val="20"/>
          <w:szCs w:val="20"/>
          <w:u w:val="single"/>
        </w:rPr>
        <w:tab/>
      </w:r>
      <w:r w:rsidR="0095642C" w:rsidRPr="0095642C">
        <w:rPr>
          <w:rFonts w:ascii="Arial" w:hAnsi="Arial" w:cs="Arial"/>
          <w:b/>
          <w:color w:val="002060"/>
          <w:sz w:val="20"/>
          <w:szCs w:val="20"/>
          <w:u w:val="single"/>
        </w:rPr>
        <w:t>Council for the Built Environment</w:t>
      </w:r>
    </w:p>
    <w:p w:rsidR="0095642C" w:rsidRDefault="0095642C" w:rsidP="0095642C">
      <w:pPr>
        <w:spacing w:after="0" w:line="240" w:lineRule="auto"/>
        <w:rPr>
          <w:rFonts w:ascii="Arial" w:hAnsi="Arial" w:cs="Arial"/>
          <w:color w:val="002060"/>
          <w:sz w:val="20"/>
          <w:szCs w:val="20"/>
        </w:rPr>
      </w:pPr>
    </w:p>
    <w:p w:rsidR="008F66CC" w:rsidRDefault="008F66CC" w:rsidP="0095642C">
      <w:pPr>
        <w:spacing w:after="0" w:line="240" w:lineRule="auto"/>
        <w:rPr>
          <w:rFonts w:ascii="Arial" w:hAnsi="Arial" w:cs="Arial"/>
          <w:color w:val="002060"/>
          <w:sz w:val="20"/>
          <w:szCs w:val="20"/>
        </w:rPr>
      </w:pPr>
      <w:r>
        <w:rPr>
          <w:rFonts w:ascii="Arial" w:hAnsi="Arial" w:cs="Arial"/>
          <w:color w:val="002060"/>
          <w:sz w:val="20"/>
          <w:szCs w:val="20"/>
        </w:rPr>
        <w:t>The s</w:t>
      </w:r>
      <w:r w:rsidRPr="00314CA4">
        <w:rPr>
          <w:rFonts w:ascii="Arial" w:hAnsi="Arial" w:cs="Arial"/>
          <w:color w:val="002060"/>
          <w:sz w:val="20"/>
          <w:szCs w:val="20"/>
        </w:rPr>
        <w:t>tatus of key focus areas</w:t>
      </w:r>
      <w:r>
        <w:rPr>
          <w:rFonts w:ascii="Arial" w:hAnsi="Arial" w:cs="Arial"/>
          <w:color w:val="002060"/>
          <w:sz w:val="20"/>
          <w:szCs w:val="20"/>
        </w:rPr>
        <w:t xml:space="preserve"> is as follows:</w:t>
      </w:r>
    </w:p>
    <w:p w:rsidR="008F66CC" w:rsidRDefault="008F66CC" w:rsidP="0095642C">
      <w:pPr>
        <w:spacing w:after="0" w:line="240" w:lineRule="auto"/>
        <w:rPr>
          <w:rFonts w:ascii="Arial" w:hAnsi="Arial" w:cs="Arial"/>
          <w:color w:val="002060"/>
          <w:sz w:val="20"/>
          <w:szCs w:val="20"/>
        </w:rPr>
      </w:pPr>
    </w:p>
    <w:p w:rsidR="008F66CC" w:rsidRDefault="008F66CC" w:rsidP="0095642C">
      <w:pPr>
        <w:spacing w:after="0" w:line="240" w:lineRule="auto"/>
        <w:rPr>
          <w:rFonts w:ascii="Arial" w:hAnsi="Arial" w:cs="Arial"/>
          <w:color w:val="002060"/>
          <w:sz w:val="20"/>
          <w:szCs w:val="20"/>
        </w:rPr>
      </w:pPr>
      <w:r w:rsidRPr="00E6278B">
        <w:rPr>
          <w:rFonts w:ascii="Arial" w:hAnsi="Arial" w:cs="Arial"/>
          <w:noProof/>
          <w:lang w:eastAsia="en-ZA"/>
        </w:rPr>
        <w:drawing>
          <wp:inline distT="0" distB="0" distL="0" distR="0">
            <wp:extent cx="5958840" cy="30861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F66CC" w:rsidRDefault="008F66CC" w:rsidP="0095642C">
      <w:pPr>
        <w:spacing w:after="0" w:line="240" w:lineRule="auto"/>
        <w:rPr>
          <w:rFonts w:ascii="Arial" w:hAnsi="Arial" w:cs="Arial"/>
          <w:color w:val="002060"/>
          <w:sz w:val="20"/>
          <w:szCs w:val="20"/>
        </w:rPr>
      </w:pPr>
    </w:p>
    <w:p w:rsidR="008F66CC" w:rsidRDefault="008F66CC" w:rsidP="0095642C">
      <w:pPr>
        <w:spacing w:after="0" w:line="240" w:lineRule="auto"/>
        <w:rPr>
          <w:rFonts w:ascii="Arial" w:hAnsi="Arial" w:cs="Arial"/>
          <w:color w:val="002060"/>
          <w:sz w:val="20"/>
          <w:szCs w:val="20"/>
        </w:rPr>
      </w:pPr>
    </w:p>
    <w:p w:rsidR="0095642C" w:rsidRDefault="0095642C" w:rsidP="0095642C">
      <w:pPr>
        <w:spacing w:after="0" w:line="240" w:lineRule="auto"/>
        <w:rPr>
          <w:rFonts w:ascii="Arial" w:hAnsi="Arial" w:cs="Arial"/>
          <w:color w:val="002060"/>
          <w:sz w:val="20"/>
          <w:szCs w:val="20"/>
        </w:rPr>
      </w:pPr>
      <w:r>
        <w:rPr>
          <w:rFonts w:ascii="Arial" w:hAnsi="Arial" w:cs="Arial"/>
          <w:color w:val="002060"/>
          <w:sz w:val="20"/>
          <w:szCs w:val="20"/>
        </w:rPr>
        <w:t>CBE</w:t>
      </w:r>
      <w:r w:rsidRPr="0095642C">
        <w:rPr>
          <w:rFonts w:ascii="Arial" w:hAnsi="Arial" w:cs="Arial"/>
          <w:color w:val="002060"/>
          <w:sz w:val="20"/>
          <w:szCs w:val="20"/>
        </w:rPr>
        <w:t xml:space="preserve"> </w:t>
      </w:r>
      <w:r>
        <w:rPr>
          <w:rFonts w:ascii="Arial" w:hAnsi="Arial" w:cs="Arial"/>
          <w:color w:val="002060"/>
          <w:sz w:val="20"/>
          <w:szCs w:val="20"/>
        </w:rPr>
        <w:t>is commended for achieving</w:t>
      </w:r>
      <w:r w:rsidRPr="0095642C">
        <w:rPr>
          <w:rFonts w:ascii="Arial" w:hAnsi="Arial" w:cs="Arial"/>
          <w:color w:val="002060"/>
          <w:sz w:val="20"/>
          <w:szCs w:val="20"/>
        </w:rPr>
        <w:t xml:space="preserve"> its first clean audit outcome namely financially unqualified opinion with no material compliance or performance information findings</w:t>
      </w:r>
      <w:r>
        <w:rPr>
          <w:rFonts w:ascii="Arial" w:hAnsi="Arial" w:cs="Arial"/>
          <w:color w:val="002060"/>
          <w:sz w:val="20"/>
          <w:szCs w:val="20"/>
        </w:rPr>
        <w:t xml:space="preserve"> in the 2016/17 financial period.</w:t>
      </w:r>
    </w:p>
    <w:p w:rsidR="0095642C" w:rsidRDefault="0095642C" w:rsidP="0095642C">
      <w:pPr>
        <w:spacing w:after="0" w:line="240" w:lineRule="auto"/>
        <w:rPr>
          <w:rFonts w:ascii="Arial" w:hAnsi="Arial" w:cs="Arial"/>
          <w:color w:val="002060"/>
          <w:sz w:val="20"/>
          <w:szCs w:val="20"/>
        </w:rPr>
      </w:pPr>
    </w:p>
    <w:p w:rsidR="00B97F99" w:rsidRDefault="0095642C" w:rsidP="00E01182">
      <w:pPr>
        <w:spacing w:after="0" w:line="240" w:lineRule="auto"/>
        <w:rPr>
          <w:rFonts w:ascii="Arial" w:hAnsi="Arial" w:cs="Arial"/>
          <w:color w:val="002060"/>
          <w:sz w:val="20"/>
          <w:szCs w:val="20"/>
          <w:lang w:val="en-US"/>
        </w:rPr>
      </w:pPr>
      <w:r w:rsidRPr="0095642C">
        <w:rPr>
          <w:rFonts w:ascii="Arial" w:hAnsi="Arial" w:cs="Arial"/>
          <w:color w:val="002060"/>
          <w:sz w:val="20"/>
          <w:szCs w:val="20"/>
          <w:lang w:val="en-US"/>
        </w:rPr>
        <w:t>The following matters relate t</w:t>
      </w:r>
      <w:r w:rsidR="00844335">
        <w:rPr>
          <w:rFonts w:ascii="Arial" w:hAnsi="Arial" w:cs="Arial"/>
          <w:color w:val="002060"/>
          <w:sz w:val="20"/>
          <w:szCs w:val="20"/>
          <w:lang w:val="en-US"/>
        </w:rPr>
        <w:t>o performance management that were</w:t>
      </w:r>
      <w:r w:rsidR="000F1C68">
        <w:rPr>
          <w:rFonts w:ascii="Arial" w:hAnsi="Arial" w:cs="Arial"/>
          <w:color w:val="002060"/>
          <w:sz w:val="20"/>
          <w:szCs w:val="20"/>
          <w:lang w:val="en-US"/>
        </w:rPr>
        <w:t xml:space="preserve"> identified in the 2017/18 interim</w:t>
      </w:r>
      <w:r>
        <w:rPr>
          <w:rFonts w:ascii="Arial" w:hAnsi="Arial" w:cs="Arial"/>
          <w:color w:val="002060"/>
          <w:sz w:val="20"/>
          <w:szCs w:val="20"/>
          <w:lang w:val="en-US"/>
        </w:rPr>
        <w:t xml:space="preserve"> </w:t>
      </w:r>
      <w:r w:rsidR="000F1C68">
        <w:rPr>
          <w:rFonts w:ascii="Arial" w:hAnsi="Arial" w:cs="Arial"/>
          <w:color w:val="002060"/>
          <w:sz w:val="20"/>
          <w:szCs w:val="20"/>
          <w:lang w:val="en-US"/>
        </w:rPr>
        <w:t>audit</w:t>
      </w:r>
      <w:r>
        <w:rPr>
          <w:rFonts w:ascii="Arial" w:hAnsi="Arial" w:cs="Arial"/>
          <w:color w:val="002060"/>
          <w:sz w:val="20"/>
          <w:szCs w:val="20"/>
          <w:lang w:val="en-US"/>
        </w:rPr>
        <w:t>:</w:t>
      </w:r>
    </w:p>
    <w:p w:rsidR="000F1C68" w:rsidRDefault="00987282" w:rsidP="003D357E">
      <w:pPr>
        <w:numPr>
          <w:ilvl w:val="0"/>
          <w:numId w:val="9"/>
        </w:numPr>
        <w:spacing w:after="0" w:line="240" w:lineRule="auto"/>
        <w:rPr>
          <w:rFonts w:ascii="Arial" w:hAnsi="Arial" w:cs="Arial"/>
          <w:color w:val="002060"/>
          <w:sz w:val="20"/>
          <w:szCs w:val="20"/>
        </w:rPr>
      </w:pPr>
      <w:r>
        <w:rPr>
          <w:rFonts w:ascii="Arial" w:hAnsi="Arial" w:cs="Arial"/>
          <w:color w:val="002060"/>
          <w:sz w:val="20"/>
          <w:szCs w:val="20"/>
        </w:rPr>
        <w:t>Programme 2 indicators 2.2, 2.3 and 2.4 q</w:t>
      </w:r>
      <w:r w:rsidR="000F1C68">
        <w:rPr>
          <w:rFonts w:ascii="Arial" w:hAnsi="Arial" w:cs="Arial"/>
          <w:color w:val="002060"/>
          <w:sz w:val="20"/>
          <w:szCs w:val="20"/>
        </w:rPr>
        <w:t xml:space="preserve">uarterly targets </w:t>
      </w:r>
      <w:r>
        <w:rPr>
          <w:rFonts w:ascii="Arial" w:hAnsi="Arial" w:cs="Arial"/>
          <w:color w:val="002060"/>
          <w:sz w:val="20"/>
          <w:szCs w:val="20"/>
        </w:rPr>
        <w:t xml:space="preserve">are not </w:t>
      </w:r>
      <w:r w:rsidR="000F1C68">
        <w:rPr>
          <w:rFonts w:ascii="Arial" w:hAnsi="Arial" w:cs="Arial"/>
          <w:color w:val="002060"/>
          <w:sz w:val="20"/>
          <w:szCs w:val="20"/>
        </w:rPr>
        <w:t>well defined</w:t>
      </w:r>
    </w:p>
    <w:p w:rsidR="0095642C" w:rsidRPr="0095642C" w:rsidRDefault="000F1C68" w:rsidP="00987282">
      <w:pPr>
        <w:numPr>
          <w:ilvl w:val="0"/>
          <w:numId w:val="9"/>
        </w:numPr>
        <w:spacing w:after="0" w:line="240" w:lineRule="auto"/>
        <w:rPr>
          <w:rFonts w:ascii="Arial" w:hAnsi="Arial" w:cs="Arial"/>
          <w:color w:val="002060"/>
          <w:sz w:val="20"/>
          <w:szCs w:val="20"/>
        </w:rPr>
      </w:pPr>
      <w:r>
        <w:rPr>
          <w:rFonts w:ascii="Arial" w:hAnsi="Arial" w:cs="Arial"/>
          <w:color w:val="002060"/>
          <w:sz w:val="20"/>
          <w:szCs w:val="20"/>
        </w:rPr>
        <w:t>Inconsistencies</w:t>
      </w:r>
      <w:r w:rsidR="00987282">
        <w:rPr>
          <w:rFonts w:ascii="Arial" w:hAnsi="Arial" w:cs="Arial"/>
          <w:color w:val="002060"/>
          <w:sz w:val="20"/>
          <w:szCs w:val="20"/>
        </w:rPr>
        <w:t xml:space="preserve"> were noted for some indicators and targets of programmes 2,3 and 5</w:t>
      </w:r>
      <w:r>
        <w:rPr>
          <w:rFonts w:ascii="Arial" w:hAnsi="Arial" w:cs="Arial"/>
          <w:color w:val="002060"/>
          <w:sz w:val="20"/>
          <w:szCs w:val="20"/>
        </w:rPr>
        <w:t xml:space="preserve"> </w:t>
      </w:r>
      <w:r w:rsidR="00987282" w:rsidRPr="00987282">
        <w:rPr>
          <w:rFonts w:ascii="Arial" w:hAnsi="Arial" w:cs="Arial"/>
          <w:color w:val="002060"/>
          <w:sz w:val="20"/>
          <w:szCs w:val="20"/>
        </w:rPr>
        <w:t xml:space="preserve">between the annual performance plan and quarterly </w:t>
      </w:r>
      <w:r w:rsidR="00987282">
        <w:rPr>
          <w:rFonts w:ascii="Arial" w:hAnsi="Arial" w:cs="Arial"/>
          <w:color w:val="002060"/>
          <w:sz w:val="20"/>
          <w:szCs w:val="20"/>
        </w:rPr>
        <w:t>reports</w:t>
      </w:r>
      <w:r w:rsidR="0095642C">
        <w:rPr>
          <w:rFonts w:ascii="Arial" w:hAnsi="Arial" w:cs="Arial"/>
          <w:color w:val="002060"/>
          <w:sz w:val="20"/>
          <w:szCs w:val="20"/>
        </w:rPr>
        <w:t xml:space="preserve"> </w:t>
      </w:r>
    </w:p>
    <w:p w:rsidR="0095642C" w:rsidRPr="00987282" w:rsidRDefault="00987282" w:rsidP="00981B79">
      <w:pPr>
        <w:numPr>
          <w:ilvl w:val="0"/>
          <w:numId w:val="9"/>
        </w:numPr>
        <w:spacing w:after="0" w:line="240" w:lineRule="auto"/>
        <w:rPr>
          <w:rFonts w:ascii="Arial" w:hAnsi="Arial" w:cs="Arial"/>
          <w:color w:val="002060"/>
          <w:sz w:val="20"/>
          <w:szCs w:val="20"/>
        </w:rPr>
      </w:pPr>
      <w:r>
        <w:rPr>
          <w:rFonts w:ascii="Arial" w:hAnsi="Arial" w:cs="Arial"/>
          <w:color w:val="002060"/>
          <w:sz w:val="20"/>
          <w:szCs w:val="20"/>
        </w:rPr>
        <w:t xml:space="preserve">Pre-approvals for travel not attached and available for audit. </w:t>
      </w:r>
    </w:p>
    <w:p w:rsidR="00844335" w:rsidRDefault="00844335" w:rsidP="00844335">
      <w:pPr>
        <w:spacing w:after="0" w:line="240" w:lineRule="auto"/>
        <w:rPr>
          <w:rFonts w:ascii="Arial" w:hAnsi="Arial" w:cs="Arial"/>
          <w:color w:val="002060"/>
          <w:sz w:val="20"/>
          <w:szCs w:val="20"/>
        </w:rPr>
      </w:pPr>
    </w:p>
    <w:p w:rsidR="00844335" w:rsidRDefault="00844335" w:rsidP="00844335">
      <w:pPr>
        <w:spacing w:after="0" w:line="240" w:lineRule="auto"/>
        <w:rPr>
          <w:rFonts w:ascii="Arial" w:hAnsi="Arial" w:cs="Arial"/>
          <w:color w:val="002060"/>
          <w:sz w:val="20"/>
          <w:szCs w:val="20"/>
          <w:lang w:val="en-US"/>
        </w:rPr>
      </w:pPr>
    </w:p>
    <w:p w:rsidR="00106FA3" w:rsidRDefault="00106FA3" w:rsidP="00844335">
      <w:pPr>
        <w:spacing w:after="0" w:line="240" w:lineRule="auto"/>
        <w:rPr>
          <w:rFonts w:ascii="Arial" w:hAnsi="Arial" w:cs="Arial"/>
          <w:color w:val="002060"/>
          <w:sz w:val="20"/>
          <w:szCs w:val="20"/>
          <w:lang w:val="en-US"/>
        </w:rPr>
      </w:pPr>
    </w:p>
    <w:p w:rsidR="00106FA3" w:rsidRDefault="00106FA3" w:rsidP="00844335">
      <w:pPr>
        <w:spacing w:after="0" w:line="240" w:lineRule="auto"/>
        <w:rPr>
          <w:rFonts w:ascii="Arial" w:hAnsi="Arial" w:cs="Arial"/>
          <w:b/>
          <w:color w:val="002060"/>
          <w:sz w:val="20"/>
          <w:szCs w:val="20"/>
          <w:u w:val="single"/>
        </w:rPr>
      </w:pPr>
    </w:p>
    <w:p w:rsidR="008F66CC" w:rsidRDefault="008F66CC">
      <w:pPr>
        <w:rPr>
          <w:rFonts w:ascii="Arial" w:hAnsi="Arial" w:cs="Arial"/>
          <w:b/>
          <w:color w:val="002060"/>
          <w:sz w:val="20"/>
          <w:szCs w:val="20"/>
          <w:u w:val="single"/>
        </w:rPr>
      </w:pPr>
      <w:r>
        <w:rPr>
          <w:rFonts w:ascii="Arial" w:hAnsi="Arial" w:cs="Arial"/>
          <w:b/>
          <w:color w:val="002060"/>
          <w:sz w:val="20"/>
          <w:szCs w:val="20"/>
          <w:u w:val="single"/>
        </w:rPr>
        <w:br w:type="page"/>
      </w:r>
    </w:p>
    <w:p w:rsidR="00106FA3" w:rsidRPr="00106FA3" w:rsidRDefault="008F66CC" w:rsidP="00844335">
      <w:pPr>
        <w:spacing w:after="0" w:line="240" w:lineRule="auto"/>
        <w:rPr>
          <w:rFonts w:ascii="Arial" w:hAnsi="Arial" w:cs="Arial"/>
          <w:b/>
          <w:color w:val="002060"/>
          <w:sz w:val="20"/>
          <w:szCs w:val="20"/>
          <w:u w:val="single"/>
          <w:lang w:val="en-US"/>
        </w:rPr>
      </w:pPr>
      <w:r>
        <w:rPr>
          <w:rFonts w:ascii="Arial" w:hAnsi="Arial" w:cs="Arial"/>
          <w:b/>
          <w:color w:val="002060"/>
          <w:sz w:val="20"/>
          <w:szCs w:val="20"/>
          <w:u w:val="single"/>
        </w:rPr>
        <w:lastRenderedPageBreak/>
        <w:t>5.5</w:t>
      </w:r>
      <w:r>
        <w:rPr>
          <w:rFonts w:ascii="Arial" w:hAnsi="Arial" w:cs="Arial"/>
          <w:b/>
          <w:color w:val="002060"/>
          <w:sz w:val="20"/>
          <w:szCs w:val="20"/>
          <w:u w:val="single"/>
        </w:rPr>
        <w:tab/>
      </w:r>
      <w:r w:rsidR="00106FA3" w:rsidRPr="00106FA3">
        <w:rPr>
          <w:rFonts w:ascii="Arial" w:hAnsi="Arial" w:cs="Arial"/>
          <w:b/>
          <w:color w:val="002060"/>
          <w:sz w:val="20"/>
          <w:szCs w:val="20"/>
          <w:u w:val="single"/>
        </w:rPr>
        <w:t>Construction Industry Development Board</w:t>
      </w:r>
    </w:p>
    <w:p w:rsidR="00106FA3" w:rsidRDefault="00106FA3" w:rsidP="00844335">
      <w:pPr>
        <w:spacing w:after="0" w:line="240" w:lineRule="auto"/>
        <w:rPr>
          <w:rFonts w:ascii="Arial" w:hAnsi="Arial" w:cs="Arial"/>
          <w:color w:val="002060"/>
          <w:sz w:val="20"/>
          <w:szCs w:val="20"/>
        </w:rPr>
      </w:pPr>
    </w:p>
    <w:p w:rsidR="00314CA4" w:rsidRDefault="00314CA4" w:rsidP="00106FA3">
      <w:pPr>
        <w:spacing w:after="0" w:line="240" w:lineRule="auto"/>
        <w:rPr>
          <w:rFonts w:ascii="Arial" w:hAnsi="Arial" w:cs="Arial"/>
          <w:color w:val="002060"/>
          <w:sz w:val="20"/>
          <w:szCs w:val="20"/>
        </w:rPr>
      </w:pPr>
      <w:r>
        <w:rPr>
          <w:rFonts w:ascii="Arial" w:hAnsi="Arial" w:cs="Arial"/>
          <w:color w:val="002060"/>
          <w:sz w:val="20"/>
          <w:szCs w:val="20"/>
        </w:rPr>
        <w:t>The s</w:t>
      </w:r>
      <w:r w:rsidRPr="00314CA4">
        <w:rPr>
          <w:rFonts w:ascii="Arial" w:hAnsi="Arial" w:cs="Arial"/>
          <w:color w:val="002060"/>
          <w:sz w:val="20"/>
          <w:szCs w:val="20"/>
        </w:rPr>
        <w:t>tatus of key focus areas</w:t>
      </w:r>
      <w:r>
        <w:rPr>
          <w:rFonts w:ascii="Arial" w:hAnsi="Arial" w:cs="Arial"/>
          <w:color w:val="002060"/>
          <w:sz w:val="20"/>
          <w:szCs w:val="20"/>
        </w:rPr>
        <w:t xml:space="preserve"> is as follows:</w:t>
      </w:r>
    </w:p>
    <w:p w:rsidR="00314CA4" w:rsidRDefault="00314CA4" w:rsidP="00106FA3">
      <w:pPr>
        <w:spacing w:after="0" w:line="240" w:lineRule="auto"/>
        <w:rPr>
          <w:rFonts w:ascii="Arial" w:hAnsi="Arial" w:cs="Arial"/>
          <w:color w:val="002060"/>
          <w:sz w:val="20"/>
          <w:szCs w:val="20"/>
        </w:rPr>
      </w:pPr>
    </w:p>
    <w:p w:rsidR="00314CA4" w:rsidRDefault="00314CA4" w:rsidP="00106FA3">
      <w:pPr>
        <w:spacing w:after="0" w:line="240" w:lineRule="auto"/>
        <w:rPr>
          <w:rFonts w:ascii="Arial" w:hAnsi="Arial" w:cs="Arial"/>
          <w:color w:val="002060"/>
          <w:sz w:val="20"/>
          <w:szCs w:val="20"/>
        </w:rPr>
      </w:pPr>
      <w:r w:rsidRPr="00E6278B">
        <w:rPr>
          <w:rFonts w:ascii="Arial" w:hAnsi="Arial" w:cs="Arial"/>
          <w:noProof/>
          <w:lang w:eastAsia="en-ZA"/>
        </w:rPr>
        <w:drawing>
          <wp:inline distT="0" distB="0" distL="0" distR="0">
            <wp:extent cx="5958840" cy="30861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314CA4" w:rsidRDefault="00314CA4" w:rsidP="00106FA3">
      <w:pPr>
        <w:spacing w:after="0" w:line="240" w:lineRule="auto"/>
        <w:rPr>
          <w:rFonts w:ascii="Arial" w:hAnsi="Arial" w:cs="Arial"/>
          <w:color w:val="002060"/>
          <w:sz w:val="20"/>
          <w:szCs w:val="20"/>
        </w:rPr>
      </w:pPr>
    </w:p>
    <w:p w:rsidR="00314CA4" w:rsidRDefault="00314CA4" w:rsidP="00106FA3">
      <w:pPr>
        <w:spacing w:after="0" w:line="240" w:lineRule="auto"/>
        <w:rPr>
          <w:rFonts w:ascii="Arial" w:hAnsi="Arial" w:cs="Arial"/>
          <w:color w:val="002060"/>
          <w:sz w:val="20"/>
          <w:szCs w:val="20"/>
        </w:rPr>
      </w:pPr>
    </w:p>
    <w:p w:rsidR="009D1C06" w:rsidRDefault="009D1C06" w:rsidP="00106FA3">
      <w:pPr>
        <w:spacing w:after="0" w:line="240" w:lineRule="auto"/>
        <w:rPr>
          <w:rFonts w:ascii="Arial" w:hAnsi="Arial" w:cs="Arial"/>
          <w:color w:val="002060"/>
          <w:sz w:val="20"/>
          <w:szCs w:val="20"/>
          <w:lang w:val="en-US"/>
        </w:rPr>
      </w:pPr>
      <w:r>
        <w:rPr>
          <w:rFonts w:ascii="Arial" w:hAnsi="Arial" w:cs="Arial"/>
          <w:color w:val="002060"/>
          <w:sz w:val="20"/>
          <w:szCs w:val="20"/>
        </w:rPr>
        <w:t xml:space="preserve">Incurrence of irregular expenditure has been one the key remaining areas which is preventing CIDB from obtaining a clean audit outcome. </w:t>
      </w:r>
      <w:r w:rsidRPr="009D1C06">
        <w:rPr>
          <w:rFonts w:ascii="Arial" w:hAnsi="Arial" w:cs="Arial"/>
          <w:color w:val="002060"/>
          <w:sz w:val="20"/>
          <w:szCs w:val="20"/>
          <w:lang w:val="en-US"/>
        </w:rPr>
        <w:t xml:space="preserve">We assessed the progress made by management </w:t>
      </w:r>
      <w:r w:rsidR="00FB13D8">
        <w:rPr>
          <w:rFonts w:ascii="Arial" w:hAnsi="Arial" w:cs="Arial"/>
          <w:color w:val="002060"/>
          <w:sz w:val="20"/>
          <w:szCs w:val="20"/>
          <w:lang w:val="en-US"/>
        </w:rPr>
        <w:t>in investigating</w:t>
      </w:r>
      <w:r w:rsidRPr="009D1C06">
        <w:rPr>
          <w:rFonts w:ascii="Arial" w:hAnsi="Arial" w:cs="Arial"/>
          <w:color w:val="002060"/>
          <w:sz w:val="20"/>
          <w:szCs w:val="20"/>
          <w:lang w:val="en-US"/>
        </w:rPr>
        <w:t xml:space="preserve"> irregular expenditure that was reported in the previous year. T</w:t>
      </w:r>
      <w:r w:rsidR="00FB13D8">
        <w:rPr>
          <w:rFonts w:ascii="Arial" w:hAnsi="Arial" w:cs="Arial"/>
          <w:color w:val="002060"/>
          <w:sz w:val="20"/>
          <w:szCs w:val="20"/>
          <w:lang w:val="en-US"/>
        </w:rPr>
        <w:t>he</w:t>
      </w:r>
      <w:r w:rsidRPr="009D1C06">
        <w:rPr>
          <w:rFonts w:ascii="Arial" w:hAnsi="Arial" w:cs="Arial"/>
          <w:color w:val="002060"/>
          <w:sz w:val="20"/>
          <w:szCs w:val="20"/>
          <w:lang w:val="en-US"/>
        </w:rPr>
        <w:t xml:space="preserve"> investigations </w:t>
      </w:r>
      <w:r w:rsidR="00FB13D8">
        <w:rPr>
          <w:rFonts w:ascii="Arial" w:hAnsi="Arial" w:cs="Arial"/>
          <w:color w:val="002060"/>
          <w:sz w:val="20"/>
          <w:szCs w:val="20"/>
          <w:lang w:val="en-US"/>
        </w:rPr>
        <w:t xml:space="preserve">into </w:t>
      </w:r>
      <w:r w:rsidRPr="009D1C06">
        <w:rPr>
          <w:rFonts w:ascii="Arial" w:hAnsi="Arial" w:cs="Arial"/>
          <w:color w:val="002060"/>
          <w:sz w:val="20"/>
          <w:szCs w:val="20"/>
          <w:lang w:val="en-US"/>
        </w:rPr>
        <w:t>the reported irregular expenditure</w:t>
      </w:r>
      <w:r w:rsidR="00FB13D8">
        <w:rPr>
          <w:rFonts w:ascii="Arial" w:hAnsi="Arial" w:cs="Arial"/>
          <w:color w:val="002060"/>
          <w:sz w:val="20"/>
          <w:szCs w:val="20"/>
          <w:lang w:val="en-US"/>
        </w:rPr>
        <w:t xml:space="preserve"> were not finalized as of the date of this report</w:t>
      </w:r>
      <w:r w:rsidRPr="009D1C06">
        <w:rPr>
          <w:rFonts w:ascii="Arial" w:hAnsi="Arial" w:cs="Arial"/>
          <w:color w:val="002060"/>
          <w:sz w:val="20"/>
          <w:szCs w:val="20"/>
          <w:lang w:val="en-US"/>
        </w:rPr>
        <w:t xml:space="preserve">. </w:t>
      </w:r>
      <w:r>
        <w:rPr>
          <w:rFonts w:ascii="Arial" w:hAnsi="Arial" w:cs="Arial"/>
          <w:color w:val="002060"/>
          <w:sz w:val="20"/>
          <w:szCs w:val="20"/>
          <w:lang w:val="en-US"/>
        </w:rPr>
        <w:t xml:space="preserve">In addition, </w:t>
      </w:r>
      <w:r w:rsidRPr="009D1C06">
        <w:rPr>
          <w:rFonts w:ascii="Arial" w:hAnsi="Arial" w:cs="Arial"/>
          <w:color w:val="002060"/>
          <w:sz w:val="20"/>
          <w:szCs w:val="20"/>
          <w:lang w:val="en-US"/>
        </w:rPr>
        <w:t xml:space="preserve">a new instance of irregular expenditure </w:t>
      </w:r>
      <w:r>
        <w:rPr>
          <w:rFonts w:ascii="Arial" w:hAnsi="Arial" w:cs="Arial"/>
          <w:color w:val="002060"/>
          <w:sz w:val="20"/>
          <w:szCs w:val="20"/>
          <w:lang w:val="en-US"/>
        </w:rPr>
        <w:t xml:space="preserve">was identified </w:t>
      </w:r>
      <w:r w:rsidRPr="009D1C06">
        <w:rPr>
          <w:rFonts w:ascii="Arial" w:hAnsi="Arial" w:cs="Arial"/>
          <w:color w:val="002060"/>
          <w:sz w:val="20"/>
          <w:szCs w:val="20"/>
          <w:lang w:val="en-US"/>
        </w:rPr>
        <w:t xml:space="preserve">in the current year </w:t>
      </w:r>
      <w:r>
        <w:rPr>
          <w:rFonts w:ascii="Arial" w:hAnsi="Arial" w:cs="Arial"/>
          <w:color w:val="002060"/>
          <w:sz w:val="20"/>
          <w:szCs w:val="20"/>
          <w:lang w:val="en-US"/>
        </w:rPr>
        <w:t xml:space="preserve">and has been </w:t>
      </w:r>
      <w:r w:rsidRPr="009D1C06">
        <w:rPr>
          <w:rFonts w:ascii="Arial" w:hAnsi="Arial" w:cs="Arial"/>
          <w:color w:val="002060"/>
          <w:sz w:val="20"/>
          <w:szCs w:val="20"/>
          <w:lang w:val="en-US"/>
        </w:rPr>
        <w:t>disclosed in the irregular expenditure register</w:t>
      </w:r>
      <w:r>
        <w:rPr>
          <w:rFonts w:ascii="Arial" w:hAnsi="Arial" w:cs="Arial"/>
          <w:color w:val="002060"/>
          <w:sz w:val="20"/>
          <w:szCs w:val="20"/>
          <w:lang w:val="en-US"/>
        </w:rPr>
        <w:t>.</w:t>
      </w:r>
    </w:p>
    <w:p w:rsidR="009D1C06" w:rsidRDefault="009D1C06" w:rsidP="00106FA3">
      <w:pPr>
        <w:spacing w:after="0" w:line="240" w:lineRule="auto"/>
        <w:rPr>
          <w:rFonts w:ascii="Arial" w:hAnsi="Arial" w:cs="Arial"/>
          <w:color w:val="002060"/>
          <w:sz w:val="20"/>
          <w:szCs w:val="20"/>
          <w:lang w:val="en-US"/>
        </w:rPr>
      </w:pPr>
    </w:p>
    <w:p w:rsidR="009D1C06" w:rsidRPr="009D1C06" w:rsidRDefault="009D1C06" w:rsidP="009D1C06">
      <w:pPr>
        <w:spacing w:after="0" w:line="240" w:lineRule="auto"/>
        <w:rPr>
          <w:rFonts w:ascii="Arial" w:hAnsi="Arial" w:cs="Arial"/>
          <w:color w:val="002060"/>
          <w:sz w:val="20"/>
          <w:szCs w:val="20"/>
        </w:rPr>
      </w:pPr>
      <w:r w:rsidRPr="009D1C06">
        <w:rPr>
          <w:rFonts w:ascii="Arial" w:hAnsi="Arial" w:cs="Arial"/>
          <w:color w:val="002060"/>
          <w:sz w:val="20"/>
          <w:szCs w:val="20"/>
        </w:rPr>
        <w:t>We noted that the following senior positions are still vacant with acting incumbents occupying these positions:</w:t>
      </w:r>
    </w:p>
    <w:p w:rsidR="009D1C06" w:rsidRPr="009D1C06" w:rsidRDefault="009D1C06" w:rsidP="003D357E">
      <w:pPr>
        <w:numPr>
          <w:ilvl w:val="1"/>
          <w:numId w:val="10"/>
        </w:numPr>
        <w:spacing w:after="0" w:line="240" w:lineRule="auto"/>
        <w:rPr>
          <w:rFonts w:ascii="Arial" w:hAnsi="Arial" w:cs="Arial"/>
          <w:color w:val="002060"/>
          <w:sz w:val="20"/>
          <w:szCs w:val="20"/>
        </w:rPr>
      </w:pPr>
      <w:r w:rsidRPr="009D1C06">
        <w:rPr>
          <w:rFonts w:ascii="Arial" w:hAnsi="Arial" w:cs="Arial"/>
          <w:color w:val="002060"/>
          <w:sz w:val="20"/>
          <w:szCs w:val="20"/>
        </w:rPr>
        <w:t>Chief Executive Officer</w:t>
      </w:r>
    </w:p>
    <w:p w:rsidR="009D1C06" w:rsidRPr="009D1C06" w:rsidRDefault="009D1C06" w:rsidP="003D357E">
      <w:pPr>
        <w:numPr>
          <w:ilvl w:val="1"/>
          <w:numId w:val="10"/>
        </w:numPr>
        <w:spacing w:after="0" w:line="240" w:lineRule="auto"/>
        <w:rPr>
          <w:rFonts w:ascii="Arial" w:hAnsi="Arial" w:cs="Arial"/>
          <w:color w:val="002060"/>
          <w:sz w:val="20"/>
          <w:szCs w:val="20"/>
        </w:rPr>
      </w:pPr>
      <w:r w:rsidRPr="009D1C06">
        <w:rPr>
          <w:rFonts w:ascii="Arial" w:hAnsi="Arial" w:cs="Arial"/>
          <w:color w:val="002060"/>
          <w:sz w:val="20"/>
          <w:szCs w:val="20"/>
        </w:rPr>
        <w:t>Chief Financial Officer</w:t>
      </w:r>
    </w:p>
    <w:p w:rsidR="009D1C06" w:rsidRDefault="009D1C06" w:rsidP="00106FA3">
      <w:pPr>
        <w:spacing w:after="0" w:line="240" w:lineRule="auto"/>
        <w:rPr>
          <w:rFonts w:ascii="Arial" w:hAnsi="Arial" w:cs="Arial"/>
          <w:color w:val="002060"/>
          <w:sz w:val="20"/>
          <w:szCs w:val="20"/>
        </w:rPr>
      </w:pPr>
    </w:p>
    <w:p w:rsidR="008F66CC" w:rsidRDefault="008F66CC">
      <w:pPr>
        <w:rPr>
          <w:rFonts w:ascii="Arial" w:hAnsi="Arial" w:cs="Arial"/>
          <w:b/>
          <w:color w:val="002060"/>
          <w:sz w:val="20"/>
          <w:szCs w:val="20"/>
          <w:u w:val="single"/>
        </w:rPr>
      </w:pPr>
      <w:r>
        <w:rPr>
          <w:rFonts w:ascii="Arial" w:hAnsi="Arial" w:cs="Arial"/>
          <w:b/>
          <w:color w:val="002060"/>
          <w:sz w:val="20"/>
          <w:szCs w:val="20"/>
          <w:u w:val="single"/>
        </w:rPr>
        <w:br w:type="page"/>
      </w:r>
    </w:p>
    <w:p w:rsidR="009D1C06" w:rsidRPr="009D1C06" w:rsidRDefault="008F66CC" w:rsidP="00106FA3">
      <w:pPr>
        <w:spacing w:after="0" w:line="240" w:lineRule="auto"/>
        <w:rPr>
          <w:rFonts w:ascii="Arial" w:hAnsi="Arial" w:cs="Arial"/>
          <w:b/>
          <w:color w:val="002060"/>
          <w:sz w:val="20"/>
          <w:szCs w:val="20"/>
          <w:u w:val="single"/>
        </w:rPr>
      </w:pPr>
      <w:r>
        <w:rPr>
          <w:rFonts w:ascii="Arial" w:hAnsi="Arial" w:cs="Arial"/>
          <w:b/>
          <w:color w:val="002060"/>
          <w:sz w:val="20"/>
          <w:szCs w:val="20"/>
          <w:u w:val="single"/>
        </w:rPr>
        <w:lastRenderedPageBreak/>
        <w:t>5.6</w:t>
      </w:r>
      <w:r>
        <w:rPr>
          <w:rFonts w:ascii="Arial" w:hAnsi="Arial" w:cs="Arial"/>
          <w:b/>
          <w:color w:val="002060"/>
          <w:sz w:val="20"/>
          <w:szCs w:val="20"/>
          <w:u w:val="single"/>
        </w:rPr>
        <w:tab/>
      </w:r>
      <w:r w:rsidR="009D1C06" w:rsidRPr="009D1C06">
        <w:rPr>
          <w:rFonts w:ascii="Arial" w:hAnsi="Arial" w:cs="Arial"/>
          <w:b/>
          <w:color w:val="002060"/>
          <w:sz w:val="20"/>
          <w:szCs w:val="20"/>
          <w:u w:val="single"/>
        </w:rPr>
        <w:t>Agrément South Africa</w:t>
      </w:r>
    </w:p>
    <w:p w:rsidR="00106FA3" w:rsidRDefault="00106FA3" w:rsidP="00844335">
      <w:pPr>
        <w:spacing w:after="0" w:line="240" w:lineRule="auto"/>
        <w:rPr>
          <w:rFonts w:ascii="Arial" w:hAnsi="Arial" w:cs="Arial"/>
          <w:color w:val="002060"/>
          <w:sz w:val="20"/>
          <w:szCs w:val="20"/>
        </w:rPr>
      </w:pPr>
    </w:p>
    <w:p w:rsidR="008E7539" w:rsidRDefault="009D1C06" w:rsidP="00844335">
      <w:pPr>
        <w:spacing w:after="0" w:line="240" w:lineRule="auto"/>
        <w:rPr>
          <w:rFonts w:ascii="Arial" w:hAnsi="Arial" w:cs="Arial"/>
          <w:color w:val="002060"/>
          <w:sz w:val="20"/>
          <w:szCs w:val="20"/>
        </w:rPr>
      </w:pPr>
      <w:r>
        <w:rPr>
          <w:rFonts w:ascii="Arial" w:hAnsi="Arial" w:cs="Arial"/>
          <w:color w:val="002060"/>
          <w:sz w:val="20"/>
          <w:szCs w:val="20"/>
        </w:rPr>
        <w:t xml:space="preserve">ASA was previously a programme within CSIR, and this is the first full year in which they are a separate entity, and thus required to prepare their own annual financial statements and performance report. </w:t>
      </w:r>
      <w:r w:rsidR="008E7539">
        <w:rPr>
          <w:rFonts w:ascii="Arial" w:hAnsi="Arial" w:cs="Arial"/>
          <w:color w:val="002060"/>
          <w:sz w:val="20"/>
          <w:szCs w:val="20"/>
        </w:rPr>
        <w:t xml:space="preserve">We are providing some guidance to management during this transitional period where required. </w:t>
      </w:r>
    </w:p>
    <w:p w:rsidR="008E7539" w:rsidRDefault="008E7539" w:rsidP="00844335">
      <w:pPr>
        <w:spacing w:after="0" w:line="240" w:lineRule="auto"/>
        <w:rPr>
          <w:rFonts w:ascii="Arial" w:hAnsi="Arial" w:cs="Arial"/>
          <w:color w:val="002060"/>
          <w:sz w:val="20"/>
          <w:szCs w:val="20"/>
        </w:rPr>
      </w:pPr>
    </w:p>
    <w:p w:rsidR="009D1C06" w:rsidRDefault="008E7539" w:rsidP="00844335">
      <w:pPr>
        <w:spacing w:after="0" w:line="240" w:lineRule="auto"/>
        <w:rPr>
          <w:rFonts w:ascii="Arial" w:hAnsi="Arial" w:cs="Arial"/>
          <w:color w:val="002060"/>
          <w:sz w:val="20"/>
          <w:szCs w:val="20"/>
        </w:rPr>
      </w:pPr>
      <w:r>
        <w:rPr>
          <w:rFonts w:ascii="Arial" w:hAnsi="Arial" w:cs="Arial"/>
          <w:color w:val="002060"/>
          <w:sz w:val="20"/>
          <w:szCs w:val="20"/>
        </w:rPr>
        <w:t>Due to the size of the entity, we intend to utilise our “small audit” methodology in performing this audit to minimise costs. The audit is still in the planning phase and further feedback will be provided when available.</w:t>
      </w:r>
    </w:p>
    <w:p w:rsidR="008E7539" w:rsidRDefault="008E7539" w:rsidP="00844335">
      <w:pPr>
        <w:spacing w:after="0" w:line="240" w:lineRule="auto"/>
        <w:rPr>
          <w:rFonts w:ascii="Arial" w:hAnsi="Arial" w:cs="Arial"/>
          <w:color w:val="002060"/>
          <w:sz w:val="20"/>
          <w:szCs w:val="20"/>
        </w:rPr>
      </w:pPr>
    </w:p>
    <w:p w:rsidR="008E7539" w:rsidRPr="008E7539" w:rsidRDefault="008F66CC" w:rsidP="00844335">
      <w:pPr>
        <w:spacing w:after="0" w:line="240" w:lineRule="auto"/>
        <w:rPr>
          <w:rFonts w:ascii="Arial" w:hAnsi="Arial" w:cs="Arial"/>
          <w:b/>
          <w:color w:val="002060"/>
          <w:sz w:val="20"/>
          <w:szCs w:val="20"/>
          <w:u w:val="single"/>
        </w:rPr>
      </w:pPr>
      <w:r>
        <w:rPr>
          <w:rFonts w:ascii="Arial" w:hAnsi="Arial" w:cs="Arial"/>
          <w:b/>
          <w:color w:val="002060"/>
          <w:sz w:val="20"/>
          <w:szCs w:val="20"/>
          <w:u w:val="single"/>
        </w:rPr>
        <w:t>5.7</w:t>
      </w:r>
      <w:r>
        <w:rPr>
          <w:rFonts w:ascii="Arial" w:hAnsi="Arial" w:cs="Arial"/>
          <w:b/>
          <w:color w:val="002060"/>
          <w:sz w:val="20"/>
          <w:szCs w:val="20"/>
          <w:u w:val="single"/>
        </w:rPr>
        <w:tab/>
      </w:r>
      <w:r w:rsidR="008E7539" w:rsidRPr="008E7539">
        <w:rPr>
          <w:rFonts w:ascii="Arial" w:hAnsi="Arial" w:cs="Arial"/>
          <w:b/>
          <w:color w:val="002060"/>
          <w:sz w:val="20"/>
          <w:szCs w:val="20"/>
          <w:u w:val="single"/>
        </w:rPr>
        <w:t>Engineering Council of South Africa</w:t>
      </w:r>
    </w:p>
    <w:p w:rsidR="008E7539" w:rsidRDefault="008E7539" w:rsidP="00844335">
      <w:pPr>
        <w:spacing w:after="0" w:line="240" w:lineRule="auto"/>
        <w:rPr>
          <w:rFonts w:ascii="Arial" w:hAnsi="Arial" w:cs="Arial"/>
          <w:color w:val="002060"/>
          <w:sz w:val="20"/>
          <w:szCs w:val="20"/>
        </w:rPr>
      </w:pPr>
    </w:p>
    <w:p w:rsidR="00C11893" w:rsidRDefault="00C11893" w:rsidP="00844335">
      <w:pPr>
        <w:spacing w:after="0" w:line="240" w:lineRule="auto"/>
        <w:rPr>
          <w:rFonts w:ascii="Arial" w:hAnsi="Arial" w:cs="Arial"/>
          <w:color w:val="002060"/>
          <w:sz w:val="20"/>
          <w:szCs w:val="20"/>
        </w:rPr>
      </w:pPr>
      <w:r w:rsidRPr="00C11893">
        <w:rPr>
          <w:rFonts w:ascii="Arial" w:hAnsi="Arial" w:cs="Arial"/>
          <w:color w:val="002060"/>
          <w:sz w:val="20"/>
          <w:szCs w:val="20"/>
        </w:rPr>
        <w:t xml:space="preserve">The Engineering Council of South Africa was formed </w:t>
      </w:r>
      <w:r>
        <w:rPr>
          <w:rFonts w:ascii="Arial" w:hAnsi="Arial" w:cs="Arial"/>
          <w:color w:val="002060"/>
          <w:sz w:val="20"/>
          <w:szCs w:val="20"/>
        </w:rPr>
        <w:t xml:space="preserve">in </w:t>
      </w:r>
      <w:r w:rsidRPr="00C11893">
        <w:rPr>
          <w:rFonts w:ascii="Arial" w:hAnsi="Arial" w:cs="Arial"/>
          <w:color w:val="002060"/>
          <w:sz w:val="20"/>
          <w:szCs w:val="20"/>
        </w:rPr>
        <w:t>2000. Since inception, the Council has only complied with its enabling legislation as there was uncertainty regarding whether they were liable to comply with the PFMA. This matter was resolved by a legal opinion received from the chief State Law Adviser on 28 June 2017 which stated that the ECSA is a public entity and is re</w:t>
      </w:r>
      <w:r w:rsidR="00FB13D8">
        <w:rPr>
          <w:rFonts w:ascii="Arial" w:hAnsi="Arial" w:cs="Arial"/>
          <w:color w:val="002060"/>
          <w:sz w:val="20"/>
          <w:szCs w:val="20"/>
        </w:rPr>
        <w:t>quired to comply with the PFMA.</w:t>
      </w:r>
    </w:p>
    <w:p w:rsidR="00C11893" w:rsidRDefault="00C11893" w:rsidP="00844335">
      <w:pPr>
        <w:spacing w:after="0" w:line="240" w:lineRule="auto"/>
        <w:rPr>
          <w:rFonts w:ascii="Arial" w:hAnsi="Arial" w:cs="Arial"/>
          <w:color w:val="002060"/>
          <w:sz w:val="20"/>
          <w:szCs w:val="20"/>
        </w:rPr>
      </w:pPr>
    </w:p>
    <w:p w:rsidR="008E7539" w:rsidRDefault="00C11893" w:rsidP="00844335">
      <w:pPr>
        <w:spacing w:after="0" w:line="240" w:lineRule="auto"/>
        <w:rPr>
          <w:rFonts w:ascii="Arial" w:hAnsi="Arial" w:cs="Arial"/>
          <w:color w:val="002060"/>
          <w:sz w:val="20"/>
          <w:szCs w:val="20"/>
        </w:rPr>
      </w:pPr>
      <w:r w:rsidRPr="00C11893">
        <w:rPr>
          <w:rFonts w:ascii="Arial" w:hAnsi="Arial" w:cs="Arial"/>
          <w:color w:val="002060"/>
          <w:sz w:val="20"/>
          <w:szCs w:val="20"/>
        </w:rPr>
        <w:t>As such, the annual financial statements and annual performance report will be prepared and audited in compliance with the PFMA for the first time in the 2017-18 financial periods. The ECSA submitted their request to be listed to National Treasury on 31 January 2017, and are currently an unlisted public entity.</w:t>
      </w:r>
      <w:r>
        <w:rPr>
          <w:rFonts w:ascii="Arial" w:hAnsi="Arial" w:cs="Arial"/>
          <w:color w:val="002060"/>
          <w:sz w:val="20"/>
          <w:szCs w:val="20"/>
        </w:rPr>
        <w:t xml:space="preserve"> </w:t>
      </w:r>
    </w:p>
    <w:p w:rsidR="00D74F3E" w:rsidRDefault="00D74F3E" w:rsidP="00844335">
      <w:pPr>
        <w:spacing w:after="0" w:line="240" w:lineRule="auto"/>
        <w:rPr>
          <w:rFonts w:ascii="Arial" w:hAnsi="Arial" w:cs="Arial"/>
          <w:color w:val="002060"/>
          <w:sz w:val="20"/>
          <w:szCs w:val="20"/>
        </w:rPr>
      </w:pPr>
    </w:p>
    <w:p w:rsidR="0095642C" w:rsidRPr="0095642C" w:rsidRDefault="00D74F3E" w:rsidP="0095642C">
      <w:pPr>
        <w:spacing w:after="0" w:line="240" w:lineRule="auto"/>
        <w:rPr>
          <w:rFonts w:ascii="Arial" w:hAnsi="Arial" w:cs="Arial"/>
          <w:color w:val="002060"/>
          <w:sz w:val="20"/>
          <w:szCs w:val="20"/>
        </w:rPr>
      </w:pPr>
      <w:r w:rsidRPr="00D74F3E">
        <w:rPr>
          <w:rFonts w:ascii="Arial" w:hAnsi="Arial" w:cs="Arial"/>
          <w:color w:val="002060"/>
          <w:sz w:val="20"/>
          <w:szCs w:val="20"/>
        </w:rPr>
        <w:t xml:space="preserve">PWC </w:t>
      </w:r>
      <w:r>
        <w:rPr>
          <w:rFonts w:ascii="Arial" w:hAnsi="Arial" w:cs="Arial"/>
          <w:color w:val="002060"/>
          <w:sz w:val="20"/>
          <w:szCs w:val="20"/>
        </w:rPr>
        <w:t>have</w:t>
      </w:r>
      <w:r w:rsidRPr="00D74F3E">
        <w:rPr>
          <w:rFonts w:ascii="Arial" w:hAnsi="Arial" w:cs="Arial"/>
          <w:color w:val="002060"/>
          <w:sz w:val="20"/>
          <w:szCs w:val="20"/>
        </w:rPr>
        <w:t xml:space="preserve"> </w:t>
      </w:r>
      <w:r>
        <w:rPr>
          <w:rFonts w:ascii="Arial" w:hAnsi="Arial" w:cs="Arial"/>
          <w:color w:val="002060"/>
          <w:sz w:val="20"/>
          <w:szCs w:val="20"/>
        </w:rPr>
        <w:t xml:space="preserve">been </w:t>
      </w:r>
      <w:r w:rsidRPr="00D74F3E">
        <w:rPr>
          <w:rFonts w:ascii="Arial" w:hAnsi="Arial" w:cs="Arial"/>
          <w:color w:val="002060"/>
          <w:sz w:val="20"/>
          <w:szCs w:val="20"/>
        </w:rPr>
        <w:t xml:space="preserve">re-appointed as external auditors for </w:t>
      </w:r>
      <w:r>
        <w:rPr>
          <w:rFonts w:ascii="Arial" w:hAnsi="Arial" w:cs="Arial"/>
          <w:color w:val="002060"/>
          <w:sz w:val="20"/>
          <w:szCs w:val="20"/>
        </w:rPr>
        <w:t>the</w:t>
      </w:r>
      <w:r w:rsidRPr="00D74F3E">
        <w:rPr>
          <w:rFonts w:ascii="Arial" w:hAnsi="Arial" w:cs="Arial"/>
          <w:color w:val="002060"/>
          <w:sz w:val="20"/>
          <w:szCs w:val="20"/>
        </w:rPr>
        <w:t xml:space="preserve"> 2017-18</w:t>
      </w:r>
      <w:r>
        <w:rPr>
          <w:rFonts w:ascii="Arial" w:hAnsi="Arial" w:cs="Arial"/>
          <w:color w:val="002060"/>
          <w:sz w:val="20"/>
          <w:szCs w:val="20"/>
        </w:rPr>
        <w:t xml:space="preserve"> financial period </w:t>
      </w:r>
      <w:r w:rsidRPr="00D74F3E">
        <w:rPr>
          <w:rFonts w:ascii="Arial" w:hAnsi="Arial" w:cs="Arial"/>
          <w:color w:val="002060"/>
          <w:sz w:val="20"/>
          <w:szCs w:val="20"/>
        </w:rPr>
        <w:t xml:space="preserve">to assist the entity during this transitional </w:t>
      </w:r>
      <w:r w:rsidR="00FB13D8" w:rsidRPr="00D74F3E">
        <w:rPr>
          <w:rFonts w:ascii="Arial" w:hAnsi="Arial" w:cs="Arial"/>
          <w:color w:val="002060"/>
          <w:sz w:val="20"/>
          <w:szCs w:val="20"/>
        </w:rPr>
        <w:t>period;</w:t>
      </w:r>
      <w:r w:rsidRPr="00D74F3E">
        <w:rPr>
          <w:rFonts w:ascii="Arial" w:hAnsi="Arial" w:cs="Arial"/>
          <w:color w:val="002060"/>
          <w:sz w:val="20"/>
          <w:szCs w:val="20"/>
        </w:rPr>
        <w:t xml:space="preserve"> </w:t>
      </w:r>
      <w:r>
        <w:rPr>
          <w:rFonts w:ascii="Arial" w:hAnsi="Arial" w:cs="Arial"/>
          <w:color w:val="002060"/>
          <w:sz w:val="20"/>
          <w:szCs w:val="20"/>
        </w:rPr>
        <w:t xml:space="preserve">however </w:t>
      </w:r>
      <w:r w:rsidRPr="00D74F3E">
        <w:rPr>
          <w:rFonts w:ascii="Arial" w:hAnsi="Arial" w:cs="Arial"/>
          <w:color w:val="002060"/>
          <w:sz w:val="20"/>
          <w:szCs w:val="20"/>
        </w:rPr>
        <w:t>the entity will be required to appoint a new auditor for the next financial period</w:t>
      </w:r>
      <w:r>
        <w:rPr>
          <w:rFonts w:ascii="Arial" w:hAnsi="Arial" w:cs="Arial"/>
          <w:color w:val="002060"/>
          <w:sz w:val="20"/>
          <w:szCs w:val="20"/>
        </w:rPr>
        <w:t xml:space="preserve"> due to auditor rotation requirements.</w:t>
      </w:r>
    </w:p>
    <w:sectPr w:rsidR="0095642C" w:rsidRPr="0095642C" w:rsidSect="007F020E">
      <w:pgSz w:w="11906" w:h="16838"/>
      <w:pgMar w:top="426" w:right="849"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C1C" w:rsidRDefault="00DC1C1C" w:rsidP="00202B86">
      <w:pPr>
        <w:spacing w:after="0" w:line="240" w:lineRule="auto"/>
      </w:pPr>
      <w:r>
        <w:separator/>
      </w:r>
    </w:p>
  </w:endnote>
  <w:endnote w:type="continuationSeparator" w:id="0">
    <w:p w:rsidR="00DC1C1C" w:rsidRDefault="00DC1C1C" w:rsidP="00202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6190814"/>
      <w:docPartObj>
        <w:docPartGallery w:val="Page Numbers (Bottom of Page)"/>
        <w:docPartUnique/>
      </w:docPartObj>
    </w:sdtPr>
    <w:sdtEndPr>
      <w:rPr>
        <w:noProof/>
      </w:rPr>
    </w:sdtEndPr>
    <w:sdtContent>
      <w:p w:rsidR="00017444" w:rsidRDefault="00704CC6">
        <w:pPr>
          <w:pStyle w:val="Footer"/>
          <w:jc w:val="center"/>
        </w:pPr>
        <w:r>
          <w:fldChar w:fldCharType="begin"/>
        </w:r>
        <w:r w:rsidR="00017444">
          <w:instrText xml:space="preserve"> PAGE   \* MERGEFORMAT </w:instrText>
        </w:r>
        <w:r>
          <w:fldChar w:fldCharType="separate"/>
        </w:r>
        <w:r w:rsidR="00D80052">
          <w:rPr>
            <w:noProof/>
          </w:rPr>
          <w:t>2</w:t>
        </w:r>
        <w:r>
          <w:rPr>
            <w:noProof/>
          </w:rPr>
          <w:fldChar w:fldCharType="end"/>
        </w:r>
      </w:p>
    </w:sdtContent>
  </w:sdt>
  <w:p w:rsidR="00017444" w:rsidRDefault="000174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C1C" w:rsidRDefault="00DC1C1C" w:rsidP="00202B86">
      <w:pPr>
        <w:spacing w:after="0" w:line="240" w:lineRule="auto"/>
      </w:pPr>
      <w:r>
        <w:separator/>
      </w:r>
    </w:p>
  </w:footnote>
  <w:footnote w:type="continuationSeparator" w:id="0">
    <w:p w:rsidR="00DC1C1C" w:rsidRDefault="00DC1C1C" w:rsidP="00202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22437"/>
    <w:multiLevelType w:val="hybridMultilevel"/>
    <w:tmpl w:val="11869460"/>
    <w:lvl w:ilvl="0" w:tplc="D05612D2">
      <w:start w:val="1"/>
      <w:numFmt w:val="bullet"/>
      <w:lvlText w:val="•"/>
      <w:lvlJc w:val="left"/>
      <w:pPr>
        <w:tabs>
          <w:tab w:val="num" w:pos="720"/>
        </w:tabs>
        <w:ind w:left="720" w:hanging="360"/>
      </w:pPr>
      <w:rPr>
        <w:rFonts w:ascii="Arial" w:hAnsi="Arial" w:hint="default"/>
      </w:rPr>
    </w:lvl>
    <w:lvl w:ilvl="1" w:tplc="50CE56DE">
      <w:start w:val="1"/>
      <w:numFmt w:val="bullet"/>
      <w:lvlText w:val="•"/>
      <w:lvlJc w:val="left"/>
      <w:pPr>
        <w:tabs>
          <w:tab w:val="num" w:pos="1440"/>
        </w:tabs>
        <w:ind w:left="1440" w:hanging="360"/>
      </w:pPr>
      <w:rPr>
        <w:rFonts w:ascii="Arial" w:hAnsi="Arial" w:hint="default"/>
      </w:rPr>
    </w:lvl>
    <w:lvl w:ilvl="2" w:tplc="E904F646" w:tentative="1">
      <w:start w:val="1"/>
      <w:numFmt w:val="bullet"/>
      <w:lvlText w:val="•"/>
      <w:lvlJc w:val="left"/>
      <w:pPr>
        <w:tabs>
          <w:tab w:val="num" w:pos="2160"/>
        </w:tabs>
        <w:ind w:left="2160" w:hanging="360"/>
      </w:pPr>
      <w:rPr>
        <w:rFonts w:ascii="Arial" w:hAnsi="Arial" w:hint="default"/>
      </w:rPr>
    </w:lvl>
    <w:lvl w:ilvl="3" w:tplc="67801C8C" w:tentative="1">
      <w:start w:val="1"/>
      <w:numFmt w:val="bullet"/>
      <w:lvlText w:val="•"/>
      <w:lvlJc w:val="left"/>
      <w:pPr>
        <w:tabs>
          <w:tab w:val="num" w:pos="2880"/>
        </w:tabs>
        <w:ind w:left="2880" w:hanging="360"/>
      </w:pPr>
      <w:rPr>
        <w:rFonts w:ascii="Arial" w:hAnsi="Arial" w:hint="default"/>
      </w:rPr>
    </w:lvl>
    <w:lvl w:ilvl="4" w:tplc="726CF9B0" w:tentative="1">
      <w:start w:val="1"/>
      <w:numFmt w:val="bullet"/>
      <w:lvlText w:val="•"/>
      <w:lvlJc w:val="left"/>
      <w:pPr>
        <w:tabs>
          <w:tab w:val="num" w:pos="3600"/>
        </w:tabs>
        <w:ind w:left="3600" w:hanging="360"/>
      </w:pPr>
      <w:rPr>
        <w:rFonts w:ascii="Arial" w:hAnsi="Arial" w:hint="default"/>
      </w:rPr>
    </w:lvl>
    <w:lvl w:ilvl="5" w:tplc="8F7065EC" w:tentative="1">
      <w:start w:val="1"/>
      <w:numFmt w:val="bullet"/>
      <w:lvlText w:val="•"/>
      <w:lvlJc w:val="left"/>
      <w:pPr>
        <w:tabs>
          <w:tab w:val="num" w:pos="4320"/>
        </w:tabs>
        <w:ind w:left="4320" w:hanging="360"/>
      </w:pPr>
      <w:rPr>
        <w:rFonts w:ascii="Arial" w:hAnsi="Arial" w:hint="default"/>
      </w:rPr>
    </w:lvl>
    <w:lvl w:ilvl="6" w:tplc="79423672" w:tentative="1">
      <w:start w:val="1"/>
      <w:numFmt w:val="bullet"/>
      <w:lvlText w:val="•"/>
      <w:lvlJc w:val="left"/>
      <w:pPr>
        <w:tabs>
          <w:tab w:val="num" w:pos="5040"/>
        </w:tabs>
        <w:ind w:left="5040" w:hanging="360"/>
      </w:pPr>
      <w:rPr>
        <w:rFonts w:ascii="Arial" w:hAnsi="Arial" w:hint="default"/>
      </w:rPr>
    </w:lvl>
    <w:lvl w:ilvl="7" w:tplc="30602DAE" w:tentative="1">
      <w:start w:val="1"/>
      <w:numFmt w:val="bullet"/>
      <w:lvlText w:val="•"/>
      <w:lvlJc w:val="left"/>
      <w:pPr>
        <w:tabs>
          <w:tab w:val="num" w:pos="5760"/>
        </w:tabs>
        <w:ind w:left="5760" w:hanging="360"/>
      </w:pPr>
      <w:rPr>
        <w:rFonts w:ascii="Arial" w:hAnsi="Arial" w:hint="default"/>
      </w:rPr>
    </w:lvl>
    <w:lvl w:ilvl="8" w:tplc="BFD048DC" w:tentative="1">
      <w:start w:val="1"/>
      <w:numFmt w:val="bullet"/>
      <w:lvlText w:val="•"/>
      <w:lvlJc w:val="left"/>
      <w:pPr>
        <w:tabs>
          <w:tab w:val="num" w:pos="6480"/>
        </w:tabs>
        <w:ind w:left="6480" w:hanging="360"/>
      </w:pPr>
      <w:rPr>
        <w:rFonts w:ascii="Arial" w:hAnsi="Arial" w:hint="default"/>
      </w:rPr>
    </w:lvl>
  </w:abstractNum>
  <w:abstractNum w:abstractNumId="1">
    <w:nsid w:val="13112240"/>
    <w:multiLevelType w:val="hybridMultilevel"/>
    <w:tmpl w:val="892A7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9F459B3"/>
    <w:multiLevelType w:val="hybridMultilevel"/>
    <w:tmpl w:val="FC025CAA"/>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1A7E7E6F"/>
    <w:multiLevelType w:val="hybridMultilevel"/>
    <w:tmpl w:val="7C30A4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C440EEE"/>
    <w:multiLevelType w:val="hybridMultilevel"/>
    <w:tmpl w:val="D78009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114402A"/>
    <w:multiLevelType w:val="hybridMultilevel"/>
    <w:tmpl w:val="788E5A12"/>
    <w:lvl w:ilvl="0" w:tplc="BB346A8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80F12D9"/>
    <w:multiLevelType w:val="hybridMultilevel"/>
    <w:tmpl w:val="67488A4E"/>
    <w:lvl w:ilvl="0" w:tplc="7228D87E">
      <w:start w:val="1"/>
      <w:numFmt w:val="bullet"/>
      <w:lvlText w:val="•"/>
      <w:lvlJc w:val="left"/>
      <w:pPr>
        <w:tabs>
          <w:tab w:val="num" w:pos="720"/>
        </w:tabs>
        <w:ind w:left="720" w:hanging="360"/>
      </w:pPr>
      <w:rPr>
        <w:rFonts w:ascii="Arial" w:hAnsi="Arial" w:hint="default"/>
      </w:rPr>
    </w:lvl>
    <w:lvl w:ilvl="1" w:tplc="D458EE7E">
      <w:start w:val="1"/>
      <w:numFmt w:val="bullet"/>
      <w:lvlText w:val="•"/>
      <w:lvlJc w:val="left"/>
      <w:pPr>
        <w:tabs>
          <w:tab w:val="num" w:pos="1440"/>
        </w:tabs>
        <w:ind w:left="1440" w:hanging="360"/>
      </w:pPr>
      <w:rPr>
        <w:rFonts w:ascii="Arial" w:hAnsi="Arial" w:hint="default"/>
      </w:rPr>
    </w:lvl>
    <w:lvl w:ilvl="2" w:tplc="01D0DC20" w:tentative="1">
      <w:start w:val="1"/>
      <w:numFmt w:val="bullet"/>
      <w:lvlText w:val="•"/>
      <w:lvlJc w:val="left"/>
      <w:pPr>
        <w:tabs>
          <w:tab w:val="num" w:pos="2160"/>
        </w:tabs>
        <w:ind w:left="2160" w:hanging="360"/>
      </w:pPr>
      <w:rPr>
        <w:rFonts w:ascii="Arial" w:hAnsi="Arial" w:hint="default"/>
      </w:rPr>
    </w:lvl>
    <w:lvl w:ilvl="3" w:tplc="7834FA5E" w:tentative="1">
      <w:start w:val="1"/>
      <w:numFmt w:val="bullet"/>
      <w:lvlText w:val="•"/>
      <w:lvlJc w:val="left"/>
      <w:pPr>
        <w:tabs>
          <w:tab w:val="num" w:pos="2880"/>
        </w:tabs>
        <w:ind w:left="2880" w:hanging="360"/>
      </w:pPr>
      <w:rPr>
        <w:rFonts w:ascii="Arial" w:hAnsi="Arial" w:hint="default"/>
      </w:rPr>
    </w:lvl>
    <w:lvl w:ilvl="4" w:tplc="83EE9F70" w:tentative="1">
      <w:start w:val="1"/>
      <w:numFmt w:val="bullet"/>
      <w:lvlText w:val="•"/>
      <w:lvlJc w:val="left"/>
      <w:pPr>
        <w:tabs>
          <w:tab w:val="num" w:pos="3600"/>
        </w:tabs>
        <w:ind w:left="3600" w:hanging="360"/>
      </w:pPr>
      <w:rPr>
        <w:rFonts w:ascii="Arial" w:hAnsi="Arial" w:hint="default"/>
      </w:rPr>
    </w:lvl>
    <w:lvl w:ilvl="5" w:tplc="35CEA468" w:tentative="1">
      <w:start w:val="1"/>
      <w:numFmt w:val="bullet"/>
      <w:lvlText w:val="•"/>
      <w:lvlJc w:val="left"/>
      <w:pPr>
        <w:tabs>
          <w:tab w:val="num" w:pos="4320"/>
        </w:tabs>
        <w:ind w:left="4320" w:hanging="360"/>
      </w:pPr>
      <w:rPr>
        <w:rFonts w:ascii="Arial" w:hAnsi="Arial" w:hint="default"/>
      </w:rPr>
    </w:lvl>
    <w:lvl w:ilvl="6" w:tplc="A828A36E" w:tentative="1">
      <w:start w:val="1"/>
      <w:numFmt w:val="bullet"/>
      <w:lvlText w:val="•"/>
      <w:lvlJc w:val="left"/>
      <w:pPr>
        <w:tabs>
          <w:tab w:val="num" w:pos="5040"/>
        </w:tabs>
        <w:ind w:left="5040" w:hanging="360"/>
      </w:pPr>
      <w:rPr>
        <w:rFonts w:ascii="Arial" w:hAnsi="Arial" w:hint="default"/>
      </w:rPr>
    </w:lvl>
    <w:lvl w:ilvl="7" w:tplc="3538EEDE" w:tentative="1">
      <w:start w:val="1"/>
      <w:numFmt w:val="bullet"/>
      <w:lvlText w:val="•"/>
      <w:lvlJc w:val="left"/>
      <w:pPr>
        <w:tabs>
          <w:tab w:val="num" w:pos="5760"/>
        </w:tabs>
        <w:ind w:left="5760" w:hanging="360"/>
      </w:pPr>
      <w:rPr>
        <w:rFonts w:ascii="Arial" w:hAnsi="Arial" w:hint="default"/>
      </w:rPr>
    </w:lvl>
    <w:lvl w:ilvl="8" w:tplc="7AB88902" w:tentative="1">
      <w:start w:val="1"/>
      <w:numFmt w:val="bullet"/>
      <w:lvlText w:val="•"/>
      <w:lvlJc w:val="left"/>
      <w:pPr>
        <w:tabs>
          <w:tab w:val="num" w:pos="6480"/>
        </w:tabs>
        <w:ind w:left="6480" w:hanging="360"/>
      </w:pPr>
      <w:rPr>
        <w:rFonts w:ascii="Arial" w:hAnsi="Arial" w:hint="default"/>
      </w:rPr>
    </w:lvl>
  </w:abstractNum>
  <w:abstractNum w:abstractNumId="7">
    <w:nsid w:val="2D2C3F28"/>
    <w:multiLevelType w:val="hybridMultilevel"/>
    <w:tmpl w:val="3FE6B0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0E8627C"/>
    <w:multiLevelType w:val="hybridMultilevel"/>
    <w:tmpl w:val="FC2A7476"/>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nsid w:val="3FD10605"/>
    <w:multiLevelType w:val="hybridMultilevel"/>
    <w:tmpl w:val="253E1A30"/>
    <w:lvl w:ilvl="0" w:tplc="27682FEC">
      <w:start w:val="1"/>
      <w:numFmt w:val="bullet"/>
      <w:lvlText w:val="•"/>
      <w:lvlJc w:val="left"/>
      <w:pPr>
        <w:tabs>
          <w:tab w:val="num" w:pos="720"/>
        </w:tabs>
        <w:ind w:left="720" w:hanging="360"/>
      </w:pPr>
      <w:rPr>
        <w:rFonts w:ascii="Times New Roman" w:hAnsi="Times New Roman" w:hint="default"/>
      </w:rPr>
    </w:lvl>
    <w:lvl w:ilvl="1" w:tplc="B6E605F0" w:tentative="1">
      <w:start w:val="1"/>
      <w:numFmt w:val="bullet"/>
      <w:lvlText w:val="•"/>
      <w:lvlJc w:val="left"/>
      <w:pPr>
        <w:tabs>
          <w:tab w:val="num" w:pos="1440"/>
        </w:tabs>
        <w:ind w:left="1440" w:hanging="360"/>
      </w:pPr>
      <w:rPr>
        <w:rFonts w:ascii="Times New Roman" w:hAnsi="Times New Roman" w:hint="default"/>
      </w:rPr>
    </w:lvl>
    <w:lvl w:ilvl="2" w:tplc="13CCF862" w:tentative="1">
      <w:start w:val="1"/>
      <w:numFmt w:val="bullet"/>
      <w:lvlText w:val="•"/>
      <w:lvlJc w:val="left"/>
      <w:pPr>
        <w:tabs>
          <w:tab w:val="num" w:pos="2160"/>
        </w:tabs>
        <w:ind w:left="2160" w:hanging="360"/>
      </w:pPr>
      <w:rPr>
        <w:rFonts w:ascii="Times New Roman" w:hAnsi="Times New Roman" w:hint="default"/>
      </w:rPr>
    </w:lvl>
    <w:lvl w:ilvl="3" w:tplc="7E54C37C" w:tentative="1">
      <w:start w:val="1"/>
      <w:numFmt w:val="bullet"/>
      <w:lvlText w:val="•"/>
      <w:lvlJc w:val="left"/>
      <w:pPr>
        <w:tabs>
          <w:tab w:val="num" w:pos="2880"/>
        </w:tabs>
        <w:ind w:left="2880" w:hanging="360"/>
      </w:pPr>
      <w:rPr>
        <w:rFonts w:ascii="Times New Roman" w:hAnsi="Times New Roman" w:hint="default"/>
      </w:rPr>
    </w:lvl>
    <w:lvl w:ilvl="4" w:tplc="F7DE9C12" w:tentative="1">
      <w:start w:val="1"/>
      <w:numFmt w:val="bullet"/>
      <w:lvlText w:val="•"/>
      <w:lvlJc w:val="left"/>
      <w:pPr>
        <w:tabs>
          <w:tab w:val="num" w:pos="3600"/>
        </w:tabs>
        <w:ind w:left="3600" w:hanging="360"/>
      </w:pPr>
      <w:rPr>
        <w:rFonts w:ascii="Times New Roman" w:hAnsi="Times New Roman" w:hint="default"/>
      </w:rPr>
    </w:lvl>
    <w:lvl w:ilvl="5" w:tplc="E6606D14" w:tentative="1">
      <w:start w:val="1"/>
      <w:numFmt w:val="bullet"/>
      <w:lvlText w:val="•"/>
      <w:lvlJc w:val="left"/>
      <w:pPr>
        <w:tabs>
          <w:tab w:val="num" w:pos="4320"/>
        </w:tabs>
        <w:ind w:left="4320" w:hanging="360"/>
      </w:pPr>
      <w:rPr>
        <w:rFonts w:ascii="Times New Roman" w:hAnsi="Times New Roman" w:hint="default"/>
      </w:rPr>
    </w:lvl>
    <w:lvl w:ilvl="6" w:tplc="01FC8DFA" w:tentative="1">
      <w:start w:val="1"/>
      <w:numFmt w:val="bullet"/>
      <w:lvlText w:val="•"/>
      <w:lvlJc w:val="left"/>
      <w:pPr>
        <w:tabs>
          <w:tab w:val="num" w:pos="5040"/>
        </w:tabs>
        <w:ind w:left="5040" w:hanging="360"/>
      </w:pPr>
      <w:rPr>
        <w:rFonts w:ascii="Times New Roman" w:hAnsi="Times New Roman" w:hint="default"/>
      </w:rPr>
    </w:lvl>
    <w:lvl w:ilvl="7" w:tplc="434AFB54" w:tentative="1">
      <w:start w:val="1"/>
      <w:numFmt w:val="bullet"/>
      <w:lvlText w:val="•"/>
      <w:lvlJc w:val="left"/>
      <w:pPr>
        <w:tabs>
          <w:tab w:val="num" w:pos="5760"/>
        </w:tabs>
        <w:ind w:left="5760" w:hanging="360"/>
      </w:pPr>
      <w:rPr>
        <w:rFonts w:ascii="Times New Roman" w:hAnsi="Times New Roman" w:hint="default"/>
      </w:rPr>
    </w:lvl>
    <w:lvl w:ilvl="8" w:tplc="7444D92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638167F"/>
    <w:multiLevelType w:val="multilevel"/>
    <w:tmpl w:val="60C28FBA"/>
    <w:lvl w:ilvl="0">
      <w:start w:val="1"/>
      <w:numFmt w:val="decimal"/>
      <w:lvlText w:val="%1."/>
      <w:lvlJc w:val="left"/>
      <w:pPr>
        <w:ind w:left="720" w:hanging="360"/>
      </w:pPr>
      <w:rPr>
        <w:rFonts w:hint="default"/>
        <w:sz w:val="22"/>
        <w:szCs w:val="22"/>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3035D67"/>
    <w:multiLevelType w:val="hybridMultilevel"/>
    <w:tmpl w:val="06DC608C"/>
    <w:lvl w:ilvl="0" w:tplc="6D502DFA">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nsid w:val="565A0229"/>
    <w:multiLevelType w:val="hybridMultilevel"/>
    <w:tmpl w:val="08228088"/>
    <w:lvl w:ilvl="0" w:tplc="82567C88">
      <w:start w:val="1"/>
      <w:numFmt w:val="bullet"/>
      <w:lvlText w:val="•"/>
      <w:lvlJc w:val="left"/>
      <w:pPr>
        <w:tabs>
          <w:tab w:val="num" w:pos="720"/>
        </w:tabs>
        <w:ind w:left="720" w:hanging="360"/>
      </w:pPr>
      <w:rPr>
        <w:rFonts w:ascii="Times New Roman" w:hAnsi="Times New Roman" w:hint="default"/>
      </w:rPr>
    </w:lvl>
    <w:lvl w:ilvl="1" w:tplc="EBC2F75E" w:tentative="1">
      <w:start w:val="1"/>
      <w:numFmt w:val="bullet"/>
      <w:lvlText w:val="•"/>
      <w:lvlJc w:val="left"/>
      <w:pPr>
        <w:tabs>
          <w:tab w:val="num" w:pos="1440"/>
        </w:tabs>
        <w:ind w:left="1440" w:hanging="360"/>
      </w:pPr>
      <w:rPr>
        <w:rFonts w:ascii="Times New Roman" w:hAnsi="Times New Roman" w:hint="default"/>
      </w:rPr>
    </w:lvl>
    <w:lvl w:ilvl="2" w:tplc="9BF0C37C" w:tentative="1">
      <w:start w:val="1"/>
      <w:numFmt w:val="bullet"/>
      <w:lvlText w:val="•"/>
      <w:lvlJc w:val="left"/>
      <w:pPr>
        <w:tabs>
          <w:tab w:val="num" w:pos="2160"/>
        </w:tabs>
        <w:ind w:left="2160" w:hanging="360"/>
      </w:pPr>
      <w:rPr>
        <w:rFonts w:ascii="Times New Roman" w:hAnsi="Times New Roman" w:hint="default"/>
      </w:rPr>
    </w:lvl>
    <w:lvl w:ilvl="3" w:tplc="1E52B84A" w:tentative="1">
      <w:start w:val="1"/>
      <w:numFmt w:val="bullet"/>
      <w:lvlText w:val="•"/>
      <w:lvlJc w:val="left"/>
      <w:pPr>
        <w:tabs>
          <w:tab w:val="num" w:pos="2880"/>
        </w:tabs>
        <w:ind w:left="2880" w:hanging="360"/>
      </w:pPr>
      <w:rPr>
        <w:rFonts w:ascii="Times New Roman" w:hAnsi="Times New Roman" w:hint="default"/>
      </w:rPr>
    </w:lvl>
    <w:lvl w:ilvl="4" w:tplc="A4B05D3E" w:tentative="1">
      <w:start w:val="1"/>
      <w:numFmt w:val="bullet"/>
      <w:lvlText w:val="•"/>
      <w:lvlJc w:val="left"/>
      <w:pPr>
        <w:tabs>
          <w:tab w:val="num" w:pos="3600"/>
        </w:tabs>
        <w:ind w:left="3600" w:hanging="360"/>
      </w:pPr>
      <w:rPr>
        <w:rFonts w:ascii="Times New Roman" w:hAnsi="Times New Roman" w:hint="default"/>
      </w:rPr>
    </w:lvl>
    <w:lvl w:ilvl="5" w:tplc="93C4710A" w:tentative="1">
      <w:start w:val="1"/>
      <w:numFmt w:val="bullet"/>
      <w:lvlText w:val="•"/>
      <w:lvlJc w:val="left"/>
      <w:pPr>
        <w:tabs>
          <w:tab w:val="num" w:pos="4320"/>
        </w:tabs>
        <w:ind w:left="4320" w:hanging="360"/>
      </w:pPr>
      <w:rPr>
        <w:rFonts w:ascii="Times New Roman" w:hAnsi="Times New Roman" w:hint="default"/>
      </w:rPr>
    </w:lvl>
    <w:lvl w:ilvl="6" w:tplc="F5D8ED1A" w:tentative="1">
      <w:start w:val="1"/>
      <w:numFmt w:val="bullet"/>
      <w:lvlText w:val="•"/>
      <w:lvlJc w:val="left"/>
      <w:pPr>
        <w:tabs>
          <w:tab w:val="num" w:pos="5040"/>
        </w:tabs>
        <w:ind w:left="5040" w:hanging="360"/>
      </w:pPr>
      <w:rPr>
        <w:rFonts w:ascii="Times New Roman" w:hAnsi="Times New Roman" w:hint="default"/>
      </w:rPr>
    </w:lvl>
    <w:lvl w:ilvl="7" w:tplc="98D6F72C" w:tentative="1">
      <w:start w:val="1"/>
      <w:numFmt w:val="bullet"/>
      <w:lvlText w:val="•"/>
      <w:lvlJc w:val="left"/>
      <w:pPr>
        <w:tabs>
          <w:tab w:val="num" w:pos="5760"/>
        </w:tabs>
        <w:ind w:left="5760" w:hanging="360"/>
      </w:pPr>
      <w:rPr>
        <w:rFonts w:ascii="Times New Roman" w:hAnsi="Times New Roman" w:hint="default"/>
      </w:rPr>
    </w:lvl>
    <w:lvl w:ilvl="8" w:tplc="DBB2CA2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8255C3A"/>
    <w:multiLevelType w:val="hybridMultilevel"/>
    <w:tmpl w:val="AD10DD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5CB25033"/>
    <w:multiLevelType w:val="hybridMultilevel"/>
    <w:tmpl w:val="D312F77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678A71F1"/>
    <w:multiLevelType w:val="hybridMultilevel"/>
    <w:tmpl w:val="DB76BC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69522F08"/>
    <w:multiLevelType w:val="hybridMultilevel"/>
    <w:tmpl w:val="02389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72B12DC1"/>
    <w:multiLevelType w:val="hybridMultilevel"/>
    <w:tmpl w:val="0696FA1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nsid w:val="766E275F"/>
    <w:multiLevelType w:val="hybridMultilevel"/>
    <w:tmpl w:val="E1D400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16"/>
  </w:num>
  <w:num w:numId="3">
    <w:abstractNumId w:val="3"/>
  </w:num>
  <w:num w:numId="4">
    <w:abstractNumId w:val="15"/>
  </w:num>
  <w:num w:numId="5">
    <w:abstractNumId w:val="14"/>
  </w:num>
  <w:num w:numId="6">
    <w:abstractNumId w:val="17"/>
  </w:num>
  <w:num w:numId="7">
    <w:abstractNumId w:val="4"/>
  </w:num>
  <w:num w:numId="8">
    <w:abstractNumId w:val="5"/>
  </w:num>
  <w:num w:numId="9">
    <w:abstractNumId w:val="13"/>
  </w:num>
  <w:num w:numId="10">
    <w:abstractNumId w:val="18"/>
  </w:num>
  <w:num w:numId="11">
    <w:abstractNumId w:val="1"/>
  </w:num>
  <w:num w:numId="12">
    <w:abstractNumId w:val="11"/>
  </w:num>
  <w:num w:numId="13">
    <w:abstractNumId w:val="2"/>
  </w:num>
  <w:num w:numId="14">
    <w:abstractNumId w:val="7"/>
  </w:num>
  <w:num w:numId="15">
    <w:abstractNumId w:val="12"/>
  </w:num>
  <w:num w:numId="16">
    <w:abstractNumId w:val="9"/>
  </w:num>
  <w:num w:numId="17">
    <w:abstractNumId w:val="0"/>
  </w:num>
  <w:num w:numId="18">
    <w:abstractNumId w:val="6"/>
  </w:num>
  <w:num w:numId="1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93035"/>
    <w:rsid w:val="00001451"/>
    <w:rsid w:val="00001B0D"/>
    <w:rsid w:val="00003E64"/>
    <w:rsid w:val="000071D0"/>
    <w:rsid w:val="00012BFF"/>
    <w:rsid w:val="00013FB0"/>
    <w:rsid w:val="000173C5"/>
    <w:rsid w:val="00017444"/>
    <w:rsid w:val="00021498"/>
    <w:rsid w:val="000308A6"/>
    <w:rsid w:val="00031ECF"/>
    <w:rsid w:val="0003344C"/>
    <w:rsid w:val="000360D1"/>
    <w:rsid w:val="0006386A"/>
    <w:rsid w:val="00066772"/>
    <w:rsid w:val="00067E1C"/>
    <w:rsid w:val="00072936"/>
    <w:rsid w:val="00084781"/>
    <w:rsid w:val="000947B7"/>
    <w:rsid w:val="0009652F"/>
    <w:rsid w:val="00097A09"/>
    <w:rsid w:val="000A07CA"/>
    <w:rsid w:val="000A4E30"/>
    <w:rsid w:val="000A7C82"/>
    <w:rsid w:val="000B16F1"/>
    <w:rsid w:val="000B7D8F"/>
    <w:rsid w:val="000C0E43"/>
    <w:rsid w:val="000E12ED"/>
    <w:rsid w:val="000E1447"/>
    <w:rsid w:val="000E3712"/>
    <w:rsid w:val="000E3A4B"/>
    <w:rsid w:val="000E4847"/>
    <w:rsid w:val="000E4E21"/>
    <w:rsid w:val="000F1C68"/>
    <w:rsid w:val="000F2758"/>
    <w:rsid w:val="000F4F54"/>
    <w:rsid w:val="000F753F"/>
    <w:rsid w:val="0010556A"/>
    <w:rsid w:val="00106FA3"/>
    <w:rsid w:val="00111309"/>
    <w:rsid w:val="001340AA"/>
    <w:rsid w:val="0014636D"/>
    <w:rsid w:val="0015115A"/>
    <w:rsid w:val="00155678"/>
    <w:rsid w:val="001576BF"/>
    <w:rsid w:val="00167B82"/>
    <w:rsid w:val="00172A5A"/>
    <w:rsid w:val="0017470D"/>
    <w:rsid w:val="0017500A"/>
    <w:rsid w:val="001751A6"/>
    <w:rsid w:val="00175769"/>
    <w:rsid w:val="00187B7B"/>
    <w:rsid w:val="00194DF3"/>
    <w:rsid w:val="001B16D9"/>
    <w:rsid w:val="001B51EA"/>
    <w:rsid w:val="001B7988"/>
    <w:rsid w:val="001D3AEB"/>
    <w:rsid w:val="001D66C4"/>
    <w:rsid w:val="001D6A3C"/>
    <w:rsid w:val="001E725D"/>
    <w:rsid w:val="001F00E3"/>
    <w:rsid w:val="001F4847"/>
    <w:rsid w:val="001F53C3"/>
    <w:rsid w:val="00201D5C"/>
    <w:rsid w:val="00202B86"/>
    <w:rsid w:val="00206C10"/>
    <w:rsid w:val="002167F7"/>
    <w:rsid w:val="00217884"/>
    <w:rsid w:val="00225562"/>
    <w:rsid w:val="00233361"/>
    <w:rsid w:val="002345EF"/>
    <w:rsid w:val="002415CB"/>
    <w:rsid w:val="00242592"/>
    <w:rsid w:val="00244660"/>
    <w:rsid w:val="00250A54"/>
    <w:rsid w:val="0025148B"/>
    <w:rsid w:val="00255576"/>
    <w:rsid w:val="00255708"/>
    <w:rsid w:val="00261A56"/>
    <w:rsid w:val="00264F9D"/>
    <w:rsid w:val="00265061"/>
    <w:rsid w:val="00265D7E"/>
    <w:rsid w:val="00265EB2"/>
    <w:rsid w:val="00266EBD"/>
    <w:rsid w:val="00267521"/>
    <w:rsid w:val="00273D0B"/>
    <w:rsid w:val="0027475F"/>
    <w:rsid w:val="00274C47"/>
    <w:rsid w:val="002755DE"/>
    <w:rsid w:val="00281EA8"/>
    <w:rsid w:val="00292395"/>
    <w:rsid w:val="00293C1B"/>
    <w:rsid w:val="00296EA0"/>
    <w:rsid w:val="002A1B04"/>
    <w:rsid w:val="002B007B"/>
    <w:rsid w:val="002B2998"/>
    <w:rsid w:val="002B4E01"/>
    <w:rsid w:val="002B5A4F"/>
    <w:rsid w:val="002C21AF"/>
    <w:rsid w:val="002C6518"/>
    <w:rsid w:val="002C7589"/>
    <w:rsid w:val="002D0C90"/>
    <w:rsid w:val="002D119E"/>
    <w:rsid w:val="002F4C43"/>
    <w:rsid w:val="003007A2"/>
    <w:rsid w:val="00300BF0"/>
    <w:rsid w:val="0030165F"/>
    <w:rsid w:val="00314CA4"/>
    <w:rsid w:val="003167CE"/>
    <w:rsid w:val="003168DB"/>
    <w:rsid w:val="0032138B"/>
    <w:rsid w:val="0032313D"/>
    <w:rsid w:val="0032389C"/>
    <w:rsid w:val="003318E7"/>
    <w:rsid w:val="00335049"/>
    <w:rsid w:val="0033673D"/>
    <w:rsid w:val="003504EB"/>
    <w:rsid w:val="003510DA"/>
    <w:rsid w:val="003648FD"/>
    <w:rsid w:val="00364C23"/>
    <w:rsid w:val="00370D00"/>
    <w:rsid w:val="00373D1D"/>
    <w:rsid w:val="00375EB2"/>
    <w:rsid w:val="0039244C"/>
    <w:rsid w:val="00392D11"/>
    <w:rsid w:val="003971BF"/>
    <w:rsid w:val="003B2C48"/>
    <w:rsid w:val="003B528A"/>
    <w:rsid w:val="003B5B28"/>
    <w:rsid w:val="003B758D"/>
    <w:rsid w:val="003D2876"/>
    <w:rsid w:val="003D357E"/>
    <w:rsid w:val="003D36BA"/>
    <w:rsid w:val="003D69A4"/>
    <w:rsid w:val="003E010B"/>
    <w:rsid w:val="003E1B34"/>
    <w:rsid w:val="003E32B5"/>
    <w:rsid w:val="003F4999"/>
    <w:rsid w:val="003F7EB6"/>
    <w:rsid w:val="00401D28"/>
    <w:rsid w:val="00405FCC"/>
    <w:rsid w:val="00412D40"/>
    <w:rsid w:val="00420002"/>
    <w:rsid w:val="00426245"/>
    <w:rsid w:val="00427E42"/>
    <w:rsid w:val="00434E98"/>
    <w:rsid w:val="004418C6"/>
    <w:rsid w:val="004436A9"/>
    <w:rsid w:val="00446288"/>
    <w:rsid w:val="00450AE0"/>
    <w:rsid w:val="00450B34"/>
    <w:rsid w:val="00451E62"/>
    <w:rsid w:val="004549EF"/>
    <w:rsid w:val="00455BE6"/>
    <w:rsid w:val="0046244A"/>
    <w:rsid w:val="00462E3C"/>
    <w:rsid w:val="00465EF6"/>
    <w:rsid w:val="004668B8"/>
    <w:rsid w:val="004720B2"/>
    <w:rsid w:val="00473C4E"/>
    <w:rsid w:val="00483342"/>
    <w:rsid w:val="00486796"/>
    <w:rsid w:val="00487806"/>
    <w:rsid w:val="00492E10"/>
    <w:rsid w:val="004964D7"/>
    <w:rsid w:val="004A1801"/>
    <w:rsid w:val="004B0520"/>
    <w:rsid w:val="004B0873"/>
    <w:rsid w:val="004D7905"/>
    <w:rsid w:val="004F5562"/>
    <w:rsid w:val="004F7661"/>
    <w:rsid w:val="00504288"/>
    <w:rsid w:val="00506C56"/>
    <w:rsid w:val="00506D24"/>
    <w:rsid w:val="005121ED"/>
    <w:rsid w:val="005269C9"/>
    <w:rsid w:val="00542062"/>
    <w:rsid w:val="00547B91"/>
    <w:rsid w:val="00550AFE"/>
    <w:rsid w:val="00552834"/>
    <w:rsid w:val="0055564B"/>
    <w:rsid w:val="00574D94"/>
    <w:rsid w:val="00580B20"/>
    <w:rsid w:val="0059164E"/>
    <w:rsid w:val="00595B05"/>
    <w:rsid w:val="005A7016"/>
    <w:rsid w:val="005B69EF"/>
    <w:rsid w:val="005C3C47"/>
    <w:rsid w:val="005C6253"/>
    <w:rsid w:val="005D0D2B"/>
    <w:rsid w:val="005E46C4"/>
    <w:rsid w:val="005E5886"/>
    <w:rsid w:val="005F5BA6"/>
    <w:rsid w:val="005F754E"/>
    <w:rsid w:val="005F7F66"/>
    <w:rsid w:val="006022AB"/>
    <w:rsid w:val="0060367E"/>
    <w:rsid w:val="00604487"/>
    <w:rsid w:val="00627EFC"/>
    <w:rsid w:val="00643BC2"/>
    <w:rsid w:val="00647464"/>
    <w:rsid w:val="006500EE"/>
    <w:rsid w:val="00650192"/>
    <w:rsid w:val="00660B48"/>
    <w:rsid w:val="00672257"/>
    <w:rsid w:val="00675EE1"/>
    <w:rsid w:val="00682187"/>
    <w:rsid w:val="00684F0D"/>
    <w:rsid w:val="00686DAD"/>
    <w:rsid w:val="006962A0"/>
    <w:rsid w:val="006A1D19"/>
    <w:rsid w:val="006A5CB8"/>
    <w:rsid w:val="006A6C33"/>
    <w:rsid w:val="006B2897"/>
    <w:rsid w:val="006B3207"/>
    <w:rsid w:val="006B5CA7"/>
    <w:rsid w:val="006C695A"/>
    <w:rsid w:val="006E1A6E"/>
    <w:rsid w:val="006E5536"/>
    <w:rsid w:val="006E66FD"/>
    <w:rsid w:val="00704CC6"/>
    <w:rsid w:val="00712788"/>
    <w:rsid w:val="00712DC6"/>
    <w:rsid w:val="00727A44"/>
    <w:rsid w:val="00753BE1"/>
    <w:rsid w:val="00756D4C"/>
    <w:rsid w:val="0075715A"/>
    <w:rsid w:val="007603D4"/>
    <w:rsid w:val="00772A83"/>
    <w:rsid w:val="00774AE4"/>
    <w:rsid w:val="00776942"/>
    <w:rsid w:val="00781C5B"/>
    <w:rsid w:val="00786D6E"/>
    <w:rsid w:val="00787ABB"/>
    <w:rsid w:val="00790EE3"/>
    <w:rsid w:val="0079155A"/>
    <w:rsid w:val="007918F5"/>
    <w:rsid w:val="0079376A"/>
    <w:rsid w:val="0079507D"/>
    <w:rsid w:val="007964D8"/>
    <w:rsid w:val="00796893"/>
    <w:rsid w:val="00797F12"/>
    <w:rsid w:val="007B4ED0"/>
    <w:rsid w:val="007C1B01"/>
    <w:rsid w:val="007C2DF9"/>
    <w:rsid w:val="007C6161"/>
    <w:rsid w:val="007D0B8E"/>
    <w:rsid w:val="007D17E0"/>
    <w:rsid w:val="007D46D9"/>
    <w:rsid w:val="007D706F"/>
    <w:rsid w:val="007E206D"/>
    <w:rsid w:val="007E3D4A"/>
    <w:rsid w:val="007E5F22"/>
    <w:rsid w:val="007F020E"/>
    <w:rsid w:val="007F0659"/>
    <w:rsid w:val="007F2641"/>
    <w:rsid w:val="00807CF4"/>
    <w:rsid w:val="008113E0"/>
    <w:rsid w:val="00811C9C"/>
    <w:rsid w:val="008122B0"/>
    <w:rsid w:val="008130A7"/>
    <w:rsid w:val="008161B7"/>
    <w:rsid w:val="00823D99"/>
    <w:rsid w:val="00826709"/>
    <w:rsid w:val="00834CA9"/>
    <w:rsid w:val="00844335"/>
    <w:rsid w:val="008457F1"/>
    <w:rsid w:val="00847D55"/>
    <w:rsid w:val="0085101E"/>
    <w:rsid w:val="008519B4"/>
    <w:rsid w:val="008557E8"/>
    <w:rsid w:val="00857969"/>
    <w:rsid w:val="00865074"/>
    <w:rsid w:val="0087430A"/>
    <w:rsid w:val="0087719A"/>
    <w:rsid w:val="0088164B"/>
    <w:rsid w:val="0088799F"/>
    <w:rsid w:val="0089059C"/>
    <w:rsid w:val="00891532"/>
    <w:rsid w:val="00893035"/>
    <w:rsid w:val="00894417"/>
    <w:rsid w:val="008950C8"/>
    <w:rsid w:val="00896005"/>
    <w:rsid w:val="008A16E4"/>
    <w:rsid w:val="008B0403"/>
    <w:rsid w:val="008B33EB"/>
    <w:rsid w:val="008C2F63"/>
    <w:rsid w:val="008D2417"/>
    <w:rsid w:val="008D51D1"/>
    <w:rsid w:val="008E09E1"/>
    <w:rsid w:val="008E7539"/>
    <w:rsid w:val="008F19AC"/>
    <w:rsid w:val="008F66CC"/>
    <w:rsid w:val="008F721D"/>
    <w:rsid w:val="008F7707"/>
    <w:rsid w:val="00901305"/>
    <w:rsid w:val="00916D2B"/>
    <w:rsid w:val="00917322"/>
    <w:rsid w:val="00922520"/>
    <w:rsid w:val="00923B2C"/>
    <w:rsid w:val="009240CF"/>
    <w:rsid w:val="009343ED"/>
    <w:rsid w:val="00935687"/>
    <w:rsid w:val="009360D8"/>
    <w:rsid w:val="00940754"/>
    <w:rsid w:val="0095642C"/>
    <w:rsid w:val="00956EFB"/>
    <w:rsid w:val="00961500"/>
    <w:rsid w:val="00964386"/>
    <w:rsid w:val="00972F2D"/>
    <w:rsid w:val="00987282"/>
    <w:rsid w:val="00990BDF"/>
    <w:rsid w:val="009930B8"/>
    <w:rsid w:val="009962F1"/>
    <w:rsid w:val="009B271A"/>
    <w:rsid w:val="009B437C"/>
    <w:rsid w:val="009B498F"/>
    <w:rsid w:val="009C0950"/>
    <w:rsid w:val="009C1710"/>
    <w:rsid w:val="009C2039"/>
    <w:rsid w:val="009C731B"/>
    <w:rsid w:val="009D1C06"/>
    <w:rsid w:val="009D2DB7"/>
    <w:rsid w:val="009E269A"/>
    <w:rsid w:val="009E729C"/>
    <w:rsid w:val="009F412F"/>
    <w:rsid w:val="009F64D3"/>
    <w:rsid w:val="009F7100"/>
    <w:rsid w:val="00A018E8"/>
    <w:rsid w:val="00A03E26"/>
    <w:rsid w:val="00A05479"/>
    <w:rsid w:val="00A35735"/>
    <w:rsid w:val="00A41A28"/>
    <w:rsid w:val="00A529FF"/>
    <w:rsid w:val="00A534EA"/>
    <w:rsid w:val="00A5368E"/>
    <w:rsid w:val="00A57243"/>
    <w:rsid w:val="00A6316E"/>
    <w:rsid w:val="00A6397F"/>
    <w:rsid w:val="00A7202A"/>
    <w:rsid w:val="00A77635"/>
    <w:rsid w:val="00A944B1"/>
    <w:rsid w:val="00A945CC"/>
    <w:rsid w:val="00A95135"/>
    <w:rsid w:val="00A95296"/>
    <w:rsid w:val="00AA246F"/>
    <w:rsid w:val="00AB208A"/>
    <w:rsid w:val="00AC0FE8"/>
    <w:rsid w:val="00AC6516"/>
    <w:rsid w:val="00AC7AA6"/>
    <w:rsid w:val="00AD6E38"/>
    <w:rsid w:val="00AE31B9"/>
    <w:rsid w:val="00AE6B6B"/>
    <w:rsid w:val="00AE7A7B"/>
    <w:rsid w:val="00AF083A"/>
    <w:rsid w:val="00AF3791"/>
    <w:rsid w:val="00AF6002"/>
    <w:rsid w:val="00B041A3"/>
    <w:rsid w:val="00B04A13"/>
    <w:rsid w:val="00B1151B"/>
    <w:rsid w:val="00B14D82"/>
    <w:rsid w:val="00B21AF2"/>
    <w:rsid w:val="00B24C18"/>
    <w:rsid w:val="00B25DD6"/>
    <w:rsid w:val="00B272D2"/>
    <w:rsid w:val="00B27660"/>
    <w:rsid w:val="00B3392A"/>
    <w:rsid w:val="00B34B69"/>
    <w:rsid w:val="00B3747A"/>
    <w:rsid w:val="00B417EE"/>
    <w:rsid w:val="00B422FA"/>
    <w:rsid w:val="00B46DAB"/>
    <w:rsid w:val="00B5001A"/>
    <w:rsid w:val="00B56FB5"/>
    <w:rsid w:val="00B57A40"/>
    <w:rsid w:val="00B6482D"/>
    <w:rsid w:val="00B656F6"/>
    <w:rsid w:val="00B67181"/>
    <w:rsid w:val="00B67A78"/>
    <w:rsid w:val="00B827D0"/>
    <w:rsid w:val="00B867FA"/>
    <w:rsid w:val="00B97F99"/>
    <w:rsid w:val="00BA072E"/>
    <w:rsid w:val="00BB3F56"/>
    <w:rsid w:val="00BC209D"/>
    <w:rsid w:val="00BD0120"/>
    <w:rsid w:val="00BD3A05"/>
    <w:rsid w:val="00BD465A"/>
    <w:rsid w:val="00BD6D86"/>
    <w:rsid w:val="00BD711F"/>
    <w:rsid w:val="00BE0247"/>
    <w:rsid w:val="00BE1410"/>
    <w:rsid w:val="00BE2B49"/>
    <w:rsid w:val="00BE34C5"/>
    <w:rsid w:val="00BE3A95"/>
    <w:rsid w:val="00BE5A46"/>
    <w:rsid w:val="00BF00FC"/>
    <w:rsid w:val="00BF0B31"/>
    <w:rsid w:val="00C11893"/>
    <w:rsid w:val="00C140EC"/>
    <w:rsid w:val="00C15ACA"/>
    <w:rsid w:val="00C24C49"/>
    <w:rsid w:val="00C30F90"/>
    <w:rsid w:val="00C36392"/>
    <w:rsid w:val="00C476BA"/>
    <w:rsid w:val="00C54282"/>
    <w:rsid w:val="00C5461B"/>
    <w:rsid w:val="00C57D93"/>
    <w:rsid w:val="00C63618"/>
    <w:rsid w:val="00C77C72"/>
    <w:rsid w:val="00C82781"/>
    <w:rsid w:val="00C8387E"/>
    <w:rsid w:val="00C864F5"/>
    <w:rsid w:val="00C87BB1"/>
    <w:rsid w:val="00C901A3"/>
    <w:rsid w:val="00CA2110"/>
    <w:rsid w:val="00CA50C7"/>
    <w:rsid w:val="00CA56C3"/>
    <w:rsid w:val="00CB719B"/>
    <w:rsid w:val="00CC2185"/>
    <w:rsid w:val="00CC6730"/>
    <w:rsid w:val="00CD0A9C"/>
    <w:rsid w:val="00CD185F"/>
    <w:rsid w:val="00CD1D2B"/>
    <w:rsid w:val="00CD2D38"/>
    <w:rsid w:val="00CD2D46"/>
    <w:rsid w:val="00D017AA"/>
    <w:rsid w:val="00D0203F"/>
    <w:rsid w:val="00D10677"/>
    <w:rsid w:val="00D13B1A"/>
    <w:rsid w:val="00D25A01"/>
    <w:rsid w:val="00D2681C"/>
    <w:rsid w:val="00D273A9"/>
    <w:rsid w:val="00D3228D"/>
    <w:rsid w:val="00D4767F"/>
    <w:rsid w:val="00D519F6"/>
    <w:rsid w:val="00D53961"/>
    <w:rsid w:val="00D6020A"/>
    <w:rsid w:val="00D64278"/>
    <w:rsid w:val="00D65EF2"/>
    <w:rsid w:val="00D67430"/>
    <w:rsid w:val="00D701B4"/>
    <w:rsid w:val="00D744FB"/>
    <w:rsid w:val="00D74F3E"/>
    <w:rsid w:val="00D76932"/>
    <w:rsid w:val="00D80052"/>
    <w:rsid w:val="00D84CA8"/>
    <w:rsid w:val="00D92B5E"/>
    <w:rsid w:val="00D94541"/>
    <w:rsid w:val="00DA1F43"/>
    <w:rsid w:val="00DA5C97"/>
    <w:rsid w:val="00DC000C"/>
    <w:rsid w:val="00DC0042"/>
    <w:rsid w:val="00DC1C1C"/>
    <w:rsid w:val="00DC1E96"/>
    <w:rsid w:val="00DD1319"/>
    <w:rsid w:val="00DD1512"/>
    <w:rsid w:val="00DD314C"/>
    <w:rsid w:val="00DD4F0A"/>
    <w:rsid w:val="00DD5266"/>
    <w:rsid w:val="00DD59DD"/>
    <w:rsid w:val="00DE6B46"/>
    <w:rsid w:val="00DF336A"/>
    <w:rsid w:val="00DF3708"/>
    <w:rsid w:val="00E01182"/>
    <w:rsid w:val="00E03328"/>
    <w:rsid w:val="00E05D60"/>
    <w:rsid w:val="00E11D01"/>
    <w:rsid w:val="00E2315F"/>
    <w:rsid w:val="00E268C5"/>
    <w:rsid w:val="00E30CED"/>
    <w:rsid w:val="00E3133C"/>
    <w:rsid w:val="00E33FE9"/>
    <w:rsid w:val="00E40377"/>
    <w:rsid w:val="00E42925"/>
    <w:rsid w:val="00E4329D"/>
    <w:rsid w:val="00E517A5"/>
    <w:rsid w:val="00E51DC0"/>
    <w:rsid w:val="00E52516"/>
    <w:rsid w:val="00E527BF"/>
    <w:rsid w:val="00E62F8E"/>
    <w:rsid w:val="00E64EA4"/>
    <w:rsid w:val="00E72839"/>
    <w:rsid w:val="00E735B5"/>
    <w:rsid w:val="00E739E3"/>
    <w:rsid w:val="00E73EE5"/>
    <w:rsid w:val="00E767E3"/>
    <w:rsid w:val="00E76CCE"/>
    <w:rsid w:val="00E81F35"/>
    <w:rsid w:val="00E84334"/>
    <w:rsid w:val="00E87002"/>
    <w:rsid w:val="00E9124E"/>
    <w:rsid w:val="00E91363"/>
    <w:rsid w:val="00E93EB4"/>
    <w:rsid w:val="00E97D6A"/>
    <w:rsid w:val="00EA0D79"/>
    <w:rsid w:val="00EA45C6"/>
    <w:rsid w:val="00EA64A4"/>
    <w:rsid w:val="00EA66DD"/>
    <w:rsid w:val="00EB0E02"/>
    <w:rsid w:val="00EB1E13"/>
    <w:rsid w:val="00EC1270"/>
    <w:rsid w:val="00ED3ED9"/>
    <w:rsid w:val="00ED602E"/>
    <w:rsid w:val="00EE0959"/>
    <w:rsid w:val="00EF04A4"/>
    <w:rsid w:val="00EF07A2"/>
    <w:rsid w:val="00EF3853"/>
    <w:rsid w:val="00EF3FF8"/>
    <w:rsid w:val="00EF5C00"/>
    <w:rsid w:val="00F00E12"/>
    <w:rsid w:val="00F06598"/>
    <w:rsid w:val="00F10607"/>
    <w:rsid w:val="00F11DDF"/>
    <w:rsid w:val="00F1285D"/>
    <w:rsid w:val="00F420F5"/>
    <w:rsid w:val="00F4214C"/>
    <w:rsid w:val="00F53F5F"/>
    <w:rsid w:val="00F54104"/>
    <w:rsid w:val="00F572EF"/>
    <w:rsid w:val="00F65C95"/>
    <w:rsid w:val="00F6621E"/>
    <w:rsid w:val="00F66AB6"/>
    <w:rsid w:val="00F7479F"/>
    <w:rsid w:val="00F77DD3"/>
    <w:rsid w:val="00F80CA6"/>
    <w:rsid w:val="00F86963"/>
    <w:rsid w:val="00F912A8"/>
    <w:rsid w:val="00F91BB6"/>
    <w:rsid w:val="00F91C7C"/>
    <w:rsid w:val="00F92388"/>
    <w:rsid w:val="00F93034"/>
    <w:rsid w:val="00FB0CDB"/>
    <w:rsid w:val="00FB13D8"/>
    <w:rsid w:val="00FB6E15"/>
    <w:rsid w:val="00FC57F4"/>
    <w:rsid w:val="00FD3C94"/>
    <w:rsid w:val="00FD4C8F"/>
    <w:rsid w:val="00FD6BC4"/>
    <w:rsid w:val="00FE2882"/>
    <w:rsid w:val="00FF0482"/>
    <w:rsid w:val="00FF1B1D"/>
    <w:rsid w:val="00FF24B7"/>
    <w:rsid w:val="00FF3031"/>
    <w:rsid w:val="00FF74FB"/>
    <w:rsid w:val="00FF7959"/>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5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035"/>
    <w:rPr>
      <w:rFonts w:ascii="Tahoma" w:hAnsi="Tahoma" w:cs="Tahoma"/>
      <w:sz w:val="16"/>
      <w:szCs w:val="16"/>
    </w:rPr>
  </w:style>
  <w:style w:type="table" w:styleId="TableGrid">
    <w:name w:val="Table Grid"/>
    <w:basedOn w:val="TableNormal"/>
    <w:uiPriority w:val="59"/>
    <w:rsid w:val="00893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Chapter Numbering,IS-Heading II,Bullets,Table of contents numbered,footer text,List Paragraph1"/>
    <w:basedOn w:val="Normal"/>
    <w:link w:val="ListParagraphChar"/>
    <w:uiPriority w:val="34"/>
    <w:qFormat/>
    <w:rsid w:val="00F86963"/>
    <w:pPr>
      <w:ind w:left="720"/>
      <w:contextualSpacing/>
    </w:pPr>
  </w:style>
  <w:style w:type="character" w:customStyle="1" w:styleId="ListParagraphChar">
    <w:name w:val="List Paragraph Char"/>
    <w:aliases w:val="List Paragraph 1 Char,Chapter Numbering Char,IS-Heading II Char,Bullets Char,Table of contents numbered Char,footer text Char,List Paragraph1 Char"/>
    <w:basedOn w:val="DefaultParagraphFont"/>
    <w:link w:val="ListParagraph"/>
    <w:uiPriority w:val="34"/>
    <w:locked/>
    <w:rsid w:val="00F86963"/>
  </w:style>
  <w:style w:type="paragraph" w:customStyle="1" w:styleId="BodyText1">
    <w:name w:val="Body Text1"/>
    <w:basedOn w:val="NoSpacing"/>
    <w:link w:val="BodytextChar"/>
    <w:qFormat/>
    <w:rsid w:val="004668B8"/>
    <w:pPr>
      <w:spacing w:before="120" w:after="120"/>
    </w:pPr>
    <w:rPr>
      <w:rFonts w:ascii="Arial" w:eastAsiaTheme="minorEastAsia" w:hAnsi="Arial"/>
      <w:color w:val="97857B"/>
      <w:sz w:val="20"/>
      <w:lang w:val="en-US" w:eastAsia="en-ZA"/>
    </w:rPr>
  </w:style>
  <w:style w:type="character" w:customStyle="1" w:styleId="BodytextChar">
    <w:name w:val="Body text Char"/>
    <w:basedOn w:val="DefaultParagraphFont"/>
    <w:link w:val="BodyText1"/>
    <w:rsid w:val="004668B8"/>
    <w:rPr>
      <w:rFonts w:ascii="Arial" w:eastAsiaTheme="minorEastAsia" w:hAnsi="Arial"/>
      <w:color w:val="97857B"/>
      <w:sz w:val="20"/>
      <w:lang w:val="en-US" w:eastAsia="en-ZA"/>
    </w:rPr>
  </w:style>
  <w:style w:type="paragraph" w:styleId="NoSpacing">
    <w:name w:val="No Spacing"/>
    <w:uiPriority w:val="1"/>
    <w:qFormat/>
    <w:rsid w:val="004668B8"/>
    <w:pPr>
      <w:spacing w:after="0" w:line="240" w:lineRule="auto"/>
    </w:pPr>
  </w:style>
  <w:style w:type="paragraph" w:styleId="NormalWeb">
    <w:name w:val="Normal (Web)"/>
    <w:basedOn w:val="Normal"/>
    <w:uiPriority w:val="99"/>
    <w:rsid w:val="00A776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A77635"/>
    <w:rPr>
      <w:sz w:val="16"/>
      <w:szCs w:val="16"/>
    </w:rPr>
  </w:style>
  <w:style w:type="paragraph" w:styleId="CommentText">
    <w:name w:val="annotation text"/>
    <w:basedOn w:val="Normal"/>
    <w:link w:val="CommentTextChar"/>
    <w:uiPriority w:val="99"/>
    <w:semiHidden/>
    <w:unhideWhenUsed/>
    <w:rsid w:val="00A77635"/>
    <w:pPr>
      <w:spacing w:line="240" w:lineRule="auto"/>
    </w:pPr>
    <w:rPr>
      <w:sz w:val="20"/>
      <w:szCs w:val="20"/>
    </w:rPr>
  </w:style>
  <w:style w:type="character" w:customStyle="1" w:styleId="CommentTextChar">
    <w:name w:val="Comment Text Char"/>
    <w:basedOn w:val="DefaultParagraphFont"/>
    <w:link w:val="CommentText"/>
    <w:uiPriority w:val="99"/>
    <w:semiHidden/>
    <w:rsid w:val="00A77635"/>
    <w:rPr>
      <w:sz w:val="20"/>
      <w:szCs w:val="20"/>
    </w:rPr>
  </w:style>
  <w:style w:type="paragraph" w:styleId="CommentSubject">
    <w:name w:val="annotation subject"/>
    <w:basedOn w:val="CommentText"/>
    <w:next w:val="CommentText"/>
    <w:link w:val="CommentSubjectChar"/>
    <w:uiPriority w:val="99"/>
    <w:semiHidden/>
    <w:unhideWhenUsed/>
    <w:rsid w:val="00A77635"/>
    <w:rPr>
      <w:b/>
      <w:bCs/>
    </w:rPr>
  </w:style>
  <w:style w:type="character" w:customStyle="1" w:styleId="CommentSubjectChar">
    <w:name w:val="Comment Subject Char"/>
    <w:basedOn w:val="CommentTextChar"/>
    <w:link w:val="CommentSubject"/>
    <w:uiPriority w:val="99"/>
    <w:semiHidden/>
    <w:rsid w:val="00A77635"/>
    <w:rPr>
      <w:b/>
      <w:bCs/>
      <w:sz w:val="20"/>
      <w:szCs w:val="20"/>
    </w:rPr>
  </w:style>
  <w:style w:type="paragraph" w:customStyle="1" w:styleId="Default">
    <w:name w:val="Default"/>
    <w:uiPriority w:val="99"/>
    <w:rsid w:val="00E4037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534EA"/>
    <w:rPr>
      <w:color w:val="0000FF"/>
      <w:u w:val="single"/>
    </w:rPr>
  </w:style>
  <w:style w:type="paragraph" w:styleId="Header">
    <w:name w:val="header"/>
    <w:basedOn w:val="Normal"/>
    <w:link w:val="HeaderChar"/>
    <w:uiPriority w:val="99"/>
    <w:unhideWhenUsed/>
    <w:rsid w:val="00202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B86"/>
  </w:style>
  <w:style w:type="paragraph" w:styleId="Footer">
    <w:name w:val="footer"/>
    <w:basedOn w:val="Normal"/>
    <w:link w:val="FooterChar"/>
    <w:uiPriority w:val="99"/>
    <w:unhideWhenUsed/>
    <w:rsid w:val="00202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B86"/>
  </w:style>
  <w:style w:type="paragraph" w:customStyle="1" w:styleId="BodySingle">
    <w:name w:val="Body Single"/>
    <w:rsid w:val="007D706F"/>
    <w:pPr>
      <w:spacing w:after="0" w:line="240" w:lineRule="auto"/>
      <w:ind w:left="720"/>
      <w:jc w:val="both"/>
    </w:pPr>
    <w:rPr>
      <w:rFonts w:ascii="Arial" w:eastAsia="Times New Roman" w:hAnsi="Arial" w:cs="Times New Roman"/>
      <w:i/>
      <w:noProof/>
      <w:sz w:val="20"/>
      <w:szCs w:val="20"/>
      <w:lang w:val="en-US"/>
    </w:rPr>
  </w:style>
</w:styles>
</file>

<file path=word/webSettings.xml><?xml version="1.0" encoding="utf-8"?>
<w:webSettings xmlns:r="http://schemas.openxmlformats.org/officeDocument/2006/relationships" xmlns:w="http://schemas.openxmlformats.org/wordprocessingml/2006/main">
  <w:divs>
    <w:div w:id="102117297">
      <w:bodyDiv w:val="1"/>
      <w:marLeft w:val="0"/>
      <w:marRight w:val="0"/>
      <w:marTop w:val="0"/>
      <w:marBottom w:val="0"/>
      <w:divBdr>
        <w:top w:val="none" w:sz="0" w:space="0" w:color="auto"/>
        <w:left w:val="none" w:sz="0" w:space="0" w:color="auto"/>
        <w:bottom w:val="none" w:sz="0" w:space="0" w:color="auto"/>
        <w:right w:val="none" w:sz="0" w:space="0" w:color="auto"/>
      </w:divBdr>
    </w:div>
    <w:div w:id="222377127">
      <w:bodyDiv w:val="1"/>
      <w:marLeft w:val="0"/>
      <w:marRight w:val="0"/>
      <w:marTop w:val="0"/>
      <w:marBottom w:val="0"/>
      <w:divBdr>
        <w:top w:val="none" w:sz="0" w:space="0" w:color="auto"/>
        <w:left w:val="none" w:sz="0" w:space="0" w:color="auto"/>
        <w:bottom w:val="none" w:sz="0" w:space="0" w:color="auto"/>
        <w:right w:val="none" w:sz="0" w:space="0" w:color="auto"/>
      </w:divBdr>
    </w:div>
    <w:div w:id="253906251">
      <w:bodyDiv w:val="1"/>
      <w:marLeft w:val="0"/>
      <w:marRight w:val="0"/>
      <w:marTop w:val="0"/>
      <w:marBottom w:val="0"/>
      <w:divBdr>
        <w:top w:val="none" w:sz="0" w:space="0" w:color="auto"/>
        <w:left w:val="none" w:sz="0" w:space="0" w:color="auto"/>
        <w:bottom w:val="none" w:sz="0" w:space="0" w:color="auto"/>
        <w:right w:val="none" w:sz="0" w:space="0" w:color="auto"/>
      </w:divBdr>
    </w:div>
    <w:div w:id="467014240">
      <w:bodyDiv w:val="1"/>
      <w:marLeft w:val="0"/>
      <w:marRight w:val="0"/>
      <w:marTop w:val="0"/>
      <w:marBottom w:val="0"/>
      <w:divBdr>
        <w:top w:val="none" w:sz="0" w:space="0" w:color="auto"/>
        <w:left w:val="none" w:sz="0" w:space="0" w:color="auto"/>
        <w:bottom w:val="none" w:sz="0" w:space="0" w:color="auto"/>
        <w:right w:val="none" w:sz="0" w:space="0" w:color="auto"/>
      </w:divBdr>
    </w:div>
    <w:div w:id="497768172">
      <w:bodyDiv w:val="1"/>
      <w:marLeft w:val="0"/>
      <w:marRight w:val="0"/>
      <w:marTop w:val="0"/>
      <w:marBottom w:val="0"/>
      <w:divBdr>
        <w:top w:val="none" w:sz="0" w:space="0" w:color="auto"/>
        <w:left w:val="none" w:sz="0" w:space="0" w:color="auto"/>
        <w:bottom w:val="none" w:sz="0" w:space="0" w:color="auto"/>
        <w:right w:val="none" w:sz="0" w:space="0" w:color="auto"/>
      </w:divBdr>
    </w:div>
    <w:div w:id="590511566">
      <w:bodyDiv w:val="1"/>
      <w:marLeft w:val="0"/>
      <w:marRight w:val="0"/>
      <w:marTop w:val="0"/>
      <w:marBottom w:val="0"/>
      <w:divBdr>
        <w:top w:val="none" w:sz="0" w:space="0" w:color="auto"/>
        <w:left w:val="none" w:sz="0" w:space="0" w:color="auto"/>
        <w:bottom w:val="none" w:sz="0" w:space="0" w:color="auto"/>
        <w:right w:val="none" w:sz="0" w:space="0" w:color="auto"/>
      </w:divBdr>
    </w:div>
    <w:div w:id="767000464">
      <w:bodyDiv w:val="1"/>
      <w:marLeft w:val="0"/>
      <w:marRight w:val="0"/>
      <w:marTop w:val="0"/>
      <w:marBottom w:val="0"/>
      <w:divBdr>
        <w:top w:val="none" w:sz="0" w:space="0" w:color="auto"/>
        <w:left w:val="none" w:sz="0" w:space="0" w:color="auto"/>
        <w:bottom w:val="none" w:sz="0" w:space="0" w:color="auto"/>
        <w:right w:val="none" w:sz="0" w:space="0" w:color="auto"/>
      </w:divBdr>
      <w:divsChild>
        <w:div w:id="581379980">
          <w:marLeft w:val="547"/>
          <w:marRight w:val="0"/>
          <w:marTop w:val="0"/>
          <w:marBottom w:val="0"/>
          <w:divBdr>
            <w:top w:val="none" w:sz="0" w:space="0" w:color="auto"/>
            <w:left w:val="none" w:sz="0" w:space="0" w:color="auto"/>
            <w:bottom w:val="none" w:sz="0" w:space="0" w:color="auto"/>
            <w:right w:val="none" w:sz="0" w:space="0" w:color="auto"/>
          </w:divBdr>
        </w:div>
      </w:divsChild>
    </w:div>
    <w:div w:id="777871572">
      <w:bodyDiv w:val="1"/>
      <w:marLeft w:val="0"/>
      <w:marRight w:val="0"/>
      <w:marTop w:val="0"/>
      <w:marBottom w:val="0"/>
      <w:divBdr>
        <w:top w:val="none" w:sz="0" w:space="0" w:color="auto"/>
        <w:left w:val="none" w:sz="0" w:space="0" w:color="auto"/>
        <w:bottom w:val="none" w:sz="0" w:space="0" w:color="auto"/>
        <w:right w:val="none" w:sz="0" w:space="0" w:color="auto"/>
      </w:divBdr>
    </w:div>
    <w:div w:id="782073550">
      <w:bodyDiv w:val="1"/>
      <w:marLeft w:val="0"/>
      <w:marRight w:val="0"/>
      <w:marTop w:val="0"/>
      <w:marBottom w:val="0"/>
      <w:divBdr>
        <w:top w:val="none" w:sz="0" w:space="0" w:color="auto"/>
        <w:left w:val="none" w:sz="0" w:space="0" w:color="auto"/>
        <w:bottom w:val="none" w:sz="0" w:space="0" w:color="auto"/>
        <w:right w:val="none" w:sz="0" w:space="0" w:color="auto"/>
      </w:divBdr>
    </w:div>
    <w:div w:id="1063869181">
      <w:bodyDiv w:val="1"/>
      <w:marLeft w:val="0"/>
      <w:marRight w:val="0"/>
      <w:marTop w:val="0"/>
      <w:marBottom w:val="0"/>
      <w:divBdr>
        <w:top w:val="none" w:sz="0" w:space="0" w:color="auto"/>
        <w:left w:val="none" w:sz="0" w:space="0" w:color="auto"/>
        <w:bottom w:val="none" w:sz="0" w:space="0" w:color="auto"/>
        <w:right w:val="none" w:sz="0" w:space="0" w:color="auto"/>
      </w:divBdr>
    </w:div>
    <w:div w:id="1236357004">
      <w:bodyDiv w:val="1"/>
      <w:marLeft w:val="0"/>
      <w:marRight w:val="0"/>
      <w:marTop w:val="0"/>
      <w:marBottom w:val="0"/>
      <w:divBdr>
        <w:top w:val="none" w:sz="0" w:space="0" w:color="auto"/>
        <w:left w:val="none" w:sz="0" w:space="0" w:color="auto"/>
        <w:bottom w:val="none" w:sz="0" w:space="0" w:color="auto"/>
        <w:right w:val="none" w:sz="0" w:space="0" w:color="auto"/>
      </w:divBdr>
    </w:div>
    <w:div w:id="1774015175">
      <w:bodyDiv w:val="1"/>
      <w:marLeft w:val="0"/>
      <w:marRight w:val="0"/>
      <w:marTop w:val="0"/>
      <w:marBottom w:val="0"/>
      <w:divBdr>
        <w:top w:val="none" w:sz="0" w:space="0" w:color="auto"/>
        <w:left w:val="none" w:sz="0" w:space="0" w:color="auto"/>
        <w:bottom w:val="none" w:sz="0" w:space="0" w:color="auto"/>
        <w:right w:val="none" w:sz="0" w:space="0" w:color="auto"/>
      </w:divBdr>
    </w:div>
    <w:div w:id="1843351902">
      <w:bodyDiv w:val="1"/>
      <w:marLeft w:val="0"/>
      <w:marRight w:val="0"/>
      <w:marTop w:val="0"/>
      <w:marBottom w:val="0"/>
      <w:divBdr>
        <w:top w:val="none" w:sz="0" w:space="0" w:color="auto"/>
        <w:left w:val="none" w:sz="0" w:space="0" w:color="auto"/>
        <w:bottom w:val="none" w:sz="0" w:space="0" w:color="auto"/>
        <w:right w:val="none" w:sz="0" w:space="0" w:color="auto"/>
      </w:divBdr>
      <w:divsChild>
        <w:div w:id="109783415">
          <w:marLeft w:val="547"/>
          <w:marRight w:val="0"/>
          <w:marTop w:val="0"/>
          <w:marBottom w:val="0"/>
          <w:divBdr>
            <w:top w:val="none" w:sz="0" w:space="0" w:color="auto"/>
            <w:left w:val="none" w:sz="0" w:space="0" w:color="auto"/>
            <w:bottom w:val="none" w:sz="0" w:space="0" w:color="auto"/>
            <w:right w:val="none" w:sz="0" w:space="0" w:color="auto"/>
          </w:divBdr>
        </w:div>
        <w:div w:id="1613782829">
          <w:marLeft w:val="547"/>
          <w:marRight w:val="0"/>
          <w:marTop w:val="0"/>
          <w:marBottom w:val="0"/>
          <w:divBdr>
            <w:top w:val="none" w:sz="0" w:space="0" w:color="auto"/>
            <w:left w:val="none" w:sz="0" w:space="0" w:color="auto"/>
            <w:bottom w:val="none" w:sz="0" w:space="0" w:color="auto"/>
            <w:right w:val="none" w:sz="0" w:space="0" w:color="auto"/>
          </w:divBdr>
        </w:div>
      </w:divsChild>
    </w:div>
    <w:div w:id="1976330971">
      <w:bodyDiv w:val="1"/>
      <w:marLeft w:val="0"/>
      <w:marRight w:val="0"/>
      <w:marTop w:val="0"/>
      <w:marBottom w:val="0"/>
      <w:divBdr>
        <w:top w:val="none" w:sz="0" w:space="0" w:color="auto"/>
        <w:left w:val="none" w:sz="0" w:space="0" w:color="auto"/>
        <w:bottom w:val="none" w:sz="0" w:space="0" w:color="auto"/>
        <w:right w:val="none" w:sz="0" w:space="0" w:color="auto"/>
      </w:divBdr>
    </w:div>
    <w:div w:id="2003120623">
      <w:bodyDiv w:val="1"/>
      <w:marLeft w:val="0"/>
      <w:marRight w:val="0"/>
      <w:marTop w:val="0"/>
      <w:marBottom w:val="0"/>
      <w:divBdr>
        <w:top w:val="none" w:sz="0" w:space="0" w:color="auto"/>
        <w:left w:val="none" w:sz="0" w:space="0" w:color="auto"/>
        <w:bottom w:val="none" w:sz="0" w:space="0" w:color="auto"/>
        <w:right w:val="none" w:sz="0" w:space="0" w:color="auto"/>
      </w:divBdr>
    </w:div>
    <w:div w:id="2014455335">
      <w:bodyDiv w:val="1"/>
      <w:marLeft w:val="0"/>
      <w:marRight w:val="0"/>
      <w:marTop w:val="0"/>
      <w:marBottom w:val="0"/>
      <w:divBdr>
        <w:top w:val="none" w:sz="0" w:space="0" w:color="auto"/>
        <w:left w:val="none" w:sz="0" w:space="0" w:color="auto"/>
        <w:bottom w:val="none" w:sz="0" w:space="0" w:color="auto"/>
        <w:right w:val="none" w:sz="0" w:space="0" w:color="auto"/>
      </w:divBdr>
    </w:div>
    <w:div w:id="2029720168">
      <w:bodyDiv w:val="1"/>
      <w:marLeft w:val="0"/>
      <w:marRight w:val="0"/>
      <w:marTop w:val="0"/>
      <w:marBottom w:val="0"/>
      <w:divBdr>
        <w:top w:val="none" w:sz="0" w:space="0" w:color="auto"/>
        <w:left w:val="none" w:sz="0" w:space="0" w:color="auto"/>
        <w:bottom w:val="none" w:sz="0" w:space="0" w:color="auto"/>
        <w:right w:val="none" w:sz="0" w:space="0" w:color="auto"/>
      </w:divBdr>
      <w:divsChild>
        <w:div w:id="57289090">
          <w:marLeft w:val="994"/>
          <w:marRight w:val="0"/>
          <w:marTop w:val="0"/>
          <w:marBottom w:val="0"/>
          <w:divBdr>
            <w:top w:val="none" w:sz="0" w:space="0" w:color="auto"/>
            <w:left w:val="none" w:sz="0" w:space="0" w:color="auto"/>
            <w:bottom w:val="none" w:sz="0" w:space="0" w:color="auto"/>
            <w:right w:val="none" w:sz="0" w:space="0" w:color="auto"/>
          </w:divBdr>
        </w:div>
        <w:div w:id="1363165453">
          <w:marLeft w:val="994"/>
          <w:marRight w:val="0"/>
          <w:marTop w:val="0"/>
          <w:marBottom w:val="0"/>
          <w:divBdr>
            <w:top w:val="none" w:sz="0" w:space="0" w:color="auto"/>
            <w:left w:val="none" w:sz="0" w:space="0" w:color="auto"/>
            <w:bottom w:val="none" w:sz="0" w:space="0" w:color="auto"/>
            <w:right w:val="none" w:sz="0" w:space="0" w:color="auto"/>
          </w:divBdr>
        </w:div>
        <w:div w:id="495658111">
          <w:marLeft w:val="994"/>
          <w:marRight w:val="0"/>
          <w:marTop w:val="0"/>
          <w:marBottom w:val="0"/>
          <w:divBdr>
            <w:top w:val="none" w:sz="0" w:space="0" w:color="auto"/>
            <w:left w:val="none" w:sz="0" w:space="0" w:color="auto"/>
            <w:bottom w:val="none" w:sz="0" w:space="0" w:color="auto"/>
            <w:right w:val="none" w:sz="0" w:space="0" w:color="auto"/>
          </w:divBdr>
        </w:div>
        <w:div w:id="942227400">
          <w:marLeft w:val="994"/>
          <w:marRight w:val="0"/>
          <w:marTop w:val="0"/>
          <w:marBottom w:val="0"/>
          <w:divBdr>
            <w:top w:val="none" w:sz="0" w:space="0" w:color="auto"/>
            <w:left w:val="none" w:sz="0" w:space="0" w:color="auto"/>
            <w:bottom w:val="none" w:sz="0" w:space="0" w:color="auto"/>
            <w:right w:val="none" w:sz="0" w:space="0" w:color="auto"/>
          </w:divBdr>
        </w:div>
        <w:div w:id="148985975">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package" Target="embeddings/Microsoft_Office_PowerPoint_Slide1.sldx"/><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diagramData" Target="diagrams/data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Microsoft_Office_PowerPoint_Slide2.sldx"/><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diagramQuickStyle" Target="diagrams/quickStyle2.xml"/><Relationship Id="rId44"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8"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EF0F7-FCA9-4972-9C82-77C5A647B2C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358AF88E-6AC7-4601-A8E6-1D585E499D47}">
      <dgm:prSet phldrT="[Text]" custT="1"/>
      <dgm:spPr/>
      <dgm:t>
        <a:bodyPr/>
        <a:lstStyle/>
        <a:p>
          <a:r>
            <a:rPr lang="en-ZA" sz="1200" b="1" smtClean="0"/>
            <a:t>Status of key focus areas</a:t>
          </a:r>
          <a:endParaRPr lang="en-ZA" sz="1200" b="1" dirty="0"/>
        </a:p>
      </dgm:t>
    </dgm:pt>
    <dgm:pt modelId="{BB8BAB2D-73CC-4EC8-8FBC-E8FDC3F7F911}" type="parTrans" cxnId="{95C01F86-ED0E-436D-A98F-A020A26424EF}">
      <dgm:prSet/>
      <dgm:spPr/>
      <dgm:t>
        <a:bodyPr/>
        <a:lstStyle/>
        <a:p>
          <a:endParaRPr lang="en-ZA"/>
        </a:p>
      </dgm:t>
    </dgm:pt>
    <dgm:pt modelId="{64822B7C-C839-437C-82CF-00D8BAAD0949}" type="sibTrans" cxnId="{95C01F86-ED0E-436D-A98F-A020A26424EF}">
      <dgm:prSet/>
      <dgm:spPr/>
      <dgm:t>
        <a:bodyPr/>
        <a:lstStyle/>
        <a:p>
          <a:endParaRPr lang="en-ZA"/>
        </a:p>
      </dgm:t>
    </dgm:pt>
    <dgm:pt modelId="{A767F93A-7753-4F7C-BBB7-F177A1CD93AB}">
      <dgm:prSet phldrT="[Text]"/>
      <dgm:spPr>
        <a:solidFill>
          <a:srgbClr val="97E59E"/>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Oversight and monitoring</a:t>
          </a:r>
        </a:p>
        <a:p>
          <a:endParaRPr lang="en-ZA" b="1" dirty="0" smtClean="0">
            <a:latin typeface="Arial" panose="020B0604020202020204" pitchFamily="34" charset="0"/>
            <a:cs typeface="Arial" panose="020B0604020202020204" pitchFamily="34" charset="0"/>
          </a:endParaRPr>
        </a:p>
        <a:p>
          <a:endParaRPr lang="en-ZA" b="1" dirty="0">
            <a:latin typeface="Arial" panose="020B0604020202020204" pitchFamily="34" charset="0"/>
            <a:cs typeface="Arial" panose="020B0604020202020204" pitchFamily="34" charset="0"/>
          </a:endParaRPr>
        </a:p>
      </dgm:t>
    </dgm:pt>
    <dgm:pt modelId="{1E31EA40-AA61-4B6A-BD5E-A7478417E343}" type="parTrans" cxnId="{AC7B54DE-8621-4AF9-B25D-971940D0921A}">
      <dgm:prSet/>
      <dgm:spPr/>
      <dgm:t>
        <a:bodyPr/>
        <a:lstStyle/>
        <a:p>
          <a:endParaRPr lang="en-ZA"/>
        </a:p>
      </dgm:t>
    </dgm:pt>
    <dgm:pt modelId="{D4F0F9C6-DBD0-476B-AC5F-F47B45205D72}" type="sibTrans" cxnId="{AC7B54DE-8621-4AF9-B25D-971940D0921A}">
      <dgm:prSet/>
      <dgm:spPr/>
      <dgm:t>
        <a:bodyPr/>
        <a:lstStyle/>
        <a:p>
          <a:endParaRPr lang="en-ZA"/>
        </a:p>
      </dgm:t>
    </dgm:pt>
    <dgm:pt modelId="{5D83CF92-4765-4E5A-A796-4BA984B0A932}">
      <dgm:prSet phldrT="[Text]"/>
      <dgm:spPr>
        <a:solidFill>
          <a:srgbClr val="FFE697"/>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HR management</a:t>
          </a:r>
        </a:p>
        <a:p>
          <a:endParaRPr lang="en-ZA" b="1" dirty="0">
            <a:latin typeface="Arial" panose="020B0604020202020204" pitchFamily="34" charset="0"/>
            <a:cs typeface="Arial" panose="020B0604020202020204" pitchFamily="34" charset="0"/>
          </a:endParaRPr>
        </a:p>
      </dgm:t>
    </dgm:pt>
    <dgm:pt modelId="{CD433989-876C-4DFF-A93F-9D95B2BD9E9E}" type="parTrans" cxnId="{36686DA9-A7EE-4AA7-9EB6-ABD8D4F01DC3}">
      <dgm:prSet/>
      <dgm:spPr/>
      <dgm:t>
        <a:bodyPr/>
        <a:lstStyle/>
        <a:p>
          <a:endParaRPr lang="en-ZA"/>
        </a:p>
      </dgm:t>
    </dgm:pt>
    <dgm:pt modelId="{98C5BC76-7BFC-4671-8476-D90336443DF3}" type="sibTrans" cxnId="{36686DA9-A7EE-4AA7-9EB6-ABD8D4F01DC3}">
      <dgm:prSet/>
      <dgm:spPr/>
      <dgm:t>
        <a:bodyPr/>
        <a:lstStyle/>
        <a:p>
          <a:endParaRPr lang="en-ZA"/>
        </a:p>
      </dgm:t>
    </dgm:pt>
    <dgm:pt modelId="{FA6A1A76-7F66-4D64-9316-2C34A3C03C2D}">
      <dgm:prSet phldrT="[Text]"/>
      <dgm:spPr>
        <a:solidFill>
          <a:srgbClr val="97E59E"/>
        </a:solidFill>
      </dgm:spPr>
      <dgm:t>
        <a:bodyPr/>
        <a:lstStyle/>
        <a:p>
          <a:r>
            <a:rPr lang="en-ZA" b="1" dirty="0" smtClean="0">
              <a:latin typeface="Arial" panose="020B0604020202020204" pitchFamily="34" charset="0"/>
              <a:cs typeface="Arial" panose="020B0604020202020204" pitchFamily="34" charset="0"/>
            </a:rPr>
            <a:t>IT management</a:t>
          </a:r>
        </a:p>
        <a:p>
          <a:endParaRPr lang="en-ZA" b="1" dirty="0">
            <a:latin typeface="Arial" panose="020B0604020202020204" pitchFamily="34" charset="0"/>
            <a:cs typeface="Arial" panose="020B0604020202020204" pitchFamily="34" charset="0"/>
          </a:endParaRPr>
        </a:p>
      </dgm:t>
    </dgm:pt>
    <dgm:pt modelId="{EACC0CD4-1BC2-4E33-9EF7-325683EA8E5A}" type="parTrans" cxnId="{8E7E9F65-C579-4CAC-BC18-22768956B4F6}">
      <dgm:prSet/>
      <dgm:spPr/>
      <dgm:t>
        <a:bodyPr/>
        <a:lstStyle/>
        <a:p>
          <a:endParaRPr lang="en-ZA"/>
        </a:p>
      </dgm:t>
    </dgm:pt>
    <dgm:pt modelId="{E53D10CD-EECE-4147-A4E1-9BA7DE0C5237}" type="sibTrans" cxnId="{8E7E9F65-C579-4CAC-BC18-22768956B4F6}">
      <dgm:prSet/>
      <dgm:spPr/>
      <dgm:t>
        <a:bodyPr/>
        <a:lstStyle/>
        <a:p>
          <a:endParaRPr lang="en-ZA"/>
        </a:p>
      </dgm:t>
    </dgm:pt>
    <dgm:pt modelId="{39B8728B-CBA4-4471-9310-D3DC011E8CC7}">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Financial health</a:t>
          </a:r>
        </a:p>
        <a:p>
          <a:endParaRPr lang="en-ZA" b="1" dirty="0">
            <a:latin typeface="Arial" panose="020B0604020202020204" pitchFamily="34" charset="0"/>
            <a:cs typeface="Arial" panose="020B0604020202020204" pitchFamily="34" charset="0"/>
          </a:endParaRPr>
        </a:p>
      </dgm:t>
    </dgm:pt>
    <dgm:pt modelId="{6AC3D5CC-1E1D-43DA-A6EA-3903334152B5}" type="parTrans" cxnId="{0A8D55CC-6E88-43DF-BD37-C6062C4C2FC0}">
      <dgm:prSet/>
      <dgm:spPr/>
      <dgm:t>
        <a:bodyPr/>
        <a:lstStyle/>
        <a:p>
          <a:endParaRPr lang="en-ZA"/>
        </a:p>
      </dgm:t>
    </dgm:pt>
    <dgm:pt modelId="{AB451031-7E37-4C5D-BD65-8318FE3043D5}" type="sibTrans" cxnId="{0A8D55CC-6E88-43DF-BD37-C6062C4C2FC0}">
      <dgm:prSet/>
      <dgm:spPr/>
      <dgm:t>
        <a:bodyPr/>
        <a:lstStyle/>
        <a:p>
          <a:endParaRPr lang="en-ZA"/>
        </a:p>
      </dgm:t>
    </dgm:pt>
    <dgm:pt modelId="{4ACA83D6-990F-41AF-AE02-73394BB4325C}">
      <dgm:prSet custT="1"/>
      <dgm:spPr>
        <a:solidFill>
          <a:srgbClr val="97E59E"/>
        </a:solidFill>
      </dgm:spPr>
      <dgm:t>
        <a:bodyPr/>
        <a:lstStyle/>
        <a:p>
          <a:r>
            <a:rPr lang="en-ZA" sz="700" b="1" dirty="0" smtClean="0">
              <a:solidFill>
                <a:sysClr val="windowText" lastClr="000000"/>
              </a:solidFill>
              <a:latin typeface="Arial" panose="020B0604020202020204" pitchFamily="34" charset="0"/>
              <a:cs typeface="Arial" panose="020B0604020202020204" pitchFamily="34" charset="0"/>
            </a:rPr>
            <a:t>Financial management</a:t>
          </a:r>
        </a:p>
      </dgm:t>
    </dgm:pt>
    <dgm:pt modelId="{DB6C906E-8EC0-4A33-A08C-4DC0AC9AF275}" type="parTrans" cxnId="{AE610BEA-E929-4813-AE08-C0A01B2E3949}">
      <dgm:prSet/>
      <dgm:spPr/>
      <dgm:t>
        <a:bodyPr/>
        <a:lstStyle/>
        <a:p>
          <a:endParaRPr lang="en-ZA"/>
        </a:p>
      </dgm:t>
    </dgm:pt>
    <dgm:pt modelId="{CB18B3C4-AF8B-402C-BDC7-904AD0DAD520}" type="sibTrans" cxnId="{AE610BEA-E929-4813-AE08-C0A01B2E3949}">
      <dgm:prSet/>
      <dgm:spPr/>
      <dgm:t>
        <a:bodyPr/>
        <a:lstStyle/>
        <a:p>
          <a:endParaRPr lang="en-ZA"/>
        </a:p>
      </dgm:t>
    </dgm:pt>
    <dgm:pt modelId="{51A5EB52-1C10-499F-8254-6884AC528295}">
      <dgm:prSet/>
      <dgm:spPr>
        <a:solidFill>
          <a:srgbClr val="F9A1A1"/>
        </a:solidFill>
      </dgm:spPr>
      <dgm:t>
        <a:bodyPr/>
        <a:lstStyle/>
        <a:p>
          <a:r>
            <a:rPr lang="en-ZA" b="1" dirty="0" smtClean="0">
              <a:latin typeface="Arial" panose="020B0604020202020204" pitchFamily="34" charset="0"/>
              <a:cs typeface="Arial" panose="020B0604020202020204" pitchFamily="34" charset="0"/>
            </a:rPr>
            <a:t>Performance management   </a:t>
          </a:r>
        </a:p>
      </dgm:t>
    </dgm:pt>
    <dgm:pt modelId="{0B72B387-574C-44E9-84C3-10C1D7797627}" type="parTrans" cxnId="{95C726B1-54FA-46EE-949B-5AF912A869DD}">
      <dgm:prSet/>
      <dgm:spPr/>
      <dgm:t>
        <a:bodyPr/>
        <a:lstStyle/>
        <a:p>
          <a:endParaRPr lang="en-ZA"/>
        </a:p>
      </dgm:t>
    </dgm:pt>
    <dgm:pt modelId="{7BA5FA30-B733-4C8B-8098-725696DF94C0}" type="sibTrans" cxnId="{95C726B1-54FA-46EE-949B-5AF912A869DD}">
      <dgm:prSet/>
      <dgm:spPr/>
      <dgm:t>
        <a:bodyPr/>
        <a:lstStyle/>
        <a:p>
          <a:endParaRPr lang="en-ZA"/>
        </a:p>
      </dgm:t>
    </dgm:pt>
    <dgm:pt modelId="{062658AC-072A-46CB-9B74-5296C99B80CB}">
      <dgm:prSet/>
      <dgm:spPr>
        <a:solidFill>
          <a:srgbClr val="97E59E"/>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Compliance</a:t>
          </a:r>
          <a:r>
            <a:rPr lang="en-ZA" dirty="0" smtClean="0">
              <a:solidFill>
                <a:sysClr val="windowText" lastClr="000000"/>
              </a:solidFill>
            </a:rPr>
            <a:t> </a:t>
          </a:r>
          <a:r>
            <a:rPr lang="en-ZA" b="1" dirty="0" smtClean="0">
              <a:solidFill>
                <a:sysClr val="windowText" lastClr="000000"/>
              </a:solidFill>
              <a:latin typeface="Arial" panose="020B0604020202020204" pitchFamily="34" charset="0"/>
              <a:cs typeface="Arial" panose="020B0604020202020204" pitchFamily="34" charset="0"/>
            </a:rPr>
            <a:t>management</a:t>
          </a:r>
        </a:p>
        <a:p>
          <a:endParaRPr lang="en-ZA" b="1" dirty="0"/>
        </a:p>
      </dgm:t>
    </dgm:pt>
    <dgm:pt modelId="{CEF70822-8FA7-4D09-8E18-2C5B2905463D}" type="parTrans" cxnId="{71EE703C-5588-4F6D-8634-701588025522}">
      <dgm:prSet/>
      <dgm:spPr/>
      <dgm:t>
        <a:bodyPr/>
        <a:lstStyle/>
        <a:p>
          <a:endParaRPr lang="en-ZA"/>
        </a:p>
      </dgm:t>
    </dgm:pt>
    <dgm:pt modelId="{F6D6E848-6A5D-4164-B742-F00C510444FB}" type="sibTrans" cxnId="{71EE703C-5588-4F6D-8634-701588025522}">
      <dgm:prSet/>
      <dgm:spPr/>
      <dgm:t>
        <a:bodyPr/>
        <a:lstStyle/>
        <a:p>
          <a:endParaRPr lang="en-ZA"/>
        </a:p>
      </dgm:t>
    </dgm:pt>
    <dgm:pt modelId="{3FF0A174-CB8D-4BC1-A727-02F74D718005}">
      <dgm:prSet/>
      <dgm:spPr>
        <a:solidFill>
          <a:srgbClr val="97E59E"/>
        </a:solidFill>
      </dgm:spPr>
      <dgm:t>
        <a:bodyPr/>
        <a:lstStyle/>
        <a:p>
          <a:r>
            <a:rPr lang="en-ZA" b="1" dirty="0" smtClean="0">
              <a:latin typeface="Arial" panose="020B0604020202020204" pitchFamily="34" charset="0"/>
              <a:cs typeface="Arial" panose="020B0604020202020204" pitchFamily="34" charset="0"/>
            </a:rPr>
            <a:t>Procurement and contract management</a:t>
          </a:r>
        </a:p>
      </dgm:t>
    </dgm:pt>
    <dgm:pt modelId="{88A16D0E-1D5B-4990-88FD-FDADC2B1B2A0}" type="parTrans" cxnId="{0F308586-FF67-416C-8426-6D76D42C8BA3}">
      <dgm:prSet/>
      <dgm:spPr/>
      <dgm:t>
        <a:bodyPr/>
        <a:lstStyle/>
        <a:p>
          <a:endParaRPr lang="en-ZA"/>
        </a:p>
      </dgm:t>
    </dgm:pt>
    <dgm:pt modelId="{00D0CDE6-DF8C-4C8F-92DE-B66340C21A3C}" type="sibTrans" cxnId="{0F308586-FF67-416C-8426-6D76D42C8BA3}">
      <dgm:prSet/>
      <dgm:spPr/>
      <dgm:t>
        <a:bodyPr/>
        <a:lstStyle/>
        <a:p>
          <a:endParaRPr lang="en-ZA"/>
        </a:p>
      </dgm:t>
    </dgm:pt>
    <dgm:pt modelId="{CF1D573E-3B47-4ADA-ADDC-603E8AFE5FE3}" type="pres">
      <dgm:prSet presAssocID="{BE8EF0F7-FCA9-4972-9C82-77C5A647B2C7}" presName="composite" presStyleCnt="0">
        <dgm:presLayoutVars>
          <dgm:chMax val="1"/>
          <dgm:dir/>
          <dgm:resizeHandles val="exact"/>
        </dgm:presLayoutVars>
      </dgm:prSet>
      <dgm:spPr/>
      <dgm:t>
        <a:bodyPr/>
        <a:lstStyle/>
        <a:p>
          <a:endParaRPr lang="en-ZA"/>
        </a:p>
      </dgm:t>
    </dgm:pt>
    <dgm:pt modelId="{25311D49-B19E-4FF8-8EDA-3E28FB6E81F1}" type="pres">
      <dgm:prSet presAssocID="{BE8EF0F7-FCA9-4972-9C82-77C5A647B2C7}" presName="radial" presStyleCnt="0">
        <dgm:presLayoutVars>
          <dgm:animLvl val="ctr"/>
        </dgm:presLayoutVars>
      </dgm:prSet>
      <dgm:spPr/>
    </dgm:pt>
    <dgm:pt modelId="{6D23519B-EB5E-4C2A-81A7-8D6A0F72A02B}" type="pres">
      <dgm:prSet presAssocID="{358AF88E-6AC7-4601-A8E6-1D585E499D47}" presName="centerShape" presStyleLbl="vennNode1" presStyleIdx="0" presStyleCnt="9"/>
      <dgm:spPr>
        <a:prstGeom prst="hexagon">
          <a:avLst/>
        </a:prstGeom>
      </dgm:spPr>
      <dgm:t>
        <a:bodyPr/>
        <a:lstStyle/>
        <a:p>
          <a:endParaRPr lang="en-ZA"/>
        </a:p>
      </dgm:t>
    </dgm:pt>
    <dgm:pt modelId="{7AEADA36-D9F0-4AD4-A6B5-1B20D2EC5F49}" type="pres">
      <dgm:prSet presAssocID="{A767F93A-7753-4F7C-BBB7-F177A1CD93AB}" presName="node" presStyleLbl="vennNode1" presStyleIdx="1" presStyleCnt="9">
        <dgm:presLayoutVars>
          <dgm:bulletEnabled val="1"/>
        </dgm:presLayoutVars>
      </dgm:prSet>
      <dgm:spPr>
        <a:prstGeom prst="hexagon">
          <a:avLst/>
        </a:prstGeom>
      </dgm:spPr>
      <dgm:t>
        <a:bodyPr/>
        <a:lstStyle/>
        <a:p>
          <a:endParaRPr lang="en-ZA"/>
        </a:p>
      </dgm:t>
    </dgm:pt>
    <dgm:pt modelId="{E1ED5273-6D7D-4E68-BC91-481D0D31B8B2}" type="pres">
      <dgm:prSet presAssocID="{4ACA83D6-990F-41AF-AE02-73394BB4325C}" presName="node" presStyleLbl="vennNode1" presStyleIdx="2" presStyleCnt="9" custScaleX="109597">
        <dgm:presLayoutVars>
          <dgm:bulletEnabled val="1"/>
        </dgm:presLayoutVars>
      </dgm:prSet>
      <dgm:spPr>
        <a:prstGeom prst="hexagon">
          <a:avLst/>
        </a:prstGeom>
      </dgm:spPr>
      <dgm:t>
        <a:bodyPr/>
        <a:lstStyle/>
        <a:p>
          <a:endParaRPr lang="en-ZA"/>
        </a:p>
      </dgm:t>
    </dgm:pt>
    <dgm:pt modelId="{4C2DE700-E050-4F32-BA84-CF00ECA07B27}" type="pres">
      <dgm:prSet presAssocID="{51A5EB52-1C10-499F-8254-6884AC528295}" presName="node" presStyleLbl="vennNode1" presStyleIdx="3" presStyleCnt="9" custRadScaleRad="98784" custRadScaleInc="7052">
        <dgm:presLayoutVars>
          <dgm:bulletEnabled val="1"/>
        </dgm:presLayoutVars>
      </dgm:prSet>
      <dgm:spPr>
        <a:prstGeom prst="hexagon">
          <a:avLst/>
        </a:prstGeom>
      </dgm:spPr>
      <dgm:t>
        <a:bodyPr/>
        <a:lstStyle/>
        <a:p>
          <a:endParaRPr lang="en-ZA"/>
        </a:p>
      </dgm:t>
    </dgm:pt>
    <dgm:pt modelId="{D931D1C0-2042-4B05-9585-83F44BBCDBA8}" type="pres">
      <dgm:prSet presAssocID="{3FF0A174-CB8D-4BC1-A727-02F74D718005}" presName="node" presStyleLbl="vennNode1" presStyleIdx="4" presStyleCnt="9" custRadScaleRad="102973" custRadScaleInc="4782">
        <dgm:presLayoutVars>
          <dgm:bulletEnabled val="1"/>
        </dgm:presLayoutVars>
      </dgm:prSet>
      <dgm:spPr>
        <a:prstGeom prst="hexagon">
          <a:avLst/>
        </a:prstGeom>
      </dgm:spPr>
      <dgm:t>
        <a:bodyPr/>
        <a:lstStyle/>
        <a:p>
          <a:endParaRPr lang="en-ZA"/>
        </a:p>
      </dgm:t>
    </dgm:pt>
    <dgm:pt modelId="{FAC4EFBA-3E3E-43D7-84A4-3C9A7DCAADE5}" type="pres">
      <dgm:prSet presAssocID="{062658AC-072A-46CB-9B74-5296C99B80CB}" presName="node" presStyleLbl="vennNode1" presStyleIdx="5" presStyleCnt="9">
        <dgm:presLayoutVars>
          <dgm:bulletEnabled val="1"/>
        </dgm:presLayoutVars>
      </dgm:prSet>
      <dgm:spPr>
        <a:prstGeom prst="hexagon">
          <a:avLst/>
        </a:prstGeom>
      </dgm:spPr>
      <dgm:t>
        <a:bodyPr/>
        <a:lstStyle/>
        <a:p>
          <a:endParaRPr lang="en-ZA"/>
        </a:p>
      </dgm:t>
    </dgm:pt>
    <dgm:pt modelId="{821D502A-8A20-46F7-A297-C024107D4DB5}" type="pres">
      <dgm:prSet presAssocID="{5D83CF92-4765-4E5A-A796-4BA984B0A932}" presName="node" presStyleLbl="vennNode1" presStyleIdx="6" presStyleCnt="9">
        <dgm:presLayoutVars>
          <dgm:bulletEnabled val="1"/>
        </dgm:presLayoutVars>
      </dgm:prSet>
      <dgm:spPr>
        <a:prstGeom prst="hexagon">
          <a:avLst/>
        </a:prstGeom>
      </dgm:spPr>
      <dgm:t>
        <a:bodyPr/>
        <a:lstStyle/>
        <a:p>
          <a:endParaRPr lang="en-ZA"/>
        </a:p>
      </dgm:t>
    </dgm:pt>
    <dgm:pt modelId="{6EF46C30-7051-4BD5-83CC-18D9574991CD}" type="pres">
      <dgm:prSet presAssocID="{FA6A1A76-7F66-4D64-9316-2C34A3C03C2D}" presName="node" presStyleLbl="vennNode1" presStyleIdx="7" presStyleCnt="9">
        <dgm:presLayoutVars>
          <dgm:bulletEnabled val="1"/>
        </dgm:presLayoutVars>
      </dgm:prSet>
      <dgm:spPr>
        <a:prstGeom prst="hexagon">
          <a:avLst/>
        </a:prstGeom>
      </dgm:spPr>
      <dgm:t>
        <a:bodyPr/>
        <a:lstStyle/>
        <a:p>
          <a:endParaRPr lang="en-ZA"/>
        </a:p>
      </dgm:t>
    </dgm:pt>
    <dgm:pt modelId="{59FE528A-BB06-42D8-89B5-8133DCBCF2D6}" type="pres">
      <dgm:prSet presAssocID="{39B8728B-CBA4-4471-9310-D3DC011E8CC7}" presName="node" presStyleLbl="vennNode1" presStyleIdx="8" presStyleCnt="9">
        <dgm:presLayoutVars>
          <dgm:bulletEnabled val="1"/>
        </dgm:presLayoutVars>
      </dgm:prSet>
      <dgm:spPr>
        <a:prstGeom prst="hexagon">
          <a:avLst/>
        </a:prstGeom>
      </dgm:spPr>
      <dgm:t>
        <a:bodyPr/>
        <a:lstStyle/>
        <a:p>
          <a:endParaRPr lang="en-ZA"/>
        </a:p>
      </dgm:t>
    </dgm:pt>
  </dgm:ptLst>
  <dgm:cxnLst>
    <dgm:cxn modelId="{AC7B54DE-8621-4AF9-B25D-971940D0921A}" srcId="{358AF88E-6AC7-4601-A8E6-1D585E499D47}" destId="{A767F93A-7753-4F7C-BBB7-F177A1CD93AB}" srcOrd="0" destOrd="0" parTransId="{1E31EA40-AA61-4B6A-BD5E-A7478417E343}" sibTransId="{D4F0F9C6-DBD0-476B-AC5F-F47B45205D72}"/>
    <dgm:cxn modelId="{95C726B1-54FA-46EE-949B-5AF912A869DD}" srcId="{358AF88E-6AC7-4601-A8E6-1D585E499D47}" destId="{51A5EB52-1C10-499F-8254-6884AC528295}" srcOrd="2" destOrd="0" parTransId="{0B72B387-574C-44E9-84C3-10C1D7797627}" sibTransId="{7BA5FA30-B733-4C8B-8098-725696DF94C0}"/>
    <dgm:cxn modelId="{95C01F86-ED0E-436D-A98F-A020A26424EF}" srcId="{BE8EF0F7-FCA9-4972-9C82-77C5A647B2C7}" destId="{358AF88E-6AC7-4601-A8E6-1D585E499D47}" srcOrd="0" destOrd="0" parTransId="{BB8BAB2D-73CC-4EC8-8FBC-E8FDC3F7F911}" sibTransId="{64822B7C-C839-437C-82CF-00D8BAAD0949}"/>
    <dgm:cxn modelId="{71EE703C-5588-4F6D-8634-701588025522}" srcId="{358AF88E-6AC7-4601-A8E6-1D585E499D47}" destId="{062658AC-072A-46CB-9B74-5296C99B80CB}" srcOrd="4" destOrd="0" parTransId="{CEF70822-8FA7-4D09-8E18-2C5B2905463D}" sibTransId="{F6D6E848-6A5D-4164-B742-F00C510444FB}"/>
    <dgm:cxn modelId="{B387C9D6-45F6-424D-9661-777384A3EC3C}" type="presOf" srcId="{51A5EB52-1C10-499F-8254-6884AC528295}" destId="{4C2DE700-E050-4F32-BA84-CF00ECA07B27}" srcOrd="0" destOrd="0" presId="urn:microsoft.com/office/officeart/2005/8/layout/radial3"/>
    <dgm:cxn modelId="{5BA10F17-49CD-4890-AB29-0B40E3A1D444}" type="presOf" srcId="{A767F93A-7753-4F7C-BBB7-F177A1CD93AB}" destId="{7AEADA36-D9F0-4AD4-A6B5-1B20D2EC5F49}" srcOrd="0" destOrd="0" presId="urn:microsoft.com/office/officeart/2005/8/layout/radial3"/>
    <dgm:cxn modelId="{EA38CFA5-8876-4E7D-8E22-B4500A402C06}" type="presOf" srcId="{BE8EF0F7-FCA9-4972-9C82-77C5A647B2C7}" destId="{CF1D573E-3B47-4ADA-ADDC-603E8AFE5FE3}" srcOrd="0" destOrd="0" presId="urn:microsoft.com/office/officeart/2005/8/layout/radial3"/>
    <dgm:cxn modelId="{36686DA9-A7EE-4AA7-9EB6-ABD8D4F01DC3}" srcId="{358AF88E-6AC7-4601-A8E6-1D585E499D47}" destId="{5D83CF92-4765-4E5A-A796-4BA984B0A932}" srcOrd="5" destOrd="0" parTransId="{CD433989-876C-4DFF-A93F-9D95B2BD9E9E}" sibTransId="{98C5BC76-7BFC-4671-8476-D90336443DF3}"/>
    <dgm:cxn modelId="{35C1B0D2-01FE-4766-B02A-CDB069263819}" type="presOf" srcId="{FA6A1A76-7F66-4D64-9316-2C34A3C03C2D}" destId="{6EF46C30-7051-4BD5-83CC-18D9574991CD}" srcOrd="0" destOrd="0" presId="urn:microsoft.com/office/officeart/2005/8/layout/radial3"/>
    <dgm:cxn modelId="{0A8D55CC-6E88-43DF-BD37-C6062C4C2FC0}" srcId="{358AF88E-6AC7-4601-A8E6-1D585E499D47}" destId="{39B8728B-CBA4-4471-9310-D3DC011E8CC7}" srcOrd="7" destOrd="0" parTransId="{6AC3D5CC-1E1D-43DA-A6EA-3903334152B5}" sibTransId="{AB451031-7E37-4C5D-BD65-8318FE3043D5}"/>
    <dgm:cxn modelId="{0F308586-FF67-416C-8426-6D76D42C8BA3}" srcId="{358AF88E-6AC7-4601-A8E6-1D585E499D47}" destId="{3FF0A174-CB8D-4BC1-A727-02F74D718005}" srcOrd="3" destOrd="0" parTransId="{88A16D0E-1D5B-4990-88FD-FDADC2B1B2A0}" sibTransId="{00D0CDE6-DF8C-4C8F-92DE-B66340C21A3C}"/>
    <dgm:cxn modelId="{8340821F-47D9-4311-B659-CACBBDCFDD63}" type="presOf" srcId="{3FF0A174-CB8D-4BC1-A727-02F74D718005}" destId="{D931D1C0-2042-4B05-9585-83F44BBCDBA8}" srcOrd="0" destOrd="0" presId="urn:microsoft.com/office/officeart/2005/8/layout/radial3"/>
    <dgm:cxn modelId="{05259F6F-4383-4AFC-AC53-F236D25656D5}" type="presOf" srcId="{358AF88E-6AC7-4601-A8E6-1D585E499D47}" destId="{6D23519B-EB5E-4C2A-81A7-8D6A0F72A02B}" srcOrd="0" destOrd="0" presId="urn:microsoft.com/office/officeart/2005/8/layout/radial3"/>
    <dgm:cxn modelId="{4C8150C8-A221-4E61-A2D2-687A24B0F55D}" type="presOf" srcId="{062658AC-072A-46CB-9B74-5296C99B80CB}" destId="{FAC4EFBA-3E3E-43D7-84A4-3C9A7DCAADE5}" srcOrd="0" destOrd="0" presId="urn:microsoft.com/office/officeart/2005/8/layout/radial3"/>
    <dgm:cxn modelId="{05D73913-53A1-47FB-8191-85B1996E5BD7}" type="presOf" srcId="{4ACA83D6-990F-41AF-AE02-73394BB4325C}" destId="{E1ED5273-6D7D-4E68-BC91-481D0D31B8B2}" srcOrd="0" destOrd="0" presId="urn:microsoft.com/office/officeart/2005/8/layout/radial3"/>
    <dgm:cxn modelId="{85E0EA68-F390-46E2-A8A1-757015BC3C19}" type="presOf" srcId="{39B8728B-CBA4-4471-9310-D3DC011E8CC7}" destId="{59FE528A-BB06-42D8-89B5-8133DCBCF2D6}" srcOrd="0" destOrd="0" presId="urn:microsoft.com/office/officeart/2005/8/layout/radial3"/>
    <dgm:cxn modelId="{AE610BEA-E929-4813-AE08-C0A01B2E3949}" srcId="{358AF88E-6AC7-4601-A8E6-1D585E499D47}" destId="{4ACA83D6-990F-41AF-AE02-73394BB4325C}" srcOrd="1" destOrd="0" parTransId="{DB6C906E-8EC0-4A33-A08C-4DC0AC9AF275}" sibTransId="{CB18B3C4-AF8B-402C-BDC7-904AD0DAD520}"/>
    <dgm:cxn modelId="{B1C8C0AE-3703-438B-B3AB-F893180C85BE}" type="presOf" srcId="{5D83CF92-4765-4E5A-A796-4BA984B0A932}" destId="{821D502A-8A20-46F7-A297-C024107D4DB5}" srcOrd="0" destOrd="0" presId="urn:microsoft.com/office/officeart/2005/8/layout/radial3"/>
    <dgm:cxn modelId="{8E7E9F65-C579-4CAC-BC18-22768956B4F6}" srcId="{358AF88E-6AC7-4601-A8E6-1D585E499D47}" destId="{FA6A1A76-7F66-4D64-9316-2C34A3C03C2D}" srcOrd="6" destOrd="0" parTransId="{EACC0CD4-1BC2-4E33-9EF7-325683EA8E5A}" sibTransId="{E53D10CD-EECE-4147-A4E1-9BA7DE0C5237}"/>
    <dgm:cxn modelId="{9EE5D6D8-A2D3-429B-8DB6-E79005864BE5}" type="presParOf" srcId="{CF1D573E-3B47-4ADA-ADDC-603E8AFE5FE3}" destId="{25311D49-B19E-4FF8-8EDA-3E28FB6E81F1}" srcOrd="0" destOrd="0" presId="urn:microsoft.com/office/officeart/2005/8/layout/radial3"/>
    <dgm:cxn modelId="{132B1600-338B-4BEE-8BA7-8215B85D6B07}" type="presParOf" srcId="{25311D49-B19E-4FF8-8EDA-3E28FB6E81F1}" destId="{6D23519B-EB5E-4C2A-81A7-8D6A0F72A02B}" srcOrd="0" destOrd="0" presId="urn:microsoft.com/office/officeart/2005/8/layout/radial3"/>
    <dgm:cxn modelId="{D33AB8D8-646A-4C34-BA41-8CCAB9A92B85}" type="presParOf" srcId="{25311D49-B19E-4FF8-8EDA-3E28FB6E81F1}" destId="{7AEADA36-D9F0-4AD4-A6B5-1B20D2EC5F49}" srcOrd="1" destOrd="0" presId="urn:microsoft.com/office/officeart/2005/8/layout/radial3"/>
    <dgm:cxn modelId="{B908B91A-BA74-4069-8BAA-E0587EB0DDA7}" type="presParOf" srcId="{25311D49-B19E-4FF8-8EDA-3E28FB6E81F1}" destId="{E1ED5273-6D7D-4E68-BC91-481D0D31B8B2}" srcOrd="2" destOrd="0" presId="urn:microsoft.com/office/officeart/2005/8/layout/radial3"/>
    <dgm:cxn modelId="{C20DE98E-3F7C-4959-BFC5-0B38B52EA5BB}" type="presParOf" srcId="{25311D49-B19E-4FF8-8EDA-3E28FB6E81F1}" destId="{4C2DE700-E050-4F32-BA84-CF00ECA07B27}" srcOrd="3" destOrd="0" presId="urn:microsoft.com/office/officeart/2005/8/layout/radial3"/>
    <dgm:cxn modelId="{4B0845BF-9613-499A-A91B-881DD9CFD6B3}" type="presParOf" srcId="{25311D49-B19E-4FF8-8EDA-3E28FB6E81F1}" destId="{D931D1C0-2042-4B05-9585-83F44BBCDBA8}" srcOrd="4" destOrd="0" presId="urn:microsoft.com/office/officeart/2005/8/layout/radial3"/>
    <dgm:cxn modelId="{BA46F9A6-F0DB-43E3-8CFC-96BD937C34EB}" type="presParOf" srcId="{25311D49-B19E-4FF8-8EDA-3E28FB6E81F1}" destId="{FAC4EFBA-3E3E-43D7-84A4-3C9A7DCAADE5}" srcOrd="5" destOrd="0" presId="urn:microsoft.com/office/officeart/2005/8/layout/radial3"/>
    <dgm:cxn modelId="{09E2955B-C519-4A24-B113-19CA10AD378B}" type="presParOf" srcId="{25311D49-B19E-4FF8-8EDA-3E28FB6E81F1}" destId="{821D502A-8A20-46F7-A297-C024107D4DB5}" srcOrd="6" destOrd="0" presId="urn:microsoft.com/office/officeart/2005/8/layout/radial3"/>
    <dgm:cxn modelId="{0FDF4400-61F6-4A27-97D7-C24393E5E49D}" type="presParOf" srcId="{25311D49-B19E-4FF8-8EDA-3E28FB6E81F1}" destId="{6EF46C30-7051-4BD5-83CC-18D9574991CD}" srcOrd="7" destOrd="0" presId="urn:microsoft.com/office/officeart/2005/8/layout/radial3"/>
    <dgm:cxn modelId="{34EB03C8-E351-47DD-BF94-586B88CE86F0}" type="presParOf" srcId="{25311D49-B19E-4FF8-8EDA-3E28FB6E81F1}" destId="{59FE528A-BB06-42D8-89B5-8133DCBCF2D6}" srcOrd="8" destOrd="0" presId="urn:microsoft.com/office/officeart/2005/8/layout/radial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8EF0F7-FCA9-4972-9C82-77C5A647B2C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358AF88E-6AC7-4601-A8E6-1D585E499D47}">
      <dgm:prSet phldrT="[Text]" custT="1"/>
      <dgm:spPr/>
      <dgm:t>
        <a:bodyPr/>
        <a:lstStyle/>
        <a:p>
          <a:r>
            <a:rPr lang="en-ZA" sz="1200" b="1" smtClean="0"/>
            <a:t>Status of key focus areas</a:t>
          </a:r>
          <a:endParaRPr lang="en-ZA" sz="1200" b="1" dirty="0"/>
        </a:p>
      </dgm:t>
    </dgm:pt>
    <dgm:pt modelId="{BB8BAB2D-73CC-4EC8-8FBC-E8FDC3F7F911}" type="parTrans" cxnId="{95C01F86-ED0E-436D-A98F-A020A26424EF}">
      <dgm:prSet/>
      <dgm:spPr/>
      <dgm:t>
        <a:bodyPr/>
        <a:lstStyle/>
        <a:p>
          <a:endParaRPr lang="en-ZA"/>
        </a:p>
      </dgm:t>
    </dgm:pt>
    <dgm:pt modelId="{64822B7C-C839-437C-82CF-00D8BAAD0949}" type="sibTrans" cxnId="{95C01F86-ED0E-436D-A98F-A020A26424EF}">
      <dgm:prSet/>
      <dgm:spPr/>
      <dgm:t>
        <a:bodyPr/>
        <a:lstStyle/>
        <a:p>
          <a:endParaRPr lang="en-ZA"/>
        </a:p>
      </dgm:t>
    </dgm:pt>
    <dgm:pt modelId="{A767F93A-7753-4F7C-BBB7-F177A1CD93AB}">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Oversight and monitoring</a:t>
          </a:r>
        </a:p>
        <a:p>
          <a:endParaRPr lang="en-ZA" b="1" dirty="0" smtClean="0">
            <a:latin typeface="Arial" panose="020B0604020202020204" pitchFamily="34" charset="0"/>
            <a:cs typeface="Arial" panose="020B0604020202020204" pitchFamily="34" charset="0"/>
          </a:endParaRPr>
        </a:p>
        <a:p>
          <a:endParaRPr lang="en-ZA" b="1" dirty="0">
            <a:latin typeface="Arial" panose="020B0604020202020204" pitchFamily="34" charset="0"/>
            <a:cs typeface="Arial" panose="020B0604020202020204" pitchFamily="34" charset="0"/>
          </a:endParaRPr>
        </a:p>
      </dgm:t>
    </dgm:pt>
    <dgm:pt modelId="{1E31EA40-AA61-4B6A-BD5E-A7478417E343}" type="parTrans" cxnId="{AC7B54DE-8621-4AF9-B25D-971940D0921A}">
      <dgm:prSet/>
      <dgm:spPr/>
      <dgm:t>
        <a:bodyPr/>
        <a:lstStyle/>
        <a:p>
          <a:endParaRPr lang="en-ZA"/>
        </a:p>
      </dgm:t>
    </dgm:pt>
    <dgm:pt modelId="{D4F0F9C6-DBD0-476B-AC5F-F47B45205D72}" type="sibTrans" cxnId="{AC7B54DE-8621-4AF9-B25D-971940D0921A}">
      <dgm:prSet/>
      <dgm:spPr/>
      <dgm:t>
        <a:bodyPr/>
        <a:lstStyle/>
        <a:p>
          <a:endParaRPr lang="en-ZA"/>
        </a:p>
      </dgm:t>
    </dgm:pt>
    <dgm:pt modelId="{5D83CF92-4765-4E5A-A796-4BA984B0A932}">
      <dgm:prSet phldrT="[Text]"/>
      <dgm:spPr>
        <a:solidFill>
          <a:srgbClr val="FFE697"/>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HR management</a:t>
          </a:r>
        </a:p>
        <a:p>
          <a:endParaRPr lang="en-ZA" b="1" dirty="0">
            <a:latin typeface="Arial" panose="020B0604020202020204" pitchFamily="34" charset="0"/>
            <a:cs typeface="Arial" panose="020B0604020202020204" pitchFamily="34" charset="0"/>
          </a:endParaRPr>
        </a:p>
      </dgm:t>
    </dgm:pt>
    <dgm:pt modelId="{CD433989-876C-4DFF-A93F-9D95B2BD9E9E}" type="parTrans" cxnId="{36686DA9-A7EE-4AA7-9EB6-ABD8D4F01DC3}">
      <dgm:prSet/>
      <dgm:spPr/>
      <dgm:t>
        <a:bodyPr/>
        <a:lstStyle/>
        <a:p>
          <a:endParaRPr lang="en-ZA"/>
        </a:p>
      </dgm:t>
    </dgm:pt>
    <dgm:pt modelId="{98C5BC76-7BFC-4671-8476-D90336443DF3}" type="sibTrans" cxnId="{36686DA9-A7EE-4AA7-9EB6-ABD8D4F01DC3}">
      <dgm:prSet/>
      <dgm:spPr/>
      <dgm:t>
        <a:bodyPr/>
        <a:lstStyle/>
        <a:p>
          <a:endParaRPr lang="en-ZA"/>
        </a:p>
      </dgm:t>
    </dgm:pt>
    <dgm:pt modelId="{FA6A1A76-7F66-4D64-9316-2C34A3C03C2D}">
      <dgm:prSet phldrT="[Text]"/>
      <dgm:spPr>
        <a:solidFill>
          <a:srgbClr val="F9A1A1"/>
        </a:solidFill>
      </dgm:spPr>
      <dgm:t>
        <a:bodyPr/>
        <a:lstStyle/>
        <a:p>
          <a:r>
            <a:rPr lang="en-ZA" b="1" dirty="0" smtClean="0">
              <a:latin typeface="Arial" panose="020B0604020202020204" pitchFamily="34" charset="0"/>
              <a:cs typeface="Arial" panose="020B0604020202020204" pitchFamily="34" charset="0"/>
            </a:rPr>
            <a:t>IT management</a:t>
          </a:r>
        </a:p>
        <a:p>
          <a:endParaRPr lang="en-ZA" b="1" dirty="0">
            <a:latin typeface="Arial" panose="020B0604020202020204" pitchFamily="34" charset="0"/>
            <a:cs typeface="Arial" panose="020B0604020202020204" pitchFamily="34" charset="0"/>
          </a:endParaRPr>
        </a:p>
      </dgm:t>
    </dgm:pt>
    <dgm:pt modelId="{EACC0CD4-1BC2-4E33-9EF7-325683EA8E5A}" type="parTrans" cxnId="{8E7E9F65-C579-4CAC-BC18-22768956B4F6}">
      <dgm:prSet/>
      <dgm:spPr/>
      <dgm:t>
        <a:bodyPr/>
        <a:lstStyle/>
        <a:p>
          <a:endParaRPr lang="en-ZA"/>
        </a:p>
      </dgm:t>
    </dgm:pt>
    <dgm:pt modelId="{E53D10CD-EECE-4147-A4E1-9BA7DE0C5237}" type="sibTrans" cxnId="{8E7E9F65-C579-4CAC-BC18-22768956B4F6}">
      <dgm:prSet/>
      <dgm:spPr/>
      <dgm:t>
        <a:bodyPr/>
        <a:lstStyle/>
        <a:p>
          <a:endParaRPr lang="en-ZA"/>
        </a:p>
      </dgm:t>
    </dgm:pt>
    <dgm:pt modelId="{39B8728B-CBA4-4471-9310-D3DC011E8CC7}">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Financial health</a:t>
          </a:r>
        </a:p>
        <a:p>
          <a:endParaRPr lang="en-ZA" b="1" dirty="0">
            <a:latin typeface="Arial" panose="020B0604020202020204" pitchFamily="34" charset="0"/>
            <a:cs typeface="Arial" panose="020B0604020202020204" pitchFamily="34" charset="0"/>
          </a:endParaRPr>
        </a:p>
      </dgm:t>
    </dgm:pt>
    <dgm:pt modelId="{6AC3D5CC-1E1D-43DA-A6EA-3903334152B5}" type="parTrans" cxnId="{0A8D55CC-6E88-43DF-BD37-C6062C4C2FC0}">
      <dgm:prSet/>
      <dgm:spPr/>
      <dgm:t>
        <a:bodyPr/>
        <a:lstStyle/>
        <a:p>
          <a:endParaRPr lang="en-ZA"/>
        </a:p>
      </dgm:t>
    </dgm:pt>
    <dgm:pt modelId="{AB451031-7E37-4C5D-BD65-8318FE3043D5}" type="sibTrans" cxnId="{0A8D55CC-6E88-43DF-BD37-C6062C4C2FC0}">
      <dgm:prSet/>
      <dgm:spPr/>
      <dgm:t>
        <a:bodyPr/>
        <a:lstStyle/>
        <a:p>
          <a:endParaRPr lang="en-ZA"/>
        </a:p>
      </dgm:t>
    </dgm:pt>
    <dgm:pt modelId="{4ACA83D6-990F-41AF-AE02-73394BB4325C}">
      <dgm:prSet custT="1"/>
      <dgm:spPr>
        <a:solidFill>
          <a:srgbClr val="F9A1A1"/>
        </a:solidFill>
      </dgm:spPr>
      <dgm:t>
        <a:bodyPr/>
        <a:lstStyle/>
        <a:p>
          <a:r>
            <a:rPr lang="en-ZA" sz="700" b="1" dirty="0" smtClean="0">
              <a:solidFill>
                <a:sysClr val="windowText" lastClr="000000"/>
              </a:solidFill>
              <a:latin typeface="Arial" panose="020B0604020202020204" pitchFamily="34" charset="0"/>
              <a:cs typeface="Arial" panose="020B0604020202020204" pitchFamily="34" charset="0"/>
            </a:rPr>
            <a:t>Financial management</a:t>
          </a:r>
        </a:p>
      </dgm:t>
    </dgm:pt>
    <dgm:pt modelId="{DB6C906E-8EC0-4A33-A08C-4DC0AC9AF275}" type="parTrans" cxnId="{AE610BEA-E929-4813-AE08-C0A01B2E3949}">
      <dgm:prSet/>
      <dgm:spPr/>
      <dgm:t>
        <a:bodyPr/>
        <a:lstStyle/>
        <a:p>
          <a:endParaRPr lang="en-ZA"/>
        </a:p>
      </dgm:t>
    </dgm:pt>
    <dgm:pt modelId="{CB18B3C4-AF8B-402C-BDC7-904AD0DAD520}" type="sibTrans" cxnId="{AE610BEA-E929-4813-AE08-C0A01B2E3949}">
      <dgm:prSet/>
      <dgm:spPr/>
      <dgm:t>
        <a:bodyPr/>
        <a:lstStyle/>
        <a:p>
          <a:endParaRPr lang="en-ZA"/>
        </a:p>
      </dgm:t>
    </dgm:pt>
    <dgm:pt modelId="{062658AC-072A-46CB-9B74-5296C99B80CB}">
      <dgm:prSet/>
      <dgm:spPr>
        <a:solidFill>
          <a:srgbClr val="FFE697"/>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Compliance</a:t>
          </a:r>
          <a:r>
            <a:rPr lang="en-ZA" dirty="0" smtClean="0">
              <a:solidFill>
                <a:sysClr val="windowText" lastClr="000000"/>
              </a:solidFill>
            </a:rPr>
            <a:t> </a:t>
          </a:r>
          <a:r>
            <a:rPr lang="en-ZA" b="1" dirty="0" smtClean="0">
              <a:solidFill>
                <a:sysClr val="windowText" lastClr="000000"/>
              </a:solidFill>
              <a:latin typeface="Arial" panose="020B0604020202020204" pitchFamily="34" charset="0"/>
              <a:cs typeface="Arial" panose="020B0604020202020204" pitchFamily="34" charset="0"/>
            </a:rPr>
            <a:t>management</a:t>
          </a:r>
        </a:p>
        <a:p>
          <a:endParaRPr lang="en-ZA" b="1" dirty="0"/>
        </a:p>
      </dgm:t>
    </dgm:pt>
    <dgm:pt modelId="{CEF70822-8FA7-4D09-8E18-2C5B2905463D}" type="parTrans" cxnId="{71EE703C-5588-4F6D-8634-701588025522}">
      <dgm:prSet/>
      <dgm:spPr/>
      <dgm:t>
        <a:bodyPr/>
        <a:lstStyle/>
        <a:p>
          <a:endParaRPr lang="en-ZA"/>
        </a:p>
      </dgm:t>
    </dgm:pt>
    <dgm:pt modelId="{F6D6E848-6A5D-4164-B742-F00C510444FB}" type="sibTrans" cxnId="{71EE703C-5588-4F6D-8634-701588025522}">
      <dgm:prSet/>
      <dgm:spPr/>
      <dgm:t>
        <a:bodyPr/>
        <a:lstStyle/>
        <a:p>
          <a:endParaRPr lang="en-ZA"/>
        </a:p>
      </dgm:t>
    </dgm:pt>
    <dgm:pt modelId="{3FF0A174-CB8D-4BC1-A727-02F74D718005}">
      <dgm:prSet/>
      <dgm:spPr>
        <a:solidFill>
          <a:srgbClr val="FFE697"/>
        </a:solidFill>
      </dgm:spPr>
      <dgm:t>
        <a:bodyPr/>
        <a:lstStyle/>
        <a:p>
          <a:r>
            <a:rPr lang="en-ZA" b="1" dirty="0" smtClean="0">
              <a:latin typeface="Arial" panose="020B0604020202020204" pitchFamily="34" charset="0"/>
              <a:cs typeface="Arial" panose="020B0604020202020204" pitchFamily="34" charset="0"/>
            </a:rPr>
            <a:t>Procurement and contract management</a:t>
          </a:r>
        </a:p>
      </dgm:t>
    </dgm:pt>
    <dgm:pt modelId="{88A16D0E-1D5B-4990-88FD-FDADC2B1B2A0}" type="parTrans" cxnId="{0F308586-FF67-416C-8426-6D76D42C8BA3}">
      <dgm:prSet/>
      <dgm:spPr/>
      <dgm:t>
        <a:bodyPr/>
        <a:lstStyle/>
        <a:p>
          <a:endParaRPr lang="en-ZA"/>
        </a:p>
      </dgm:t>
    </dgm:pt>
    <dgm:pt modelId="{00D0CDE6-DF8C-4C8F-92DE-B66340C21A3C}" type="sibTrans" cxnId="{0F308586-FF67-416C-8426-6D76D42C8BA3}">
      <dgm:prSet/>
      <dgm:spPr/>
      <dgm:t>
        <a:bodyPr/>
        <a:lstStyle/>
        <a:p>
          <a:endParaRPr lang="en-ZA"/>
        </a:p>
      </dgm:t>
    </dgm:pt>
    <dgm:pt modelId="{51A5EB52-1C10-499F-8254-6884AC528295}">
      <dgm:prSet/>
      <dgm:spPr>
        <a:solidFill>
          <a:srgbClr val="FFE697"/>
        </a:solidFill>
      </dgm:spPr>
      <dgm:t>
        <a:bodyPr/>
        <a:lstStyle/>
        <a:p>
          <a:r>
            <a:rPr lang="en-ZA" b="1" dirty="0" smtClean="0">
              <a:latin typeface="Arial" panose="020B0604020202020204" pitchFamily="34" charset="0"/>
              <a:cs typeface="Arial" panose="020B0604020202020204" pitchFamily="34" charset="0"/>
            </a:rPr>
            <a:t>Performance management   </a:t>
          </a:r>
        </a:p>
      </dgm:t>
    </dgm:pt>
    <dgm:pt modelId="{7BA5FA30-B733-4C8B-8098-725696DF94C0}" type="sibTrans" cxnId="{95C726B1-54FA-46EE-949B-5AF912A869DD}">
      <dgm:prSet/>
      <dgm:spPr/>
      <dgm:t>
        <a:bodyPr/>
        <a:lstStyle/>
        <a:p>
          <a:endParaRPr lang="en-ZA"/>
        </a:p>
      </dgm:t>
    </dgm:pt>
    <dgm:pt modelId="{0B72B387-574C-44E9-84C3-10C1D7797627}" type="parTrans" cxnId="{95C726B1-54FA-46EE-949B-5AF912A869DD}">
      <dgm:prSet/>
      <dgm:spPr/>
      <dgm:t>
        <a:bodyPr/>
        <a:lstStyle/>
        <a:p>
          <a:endParaRPr lang="en-ZA"/>
        </a:p>
      </dgm:t>
    </dgm:pt>
    <dgm:pt modelId="{CF1D573E-3B47-4ADA-ADDC-603E8AFE5FE3}" type="pres">
      <dgm:prSet presAssocID="{BE8EF0F7-FCA9-4972-9C82-77C5A647B2C7}" presName="composite" presStyleCnt="0">
        <dgm:presLayoutVars>
          <dgm:chMax val="1"/>
          <dgm:dir/>
          <dgm:resizeHandles val="exact"/>
        </dgm:presLayoutVars>
      </dgm:prSet>
      <dgm:spPr/>
      <dgm:t>
        <a:bodyPr/>
        <a:lstStyle/>
        <a:p>
          <a:endParaRPr lang="en-ZA"/>
        </a:p>
      </dgm:t>
    </dgm:pt>
    <dgm:pt modelId="{25311D49-B19E-4FF8-8EDA-3E28FB6E81F1}" type="pres">
      <dgm:prSet presAssocID="{BE8EF0F7-FCA9-4972-9C82-77C5A647B2C7}" presName="radial" presStyleCnt="0">
        <dgm:presLayoutVars>
          <dgm:animLvl val="ctr"/>
        </dgm:presLayoutVars>
      </dgm:prSet>
      <dgm:spPr/>
    </dgm:pt>
    <dgm:pt modelId="{6D23519B-EB5E-4C2A-81A7-8D6A0F72A02B}" type="pres">
      <dgm:prSet presAssocID="{358AF88E-6AC7-4601-A8E6-1D585E499D47}" presName="centerShape" presStyleLbl="vennNode1" presStyleIdx="0" presStyleCnt="9"/>
      <dgm:spPr>
        <a:prstGeom prst="hexagon">
          <a:avLst/>
        </a:prstGeom>
      </dgm:spPr>
      <dgm:t>
        <a:bodyPr/>
        <a:lstStyle/>
        <a:p>
          <a:endParaRPr lang="en-ZA"/>
        </a:p>
      </dgm:t>
    </dgm:pt>
    <dgm:pt modelId="{7AEADA36-D9F0-4AD4-A6B5-1B20D2EC5F49}" type="pres">
      <dgm:prSet presAssocID="{A767F93A-7753-4F7C-BBB7-F177A1CD93AB}" presName="node" presStyleLbl="vennNode1" presStyleIdx="1" presStyleCnt="9">
        <dgm:presLayoutVars>
          <dgm:bulletEnabled val="1"/>
        </dgm:presLayoutVars>
      </dgm:prSet>
      <dgm:spPr>
        <a:prstGeom prst="hexagon">
          <a:avLst/>
        </a:prstGeom>
      </dgm:spPr>
      <dgm:t>
        <a:bodyPr/>
        <a:lstStyle/>
        <a:p>
          <a:endParaRPr lang="en-ZA"/>
        </a:p>
      </dgm:t>
    </dgm:pt>
    <dgm:pt modelId="{E1ED5273-6D7D-4E68-BC91-481D0D31B8B2}" type="pres">
      <dgm:prSet presAssocID="{4ACA83D6-990F-41AF-AE02-73394BB4325C}" presName="node" presStyleLbl="vennNode1" presStyleIdx="2" presStyleCnt="9" custScaleX="109597">
        <dgm:presLayoutVars>
          <dgm:bulletEnabled val="1"/>
        </dgm:presLayoutVars>
      </dgm:prSet>
      <dgm:spPr>
        <a:prstGeom prst="hexagon">
          <a:avLst/>
        </a:prstGeom>
      </dgm:spPr>
      <dgm:t>
        <a:bodyPr/>
        <a:lstStyle/>
        <a:p>
          <a:endParaRPr lang="en-ZA"/>
        </a:p>
      </dgm:t>
    </dgm:pt>
    <dgm:pt modelId="{4C2DE700-E050-4F32-BA84-CF00ECA07B27}" type="pres">
      <dgm:prSet presAssocID="{51A5EB52-1C10-499F-8254-6884AC528295}" presName="node" presStyleLbl="vennNode1" presStyleIdx="3" presStyleCnt="9" custRadScaleRad="98692" custRadScaleInc="4410">
        <dgm:presLayoutVars>
          <dgm:bulletEnabled val="1"/>
        </dgm:presLayoutVars>
      </dgm:prSet>
      <dgm:spPr>
        <a:prstGeom prst="hexagon">
          <a:avLst/>
        </a:prstGeom>
      </dgm:spPr>
      <dgm:t>
        <a:bodyPr/>
        <a:lstStyle/>
        <a:p>
          <a:endParaRPr lang="en-ZA"/>
        </a:p>
      </dgm:t>
    </dgm:pt>
    <dgm:pt modelId="{D931D1C0-2042-4B05-9585-83F44BBCDBA8}" type="pres">
      <dgm:prSet presAssocID="{3FF0A174-CB8D-4BC1-A727-02F74D718005}" presName="node" presStyleLbl="vennNode1" presStyleIdx="4" presStyleCnt="9" custRadScaleRad="102973" custRadScaleInc="4782">
        <dgm:presLayoutVars>
          <dgm:bulletEnabled val="1"/>
        </dgm:presLayoutVars>
      </dgm:prSet>
      <dgm:spPr>
        <a:prstGeom prst="hexagon">
          <a:avLst/>
        </a:prstGeom>
      </dgm:spPr>
      <dgm:t>
        <a:bodyPr/>
        <a:lstStyle/>
        <a:p>
          <a:endParaRPr lang="en-ZA"/>
        </a:p>
      </dgm:t>
    </dgm:pt>
    <dgm:pt modelId="{FAC4EFBA-3E3E-43D7-84A4-3C9A7DCAADE5}" type="pres">
      <dgm:prSet presAssocID="{062658AC-072A-46CB-9B74-5296C99B80CB}" presName="node" presStyleLbl="vennNode1" presStyleIdx="5" presStyleCnt="9">
        <dgm:presLayoutVars>
          <dgm:bulletEnabled val="1"/>
        </dgm:presLayoutVars>
      </dgm:prSet>
      <dgm:spPr>
        <a:prstGeom prst="hexagon">
          <a:avLst/>
        </a:prstGeom>
      </dgm:spPr>
      <dgm:t>
        <a:bodyPr/>
        <a:lstStyle/>
        <a:p>
          <a:endParaRPr lang="en-ZA"/>
        </a:p>
      </dgm:t>
    </dgm:pt>
    <dgm:pt modelId="{821D502A-8A20-46F7-A297-C024107D4DB5}" type="pres">
      <dgm:prSet presAssocID="{5D83CF92-4765-4E5A-A796-4BA984B0A932}" presName="node" presStyleLbl="vennNode1" presStyleIdx="6" presStyleCnt="9">
        <dgm:presLayoutVars>
          <dgm:bulletEnabled val="1"/>
        </dgm:presLayoutVars>
      </dgm:prSet>
      <dgm:spPr>
        <a:prstGeom prst="hexagon">
          <a:avLst/>
        </a:prstGeom>
      </dgm:spPr>
      <dgm:t>
        <a:bodyPr/>
        <a:lstStyle/>
        <a:p>
          <a:endParaRPr lang="en-ZA"/>
        </a:p>
      </dgm:t>
    </dgm:pt>
    <dgm:pt modelId="{6EF46C30-7051-4BD5-83CC-18D9574991CD}" type="pres">
      <dgm:prSet presAssocID="{FA6A1A76-7F66-4D64-9316-2C34A3C03C2D}" presName="node" presStyleLbl="vennNode1" presStyleIdx="7" presStyleCnt="9">
        <dgm:presLayoutVars>
          <dgm:bulletEnabled val="1"/>
        </dgm:presLayoutVars>
      </dgm:prSet>
      <dgm:spPr>
        <a:prstGeom prst="hexagon">
          <a:avLst/>
        </a:prstGeom>
      </dgm:spPr>
      <dgm:t>
        <a:bodyPr/>
        <a:lstStyle/>
        <a:p>
          <a:endParaRPr lang="en-ZA"/>
        </a:p>
      </dgm:t>
    </dgm:pt>
    <dgm:pt modelId="{59FE528A-BB06-42D8-89B5-8133DCBCF2D6}" type="pres">
      <dgm:prSet presAssocID="{39B8728B-CBA4-4471-9310-D3DC011E8CC7}" presName="node" presStyleLbl="vennNode1" presStyleIdx="8" presStyleCnt="9">
        <dgm:presLayoutVars>
          <dgm:bulletEnabled val="1"/>
        </dgm:presLayoutVars>
      </dgm:prSet>
      <dgm:spPr>
        <a:prstGeom prst="hexagon">
          <a:avLst/>
        </a:prstGeom>
      </dgm:spPr>
      <dgm:t>
        <a:bodyPr/>
        <a:lstStyle/>
        <a:p>
          <a:endParaRPr lang="en-ZA"/>
        </a:p>
      </dgm:t>
    </dgm:pt>
  </dgm:ptLst>
  <dgm:cxnLst>
    <dgm:cxn modelId="{B15BA6B8-BFBD-49B4-8572-3AA18373A91E}" type="presOf" srcId="{358AF88E-6AC7-4601-A8E6-1D585E499D47}" destId="{6D23519B-EB5E-4C2A-81A7-8D6A0F72A02B}" srcOrd="0" destOrd="0" presId="urn:microsoft.com/office/officeart/2005/8/layout/radial3"/>
    <dgm:cxn modelId="{D2D57F18-D42C-47D3-9CA1-79EE64191890}" type="presOf" srcId="{4ACA83D6-990F-41AF-AE02-73394BB4325C}" destId="{E1ED5273-6D7D-4E68-BC91-481D0D31B8B2}" srcOrd="0" destOrd="0" presId="urn:microsoft.com/office/officeart/2005/8/layout/radial3"/>
    <dgm:cxn modelId="{AC7B54DE-8621-4AF9-B25D-971940D0921A}" srcId="{358AF88E-6AC7-4601-A8E6-1D585E499D47}" destId="{A767F93A-7753-4F7C-BBB7-F177A1CD93AB}" srcOrd="0" destOrd="0" parTransId="{1E31EA40-AA61-4B6A-BD5E-A7478417E343}" sibTransId="{D4F0F9C6-DBD0-476B-AC5F-F47B45205D72}"/>
    <dgm:cxn modelId="{95C726B1-54FA-46EE-949B-5AF912A869DD}" srcId="{358AF88E-6AC7-4601-A8E6-1D585E499D47}" destId="{51A5EB52-1C10-499F-8254-6884AC528295}" srcOrd="2" destOrd="0" parTransId="{0B72B387-574C-44E9-84C3-10C1D7797627}" sibTransId="{7BA5FA30-B733-4C8B-8098-725696DF94C0}"/>
    <dgm:cxn modelId="{7ADE2D82-30B6-467C-A5EE-42F65D983781}" type="presOf" srcId="{A767F93A-7753-4F7C-BBB7-F177A1CD93AB}" destId="{7AEADA36-D9F0-4AD4-A6B5-1B20D2EC5F49}" srcOrd="0" destOrd="0" presId="urn:microsoft.com/office/officeart/2005/8/layout/radial3"/>
    <dgm:cxn modelId="{BD55BE23-D661-4DEE-8A40-C0556295CEFE}" type="presOf" srcId="{FA6A1A76-7F66-4D64-9316-2C34A3C03C2D}" destId="{6EF46C30-7051-4BD5-83CC-18D9574991CD}" srcOrd="0" destOrd="0" presId="urn:microsoft.com/office/officeart/2005/8/layout/radial3"/>
    <dgm:cxn modelId="{95C01F86-ED0E-436D-A98F-A020A26424EF}" srcId="{BE8EF0F7-FCA9-4972-9C82-77C5A647B2C7}" destId="{358AF88E-6AC7-4601-A8E6-1D585E499D47}" srcOrd="0" destOrd="0" parTransId="{BB8BAB2D-73CC-4EC8-8FBC-E8FDC3F7F911}" sibTransId="{64822B7C-C839-437C-82CF-00D8BAAD0949}"/>
    <dgm:cxn modelId="{2972EFCB-4721-40DE-BCAB-CA05F1669107}" type="presOf" srcId="{5D83CF92-4765-4E5A-A796-4BA984B0A932}" destId="{821D502A-8A20-46F7-A297-C024107D4DB5}" srcOrd="0" destOrd="0" presId="urn:microsoft.com/office/officeart/2005/8/layout/radial3"/>
    <dgm:cxn modelId="{71EE703C-5588-4F6D-8634-701588025522}" srcId="{358AF88E-6AC7-4601-A8E6-1D585E499D47}" destId="{062658AC-072A-46CB-9B74-5296C99B80CB}" srcOrd="4" destOrd="0" parTransId="{CEF70822-8FA7-4D09-8E18-2C5B2905463D}" sibTransId="{F6D6E848-6A5D-4164-B742-F00C510444FB}"/>
    <dgm:cxn modelId="{F58CF288-8838-4FC3-84F4-895B3862D205}" type="presOf" srcId="{51A5EB52-1C10-499F-8254-6884AC528295}" destId="{4C2DE700-E050-4F32-BA84-CF00ECA07B27}" srcOrd="0" destOrd="0" presId="urn:microsoft.com/office/officeart/2005/8/layout/radial3"/>
    <dgm:cxn modelId="{36686DA9-A7EE-4AA7-9EB6-ABD8D4F01DC3}" srcId="{358AF88E-6AC7-4601-A8E6-1D585E499D47}" destId="{5D83CF92-4765-4E5A-A796-4BA984B0A932}" srcOrd="5" destOrd="0" parTransId="{CD433989-876C-4DFF-A93F-9D95B2BD9E9E}" sibTransId="{98C5BC76-7BFC-4671-8476-D90336443DF3}"/>
    <dgm:cxn modelId="{E8B8891E-95CC-4FB7-BCD1-349A9610718E}" type="presOf" srcId="{BE8EF0F7-FCA9-4972-9C82-77C5A647B2C7}" destId="{CF1D573E-3B47-4ADA-ADDC-603E8AFE5FE3}" srcOrd="0" destOrd="0" presId="urn:microsoft.com/office/officeart/2005/8/layout/radial3"/>
    <dgm:cxn modelId="{0A8D55CC-6E88-43DF-BD37-C6062C4C2FC0}" srcId="{358AF88E-6AC7-4601-A8E6-1D585E499D47}" destId="{39B8728B-CBA4-4471-9310-D3DC011E8CC7}" srcOrd="7" destOrd="0" parTransId="{6AC3D5CC-1E1D-43DA-A6EA-3903334152B5}" sibTransId="{AB451031-7E37-4C5D-BD65-8318FE3043D5}"/>
    <dgm:cxn modelId="{F9C142BB-831F-4075-9F94-87332F931E7C}" type="presOf" srcId="{062658AC-072A-46CB-9B74-5296C99B80CB}" destId="{FAC4EFBA-3E3E-43D7-84A4-3C9A7DCAADE5}" srcOrd="0" destOrd="0" presId="urn:microsoft.com/office/officeart/2005/8/layout/radial3"/>
    <dgm:cxn modelId="{0F308586-FF67-416C-8426-6D76D42C8BA3}" srcId="{358AF88E-6AC7-4601-A8E6-1D585E499D47}" destId="{3FF0A174-CB8D-4BC1-A727-02F74D718005}" srcOrd="3" destOrd="0" parTransId="{88A16D0E-1D5B-4990-88FD-FDADC2B1B2A0}" sibTransId="{00D0CDE6-DF8C-4C8F-92DE-B66340C21A3C}"/>
    <dgm:cxn modelId="{C44A5DFB-EE40-49B7-95AF-66C5E3A7D9C7}" type="presOf" srcId="{3FF0A174-CB8D-4BC1-A727-02F74D718005}" destId="{D931D1C0-2042-4B05-9585-83F44BBCDBA8}" srcOrd="0" destOrd="0" presId="urn:microsoft.com/office/officeart/2005/8/layout/radial3"/>
    <dgm:cxn modelId="{AE610BEA-E929-4813-AE08-C0A01B2E3949}" srcId="{358AF88E-6AC7-4601-A8E6-1D585E499D47}" destId="{4ACA83D6-990F-41AF-AE02-73394BB4325C}" srcOrd="1" destOrd="0" parTransId="{DB6C906E-8EC0-4A33-A08C-4DC0AC9AF275}" sibTransId="{CB18B3C4-AF8B-402C-BDC7-904AD0DAD520}"/>
    <dgm:cxn modelId="{8E7E9F65-C579-4CAC-BC18-22768956B4F6}" srcId="{358AF88E-6AC7-4601-A8E6-1D585E499D47}" destId="{FA6A1A76-7F66-4D64-9316-2C34A3C03C2D}" srcOrd="6" destOrd="0" parTransId="{EACC0CD4-1BC2-4E33-9EF7-325683EA8E5A}" sibTransId="{E53D10CD-EECE-4147-A4E1-9BA7DE0C5237}"/>
    <dgm:cxn modelId="{12B95552-1209-4402-BBFD-7E2D890ED04B}" type="presOf" srcId="{39B8728B-CBA4-4471-9310-D3DC011E8CC7}" destId="{59FE528A-BB06-42D8-89B5-8133DCBCF2D6}" srcOrd="0" destOrd="0" presId="urn:microsoft.com/office/officeart/2005/8/layout/radial3"/>
    <dgm:cxn modelId="{8D16428A-BCA3-4D68-959E-F703EDF8945F}" type="presParOf" srcId="{CF1D573E-3B47-4ADA-ADDC-603E8AFE5FE3}" destId="{25311D49-B19E-4FF8-8EDA-3E28FB6E81F1}" srcOrd="0" destOrd="0" presId="urn:microsoft.com/office/officeart/2005/8/layout/radial3"/>
    <dgm:cxn modelId="{2AD35E85-E8B8-4286-B82A-32CDEACFA33D}" type="presParOf" srcId="{25311D49-B19E-4FF8-8EDA-3E28FB6E81F1}" destId="{6D23519B-EB5E-4C2A-81A7-8D6A0F72A02B}" srcOrd="0" destOrd="0" presId="urn:microsoft.com/office/officeart/2005/8/layout/radial3"/>
    <dgm:cxn modelId="{2EA21927-47FD-4DEF-B8B3-5D8E8D985D95}" type="presParOf" srcId="{25311D49-B19E-4FF8-8EDA-3E28FB6E81F1}" destId="{7AEADA36-D9F0-4AD4-A6B5-1B20D2EC5F49}" srcOrd="1" destOrd="0" presId="urn:microsoft.com/office/officeart/2005/8/layout/radial3"/>
    <dgm:cxn modelId="{578DD809-B53B-40DC-8782-81BAFB8B5BFD}" type="presParOf" srcId="{25311D49-B19E-4FF8-8EDA-3E28FB6E81F1}" destId="{E1ED5273-6D7D-4E68-BC91-481D0D31B8B2}" srcOrd="2" destOrd="0" presId="urn:microsoft.com/office/officeart/2005/8/layout/radial3"/>
    <dgm:cxn modelId="{5C3CFCD2-B7EC-4286-86B7-803D51C5F246}" type="presParOf" srcId="{25311D49-B19E-4FF8-8EDA-3E28FB6E81F1}" destId="{4C2DE700-E050-4F32-BA84-CF00ECA07B27}" srcOrd="3" destOrd="0" presId="urn:microsoft.com/office/officeart/2005/8/layout/radial3"/>
    <dgm:cxn modelId="{FB2DA3C9-6ADA-4C5E-9955-78D15C76A77A}" type="presParOf" srcId="{25311D49-B19E-4FF8-8EDA-3E28FB6E81F1}" destId="{D931D1C0-2042-4B05-9585-83F44BBCDBA8}" srcOrd="4" destOrd="0" presId="urn:microsoft.com/office/officeart/2005/8/layout/radial3"/>
    <dgm:cxn modelId="{E79E1974-1488-46D9-A4EF-748CFC3491F0}" type="presParOf" srcId="{25311D49-B19E-4FF8-8EDA-3E28FB6E81F1}" destId="{FAC4EFBA-3E3E-43D7-84A4-3C9A7DCAADE5}" srcOrd="5" destOrd="0" presId="urn:microsoft.com/office/officeart/2005/8/layout/radial3"/>
    <dgm:cxn modelId="{EBE5199F-86D0-4730-91E0-D440B40560EF}" type="presParOf" srcId="{25311D49-B19E-4FF8-8EDA-3E28FB6E81F1}" destId="{821D502A-8A20-46F7-A297-C024107D4DB5}" srcOrd="6" destOrd="0" presId="urn:microsoft.com/office/officeart/2005/8/layout/radial3"/>
    <dgm:cxn modelId="{01BA796D-95CD-4EAA-B509-AC8599F5F989}" type="presParOf" srcId="{25311D49-B19E-4FF8-8EDA-3E28FB6E81F1}" destId="{6EF46C30-7051-4BD5-83CC-18D9574991CD}" srcOrd="7" destOrd="0" presId="urn:microsoft.com/office/officeart/2005/8/layout/radial3"/>
    <dgm:cxn modelId="{89A64C8B-18E9-42DC-BC1A-AD1C7181F379}" type="presParOf" srcId="{25311D49-B19E-4FF8-8EDA-3E28FB6E81F1}" destId="{59FE528A-BB06-42D8-89B5-8133DCBCF2D6}" srcOrd="8" destOrd="0" presId="urn:microsoft.com/office/officeart/2005/8/layout/radial3"/>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8EF0F7-FCA9-4972-9C82-77C5A647B2C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358AF88E-6AC7-4601-A8E6-1D585E499D47}">
      <dgm:prSet phldrT="[Text]" custT="1"/>
      <dgm:spPr/>
      <dgm:t>
        <a:bodyPr/>
        <a:lstStyle/>
        <a:p>
          <a:r>
            <a:rPr lang="en-ZA" sz="1200" b="1" smtClean="0"/>
            <a:t>Status of key focus areas</a:t>
          </a:r>
          <a:endParaRPr lang="en-ZA" sz="1200" b="1" dirty="0"/>
        </a:p>
      </dgm:t>
    </dgm:pt>
    <dgm:pt modelId="{BB8BAB2D-73CC-4EC8-8FBC-E8FDC3F7F911}" type="parTrans" cxnId="{95C01F86-ED0E-436D-A98F-A020A26424EF}">
      <dgm:prSet/>
      <dgm:spPr/>
      <dgm:t>
        <a:bodyPr/>
        <a:lstStyle/>
        <a:p>
          <a:endParaRPr lang="en-ZA"/>
        </a:p>
      </dgm:t>
    </dgm:pt>
    <dgm:pt modelId="{64822B7C-C839-437C-82CF-00D8BAAD0949}" type="sibTrans" cxnId="{95C01F86-ED0E-436D-A98F-A020A26424EF}">
      <dgm:prSet/>
      <dgm:spPr/>
      <dgm:t>
        <a:bodyPr/>
        <a:lstStyle/>
        <a:p>
          <a:endParaRPr lang="en-ZA"/>
        </a:p>
      </dgm:t>
    </dgm:pt>
    <dgm:pt modelId="{A767F93A-7753-4F7C-BBB7-F177A1CD93AB}">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Oversight and monitoring</a:t>
          </a:r>
        </a:p>
        <a:p>
          <a:endParaRPr lang="en-ZA" b="1" dirty="0" smtClean="0">
            <a:latin typeface="Arial" panose="020B0604020202020204" pitchFamily="34" charset="0"/>
            <a:cs typeface="Arial" panose="020B0604020202020204" pitchFamily="34" charset="0"/>
          </a:endParaRPr>
        </a:p>
        <a:p>
          <a:endParaRPr lang="en-ZA" b="1" dirty="0">
            <a:latin typeface="Arial" panose="020B0604020202020204" pitchFamily="34" charset="0"/>
            <a:cs typeface="Arial" panose="020B0604020202020204" pitchFamily="34" charset="0"/>
          </a:endParaRPr>
        </a:p>
      </dgm:t>
    </dgm:pt>
    <dgm:pt modelId="{1E31EA40-AA61-4B6A-BD5E-A7478417E343}" type="parTrans" cxnId="{AC7B54DE-8621-4AF9-B25D-971940D0921A}">
      <dgm:prSet/>
      <dgm:spPr/>
      <dgm:t>
        <a:bodyPr/>
        <a:lstStyle/>
        <a:p>
          <a:endParaRPr lang="en-ZA"/>
        </a:p>
      </dgm:t>
    </dgm:pt>
    <dgm:pt modelId="{D4F0F9C6-DBD0-476B-AC5F-F47B45205D72}" type="sibTrans" cxnId="{AC7B54DE-8621-4AF9-B25D-971940D0921A}">
      <dgm:prSet/>
      <dgm:spPr/>
      <dgm:t>
        <a:bodyPr/>
        <a:lstStyle/>
        <a:p>
          <a:endParaRPr lang="en-ZA"/>
        </a:p>
      </dgm:t>
    </dgm:pt>
    <dgm:pt modelId="{5D83CF92-4765-4E5A-A796-4BA984B0A932}">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HR management</a:t>
          </a:r>
        </a:p>
        <a:p>
          <a:endParaRPr lang="en-ZA" b="1" dirty="0">
            <a:latin typeface="Arial" panose="020B0604020202020204" pitchFamily="34" charset="0"/>
            <a:cs typeface="Arial" panose="020B0604020202020204" pitchFamily="34" charset="0"/>
          </a:endParaRPr>
        </a:p>
      </dgm:t>
    </dgm:pt>
    <dgm:pt modelId="{CD433989-876C-4DFF-A93F-9D95B2BD9E9E}" type="parTrans" cxnId="{36686DA9-A7EE-4AA7-9EB6-ABD8D4F01DC3}">
      <dgm:prSet/>
      <dgm:spPr/>
      <dgm:t>
        <a:bodyPr/>
        <a:lstStyle/>
        <a:p>
          <a:endParaRPr lang="en-ZA"/>
        </a:p>
      </dgm:t>
    </dgm:pt>
    <dgm:pt modelId="{98C5BC76-7BFC-4671-8476-D90336443DF3}" type="sibTrans" cxnId="{36686DA9-A7EE-4AA7-9EB6-ABD8D4F01DC3}">
      <dgm:prSet/>
      <dgm:spPr/>
      <dgm:t>
        <a:bodyPr/>
        <a:lstStyle/>
        <a:p>
          <a:endParaRPr lang="en-ZA"/>
        </a:p>
      </dgm:t>
    </dgm:pt>
    <dgm:pt modelId="{FA6A1A76-7F66-4D64-9316-2C34A3C03C2D}">
      <dgm:prSet phldrT="[Text]"/>
      <dgm:spPr>
        <a:solidFill>
          <a:srgbClr val="FFE697"/>
        </a:solidFill>
      </dgm:spPr>
      <dgm:t>
        <a:bodyPr/>
        <a:lstStyle/>
        <a:p>
          <a:r>
            <a:rPr lang="en-ZA" b="1" dirty="0" smtClean="0">
              <a:latin typeface="Arial" panose="020B0604020202020204" pitchFamily="34" charset="0"/>
              <a:cs typeface="Arial" panose="020B0604020202020204" pitchFamily="34" charset="0"/>
            </a:rPr>
            <a:t>IT management</a:t>
          </a:r>
        </a:p>
        <a:p>
          <a:endParaRPr lang="en-ZA" b="1" dirty="0">
            <a:latin typeface="Arial" panose="020B0604020202020204" pitchFamily="34" charset="0"/>
            <a:cs typeface="Arial" panose="020B0604020202020204" pitchFamily="34" charset="0"/>
          </a:endParaRPr>
        </a:p>
      </dgm:t>
    </dgm:pt>
    <dgm:pt modelId="{EACC0CD4-1BC2-4E33-9EF7-325683EA8E5A}" type="parTrans" cxnId="{8E7E9F65-C579-4CAC-BC18-22768956B4F6}">
      <dgm:prSet/>
      <dgm:spPr/>
      <dgm:t>
        <a:bodyPr/>
        <a:lstStyle/>
        <a:p>
          <a:endParaRPr lang="en-ZA"/>
        </a:p>
      </dgm:t>
    </dgm:pt>
    <dgm:pt modelId="{E53D10CD-EECE-4147-A4E1-9BA7DE0C5237}" type="sibTrans" cxnId="{8E7E9F65-C579-4CAC-BC18-22768956B4F6}">
      <dgm:prSet/>
      <dgm:spPr/>
      <dgm:t>
        <a:bodyPr/>
        <a:lstStyle/>
        <a:p>
          <a:endParaRPr lang="en-ZA"/>
        </a:p>
      </dgm:t>
    </dgm:pt>
    <dgm:pt modelId="{39B8728B-CBA4-4471-9310-D3DC011E8CC7}">
      <dgm:prSet phldrT="[Tex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Financial health</a:t>
          </a:r>
        </a:p>
        <a:p>
          <a:endParaRPr lang="en-ZA" b="1" dirty="0">
            <a:latin typeface="Arial" panose="020B0604020202020204" pitchFamily="34" charset="0"/>
            <a:cs typeface="Arial" panose="020B0604020202020204" pitchFamily="34" charset="0"/>
          </a:endParaRPr>
        </a:p>
      </dgm:t>
    </dgm:pt>
    <dgm:pt modelId="{6AC3D5CC-1E1D-43DA-A6EA-3903334152B5}" type="parTrans" cxnId="{0A8D55CC-6E88-43DF-BD37-C6062C4C2FC0}">
      <dgm:prSet/>
      <dgm:spPr/>
      <dgm:t>
        <a:bodyPr/>
        <a:lstStyle/>
        <a:p>
          <a:endParaRPr lang="en-ZA"/>
        </a:p>
      </dgm:t>
    </dgm:pt>
    <dgm:pt modelId="{AB451031-7E37-4C5D-BD65-8318FE3043D5}" type="sibTrans" cxnId="{0A8D55CC-6E88-43DF-BD37-C6062C4C2FC0}">
      <dgm:prSet/>
      <dgm:spPr/>
      <dgm:t>
        <a:bodyPr/>
        <a:lstStyle/>
        <a:p>
          <a:endParaRPr lang="en-ZA"/>
        </a:p>
      </dgm:t>
    </dgm:pt>
    <dgm:pt modelId="{4ACA83D6-990F-41AF-AE02-73394BB4325C}">
      <dgm:prSet custT="1"/>
      <dgm:spPr>
        <a:solidFill>
          <a:srgbClr val="F9A1A1"/>
        </a:solidFill>
      </dgm:spPr>
      <dgm:t>
        <a:bodyPr/>
        <a:lstStyle/>
        <a:p>
          <a:r>
            <a:rPr lang="en-ZA" sz="700" b="1" dirty="0" smtClean="0">
              <a:solidFill>
                <a:sysClr val="windowText" lastClr="000000"/>
              </a:solidFill>
              <a:latin typeface="Arial" panose="020B0604020202020204" pitchFamily="34" charset="0"/>
              <a:cs typeface="Arial" panose="020B0604020202020204" pitchFamily="34" charset="0"/>
            </a:rPr>
            <a:t>Financial management</a:t>
          </a:r>
        </a:p>
      </dgm:t>
    </dgm:pt>
    <dgm:pt modelId="{DB6C906E-8EC0-4A33-A08C-4DC0AC9AF275}" type="parTrans" cxnId="{AE610BEA-E929-4813-AE08-C0A01B2E3949}">
      <dgm:prSet/>
      <dgm:spPr/>
      <dgm:t>
        <a:bodyPr/>
        <a:lstStyle/>
        <a:p>
          <a:endParaRPr lang="en-ZA"/>
        </a:p>
      </dgm:t>
    </dgm:pt>
    <dgm:pt modelId="{CB18B3C4-AF8B-402C-BDC7-904AD0DAD520}" type="sibTrans" cxnId="{AE610BEA-E929-4813-AE08-C0A01B2E3949}">
      <dgm:prSet/>
      <dgm:spPr/>
      <dgm:t>
        <a:bodyPr/>
        <a:lstStyle/>
        <a:p>
          <a:endParaRPr lang="en-ZA"/>
        </a:p>
      </dgm:t>
    </dgm:pt>
    <dgm:pt modelId="{062658AC-072A-46CB-9B74-5296C99B80CB}">
      <dgm:prSet/>
      <dgm:spPr>
        <a:solidFill>
          <a:srgbClr val="F9A1A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Compliance</a:t>
          </a:r>
          <a:r>
            <a:rPr lang="en-ZA" dirty="0" smtClean="0">
              <a:solidFill>
                <a:sysClr val="windowText" lastClr="000000"/>
              </a:solidFill>
            </a:rPr>
            <a:t> </a:t>
          </a:r>
          <a:r>
            <a:rPr lang="en-ZA" b="1" dirty="0" smtClean="0">
              <a:solidFill>
                <a:sysClr val="windowText" lastClr="000000"/>
              </a:solidFill>
              <a:latin typeface="Arial" panose="020B0604020202020204" pitchFamily="34" charset="0"/>
              <a:cs typeface="Arial" panose="020B0604020202020204" pitchFamily="34" charset="0"/>
            </a:rPr>
            <a:t>management</a:t>
          </a:r>
        </a:p>
        <a:p>
          <a:endParaRPr lang="en-ZA" b="1" dirty="0"/>
        </a:p>
      </dgm:t>
    </dgm:pt>
    <dgm:pt modelId="{CEF70822-8FA7-4D09-8E18-2C5B2905463D}" type="parTrans" cxnId="{71EE703C-5588-4F6D-8634-701588025522}">
      <dgm:prSet/>
      <dgm:spPr/>
      <dgm:t>
        <a:bodyPr/>
        <a:lstStyle/>
        <a:p>
          <a:endParaRPr lang="en-ZA"/>
        </a:p>
      </dgm:t>
    </dgm:pt>
    <dgm:pt modelId="{F6D6E848-6A5D-4164-B742-F00C510444FB}" type="sibTrans" cxnId="{71EE703C-5588-4F6D-8634-701588025522}">
      <dgm:prSet/>
      <dgm:spPr/>
      <dgm:t>
        <a:bodyPr/>
        <a:lstStyle/>
        <a:p>
          <a:endParaRPr lang="en-ZA"/>
        </a:p>
      </dgm:t>
    </dgm:pt>
    <dgm:pt modelId="{3FF0A174-CB8D-4BC1-A727-02F74D718005}">
      <dgm:prSet/>
      <dgm:spPr>
        <a:solidFill>
          <a:srgbClr val="F9A1A1"/>
        </a:solidFill>
      </dgm:spPr>
      <dgm:t>
        <a:bodyPr/>
        <a:lstStyle/>
        <a:p>
          <a:r>
            <a:rPr lang="en-ZA" b="1" dirty="0" smtClean="0">
              <a:latin typeface="Arial" panose="020B0604020202020204" pitchFamily="34" charset="0"/>
              <a:cs typeface="Arial" panose="020B0604020202020204" pitchFamily="34" charset="0"/>
            </a:rPr>
            <a:t>Procurement and contract management</a:t>
          </a:r>
        </a:p>
      </dgm:t>
    </dgm:pt>
    <dgm:pt modelId="{88A16D0E-1D5B-4990-88FD-FDADC2B1B2A0}" type="parTrans" cxnId="{0F308586-FF67-416C-8426-6D76D42C8BA3}">
      <dgm:prSet/>
      <dgm:spPr/>
      <dgm:t>
        <a:bodyPr/>
        <a:lstStyle/>
        <a:p>
          <a:endParaRPr lang="en-ZA"/>
        </a:p>
      </dgm:t>
    </dgm:pt>
    <dgm:pt modelId="{00D0CDE6-DF8C-4C8F-92DE-B66340C21A3C}" type="sibTrans" cxnId="{0F308586-FF67-416C-8426-6D76D42C8BA3}">
      <dgm:prSet/>
      <dgm:spPr/>
      <dgm:t>
        <a:bodyPr/>
        <a:lstStyle/>
        <a:p>
          <a:endParaRPr lang="en-ZA"/>
        </a:p>
      </dgm:t>
    </dgm:pt>
    <dgm:pt modelId="{51A5EB52-1C10-499F-8254-6884AC528295}">
      <dgm:prSet/>
      <dgm:spPr>
        <a:solidFill>
          <a:srgbClr val="F9A1A1"/>
        </a:solidFill>
      </dgm:spPr>
      <dgm:t>
        <a:bodyPr/>
        <a:lstStyle/>
        <a:p>
          <a:r>
            <a:rPr lang="en-ZA" b="1" dirty="0" smtClean="0">
              <a:latin typeface="Arial" panose="020B0604020202020204" pitchFamily="34" charset="0"/>
              <a:cs typeface="Arial" panose="020B0604020202020204" pitchFamily="34" charset="0"/>
            </a:rPr>
            <a:t>Performance management   </a:t>
          </a:r>
        </a:p>
      </dgm:t>
    </dgm:pt>
    <dgm:pt modelId="{7BA5FA30-B733-4C8B-8098-725696DF94C0}" type="sibTrans" cxnId="{95C726B1-54FA-46EE-949B-5AF912A869DD}">
      <dgm:prSet/>
      <dgm:spPr/>
      <dgm:t>
        <a:bodyPr/>
        <a:lstStyle/>
        <a:p>
          <a:endParaRPr lang="en-ZA"/>
        </a:p>
      </dgm:t>
    </dgm:pt>
    <dgm:pt modelId="{0B72B387-574C-44E9-84C3-10C1D7797627}" type="parTrans" cxnId="{95C726B1-54FA-46EE-949B-5AF912A869DD}">
      <dgm:prSet/>
      <dgm:spPr/>
      <dgm:t>
        <a:bodyPr/>
        <a:lstStyle/>
        <a:p>
          <a:endParaRPr lang="en-ZA"/>
        </a:p>
      </dgm:t>
    </dgm:pt>
    <dgm:pt modelId="{CF1D573E-3B47-4ADA-ADDC-603E8AFE5FE3}" type="pres">
      <dgm:prSet presAssocID="{BE8EF0F7-FCA9-4972-9C82-77C5A647B2C7}" presName="composite" presStyleCnt="0">
        <dgm:presLayoutVars>
          <dgm:chMax val="1"/>
          <dgm:dir/>
          <dgm:resizeHandles val="exact"/>
        </dgm:presLayoutVars>
      </dgm:prSet>
      <dgm:spPr/>
      <dgm:t>
        <a:bodyPr/>
        <a:lstStyle/>
        <a:p>
          <a:endParaRPr lang="en-ZA"/>
        </a:p>
      </dgm:t>
    </dgm:pt>
    <dgm:pt modelId="{25311D49-B19E-4FF8-8EDA-3E28FB6E81F1}" type="pres">
      <dgm:prSet presAssocID="{BE8EF0F7-FCA9-4972-9C82-77C5A647B2C7}" presName="radial" presStyleCnt="0">
        <dgm:presLayoutVars>
          <dgm:animLvl val="ctr"/>
        </dgm:presLayoutVars>
      </dgm:prSet>
      <dgm:spPr/>
    </dgm:pt>
    <dgm:pt modelId="{6D23519B-EB5E-4C2A-81A7-8D6A0F72A02B}" type="pres">
      <dgm:prSet presAssocID="{358AF88E-6AC7-4601-A8E6-1D585E499D47}" presName="centerShape" presStyleLbl="vennNode1" presStyleIdx="0" presStyleCnt="9"/>
      <dgm:spPr>
        <a:prstGeom prst="hexagon">
          <a:avLst/>
        </a:prstGeom>
      </dgm:spPr>
      <dgm:t>
        <a:bodyPr/>
        <a:lstStyle/>
        <a:p>
          <a:endParaRPr lang="en-ZA"/>
        </a:p>
      </dgm:t>
    </dgm:pt>
    <dgm:pt modelId="{7AEADA36-D9F0-4AD4-A6B5-1B20D2EC5F49}" type="pres">
      <dgm:prSet presAssocID="{A767F93A-7753-4F7C-BBB7-F177A1CD93AB}" presName="node" presStyleLbl="vennNode1" presStyleIdx="1" presStyleCnt="9">
        <dgm:presLayoutVars>
          <dgm:bulletEnabled val="1"/>
        </dgm:presLayoutVars>
      </dgm:prSet>
      <dgm:spPr>
        <a:prstGeom prst="hexagon">
          <a:avLst/>
        </a:prstGeom>
      </dgm:spPr>
      <dgm:t>
        <a:bodyPr/>
        <a:lstStyle/>
        <a:p>
          <a:endParaRPr lang="en-ZA"/>
        </a:p>
      </dgm:t>
    </dgm:pt>
    <dgm:pt modelId="{E1ED5273-6D7D-4E68-BC91-481D0D31B8B2}" type="pres">
      <dgm:prSet presAssocID="{4ACA83D6-990F-41AF-AE02-73394BB4325C}" presName="node" presStyleLbl="vennNode1" presStyleIdx="2" presStyleCnt="9" custScaleX="109597">
        <dgm:presLayoutVars>
          <dgm:bulletEnabled val="1"/>
        </dgm:presLayoutVars>
      </dgm:prSet>
      <dgm:spPr>
        <a:prstGeom prst="hexagon">
          <a:avLst/>
        </a:prstGeom>
      </dgm:spPr>
      <dgm:t>
        <a:bodyPr/>
        <a:lstStyle/>
        <a:p>
          <a:endParaRPr lang="en-ZA"/>
        </a:p>
      </dgm:t>
    </dgm:pt>
    <dgm:pt modelId="{4C2DE700-E050-4F32-BA84-CF00ECA07B27}" type="pres">
      <dgm:prSet presAssocID="{51A5EB52-1C10-499F-8254-6884AC528295}" presName="node" presStyleLbl="vennNode1" presStyleIdx="3" presStyleCnt="9" custRadScaleRad="98692" custRadScaleInc="4410">
        <dgm:presLayoutVars>
          <dgm:bulletEnabled val="1"/>
        </dgm:presLayoutVars>
      </dgm:prSet>
      <dgm:spPr>
        <a:prstGeom prst="hexagon">
          <a:avLst/>
        </a:prstGeom>
      </dgm:spPr>
      <dgm:t>
        <a:bodyPr/>
        <a:lstStyle/>
        <a:p>
          <a:endParaRPr lang="en-ZA"/>
        </a:p>
      </dgm:t>
    </dgm:pt>
    <dgm:pt modelId="{D931D1C0-2042-4B05-9585-83F44BBCDBA8}" type="pres">
      <dgm:prSet presAssocID="{3FF0A174-CB8D-4BC1-A727-02F74D718005}" presName="node" presStyleLbl="vennNode1" presStyleIdx="4" presStyleCnt="9" custRadScaleRad="102973" custRadScaleInc="4782">
        <dgm:presLayoutVars>
          <dgm:bulletEnabled val="1"/>
        </dgm:presLayoutVars>
      </dgm:prSet>
      <dgm:spPr>
        <a:prstGeom prst="hexagon">
          <a:avLst/>
        </a:prstGeom>
      </dgm:spPr>
      <dgm:t>
        <a:bodyPr/>
        <a:lstStyle/>
        <a:p>
          <a:endParaRPr lang="en-ZA"/>
        </a:p>
      </dgm:t>
    </dgm:pt>
    <dgm:pt modelId="{FAC4EFBA-3E3E-43D7-84A4-3C9A7DCAADE5}" type="pres">
      <dgm:prSet presAssocID="{062658AC-072A-46CB-9B74-5296C99B80CB}" presName="node" presStyleLbl="vennNode1" presStyleIdx="5" presStyleCnt="9">
        <dgm:presLayoutVars>
          <dgm:bulletEnabled val="1"/>
        </dgm:presLayoutVars>
      </dgm:prSet>
      <dgm:spPr>
        <a:prstGeom prst="hexagon">
          <a:avLst/>
        </a:prstGeom>
      </dgm:spPr>
      <dgm:t>
        <a:bodyPr/>
        <a:lstStyle/>
        <a:p>
          <a:endParaRPr lang="en-ZA"/>
        </a:p>
      </dgm:t>
    </dgm:pt>
    <dgm:pt modelId="{821D502A-8A20-46F7-A297-C024107D4DB5}" type="pres">
      <dgm:prSet presAssocID="{5D83CF92-4765-4E5A-A796-4BA984B0A932}" presName="node" presStyleLbl="vennNode1" presStyleIdx="6" presStyleCnt="9">
        <dgm:presLayoutVars>
          <dgm:bulletEnabled val="1"/>
        </dgm:presLayoutVars>
      </dgm:prSet>
      <dgm:spPr>
        <a:prstGeom prst="hexagon">
          <a:avLst/>
        </a:prstGeom>
      </dgm:spPr>
      <dgm:t>
        <a:bodyPr/>
        <a:lstStyle/>
        <a:p>
          <a:endParaRPr lang="en-ZA"/>
        </a:p>
      </dgm:t>
    </dgm:pt>
    <dgm:pt modelId="{6EF46C30-7051-4BD5-83CC-18D9574991CD}" type="pres">
      <dgm:prSet presAssocID="{FA6A1A76-7F66-4D64-9316-2C34A3C03C2D}" presName="node" presStyleLbl="vennNode1" presStyleIdx="7" presStyleCnt="9">
        <dgm:presLayoutVars>
          <dgm:bulletEnabled val="1"/>
        </dgm:presLayoutVars>
      </dgm:prSet>
      <dgm:spPr>
        <a:prstGeom prst="hexagon">
          <a:avLst/>
        </a:prstGeom>
      </dgm:spPr>
      <dgm:t>
        <a:bodyPr/>
        <a:lstStyle/>
        <a:p>
          <a:endParaRPr lang="en-ZA"/>
        </a:p>
      </dgm:t>
    </dgm:pt>
    <dgm:pt modelId="{59FE528A-BB06-42D8-89B5-8133DCBCF2D6}" type="pres">
      <dgm:prSet presAssocID="{39B8728B-CBA4-4471-9310-D3DC011E8CC7}" presName="node" presStyleLbl="vennNode1" presStyleIdx="8" presStyleCnt="9">
        <dgm:presLayoutVars>
          <dgm:bulletEnabled val="1"/>
        </dgm:presLayoutVars>
      </dgm:prSet>
      <dgm:spPr>
        <a:prstGeom prst="hexagon">
          <a:avLst/>
        </a:prstGeom>
      </dgm:spPr>
      <dgm:t>
        <a:bodyPr/>
        <a:lstStyle/>
        <a:p>
          <a:endParaRPr lang="en-ZA"/>
        </a:p>
      </dgm:t>
    </dgm:pt>
  </dgm:ptLst>
  <dgm:cxnLst>
    <dgm:cxn modelId="{71EE703C-5588-4F6D-8634-701588025522}" srcId="{358AF88E-6AC7-4601-A8E6-1D585E499D47}" destId="{062658AC-072A-46CB-9B74-5296C99B80CB}" srcOrd="4" destOrd="0" parTransId="{CEF70822-8FA7-4D09-8E18-2C5B2905463D}" sibTransId="{F6D6E848-6A5D-4164-B742-F00C510444FB}"/>
    <dgm:cxn modelId="{214CF92F-E7CA-4D22-83D2-2059D03E915D}" type="presOf" srcId="{358AF88E-6AC7-4601-A8E6-1D585E499D47}" destId="{6D23519B-EB5E-4C2A-81A7-8D6A0F72A02B}" srcOrd="0" destOrd="0" presId="urn:microsoft.com/office/officeart/2005/8/layout/radial3"/>
    <dgm:cxn modelId="{A736A1FA-2C47-4275-93E1-3BBDD18FA1CB}" type="presOf" srcId="{3FF0A174-CB8D-4BC1-A727-02F74D718005}" destId="{D931D1C0-2042-4B05-9585-83F44BBCDBA8}" srcOrd="0" destOrd="0" presId="urn:microsoft.com/office/officeart/2005/8/layout/radial3"/>
    <dgm:cxn modelId="{151A5DA5-1A0F-499F-AB8F-71C051CE37C2}" type="presOf" srcId="{39B8728B-CBA4-4471-9310-D3DC011E8CC7}" destId="{59FE528A-BB06-42D8-89B5-8133DCBCF2D6}" srcOrd="0" destOrd="0" presId="urn:microsoft.com/office/officeart/2005/8/layout/radial3"/>
    <dgm:cxn modelId="{8E7E9F65-C579-4CAC-BC18-22768956B4F6}" srcId="{358AF88E-6AC7-4601-A8E6-1D585E499D47}" destId="{FA6A1A76-7F66-4D64-9316-2C34A3C03C2D}" srcOrd="6" destOrd="0" parTransId="{EACC0CD4-1BC2-4E33-9EF7-325683EA8E5A}" sibTransId="{E53D10CD-EECE-4147-A4E1-9BA7DE0C5237}"/>
    <dgm:cxn modelId="{567050CE-A080-4D86-AB6B-EFD98093EE49}" type="presOf" srcId="{A767F93A-7753-4F7C-BBB7-F177A1CD93AB}" destId="{7AEADA36-D9F0-4AD4-A6B5-1B20D2EC5F49}" srcOrd="0" destOrd="0" presId="urn:microsoft.com/office/officeart/2005/8/layout/radial3"/>
    <dgm:cxn modelId="{3C991F14-037F-4F0B-93F4-A97554B5E6A0}" type="presOf" srcId="{062658AC-072A-46CB-9B74-5296C99B80CB}" destId="{FAC4EFBA-3E3E-43D7-84A4-3C9A7DCAADE5}" srcOrd="0" destOrd="0" presId="urn:microsoft.com/office/officeart/2005/8/layout/radial3"/>
    <dgm:cxn modelId="{01005CE8-6EC3-429A-82D6-ACA54E9BBC27}" type="presOf" srcId="{4ACA83D6-990F-41AF-AE02-73394BB4325C}" destId="{E1ED5273-6D7D-4E68-BC91-481D0D31B8B2}" srcOrd="0" destOrd="0" presId="urn:microsoft.com/office/officeart/2005/8/layout/radial3"/>
    <dgm:cxn modelId="{95C726B1-54FA-46EE-949B-5AF912A869DD}" srcId="{358AF88E-6AC7-4601-A8E6-1D585E499D47}" destId="{51A5EB52-1C10-499F-8254-6884AC528295}" srcOrd="2" destOrd="0" parTransId="{0B72B387-574C-44E9-84C3-10C1D7797627}" sibTransId="{7BA5FA30-B733-4C8B-8098-725696DF94C0}"/>
    <dgm:cxn modelId="{0F308586-FF67-416C-8426-6D76D42C8BA3}" srcId="{358AF88E-6AC7-4601-A8E6-1D585E499D47}" destId="{3FF0A174-CB8D-4BC1-A727-02F74D718005}" srcOrd="3" destOrd="0" parTransId="{88A16D0E-1D5B-4990-88FD-FDADC2B1B2A0}" sibTransId="{00D0CDE6-DF8C-4C8F-92DE-B66340C21A3C}"/>
    <dgm:cxn modelId="{AC7B54DE-8621-4AF9-B25D-971940D0921A}" srcId="{358AF88E-6AC7-4601-A8E6-1D585E499D47}" destId="{A767F93A-7753-4F7C-BBB7-F177A1CD93AB}" srcOrd="0" destOrd="0" parTransId="{1E31EA40-AA61-4B6A-BD5E-A7478417E343}" sibTransId="{D4F0F9C6-DBD0-476B-AC5F-F47B45205D72}"/>
    <dgm:cxn modelId="{36686DA9-A7EE-4AA7-9EB6-ABD8D4F01DC3}" srcId="{358AF88E-6AC7-4601-A8E6-1D585E499D47}" destId="{5D83CF92-4765-4E5A-A796-4BA984B0A932}" srcOrd="5" destOrd="0" parTransId="{CD433989-876C-4DFF-A93F-9D95B2BD9E9E}" sibTransId="{98C5BC76-7BFC-4671-8476-D90336443DF3}"/>
    <dgm:cxn modelId="{5C3EBAA5-9079-486A-ACE1-21E510492398}" type="presOf" srcId="{FA6A1A76-7F66-4D64-9316-2C34A3C03C2D}" destId="{6EF46C30-7051-4BD5-83CC-18D9574991CD}" srcOrd="0" destOrd="0" presId="urn:microsoft.com/office/officeart/2005/8/layout/radial3"/>
    <dgm:cxn modelId="{05CF7E94-8750-4E1E-BABA-A2CA991A0BDC}" type="presOf" srcId="{BE8EF0F7-FCA9-4972-9C82-77C5A647B2C7}" destId="{CF1D573E-3B47-4ADA-ADDC-603E8AFE5FE3}" srcOrd="0" destOrd="0" presId="urn:microsoft.com/office/officeart/2005/8/layout/radial3"/>
    <dgm:cxn modelId="{AE610BEA-E929-4813-AE08-C0A01B2E3949}" srcId="{358AF88E-6AC7-4601-A8E6-1D585E499D47}" destId="{4ACA83D6-990F-41AF-AE02-73394BB4325C}" srcOrd="1" destOrd="0" parTransId="{DB6C906E-8EC0-4A33-A08C-4DC0AC9AF275}" sibTransId="{CB18B3C4-AF8B-402C-BDC7-904AD0DAD520}"/>
    <dgm:cxn modelId="{0A8D55CC-6E88-43DF-BD37-C6062C4C2FC0}" srcId="{358AF88E-6AC7-4601-A8E6-1D585E499D47}" destId="{39B8728B-CBA4-4471-9310-D3DC011E8CC7}" srcOrd="7" destOrd="0" parTransId="{6AC3D5CC-1E1D-43DA-A6EA-3903334152B5}" sibTransId="{AB451031-7E37-4C5D-BD65-8318FE3043D5}"/>
    <dgm:cxn modelId="{E7B2EE17-6E3E-4A6F-8863-704E1CA293E7}" type="presOf" srcId="{5D83CF92-4765-4E5A-A796-4BA984B0A932}" destId="{821D502A-8A20-46F7-A297-C024107D4DB5}" srcOrd="0" destOrd="0" presId="urn:microsoft.com/office/officeart/2005/8/layout/radial3"/>
    <dgm:cxn modelId="{95C01F86-ED0E-436D-A98F-A020A26424EF}" srcId="{BE8EF0F7-FCA9-4972-9C82-77C5A647B2C7}" destId="{358AF88E-6AC7-4601-A8E6-1D585E499D47}" srcOrd="0" destOrd="0" parTransId="{BB8BAB2D-73CC-4EC8-8FBC-E8FDC3F7F911}" sibTransId="{64822B7C-C839-437C-82CF-00D8BAAD0949}"/>
    <dgm:cxn modelId="{F187F26A-4296-4E9E-8255-5EE810532F6F}" type="presOf" srcId="{51A5EB52-1C10-499F-8254-6884AC528295}" destId="{4C2DE700-E050-4F32-BA84-CF00ECA07B27}" srcOrd="0" destOrd="0" presId="urn:microsoft.com/office/officeart/2005/8/layout/radial3"/>
    <dgm:cxn modelId="{0B2492DA-A10F-415D-80AD-1CF73C192429}" type="presParOf" srcId="{CF1D573E-3B47-4ADA-ADDC-603E8AFE5FE3}" destId="{25311D49-B19E-4FF8-8EDA-3E28FB6E81F1}" srcOrd="0" destOrd="0" presId="urn:microsoft.com/office/officeart/2005/8/layout/radial3"/>
    <dgm:cxn modelId="{E928DB6D-9D11-4B32-A185-4E08426F5151}" type="presParOf" srcId="{25311D49-B19E-4FF8-8EDA-3E28FB6E81F1}" destId="{6D23519B-EB5E-4C2A-81A7-8D6A0F72A02B}" srcOrd="0" destOrd="0" presId="urn:microsoft.com/office/officeart/2005/8/layout/radial3"/>
    <dgm:cxn modelId="{D2404F19-2FE0-40E0-A569-F3E05762EE08}" type="presParOf" srcId="{25311D49-B19E-4FF8-8EDA-3E28FB6E81F1}" destId="{7AEADA36-D9F0-4AD4-A6B5-1B20D2EC5F49}" srcOrd="1" destOrd="0" presId="urn:microsoft.com/office/officeart/2005/8/layout/radial3"/>
    <dgm:cxn modelId="{54255DB5-54E7-4F71-93F1-EA5780839003}" type="presParOf" srcId="{25311D49-B19E-4FF8-8EDA-3E28FB6E81F1}" destId="{E1ED5273-6D7D-4E68-BC91-481D0D31B8B2}" srcOrd="2" destOrd="0" presId="urn:microsoft.com/office/officeart/2005/8/layout/radial3"/>
    <dgm:cxn modelId="{A524F4C1-D128-4DF6-949F-53B4AF0A6860}" type="presParOf" srcId="{25311D49-B19E-4FF8-8EDA-3E28FB6E81F1}" destId="{4C2DE700-E050-4F32-BA84-CF00ECA07B27}" srcOrd="3" destOrd="0" presId="urn:microsoft.com/office/officeart/2005/8/layout/radial3"/>
    <dgm:cxn modelId="{4EA74E47-D88E-4636-81BB-559743E88B86}" type="presParOf" srcId="{25311D49-B19E-4FF8-8EDA-3E28FB6E81F1}" destId="{D931D1C0-2042-4B05-9585-83F44BBCDBA8}" srcOrd="4" destOrd="0" presId="urn:microsoft.com/office/officeart/2005/8/layout/radial3"/>
    <dgm:cxn modelId="{2897562F-F827-43A4-96B5-5529E0175600}" type="presParOf" srcId="{25311D49-B19E-4FF8-8EDA-3E28FB6E81F1}" destId="{FAC4EFBA-3E3E-43D7-84A4-3C9A7DCAADE5}" srcOrd="5" destOrd="0" presId="urn:microsoft.com/office/officeart/2005/8/layout/radial3"/>
    <dgm:cxn modelId="{04F82FCA-A3B3-4882-A6ED-2FAB6E271EC3}" type="presParOf" srcId="{25311D49-B19E-4FF8-8EDA-3E28FB6E81F1}" destId="{821D502A-8A20-46F7-A297-C024107D4DB5}" srcOrd="6" destOrd="0" presId="urn:microsoft.com/office/officeart/2005/8/layout/radial3"/>
    <dgm:cxn modelId="{2469CE6A-6D80-4687-9BEE-F63778C736B1}" type="presParOf" srcId="{25311D49-B19E-4FF8-8EDA-3E28FB6E81F1}" destId="{6EF46C30-7051-4BD5-83CC-18D9574991CD}" srcOrd="7" destOrd="0" presId="urn:microsoft.com/office/officeart/2005/8/layout/radial3"/>
    <dgm:cxn modelId="{64F17711-FCE4-4CCF-A2DA-6AFC0D04766E}" type="presParOf" srcId="{25311D49-B19E-4FF8-8EDA-3E28FB6E81F1}" destId="{59FE528A-BB06-42D8-89B5-8133DCBCF2D6}" srcOrd="8" destOrd="0" presId="urn:microsoft.com/office/officeart/2005/8/layout/radial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8EF0F7-FCA9-4972-9C82-77C5A647B2C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358AF88E-6AC7-4601-A8E6-1D585E499D47}">
      <dgm:prSet phldrT="[Text]" custT="1"/>
      <dgm:spPr/>
      <dgm:t>
        <a:bodyPr/>
        <a:lstStyle/>
        <a:p>
          <a:r>
            <a:rPr lang="en-ZA" sz="1200" b="1" smtClean="0"/>
            <a:t>Status of key focus areas</a:t>
          </a:r>
          <a:endParaRPr lang="en-ZA" sz="1200" b="1" dirty="0"/>
        </a:p>
      </dgm:t>
    </dgm:pt>
    <dgm:pt modelId="{BB8BAB2D-73CC-4EC8-8FBC-E8FDC3F7F911}" type="parTrans" cxnId="{95C01F86-ED0E-436D-A98F-A020A26424EF}">
      <dgm:prSet/>
      <dgm:spPr/>
      <dgm:t>
        <a:bodyPr/>
        <a:lstStyle/>
        <a:p>
          <a:endParaRPr lang="en-ZA"/>
        </a:p>
      </dgm:t>
    </dgm:pt>
    <dgm:pt modelId="{64822B7C-C839-437C-82CF-00D8BAAD0949}" type="sibTrans" cxnId="{95C01F86-ED0E-436D-A98F-A020A26424EF}">
      <dgm:prSet/>
      <dgm:spPr/>
      <dgm:t>
        <a:bodyPr/>
        <a:lstStyle/>
        <a:p>
          <a:endParaRPr lang="en-ZA"/>
        </a:p>
      </dgm:t>
    </dgm:pt>
    <dgm:pt modelId="{A767F93A-7753-4F7C-BBB7-F177A1CD93AB}">
      <dgm:prSet phldrT="[Text]"/>
      <dgm:spPr>
        <a:solidFill>
          <a:srgbClr val="EFD171"/>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Oversight and monitoring</a:t>
          </a:r>
        </a:p>
        <a:p>
          <a:endParaRPr lang="en-ZA" b="1" dirty="0" smtClean="0">
            <a:latin typeface="Arial" panose="020B0604020202020204" pitchFamily="34" charset="0"/>
            <a:cs typeface="Arial" panose="020B0604020202020204" pitchFamily="34" charset="0"/>
          </a:endParaRPr>
        </a:p>
        <a:p>
          <a:endParaRPr lang="en-ZA" b="1" dirty="0">
            <a:latin typeface="Arial" panose="020B0604020202020204" pitchFamily="34" charset="0"/>
            <a:cs typeface="Arial" panose="020B0604020202020204" pitchFamily="34" charset="0"/>
          </a:endParaRPr>
        </a:p>
      </dgm:t>
    </dgm:pt>
    <dgm:pt modelId="{1E31EA40-AA61-4B6A-BD5E-A7478417E343}" type="parTrans" cxnId="{AC7B54DE-8621-4AF9-B25D-971940D0921A}">
      <dgm:prSet/>
      <dgm:spPr/>
      <dgm:t>
        <a:bodyPr/>
        <a:lstStyle/>
        <a:p>
          <a:endParaRPr lang="en-ZA"/>
        </a:p>
      </dgm:t>
    </dgm:pt>
    <dgm:pt modelId="{D4F0F9C6-DBD0-476B-AC5F-F47B45205D72}" type="sibTrans" cxnId="{AC7B54DE-8621-4AF9-B25D-971940D0921A}">
      <dgm:prSet/>
      <dgm:spPr/>
      <dgm:t>
        <a:bodyPr/>
        <a:lstStyle/>
        <a:p>
          <a:endParaRPr lang="en-ZA"/>
        </a:p>
      </dgm:t>
    </dgm:pt>
    <dgm:pt modelId="{5D83CF92-4765-4E5A-A796-4BA984B0A932}">
      <dgm:prSet phldrT="[Text]"/>
      <dgm:spPr>
        <a:solidFill>
          <a:srgbClr val="7ACC9B"/>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HR management</a:t>
          </a:r>
        </a:p>
        <a:p>
          <a:endParaRPr lang="en-ZA" b="1" dirty="0">
            <a:latin typeface="Arial" panose="020B0604020202020204" pitchFamily="34" charset="0"/>
            <a:cs typeface="Arial" panose="020B0604020202020204" pitchFamily="34" charset="0"/>
          </a:endParaRPr>
        </a:p>
      </dgm:t>
    </dgm:pt>
    <dgm:pt modelId="{CD433989-876C-4DFF-A93F-9D95B2BD9E9E}" type="parTrans" cxnId="{36686DA9-A7EE-4AA7-9EB6-ABD8D4F01DC3}">
      <dgm:prSet/>
      <dgm:spPr/>
      <dgm:t>
        <a:bodyPr/>
        <a:lstStyle/>
        <a:p>
          <a:endParaRPr lang="en-ZA"/>
        </a:p>
      </dgm:t>
    </dgm:pt>
    <dgm:pt modelId="{98C5BC76-7BFC-4671-8476-D90336443DF3}" type="sibTrans" cxnId="{36686DA9-A7EE-4AA7-9EB6-ABD8D4F01DC3}">
      <dgm:prSet/>
      <dgm:spPr/>
      <dgm:t>
        <a:bodyPr/>
        <a:lstStyle/>
        <a:p>
          <a:endParaRPr lang="en-ZA"/>
        </a:p>
      </dgm:t>
    </dgm:pt>
    <dgm:pt modelId="{FA6A1A76-7F66-4D64-9316-2C34A3C03C2D}">
      <dgm:prSet phldrT="[Text]"/>
      <dgm:spPr>
        <a:solidFill>
          <a:srgbClr val="7ACC9B"/>
        </a:solidFill>
      </dgm:spPr>
      <dgm:t>
        <a:bodyPr/>
        <a:lstStyle/>
        <a:p>
          <a:r>
            <a:rPr lang="en-ZA" b="1" dirty="0" smtClean="0">
              <a:latin typeface="Arial" panose="020B0604020202020204" pitchFamily="34" charset="0"/>
              <a:cs typeface="Arial" panose="020B0604020202020204" pitchFamily="34" charset="0"/>
            </a:rPr>
            <a:t>IT management</a:t>
          </a:r>
        </a:p>
        <a:p>
          <a:endParaRPr lang="en-ZA" b="1" dirty="0">
            <a:latin typeface="Arial" panose="020B0604020202020204" pitchFamily="34" charset="0"/>
            <a:cs typeface="Arial" panose="020B0604020202020204" pitchFamily="34" charset="0"/>
          </a:endParaRPr>
        </a:p>
      </dgm:t>
    </dgm:pt>
    <dgm:pt modelId="{EACC0CD4-1BC2-4E33-9EF7-325683EA8E5A}" type="parTrans" cxnId="{8E7E9F65-C579-4CAC-BC18-22768956B4F6}">
      <dgm:prSet/>
      <dgm:spPr/>
      <dgm:t>
        <a:bodyPr/>
        <a:lstStyle/>
        <a:p>
          <a:endParaRPr lang="en-ZA"/>
        </a:p>
      </dgm:t>
    </dgm:pt>
    <dgm:pt modelId="{E53D10CD-EECE-4147-A4E1-9BA7DE0C5237}" type="sibTrans" cxnId="{8E7E9F65-C579-4CAC-BC18-22768956B4F6}">
      <dgm:prSet/>
      <dgm:spPr/>
      <dgm:t>
        <a:bodyPr/>
        <a:lstStyle/>
        <a:p>
          <a:endParaRPr lang="en-ZA"/>
        </a:p>
      </dgm:t>
    </dgm:pt>
    <dgm:pt modelId="{39B8728B-CBA4-4471-9310-D3DC011E8CC7}">
      <dgm:prSet phldrT="[Text]"/>
      <dgm:spPr>
        <a:solidFill>
          <a:srgbClr val="7ACC9B"/>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Financial health</a:t>
          </a:r>
        </a:p>
        <a:p>
          <a:endParaRPr lang="en-ZA" b="1" dirty="0">
            <a:latin typeface="Arial" panose="020B0604020202020204" pitchFamily="34" charset="0"/>
            <a:cs typeface="Arial" panose="020B0604020202020204" pitchFamily="34" charset="0"/>
          </a:endParaRPr>
        </a:p>
      </dgm:t>
    </dgm:pt>
    <dgm:pt modelId="{6AC3D5CC-1E1D-43DA-A6EA-3903334152B5}" type="parTrans" cxnId="{0A8D55CC-6E88-43DF-BD37-C6062C4C2FC0}">
      <dgm:prSet/>
      <dgm:spPr/>
      <dgm:t>
        <a:bodyPr/>
        <a:lstStyle/>
        <a:p>
          <a:endParaRPr lang="en-ZA"/>
        </a:p>
      </dgm:t>
    </dgm:pt>
    <dgm:pt modelId="{AB451031-7E37-4C5D-BD65-8318FE3043D5}" type="sibTrans" cxnId="{0A8D55CC-6E88-43DF-BD37-C6062C4C2FC0}">
      <dgm:prSet/>
      <dgm:spPr/>
      <dgm:t>
        <a:bodyPr/>
        <a:lstStyle/>
        <a:p>
          <a:endParaRPr lang="en-ZA"/>
        </a:p>
      </dgm:t>
    </dgm:pt>
    <dgm:pt modelId="{4ACA83D6-990F-41AF-AE02-73394BB4325C}">
      <dgm:prSet custT="1"/>
      <dgm:spPr>
        <a:solidFill>
          <a:srgbClr val="7ACC9B"/>
        </a:solidFill>
      </dgm:spPr>
      <dgm:t>
        <a:bodyPr/>
        <a:lstStyle/>
        <a:p>
          <a:r>
            <a:rPr lang="en-ZA" sz="700" b="1" dirty="0" smtClean="0">
              <a:solidFill>
                <a:sysClr val="windowText" lastClr="000000"/>
              </a:solidFill>
              <a:latin typeface="Arial" panose="020B0604020202020204" pitchFamily="34" charset="0"/>
              <a:cs typeface="Arial" panose="020B0604020202020204" pitchFamily="34" charset="0"/>
            </a:rPr>
            <a:t>Financial management</a:t>
          </a:r>
        </a:p>
      </dgm:t>
    </dgm:pt>
    <dgm:pt modelId="{DB6C906E-8EC0-4A33-A08C-4DC0AC9AF275}" type="parTrans" cxnId="{AE610BEA-E929-4813-AE08-C0A01B2E3949}">
      <dgm:prSet/>
      <dgm:spPr/>
      <dgm:t>
        <a:bodyPr/>
        <a:lstStyle/>
        <a:p>
          <a:endParaRPr lang="en-ZA"/>
        </a:p>
      </dgm:t>
    </dgm:pt>
    <dgm:pt modelId="{CB18B3C4-AF8B-402C-BDC7-904AD0DAD520}" type="sibTrans" cxnId="{AE610BEA-E929-4813-AE08-C0A01B2E3949}">
      <dgm:prSet/>
      <dgm:spPr/>
      <dgm:t>
        <a:bodyPr/>
        <a:lstStyle/>
        <a:p>
          <a:endParaRPr lang="en-ZA"/>
        </a:p>
      </dgm:t>
    </dgm:pt>
    <dgm:pt modelId="{51A5EB52-1C10-499F-8254-6884AC528295}">
      <dgm:prSet/>
      <dgm:spPr>
        <a:solidFill>
          <a:srgbClr val="EFD171"/>
        </a:solidFill>
      </dgm:spPr>
      <dgm:t>
        <a:bodyPr/>
        <a:lstStyle/>
        <a:p>
          <a:r>
            <a:rPr lang="en-ZA" b="1" dirty="0" smtClean="0">
              <a:latin typeface="Arial" panose="020B0604020202020204" pitchFamily="34" charset="0"/>
              <a:cs typeface="Arial" panose="020B0604020202020204" pitchFamily="34" charset="0"/>
            </a:rPr>
            <a:t>Performance management   </a:t>
          </a:r>
        </a:p>
      </dgm:t>
    </dgm:pt>
    <dgm:pt modelId="{0B72B387-574C-44E9-84C3-10C1D7797627}" type="parTrans" cxnId="{95C726B1-54FA-46EE-949B-5AF912A869DD}">
      <dgm:prSet/>
      <dgm:spPr/>
      <dgm:t>
        <a:bodyPr/>
        <a:lstStyle/>
        <a:p>
          <a:endParaRPr lang="en-ZA"/>
        </a:p>
      </dgm:t>
    </dgm:pt>
    <dgm:pt modelId="{7BA5FA30-B733-4C8B-8098-725696DF94C0}" type="sibTrans" cxnId="{95C726B1-54FA-46EE-949B-5AF912A869DD}">
      <dgm:prSet/>
      <dgm:spPr/>
      <dgm:t>
        <a:bodyPr/>
        <a:lstStyle/>
        <a:p>
          <a:endParaRPr lang="en-ZA"/>
        </a:p>
      </dgm:t>
    </dgm:pt>
    <dgm:pt modelId="{062658AC-072A-46CB-9B74-5296C99B80CB}">
      <dgm:prSet/>
      <dgm:spPr>
        <a:solidFill>
          <a:srgbClr val="7ACC9B"/>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Compliance</a:t>
          </a:r>
          <a:r>
            <a:rPr lang="en-ZA" dirty="0" smtClean="0">
              <a:solidFill>
                <a:sysClr val="windowText" lastClr="000000"/>
              </a:solidFill>
            </a:rPr>
            <a:t> </a:t>
          </a:r>
          <a:r>
            <a:rPr lang="en-ZA" b="1" dirty="0" smtClean="0">
              <a:solidFill>
                <a:sysClr val="windowText" lastClr="000000"/>
              </a:solidFill>
              <a:latin typeface="Arial" panose="020B0604020202020204" pitchFamily="34" charset="0"/>
              <a:cs typeface="Arial" panose="020B0604020202020204" pitchFamily="34" charset="0"/>
            </a:rPr>
            <a:t>management</a:t>
          </a:r>
        </a:p>
        <a:p>
          <a:endParaRPr lang="en-ZA" b="1" dirty="0"/>
        </a:p>
      </dgm:t>
    </dgm:pt>
    <dgm:pt modelId="{CEF70822-8FA7-4D09-8E18-2C5B2905463D}" type="parTrans" cxnId="{71EE703C-5588-4F6D-8634-701588025522}">
      <dgm:prSet/>
      <dgm:spPr/>
      <dgm:t>
        <a:bodyPr/>
        <a:lstStyle/>
        <a:p>
          <a:endParaRPr lang="en-ZA"/>
        </a:p>
      </dgm:t>
    </dgm:pt>
    <dgm:pt modelId="{F6D6E848-6A5D-4164-B742-F00C510444FB}" type="sibTrans" cxnId="{71EE703C-5588-4F6D-8634-701588025522}">
      <dgm:prSet/>
      <dgm:spPr/>
      <dgm:t>
        <a:bodyPr/>
        <a:lstStyle/>
        <a:p>
          <a:endParaRPr lang="en-ZA"/>
        </a:p>
      </dgm:t>
    </dgm:pt>
    <dgm:pt modelId="{3FF0A174-CB8D-4BC1-A727-02F74D718005}">
      <dgm:prSet/>
      <dgm:spPr>
        <a:solidFill>
          <a:srgbClr val="7ACC9B"/>
        </a:solidFill>
      </dgm:spPr>
      <dgm:t>
        <a:bodyPr/>
        <a:lstStyle/>
        <a:p>
          <a:r>
            <a:rPr lang="en-ZA" b="1" dirty="0" smtClean="0">
              <a:latin typeface="Arial" panose="020B0604020202020204" pitchFamily="34" charset="0"/>
              <a:cs typeface="Arial" panose="020B0604020202020204" pitchFamily="34" charset="0"/>
            </a:rPr>
            <a:t>Procurement and contract management</a:t>
          </a:r>
        </a:p>
      </dgm:t>
    </dgm:pt>
    <dgm:pt modelId="{88A16D0E-1D5B-4990-88FD-FDADC2B1B2A0}" type="parTrans" cxnId="{0F308586-FF67-416C-8426-6D76D42C8BA3}">
      <dgm:prSet/>
      <dgm:spPr/>
      <dgm:t>
        <a:bodyPr/>
        <a:lstStyle/>
        <a:p>
          <a:endParaRPr lang="en-ZA"/>
        </a:p>
      </dgm:t>
    </dgm:pt>
    <dgm:pt modelId="{00D0CDE6-DF8C-4C8F-92DE-B66340C21A3C}" type="sibTrans" cxnId="{0F308586-FF67-416C-8426-6D76D42C8BA3}">
      <dgm:prSet/>
      <dgm:spPr/>
      <dgm:t>
        <a:bodyPr/>
        <a:lstStyle/>
        <a:p>
          <a:endParaRPr lang="en-ZA"/>
        </a:p>
      </dgm:t>
    </dgm:pt>
    <dgm:pt modelId="{CF1D573E-3B47-4ADA-ADDC-603E8AFE5FE3}" type="pres">
      <dgm:prSet presAssocID="{BE8EF0F7-FCA9-4972-9C82-77C5A647B2C7}" presName="composite" presStyleCnt="0">
        <dgm:presLayoutVars>
          <dgm:chMax val="1"/>
          <dgm:dir/>
          <dgm:resizeHandles val="exact"/>
        </dgm:presLayoutVars>
      </dgm:prSet>
      <dgm:spPr/>
      <dgm:t>
        <a:bodyPr/>
        <a:lstStyle/>
        <a:p>
          <a:endParaRPr lang="en-ZA"/>
        </a:p>
      </dgm:t>
    </dgm:pt>
    <dgm:pt modelId="{25311D49-B19E-4FF8-8EDA-3E28FB6E81F1}" type="pres">
      <dgm:prSet presAssocID="{BE8EF0F7-FCA9-4972-9C82-77C5A647B2C7}" presName="radial" presStyleCnt="0">
        <dgm:presLayoutVars>
          <dgm:animLvl val="ctr"/>
        </dgm:presLayoutVars>
      </dgm:prSet>
      <dgm:spPr/>
    </dgm:pt>
    <dgm:pt modelId="{6D23519B-EB5E-4C2A-81A7-8D6A0F72A02B}" type="pres">
      <dgm:prSet presAssocID="{358AF88E-6AC7-4601-A8E6-1D585E499D47}" presName="centerShape" presStyleLbl="vennNode1" presStyleIdx="0" presStyleCnt="9"/>
      <dgm:spPr>
        <a:prstGeom prst="hexagon">
          <a:avLst/>
        </a:prstGeom>
      </dgm:spPr>
      <dgm:t>
        <a:bodyPr/>
        <a:lstStyle/>
        <a:p>
          <a:endParaRPr lang="en-ZA"/>
        </a:p>
      </dgm:t>
    </dgm:pt>
    <dgm:pt modelId="{7AEADA36-D9F0-4AD4-A6B5-1B20D2EC5F49}" type="pres">
      <dgm:prSet presAssocID="{A767F93A-7753-4F7C-BBB7-F177A1CD93AB}" presName="node" presStyleLbl="vennNode1" presStyleIdx="1" presStyleCnt="9">
        <dgm:presLayoutVars>
          <dgm:bulletEnabled val="1"/>
        </dgm:presLayoutVars>
      </dgm:prSet>
      <dgm:spPr>
        <a:prstGeom prst="hexagon">
          <a:avLst/>
        </a:prstGeom>
      </dgm:spPr>
      <dgm:t>
        <a:bodyPr/>
        <a:lstStyle/>
        <a:p>
          <a:endParaRPr lang="en-ZA"/>
        </a:p>
      </dgm:t>
    </dgm:pt>
    <dgm:pt modelId="{E1ED5273-6D7D-4E68-BC91-481D0D31B8B2}" type="pres">
      <dgm:prSet presAssocID="{4ACA83D6-990F-41AF-AE02-73394BB4325C}" presName="node" presStyleLbl="vennNode1" presStyleIdx="2" presStyleCnt="9" custScaleX="109597">
        <dgm:presLayoutVars>
          <dgm:bulletEnabled val="1"/>
        </dgm:presLayoutVars>
      </dgm:prSet>
      <dgm:spPr>
        <a:prstGeom prst="hexagon">
          <a:avLst/>
        </a:prstGeom>
      </dgm:spPr>
      <dgm:t>
        <a:bodyPr/>
        <a:lstStyle/>
        <a:p>
          <a:endParaRPr lang="en-ZA"/>
        </a:p>
      </dgm:t>
    </dgm:pt>
    <dgm:pt modelId="{4C2DE700-E050-4F32-BA84-CF00ECA07B27}" type="pres">
      <dgm:prSet presAssocID="{51A5EB52-1C10-499F-8254-6884AC528295}" presName="node" presStyleLbl="vennNode1" presStyleIdx="3" presStyleCnt="9" custRadScaleRad="98692" custRadScaleInc="4410">
        <dgm:presLayoutVars>
          <dgm:bulletEnabled val="1"/>
        </dgm:presLayoutVars>
      </dgm:prSet>
      <dgm:spPr>
        <a:prstGeom prst="hexagon">
          <a:avLst/>
        </a:prstGeom>
      </dgm:spPr>
      <dgm:t>
        <a:bodyPr/>
        <a:lstStyle/>
        <a:p>
          <a:endParaRPr lang="en-ZA"/>
        </a:p>
      </dgm:t>
    </dgm:pt>
    <dgm:pt modelId="{D931D1C0-2042-4B05-9585-83F44BBCDBA8}" type="pres">
      <dgm:prSet presAssocID="{3FF0A174-CB8D-4BC1-A727-02F74D718005}" presName="node" presStyleLbl="vennNode1" presStyleIdx="4" presStyleCnt="9" custRadScaleRad="102973" custRadScaleInc="4782">
        <dgm:presLayoutVars>
          <dgm:bulletEnabled val="1"/>
        </dgm:presLayoutVars>
      </dgm:prSet>
      <dgm:spPr>
        <a:prstGeom prst="hexagon">
          <a:avLst/>
        </a:prstGeom>
      </dgm:spPr>
      <dgm:t>
        <a:bodyPr/>
        <a:lstStyle/>
        <a:p>
          <a:endParaRPr lang="en-ZA"/>
        </a:p>
      </dgm:t>
    </dgm:pt>
    <dgm:pt modelId="{FAC4EFBA-3E3E-43D7-84A4-3C9A7DCAADE5}" type="pres">
      <dgm:prSet presAssocID="{062658AC-072A-46CB-9B74-5296C99B80CB}" presName="node" presStyleLbl="vennNode1" presStyleIdx="5" presStyleCnt="9">
        <dgm:presLayoutVars>
          <dgm:bulletEnabled val="1"/>
        </dgm:presLayoutVars>
      </dgm:prSet>
      <dgm:spPr>
        <a:prstGeom prst="hexagon">
          <a:avLst/>
        </a:prstGeom>
      </dgm:spPr>
      <dgm:t>
        <a:bodyPr/>
        <a:lstStyle/>
        <a:p>
          <a:endParaRPr lang="en-ZA"/>
        </a:p>
      </dgm:t>
    </dgm:pt>
    <dgm:pt modelId="{821D502A-8A20-46F7-A297-C024107D4DB5}" type="pres">
      <dgm:prSet presAssocID="{5D83CF92-4765-4E5A-A796-4BA984B0A932}" presName="node" presStyleLbl="vennNode1" presStyleIdx="6" presStyleCnt="9">
        <dgm:presLayoutVars>
          <dgm:bulletEnabled val="1"/>
        </dgm:presLayoutVars>
      </dgm:prSet>
      <dgm:spPr>
        <a:prstGeom prst="hexagon">
          <a:avLst/>
        </a:prstGeom>
      </dgm:spPr>
      <dgm:t>
        <a:bodyPr/>
        <a:lstStyle/>
        <a:p>
          <a:endParaRPr lang="en-ZA"/>
        </a:p>
      </dgm:t>
    </dgm:pt>
    <dgm:pt modelId="{6EF46C30-7051-4BD5-83CC-18D9574991CD}" type="pres">
      <dgm:prSet presAssocID="{FA6A1A76-7F66-4D64-9316-2C34A3C03C2D}" presName="node" presStyleLbl="vennNode1" presStyleIdx="7" presStyleCnt="9">
        <dgm:presLayoutVars>
          <dgm:bulletEnabled val="1"/>
        </dgm:presLayoutVars>
      </dgm:prSet>
      <dgm:spPr>
        <a:prstGeom prst="hexagon">
          <a:avLst/>
        </a:prstGeom>
      </dgm:spPr>
      <dgm:t>
        <a:bodyPr/>
        <a:lstStyle/>
        <a:p>
          <a:endParaRPr lang="en-ZA"/>
        </a:p>
      </dgm:t>
    </dgm:pt>
    <dgm:pt modelId="{59FE528A-BB06-42D8-89B5-8133DCBCF2D6}" type="pres">
      <dgm:prSet presAssocID="{39B8728B-CBA4-4471-9310-D3DC011E8CC7}" presName="node" presStyleLbl="vennNode1" presStyleIdx="8" presStyleCnt="9">
        <dgm:presLayoutVars>
          <dgm:bulletEnabled val="1"/>
        </dgm:presLayoutVars>
      </dgm:prSet>
      <dgm:spPr>
        <a:prstGeom prst="hexagon">
          <a:avLst/>
        </a:prstGeom>
      </dgm:spPr>
      <dgm:t>
        <a:bodyPr/>
        <a:lstStyle/>
        <a:p>
          <a:endParaRPr lang="en-ZA"/>
        </a:p>
      </dgm:t>
    </dgm:pt>
  </dgm:ptLst>
  <dgm:cxnLst>
    <dgm:cxn modelId="{430DEA03-5A16-4864-818C-6AB048D2117B}" type="presOf" srcId="{5D83CF92-4765-4E5A-A796-4BA984B0A932}" destId="{821D502A-8A20-46F7-A297-C024107D4DB5}" srcOrd="0" destOrd="0" presId="urn:microsoft.com/office/officeart/2005/8/layout/radial3"/>
    <dgm:cxn modelId="{0E913670-0D1C-4FA4-BC05-DDF7B77A51DA}" type="presOf" srcId="{BE8EF0F7-FCA9-4972-9C82-77C5A647B2C7}" destId="{CF1D573E-3B47-4ADA-ADDC-603E8AFE5FE3}" srcOrd="0" destOrd="0" presId="urn:microsoft.com/office/officeart/2005/8/layout/radial3"/>
    <dgm:cxn modelId="{AC7B54DE-8621-4AF9-B25D-971940D0921A}" srcId="{358AF88E-6AC7-4601-A8E6-1D585E499D47}" destId="{A767F93A-7753-4F7C-BBB7-F177A1CD93AB}" srcOrd="0" destOrd="0" parTransId="{1E31EA40-AA61-4B6A-BD5E-A7478417E343}" sibTransId="{D4F0F9C6-DBD0-476B-AC5F-F47B45205D72}"/>
    <dgm:cxn modelId="{0B974F85-CBF0-4E2D-8BA6-7D12C241346E}" type="presOf" srcId="{A767F93A-7753-4F7C-BBB7-F177A1CD93AB}" destId="{7AEADA36-D9F0-4AD4-A6B5-1B20D2EC5F49}" srcOrd="0" destOrd="0" presId="urn:microsoft.com/office/officeart/2005/8/layout/radial3"/>
    <dgm:cxn modelId="{95C726B1-54FA-46EE-949B-5AF912A869DD}" srcId="{358AF88E-6AC7-4601-A8E6-1D585E499D47}" destId="{51A5EB52-1C10-499F-8254-6884AC528295}" srcOrd="2" destOrd="0" parTransId="{0B72B387-574C-44E9-84C3-10C1D7797627}" sibTransId="{7BA5FA30-B733-4C8B-8098-725696DF94C0}"/>
    <dgm:cxn modelId="{9BE4967D-631B-4273-A10A-8719F63DC2E3}" type="presOf" srcId="{358AF88E-6AC7-4601-A8E6-1D585E499D47}" destId="{6D23519B-EB5E-4C2A-81A7-8D6A0F72A02B}" srcOrd="0" destOrd="0" presId="urn:microsoft.com/office/officeart/2005/8/layout/radial3"/>
    <dgm:cxn modelId="{FDCF4573-7793-4AF2-ACFC-ED8E688A35CE}" type="presOf" srcId="{51A5EB52-1C10-499F-8254-6884AC528295}" destId="{4C2DE700-E050-4F32-BA84-CF00ECA07B27}" srcOrd="0" destOrd="0" presId="urn:microsoft.com/office/officeart/2005/8/layout/radial3"/>
    <dgm:cxn modelId="{358946DC-3407-4BBD-BA6D-9627953950F5}" type="presOf" srcId="{062658AC-072A-46CB-9B74-5296C99B80CB}" destId="{FAC4EFBA-3E3E-43D7-84A4-3C9A7DCAADE5}" srcOrd="0" destOrd="0" presId="urn:microsoft.com/office/officeart/2005/8/layout/radial3"/>
    <dgm:cxn modelId="{95C01F86-ED0E-436D-A98F-A020A26424EF}" srcId="{BE8EF0F7-FCA9-4972-9C82-77C5A647B2C7}" destId="{358AF88E-6AC7-4601-A8E6-1D585E499D47}" srcOrd="0" destOrd="0" parTransId="{BB8BAB2D-73CC-4EC8-8FBC-E8FDC3F7F911}" sibTransId="{64822B7C-C839-437C-82CF-00D8BAAD0949}"/>
    <dgm:cxn modelId="{60DC250A-AEA5-430D-9F73-FE8786866106}" type="presOf" srcId="{3FF0A174-CB8D-4BC1-A727-02F74D718005}" destId="{D931D1C0-2042-4B05-9585-83F44BBCDBA8}" srcOrd="0" destOrd="0" presId="urn:microsoft.com/office/officeart/2005/8/layout/radial3"/>
    <dgm:cxn modelId="{71EE703C-5588-4F6D-8634-701588025522}" srcId="{358AF88E-6AC7-4601-A8E6-1D585E499D47}" destId="{062658AC-072A-46CB-9B74-5296C99B80CB}" srcOrd="4" destOrd="0" parTransId="{CEF70822-8FA7-4D09-8E18-2C5B2905463D}" sibTransId="{F6D6E848-6A5D-4164-B742-F00C510444FB}"/>
    <dgm:cxn modelId="{36686DA9-A7EE-4AA7-9EB6-ABD8D4F01DC3}" srcId="{358AF88E-6AC7-4601-A8E6-1D585E499D47}" destId="{5D83CF92-4765-4E5A-A796-4BA984B0A932}" srcOrd="5" destOrd="0" parTransId="{CD433989-876C-4DFF-A93F-9D95B2BD9E9E}" sibTransId="{98C5BC76-7BFC-4671-8476-D90336443DF3}"/>
    <dgm:cxn modelId="{648081EF-FCD4-4A74-BDF2-EC9C7E436F21}" type="presOf" srcId="{39B8728B-CBA4-4471-9310-D3DC011E8CC7}" destId="{59FE528A-BB06-42D8-89B5-8133DCBCF2D6}" srcOrd="0" destOrd="0" presId="urn:microsoft.com/office/officeart/2005/8/layout/radial3"/>
    <dgm:cxn modelId="{0A8D55CC-6E88-43DF-BD37-C6062C4C2FC0}" srcId="{358AF88E-6AC7-4601-A8E6-1D585E499D47}" destId="{39B8728B-CBA4-4471-9310-D3DC011E8CC7}" srcOrd="7" destOrd="0" parTransId="{6AC3D5CC-1E1D-43DA-A6EA-3903334152B5}" sibTransId="{AB451031-7E37-4C5D-BD65-8318FE3043D5}"/>
    <dgm:cxn modelId="{0F308586-FF67-416C-8426-6D76D42C8BA3}" srcId="{358AF88E-6AC7-4601-A8E6-1D585E499D47}" destId="{3FF0A174-CB8D-4BC1-A727-02F74D718005}" srcOrd="3" destOrd="0" parTransId="{88A16D0E-1D5B-4990-88FD-FDADC2B1B2A0}" sibTransId="{00D0CDE6-DF8C-4C8F-92DE-B66340C21A3C}"/>
    <dgm:cxn modelId="{A8E3B327-8144-49A4-A71E-0D6B16987554}" type="presOf" srcId="{FA6A1A76-7F66-4D64-9316-2C34A3C03C2D}" destId="{6EF46C30-7051-4BD5-83CC-18D9574991CD}" srcOrd="0" destOrd="0" presId="urn:microsoft.com/office/officeart/2005/8/layout/radial3"/>
    <dgm:cxn modelId="{AE610BEA-E929-4813-AE08-C0A01B2E3949}" srcId="{358AF88E-6AC7-4601-A8E6-1D585E499D47}" destId="{4ACA83D6-990F-41AF-AE02-73394BB4325C}" srcOrd="1" destOrd="0" parTransId="{DB6C906E-8EC0-4A33-A08C-4DC0AC9AF275}" sibTransId="{CB18B3C4-AF8B-402C-BDC7-904AD0DAD520}"/>
    <dgm:cxn modelId="{6AA7B676-DCA4-4C9B-813B-66F929313ACB}" type="presOf" srcId="{4ACA83D6-990F-41AF-AE02-73394BB4325C}" destId="{E1ED5273-6D7D-4E68-BC91-481D0D31B8B2}" srcOrd="0" destOrd="0" presId="urn:microsoft.com/office/officeart/2005/8/layout/radial3"/>
    <dgm:cxn modelId="{8E7E9F65-C579-4CAC-BC18-22768956B4F6}" srcId="{358AF88E-6AC7-4601-A8E6-1D585E499D47}" destId="{FA6A1A76-7F66-4D64-9316-2C34A3C03C2D}" srcOrd="6" destOrd="0" parTransId="{EACC0CD4-1BC2-4E33-9EF7-325683EA8E5A}" sibTransId="{E53D10CD-EECE-4147-A4E1-9BA7DE0C5237}"/>
    <dgm:cxn modelId="{BF9DC9DE-FD22-4F08-9A8F-ED35F9A80108}" type="presParOf" srcId="{CF1D573E-3B47-4ADA-ADDC-603E8AFE5FE3}" destId="{25311D49-B19E-4FF8-8EDA-3E28FB6E81F1}" srcOrd="0" destOrd="0" presId="urn:microsoft.com/office/officeart/2005/8/layout/radial3"/>
    <dgm:cxn modelId="{FD096B48-3EC8-4766-BBFD-CD57D9D3BF80}" type="presParOf" srcId="{25311D49-B19E-4FF8-8EDA-3E28FB6E81F1}" destId="{6D23519B-EB5E-4C2A-81A7-8D6A0F72A02B}" srcOrd="0" destOrd="0" presId="urn:microsoft.com/office/officeart/2005/8/layout/radial3"/>
    <dgm:cxn modelId="{941B0D01-3CF6-4A30-99BB-E76C6081B514}" type="presParOf" srcId="{25311D49-B19E-4FF8-8EDA-3E28FB6E81F1}" destId="{7AEADA36-D9F0-4AD4-A6B5-1B20D2EC5F49}" srcOrd="1" destOrd="0" presId="urn:microsoft.com/office/officeart/2005/8/layout/radial3"/>
    <dgm:cxn modelId="{9E4E2A79-B0EF-4948-A9E9-C133CCB47AD3}" type="presParOf" srcId="{25311D49-B19E-4FF8-8EDA-3E28FB6E81F1}" destId="{E1ED5273-6D7D-4E68-BC91-481D0D31B8B2}" srcOrd="2" destOrd="0" presId="urn:microsoft.com/office/officeart/2005/8/layout/radial3"/>
    <dgm:cxn modelId="{FAE1BE64-9F6E-497C-BBE6-F6B195E372C3}" type="presParOf" srcId="{25311D49-B19E-4FF8-8EDA-3E28FB6E81F1}" destId="{4C2DE700-E050-4F32-BA84-CF00ECA07B27}" srcOrd="3" destOrd="0" presId="urn:microsoft.com/office/officeart/2005/8/layout/radial3"/>
    <dgm:cxn modelId="{8E48186D-6F41-43BB-958C-3833E3A060F1}" type="presParOf" srcId="{25311D49-B19E-4FF8-8EDA-3E28FB6E81F1}" destId="{D931D1C0-2042-4B05-9585-83F44BBCDBA8}" srcOrd="4" destOrd="0" presId="urn:microsoft.com/office/officeart/2005/8/layout/radial3"/>
    <dgm:cxn modelId="{9C536DD4-9310-47C6-A655-4C415C8A5487}" type="presParOf" srcId="{25311D49-B19E-4FF8-8EDA-3E28FB6E81F1}" destId="{FAC4EFBA-3E3E-43D7-84A4-3C9A7DCAADE5}" srcOrd="5" destOrd="0" presId="urn:microsoft.com/office/officeart/2005/8/layout/radial3"/>
    <dgm:cxn modelId="{8C558507-B8AE-489E-9F4D-225ACC6D9355}" type="presParOf" srcId="{25311D49-B19E-4FF8-8EDA-3E28FB6E81F1}" destId="{821D502A-8A20-46F7-A297-C024107D4DB5}" srcOrd="6" destOrd="0" presId="urn:microsoft.com/office/officeart/2005/8/layout/radial3"/>
    <dgm:cxn modelId="{76DF7587-2840-4CA0-9272-8A0746CB8366}" type="presParOf" srcId="{25311D49-B19E-4FF8-8EDA-3E28FB6E81F1}" destId="{6EF46C30-7051-4BD5-83CC-18D9574991CD}" srcOrd="7" destOrd="0" presId="urn:microsoft.com/office/officeart/2005/8/layout/radial3"/>
    <dgm:cxn modelId="{C349248E-907E-4C10-A500-2D84ADC5B723}" type="presParOf" srcId="{25311D49-B19E-4FF8-8EDA-3E28FB6E81F1}" destId="{59FE528A-BB06-42D8-89B5-8133DCBCF2D6}" srcOrd="8" destOrd="0" presId="urn:microsoft.com/office/officeart/2005/8/layout/radial3"/>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8EF0F7-FCA9-4972-9C82-77C5A647B2C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358AF88E-6AC7-4601-A8E6-1D585E499D47}">
      <dgm:prSet phldrT="[Text]" custT="1"/>
      <dgm:spPr/>
      <dgm:t>
        <a:bodyPr/>
        <a:lstStyle/>
        <a:p>
          <a:r>
            <a:rPr lang="en-ZA" sz="1200" b="1" smtClean="0"/>
            <a:t>Status of key focus areas</a:t>
          </a:r>
          <a:endParaRPr lang="en-ZA" sz="1200" b="1" dirty="0"/>
        </a:p>
      </dgm:t>
    </dgm:pt>
    <dgm:pt modelId="{BB8BAB2D-73CC-4EC8-8FBC-E8FDC3F7F911}" type="parTrans" cxnId="{95C01F86-ED0E-436D-A98F-A020A26424EF}">
      <dgm:prSet/>
      <dgm:spPr/>
      <dgm:t>
        <a:bodyPr/>
        <a:lstStyle/>
        <a:p>
          <a:endParaRPr lang="en-ZA"/>
        </a:p>
      </dgm:t>
    </dgm:pt>
    <dgm:pt modelId="{64822B7C-C839-437C-82CF-00D8BAAD0949}" type="sibTrans" cxnId="{95C01F86-ED0E-436D-A98F-A020A26424EF}">
      <dgm:prSet/>
      <dgm:spPr/>
      <dgm:t>
        <a:bodyPr/>
        <a:lstStyle/>
        <a:p>
          <a:endParaRPr lang="en-ZA"/>
        </a:p>
      </dgm:t>
    </dgm:pt>
    <dgm:pt modelId="{A767F93A-7753-4F7C-BBB7-F177A1CD93AB}">
      <dgm:prSet phldrT="[Text]"/>
      <dgm:spPr>
        <a:solidFill>
          <a:srgbClr val="97E59E"/>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Oversight and monitoring</a:t>
          </a:r>
        </a:p>
        <a:p>
          <a:endParaRPr lang="en-ZA" b="1" dirty="0" smtClean="0">
            <a:latin typeface="Arial" panose="020B0604020202020204" pitchFamily="34" charset="0"/>
            <a:cs typeface="Arial" panose="020B0604020202020204" pitchFamily="34" charset="0"/>
          </a:endParaRPr>
        </a:p>
        <a:p>
          <a:endParaRPr lang="en-ZA" b="1" dirty="0">
            <a:latin typeface="Arial" panose="020B0604020202020204" pitchFamily="34" charset="0"/>
            <a:cs typeface="Arial" panose="020B0604020202020204" pitchFamily="34" charset="0"/>
          </a:endParaRPr>
        </a:p>
      </dgm:t>
    </dgm:pt>
    <dgm:pt modelId="{1E31EA40-AA61-4B6A-BD5E-A7478417E343}" type="parTrans" cxnId="{AC7B54DE-8621-4AF9-B25D-971940D0921A}">
      <dgm:prSet/>
      <dgm:spPr/>
      <dgm:t>
        <a:bodyPr/>
        <a:lstStyle/>
        <a:p>
          <a:endParaRPr lang="en-ZA"/>
        </a:p>
      </dgm:t>
    </dgm:pt>
    <dgm:pt modelId="{D4F0F9C6-DBD0-476B-AC5F-F47B45205D72}" type="sibTrans" cxnId="{AC7B54DE-8621-4AF9-B25D-971940D0921A}">
      <dgm:prSet/>
      <dgm:spPr/>
      <dgm:t>
        <a:bodyPr/>
        <a:lstStyle/>
        <a:p>
          <a:endParaRPr lang="en-ZA"/>
        </a:p>
      </dgm:t>
    </dgm:pt>
    <dgm:pt modelId="{5D83CF92-4765-4E5A-A796-4BA984B0A932}">
      <dgm:prSet phldrT="[Text]"/>
      <dgm:spPr>
        <a:solidFill>
          <a:srgbClr val="FFE697"/>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HR management</a:t>
          </a:r>
        </a:p>
        <a:p>
          <a:endParaRPr lang="en-ZA" b="1" dirty="0">
            <a:latin typeface="Arial" panose="020B0604020202020204" pitchFamily="34" charset="0"/>
            <a:cs typeface="Arial" panose="020B0604020202020204" pitchFamily="34" charset="0"/>
          </a:endParaRPr>
        </a:p>
      </dgm:t>
    </dgm:pt>
    <dgm:pt modelId="{CD433989-876C-4DFF-A93F-9D95B2BD9E9E}" type="parTrans" cxnId="{36686DA9-A7EE-4AA7-9EB6-ABD8D4F01DC3}">
      <dgm:prSet/>
      <dgm:spPr/>
      <dgm:t>
        <a:bodyPr/>
        <a:lstStyle/>
        <a:p>
          <a:endParaRPr lang="en-ZA"/>
        </a:p>
      </dgm:t>
    </dgm:pt>
    <dgm:pt modelId="{98C5BC76-7BFC-4671-8476-D90336443DF3}" type="sibTrans" cxnId="{36686DA9-A7EE-4AA7-9EB6-ABD8D4F01DC3}">
      <dgm:prSet/>
      <dgm:spPr/>
      <dgm:t>
        <a:bodyPr/>
        <a:lstStyle/>
        <a:p>
          <a:endParaRPr lang="en-ZA"/>
        </a:p>
      </dgm:t>
    </dgm:pt>
    <dgm:pt modelId="{FA6A1A76-7F66-4D64-9316-2C34A3C03C2D}">
      <dgm:prSet phldrT="[Text]"/>
      <dgm:spPr>
        <a:solidFill>
          <a:srgbClr val="97E59E"/>
        </a:solidFill>
      </dgm:spPr>
      <dgm:t>
        <a:bodyPr/>
        <a:lstStyle/>
        <a:p>
          <a:r>
            <a:rPr lang="en-ZA" b="1" dirty="0" smtClean="0">
              <a:latin typeface="Arial" panose="020B0604020202020204" pitchFamily="34" charset="0"/>
              <a:cs typeface="Arial" panose="020B0604020202020204" pitchFamily="34" charset="0"/>
            </a:rPr>
            <a:t>IT management</a:t>
          </a:r>
        </a:p>
        <a:p>
          <a:endParaRPr lang="en-ZA" b="1" dirty="0">
            <a:latin typeface="Arial" panose="020B0604020202020204" pitchFamily="34" charset="0"/>
            <a:cs typeface="Arial" panose="020B0604020202020204" pitchFamily="34" charset="0"/>
          </a:endParaRPr>
        </a:p>
      </dgm:t>
    </dgm:pt>
    <dgm:pt modelId="{EACC0CD4-1BC2-4E33-9EF7-325683EA8E5A}" type="parTrans" cxnId="{8E7E9F65-C579-4CAC-BC18-22768956B4F6}">
      <dgm:prSet/>
      <dgm:spPr/>
      <dgm:t>
        <a:bodyPr/>
        <a:lstStyle/>
        <a:p>
          <a:endParaRPr lang="en-ZA"/>
        </a:p>
      </dgm:t>
    </dgm:pt>
    <dgm:pt modelId="{E53D10CD-EECE-4147-A4E1-9BA7DE0C5237}" type="sibTrans" cxnId="{8E7E9F65-C579-4CAC-BC18-22768956B4F6}">
      <dgm:prSet/>
      <dgm:spPr/>
      <dgm:t>
        <a:bodyPr/>
        <a:lstStyle/>
        <a:p>
          <a:endParaRPr lang="en-ZA"/>
        </a:p>
      </dgm:t>
    </dgm:pt>
    <dgm:pt modelId="{39B8728B-CBA4-4471-9310-D3DC011E8CC7}">
      <dgm:prSet phldrT="[Text]"/>
      <dgm:spPr>
        <a:solidFill>
          <a:srgbClr val="97E59E"/>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Financial health</a:t>
          </a:r>
        </a:p>
        <a:p>
          <a:endParaRPr lang="en-ZA" b="1" dirty="0">
            <a:latin typeface="Arial" panose="020B0604020202020204" pitchFamily="34" charset="0"/>
            <a:cs typeface="Arial" panose="020B0604020202020204" pitchFamily="34" charset="0"/>
          </a:endParaRPr>
        </a:p>
      </dgm:t>
    </dgm:pt>
    <dgm:pt modelId="{6AC3D5CC-1E1D-43DA-A6EA-3903334152B5}" type="parTrans" cxnId="{0A8D55CC-6E88-43DF-BD37-C6062C4C2FC0}">
      <dgm:prSet/>
      <dgm:spPr/>
      <dgm:t>
        <a:bodyPr/>
        <a:lstStyle/>
        <a:p>
          <a:endParaRPr lang="en-ZA"/>
        </a:p>
      </dgm:t>
    </dgm:pt>
    <dgm:pt modelId="{AB451031-7E37-4C5D-BD65-8318FE3043D5}" type="sibTrans" cxnId="{0A8D55CC-6E88-43DF-BD37-C6062C4C2FC0}">
      <dgm:prSet/>
      <dgm:spPr/>
      <dgm:t>
        <a:bodyPr/>
        <a:lstStyle/>
        <a:p>
          <a:endParaRPr lang="en-ZA"/>
        </a:p>
      </dgm:t>
    </dgm:pt>
    <dgm:pt modelId="{4ACA83D6-990F-41AF-AE02-73394BB4325C}">
      <dgm:prSet custT="1"/>
      <dgm:spPr>
        <a:solidFill>
          <a:srgbClr val="FFE697"/>
        </a:solidFill>
      </dgm:spPr>
      <dgm:t>
        <a:bodyPr/>
        <a:lstStyle/>
        <a:p>
          <a:r>
            <a:rPr lang="en-ZA" sz="700" b="1" dirty="0" smtClean="0">
              <a:solidFill>
                <a:sysClr val="windowText" lastClr="000000"/>
              </a:solidFill>
              <a:latin typeface="Arial" panose="020B0604020202020204" pitchFamily="34" charset="0"/>
              <a:cs typeface="Arial" panose="020B0604020202020204" pitchFamily="34" charset="0"/>
            </a:rPr>
            <a:t>Financial management</a:t>
          </a:r>
        </a:p>
      </dgm:t>
    </dgm:pt>
    <dgm:pt modelId="{DB6C906E-8EC0-4A33-A08C-4DC0AC9AF275}" type="parTrans" cxnId="{AE610BEA-E929-4813-AE08-C0A01B2E3949}">
      <dgm:prSet/>
      <dgm:spPr/>
      <dgm:t>
        <a:bodyPr/>
        <a:lstStyle/>
        <a:p>
          <a:endParaRPr lang="en-ZA"/>
        </a:p>
      </dgm:t>
    </dgm:pt>
    <dgm:pt modelId="{CB18B3C4-AF8B-402C-BDC7-904AD0DAD520}" type="sibTrans" cxnId="{AE610BEA-E929-4813-AE08-C0A01B2E3949}">
      <dgm:prSet/>
      <dgm:spPr/>
      <dgm:t>
        <a:bodyPr/>
        <a:lstStyle/>
        <a:p>
          <a:endParaRPr lang="en-ZA"/>
        </a:p>
      </dgm:t>
    </dgm:pt>
    <dgm:pt modelId="{51A5EB52-1C10-499F-8254-6884AC528295}">
      <dgm:prSet/>
      <dgm:spPr>
        <a:solidFill>
          <a:srgbClr val="97E59E"/>
        </a:solidFill>
      </dgm:spPr>
      <dgm:t>
        <a:bodyPr/>
        <a:lstStyle/>
        <a:p>
          <a:r>
            <a:rPr lang="en-ZA" b="1" dirty="0" smtClean="0">
              <a:latin typeface="Arial" panose="020B0604020202020204" pitchFamily="34" charset="0"/>
              <a:cs typeface="Arial" panose="020B0604020202020204" pitchFamily="34" charset="0"/>
            </a:rPr>
            <a:t>Performance management   </a:t>
          </a:r>
        </a:p>
      </dgm:t>
    </dgm:pt>
    <dgm:pt modelId="{0B72B387-574C-44E9-84C3-10C1D7797627}" type="parTrans" cxnId="{95C726B1-54FA-46EE-949B-5AF912A869DD}">
      <dgm:prSet/>
      <dgm:spPr/>
      <dgm:t>
        <a:bodyPr/>
        <a:lstStyle/>
        <a:p>
          <a:endParaRPr lang="en-ZA"/>
        </a:p>
      </dgm:t>
    </dgm:pt>
    <dgm:pt modelId="{7BA5FA30-B733-4C8B-8098-725696DF94C0}" type="sibTrans" cxnId="{95C726B1-54FA-46EE-949B-5AF912A869DD}">
      <dgm:prSet/>
      <dgm:spPr/>
      <dgm:t>
        <a:bodyPr/>
        <a:lstStyle/>
        <a:p>
          <a:endParaRPr lang="en-ZA"/>
        </a:p>
      </dgm:t>
    </dgm:pt>
    <dgm:pt modelId="{3FF0A174-CB8D-4BC1-A727-02F74D718005}">
      <dgm:prSet/>
      <dgm:spPr>
        <a:solidFill>
          <a:srgbClr val="FFE697"/>
        </a:solidFill>
      </dgm:spPr>
      <dgm:t>
        <a:bodyPr/>
        <a:lstStyle/>
        <a:p>
          <a:r>
            <a:rPr lang="en-ZA" b="1" dirty="0" smtClean="0">
              <a:latin typeface="Arial" panose="020B0604020202020204" pitchFamily="34" charset="0"/>
              <a:cs typeface="Arial" panose="020B0604020202020204" pitchFamily="34" charset="0"/>
            </a:rPr>
            <a:t>Procurement and contract management</a:t>
          </a:r>
        </a:p>
      </dgm:t>
    </dgm:pt>
    <dgm:pt modelId="{88A16D0E-1D5B-4990-88FD-FDADC2B1B2A0}" type="parTrans" cxnId="{0F308586-FF67-416C-8426-6D76D42C8BA3}">
      <dgm:prSet/>
      <dgm:spPr/>
      <dgm:t>
        <a:bodyPr/>
        <a:lstStyle/>
        <a:p>
          <a:endParaRPr lang="en-ZA"/>
        </a:p>
      </dgm:t>
    </dgm:pt>
    <dgm:pt modelId="{00D0CDE6-DF8C-4C8F-92DE-B66340C21A3C}" type="sibTrans" cxnId="{0F308586-FF67-416C-8426-6D76D42C8BA3}">
      <dgm:prSet/>
      <dgm:spPr/>
      <dgm:t>
        <a:bodyPr/>
        <a:lstStyle/>
        <a:p>
          <a:endParaRPr lang="en-ZA"/>
        </a:p>
      </dgm:t>
    </dgm:pt>
    <dgm:pt modelId="{062658AC-072A-46CB-9B74-5296C99B80CB}">
      <dgm:prSet/>
      <dgm:spPr>
        <a:solidFill>
          <a:srgbClr val="FFE697"/>
        </a:solidFill>
      </dgm:spPr>
      <dgm:t>
        <a:bodyPr/>
        <a:lstStyle/>
        <a:p>
          <a:r>
            <a:rPr lang="en-ZA" b="1" dirty="0" smtClean="0">
              <a:solidFill>
                <a:sysClr val="windowText" lastClr="000000"/>
              </a:solidFill>
              <a:latin typeface="Arial" panose="020B0604020202020204" pitchFamily="34" charset="0"/>
              <a:cs typeface="Arial" panose="020B0604020202020204" pitchFamily="34" charset="0"/>
            </a:rPr>
            <a:t>Compliance</a:t>
          </a:r>
          <a:r>
            <a:rPr lang="en-ZA" dirty="0" smtClean="0">
              <a:solidFill>
                <a:sysClr val="windowText" lastClr="000000"/>
              </a:solidFill>
            </a:rPr>
            <a:t> </a:t>
          </a:r>
          <a:r>
            <a:rPr lang="en-ZA" b="1" dirty="0" smtClean="0">
              <a:solidFill>
                <a:sysClr val="windowText" lastClr="000000"/>
              </a:solidFill>
              <a:latin typeface="Arial" panose="020B0604020202020204" pitchFamily="34" charset="0"/>
              <a:cs typeface="Arial" panose="020B0604020202020204" pitchFamily="34" charset="0"/>
            </a:rPr>
            <a:t>management</a:t>
          </a:r>
        </a:p>
        <a:p>
          <a:endParaRPr lang="en-ZA" b="1" dirty="0"/>
        </a:p>
      </dgm:t>
    </dgm:pt>
    <dgm:pt modelId="{F6D6E848-6A5D-4164-B742-F00C510444FB}" type="sibTrans" cxnId="{71EE703C-5588-4F6D-8634-701588025522}">
      <dgm:prSet/>
      <dgm:spPr/>
      <dgm:t>
        <a:bodyPr/>
        <a:lstStyle/>
        <a:p>
          <a:endParaRPr lang="en-ZA"/>
        </a:p>
      </dgm:t>
    </dgm:pt>
    <dgm:pt modelId="{CEF70822-8FA7-4D09-8E18-2C5B2905463D}" type="parTrans" cxnId="{71EE703C-5588-4F6D-8634-701588025522}">
      <dgm:prSet/>
      <dgm:spPr/>
      <dgm:t>
        <a:bodyPr/>
        <a:lstStyle/>
        <a:p>
          <a:endParaRPr lang="en-ZA"/>
        </a:p>
      </dgm:t>
    </dgm:pt>
    <dgm:pt modelId="{CF1D573E-3B47-4ADA-ADDC-603E8AFE5FE3}" type="pres">
      <dgm:prSet presAssocID="{BE8EF0F7-FCA9-4972-9C82-77C5A647B2C7}" presName="composite" presStyleCnt="0">
        <dgm:presLayoutVars>
          <dgm:chMax val="1"/>
          <dgm:dir/>
          <dgm:resizeHandles val="exact"/>
        </dgm:presLayoutVars>
      </dgm:prSet>
      <dgm:spPr/>
      <dgm:t>
        <a:bodyPr/>
        <a:lstStyle/>
        <a:p>
          <a:endParaRPr lang="en-ZA"/>
        </a:p>
      </dgm:t>
    </dgm:pt>
    <dgm:pt modelId="{25311D49-B19E-4FF8-8EDA-3E28FB6E81F1}" type="pres">
      <dgm:prSet presAssocID="{BE8EF0F7-FCA9-4972-9C82-77C5A647B2C7}" presName="radial" presStyleCnt="0">
        <dgm:presLayoutVars>
          <dgm:animLvl val="ctr"/>
        </dgm:presLayoutVars>
      </dgm:prSet>
      <dgm:spPr/>
    </dgm:pt>
    <dgm:pt modelId="{6D23519B-EB5E-4C2A-81A7-8D6A0F72A02B}" type="pres">
      <dgm:prSet presAssocID="{358AF88E-6AC7-4601-A8E6-1D585E499D47}" presName="centerShape" presStyleLbl="vennNode1" presStyleIdx="0" presStyleCnt="9"/>
      <dgm:spPr>
        <a:prstGeom prst="hexagon">
          <a:avLst/>
        </a:prstGeom>
      </dgm:spPr>
      <dgm:t>
        <a:bodyPr/>
        <a:lstStyle/>
        <a:p>
          <a:endParaRPr lang="en-ZA"/>
        </a:p>
      </dgm:t>
    </dgm:pt>
    <dgm:pt modelId="{7AEADA36-D9F0-4AD4-A6B5-1B20D2EC5F49}" type="pres">
      <dgm:prSet presAssocID="{A767F93A-7753-4F7C-BBB7-F177A1CD93AB}" presName="node" presStyleLbl="vennNode1" presStyleIdx="1" presStyleCnt="9">
        <dgm:presLayoutVars>
          <dgm:bulletEnabled val="1"/>
        </dgm:presLayoutVars>
      </dgm:prSet>
      <dgm:spPr>
        <a:prstGeom prst="hexagon">
          <a:avLst/>
        </a:prstGeom>
      </dgm:spPr>
      <dgm:t>
        <a:bodyPr/>
        <a:lstStyle/>
        <a:p>
          <a:endParaRPr lang="en-ZA"/>
        </a:p>
      </dgm:t>
    </dgm:pt>
    <dgm:pt modelId="{E1ED5273-6D7D-4E68-BC91-481D0D31B8B2}" type="pres">
      <dgm:prSet presAssocID="{4ACA83D6-990F-41AF-AE02-73394BB4325C}" presName="node" presStyleLbl="vennNode1" presStyleIdx="2" presStyleCnt="9" custScaleX="109597">
        <dgm:presLayoutVars>
          <dgm:bulletEnabled val="1"/>
        </dgm:presLayoutVars>
      </dgm:prSet>
      <dgm:spPr>
        <a:prstGeom prst="hexagon">
          <a:avLst/>
        </a:prstGeom>
      </dgm:spPr>
      <dgm:t>
        <a:bodyPr/>
        <a:lstStyle/>
        <a:p>
          <a:endParaRPr lang="en-ZA"/>
        </a:p>
      </dgm:t>
    </dgm:pt>
    <dgm:pt modelId="{4C2DE700-E050-4F32-BA84-CF00ECA07B27}" type="pres">
      <dgm:prSet presAssocID="{51A5EB52-1C10-499F-8254-6884AC528295}" presName="node" presStyleLbl="vennNode1" presStyleIdx="3" presStyleCnt="9" custRadScaleRad="98692" custRadScaleInc="4410">
        <dgm:presLayoutVars>
          <dgm:bulletEnabled val="1"/>
        </dgm:presLayoutVars>
      </dgm:prSet>
      <dgm:spPr>
        <a:prstGeom prst="hexagon">
          <a:avLst/>
        </a:prstGeom>
      </dgm:spPr>
      <dgm:t>
        <a:bodyPr/>
        <a:lstStyle/>
        <a:p>
          <a:endParaRPr lang="en-ZA"/>
        </a:p>
      </dgm:t>
    </dgm:pt>
    <dgm:pt modelId="{D931D1C0-2042-4B05-9585-83F44BBCDBA8}" type="pres">
      <dgm:prSet presAssocID="{3FF0A174-CB8D-4BC1-A727-02F74D718005}" presName="node" presStyleLbl="vennNode1" presStyleIdx="4" presStyleCnt="9" custRadScaleRad="102973" custRadScaleInc="4782">
        <dgm:presLayoutVars>
          <dgm:bulletEnabled val="1"/>
        </dgm:presLayoutVars>
      </dgm:prSet>
      <dgm:spPr>
        <a:prstGeom prst="hexagon">
          <a:avLst/>
        </a:prstGeom>
      </dgm:spPr>
      <dgm:t>
        <a:bodyPr/>
        <a:lstStyle/>
        <a:p>
          <a:endParaRPr lang="en-ZA"/>
        </a:p>
      </dgm:t>
    </dgm:pt>
    <dgm:pt modelId="{FAC4EFBA-3E3E-43D7-84A4-3C9A7DCAADE5}" type="pres">
      <dgm:prSet presAssocID="{062658AC-072A-46CB-9B74-5296C99B80CB}" presName="node" presStyleLbl="vennNode1" presStyleIdx="5" presStyleCnt="9">
        <dgm:presLayoutVars>
          <dgm:bulletEnabled val="1"/>
        </dgm:presLayoutVars>
      </dgm:prSet>
      <dgm:spPr>
        <a:prstGeom prst="hexagon">
          <a:avLst/>
        </a:prstGeom>
      </dgm:spPr>
      <dgm:t>
        <a:bodyPr/>
        <a:lstStyle/>
        <a:p>
          <a:endParaRPr lang="en-ZA"/>
        </a:p>
      </dgm:t>
    </dgm:pt>
    <dgm:pt modelId="{821D502A-8A20-46F7-A297-C024107D4DB5}" type="pres">
      <dgm:prSet presAssocID="{5D83CF92-4765-4E5A-A796-4BA984B0A932}" presName="node" presStyleLbl="vennNode1" presStyleIdx="6" presStyleCnt="9">
        <dgm:presLayoutVars>
          <dgm:bulletEnabled val="1"/>
        </dgm:presLayoutVars>
      </dgm:prSet>
      <dgm:spPr>
        <a:prstGeom prst="hexagon">
          <a:avLst/>
        </a:prstGeom>
      </dgm:spPr>
      <dgm:t>
        <a:bodyPr/>
        <a:lstStyle/>
        <a:p>
          <a:endParaRPr lang="en-ZA"/>
        </a:p>
      </dgm:t>
    </dgm:pt>
    <dgm:pt modelId="{6EF46C30-7051-4BD5-83CC-18D9574991CD}" type="pres">
      <dgm:prSet presAssocID="{FA6A1A76-7F66-4D64-9316-2C34A3C03C2D}" presName="node" presStyleLbl="vennNode1" presStyleIdx="7" presStyleCnt="9">
        <dgm:presLayoutVars>
          <dgm:bulletEnabled val="1"/>
        </dgm:presLayoutVars>
      </dgm:prSet>
      <dgm:spPr>
        <a:prstGeom prst="hexagon">
          <a:avLst/>
        </a:prstGeom>
      </dgm:spPr>
      <dgm:t>
        <a:bodyPr/>
        <a:lstStyle/>
        <a:p>
          <a:endParaRPr lang="en-ZA"/>
        </a:p>
      </dgm:t>
    </dgm:pt>
    <dgm:pt modelId="{59FE528A-BB06-42D8-89B5-8133DCBCF2D6}" type="pres">
      <dgm:prSet presAssocID="{39B8728B-CBA4-4471-9310-D3DC011E8CC7}" presName="node" presStyleLbl="vennNode1" presStyleIdx="8" presStyleCnt="9">
        <dgm:presLayoutVars>
          <dgm:bulletEnabled val="1"/>
        </dgm:presLayoutVars>
      </dgm:prSet>
      <dgm:spPr>
        <a:prstGeom prst="hexagon">
          <a:avLst/>
        </a:prstGeom>
      </dgm:spPr>
      <dgm:t>
        <a:bodyPr/>
        <a:lstStyle/>
        <a:p>
          <a:endParaRPr lang="en-ZA"/>
        </a:p>
      </dgm:t>
    </dgm:pt>
  </dgm:ptLst>
  <dgm:cxnLst>
    <dgm:cxn modelId="{AC7B54DE-8621-4AF9-B25D-971940D0921A}" srcId="{358AF88E-6AC7-4601-A8E6-1D585E499D47}" destId="{A767F93A-7753-4F7C-BBB7-F177A1CD93AB}" srcOrd="0" destOrd="0" parTransId="{1E31EA40-AA61-4B6A-BD5E-A7478417E343}" sibTransId="{D4F0F9C6-DBD0-476B-AC5F-F47B45205D72}"/>
    <dgm:cxn modelId="{C04372F1-BDC2-4BC5-8330-B7E7CA08563B}" type="presOf" srcId="{FA6A1A76-7F66-4D64-9316-2C34A3C03C2D}" destId="{6EF46C30-7051-4BD5-83CC-18D9574991CD}" srcOrd="0" destOrd="0" presId="urn:microsoft.com/office/officeart/2005/8/layout/radial3"/>
    <dgm:cxn modelId="{338C87C2-53C7-4B59-B471-92122C4C48CC}" type="presOf" srcId="{5D83CF92-4765-4E5A-A796-4BA984B0A932}" destId="{821D502A-8A20-46F7-A297-C024107D4DB5}" srcOrd="0" destOrd="0" presId="urn:microsoft.com/office/officeart/2005/8/layout/radial3"/>
    <dgm:cxn modelId="{95C726B1-54FA-46EE-949B-5AF912A869DD}" srcId="{358AF88E-6AC7-4601-A8E6-1D585E499D47}" destId="{51A5EB52-1C10-499F-8254-6884AC528295}" srcOrd="2" destOrd="0" parTransId="{0B72B387-574C-44E9-84C3-10C1D7797627}" sibTransId="{7BA5FA30-B733-4C8B-8098-725696DF94C0}"/>
    <dgm:cxn modelId="{A5818026-811E-4834-A17C-63E8AD08D8F0}" type="presOf" srcId="{BE8EF0F7-FCA9-4972-9C82-77C5A647B2C7}" destId="{CF1D573E-3B47-4ADA-ADDC-603E8AFE5FE3}" srcOrd="0" destOrd="0" presId="urn:microsoft.com/office/officeart/2005/8/layout/radial3"/>
    <dgm:cxn modelId="{95C01F86-ED0E-436D-A98F-A020A26424EF}" srcId="{BE8EF0F7-FCA9-4972-9C82-77C5A647B2C7}" destId="{358AF88E-6AC7-4601-A8E6-1D585E499D47}" srcOrd="0" destOrd="0" parTransId="{BB8BAB2D-73CC-4EC8-8FBC-E8FDC3F7F911}" sibTransId="{64822B7C-C839-437C-82CF-00D8BAAD0949}"/>
    <dgm:cxn modelId="{71EE703C-5588-4F6D-8634-701588025522}" srcId="{358AF88E-6AC7-4601-A8E6-1D585E499D47}" destId="{062658AC-072A-46CB-9B74-5296C99B80CB}" srcOrd="4" destOrd="0" parTransId="{CEF70822-8FA7-4D09-8E18-2C5B2905463D}" sibTransId="{F6D6E848-6A5D-4164-B742-F00C510444FB}"/>
    <dgm:cxn modelId="{38CF7EF4-B636-49DE-83BE-45E9078E15E6}" type="presOf" srcId="{358AF88E-6AC7-4601-A8E6-1D585E499D47}" destId="{6D23519B-EB5E-4C2A-81A7-8D6A0F72A02B}" srcOrd="0" destOrd="0" presId="urn:microsoft.com/office/officeart/2005/8/layout/radial3"/>
    <dgm:cxn modelId="{36686DA9-A7EE-4AA7-9EB6-ABD8D4F01DC3}" srcId="{358AF88E-6AC7-4601-A8E6-1D585E499D47}" destId="{5D83CF92-4765-4E5A-A796-4BA984B0A932}" srcOrd="5" destOrd="0" parTransId="{CD433989-876C-4DFF-A93F-9D95B2BD9E9E}" sibTransId="{98C5BC76-7BFC-4671-8476-D90336443DF3}"/>
    <dgm:cxn modelId="{0A8D55CC-6E88-43DF-BD37-C6062C4C2FC0}" srcId="{358AF88E-6AC7-4601-A8E6-1D585E499D47}" destId="{39B8728B-CBA4-4471-9310-D3DC011E8CC7}" srcOrd="7" destOrd="0" parTransId="{6AC3D5CC-1E1D-43DA-A6EA-3903334152B5}" sibTransId="{AB451031-7E37-4C5D-BD65-8318FE3043D5}"/>
    <dgm:cxn modelId="{D59AF57E-3EDF-4ED7-86A8-5E641970C126}" type="presOf" srcId="{39B8728B-CBA4-4471-9310-D3DC011E8CC7}" destId="{59FE528A-BB06-42D8-89B5-8133DCBCF2D6}" srcOrd="0" destOrd="0" presId="urn:microsoft.com/office/officeart/2005/8/layout/radial3"/>
    <dgm:cxn modelId="{2603568F-C041-46C1-8AA2-A3A24B9FCE9A}" type="presOf" srcId="{A767F93A-7753-4F7C-BBB7-F177A1CD93AB}" destId="{7AEADA36-D9F0-4AD4-A6B5-1B20D2EC5F49}" srcOrd="0" destOrd="0" presId="urn:microsoft.com/office/officeart/2005/8/layout/radial3"/>
    <dgm:cxn modelId="{0F308586-FF67-416C-8426-6D76D42C8BA3}" srcId="{358AF88E-6AC7-4601-A8E6-1D585E499D47}" destId="{3FF0A174-CB8D-4BC1-A727-02F74D718005}" srcOrd="3" destOrd="0" parTransId="{88A16D0E-1D5B-4990-88FD-FDADC2B1B2A0}" sibTransId="{00D0CDE6-DF8C-4C8F-92DE-B66340C21A3C}"/>
    <dgm:cxn modelId="{1B0E6818-C3D0-435C-B80E-5AB71221DC19}" type="presOf" srcId="{3FF0A174-CB8D-4BC1-A727-02F74D718005}" destId="{D931D1C0-2042-4B05-9585-83F44BBCDBA8}" srcOrd="0" destOrd="0" presId="urn:microsoft.com/office/officeart/2005/8/layout/radial3"/>
    <dgm:cxn modelId="{4AEF91BA-97A3-4C77-AF29-BBC1AB2EBDCF}" type="presOf" srcId="{062658AC-072A-46CB-9B74-5296C99B80CB}" destId="{FAC4EFBA-3E3E-43D7-84A4-3C9A7DCAADE5}" srcOrd="0" destOrd="0" presId="urn:microsoft.com/office/officeart/2005/8/layout/radial3"/>
    <dgm:cxn modelId="{AE610BEA-E929-4813-AE08-C0A01B2E3949}" srcId="{358AF88E-6AC7-4601-A8E6-1D585E499D47}" destId="{4ACA83D6-990F-41AF-AE02-73394BB4325C}" srcOrd="1" destOrd="0" parTransId="{DB6C906E-8EC0-4A33-A08C-4DC0AC9AF275}" sibTransId="{CB18B3C4-AF8B-402C-BDC7-904AD0DAD520}"/>
    <dgm:cxn modelId="{45C52914-907D-4EC6-B528-7BB392247369}" type="presOf" srcId="{4ACA83D6-990F-41AF-AE02-73394BB4325C}" destId="{E1ED5273-6D7D-4E68-BC91-481D0D31B8B2}" srcOrd="0" destOrd="0" presId="urn:microsoft.com/office/officeart/2005/8/layout/radial3"/>
    <dgm:cxn modelId="{8E7E9F65-C579-4CAC-BC18-22768956B4F6}" srcId="{358AF88E-6AC7-4601-A8E6-1D585E499D47}" destId="{FA6A1A76-7F66-4D64-9316-2C34A3C03C2D}" srcOrd="6" destOrd="0" parTransId="{EACC0CD4-1BC2-4E33-9EF7-325683EA8E5A}" sibTransId="{E53D10CD-EECE-4147-A4E1-9BA7DE0C5237}"/>
    <dgm:cxn modelId="{310FF3A4-A770-4F03-B259-E637DC398BB0}" type="presOf" srcId="{51A5EB52-1C10-499F-8254-6884AC528295}" destId="{4C2DE700-E050-4F32-BA84-CF00ECA07B27}" srcOrd="0" destOrd="0" presId="urn:microsoft.com/office/officeart/2005/8/layout/radial3"/>
    <dgm:cxn modelId="{C36F2953-7FE6-4FE7-B28D-81D9FD5A4A5C}" type="presParOf" srcId="{CF1D573E-3B47-4ADA-ADDC-603E8AFE5FE3}" destId="{25311D49-B19E-4FF8-8EDA-3E28FB6E81F1}" srcOrd="0" destOrd="0" presId="urn:microsoft.com/office/officeart/2005/8/layout/radial3"/>
    <dgm:cxn modelId="{15742D49-D569-4C49-8F7F-6A77099E58C2}" type="presParOf" srcId="{25311D49-B19E-4FF8-8EDA-3E28FB6E81F1}" destId="{6D23519B-EB5E-4C2A-81A7-8D6A0F72A02B}" srcOrd="0" destOrd="0" presId="urn:microsoft.com/office/officeart/2005/8/layout/radial3"/>
    <dgm:cxn modelId="{67F5710B-8BB2-4720-A841-EA4A08DC0F17}" type="presParOf" srcId="{25311D49-B19E-4FF8-8EDA-3E28FB6E81F1}" destId="{7AEADA36-D9F0-4AD4-A6B5-1B20D2EC5F49}" srcOrd="1" destOrd="0" presId="urn:microsoft.com/office/officeart/2005/8/layout/radial3"/>
    <dgm:cxn modelId="{31780177-A139-4B86-847A-DF861E210A3E}" type="presParOf" srcId="{25311D49-B19E-4FF8-8EDA-3E28FB6E81F1}" destId="{E1ED5273-6D7D-4E68-BC91-481D0D31B8B2}" srcOrd="2" destOrd="0" presId="urn:microsoft.com/office/officeart/2005/8/layout/radial3"/>
    <dgm:cxn modelId="{3AA4AFED-38FB-4DF5-B4ED-C66034A26250}" type="presParOf" srcId="{25311D49-B19E-4FF8-8EDA-3E28FB6E81F1}" destId="{4C2DE700-E050-4F32-BA84-CF00ECA07B27}" srcOrd="3" destOrd="0" presId="urn:microsoft.com/office/officeart/2005/8/layout/radial3"/>
    <dgm:cxn modelId="{C8B73997-862D-4FD6-A5A6-1045987B215A}" type="presParOf" srcId="{25311D49-B19E-4FF8-8EDA-3E28FB6E81F1}" destId="{D931D1C0-2042-4B05-9585-83F44BBCDBA8}" srcOrd="4" destOrd="0" presId="urn:microsoft.com/office/officeart/2005/8/layout/radial3"/>
    <dgm:cxn modelId="{C85495F6-DB35-40B5-B17A-76048D1473BB}" type="presParOf" srcId="{25311D49-B19E-4FF8-8EDA-3E28FB6E81F1}" destId="{FAC4EFBA-3E3E-43D7-84A4-3C9A7DCAADE5}" srcOrd="5" destOrd="0" presId="urn:microsoft.com/office/officeart/2005/8/layout/radial3"/>
    <dgm:cxn modelId="{87B50209-4092-4DF8-890D-608F5F3CCB79}" type="presParOf" srcId="{25311D49-B19E-4FF8-8EDA-3E28FB6E81F1}" destId="{821D502A-8A20-46F7-A297-C024107D4DB5}" srcOrd="6" destOrd="0" presId="urn:microsoft.com/office/officeart/2005/8/layout/radial3"/>
    <dgm:cxn modelId="{10A6716C-3408-4748-B685-9C997940C245}" type="presParOf" srcId="{25311D49-B19E-4FF8-8EDA-3E28FB6E81F1}" destId="{6EF46C30-7051-4BD5-83CC-18D9574991CD}" srcOrd="7" destOrd="0" presId="urn:microsoft.com/office/officeart/2005/8/layout/radial3"/>
    <dgm:cxn modelId="{6770B872-45EE-4ED4-ACFE-851868489AFA}" type="presParOf" srcId="{25311D49-B19E-4FF8-8EDA-3E28FB6E81F1}" destId="{59FE528A-BB06-42D8-89B5-8133DCBCF2D6}" srcOrd="8" destOrd="0" presId="urn:microsoft.com/office/officeart/2005/8/layout/radial3"/>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3519B-EB5E-4C2A-81A7-8D6A0F72A02B}">
      <dsp:nvSpPr>
        <dsp:cNvPr id="0" name=""/>
        <dsp:cNvSpPr/>
      </dsp:nvSpPr>
      <dsp:spPr>
        <a:xfrm>
          <a:off x="2123509" y="687139"/>
          <a:ext cx="1711821" cy="1711821"/>
        </a:xfrm>
        <a:prstGeom prst="hexagon">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smtClean="0"/>
            <a:t>Status of key focus areas</a:t>
          </a:r>
          <a:endParaRPr lang="en-ZA" sz="1200" b="1" kern="1200" dirty="0"/>
        </a:p>
      </dsp:txBody>
      <dsp:txXfrm>
        <a:off x="2123509" y="687139"/>
        <a:ext cx="1711821" cy="1711821"/>
      </dsp:txXfrm>
    </dsp:sp>
    <dsp:sp modelId="{7AEADA36-D9F0-4AD4-A6B5-1B20D2EC5F49}">
      <dsp:nvSpPr>
        <dsp:cNvPr id="0" name=""/>
        <dsp:cNvSpPr/>
      </dsp:nvSpPr>
      <dsp:spPr>
        <a:xfrm>
          <a:off x="2551464" y="305"/>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Oversight and monitoring</a:t>
          </a:r>
        </a:p>
        <a:p>
          <a:pPr lvl="0" algn="ctr" defTabSz="311150">
            <a:lnSpc>
              <a:spcPct val="90000"/>
            </a:lnSpc>
            <a:spcBef>
              <a:spcPct val="0"/>
            </a:spcBef>
            <a:spcAft>
              <a:spcPct val="35000"/>
            </a:spcAft>
          </a:pPr>
          <a:endParaRPr lang="en-ZA" sz="700" b="1" kern="1200" dirty="0" smtClean="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2551464" y="305"/>
        <a:ext cx="855910" cy="855910"/>
      </dsp:txXfrm>
    </dsp:sp>
    <dsp:sp modelId="{E1ED5273-6D7D-4E68-BC91-481D0D31B8B2}">
      <dsp:nvSpPr>
        <dsp:cNvPr id="0" name=""/>
        <dsp:cNvSpPr/>
      </dsp:nvSpPr>
      <dsp:spPr>
        <a:xfrm>
          <a:off x="3298668" y="326819"/>
          <a:ext cx="938052"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management</a:t>
          </a:r>
        </a:p>
      </dsp:txBody>
      <dsp:txXfrm>
        <a:off x="3298668" y="326819"/>
        <a:ext cx="938052" cy="855910"/>
      </dsp:txXfrm>
    </dsp:sp>
    <dsp:sp modelId="{4C2DE700-E050-4F32-BA84-CF00ECA07B27}">
      <dsp:nvSpPr>
        <dsp:cNvPr id="0" name=""/>
        <dsp:cNvSpPr/>
      </dsp:nvSpPr>
      <dsp:spPr>
        <a:xfrm>
          <a:off x="3651009" y="1176056"/>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Performance management   </a:t>
          </a:r>
        </a:p>
      </dsp:txBody>
      <dsp:txXfrm>
        <a:off x="3651009" y="1176056"/>
        <a:ext cx="855910" cy="855910"/>
      </dsp:txXfrm>
    </dsp:sp>
    <dsp:sp modelId="{D931D1C0-2042-4B05-9585-83F44BBCDBA8}">
      <dsp:nvSpPr>
        <dsp:cNvPr id="0" name=""/>
        <dsp:cNvSpPr/>
      </dsp:nvSpPr>
      <dsp:spPr>
        <a:xfrm>
          <a:off x="3332123" y="1956711"/>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Procurement and contract management</a:t>
          </a:r>
        </a:p>
      </dsp:txBody>
      <dsp:txXfrm>
        <a:off x="3332123" y="1956711"/>
        <a:ext cx="855910" cy="855910"/>
      </dsp:txXfrm>
    </dsp:sp>
    <dsp:sp modelId="{FAC4EFBA-3E3E-43D7-84A4-3C9A7DCAADE5}">
      <dsp:nvSpPr>
        <dsp:cNvPr id="0" name=""/>
        <dsp:cNvSpPr/>
      </dsp:nvSpPr>
      <dsp:spPr>
        <a:xfrm>
          <a:off x="2551464" y="2229883"/>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Compliance</a:t>
          </a:r>
          <a:r>
            <a:rPr lang="en-ZA" sz="700" kern="1200" dirty="0" smtClean="0">
              <a:solidFill>
                <a:sysClr val="windowText" lastClr="000000"/>
              </a:solidFill>
            </a:rPr>
            <a:t> </a:t>
          </a:r>
          <a:r>
            <a:rPr lang="en-ZA" sz="700" b="1" kern="1200" dirty="0" smtClean="0">
              <a:solidFill>
                <a:sysClr val="windowText" lastClr="000000"/>
              </a:solidFill>
              <a:latin typeface="Arial" panose="020B0604020202020204" pitchFamily="34" charset="0"/>
              <a:cs typeface="Arial" panose="020B0604020202020204" pitchFamily="34" charset="0"/>
            </a:rPr>
            <a:t>management</a:t>
          </a:r>
        </a:p>
        <a:p>
          <a:pPr lvl="0" algn="ctr" defTabSz="311150">
            <a:lnSpc>
              <a:spcPct val="90000"/>
            </a:lnSpc>
            <a:spcBef>
              <a:spcPct val="0"/>
            </a:spcBef>
            <a:spcAft>
              <a:spcPct val="35000"/>
            </a:spcAft>
          </a:pPr>
          <a:endParaRPr lang="en-ZA" sz="700" b="1" kern="1200" dirty="0"/>
        </a:p>
      </dsp:txBody>
      <dsp:txXfrm>
        <a:off x="2551464" y="2229883"/>
        <a:ext cx="855910" cy="855910"/>
      </dsp:txXfrm>
    </dsp:sp>
    <dsp:sp modelId="{821D502A-8A20-46F7-A297-C024107D4DB5}">
      <dsp:nvSpPr>
        <dsp:cNvPr id="0" name=""/>
        <dsp:cNvSpPr/>
      </dsp:nvSpPr>
      <dsp:spPr>
        <a:xfrm>
          <a:off x="1763189" y="1903369"/>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HR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1903369"/>
        <a:ext cx="855910" cy="855910"/>
      </dsp:txXfrm>
    </dsp:sp>
    <dsp:sp modelId="{6EF46C30-7051-4BD5-83CC-18D9574991CD}">
      <dsp:nvSpPr>
        <dsp:cNvPr id="0" name=""/>
        <dsp:cNvSpPr/>
      </dsp:nvSpPr>
      <dsp:spPr>
        <a:xfrm>
          <a:off x="1436675" y="1115094"/>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IT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436675" y="1115094"/>
        <a:ext cx="855910" cy="855910"/>
      </dsp:txXfrm>
    </dsp:sp>
    <dsp:sp modelId="{59FE528A-BB06-42D8-89B5-8133DCBCF2D6}">
      <dsp:nvSpPr>
        <dsp:cNvPr id="0" name=""/>
        <dsp:cNvSpPr/>
      </dsp:nvSpPr>
      <dsp:spPr>
        <a:xfrm>
          <a:off x="1763189" y="326819"/>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health</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326819"/>
        <a:ext cx="855910" cy="8559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3519B-EB5E-4C2A-81A7-8D6A0F72A02B}">
      <dsp:nvSpPr>
        <dsp:cNvPr id="0" name=""/>
        <dsp:cNvSpPr/>
      </dsp:nvSpPr>
      <dsp:spPr>
        <a:xfrm>
          <a:off x="2123509" y="687139"/>
          <a:ext cx="1711821" cy="1711821"/>
        </a:xfrm>
        <a:prstGeom prst="hexagon">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smtClean="0"/>
            <a:t>Status of key focus areas</a:t>
          </a:r>
          <a:endParaRPr lang="en-ZA" sz="1200" b="1" kern="1200" dirty="0"/>
        </a:p>
      </dsp:txBody>
      <dsp:txXfrm>
        <a:off x="2123509" y="687139"/>
        <a:ext cx="1711821" cy="1711821"/>
      </dsp:txXfrm>
    </dsp:sp>
    <dsp:sp modelId="{7AEADA36-D9F0-4AD4-A6B5-1B20D2EC5F49}">
      <dsp:nvSpPr>
        <dsp:cNvPr id="0" name=""/>
        <dsp:cNvSpPr/>
      </dsp:nvSpPr>
      <dsp:spPr>
        <a:xfrm>
          <a:off x="2551464" y="305"/>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Oversight and monitoring</a:t>
          </a:r>
        </a:p>
        <a:p>
          <a:pPr lvl="0" algn="ctr" defTabSz="311150">
            <a:lnSpc>
              <a:spcPct val="90000"/>
            </a:lnSpc>
            <a:spcBef>
              <a:spcPct val="0"/>
            </a:spcBef>
            <a:spcAft>
              <a:spcPct val="35000"/>
            </a:spcAft>
          </a:pPr>
          <a:endParaRPr lang="en-ZA" sz="700" b="1" kern="1200" dirty="0" smtClean="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2551464" y="305"/>
        <a:ext cx="855910" cy="855910"/>
      </dsp:txXfrm>
    </dsp:sp>
    <dsp:sp modelId="{E1ED5273-6D7D-4E68-BC91-481D0D31B8B2}">
      <dsp:nvSpPr>
        <dsp:cNvPr id="0" name=""/>
        <dsp:cNvSpPr/>
      </dsp:nvSpPr>
      <dsp:spPr>
        <a:xfrm>
          <a:off x="3298668" y="326819"/>
          <a:ext cx="938052"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management</a:t>
          </a:r>
        </a:p>
      </dsp:txBody>
      <dsp:txXfrm>
        <a:off x="3298668" y="326819"/>
        <a:ext cx="938052" cy="855910"/>
      </dsp:txXfrm>
    </dsp:sp>
    <dsp:sp modelId="{4C2DE700-E050-4F32-BA84-CF00ECA07B27}">
      <dsp:nvSpPr>
        <dsp:cNvPr id="0" name=""/>
        <dsp:cNvSpPr/>
      </dsp:nvSpPr>
      <dsp:spPr>
        <a:xfrm>
          <a:off x="3651012" y="1153193"/>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Performance management   </a:t>
          </a:r>
        </a:p>
      </dsp:txBody>
      <dsp:txXfrm>
        <a:off x="3651012" y="1153193"/>
        <a:ext cx="855910" cy="855910"/>
      </dsp:txXfrm>
    </dsp:sp>
    <dsp:sp modelId="{D931D1C0-2042-4B05-9585-83F44BBCDBA8}">
      <dsp:nvSpPr>
        <dsp:cNvPr id="0" name=""/>
        <dsp:cNvSpPr/>
      </dsp:nvSpPr>
      <dsp:spPr>
        <a:xfrm>
          <a:off x="3332123" y="1956711"/>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Procurement and contract management</a:t>
          </a:r>
        </a:p>
      </dsp:txBody>
      <dsp:txXfrm>
        <a:off x="3332123" y="1956711"/>
        <a:ext cx="855910" cy="855910"/>
      </dsp:txXfrm>
    </dsp:sp>
    <dsp:sp modelId="{FAC4EFBA-3E3E-43D7-84A4-3C9A7DCAADE5}">
      <dsp:nvSpPr>
        <dsp:cNvPr id="0" name=""/>
        <dsp:cNvSpPr/>
      </dsp:nvSpPr>
      <dsp:spPr>
        <a:xfrm>
          <a:off x="2551464" y="2229883"/>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Compliance</a:t>
          </a:r>
          <a:r>
            <a:rPr lang="en-ZA" sz="700" kern="1200" dirty="0" smtClean="0">
              <a:solidFill>
                <a:sysClr val="windowText" lastClr="000000"/>
              </a:solidFill>
            </a:rPr>
            <a:t> </a:t>
          </a:r>
          <a:r>
            <a:rPr lang="en-ZA" sz="700" b="1" kern="1200" dirty="0" smtClean="0">
              <a:solidFill>
                <a:sysClr val="windowText" lastClr="000000"/>
              </a:solidFill>
              <a:latin typeface="Arial" panose="020B0604020202020204" pitchFamily="34" charset="0"/>
              <a:cs typeface="Arial" panose="020B0604020202020204" pitchFamily="34" charset="0"/>
            </a:rPr>
            <a:t>management</a:t>
          </a:r>
        </a:p>
        <a:p>
          <a:pPr lvl="0" algn="ctr" defTabSz="311150">
            <a:lnSpc>
              <a:spcPct val="90000"/>
            </a:lnSpc>
            <a:spcBef>
              <a:spcPct val="0"/>
            </a:spcBef>
            <a:spcAft>
              <a:spcPct val="35000"/>
            </a:spcAft>
          </a:pPr>
          <a:endParaRPr lang="en-ZA" sz="700" b="1" kern="1200" dirty="0"/>
        </a:p>
      </dsp:txBody>
      <dsp:txXfrm>
        <a:off x="2551464" y="2229883"/>
        <a:ext cx="855910" cy="855910"/>
      </dsp:txXfrm>
    </dsp:sp>
    <dsp:sp modelId="{821D502A-8A20-46F7-A297-C024107D4DB5}">
      <dsp:nvSpPr>
        <dsp:cNvPr id="0" name=""/>
        <dsp:cNvSpPr/>
      </dsp:nvSpPr>
      <dsp:spPr>
        <a:xfrm>
          <a:off x="1763189" y="1903369"/>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HR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1903369"/>
        <a:ext cx="855910" cy="855910"/>
      </dsp:txXfrm>
    </dsp:sp>
    <dsp:sp modelId="{6EF46C30-7051-4BD5-83CC-18D9574991CD}">
      <dsp:nvSpPr>
        <dsp:cNvPr id="0" name=""/>
        <dsp:cNvSpPr/>
      </dsp:nvSpPr>
      <dsp:spPr>
        <a:xfrm>
          <a:off x="1436675" y="1115094"/>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IT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436675" y="1115094"/>
        <a:ext cx="855910" cy="855910"/>
      </dsp:txXfrm>
    </dsp:sp>
    <dsp:sp modelId="{59FE528A-BB06-42D8-89B5-8133DCBCF2D6}">
      <dsp:nvSpPr>
        <dsp:cNvPr id="0" name=""/>
        <dsp:cNvSpPr/>
      </dsp:nvSpPr>
      <dsp:spPr>
        <a:xfrm>
          <a:off x="1763189" y="326819"/>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health</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326819"/>
        <a:ext cx="855910" cy="85591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3519B-EB5E-4C2A-81A7-8D6A0F72A02B}">
      <dsp:nvSpPr>
        <dsp:cNvPr id="0" name=""/>
        <dsp:cNvSpPr/>
      </dsp:nvSpPr>
      <dsp:spPr>
        <a:xfrm>
          <a:off x="2123509" y="687139"/>
          <a:ext cx="1711821" cy="1711821"/>
        </a:xfrm>
        <a:prstGeom prst="hexagon">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smtClean="0"/>
            <a:t>Status of key focus areas</a:t>
          </a:r>
          <a:endParaRPr lang="en-ZA" sz="1200" b="1" kern="1200" dirty="0"/>
        </a:p>
      </dsp:txBody>
      <dsp:txXfrm>
        <a:off x="2123509" y="687139"/>
        <a:ext cx="1711821" cy="1711821"/>
      </dsp:txXfrm>
    </dsp:sp>
    <dsp:sp modelId="{7AEADA36-D9F0-4AD4-A6B5-1B20D2EC5F49}">
      <dsp:nvSpPr>
        <dsp:cNvPr id="0" name=""/>
        <dsp:cNvSpPr/>
      </dsp:nvSpPr>
      <dsp:spPr>
        <a:xfrm>
          <a:off x="2551464" y="305"/>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Oversight and monitoring</a:t>
          </a:r>
        </a:p>
        <a:p>
          <a:pPr lvl="0" algn="ctr" defTabSz="311150">
            <a:lnSpc>
              <a:spcPct val="90000"/>
            </a:lnSpc>
            <a:spcBef>
              <a:spcPct val="0"/>
            </a:spcBef>
            <a:spcAft>
              <a:spcPct val="35000"/>
            </a:spcAft>
          </a:pPr>
          <a:endParaRPr lang="en-ZA" sz="700" b="1" kern="1200" dirty="0" smtClean="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2551464" y="305"/>
        <a:ext cx="855910" cy="855910"/>
      </dsp:txXfrm>
    </dsp:sp>
    <dsp:sp modelId="{E1ED5273-6D7D-4E68-BC91-481D0D31B8B2}">
      <dsp:nvSpPr>
        <dsp:cNvPr id="0" name=""/>
        <dsp:cNvSpPr/>
      </dsp:nvSpPr>
      <dsp:spPr>
        <a:xfrm>
          <a:off x="3298668" y="326819"/>
          <a:ext cx="938052"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management</a:t>
          </a:r>
        </a:p>
      </dsp:txBody>
      <dsp:txXfrm>
        <a:off x="3298668" y="326819"/>
        <a:ext cx="938052" cy="855910"/>
      </dsp:txXfrm>
    </dsp:sp>
    <dsp:sp modelId="{4C2DE700-E050-4F32-BA84-CF00ECA07B27}">
      <dsp:nvSpPr>
        <dsp:cNvPr id="0" name=""/>
        <dsp:cNvSpPr/>
      </dsp:nvSpPr>
      <dsp:spPr>
        <a:xfrm>
          <a:off x="3651012" y="1153193"/>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Performance management   </a:t>
          </a:r>
        </a:p>
      </dsp:txBody>
      <dsp:txXfrm>
        <a:off x="3651012" y="1153193"/>
        <a:ext cx="855910" cy="855910"/>
      </dsp:txXfrm>
    </dsp:sp>
    <dsp:sp modelId="{D931D1C0-2042-4B05-9585-83F44BBCDBA8}">
      <dsp:nvSpPr>
        <dsp:cNvPr id="0" name=""/>
        <dsp:cNvSpPr/>
      </dsp:nvSpPr>
      <dsp:spPr>
        <a:xfrm>
          <a:off x="3332123" y="1956711"/>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Procurement and contract management</a:t>
          </a:r>
        </a:p>
      </dsp:txBody>
      <dsp:txXfrm>
        <a:off x="3332123" y="1956711"/>
        <a:ext cx="855910" cy="855910"/>
      </dsp:txXfrm>
    </dsp:sp>
    <dsp:sp modelId="{FAC4EFBA-3E3E-43D7-84A4-3C9A7DCAADE5}">
      <dsp:nvSpPr>
        <dsp:cNvPr id="0" name=""/>
        <dsp:cNvSpPr/>
      </dsp:nvSpPr>
      <dsp:spPr>
        <a:xfrm>
          <a:off x="2551464" y="2229883"/>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Compliance</a:t>
          </a:r>
          <a:r>
            <a:rPr lang="en-ZA" sz="700" kern="1200" dirty="0" smtClean="0">
              <a:solidFill>
                <a:sysClr val="windowText" lastClr="000000"/>
              </a:solidFill>
            </a:rPr>
            <a:t> </a:t>
          </a:r>
          <a:r>
            <a:rPr lang="en-ZA" sz="700" b="1" kern="1200" dirty="0" smtClean="0">
              <a:solidFill>
                <a:sysClr val="windowText" lastClr="000000"/>
              </a:solidFill>
              <a:latin typeface="Arial" panose="020B0604020202020204" pitchFamily="34" charset="0"/>
              <a:cs typeface="Arial" panose="020B0604020202020204" pitchFamily="34" charset="0"/>
            </a:rPr>
            <a:t>management</a:t>
          </a:r>
        </a:p>
        <a:p>
          <a:pPr lvl="0" algn="ctr" defTabSz="311150">
            <a:lnSpc>
              <a:spcPct val="90000"/>
            </a:lnSpc>
            <a:spcBef>
              <a:spcPct val="0"/>
            </a:spcBef>
            <a:spcAft>
              <a:spcPct val="35000"/>
            </a:spcAft>
          </a:pPr>
          <a:endParaRPr lang="en-ZA" sz="700" b="1" kern="1200" dirty="0"/>
        </a:p>
      </dsp:txBody>
      <dsp:txXfrm>
        <a:off x="2551464" y="2229883"/>
        <a:ext cx="855910" cy="855910"/>
      </dsp:txXfrm>
    </dsp:sp>
    <dsp:sp modelId="{821D502A-8A20-46F7-A297-C024107D4DB5}">
      <dsp:nvSpPr>
        <dsp:cNvPr id="0" name=""/>
        <dsp:cNvSpPr/>
      </dsp:nvSpPr>
      <dsp:spPr>
        <a:xfrm>
          <a:off x="1763189" y="1903369"/>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HR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1903369"/>
        <a:ext cx="855910" cy="855910"/>
      </dsp:txXfrm>
    </dsp:sp>
    <dsp:sp modelId="{6EF46C30-7051-4BD5-83CC-18D9574991CD}">
      <dsp:nvSpPr>
        <dsp:cNvPr id="0" name=""/>
        <dsp:cNvSpPr/>
      </dsp:nvSpPr>
      <dsp:spPr>
        <a:xfrm>
          <a:off x="1436675" y="1115094"/>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IT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436675" y="1115094"/>
        <a:ext cx="855910" cy="855910"/>
      </dsp:txXfrm>
    </dsp:sp>
    <dsp:sp modelId="{59FE528A-BB06-42D8-89B5-8133DCBCF2D6}">
      <dsp:nvSpPr>
        <dsp:cNvPr id="0" name=""/>
        <dsp:cNvSpPr/>
      </dsp:nvSpPr>
      <dsp:spPr>
        <a:xfrm>
          <a:off x="1763189" y="326819"/>
          <a:ext cx="855910" cy="855910"/>
        </a:xfrm>
        <a:prstGeom prst="hexagon">
          <a:avLst/>
        </a:prstGeom>
        <a:solidFill>
          <a:srgbClr val="F9A1A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health</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326819"/>
        <a:ext cx="855910" cy="85591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3519B-EB5E-4C2A-81A7-8D6A0F72A02B}">
      <dsp:nvSpPr>
        <dsp:cNvPr id="0" name=""/>
        <dsp:cNvSpPr/>
      </dsp:nvSpPr>
      <dsp:spPr>
        <a:xfrm>
          <a:off x="2123509" y="687139"/>
          <a:ext cx="1711821" cy="1711821"/>
        </a:xfrm>
        <a:prstGeom prst="hexagon">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smtClean="0"/>
            <a:t>Status of key focus areas</a:t>
          </a:r>
          <a:endParaRPr lang="en-ZA" sz="1200" b="1" kern="1200" dirty="0"/>
        </a:p>
      </dsp:txBody>
      <dsp:txXfrm>
        <a:off x="2123509" y="687139"/>
        <a:ext cx="1711821" cy="1711821"/>
      </dsp:txXfrm>
    </dsp:sp>
    <dsp:sp modelId="{7AEADA36-D9F0-4AD4-A6B5-1B20D2EC5F49}">
      <dsp:nvSpPr>
        <dsp:cNvPr id="0" name=""/>
        <dsp:cNvSpPr/>
      </dsp:nvSpPr>
      <dsp:spPr>
        <a:xfrm>
          <a:off x="2551464" y="305"/>
          <a:ext cx="855910" cy="855910"/>
        </a:xfrm>
        <a:prstGeom prst="hexagon">
          <a:avLst/>
        </a:prstGeom>
        <a:solidFill>
          <a:srgbClr val="EFD1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Oversight and monitoring</a:t>
          </a:r>
        </a:p>
        <a:p>
          <a:pPr lvl="0" algn="ctr" defTabSz="311150">
            <a:lnSpc>
              <a:spcPct val="90000"/>
            </a:lnSpc>
            <a:spcBef>
              <a:spcPct val="0"/>
            </a:spcBef>
            <a:spcAft>
              <a:spcPct val="35000"/>
            </a:spcAft>
          </a:pPr>
          <a:endParaRPr lang="en-ZA" sz="700" b="1" kern="1200" dirty="0" smtClean="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2551464" y="305"/>
        <a:ext cx="855910" cy="855910"/>
      </dsp:txXfrm>
    </dsp:sp>
    <dsp:sp modelId="{E1ED5273-6D7D-4E68-BC91-481D0D31B8B2}">
      <dsp:nvSpPr>
        <dsp:cNvPr id="0" name=""/>
        <dsp:cNvSpPr/>
      </dsp:nvSpPr>
      <dsp:spPr>
        <a:xfrm>
          <a:off x="3298668" y="326819"/>
          <a:ext cx="938052"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management</a:t>
          </a:r>
        </a:p>
      </dsp:txBody>
      <dsp:txXfrm>
        <a:off x="3298668" y="326819"/>
        <a:ext cx="938052" cy="855910"/>
      </dsp:txXfrm>
    </dsp:sp>
    <dsp:sp modelId="{4C2DE700-E050-4F32-BA84-CF00ECA07B27}">
      <dsp:nvSpPr>
        <dsp:cNvPr id="0" name=""/>
        <dsp:cNvSpPr/>
      </dsp:nvSpPr>
      <dsp:spPr>
        <a:xfrm>
          <a:off x="3651012" y="1153193"/>
          <a:ext cx="855910" cy="855910"/>
        </a:xfrm>
        <a:prstGeom prst="hexagon">
          <a:avLst/>
        </a:prstGeom>
        <a:solidFill>
          <a:srgbClr val="EFD1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Performance management   </a:t>
          </a:r>
        </a:p>
      </dsp:txBody>
      <dsp:txXfrm>
        <a:off x="3651012" y="1153193"/>
        <a:ext cx="855910" cy="855910"/>
      </dsp:txXfrm>
    </dsp:sp>
    <dsp:sp modelId="{D931D1C0-2042-4B05-9585-83F44BBCDBA8}">
      <dsp:nvSpPr>
        <dsp:cNvPr id="0" name=""/>
        <dsp:cNvSpPr/>
      </dsp:nvSpPr>
      <dsp:spPr>
        <a:xfrm>
          <a:off x="3332123" y="1956711"/>
          <a:ext cx="855910"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Procurement and contract management</a:t>
          </a:r>
        </a:p>
      </dsp:txBody>
      <dsp:txXfrm>
        <a:off x="3332123" y="1956711"/>
        <a:ext cx="855910" cy="855910"/>
      </dsp:txXfrm>
    </dsp:sp>
    <dsp:sp modelId="{FAC4EFBA-3E3E-43D7-84A4-3C9A7DCAADE5}">
      <dsp:nvSpPr>
        <dsp:cNvPr id="0" name=""/>
        <dsp:cNvSpPr/>
      </dsp:nvSpPr>
      <dsp:spPr>
        <a:xfrm>
          <a:off x="2551464" y="2229883"/>
          <a:ext cx="855910"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Compliance</a:t>
          </a:r>
          <a:r>
            <a:rPr lang="en-ZA" sz="700" kern="1200" dirty="0" smtClean="0">
              <a:solidFill>
                <a:sysClr val="windowText" lastClr="000000"/>
              </a:solidFill>
            </a:rPr>
            <a:t> </a:t>
          </a:r>
          <a:r>
            <a:rPr lang="en-ZA" sz="700" b="1" kern="1200" dirty="0" smtClean="0">
              <a:solidFill>
                <a:sysClr val="windowText" lastClr="000000"/>
              </a:solidFill>
              <a:latin typeface="Arial" panose="020B0604020202020204" pitchFamily="34" charset="0"/>
              <a:cs typeface="Arial" panose="020B0604020202020204" pitchFamily="34" charset="0"/>
            </a:rPr>
            <a:t>management</a:t>
          </a:r>
        </a:p>
        <a:p>
          <a:pPr lvl="0" algn="ctr" defTabSz="311150">
            <a:lnSpc>
              <a:spcPct val="90000"/>
            </a:lnSpc>
            <a:spcBef>
              <a:spcPct val="0"/>
            </a:spcBef>
            <a:spcAft>
              <a:spcPct val="35000"/>
            </a:spcAft>
          </a:pPr>
          <a:endParaRPr lang="en-ZA" sz="700" b="1" kern="1200" dirty="0"/>
        </a:p>
      </dsp:txBody>
      <dsp:txXfrm>
        <a:off x="2551464" y="2229883"/>
        <a:ext cx="855910" cy="855910"/>
      </dsp:txXfrm>
    </dsp:sp>
    <dsp:sp modelId="{821D502A-8A20-46F7-A297-C024107D4DB5}">
      <dsp:nvSpPr>
        <dsp:cNvPr id="0" name=""/>
        <dsp:cNvSpPr/>
      </dsp:nvSpPr>
      <dsp:spPr>
        <a:xfrm>
          <a:off x="1763189" y="1903369"/>
          <a:ext cx="855910"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HR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1903369"/>
        <a:ext cx="855910" cy="855910"/>
      </dsp:txXfrm>
    </dsp:sp>
    <dsp:sp modelId="{6EF46C30-7051-4BD5-83CC-18D9574991CD}">
      <dsp:nvSpPr>
        <dsp:cNvPr id="0" name=""/>
        <dsp:cNvSpPr/>
      </dsp:nvSpPr>
      <dsp:spPr>
        <a:xfrm>
          <a:off x="1436675" y="1115094"/>
          <a:ext cx="855910"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IT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436675" y="1115094"/>
        <a:ext cx="855910" cy="855910"/>
      </dsp:txXfrm>
    </dsp:sp>
    <dsp:sp modelId="{59FE528A-BB06-42D8-89B5-8133DCBCF2D6}">
      <dsp:nvSpPr>
        <dsp:cNvPr id="0" name=""/>
        <dsp:cNvSpPr/>
      </dsp:nvSpPr>
      <dsp:spPr>
        <a:xfrm>
          <a:off x="1763189" y="326819"/>
          <a:ext cx="855910" cy="855910"/>
        </a:xfrm>
        <a:prstGeom prst="hexagon">
          <a:avLst/>
        </a:prstGeom>
        <a:solidFill>
          <a:srgbClr val="7ACC9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health</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326819"/>
        <a:ext cx="855910" cy="85591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3519B-EB5E-4C2A-81A7-8D6A0F72A02B}">
      <dsp:nvSpPr>
        <dsp:cNvPr id="0" name=""/>
        <dsp:cNvSpPr/>
      </dsp:nvSpPr>
      <dsp:spPr>
        <a:xfrm>
          <a:off x="2123509" y="687139"/>
          <a:ext cx="1711821" cy="1711821"/>
        </a:xfrm>
        <a:prstGeom prst="hexagon">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smtClean="0"/>
            <a:t>Status of key focus areas</a:t>
          </a:r>
          <a:endParaRPr lang="en-ZA" sz="1200" b="1" kern="1200" dirty="0"/>
        </a:p>
      </dsp:txBody>
      <dsp:txXfrm>
        <a:off x="2123509" y="687139"/>
        <a:ext cx="1711821" cy="1711821"/>
      </dsp:txXfrm>
    </dsp:sp>
    <dsp:sp modelId="{7AEADA36-D9F0-4AD4-A6B5-1B20D2EC5F49}">
      <dsp:nvSpPr>
        <dsp:cNvPr id="0" name=""/>
        <dsp:cNvSpPr/>
      </dsp:nvSpPr>
      <dsp:spPr>
        <a:xfrm>
          <a:off x="2551464" y="305"/>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Oversight and monitoring</a:t>
          </a:r>
        </a:p>
        <a:p>
          <a:pPr lvl="0" algn="ctr" defTabSz="311150">
            <a:lnSpc>
              <a:spcPct val="90000"/>
            </a:lnSpc>
            <a:spcBef>
              <a:spcPct val="0"/>
            </a:spcBef>
            <a:spcAft>
              <a:spcPct val="35000"/>
            </a:spcAft>
          </a:pPr>
          <a:endParaRPr lang="en-ZA" sz="700" b="1" kern="1200" dirty="0" smtClean="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2551464" y="305"/>
        <a:ext cx="855910" cy="855910"/>
      </dsp:txXfrm>
    </dsp:sp>
    <dsp:sp modelId="{E1ED5273-6D7D-4E68-BC91-481D0D31B8B2}">
      <dsp:nvSpPr>
        <dsp:cNvPr id="0" name=""/>
        <dsp:cNvSpPr/>
      </dsp:nvSpPr>
      <dsp:spPr>
        <a:xfrm>
          <a:off x="3298668" y="326819"/>
          <a:ext cx="938052"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management</a:t>
          </a:r>
        </a:p>
      </dsp:txBody>
      <dsp:txXfrm>
        <a:off x="3298668" y="326819"/>
        <a:ext cx="938052" cy="855910"/>
      </dsp:txXfrm>
    </dsp:sp>
    <dsp:sp modelId="{4C2DE700-E050-4F32-BA84-CF00ECA07B27}">
      <dsp:nvSpPr>
        <dsp:cNvPr id="0" name=""/>
        <dsp:cNvSpPr/>
      </dsp:nvSpPr>
      <dsp:spPr>
        <a:xfrm>
          <a:off x="3651012" y="1153193"/>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Performance management   </a:t>
          </a:r>
        </a:p>
      </dsp:txBody>
      <dsp:txXfrm>
        <a:off x="3651012" y="1153193"/>
        <a:ext cx="855910" cy="855910"/>
      </dsp:txXfrm>
    </dsp:sp>
    <dsp:sp modelId="{D931D1C0-2042-4B05-9585-83F44BBCDBA8}">
      <dsp:nvSpPr>
        <dsp:cNvPr id="0" name=""/>
        <dsp:cNvSpPr/>
      </dsp:nvSpPr>
      <dsp:spPr>
        <a:xfrm>
          <a:off x="3332123" y="1956711"/>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Procurement and contract management</a:t>
          </a:r>
        </a:p>
      </dsp:txBody>
      <dsp:txXfrm>
        <a:off x="3332123" y="1956711"/>
        <a:ext cx="855910" cy="855910"/>
      </dsp:txXfrm>
    </dsp:sp>
    <dsp:sp modelId="{FAC4EFBA-3E3E-43D7-84A4-3C9A7DCAADE5}">
      <dsp:nvSpPr>
        <dsp:cNvPr id="0" name=""/>
        <dsp:cNvSpPr/>
      </dsp:nvSpPr>
      <dsp:spPr>
        <a:xfrm>
          <a:off x="2551464" y="2229883"/>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Compliance</a:t>
          </a:r>
          <a:r>
            <a:rPr lang="en-ZA" sz="700" kern="1200" dirty="0" smtClean="0">
              <a:solidFill>
                <a:sysClr val="windowText" lastClr="000000"/>
              </a:solidFill>
            </a:rPr>
            <a:t> </a:t>
          </a:r>
          <a:r>
            <a:rPr lang="en-ZA" sz="700" b="1" kern="1200" dirty="0" smtClean="0">
              <a:solidFill>
                <a:sysClr val="windowText" lastClr="000000"/>
              </a:solidFill>
              <a:latin typeface="Arial" panose="020B0604020202020204" pitchFamily="34" charset="0"/>
              <a:cs typeface="Arial" panose="020B0604020202020204" pitchFamily="34" charset="0"/>
            </a:rPr>
            <a:t>management</a:t>
          </a:r>
        </a:p>
        <a:p>
          <a:pPr lvl="0" algn="ctr" defTabSz="311150">
            <a:lnSpc>
              <a:spcPct val="90000"/>
            </a:lnSpc>
            <a:spcBef>
              <a:spcPct val="0"/>
            </a:spcBef>
            <a:spcAft>
              <a:spcPct val="35000"/>
            </a:spcAft>
          </a:pPr>
          <a:endParaRPr lang="en-ZA" sz="700" b="1" kern="1200" dirty="0"/>
        </a:p>
      </dsp:txBody>
      <dsp:txXfrm>
        <a:off x="2551464" y="2229883"/>
        <a:ext cx="855910" cy="855910"/>
      </dsp:txXfrm>
    </dsp:sp>
    <dsp:sp modelId="{821D502A-8A20-46F7-A297-C024107D4DB5}">
      <dsp:nvSpPr>
        <dsp:cNvPr id="0" name=""/>
        <dsp:cNvSpPr/>
      </dsp:nvSpPr>
      <dsp:spPr>
        <a:xfrm>
          <a:off x="1763189" y="1903369"/>
          <a:ext cx="855910" cy="855910"/>
        </a:xfrm>
        <a:prstGeom prst="hexagon">
          <a:avLst/>
        </a:prstGeom>
        <a:solidFill>
          <a:srgbClr val="FFE6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HR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1903369"/>
        <a:ext cx="855910" cy="855910"/>
      </dsp:txXfrm>
    </dsp:sp>
    <dsp:sp modelId="{6EF46C30-7051-4BD5-83CC-18D9574991CD}">
      <dsp:nvSpPr>
        <dsp:cNvPr id="0" name=""/>
        <dsp:cNvSpPr/>
      </dsp:nvSpPr>
      <dsp:spPr>
        <a:xfrm>
          <a:off x="1436675" y="1115094"/>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latin typeface="Arial" panose="020B0604020202020204" pitchFamily="34" charset="0"/>
              <a:cs typeface="Arial" panose="020B0604020202020204" pitchFamily="34" charset="0"/>
            </a:rPr>
            <a:t>IT management</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436675" y="1115094"/>
        <a:ext cx="855910" cy="855910"/>
      </dsp:txXfrm>
    </dsp:sp>
    <dsp:sp modelId="{59FE528A-BB06-42D8-89B5-8133DCBCF2D6}">
      <dsp:nvSpPr>
        <dsp:cNvPr id="0" name=""/>
        <dsp:cNvSpPr/>
      </dsp:nvSpPr>
      <dsp:spPr>
        <a:xfrm>
          <a:off x="1763189" y="326819"/>
          <a:ext cx="855910" cy="855910"/>
        </a:xfrm>
        <a:prstGeom prst="hexagon">
          <a:avLst/>
        </a:prstGeom>
        <a:solidFill>
          <a:srgbClr val="97E5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ZA" sz="700" b="1" kern="1200" dirty="0" smtClean="0">
              <a:solidFill>
                <a:sysClr val="windowText" lastClr="000000"/>
              </a:solidFill>
              <a:latin typeface="Arial" panose="020B0604020202020204" pitchFamily="34" charset="0"/>
              <a:cs typeface="Arial" panose="020B0604020202020204" pitchFamily="34" charset="0"/>
            </a:rPr>
            <a:t>Financial health</a:t>
          </a:r>
        </a:p>
        <a:p>
          <a:pPr lvl="0" algn="ctr" defTabSz="311150">
            <a:lnSpc>
              <a:spcPct val="90000"/>
            </a:lnSpc>
            <a:spcBef>
              <a:spcPct val="0"/>
            </a:spcBef>
            <a:spcAft>
              <a:spcPct val="35000"/>
            </a:spcAft>
          </a:pPr>
          <a:endParaRPr lang="en-ZA" sz="700" b="1" kern="1200" dirty="0">
            <a:latin typeface="Arial" panose="020B0604020202020204" pitchFamily="34" charset="0"/>
            <a:cs typeface="Arial" panose="020B0604020202020204" pitchFamily="34" charset="0"/>
          </a:endParaRPr>
        </a:p>
      </dsp:txBody>
      <dsp:txXfrm>
        <a:off x="1763189" y="326819"/>
        <a:ext cx="855910" cy="8559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D8AF-1DFC-442C-B994-030A8B0C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Auditor-General South Africa</Company>
  <LinksUpToDate>false</LinksUpToDate>
  <CharactersWithSpaces>17104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Sekgetho,Andries (SM)</dc:creator>
  <cp:lastModifiedBy>PUMZA</cp:lastModifiedBy>
  <cp:revision>2</cp:revision>
  <cp:lastPrinted>2016-02-12T08:13:00Z</cp:lastPrinted>
  <dcterms:created xsi:type="dcterms:W3CDTF">2018-04-18T10:13:00Z</dcterms:created>
  <dcterms:modified xsi:type="dcterms:W3CDTF">2018-04-18T10:13:00Z</dcterms:modified>
</cp:coreProperties>
</file>