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0D" w:rsidRDefault="0016550D" w:rsidP="0016550D">
      <w:pPr>
        <w:pStyle w:val="NormalWeb"/>
        <w:spacing w:before="0" w:beforeAutospacing="0" w:after="0" w:afterAutospacing="0" w:line="480" w:lineRule="auto"/>
        <w:jc w:val="center"/>
        <w:rPr>
          <w:rFonts w:ascii="Segoe UI" w:hAnsi="Segoe UI" w:cs="Segoe UI"/>
          <w:sz w:val="20"/>
          <w:szCs w:val="20"/>
        </w:rPr>
      </w:pPr>
      <w:r>
        <w:rPr>
          <w:rFonts w:ascii="Arial" w:hAnsi="Arial" w:cs="Arial"/>
          <w:b/>
          <w:bCs/>
        </w:rPr>
        <w:t>CLAUSE 49</w:t>
      </w:r>
    </w:p>
    <w:p w:rsidR="0016550D" w:rsidRDefault="0016550D" w:rsidP="0016550D">
      <w:pPr>
        <w:rPr>
          <w:rFonts w:ascii="Segoe UI" w:hAnsi="Segoe UI" w:cs="Segoe UI"/>
          <w:sz w:val="20"/>
          <w:szCs w:val="20"/>
        </w:rPr>
      </w:pPr>
      <w:r>
        <w:rPr>
          <w:rFonts w:ascii="Arial" w:hAnsi="Arial" w:cs="Arial"/>
        </w:rPr>
        <w:t>On page 19, after line 22 to insert:</w:t>
      </w:r>
    </w:p>
    <w:p w:rsidR="0016550D" w:rsidRDefault="0016550D" w:rsidP="0016550D">
      <w:pPr>
        <w:pStyle w:val="NormalWeb"/>
        <w:spacing w:before="0" w:beforeAutospacing="0" w:after="0" w:afterAutospacing="0" w:line="480" w:lineRule="auto"/>
        <w:ind w:firstLine="284"/>
        <w:jc w:val="both"/>
        <w:rPr>
          <w:rFonts w:ascii="Segoe UI" w:hAnsi="Segoe UI" w:cs="Segoe UI"/>
          <w:sz w:val="20"/>
          <w:szCs w:val="20"/>
        </w:rPr>
      </w:pPr>
      <w:r>
        <w:rPr>
          <w:rFonts w:ascii="Arial" w:hAnsi="Arial" w:cs="Arial"/>
        </w:rPr>
        <w:t xml:space="preserve">       </w:t>
      </w:r>
      <w:r>
        <w:rPr>
          <w:rFonts w:ascii="Arial" w:hAnsi="Arial" w:cs="Arial"/>
          <w:highlight w:val="yellow"/>
        </w:rPr>
        <w:t xml:space="preserve">“(b)      </w:t>
      </w:r>
      <w:proofErr w:type="gramStart"/>
      <w:r>
        <w:rPr>
          <w:rFonts w:ascii="Arial" w:hAnsi="Arial" w:cs="Arial"/>
          <w:highlight w:val="yellow"/>
        </w:rPr>
        <w:t>by</w:t>
      </w:r>
      <w:proofErr w:type="gramEnd"/>
      <w:r>
        <w:rPr>
          <w:rFonts w:ascii="Arial" w:hAnsi="Arial" w:cs="Arial"/>
          <w:highlight w:val="yellow"/>
        </w:rPr>
        <w:t xml:space="preserve"> the insertion of the following subsections after subsection (5):</w:t>
      </w:r>
    </w:p>
    <w:p w:rsidR="0016550D" w:rsidRDefault="0016550D" w:rsidP="0016550D">
      <w:pPr>
        <w:pStyle w:val="NormalWeb"/>
        <w:spacing w:before="0" w:beforeAutospacing="0" w:after="0" w:afterAutospacing="0" w:line="480" w:lineRule="auto"/>
        <w:ind w:left="1418" w:firstLine="284"/>
        <w:jc w:val="both"/>
        <w:rPr>
          <w:rFonts w:ascii="Segoe UI" w:hAnsi="Segoe UI" w:cs="Segoe UI"/>
          <w:sz w:val="20"/>
          <w:szCs w:val="20"/>
        </w:rPr>
      </w:pPr>
      <w:r>
        <w:rPr>
          <w:rFonts w:ascii="Arial" w:hAnsi="Arial" w:cs="Arial"/>
        </w:rPr>
        <w:t xml:space="preserve">        </w:t>
      </w:r>
      <w:r>
        <w:rPr>
          <w:rFonts w:ascii="Arial" w:hAnsi="Arial" w:cs="Arial"/>
          <w:highlight w:val="yellow"/>
        </w:rPr>
        <w:t xml:space="preserve">“(6)      </w:t>
      </w:r>
      <w:r>
        <w:rPr>
          <w:rFonts w:ascii="Arial" w:hAnsi="Arial" w:cs="Arial"/>
          <w:i/>
          <w:iCs/>
          <w:highlight w:val="yellow"/>
        </w:rPr>
        <w:t>(a)</w:t>
      </w:r>
      <w:r>
        <w:rPr>
          <w:rFonts w:ascii="Arial" w:hAnsi="Arial" w:cs="Arial"/>
          <w:highlight w:val="yellow"/>
        </w:rPr>
        <w:t>       Despite other provisions of this Act the Minister may make regulations on administrative or procedural matters necessary for the legalisation of persons who are operating public transport services without holding the required operating licence or permit, to enable them to apply for or obtain such licences where they have been prevented from doing so by reasons beyond their control such as the inability of government to process applications or lack of information or understanding of the relevant processes.</w:t>
      </w:r>
    </w:p>
    <w:p w:rsidR="0016550D" w:rsidRDefault="0016550D" w:rsidP="0016550D">
      <w:pPr>
        <w:pStyle w:val="NormalWeb"/>
        <w:spacing w:before="0" w:beforeAutospacing="0" w:after="0" w:afterAutospacing="0" w:line="480" w:lineRule="auto"/>
        <w:ind w:left="1418" w:firstLine="284"/>
        <w:jc w:val="both"/>
        <w:rPr>
          <w:rFonts w:ascii="Segoe UI" w:hAnsi="Segoe UI" w:cs="Segoe UI"/>
          <w:sz w:val="20"/>
          <w:szCs w:val="20"/>
        </w:rPr>
      </w:pPr>
      <w:r>
        <w:rPr>
          <w:rFonts w:ascii="Arial" w:hAnsi="Arial" w:cs="Arial"/>
          <w:i/>
          <w:iCs/>
          <w:highlight w:val="yellow"/>
        </w:rPr>
        <w:t xml:space="preserve">(b)   </w:t>
      </w:r>
      <w:r>
        <w:rPr>
          <w:rFonts w:ascii="Arial" w:hAnsi="Arial" w:cs="Arial"/>
          <w:highlight w:val="yellow"/>
        </w:rPr>
        <w:t xml:space="preserve">The regulations contemplated in paragraph </w:t>
      </w:r>
      <w:r>
        <w:rPr>
          <w:rFonts w:ascii="Arial" w:hAnsi="Arial" w:cs="Arial"/>
          <w:i/>
          <w:iCs/>
          <w:highlight w:val="yellow"/>
        </w:rPr>
        <w:t>(a)</w:t>
      </w:r>
      <w:r>
        <w:rPr>
          <w:rFonts w:ascii="Arial" w:hAnsi="Arial" w:cs="Arial"/>
          <w:highlight w:val="yellow"/>
        </w:rPr>
        <w:t xml:space="preserve"> may differ in respect of different types of public transport services or different categories of operators and may include, but shall not be limited to−</w:t>
      </w:r>
    </w:p>
    <w:p w:rsidR="0016550D" w:rsidRDefault="0016550D" w:rsidP="0016550D">
      <w:pPr>
        <w:pStyle w:val="NormalWeb"/>
        <w:spacing w:before="0" w:beforeAutospacing="0" w:after="0" w:afterAutospacing="0" w:line="480" w:lineRule="auto"/>
        <w:ind w:left="2127" w:hanging="425"/>
        <w:jc w:val="both"/>
        <w:rPr>
          <w:rFonts w:ascii="Segoe UI" w:hAnsi="Segoe UI" w:cs="Segoe UI"/>
          <w:sz w:val="20"/>
          <w:szCs w:val="20"/>
        </w:rPr>
      </w:pPr>
      <w:r>
        <w:rPr>
          <w:rFonts w:ascii="Arial" w:hAnsi="Arial" w:cs="Arial"/>
          <w:highlight w:val="yellow"/>
        </w:rPr>
        <w:t>(</w:t>
      </w:r>
      <w:proofErr w:type="spellStart"/>
      <w:r>
        <w:rPr>
          <w:rFonts w:ascii="Arial" w:hAnsi="Arial" w:cs="Arial"/>
          <w:highlight w:val="yellow"/>
        </w:rPr>
        <w:t>i</w:t>
      </w:r>
      <w:proofErr w:type="spellEnd"/>
      <w:r>
        <w:rPr>
          <w:rFonts w:ascii="Arial" w:hAnsi="Arial" w:cs="Arial"/>
          <w:highlight w:val="yellow"/>
        </w:rPr>
        <w:t>)</w:t>
      </w:r>
      <w:r>
        <w:rPr>
          <w:rFonts w:ascii="Arial" w:hAnsi="Arial" w:cs="Arial"/>
        </w:rPr>
        <w:t xml:space="preserve">    </w:t>
      </w:r>
      <w:proofErr w:type="gramStart"/>
      <w:r>
        <w:rPr>
          <w:rFonts w:ascii="Arial" w:hAnsi="Arial" w:cs="Arial"/>
          <w:highlight w:val="yellow"/>
        </w:rPr>
        <w:t>the</w:t>
      </w:r>
      <w:proofErr w:type="gramEnd"/>
      <w:r>
        <w:rPr>
          <w:rFonts w:ascii="Arial" w:hAnsi="Arial" w:cs="Arial"/>
          <w:highlight w:val="yellow"/>
        </w:rPr>
        <w:t xml:space="preserve"> imposition of a moratorium on applications for operating licences or the issuing of such licences for specified periods;</w:t>
      </w:r>
    </w:p>
    <w:p w:rsidR="0016550D" w:rsidRDefault="0016550D" w:rsidP="0016550D">
      <w:pPr>
        <w:pStyle w:val="NormalWeb"/>
        <w:spacing w:before="0" w:beforeAutospacing="0" w:after="0" w:afterAutospacing="0" w:line="480" w:lineRule="auto"/>
        <w:ind w:left="2127" w:hanging="425"/>
        <w:jc w:val="both"/>
        <w:rPr>
          <w:rFonts w:ascii="Segoe UI" w:hAnsi="Segoe UI" w:cs="Segoe UI"/>
          <w:sz w:val="20"/>
          <w:szCs w:val="20"/>
        </w:rPr>
      </w:pPr>
      <w:r>
        <w:rPr>
          <w:rFonts w:ascii="Arial" w:hAnsi="Arial" w:cs="Arial"/>
          <w:highlight w:val="yellow"/>
        </w:rPr>
        <w:t xml:space="preserve">(ii)   </w:t>
      </w:r>
      <w:proofErr w:type="gramStart"/>
      <w:r>
        <w:rPr>
          <w:rFonts w:ascii="Arial" w:hAnsi="Arial" w:cs="Arial"/>
          <w:highlight w:val="yellow"/>
        </w:rPr>
        <w:t>expedited</w:t>
      </w:r>
      <w:proofErr w:type="gramEnd"/>
      <w:r>
        <w:rPr>
          <w:rFonts w:ascii="Arial" w:hAnsi="Arial" w:cs="Arial"/>
          <w:highlight w:val="yellow"/>
        </w:rPr>
        <w:t xml:space="preserve"> or shortened procedures for such applications and the evaluation thereof, and</w:t>
      </w:r>
    </w:p>
    <w:p w:rsidR="0016550D" w:rsidRDefault="0016550D" w:rsidP="0016550D">
      <w:pPr>
        <w:pStyle w:val="NormalWeb"/>
        <w:spacing w:before="0" w:beforeAutospacing="0" w:after="0" w:afterAutospacing="0" w:line="480" w:lineRule="auto"/>
        <w:ind w:left="2127" w:hanging="425"/>
        <w:jc w:val="both"/>
        <w:rPr>
          <w:rFonts w:ascii="Segoe UI" w:hAnsi="Segoe UI" w:cs="Segoe UI"/>
          <w:sz w:val="20"/>
          <w:szCs w:val="20"/>
        </w:rPr>
      </w:pPr>
      <w:r>
        <w:rPr>
          <w:rFonts w:ascii="Arial" w:hAnsi="Arial" w:cs="Arial"/>
          <w:highlight w:val="yellow"/>
        </w:rPr>
        <w:t xml:space="preserve">(ii)   </w:t>
      </w:r>
      <w:proofErr w:type="gramStart"/>
      <w:r>
        <w:rPr>
          <w:rFonts w:ascii="Arial" w:hAnsi="Arial" w:cs="Arial"/>
          <w:highlight w:val="yellow"/>
        </w:rPr>
        <w:t>criteria</w:t>
      </w:r>
      <w:proofErr w:type="gramEnd"/>
      <w:r>
        <w:rPr>
          <w:rFonts w:ascii="Arial" w:hAnsi="Arial" w:cs="Arial"/>
          <w:highlight w:val="yellow"/>
        </w:rPr>
        <w:t xml:space="preserve"> that must be met or considered by the regulatory entity in order for such applicants to qualify for an operating licence.</w:t>
      </w:r>
    </w:p>
    <w:p w:rsidR="0016550D" w:rsidRDefault="0016550D" w:rsidP="0016550D">
      <w:pPr>
        <w:pStyle w:val="NormalWeb"/>
        <w:spacing w:before="0" w:beforeAutospacing="0" w:after="240" w:afterAutospacing="0" w:line="480" w:lineRule="auto"/>
        <w:ind w:left="2127" w:hanging="425"/>
        <w:jc w:val="both"/>
        <w:rPr>
          <w:rFonts w:ascii="Segoe UI" w:hAnsi="Segoe UI" w:cs="Segoe UI"/>
          <w:sz w:val="20"/>
          <w:szCs w:val="20"/>
        </w:rPr>
      </w:pPr>
    </w:p>
    <w:p w:rsidR="0016550D" w:rsidRDefault="0016550D" w:rsidP="0016550D">
      <w:pPr>
        <w:rPr>
          <w:rFonts w:ascii="Segoe UI" w:hAnsi="Segoe UI" w:cs="Segoe UI"/>
          <w:sz w:val="20"/>
          <w:szCs w:val="20"/>
        </w:rPr>
      </w:pPr>
    </w:p>
    <w:p w:rsidR="0016550D" w:rsidRDefault="0016550D" w:rsidP="0016550D">
      <w:pPr>
        <w:rPr>
          <w:rFonts w:ascii="Segoe UI" w:hAnsi="Segoe UI" w:cs="Segoe UI"/>
          <w:sz w:val="20"/>
          <w:szCs w:val="20"/>
        </w:rPr>
      </w:pPr>
      <w:r>
        <w:rPr>
          <w:rFonts w:ascii="Arial" w:hAnsi="Arial" w:cs="Arial"/>
          <w:highlight w:val="yellow"/>
        </w:rPr>
        <w:t>The agreed version is as follows:</w:t>
      </w:r>
    </w:p>
    <w:p w:rsidR="0016550D" w:rsidRDefault="0016550D" w:rsidP="0016550D">
      <w:pPr>
        <w:pStyle w:val="NormalWeb"/>
        <w:spacing w:before="0" w:beforeAutospacing="0" w:after="0" w:afterAutospacing="0" w:line="480" w:lineRule="auto"/>
        <w:jc w:val="center"/>
        <w:rPr>
          <w:rFonts w:ascii="Arial" w:hAnsi="Arial" w:cs="Arial"/>
          <w:highlight w:val="yellow"/>
        </w:rPr>
      </w:pPr>
      <w:r>
        <w:rPr>
          <w:rFonts w:ascii="Arial" w:hAnsi="Arial" w:cs="Arial"/>
          <w:b/>
          <w:bCs/>
          <w:highlight w:val="yellow"/>
        </w:rPr>
        <w:t>CLAUSE 3</w:t>
      </w:r>
    </w:p>
    <w:p w:rsidR="0016550D" w:rsidRDefault="0016550D" w:rsidP="0016550D">
      <w:pPr>
        <w:pStyle w:val="NormalWeb"/>
        <w:spacing w:before="0" w:beforeAutospacing="0" w:after="0" w:afterAutospacing="0" w:line="480" w:lineRule="auto"/>
        <w:rPr>
          <w:rFonts w:ascii="Arial" w:hAnsi="Arial" w:cs="Arial"/>
          <w:highlight w:val="yellow"/>
        </w:rPr>
      </w:pPr>
      <w:r>
        <w:rPr>
          <w:rFonts w:ascii="Arial" w:hAnsi="Arial" w:cs="Arial"/>
          <w:highlight w:val="yellow"/>
        </w:rPr>
        <w:t> </w:t>
      </w:r>
      <w:r>
        <w:rPr>
          <w:highlight w:val="yellow"/>
        </w:rPr>
        <w:t xml:space="preserve"> </w:t>
      </w:r>
      <w:r>
        <w:rPr>
          <w:rFonts w:ascii="Arial" w:hAnsi="Arial" w:cs="Arial"/>
          <w:highlight w:val="yellow"/>
          <w:lang w:val="en-GB"/>
        </w:rPr>
        <w:t xml:space="preserve">          </w:t>
      </w:r>
      <w:r>
        <w:rPr>
          <w:rFonts w:ascii="Arial" w:hAnsi="Arial" w:cs="Arial"/>
          <w:highlight w:val="yellow"/>
        </w:rPr>
        <w:t xml:space="preserve">On page 4 after </w:t>
      </w:r>
      <w:proofErr w:type="gramStart"/>
      <w:r>
        <w:rPr>
          <w:rFonts w:ascii="Arial" w:hAnsi="Arial" w:cs="Arial"/>
          <w:highlight w:val="yellow"/>
        </w:rPr>
        <w:t>line</w:t>
      </w:r>
      <w:proofErr w:type="gramEnd"/>
      <w:r>
        <w:rPr>
          <w:rFonts w:ascii="Arial" w:hAnsi="Arial" w:cs="Arial"/>
          <w:highlight w:val="yellow"/>
        </w:rPr>
        <w:t xml:space="preserve"> 33, to insert </w:t>
      </w:r>
      <w:proofErr w:type="spellStart"/>
      <w:r>
        <w:rPr>
          <w:rFonts w:ascii="Arial" w:hAnsi="Arial" w:cs="Arial"/>
          <w:highlight w:val="yellow"/>
        </w:rPr>
        <w:t>thefollowing</w:t>
      </w:r>
      <w:proofErr w:type="spellEnd"/>
      <w:r>
        <w:rPr>
          <w:rFonts w:ascii="Arial" w:hAnsi="Arial" w:cs="Arial"/>
          <w:highlight w:val="yellow"/>
        </w:rPr>
        <w:t>:</w:t>
      </w:r>
    </w:p>
    <w:p w:rsidR="0016550D" w:rsidRDefault="0016550D" w:rsidP="0016550D">
      <w:pPr>
        <w:pStyle w:val="NormalWeb"/>
        <w:spacing w:before="0" w:beforeAutospacing="0" w:after="0" w:afterAutospacing="0" w:line="480" w:lineRule="auto"/>
        <w:ind w:left="720"/>
        <w:rPr>
          <w:rFonts w:ascii="Arial" w:hAnsi="Arial" w:cs="Arial"/>
          <w:highlight w:val="yellow"/>
        </w:rPr>
      </w:pPr>
      <w:r>
        <w:rPr>
          <w:rFonts w:ascii="Arial" w:hAnsi="Arial" w:cs="Arial"/>
          <w:highlight w:val="yellow"/>
        </w:rPr>
        <w:lastRenderedPageBreak/>
        <w:t xml:space="preserve">(f)        </w:t>
      </w:r>
      <w:proofErr w:type="gramStart"/>
      <w:r>
        <w:rPr>
          <w:rFonts w:ascii="Arial" w:hAnsi="Arial" w:cs="Arial"/>
          <w:highlight w:val="yellow"/>
        </w:rPr>
        <w:t>by</w:t>
      </w:r>
      <w:proofErr w:type="gramEnd"/>
      <w:r>
        <w:rPr>
          <w:rFonts w:ascii="Arial" w:hAnsi="Arial" w:cs="Arial"/>
          <w:highlight w:val="yellow"/>
        </w:rPr>
        <w:t xml:space="preserve"> the insertion in subsection (1) after paragraph (bb) of the following paragraph;</w:t>
      </w:r>
    </w:p>
    <w:p w:rsidR="0016550D" w:rsidRDefault="0016550D" w:rsidP="0016550D">
      <w:pPr>
        <w:pStyle w:val="NormalWeb"/>
        <w:spacing w:before="0" w:beforeAutospacing="0" w:after="0" w:afterAutospacing="0" w:line="480" w:lineRule="auto"/>
        <w:ind w:left="1440"/>
        <w:jc w:val="both"/>
        <w:rPr>
          <w:rFonts w:ascii="Arial" w:hAnsi="Arial" w:cs="Arial"/>
          <w:highlight w:val="yellow"/>
        </w:rPr>
      </w:pPr>
      <w:r>
        <w:rPr>
          <w:rFonts w:ascii="Arial" w:hAnsi="Arial" w:cs="Arial"/>
          <w:highlight w:val="yellow"/>
          <w:u w:val="single"/>
        </w:rPr>
        <w:t>“(</w:t>
      </w:r>
      <w:proofErr w:type="spellStart"/>
      <w:proofErr w:type="gramStart"/>
      <w:r>
        <w:rPr>
          <w:rFonts w:ascii="Arial" w:hAnsi="Arial" w:cs="Arial"/>
          <w:highlight w:val="yellow"/>
          <w:u w:val="single"/>
        </w:rPr>
        <w:t>bbA</w:t>
      </w:r>
      <w:proofErr w:type="spellEnd"/>
      <w:proofErr w:type="gramEnd"/>
      <w:r>
        <w:rPr>
          <w:rFonts w:ascii="Arial" w:hAnsi="Arial" w:cs="Arial"/>
          <w:highlight w:val="yellow"/>
          <w:u w:val="single"/>
        </w:rPr>
        <w:t>) administrative or procedural matters necessary to enable public transport operators to obtain the required operating licences;”</w:t>
      </w:r>
    </w:p>
    <w:p w:rsidR="0016550D" w:rsidRDefault="0016550D" w:rsidP="0016550D">
      <w:pPr>
        <w:pStyle w:val="NormalWeb"/>
        <w:spacing w:before="0" w:beforeAutospacing="0" w:after="0" w:afterAutospacing="0" w:line="480" w:lineRule="auto"/>
        <w:ind w:firstLine="720"/>
        <w:jc w:val="both"/>
        <w:rPr>
          <w:rFonts w:ascii="Arial" w:hAnsi="Arial" w:cs="Arial"/>
          <w:highlight w:val="yellow"/>
        </w:rPr>
      </w:pPr>
      <w:r>
        <w:rPr>
          <w:rFonts w:ascii="Arial" w:hAnsi="Arial" w:cs="Arial"/>
          <w:highlight w:val="yellow"/>
        </w:rPr>
        <w:t xml:space="preserve">(g)       </w:t>
      </w:r>
      <w:proofErr w:type="gramStart"/>
      <w:r>
        <w:rPr>
          <w:rFonts w:ascii="Arial" w:hAnsi="Arial" w:cs="Arial"/>
          <w:highlight w:val="yellow"/>
        </w:rPr>
        <w:t>by</w:t>
      </w:r>
      <w:proofErr w:type="gramEnd"/>
      <w:r>
        <w:rPr>
          <w:rFonts w:ascii="Arial" w:hAnsi="Arial" w:cs="Arial"/>
          <w:highlight w:val="yellow"/>
        </w:rPr>
        <w:t xml:space="preserve"> the insertion after subsection (1) of the following subsection;</w:t>
      </w:r>
    </w:p>
    <w:p w:rsidR="0016550D" w:rsidRDefault="0016550D" w:rsidP="0016550D">
      <w:pPr>
        <w:pStyle w:val="NormalWeb"/>
        <w:spacing w:before="0" w:beforeAutospacing="0" w:after="0" w:afterAutospacing="0" w:line="480" w:lineRule="auto"/>
        <w:ind w:left="1440" w:firstLine="720"/>
        <w:jc w:val="both"/>
        <w:rPr>
          <w:rFonts w:ascii="Arial" w:hAnsi="Arial" w:cs="Arial"/>
          <w:highlight w:val="yellow"/>
        </w:rPr>
      </w:pPr>
      <w:r>
        <w:rPr>
          <w:rFonts w:ascii="Arial" w:hAnsi="Arial" w:cs="Arial"/>
          <w:highlight w:val="yellow"/>
          <w:u w:val="single"/>
        </w:rPr>
        <w:t xml:space="preserve">“(1A) </w:t>
      </w:r>
      <w:proofErr w:type="gramStart"/>
      <w:r>
        <w:rPr>
          <w:rFonts w:ascii="Arial" w:hAnsi="Arial" w:cs="Arial"/>
          <w:highlight w:val="yellow"/>
          <w:u w:val="single"/>
        </w:rPr>
        <w:t>The</w:t>
      </w:r>
      <w:proofErr w:type="gramEnd"/>
      <w:r>
        <w:rPr>
          <w:rFonts w:ascii="Arial" w:hAnsi="Arial" w:cs="Arial"/>
          <w:highlight w:val="yellow"/>
          <w:u w:val="single"/>
        </w:rPr>
        <w:t xml:space="preserve"> regulations contemplated in subsection (1) (</w:t>
      </w:r>
      <w:proofErr w:type="spellStart"/>
      <w:r>
        <w:rPr>
          <w:rFonts w:ascii="Arial" w:hAnsi="Arial" w:cs="Arial"/>
          <w:highlight w:val="yellow"/>
          <w:u w:val="single"/>
        </w:rPr>
        <w:t>bbA</w:t>
      </w:r>
      <w:proofErr w:type="spellEnd"/>
      <w:r>
        <w:rPr>
          <w:rFonts w:ascii="Arial" w:hAnsi="Arial" w:cs="Arial"/>
          <w:highlight w:val="yellow"/>
          <w:u w:val="single"/>
        </w:rPr>
        <w:t>) may differ in respect of different types of public transport or different categories of operators, and may include, but shall not be limited to-</w:t>
      </w:r>
    </w:p>
    <w:p w:rsidR="0016550D" w:rsidRDefault="0016550D" w:rsidP="0016550D">
      <w:pPr>
        <w:pStyle w:val="NormalWeb"/>
        <w:numPr>
          <w:ilvl w:val="0"/>
          <w:numId w:val="1"/>
        </w:numPr>
        <w:spacing w:before="0" w:beforeAutospacing="0" w:after="0" w:afterAutospacing="0" w:line="480" w:lineRule="auto"/>
        <w:jc w:val="both"/>
        <w:rPr>
          <w:rFonts w:ascii="Arial" w:hAnsi="Arial" w:cs="Arial"/>
          <w:color w:val="000000"/>
          <w:sz w:val="22"/>
          <w:szCs w:val="22"/>
          <w:highlight w:val="yellow"/>
        </w:rPr>
      </w:pPr>
      <w:proofErr w:type="gramStart"/>
      <w:r>
        <w:rPr>
          <w:rFonts w:ascii="Arial" w:hAnsi="Arial" w:cs="Arial"/>
          <w:color w:val="000000"/>
          <w:highlight w:val="yellow"/>
          <w:u w:val="single"/>
        </w:rPr>
        <w:t>the</w:t>
      </w:r>
      <w:proofErr w:type="gramEnd"/>
      <w:r>
        <w:rPr>
          <w:rFonts w:ascii="Arial" w:hAnsi="Arial" w:cs="Arial"/>
          <w:color w:val="000000"/>
          <w:highlight w:val="yellow"/>
          <w:u w:val="single"/>
        </w:rPr>
        <w:t xml:space="preserve"> imposition of a moratorium on the applications for operating licences or the issuing of such licences for specified periods.</w:t>
      </w:r>
    </w:p>
    <w:p w:rsidR="0016550D" w:rsidRDefault="0016550D" w:rsidP="0016550D">
      <w:pPr>
        <w:pStyle w:val="NormalWeb"/>
        <w:numPr>
          <w:ilvl w:val="0"/>
          <w:numId w:val="1"/>
        </w:numPr>
        <w:spacing w:before="0" w:beforeAutospacing="0" w:after="240" w:afterAutospacing="0" w:line="480" w:lineRule="auto"/>
        <w:jc w:val="both"/>
        <w:rPr>
          <w:rFonts w:ascii="Calibri" w:hAnsi="Calibri"/>
          <w:color w:val="000000"/>
          <w:sz w:val="22"/>
          <w:szCs w:val="22"/>
          <w:highlight w:val="yellow"/>
        </w:rPr>
      </w:pPr>
      <w:proofErr w:type="gramStart"/>
      <w:r>
        <w:rPr>
          <w:rFonts w:ascii="Arial" w:hAnsi="Arial" w:cs="Arial"/>
          <w:color w:val="000000"/>
          <w:highlight w:val="yellow"/>
          <w:u w:val="single"/>
        </w:rPr>
        <w:t>the</w:t>
      </w:r>
      <w:proofErr w:type="gramEnd"/>
      <w:r>
        <w:rPr>
          <w:rFonts w:ascii="Arial" w:hAnsi="Arial" w:cs="Arial"/>
          <w:color w:val="000000"/>
          <w:highlight w:val="yellow"/>
          <w:u w:val="single"/>
        </w:rPr>
        <w:t xml:space="preserve"> criteria that must be met or considered by the regulatory entities in order for such applicants to qualify for an operating licence'.\</w:t>
      </w:r>
      <w:r>
        <w:rPr>
          <w:color w:val="000000"/>
          <w:highlight w:val="yellow"/>
          <w:u w:val="single"/>
        </w:rPr>
        <w:t xml:space="preserve"> </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D70EF"/>
    <w:multiLevelType w:val="multilevel"/>
    <w:tmpl w:val="B74C74D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16550D"/>
    <w:rsid w:val="0016550D"/>
    <w:rsid w:val="001C35BB"/>
    <w:rsid w:val="00D54A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D"/>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50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6550D"/>
    <w:rPr>
      <w:rFonts w:ascii="Tahoma" w:hAnsi="Tahoma" w:cs="Tahoma"/>
      <w:sz w:val="16"/>
      <w:szCs w:val="16"/>
    </w:rPr>
  </w:style>
  <w:style w:type="character" w:customStyle="1" w:styleId="BalloonTextChar">
    <w:name w:val="Balloon Text Char"/>
    <w:basedOn w:val="DefaultParagraphFont"/>
    <w:link w:val="BalloonText"/>
    <w:uiPriority w:val="99"/>
    <w:semiHidden/>
    <w:rsid w:val="0016550D"/>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16002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Company>Proline</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2018-04-12T11:56:00Z</dcterms:created>
  <dcterms:modified xsi:type="dcterms:W3CDTF">2018-04-12T11:57:00Z</dcterms:modified>
</cp:coreProperties>
</file>