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EF0" w:rsidRPr="006A17D5" w:rsidRDefault="00812EF0" w:rsidP="002571AC">
      <w:pPr>
        <w:spacing w:line="276" w:lineRule="auto"/>
        <w:jc w:val="center"/>
        <w:rPr>
          <w:rFonts w:ascii="Arial Narrow" w:hAnsi="Arial Narrow" w:cs="Arial"/>
          <w:b/>
          <w:lang w:val="en-ZA"/>
        </w:rPr>
      </w:pPr>
      <w:bookmarkStart w:id="0" w:name="_GoBack"/>
      <w:bookmarkEnd w:id="0"/>
      <w:r w:rsidRPr="006A17D5">
        <w:rPr>
          <w:rFonts w:ascii="Arial Narrow" w:hAnsi="Arial Narrow" w:cs="Arial"/>
          <w:b/>
          <w:lang w:val="en-ZA"/>
        </w:rPr>
        <w:t>EXPLANATORY MEMORANDUM</w:t>
      </w:r>
    </w:p>
    <w:p w:rsidR="00812EF0" w:rsidRPr="006A17D5" w:rsidRDefault="00812EF0" w:rsidP="002571AC">
      <w:pPr>
        <w:spacing w:line="276" w:lineRule="auto"/>
        <w:jc w:val="both"/>
        <w:rPr>
          <w:rFonts w:ascii="Arial Narrow" w:hAnsi="Arial Narrow" w:cs="Arial"/>
          <w:lang w:val="en-ZA"/>
        </w:rPr>
      </w:pPr>
    </w:p>
    <w:p w:rsidR="006A17D5" w:rsidRDefault="00D578F9" w:rsidP="002571AC">
      <w:pPr>
        <w:spacing w:line="276" w:lineRule="auto"/>
        <w:jc w:val="both"/>
        <w:rPr>
          <w:rFonts w:ascii="Arial Narrow" w:hAnsi="Arial Narrow" w:cs="Arial"/>
        </w:rPr>
      </w:pPr>
      <w:r w:rsidRPr="006A17D5">
        <w:rPr>
          <w:rFonts w:ascii="Arial Narrow" w:hAnsi="Arial Narrow" w:cs="Arial"/>
          <w:lang w:val="en-ZA"/>
        </w:rPr>
        <w:t xml:space="preserve">The </w:t>
      </w:r>
      <w:r w:rsidR="00B22A75" w:rsidRPr="006A17D5">
        <w:rPr>
          <w:rFonts w:ascii="Arial Narrow" w:hAnsi="Arial Narrow" w:cs="Arial"/>
          <w:lang w:val="en-ZA"/>
        </w:rPr>
        <w:t>Southern African Development Community (</w:t>
      </w:r>
      <w:r w:rsidR="00B22A75" w:rsidRPr="006A17D5">
        <w:rPr>
          <w:rFonts w:ascii="Arial Narrow" w:hAnsi="Arial Narrow" w:cs="Arial"/>
          <w:bCs/>
        </w:rPr>
        <w:t xml:space="preserve">SADC) </w:t>
      </w:r>
      <w:r w:rsidR="00B22A75" w:rsidRPr="006A17D5">
        <w:rPr>
          <w:rFonts w:ascii="Arial Narrow" w:hAnsi="Arial Narrow" w:cs="Arial"/>
        </w:rPr>
        <w:t xml:space="preserve">Protocol on Environmental Management for Sustainable Development </w:t>
      </w:r>
      <w:r w:rsidR="006A17D5" w:rsidRPr="006A17D5">
        <w:rPr>
          <w:rFonts w:ascii="Arial Narrow" w:hAnsi="Arial Narrow" w:cs="Arial"/>
        </w:rPr>
        <w:t>was signed by President Zuma on behalf of South Africa at the 34</w:t>
      </w:r>
      <w:r w:rsidR="006A17D5" w:rsidRPr="006A17D5">
        <w:rPr>
          <w:rFonts w:ascii="Arial Narrow" w:hAnsi="Arial Narrow" w:cs="Arial"/>
          <w:vertAlign w:val="superscript"/>
        </w:rPr>
        <w:t>th</w:t>
      </w:r>
      <w:r w:rsidR="006A17D5" w:rsidRPr="006A17D5">
        <w:rPr>
          <w:rFonts w:ascii="Arial Narrow" w:hAnsi="Arial Narrow" w:cs="Arial"/>
        </w:rPr>
        <w:t xml:space="preserve"> SADC Summit in Victoria Falls, Zimbabwe on 18 August 2014.</w:t>
      </w:r>
      <w:r w:rsidR="006A17D5">
        <w:rPr>
          <w:rFonts w:ascii="Arial Narrow" w:hAnsi="Arial Narrow" w:cs="Arial"/>
        </w:rPr>
        <w:t xml:space="preserve"> It </w:t>
      </w:r>
      <w:r w:rsidR="00B22A75" w:rsidRPr="006A17D5">
        <w:rPr>
          <w:rFonts w:ascii="Arial Narrow" w:hAnsi="Arial Narrow" w:cs="Arial"/>
        </w:rPr>
        <w:t xml:space="preserve">is intended to facilitate </w:t>
      </w:r>
      <w:proofErr w:type="spellStart"/>
      <w:r w:rsidR="00B22A75" w:rsidRPr="006A17D5">
        <w:rPr>
          <w:rFonts w:ascii="Arial Narrow" w:hAnsi="Arial Narrow" w:cs="Arial"/>
        </w:rPr>
        <w:t>harmonisation</w:t>
      </w:r>
      <w:proofErr w:type="spellEnd"/>
      <w:r w:rsidR="00B22A75" w:rsidRPr="006A17D5">
        <w:rPr>
          <w:rFonts w:ascii="Arial Narrow" w:hAnsi="Arial Narrow" w:cs="Arial"/>
        </w:rPr>
        <w:t xml:space="preserve"> of policies, strategies and legal frameworks to enhance regional integration amongst Member States of SADC in the field environmental management</w:t>
      </w:r>
      <w:r w:rsidR="002077F9" w:rsidRPr="006A17D5">
        <w:rPr>
          <w:rFonts w:ascii="Arial Narrow" w:hAnsi="Arial Narrow" w:cs="Arial"/>
          <w:lang w:val="en-ZA"/>
        </w:rPr>
        <w:t>.</w:t>
      </w:r>
      <w:r w:rsidR="00812EF0" w:rsidRPr="006A17D5">
        <w:rPr>
          <w:rFonts w:ascii="Arial Narrow" w:hAnsi="Arial Narrow" w:cs="Arial"/>
          <w:lang w:val="en-ZA"/>
        </w:rPr>
        <w:t xml:space="preserve"> </w:t>
      </w:r>
      <w:r w:rsidR="00B22A75" w:rsidRPr="006A17D5">
        <w:rPr>
          <w:rFonts w:ascii="Arial Narrow" w:hAnsi="Arial Narrow" w:cs="Arial"/>
        </w:rPr>
        <w:t xml:space="preserve">The main objective of the Protocol </w:t>
      </w:r>
      <w:r w:rsidR="00A357D2" w:rsidRPr="006A17D5">
        <w:rPr>
          <w:rFonts w:ascii="Arial Narrow" w:hAnsi="Arial Narrow" w:cs="Arial"/>
        </w:rPr>
        <w:t xml:space="preserve">is to promote sustainable </w:t>
      </w:r>
      <w:proofErr w:type="spellStart"/>
      <w:r w:rsidR="00A357D2" w:rsidRPr="006A17D5">
        <w:rPr>
          <w:rFonts w:ascii="Arial Narrow" w:hAnsi="Arial Narrow" w:cs="Arial"/>
        </w:rPr>
        <w:t>utilis</w:t>
      </w:r>
      <w:r w:rsidR="00B22A75" w:rsidRPr="006A17D5">
        <w:rPr>
          <w:rFonts w:ascii="Arial Narrow" w:hAnsi="Arial Narrow" w:cs="Arial"/>
        </w:rPr>
        <w:t>ation</w:t>
      </w:r>
      <w:proofErr w:type="spellEnd"/>
      <w:r w:rsidR="00B22A75" w:rsidRPr="006A17D5">
        <w:rPr>
          <w:rFonts w:ascii="Arial Narrow" w:hAnsi="Arial Narrow" w:cs="Arial"/>
        </w:rPr>
        <w:t xml:space="preserve"> and trans-boundary management of the environment, which is of interest to SADC Member States. </w:t>
      </w:r>
    </w:p>
    <w:p w:rsidR="006A17D5" w:rsidRDefault="006A17D5" w:rsidP="002571AC">
      <w:pPr>
        <w:spacing w:line="276" w:lineRule="auto"/>
        <w:jc w:val="both"/>
        <w:rPr>
          <w:rFonts w:ascii="Arial Narrow" w:hAnsi="Arial Narrow" w:cs="Arial"/>
        </w:rPr>
      </w:pPr>
    </w:p>
    <w:p w:rsidR="00812EF0" w:rsidRPr="006A17D5" w:rsidRDefault="002571AC" w:rsidP="002571AC">
      <w:pPr>
        <w:spacing w:line="276" w:lineRule="auto"/>
        <w:jc w:val="both"/>
        <w:rPr>
          <w:rFonts w:ascii="Arial Narrow" w:hAnsi="Arial Narrow" w:cs="Arial"/>
          <w:lang w:val="en-ZA"/>
        </w:rPr>
      </w:pPr>
      <w:r>
        <w:rPr>
          <w:rFonts w:ascii="Arial Narrow" w:hAnsi="Arial Narrow" w:cs="Arial"/>
          <w:lang w:val="en-ZA"/>
        </w:rPr>
        <w:t xml:space="preserve">The </w:t>
      </w:r>
      <w:r w:rsidRPr="006A17D5">
        <w:rPr>
          <w:rFonts w:ascii="Arial Narrow" w:hAnsi="Arial Narrow" w:cs="Arial"/>
          <w:bCs/>
        </w:rPr>
        <w:t xml:space="preserve">SADC </w:t>
      </w:r>
      <w:r w:rsidRPr="006A17D5">
        <w:rPr>
          <w:rFonts w:ascii="Arial Narrow" w:hAnsi="Arial Narrow" w:cs="Arial"/>
        </w:rPr>
        <w:t>Protocol on Environmental Management for Sustainable Development</w:t>
      </w:r>
      <w:r w:rsidR="00812EF0" w:rsidRPr="006A17D5">
        <w:rPr>
          <w:rFonts w:ascii="Arial Narrow" w:hAnsi="Arial Narrow" w:cs="Arial"/>
          <w:lang w:val="en-ZA"/>
        </w:rPr>
        <w:t xml:space="preserve"> focuses on the following area</w:t>
      </w:r>
      <w:r w:rsidR="00D578F9" w:rsidRPr="006A17D5">
        <w:rPr>
          <w:rFonts w:ascii="Arial Narrow" w:hAnsi="Arial Narrow" w:cs="Arial"/>
          <w:lang w:val="en-ZA"/>
        </w:rPr>
        <w:t>s</w:t>
      </w:r>
      <w:r w:rsidR="00812EF0" w:rsidRPr="006A17D5">
        <w:rPr>
          <w:rFonts w:ascii="Arial Narrow" w:hAnsi="Arial Narrow" w:cs="Arial"/>
          <w:lang w:val="en-ZA"/>
        </w:rPr>
        <w:t>:</w:t>
      </w:r>
    </w:p>
    <w:p w:rsidR="001C5BEA" w:rsidRPr="006A17D5" w:rsidRDefault="001C5BEA" w:rsidP="002571AC">
      <w:pPr>
        <w:spacing w:line="276" w:lineRule="auto"/>
        <w:jc w:val="both"/>
        <w:rPr>
          <w:rFonts w:ascii="Arial Narrow" w:hAnsi="Arial Narrow" w:cs="Arial"/>
          <w:lang w:val="en-ZA"/>
        </w:rPr>
      </w:pPr>
    </w:p>
    <w:p w:rsidR="00B22A75" w:rsidRPr="006A17D5" w:rsidRDefault="00A357D2" w:rsidP="002571AC">
      <w:pPr>
        <w:pStyle w:val="Legal3"/>
        <w:numPr>
          <w:ilvl w:val="0"/>
          <w:numId w:val="8"/>
        </w:numPr>
        <w:spacing w:line="276" w:lineRule="auto"/>
        <w:jc w:val="both"/>
        <w:rPr>
          <w:rFonts w:ascii="Arial Narrow" w:hAnsi="Arial Narrow" w:cs="Arial"/>
          <w:sz w:val="24"/>
          <w:szCs w:val="24"/>
        </w:rPr>
      </w:pPr>
      <w:r w:rsidRPr="006A17D5">
        <w:rPr>
          <w:rFonts w:ascii="Arial Narrow" w:hAnsi="Arial Narrow" w:cs="Arial"/>
          <w:sz w:val="24"/>
          <w:szCs w:val="24"/>
        </w:rPr>
        <w:t>C</w:t>
      </w:r>
      <w:r w:rsidR="00B22A75" w:rsidRPr="006A17D5">
        <w:rPr>
          <w:rFonts w:ascii="Arial Narrow" w:hAnsi="Arial Narrow" w:cs="Arial"/>
          <w:sz w:val="24"/>
          <w:szCs w:val="24"/>
        </w:rPr>
        <w:t>ontributing towards sustainable development through the adoption of sound environmental management principles and procedures;</w:t>
      </w:r>
    </w:p>
    <w:p w:rsidR="00B22A75" w:rsidRPr="006A17D5" w:rsidRDefault="00B22A75" w:rsidP="002571AC">
      <w:pPr>
        <w:pStyle w:val="Legal3"/>
        <w:numPr>
          <w:ilvl w:val="0"/>
          <w:numId w:val="8"/>
        </w:numPr>
        <w:spacing w:line="276" w:lineRule="auto"/>
        <w:jc w:val="both"/>
        <w:rPr>
          <w:rFonts w:ascii="Arial Narrow" w:hAnsi="Arial Narrow" w:cs="Arial"/>
          <w:color w:val="000000"/>
          <w:sz w:val="24"/>
          <w:szCs w:val="24"/>
        </w:rPr>
      </w:pPr>
      <w:r w:rsidRPr="006A17D5">
        <w:rPr>
          <w:rFonts w:ascii="Arial Narrow" w:hAnsi="Arial Narrow" w:cs="Arial"/>
          <w:color w:val="000000"/>
          <w:sz w:val="24"/>
          <w:szCs w:val="24"/>
        </w:rPr>
        <w:t>ensuring equitable access and sharing of benefits that accrue from genetic resources;</w:t>
      </w:r>
    </w:p>
    <w:p w:rsidR="00B22A75" w:rsidRPr="006A17D5" w:rsidRDefault="00B22A75" w:rsidP="002571AC">
      <w:pPr>
        <w:pStyle w:val="Legal3"/>
        <w:numPr>
          <w:ilvl w:val="0"/>
          <w:numId w:val="8"/>
        </w:numPr>
        <w:spacing w:line="276" w:lineRule="auto"/>
        <w:jc w:val="both"/>
        <w:rPr>
          <w:rFonts w:ascii="Arial Narrow" w:hAnsi="Arial Narrow" w:cs="Arial"/>
          <w:color w:val="000000"/>
          <w:sz w:val="24"/>
          <w:szCs w:val="24"/>
        </w:rPr>
      </w:pPr>
      <w:r w:rsidRPr="006A17D5">
        <w:rPr>
          <w:rFonts w:ascii="Arial Narrow" w:hAnsi="Arial Narrow" w:cs="Arial"/>
          <w:color w:val="000000"/>
          <w:sz w:val="24"/>
          <w:szCs w:val="24"/>
        </w:rPr>
        <w:t>ensuring that gender equality and equity</w:t>
      </w:r>
      <w:r w:rsidRPr="006A17D5">
        <w:rPr>
          <w:rFonts w:ascii="Arial Narrow" w:hAnsi="Arial Narrow" w:cs="Arial"/>
          <w:b/>
          <w:color w:val="000000"/>
          <w:sz w:val="24"/>
          <w:szCs w:val="24"/>
        </w:rPr>
        <w:t xml:space="preserve"> </w:t>
      </w:r>
      <w:r w:rsidRPr="006A17D5">
        <w:rPr>
          <w:rFonts w:ascii="Arial Narrow" w:hAnsi="Arial Narrow" w:cs="Arial"/>
          <w:color w:val="000000"/>
          <w:sz w:val="24"/>
          <w:szCs w:val="24"/>
        </w:rPr>
        <w:t xml:space="preserve">is mainstreamed into environmental management for sustainable development; </w:t>
      </w:r>
    </w:p>
    <w:p w:rsidR="00B22A75" w:rsidRPr="006A17D5" w:rsidRDefault="00B22A75" w:rsidP="002571AC">
      <w:pPr>
        <w:pStyle w:val="Legal3"/>
        <w:numPr>
          <w:ilvl w:val="0"/>
          <w:numId w:val="8"/>
        </w:numPr>
        <w:spacing w:line="276" w:lineRule="auto"/>
        <w:jc w:val="both"/>
        <w:rPr>
          <w:rFonts w:ascii="Arial Narrow" w:hAnsi="Arial Narrow" w:cs="Arial"/>
          <w:color w:val="000000"/>
          <w:sz w:val="24"/>
          <w:szCs w:val="24"/>
        </w:rPr>
      </w:pPr>
      <w:r w:rsidRPr="006A17D5">
        <w:rPr>
          <w:rFonts w:ascii="Arial Narrow" w:hAnsi="Arial Narrow" w:cs="Arial"/>
          <w:color w:val="000000"/>
          <w:sz w:val="24"/>
          <w:szCs w:val="24"/>
        </w:rPr>
        <w:t>ensuring that sustainable development objectives are mainstreamed into trade and socio-economic policies, programmes and plans in the region;</w:t>
      </w:r>
    </w:p>
    <w:p w:rsidR="00B22A75" w:rsidRPr="006A17D5" w:rsidRDefault="00B22A75" w:rsidP="002571AC">
      <w:pPr>
        <w:pStyle w:val="Legal3"/>
        <w:numPr>
          <w:ilvl w:val="0"/>
          <w:numId w:val="8"/>
        </w:numPr>
        <w:spacing w:line="276" w:lineRule="auto"/>
        <w:jc w:val="both"/>
        <w:rPr>
          <w:rFonts w:ascii="Arial Narrow" w:hAnsi="Arial Narrow" w:cs="Arial"/>
          <w:sz w:val="24"/>
          <w:szCs w:val="24"/>
        </w:rPr>
      </w:pPr>
      <w:r w:rsidRPr="006A17D5">
        <w:rPr>
          <w:rFonts w:ascii="Arial Narrow" w:hAnsi="Arial Narrow" w:cs="Arial"/>
          <w:sz w:val="24"/>
          <w:szCs w:val="24"/>
        </w:rPr>
        <w:t xml:space="preserve">promoting trade in environmental goods and services for the development of the economies of the </w:t>
      </w:r>
      <w:r w:rsidRPr="006A17D5">
        <w:rPr>
          <w:rFonts w:ascii="Arial Narrow" w:hAnsi="Arial Narrow" w:cs="Arial"/>
          <w:sz w:val="24"/>
          <w:szCs w:val="24"/>
          <w:lang w:val="en-US"/>
        </w:rPr>
        <w:t>State Parties</w:t>
      </w:r>
      <w:r w:rsidRPr="006A17D5">
        <w:rPr>
          <w:rFonts w:ascii="Arial Narrow" w:hAnsi="Arial Narrow" w:cs="Arial"/>
          <w:sz w:val="24"/>
          <w:szCs w:val="24"/>
        </w:rPr>
        <w:t>;</w:t>
      </w:r>
    </w:p>
    <w:p w:rsidR="00B22A75" w:rsidRPr="006A17D5" w:rsidRDefault="00B22A75" w:rsidP="002571AC">
      <w:pPr>
        <w:pStyle w:val="Legal3"/>
        <w:numPr>
          <w:ilvl w:val="0"/>
          <w:numId w:val="8"/>
        </w:numPr>
        <w:spacing w:line="276" w:lineRule="auto"/>
        <w:jc w:val="both"/>
        <w:rPr>
          <w:rFonts w:ascii="Arial Narrow" w:hAnsi="Arial Narrow" w:cs="Arial"/>
          <w:sz w:val="24"/>
          <w:szCs w:val="24"/>
        </w:rPr>
      </w:pPr>
      <w:r w:rsidRPr="006A17D5">
        <w:rPr>
          <w:rFonts w:ascii="Arial Narrow" w:hAnsi="Arial Narrow" w:cs="Arial"/>
          <w:sz w:val="24"/>
          <w:szCs w:val="24"/>
        </w:rPr>
        <w:t xml:space="preserve">facilitating value addition and beneficiation of the region’s natural resources to maximise benefits; </w:t>
      </w:r>
    </w:p>
    <w:p w:rsidR="00B22A75" w:rsidRPr="006A17D5" w:rsidRDefault="00B22A75" w:rsidP="002571AC">
      <w:pPr>
        <w:pStyle w:val="Legal3"/>
        <w:numPr>
          <w:ilvl w:val="0"/>
          <w:numId w:val="8"/>
        </w:numPr>
        <w:spacing w:line="276" w:lineRule="auto"/>
        <w:jc w:val="both"/>
        <w:rPr>
          <w:rFonts w:ascii="Arial Narrow" w:hAnsi="Arial Narrow" w:cs="Arial"/>
          <w:sz w:val="24"/>
          <w:szCs w:val="24"/>
        </w:rPr>
      </w:pPr>
      <w:r w:rsidRPr="006A17D5">
        <w:rPr>
          <w:rFonts w:ascii="Arial Narrow" w:hAnsi="Arial Narrow" w:cs="Arial"/>
          <w:sz w:val="24"/>
          <w:szCs w:val="24"/>
        </w:rPr>
        <w:t>enhancing the restoration, rehabilitation and remediation of degraded and polluted environments;</w:t>
      </w:r>
    </w:p>
    <w:p w:rsidR="00B22A75" w:rsidRPr="006A17D5" w:rsidRDefault="00B22A75" w:rsidP="002571AC">
      <w:pPr>
        <w:pStyle w:val="Legal3"/>
        <w:numPr>
          <w:ilvl w:val="0"/>
          <w:numId w:val="8"/>
        </w:numPr>
        <w:spacing w:line="276" w:lineRule="auto"/>
        <w:jc w:val="both"/>
        <w:rPr>
          <w:rFonts w:ascii="Arial Narrow" w:hAnsi="Arial Narrow" w:cs="Arial"/>
          <w:sz w:val="24"/>
          <w:szCs w:val="24"/>
        </w:rPr>
      </w:pPr>
      <w:r w:rsidRPr="006A17D5">
        <w:rPr>
          <w:rFonts w:ascii="Arial Narrow" w:hAnsi="Arial Narrow" w:cs="Arial"/>
          <w:sz w:val="24"/>
          <w:szCs w:val="24"/>
        </w:rPr>
        <w:t xml:space="preserve">promoting complementarity in implementing </w:t>
      </w:r>
      <w:proofErr w:type="spellStart"/>
      <w:r w:rsidRPr="006A17D5">
        <w:rPr>
          <w:rFonts w:ascii="Arial Narrow" w:hAnsi="Arial Narrow" w:cs="Arial"/>
          <w:sz w:val="24"/>
          <w:szCs w:val="24"/>
        </w:rPr>
        <w:t>transboundary</w:t>
      </w:r>
      <w:proofErr w:type="spellEnd"/>
      <w:r w:rsidRPr="006A17D5">
        <w:rPr>
          <w:rFonts w:ascii="Arial Narrow" w:hAnsi="Arial Narrow" w:cs="Arial"/>
          <w:sz w:val="24"/>
          <w:szCs w:val="24"/>
        </w:rPr>
        <w:t xml:space="preserve"> environmental management activities;</w:t>
      </w:r>
    </w:p>
    <w:p w:rsidR="00B22A75" w:rsidRPr="006A17D5" w:rsidRDefault="00B22A75" w:rsidP="002571AC">
      <w:pPr>
        <w:pStyle w:val="Legal3"/>
        <w:numPr>
          <w:ilvl w:val="0"/>
          <w:numId w:val="8"/>
        </w:numPr>
        <w:spacing w:line="276" w:lineRule="auto"/>
        <w:jc w:val="both"/>
        <w:rPr>
          <w:rFonts w:ascii="Arial Narrow" w:hAnsi="Arial Narrow" w:cs="Arial"/>
          <w:sz w:val="24"/>
          <w:szCs w:val="24"/>
        </w:rPr>
      </w:pPr>
      <w:r w:rsidRPr="006A17D5">
        <w:rPr>
          <w:rFonts w:ascii="Arial Narrow" w:hAnsi="Arial Narrow" w:cs="Arial"/>
          <w:sz w:val="24"/>
          <w:szCs w:val="24"/>
        </w:rPr>
        <w:t>facilitating harmonisation of environmental policies, legislation, law enforcement and natural resources governance;</w:t>
      </w:r>
    </w:p>
    <w:p w:rsidR="00B22A75" w:rsidRPr="006A17D5" w:rsidRDefault="00B22A75" w:rsidP="002571AC">
      <w:pPr>
        <w:pStyle w:val="Legal3"/>
        <w:numPr>
          <w:ilvl w:val="0"/>
          <w:numId w:val="8"/>
        </w:numPr>
        <w:spacing w:line="276" w:lineRule="auto"/>
        <w:jc w:val="both"/>
        <w:rPr>
          <w:rFonts w:ascii="Arial Narrow" w:hAnsi="Arial Narrow" w:cs="Arial"/>
          <w:sz w:val="24"/>
          <w:szCs w:val="24"/>
        </w:rPr>
      </w:pPr>
      <w:r w:rsidRPr="006A17D5">
        <w:rPr>
          <w:rFonts w:ascii="Arial Narrow" w:hAnsi="Arial Narrow" w:cs="Arial"/>
          <w:sz w:val="24"/>
          <w:szCs w:val="24"/>
        </w:rPr>
        <w:t xml:space="preserve">monitoring and reporting on environmental trends and implementation of </w:t>
      </w:r>
      <w:proofErr w:type="spellStart"/>
      <w:r w:rsidRPr="006A17D5">
        <w:rPr>
          <w:rFonts w:ascii="Arial Narrow" w:hAnsi="Arial Narrow" w:cs="Arial"/>
          <w:sz w:val="24"/>
          <w:szCs w:val="24"/>
        </w:rPr>
        <w:t>transboundary</w:t>
      </w:r>
      <w:proofErr w:type="spellEnd"/>
      <w:r w:rsidRPr="006A17D5">
        <w:rPr>
          <w:rFonts w:ascii="Arial Narrow" w:hAnsi="Arial Narrow" w:cs="Arial"/>
          <w:sz w:val="24"/>
          <w:szCs w:val="24"/>
        </w:rPr>
        <w:t xml:space="preserve"> programmes in the region including development and implementation of early warning systems and environmental risk assessments;</w:t>
      </w:r>
    </w:p>
    <w:p w:rsidR="00B22A75" w:rsidRPr="006A17D5" w:rsidRDefault="00B22A75" w:rsidP="002571AC">
      <w:pPr>
        <w:pStyle w:val="Legal3"/>
        <w:numPr>
          <w:ilvl w:val="0"/>
          <w:numId w:val="8"/>
        </w:numPr>
        <w:spacing w:line="276" w:lineRule="auto"/>
        <w:jc w:val="both"/>
        <w:rPr>
          <w:rFonts w:ascii="Arial Narrow" w:hAnsi="Arial Narrow" w:cs="Arial"/>
          <w:sz w:val="24"/>
          <w:szCs w:val="24"/>
        </w:rPr>
      </w:pPr>
      <w:r w:rsidRPr="006A17D5">
        <w:rPr>
          <w:rFonts w:ascii="Arial Narrow" w:hAnsi="Arial Narrow" w:cs="Arial"/>
          <w:sz w:val="24"/>
          <w:szCs w:val="24"/>
        </w:rPr>
        <w:t>facilitating the development, implementation and coordination of environmental assessment procedures, environmental management instruments and standards;</w:t>
      </w:r>
    </w:p>
    <w:p w:rsidR="00B22A75" w:rsidRPr="006A17D5" w:rsidRDefault="00B22A75" w:rsidP="002571AC">
      <w:pPr>
        <w:pStyle w:val="Legal3"/>
        <w:numPr>
          <w:ilvl w:val="0"/>
          <w:numId w:val="8"/>
        </w:numPr>
        <w:spacing w:line="276" w:lineRule="auto"/>
        <w:jc w:val="both"/>
        <w:rPr>
          <w:rFonts w:ascii="Arial Narrow" w:hAnsi="Arial Narrow" w:cs="Arial"/>
          <w:sz w:val="24"/>
          <w:szCs w:val="24"/>
        </w:rPr>
      </w:pPr>
      <w:r w:rsidRPr="006A17D5">
        <w:rPr>
          <w:rFonts w:ascii="Arial Narrow" w:hAnsi="Arial Narrow" w:cs="Arial"/>
          <w:sz w:val="24"/>
          <w:szCs w:val="24"/>
        </w:rPr>
        <w:t>developing and implementing co-ordinated and where feasible joint climate change mitigation and adaptation strategies and implementation of co-ordinated environmental disaster management responses;</w:t>
      </w:r>
    </w:p>
    <w:p w:rsidR="00B22A75" w:rsidRPr="006A17D5" w:rsidRDefault="00B22A75" w:rsidP="002571AC">
      <w:pPr>
        <w:pStyle w:val="Legal3"/>
        <w:numPr>
          <w:ilvl w:val="0"/>
          <w:numId w:val="8"/>
        </w:numPr>
        <w:spacing w:line="276" w:lineRule="auto"/>
        <w:jc w:val="both"/>
        <w:rPr>
          <w:rFonts w:ascii="Arial Narrow" w:hAnsi="Arial Narrow" w:cs="Arial"/>
          <w:sz w:val="24"/>
          <w:szCs w:val="24"/>
        </w:rPr>
      </w:pPr>
      <w:r w:rsidRPr="006A17D5">
        <w:rPr>
          <w:rFonts w:ascii="Arial Narrow" w:hAnsi="Arial Narrow" w:cs="Arial"/>
          <w:sz w:val="24"/>
          <w:szCs w:val="24"/>
        </w:rPr>
        <w:t>managing the collection, storage, movement and disposal of trans</w:t>
      </w:r>
      <w:r w:rsidR="00A357D2" w:rsidRPr="006A17D5">
        <w:rPr>
          <w:rFonts w:ascii="Arial Narrow" w:hAnsi="Arial Narrow" w:cs="Arial"/>
          <w:sz w:val="24"/>
          <w:szCs w:val="24"/>
        </w:rPr>
        <w:t>-</w:t>
      </w:r>
      <w:r w:rsidRPr="006A17D5">
        <w:rPr>
          <w:rFonts w:ascii="Arial Narrow" w:hAnsi="Arial Narrow" w:cs="Arial"/>
          <w:sz w:val="24"/>
          <w:szCs w:val="24"/>
        </w:rPr>
        <w:t xml:space="preserve">boundary waste and hazardous chemicals including radioactive materials; </w:t>
      </w:r>
    </w:p>
    <w:p w:rsidR="00B22A75" w:rsidRPr="006A17D5" w:rsidRDefault="00B22A75" w:rsidP="002571AC">
      <w:pPr>
        <w:pStyle w:val="Legal3"/>
        <w:numPr>
          <w:ilvl w:val="0"/>
          <w:numId w:val="8"/>
        </w:numPr>
        <w:spacing w:line="276" w:lineRule="auto"/>
        <w:jc w:val="both"/>
        <w:rPr>
          <w:rFonts w:ascii="Arial Narrow" w:hAnsi="Arial Narrow" w:cs="Arial"/>
          <w:sz w:val="24"/>
          <w:szCs w:val="24"/>
        </w:rPr>
      </w:pPr>
      <w:r w:rsidRPr="006A17D5">
        <w:rPr>
          <w:rFonts w:ascii="Arial Narrow" w:hAnsi="Arial Narrow" w:cs="Arial"/>
          <w:sz w:val="24"/>
          <w:szCs w:val="24"/>
        </w:rPr>
        <w:t>preventing and controlling air, water and soil pollution and degradation of the region’s natural resources;</w:t>
      </w:r>
    </w:p>
    <w:p w:rsidR="00B22A75" w:rsidRPr="006A17D5" w:rsidRDefault="00B22A75" w:rsidP="002571AC">
      <w:pPr>
        <w:pStyle w:val="Legal3"/>
        <w:numPr>
          <w:ilvl w:val="0"/>
          <w:numId w:val="8"/>
        </w:numPr>
        <w:spacing w:line="276" w:lineRule="auto"/>
        <w:jc w:val="both"/>
        <w:rPr>
          <w:rFonts w:ascii="Arial Narrow" w:hAnsi="Arial Narrow" w:cs="Arial"/>
          <w:sz w:val="24"/>
          <w:szCs w:val="24"/>
        </w:rPr>
      </w:pPr>
      <w:r w:rsidRPr="006A17D5">
        <w:rPr>
          <w:rFonts w:ascii="Arial Narrow" w:hAnsi="Arial Narrow" w:cs="Arial"/>
          <w:sz w:val="24"/>
          <w:szCs w:val="24"/>
        </w:rPr>
        <w:t>promoting sustainable land management practices so as to prevent soil erosion, land degradation, deforestation, desertification, overgrazing and bush encroachment; and</w:t>
      </w:r>
    </w:p>
    <w:p w:rsidR="00B22A75" w:rsidRPr="006A17D5" w:rsidRDefault="00B22A75" w:rsidP="002571AC">
      <w:pPr>
        <w:pStyle w:val="Legal3"/>
        <w:numPr>
          <w:ilvl w:val="0"/>
          <w:numId w:val="8"/>
        </w:numPr>
        <w:spacing w:line="276" w:lineRule="auto"/>
        <w:jc w:val="both"/>
        <w:rPr>
          <w:rFonts w:ascii="Arial Narrow" w:hAnsi="Arial Narrow" w:cs="Arial"/>
          <w:color w:val="000000"/>
          <w:sz w:val="24"/>
          <w:szCs w:val="24"/>
        </w:rPr>
      </w:pPr>
      <w:proofErr w:type="gramStart"/>
      <w:r w:rsidRPr="006A17D5">
        <w:rPr>
          <w:rFonts w:ascii="Arial Narrow" w:hAnsi="Arial Narrow" w:cs="Arial"/>
          <w:color w:val="000000"/>
          <w:sz w:val="24"/>
          <w:szCs w:val="24"/>
        </w:rPr>
        <w:t>promoting</w:t>
      </w:r>
      <w:proofErr w:type="gramEnd"/>
      <w:r w:rsidRPr="006A17D5">
        <w:rPr>
          <w:rFonts w:ascii="Arial Narrow" w:hAnsi="Arial Narrow" w:cs="Arial"/>
          <w:color w:val="000000"/>
          <w:sz w:val="24"/>
          <w:szCs w:val="24"/>
        </w:rPr>
        <w:t xml:space="preserve"> the use of environmental economics and natural resources acc</w:t>
      </w:r>
      <w:r w:rsidR="00A357D2" w:rsidRPr="006A17D5">
        <w:rPr>
          <w:rFonts w:ascii="Arial Narrow" w:hAnsi="Arial Narrow" w:cs="Arial"/>
          <w:color w:val="000000"/>
          <w:sz w:val="24"/>
          <w:szCs w:val="24"/>
        </w:rPr>
        <w:t>ounting in development planning.</w:t>
      </w:r>
    </w:p>
    <w:p w:rsidR="001C5BEA" w:rsidRPr="006A17D5" w:rsidRDefault="001C5BEA" w:rsidP="002571AC">
      <w:pPr>
        <w:pStyle w:val="BodyText2"/>
        <w:adjustRightInd w:val="0"/>
        <w:snapToGrid w:val="0"/>
        <w:spacing w:line="276" w:lineRule="auto"/>
        <w:ind w:left="720"/>
        <w:rPr>
          <w:rFonts w:ascii="Arial Narrow" w:hAnsi="Arial Narrow" w:cs="Arial"/>
          <w:color w:val="000000"/>
          <w:sz w:val="24"/>
          <w:szCs w:val="24"/>
        </w:rPr>
      </w:pPr>
    </w:p>
    <w:p w:rsidR="006A17D5" w:rsidRPr="006A17D5" w:rsidRDefault="006A17D5" w:rsidP="002571AC">
      <w:pPr>
        <w:spacing w:line="276" w:lineRule="auto"/>
        <w:jc w:val="both"/>
        <w:rPr>
          <w:rFonts w:ascii="Arial Narrow" w:hAnsi="Arial Narrow" w:cs="Arial"/>
        </w:rPr>
      </w:pPr>
      <w:r w:rsidRPr="006A17D5">
        <w:rPr>
          <w:rFonts w:ascii="Arial Narrow" w:hAnsi="Arial Narrow" w:cs="Arial"/>
        </w:rPr>
        <w:lastRenderedPageBreak/>
        <w:t>T</w:t>
      </w:r>
      <w:r w:rsidR="00B22A75" w:rsidRPr="006A17D5">
        <w:rPr>
          <w:rFonts w:ascii="Arial Narrow" w:hAnsi="Arial Narrow" w:cs="Arial"/>
        </w:rPr>
        <w:t xml:space="preserve">he SADC Protocol on Environmental Management for Sustainable Development </w:t>
      </w:r>
      <w:r>
        <w:rPr>
          <w:rFonts w:ascii="Arial Narrow" w:hAnsi="Arial Narrow" w:cs="Arial"/>
        </w:rPr>
        <w:t>co</w:t>
      </w:r>
      <w:r w:rsidRPr="006A17D5">
        <w:rPr>
          <w:rFonts w:ascii="Arial Narrow" w:hAnsi="Arial Narrow" w:cs="Arial"/>
        </w:rPr>
        <w:t>ntains the following self-executing clauses:</w:t>
      </w:r>
    </w:p>
    <w:p w:rsidR="006A17D5" w:rsidRPr="006A17D5" w:rsidRDefault="006A17D5" w:rsidP="002571AC">
      <w:pPr>
        <w:spacing w:line="276" w:lineRule="auto"/>
        <w:jc w:val="both"/>
        <w:rPr>
          <w:rFonts w:ascii="Arial Narrow" w:hAnsi="Arial Narrow" w:cs="Arial"/>
        </w:rPr>
      </w:pPr>
    </w:p>
    <w:p w:rsidR="006A17D5" w:rsidRPr="006A17D5" w:rsidRDefault="006A17D5" w:rsidP="002571AC">
      <w:pPr>
        <w:pStyle w:val="ListParagraph"/>
        <w:numPr>
          <w:ilvl w:val="0"/>
          <w:numId w:val="9"/>
        </w:numPr>
        <w:jc w:val="both"/>
        <w:rPr>
          <w:rFonts w:ascii="Arial Narrow" w:hAnsi="Arial Narrow" w:cs="Arial"/>
          <w:sz w:val="24"/>
          <w:szCs w:val="24"/>
        </w:rPr>
      </w:pPr>
      <w:r w:rsidRPr="006A17D5">
        <w:rPr>
          <w:rFonts w:ascii="Arial Narrow" w:hAnsi="Arial Narrow" w:cs="Arial"/>
          <w:sz w:val="24"/>
          <w:szCs w:val="24"/>
        </w:rPr>
        <w:t>Article 22: Institutional Framework – establishment of the Committee of Ministers Responsible for the Environment; Committee of Senior Officials Responsible for the Environment; and Technical Committee on Environmental Management.</w:t>
      </w:r>
    </w:p>
    <w:p w:rsidR="006A17D5" w:rsidRPr="006A17D5" w:rsidRDefault="006A17D5" w:rsidP="002571AC">
      <w:pPr>
        <w:pStyle w:val="ListParagraph"/>
        <w:numPr>
          <w:ilvl w:val="0"/>
          <w:numId w:val="9"/>
        </w:numPr>
        <w:jc w:val="both"/>
        <w:rPr>
          <w:rFonts w:ascii="Arial Narrow" w:hAnsi="Arial Narrow" w:cs="Arial"/>
          <w:sz w:val="24"/>
          <w:szCs w:val="24"/>
        </w:rPr>
      </w:pPr>
      <w:r w:rsidRPr="006A17D5">
        <w:rPr>
          <w:rFonts w:ascii="Arial Narrow" w:hAnsi="Arial Narrow" w:cs="Arial"/>
          <w:sz w:val="24"/>
          <w:szCs w:val="24"/>
        </w:rPr>
        <w:t>Article 26: Specialist Committees and Technical Working Groups – Specialist Ad-hoc Committee on Environmental Management Education and Training; and Specialist Ad-hoc Committee on Environmental Standards</w:t>
      </w:r>
    </w:p>
    <w:p w:rsidR="00233A6C" w:rsidRDefault="00CA3F43" w:rsidP="00CA3F43">
      <w:pPr>
        <w:spacing w:line="276" w:lineRule="auto"/>
        <w:jc w:val="both"/>
        <w:rPr>
          <w:rFonts w:ascii="Arial Narrow" w:hAnsi="Arial Narrow"/>
          <w:lang w:val="en-GB"/>
        </w:rPr>
      </w:pPr>
      <w:r w:rsidRPr="00CA3F43">
        <w:rPr>
          <w:rFonts w:ascii="Arial Narrow" w:hAnsi="Arial Narrow"/>
          <w:lang w:val="en-GB"/>
        </w:rPr>
        <w:t xml:space="preserve">The SADC Protocol on Environmental Management for Sustainable Development is </w:t>
      </w:r>
      <w:r>
        <w:rPr>
          <w:rFonts w:ascii="Arial Narrow" w:hAnsi="Arial Narrow"/>
          <w:lang w:val="en-GB"/>
        </w:rPr>
        <w:t>consistent</w:t>
      </w:r>
      <w:r w:rsidRPr="00CA3F43">
        <w:rPr>
          <w:rFonts w:ascii="Arial Narrow" w:hAnsi="Arial Narrow"/>
          <w:lang w:val="en-GB"/>
        </w:rPr>
        <w:t xml:space="preserve"> with South Africa’s constitution, particularly Section 24 on Environment of the Bill of Rights which advocates for conservation and sustainable natural resource use and its ratification will not compromise the territorial integrity of South Africa.</w:t>
      </w:r>
      <w:r>
        <w:rPr>
          <w:rFonts w:ascii="Arial Narrow" w:hAnsi="Arial Narrow"/>
          <w:lang w:val="en-GB"/>
        </w:rPr>
        <w:t xml:space="preserve"> Furthermore, t</w:t>
      </w:r>
      <w:r w:rsidRPr="00CA3F43">
        <w:rPr>
          <w:rFonts w:ascii="Arial Narrow" w:hAnsi="Arial Narrow"/>
          <w:lang w:val="en-GB"/>
        </w:rPr>
        <w:t xml:space="preserve">he Protocol calls for State Parties to undertake gender mainstreaming of all environmental management, climate change and sustainable development policies, programmes, projects, strategies and budgets. </w:t>
      </w:r>
    </w:p>
    <w:p w:rsidR="00CA3F43" w:rsidRDefault="00CA3F43" w:rsidP="00CA3F43">
      <w:pPr>
        <w:spacing w:line="276" w:lineRule="auto"/>
        <w:jc w:val="both"/>
        <w:rPr>
          <w:rFonts w:ascii="Arial Narrow" w:hAnsi="Arial Narrow"/>
          <w:lang w:val="en-GB"/>
        </w:rPr>
      </w:pPr>
    </w:p>
    <w:p w:rsidR="00233A6C" w:rsidRPr="00CA3F43" w:rsidRDefault="00CA3F43" w:rsidP="00CA3F43">
      <w:pPr>
        <w:spacing w:line="276" w:lineRule="auto"/>
        <w:jc w:val="both"/>
        <w:rPr>
          <w:rFonts w:ascii="Arial Narrow" w:hAnsi="Arial Narrow"/>
        </w:rPr>
      </w:pPr>
      <w:r>
        <w:rPr>
          <w:rFonts w:ascii="Arial Narrow" w:hAnsi="Arial Narrow"/>
          <w:lang w:val="en-ZA"/>
        </w:rPr>
        <w:t>The Protocol r</w:t>
      </w:r>
      <w:r w:rsidRPr="00CA3F43">
        <w:rPr>
          <w:rFonts w:ascii="Arial Narrow" w:hAnsi="Arial Narrow"/>
          <w:lang w:val="en-ZA"/>
        </w:rPr>
        <w:t>ecogni</w:t>
      </w:r>
      <w:r>
        <w:rPr>
          <w:rFonts w:ascii="Arial Narrow" w:hAnsi="Arial Narrow"/>
          <w:lang w:val="en-ZA"/>
        </w:rPr>
        <w:t>ses</w:t>
      </w:r>
      <w:r w:rsidRPr="00CA3F43">
        <w:rPr>
          <w:rFonts w:ascii="Arial Narrow" w:hAnsi="Arial Narrow"/>
          <w:lang w:val="en-ZA"/>
        </w:rPr>
        <w:t xml:space="preserve"> that the environment is linked to global security in respect of issues such as climate change, desertification, biodiversity loss, diminishing water resources and the degradation of the Earth’s capacity to assimilate pollution and waste, although it does not mention any specific security-related measures to be undertaken by SADC Member States in this regard. </w:t>
      </w:r>
      <w:r w:rsidRPr="00CA3F43">
        <w:rPr>
          <w:rFonts w:ascii="Arial Narrow" w:hAnsi="Arial Narrow"/>
          <w:lang w:val="en-GB"/>
        </w:rPr>
        <w:t xml:space="preserve">Furthermore, the Protocol calls for the facilitation of the harmonisation of environmental policies, legislation, law enforcement and natural resources governance and provides for collaboration in environmental law enforcement between State Parties. </w:t>
      </w:r>
    </w:p>
    <w:p w:rsidR="00CA3F43" w:rsidRDefault="00CA3F43" w:rsidP="002571AC">
      <w:pPr>
        <w:spacing w:line="276" w:lineRule="auto"/>
        <w:jc w:val="both"/>
        <w:rPr>
          <w:rFonts w:ascii="Arial Narrow" w:hAnsi="Arial Narrow"/>
        </w:rPr>
      </w:pPr>
    </w:p>
    <w:p w:rsidR="002571AC" w:rsidRPr="000523AE" w:rsidRDefault="002571AC" w:rsidP="002571AC">
      <w:pPr>
        <w:spacing w:line="276" w:lineRule="auto"/>
        <w:jc w:val="both"/>
        <w:rPr>
          <w:rFonts w:ascii="Arial Narrow" w:hAnsi="Arial Narrow"/>
        </w:rPr>
      </w:pPr>
      <w:r>
        <w:rPr>
          <w:rFonts w:ascii="Arial Narrow" w:hAnsi="Arial Narrow"/>
        </w:rPr>
        <w:t xml:space="preserve">In terms of financial implications, there are no Membership Fees required by the Protocol. However, the Protocol states that </w:t>
      </w:r>
      <w:r w:rsidRPr="000523AE">
        <w:rPr>
          <w:rFonts w:ascii="Arial Narrow" w:hAnsi="Arial Narrow"/>
        </w:rPr>
        <w:t>State Parties shall endeavour to allocate the necessary funds for the effective implementation of this Protocol at the national level.</w:t>
      </w:r>
      <w:r>
        <w:rPr>
          <w:rFonts w:ascii="Arial Narrow" w:hAnsi="Arial Narrow"/>
        </w:rPr>
        <w:t xml:space="preserve"> These would need to be sourced from the national budget allocations of the Department of Environmental Affairs, as well as relevant Provinces where </w:t>
      </w:r>
      <w:proofErr w:type="spellStart"/>
      <w:r>
        <w:rPr>
          <w:rFonts w:ascii="Arial Narrow" w:hAnsi="Arial Narrow"/>
        </w:rPr>
        <w:t>transboundary</w:t>
      </w:r>
      <w:proofErr w:type="spellEnd"/>
      <w:r>
        <w:rPr>
          <w:rFonts w:ascii="Arial Narrow" w:hAnsi="Arial Narrow"/>
        </w:rPr>
        <w:t xml:space="preserve"> environmental </w:t>
      </w:r>
      <w:proofErr w:type="spellStart"/>
      <w:r>
        <w:rPr>
          <w:rFonts w:ascii="Arial Narrow" w:hAnsi="Arial Narrow"/>
        </w:rPr>
        <w:t>programmes</w:t>
      </w:r>
      <w:proofErr w:type="spellEnd"/>
      <w:r>
        <w:rPr>
          <w:rFonts w:ascii="Arial Narrow" w:hAnsi="Arial Narrow"/>
        </w:rPr>
        <w:t xml:space="preserve"> have been adopted for implementation, as t</w:t>
      </w:r>
      <w:r w:rsidRPr="000523AE">
        <w:rPr>
          <w:rFonts w:ascii="Arial Narrow" w:hAnsi="Arial Narrow"/>
        </w:rPr>
        <w:t>he cost of administering and managing the activities of this Protocol shall be borne by State Parties.</w:t>
      </w:r>
    </w:p>
    <w:p w:rsidR="002571AC" w:rsidRDefault="002571AC" w:rsidP="002571AC">
      <w:pPr>
        <w:spacing w:line="276" w:lineRule="auto"/>
        <w:jc w:val="both"/>
        <w:rPr>
          <w:rFonts w:ascii="Arial Narrow" w:hAnsi="Arial Narrow"/>
        </w:rPr>
      </w:pPr>
    </w:p>
    <w:p w:rsidR="002571AC" w:rsidRPr="002571AC" w:rsidRDefault="002571AC" w:rsidP="002571AC">
      <w:pPr>
        <w:spacing w:line="276" w:lineRule="auto"/>
        <w:jc w:val="both"/>
        <w:rPr>
          <w:rFonts w:ascii="Arial Narrow" w:hAnsi="Arial Narrow"/>
        </w:rPr>
      </w:pPr>
      <w:r w:rsidRPr="002571AC">
        <w:rPr>
          <w:rFonts w:ascii="Arial Narrow" w:hAnsi="Arial Narrow"/>
        </w:rPr>
        <w:t xml:space="preserve">Furthermore, the Protocol states that the SADC Council of Ministers shall ensure that adequate resources are allocated to support the relevant implementation of the provisions of this Protocol and that State Parties may establish a regional financing mechanism to finance </w:t>
      </w:r>
      <w:proofErr w:type="spellStart"/>
      <w:r w:rsidRPr="002571AC">
        <w:rPr>
          <w:rFonts w:ascii="Arial Narrow" w:hAnsi="Arial Narrow"/>
        </w:rPr>
        <w:t>transboundary</w:t>
      </w:r>
      <w:proofErr w:type="spellEnd"/>
      <w:r w:rsidRPr="002571AC">
        <w:rPr>
          <w:rFonts w:ascii="Arial Narrow" w:hAnsi="Arial Narrow"/>
        </w:rPr>
        <w:t xml:space="preserve"> and regional environmental </w:t>
      </w:r>
      <w:proofErr w:type="spellStart"/>
      <w:r w:rsidRPr="002571AC">
        <w:rPr>
          <w:rFonts w:ascii="Arial Narrow" w:hAnsi="Arial Narrow"/>
        </w:rPr>
        <w:t>programmes</w:t>
      </w:r>
      <w:proofErr w:type="spellEnd"/>
      <w:r w:rsidRPr="002571AC">
        <w:rPr>
          <w:rFonts w:ascii="Arial Narrow" w:hAnsi="Arial Narrow"/>
        </w:rPr>
        <w:t xml:space="preserve"> to be approved by the SADC Council.</w:t>
      </w:r>
    </w:p>
    <w:p w:rsidR="002571AC" w:rsidRDefault="002571AC" w:rsidP="002571AC">
      <w:pPr>
        <w:spacing w:line="276" w:lineRule="auto"/>
      </w:pPr>
    </w:p>
    <w:p w:rsidR="00ED4A7D" w:rsidRPr="00CA3F43" w:rsidRDefault="00CA3F43" w:rsidP="00CA3F43">
      <w:pPr>
        <w:spacing w:line="276" w:lineRule="auto"/>
        <w:jc w:val="both"/>
        <w:rPr>
          <w:rFonts w:ascii="Arial Narrow" w:hAnsi="Arial Narrow"/>
        </w:rPr>
      </w:pPr>
      <w:r w:rsidRPr="00CA3F43">
        <w:rPr>
          <w:rFonts w:ascii="Arial Narrow" w:hAnsi="Arial Narrow"/>
        </w:rPr>
        <w:t xml:space="preserve">In terms of Article 35, the Protocol shall come into force thirty (30) days after the instruments of ratification have been deposited by nine (9) Member States. Although 10 Member States have signed, only one Member State has ratified this Protocol to date. Therefore, South Africa’s ratification of this Protocol would demonstrate commitment to strengthening regional efforts to conserve </w:t>
      </w:r>
      <w:proofErr w:type="spellStart"/>
      <w:r w:rsidRPr="00CA3F43">
        <w:rPr>
          <w:rFonts w:ascii="Arial Narrow" w:hAnsi="Arial Narrow"/>
        </w:rPr>
        <w:t>transboundary</w:t>
      </w:r>
      <w:proofErr w:type="spellEnd"/>
      <w:r w:rsidRPr="00CA3F43">
        <w:rPr>
          <w:rFonts w:ascii="Arial Narrow" w:hAnsi="Arial Narrow"/>
        </w:rPr>
        <w:t xml:space="preserve"> natural resources and promote sustainable development within SADC.</w:t>
      </w:r>
    </w:p>
    <w:sectPr w:rsidR="00ED4A7D" w:rsidRPr="00CA3F43" w:rsidSect="00893E6D">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E247C"/>
    <w:multiLevelType w:val="hybridMultilevel"/>
    <w:tmpl w:val="7D246A0A"/>
    <w:lvl w:ilvl="0" w:tplc="CA3AB6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965C0"/>
    <w:multiLevelType w:val="hybridMultilevel"/>
    <w:tmpl w:val="6CF6868E"/>
    <w:lvl w:ilvl="0" w:tplc="12D4BEE2">
      <w:start w:val="1"/>
      <w:numFmt w:val="lowerLetter"/>
      <w:lvlText w:val="(%1)"/>
      <w:lvlJc w:val="left"/>
      <w:pPr>
        <w:ind w:left="720" w:hanging="360"/>
      </w:pPr>
      <w:rPr>
        <w:rFonts w:ascii="Arial Narrow" w:eastAsia="Times New Roman" w:hAnsi="Arial Narrow"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B1DD3"/>
    <w:multiLevelType w:val="hybridMultilevel"/>
    <w:tmpl w:val="CD165FE4"/>
    <w:lvl w:ilvl="0" w:tplc="CEEA69DE">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nsid w:val="26E9701B"/>
    <w:multiLevelType w:val="hybridMultilevel"/>
    <w:tmpl w:val="FEDCE1D8"/>
    <w:lvl w:ilvl="0" w:tplc="3F9472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EFC241C"/>
    <w:multiLevelType w:val="hybridMultilevel"/>
    <w:tmpl w:val="0F84B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00BA"/>
    <w:multiLevelType w:val="hybridMultilevel"/>
    <w:tmpl w:val="373A382E"/>
    <w:lvl w:ilvl="0" w:tplc="A654855C">
      <w:start w:val="1"/>
      <w:numFmt w:val="bullet"/>
      <w:lvlText w:val="•"/>
      <w:lvlJc w:val="left"/>
      <w:pPr>
        <w:tabs>
          <w:tab w:val="num" w:pos="720"/>
        </w:tabs>
        <w:ind w:left="720" w:hanging="360"/>
      </w:pPr>
      <w:rPr>
        <w:rFonts w:ascii="Times New Roman" w:hAnsi="Times New Roman" w:hint="default"/>
      </w:rPr>
    </w:lvl>
    <w:lvl w:ilvl="1" w:tplc="8EBC4ED4" w:tentative="1">
      <w:start w:val="1"/>
      <w:numFmt w:val="bullet"/>
      <w:lvlText w:val="•"/>
      <w:lvlJc w:val="left"/>
      <w:pPr>
        <w:tabs>
          <w:tab w:val="num" w:pos="1440"/>
        </w:tabs>
        <w:ind w:left="1440" w:hanging="360"/>
      </w:pPr>
      <w:rPr>
        <w:rFonts w:ascii="Times New Roman" w:hAnsi="Times New Roman" w:hint="default"/>
      </w:rPr>
    </w:lvl>
    <w:lvl w:ilvl="2" w:tplc="AC9EDBA4" w:tentative="1">
      <w:start w:val="1"/>
      <w:numFmt w:val="bullet"/>
      <w:lvlText w:val="•"/>
      <w:lvlJc w:val="left"/>
      <w:pPr>
        <w:tabs>
          <w:tab w:val="num" w:pos="2160"/>
        </w:tabs>
        <w:ind w:left="2160" w:hanging="360"/>
      </w:pPr>
      <w:rPr>
        <w:rFonts w:ascii="Times New Roman" w:hAnsi="Times New Roman" w:hint="default"/>
      </w:rPr>
    </w:lvl>
    <w:lvl w:ilvl="3" w:tplc="BF52683E" w:tentative="1">
      <w:start w:val="1"/>
      <w:numFmt w:val="bullet"/>
      <w:lvlText w:val="•"/>
      <w:lvlJc w:val="left"/>
      <w:pPr>
        <w:tabs>
          <w:tab w:val="num" w:pos="2880"/>
        </w:tabs>
        <w:ind w:left="2880" w:hanging="360"/>
      </w:pPr>
      <w:rPr>
        <w:rFonts w:ascii="Times New Roman" w:hAnsi="Times New Roman" w:hint="default"/>
      </w:rPr>
    </w:lvl>
    <w:lvl w:ilvl="4" w:tplc="77961534" w:tentative="1">
      <w:start w:val="1"/>
      <w:numFmt w:val="bullet"/>
      <w:lvlText w:val="•"/>
      <w:lvlJc w:val="left"/>
      <w:pPr>
        <w:tabs>
          <w:tab w:val="num" w:pos="3600"/>
        </w:tabs>
        <w:ind w:left="3600" w:hanging="360"/>
      </w:pPr>
      <w:rPr>
        <w:rFonts w:ascii="Times New Roman" w:hAnsi="Times New Roman" w:hint="default"/>
      </w:rPr>
    </w:lvl>
    <w:lvl w:ilvl="5" w:tplc="BC603AC4" w:tentative="1">
      <w:start w:val="1"/>
      <w:numFmt w:val="bullet"/>
      <w:lvlText w:val="•"/>
      <w:lvlJc w:val="left"/>
      <w:pPr>
        <w:tabs>
          <w:tab w:val="num" w:pos="4320"/>
        </w:tabs>
        <w:ind w:left="4320" w:hanging="360"/>
      </w:pPr>
      <w:rPr>
        <w:rFonts w:ascii="Times New Roman" w:hAnsi="Times New Roman" w:hint="default"/>
      </w:rPr>
    </w:lvl>
    <w:lvl w:ilvl="6" w:tplc="C3D2EA66" w:tentative="1">
      <w:start w:val="1"/>
      <w:numFmt w:val="bullet"/>
      <w:lvlText w:val="•"/>
      <w:lvlJc w:val="left"/>
      <w:pPr>
        <w:tabs>
          <w:tab w:val="num" w:pos="5040"/>
        </w:tabs>
        <w:ind w:left="5040" w:hanging="360"/>
      </w:pPr>
      <w:rPr>
        <w:rFonts w:ascii="Times New Roman" w:hAnsi="Times New Roman" w:hint="default"/>
      </w:rPr>
    </w:lvl>
    <w:lvl w:ilvl="7" w:tplc="FA9021C4" w:tentative="1">
      <w:start w:val="1"/>
      <w:numFmt w:val="bullet"/>
      <w:lvlText w:val="•"/>
      <w:lvlJc w:val="left"/>
      <w:pPr>
        <w:tabs>
          <w:tab w:val="num" w:pos="5760"/>
        </w:tabs>
        <w:ind w:left="5760" w:hanging="360"/>
      </w:pPr>
      <w:rPr>
        <w:rFonts w:ascii="Times New Roman" w:hAnsi="Times New Roman" w:hint="default"/>
      </w:rPr>
    </w:lvl>
    <w:lvl w:ilvl="8" w:tplc="BA40E1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BE046C0"/>
    <w:multiLevelType w:val="hybridMultilevel"/>
    <w:tmpl w:val="CF5CA404"/>
    <w:lvl w:ilvl="0" w:tplc="A280AAFC">
      <w:start w:val="1"/>
      <w:numFmt w:val="bullet"/>
      <w:lvlText w:val="•"/>
      <w:lvlJc w:val="left"/>
      <w:pPr>
        <w:tabs>
          <w:tab w:val="num" w:pos="720"/>
        </w:tabs>
        <w:ind w:left="720" w:hanging="360"/>
      </w:pPr>
      <w:rPr>
        <w:rFonts w:ascii="Times New Roman" w:hAnsi="Times New Roman" w:hint="default"/>
      </w:rPr>
    </w:lvl>
    <w:lvl w:ilvl="1" w:tplc="1820D0B2" w:tentative="1">
      <w:start w:val="1"/>
      <w:numFmt w:val="bullet"/>
      <w:lvlText w:val="•"/>
      <w:lvlJc w:val="left"/>
      <w:pPr>
        <w:tabs>
          <w:tab w:val="num" w:pos="1440"/>
        </w:tabs>
        <w:ind w:left="1440" w:hanging="360"/>
      </w:pPr>
      <w:rPr>
        <w:rFonts w:ascii="Times New Roman" w:hAnsi="Times New Roman" w:hint="default"/>
      </w:rPr>
    </w:lvl>
    <w:lvl w:ilvl="2" w:tplc="EE9ED81C" w:tentative="1">
      <w:start w:val="1"/>
      <w:numFmt w:val="bullet"/>
      <w:lvlText w:val="•"/>
      <w:lvlJc w:val="left"/>
      <w:pPr>
        <w:tabs>
          <w:tab w:val="num" w:pos="2160"/>
        </w:tabs>
        <w:ind w:left="2160" w:hanging="360"/>
      </w:pPr>
      <w:rPr>
        <w:rFonts w:ascii="Times New Roman" w:hAnsi="Times New Roman" w:hint="default"/>
      </w:rPr>
    </w:lvl>
    <w:lvl w:ilvl="3" w:tplc="4E6E3A50" w:tentative="1">
      <w:start w:val="1"/>
      <w:numFmt w:val="bullet"/>
      <w:lvlText w:val="•"/>
      <w:lvlJc w:val="left"/>
      <w:pPr>
        <w:tabs>
          <w:tab w:val="num" w:pos="2880"/>
        </w:tabs>
        <w:ind w:left="2880" w:hanging="360"/>
      </w:pPr>
      <w:rPr>
        <w:rFonts w:ascii="Times New Roman" w:hAnsi="Times New Roman" w:hint="default"/>
      </w:rPr>
    </w:lvl>
    <w:lvl w:ilvl="4" w:tplc="67967A74" w:tentative="1">
      <w:start w:val="1"/>
      <w:numFmt w:val="bullet"/>
      <w:lvlText w:val="•"/>
      <w:lvlJc w:val="left"/>
      <w:pPr>
        <w:tabs>
          <w:tab w:val="num" w:pos="3600"/>
        </w:tabs>
        <w:ind w:left="3600" w:hanging="360"/>
      </w:pPr>
      <w:rPr>
        <w:rFonts w:ascii="Times New Roman" w:hAnsi="Times New Roman" w:hint="default"/>
      </w:rPr>
    </w:lvl>
    <w:lvl w:ilvl="5" w:tplc="533A5848" w:tentative="1">
      <w:start w:val="1"/>
      <w:numFmt w:val="bullet"/>
      <w:lvlText w:val="•"/>
      <w:lvlJc w:val="left"/>
      <w:pPr>
        <w:tabs>
          <w:tab w:val="num" w:pos="4320"/>
        </w:tabs>
        <w:ind w:left="4320" w:hanging="360"/>
      </w:pPr>
      <w:rPr>
        <w:rFonts w:ascii="Times New Roman" w:hAnsi="Times New Roman" w:hint="default"/>
      </w:rPr>
    </w:lvl>
    <w:lvl w:ilvl="6" w:tplc="169CC5C0" w:tentative="1">
      <w:start w:val="1"/>
      <w:numFmt w:val="bullet"/>
      <w:lvlText w:val="•"/>
      <w:lvlJc w:val="left"/>
      <w:pPr>
        <w:tabs>
          <w:tab w:val="num" w:pos="5040"/>
        </w:tabs>
        <w:ind w:left="5040" w:hanging="360"/>
      </w:pPr>
      <w:rPr>
        <w:rFonts w:ascii="Times New Roman" w:hAnsi="Times New Roman" w:hint="default"/>
      </w:rPr>
    </w:lvl>
    <w:lvl w:ilvl="7" w:tplc="E4A080C8" w:tentative="1">
      <w:start w:val="1"/>
      <w:numFmt w:val="bullet"/>
      <w:lvlText w:val="•"/>
      <w:lvlJc w:val="left"/>
      <w:pPr>
        <w:tabs>
          <w:tab w:val="num" w:pos="5760"/>
        </w:tabs>
        <w:ind w:left="5760" w:hanging="360"/>
      </w:pPr>
      <w:rPr>
        <w:rFonts w:ascii="Times New Roman" w:hAnsi="Times New Roman" w:hint="default"/>
      </w:rPr>
    </w:lvl>
    <w:lvl w:ilvl="8" w:tplc="0556F3B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546538B"/>
    <w:multiLevelType w:val="hybridMultilevel"/>
    <w:tmpl w:val="74762E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936329"/>
    <w:multiLevelType w:val="hybridMultilevel"/>
    <w:tmpl w:val="CE7C26B8"/>
    <w:lvl w:ilvl="0" w:tplc="12D4BEE2">
      <w:start w:val="1"/>
      <w:numFmt w:val="lowerLetter"/>
      <w:lvlText w:val="(%1)"/>
      <w:lvlJc w:val="left"/>
      <w:pPr>
        <w:tabs>
          <w:tab w:val="num" w:pos="502"/>
        </w:tabs>
        <w:ind w:left="502" w:hanging="360"/>
      </w:pPr>
      <w:rPr>
        <w:rFonts w:ascii="Arial Narrow" w:eastAsia="Times New Roman" w:hAnsi="Arial Narrow" w:cs="Times New Roman" w:hint="default"/>
        <w:color w:val="auto"/>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9">
    <w:nsid w:val="5B9B05BE"/>
    <w:multiLevelType w:val="hybridMultilevel"/>
    <w:tmpl w:val="04EAF93C"/>
    <w:lvl w:ilvl="0" w:tplc="0AFA9540">
      <w:start w:val="1"/>
      <w:numFmt w:val="bullet"/>
      <w:lvlText w:val="•"/>
      <w:lvlJc w:val="left"/>
      <w:pPr>
        <w:tabs>
          <w:tab w:val="num" w:pos="720"/>
        </w:tabs>
        <w:ind w:left="720" w:hanging="360"/>
      </w:pPr>
      <w:rPr>
        <w:rFonts w:ascii="Times New Roman" w:hAnsi="Times New Roman" w:hint="default"/>
      </w:rPr>
    </w:lvl>
    <w:lvl w:ilvl="1" w:tplc="26004D12" w:tentative="1">
      <w:start w:val="1"/>
      <w:numFmt w:val="bullet"/>
      <w:lvlText w:val="•"/>
      <w:lvlJc w:val="left"/>
      <w:pPr>
        <w:tabs>
          <w:tab w:val="num" w:pos="1440"/>
        </w:tabs>
        <w:ind w:left="1440" w:hanging="360"/>
      </w:pPr>
      <w:rPr>
        <w:rFonts w:ascii="Times New Roman" w:hAnsi="Times New Roman" w:hint="default"/>
      </w:rPr>
    </w:lvl>
    <w:lvl w:ilvl="2" w:tplc="FB16FD5A" w:tentative="1">
      <w:start w:val="1"/>
      <w:numFmt w:val="bullet"/>
      <w:lvlText w:val="•"/>
      <w:lvlJc w:val="left"/>
      <w:pPr>
        <w:tabs>
          <w:tab w:val="num" w:pos="2160"/>
        </w:tabs>
        <w:ind w:left="2160" w:hanging="360"/>
      </w:pPr>
      <w:rPr>
        <w:rFonts w:ascii="Times New Roman" w:hAnsi="Times New Roman" w:hint="default"/>
      </w:rPr>
    </w:lvl>
    <w:lvl w:ilvl="3" w:tplc="1EA4E7A2" w:tentative="1">
      <w:start w:val="1"/>
      <w:numFmt w:val="bullet"/>
      <w:lvlText w:val="•"/>
      <w:lvlJc w:val="left"/>
      <w:pPr>
        <w:tabs>
          <w:tab w:val="num" w:pos="2880"/>
        </w:tabs>
        <w:ind w:left="2880" w:hanging="360"/>
      </w:pPr>
      <w:rPr>
        <w:rFonts w:ascii="Times New Roman" w:hAnsi="Times New Roman" w:hint="default"/>
      </w:rPr>
    </w:lvl>
    <w:lvl w:ilvl="4" w:tplc="D2300958" w:tentative="1">
      <w:start w:val="1"/>
      <w:numFmt w:val="bullet"/>
      <w:lvlText w:val="•"/>
      <w:lvlJc w:val="left"/>
      <w:pPr>
        <w:tabs>
          <w:tab w:val="num" w:pos="3600"/>
        </w:tabs>
        <w:ind w:left="3600" w:hanging="360"/>
      </w:pPr>
      <w:rPr>
        <w:rFonts w:ascii="Times New Roman" w:hAnsi="Times New Roman" w:hint="default"/>
      </w:rPr>
    </w:lvl>
    <w:lvl w:ilvl="5" w:tplc="DF263614" w:tentative="1">
      <w:start w:val="1"/>
      <w:numFmt w:val="bullet"/>
      <w:lvlText w:val="•"/>
      <w:lvlJc w:val="left"/>
      <w:pPr>
        <w:tabs>
          <w:tab w:val="num" w:pos="4320"/>
        </w:tabs>
        <w:ind w:left="4320" w:hanging="360"/>
      </w:pPr>
      <w:rPr>
        <w:rFonts w:ascii="Times New Roman" w:hAnsi="Times New Roman" w:hint="default"/>
      </w:rPr>
    </w:lvl>
    <w:lvl w:ilvl="6" w:tplc="24D6A8D2" w:tentative="1">
      <w:start w:val="1"/>
      <w:numFmt w:val="bullet"/>
      <w:lvlText w:val="•"/>
      <w:lvlJc w:val="left"/>
      <w:pPr>
        <w:tabs>
          <w:tab w:val="num" w:pos="5040"/>
        </w:tabs>
        <w:ind w:left="5040" w:hanging="360"/>
      </w:pPr>
      <w:rPr>
        <w:rFonts w:ascii="Times New Roman" w:hAnsi="Times New Roman" w:hint="default"/>
      </w:rPr>
    </w:lvl>
    <w:lvl w:ilvl="7" w:tplc="25C8D94E" w:tentative="1">
      <w:start w:val="1"/>
      <w:numFmt w:val="bullet"/>
      <w:lvlText w:val="•"/>
      <w:lvlJc w:val="left"/>
      <w:pPr>
        <w:tabs>
          <w:tab w:val="num" w:pos="5760"/>
        </w:tabs>
        <w:ind w:left="5760" w:hanging="360"/>
      </w:pPr>
      <w:rPr>
        <w:rFonts w:ascii="Times New Roman" w:hAnsi="Times New Roman" w:hint="default"/>
      </w:rPr>
    </w:lvl>
    <w:lvl w:ilvl="8" w:tplc="0E10E76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71B4788"/>
    <w:multiLevelType w:val="hybridMultilevel"/>
    <w:tmpl w:val="DE1680CA"/>
    <w:lvl w:ilvl="0" w:tplc="224E7B20">
      <w:start w:val="1"/>
      <w:numFmt w:val="bullet"/>
      <w:lvlText w:val="•"/>
      <w:lvlJc w:val="left"/>
      <w:pPr>
        <w:tabs>
          <w:tab w:val="num" w:pos="720"/>
        </w:tabs>
        <w:ind w:left="720" w:hanging="360"/>
      </w:pPr>
      <w:rPr>
        <w:rFonts w:ascii="Times New Roman" w:hAnsi="Times New Roman" w:hint="default"/>
      </w:rPr>
    </w:lvl>
    <w:lvl w:ilvl="1" w:tplc="DC984EE8" w:tentative="1">
      <w:start w:val="1"/>
      <w:numFmt w:val="bullet"/>
      <w:lvlText w:val="•"/>
      <w:lvlJc w:val="left"/>
      <w:pPr>
        <w:tabs>
          <w:tab w:val="num" w:pos="1440"/>
        </w:tabs>
        <w:ind w:left="1440" w:hanging="360"/>
      </w:pPr>
      <w:rPr>
        <w:rFonts w:ascii="Times New Roman" w:hAnsi="Times New Roman" w:hint="default"/>
      </w:rPr>
    </w:lvl>
    <w:lvl w:ilvl="2" w:tplc="6C4C21EA" w:tentative="1">
      <w:start w:val="1"/>
      <w:numFmt w:val="bullet"/>
      <w:lvlText w:val="•"/>
      <w:lvlJc w:val="left"/>
      <w:pPr>
        <w:tabs>
          <w:tab w:val="num" w:pos="2160"/>
        </w:tabs>
        <w:ind w:left="2160" w:hanging="360"/>
      </w:pPr>
      <w:rPr>
        <w:rFonts w:ascii="Times New Roman" w:hAnsi="Times New Roman" w:hint="default"/>
      </w:rPr>
    </w:lvl>
    <w:lvl w:ilvl="3" w:tplc="8A7A03E4" w:tentative="1">
      <w:start w:val="1"/>
      <w:numFmt w:val="bullet"/>
      <w:lvlText w:val="•"/>
      <w:lvlJc w:val="left"/>
      <w:pPr>
        <w:tabs>
          <w:tab w:val="num" w:pos="2880"/>
        </w:tabs>
        <w:ind w:left="2880" w:hanging="360"/>
      </w:pPr>
      <w:rPr>
        <w:rFonts w:ascii="Times New Roman" w:hAnsi="Times New Roman" w:hint="default"/>
      </w:rPr>
    </w:lvl>
    <w:lvl w:ilvl="4" w:tplc="7E7AB50C" w:tentative="1">
      <w:start w:val="1"/>
      <w:numFmt w:val="bullet"/>
      <w:lvlText w:val="•"/>
      <w:lvlJc w:val="left"/>
      <w:pPr>
        <w:tabs>
          <w:tab w:val="num" w:pos="3600"/>
        </w:tabs>
        <w:ind w:left="3600" w:hanging="360"/>
      </w:pPr>
      <w:rPr>
        <w:rFonts w:ascii="Times New Roman" w:hAnsi="Times New Roman" w:hint="default"/>
      </w:rPr>
    </w:lvl>
    <w:lvl w:ilvl="5" w:tplc="1F26698E" w:tentative="1">
      <w:start w:val="1"/>
      <w:numFmt w:val="bullet"/>
      <w:lvlText w:val="•"/>
      <w:lvlJc w:val="left"/>
      <w:pPr>
        <w:tabs>
          <w:tab w:val="num" w:pos="4320"/>
        </w:tabs>
        <w:ind w:left="4320" w:hanging="360"/>
      </w:pPr>
      <w:rPr>
        <w:rFonts w:ascii="Times New Roman" w:hAnsi="Times New Roman" w:hint="default"/>
      </w:rPr>
    </w:lvl>
    <w:lvl w:ilvl="6" w:tplc="DFDCA294" w:tentative="1">
      <w:start w:val="1"/>
      <w:numFmt w:val="bullet"/>
      <w:lvlText w:val="•"/>
      <w:lvlJc w:val="left"/>
      <w:pPr>
        <w:tabs>
          <w:tab w:val="num" w:pos="5040"/>
        </w:tabs>
        <w:ind w:left="5040" w:hanging="360"/>
      </w:pPr>
      <w:rPr>
        <w:rFonts w:ascii="Times New Roman" w:hAnsi="Times New Roman" w:hint="default"/>
      </w:rPr>
    </w:lvl>
    <w:lvl w:ilvl="7" w:tplc="9552F1BC" w:tentative="1">
      <w:start w:val="1"/>
      <w:numFmt w:val="bullet"/>
      <w:lvlText w:val="•"/>
      <w:lvlJc w:val="left"/>
      <w:pPr>
        <w:tabs>
          <w:tab w:val="num" w:pos="5760"/>
        </w:tabs>
        <w:ind w:left="5760" w:hanging="360"/>
      </w:pPr>
      <w:rPr>
        <w:rFonts w:ascii="Times New Roman" w:hAnsi="Times New Roman" w:hint="default"/>
      </w:rPr>
    </w:lvl>
    <w:lvl w:ilvl="8" w:tplc="4F7E029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7CB2374"/>
    <w:multiLevelType w:val="hybridMultilevel"/>
    <w:tmpl w:val="44062092"/>
    <w:lvl w:ilvl="0" w:tplc="CE926C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D84B24"/>
    <w:multiLevelType w:val="multilevel"/>
    <w:tmpl w:val="80328A0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2"/>
  </w:num>
  <w:num w:numId="3">
    <w:abstractNumId w:val="0"/>
  </w:num>
  <w:num w:numId="4">
    <w:abstractNumId w:val="12"/>
  </w:num>
  <w:num w:numId="5">
    <w:abstractNumId w:val="3"/>
  </w:num>
  <w:num w:numId="6">
    <w:abstractNumId w:val="11"/>
  </w:num>
  <w:num w:numId="7">
    <w:abstractNumId w:val="4"/>
  </w:num>
  <w:num w:numId="8">
    <w:abstractNumId w:val="8"/>
  </w:num>
  <w:num w:numId="9">
    <w:abstractNumId w:val="1"/>
  </w:num>
  <w:num w:numId="10">
    <w:abstractNumId w:val="10"/>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F0"/>
    <w:rsid w:val="0001353E"/>
    <w:rsid w:val="000821EB"/>
    <w:rsid w:val="001C0031"/>
    <w:rsid w:val="001C5BEA"/>
    <w:rsid w:val="002077F9"/>
    <w:rsid w:val="00233A6C"/>
    <w:rsid w:val="002571AC"/>
    <w:rsid w:val="002A3B37"/>
    <w:rsid w:val="003108C2"/>
    <w:rsid w:val="004753F9"/>
    <w:rsid w:val="004B659F"/>
    <w:rsid w:val="004D4B0D"/>
    <w:rsid w:val="00547D02"/>
    <w:rsid w:val="006934B4"/>
    <w:rsid w:val="006A17D5"/>
    <w:rsid w:val="006B53D6"/>
    <w:rsid w:val="007C1D89"/>
    <w:rsid w:val="007E14BE"/>
    <w:rsid w:val="00812EF0"/>
    <w:rsid w:val="008351F7"/>
    <w:rsid w:val="00893E6D"/>
    <w:rsid w:val="00A34E82"/>
    <w:rsid w:val="00A357D2"/>
    <w:rsid w:val="00A86CE6"/>
    <w:rsid w:val="00AA24EF"/>
    <w:rsid w:val="00AA5205"/>
    <w:rsid w:val="00B22A75"/>
    <w:rsid w:val="00B32C0B"/>
    <w:rsid w:val="00B77A23"/>
    <w:rsid w:val="00BA198C"/>
    <w:rsid w:val="00CA3F43"/>
    <w:rsid w:val="00CB0D42"/>
    <w:rsid w:val="00D578F9"/>
    <w:rsid w:val="00D60A47"/>
    <w:rsid w:val="00DB15A4"/>
    <w:rsid w:val="00DD712D"/>
    <w:rsid w:val="00DE6201"/>
    <w:rsid w:val="00E21B0F"/>
    <w:rsid w:val="00EB152C"/>
    <w:rsid w:val="00EC281D"/>
    <w:rsid w:val="00ED4A7D"/>
    <w:rsid w:val="00ED797B"/>
    <w:rsid w:val="00EE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A95A8-E80E-4A8D-A246-4871804D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E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812EF0"/>
    <w:pPr>
      <w:spacing w:after="160" w:line="240" w:lineRule="exact"/>
    </w:pPr>
    <w:rPr>
      <w:rFonts w:ascii="Verdana" w:hAnsi="Verdana"/>
      <w:sz w:val="20"/>
      <w:szCs w:val="20"/>
    </w:rPr>
  </w:style>
  <w:style w:type="paragraph" w:styleId="BodyText2">
    <w:name w:val="Body Text 2"/>
    <w:basedOn w:val="Normal"/>
    <w:link w:val="BodyText2Char"/>
    <w:rsid w:val="006B53D6"/>
    <w:pPr>
      <w:widowControl w:val="0"/>
      <w:jc w:val="both"/>
    </w:pPr>
    <w:rPr>
      <w:rFonts w:eastAsia="SimSun"/>
      <w:kern w:val="2"/>
      <w:sz w:val="26"/>
      <w:szCs w:val="20"/>
      <w:lang w:eastAsia="zh-CN"/>
    </w:rPr>
  </w:style>
  <w:style w:type="character" w:customStyle="1" w:styleId="BodyText2Char">
    <w:name w:val="Body Text 2 Char"/>
    <w:basedOn w:val="DefaultParagraphFont"/>
    <w:link w:val="BodyText2"/>
    <w:rsid w:val="006B53D6"/>
    <w:rPr>
      <w:rFonts w:ascii="Times New Roman" w:eastAsia="SimSun" w:hAnsi="Times New Roman" w:cs="Times New Roman"/>
      <w:kern w:val="2"/>
      <w:sz w:val="26"/>
      <w:szCs w:val="20"/>
      <w:lang w:eastAsia="zh-CN"/>
    </w:rPr>
  </w:style>
  <w:style w:type="paragraph" w:styleId="BodyText">
    <w:name w:val="Body Text"/>
    <w:basedOn w:val="Normal"/>
    <w:link w:val="BodyTextChar"/>
    <w:uiPriority w:val="99"/>
    <w:semiHidden/>
    <w:unhideWhenUsed/>
    <w:rsid w:val="00A34E82"/>
    <w:pPr>
      <w:spacing w:after="120"/>
    </w:pPr>
  </w:style>
  <w:style w:type="character" w:customStyle="1" w:styleId="BodyTextChar">
    <w:name w:val="Body Text Char"/>
    <w:basedOn w:val="DefaultParagraphFont"/>
    <w:link w:val="BodyText"/>
    <w:uiPriority w:val="99"/>
    <w:semiHidden/>
    <w:rsid w:val="00A34E82"/>
    <w:rPr>
      <w:rFonts w:ascii="Times New Roman" w:eastAsia="Times New Roman" w:hAnsi="Times New Roman" w:cs="Times New Roman"/>
      <w:sz w:val="24"/>
      <w:szCs w:val="24"/>
    </w:rPr>
  </w:style>
  <w:style w:type="paragraph" w:styleId="ListParagraph">
    <w:name w:val="List Paragraph"/>
    <w:basedOn w:val="Normal"/>
    <w:uiPriority w:val="34"/>
    <w:qFormat/>
    <w:rsid w:val="00CB0D42"/>
    <w:pPr>
      <w:spacing w:after="200" w:line="276" w:lineRule="auto"/>
      <w:ind w:left="72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D60A47"/>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60A47"/>
    <w:rPr>
      <w:rFonts w:ascii="Tahoma" w:eastAsia="Times New Roman" w:hAnsi="Tahoma" w:cs="Times New Roman"/>
      <w:sz w:val="16"/>
      <w:szCs w:val="16"/>
      <w:lang w:val="x-none" w:eastAsia="x-none"/>
    </w:rPr>
  </w:style>
  <w:style w:type="paragraph" w:customStyle="1" w:styleId="Legal3">
    <w:name w:val="Legal 3"/>
    <w:basedOn w:val="Normal"/>
    <w:uiPriority w:val="99"/>
    <w:rsid w:val="00B22A75"/>
    <w:pPr>
      <w:tabs>
        <w:tab w:val="num" w:pos="1134"/>
      </w:tabs>
      <w:ind w:left="1134" w:hanging="567"/>
    </w:pPr>
    <w:rPr>
      <w:rFonts w:ascii="Arial" w:hAnsi="Arial"/>
      <w:sz w:val="20"/>
      <w:szCs w:val="20"/>
      <w:lang w:val="en-GB"/>
    </w:rPr>
  </w:style>
  <w:style w:type="paragraph" w:customStyle="1" w:styleId="Legal2">
    <w:name w:val="Legal 2"/>
    <w:basedOn w:val="Normal"/>
    <w:next w:val="Normal"/>
    <w:uiPriority w:val="99"/>
    <w:rsid w:val="002571AC"/>
    <w:pPr>
      <w:tabs>
        <w:tab w:val="num" w:pos="360"/>
      </w:tabs>
      <w:ind w:left="340" w:hanging="340"/>
    </w:pPr>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93151">
      <w:bodyDiv w:val="1"/>
      <w:marLeft w:val="0"/>
      <w:marRight w:val="0"/>
      <w:marTop w:val="0"/>
      <w:marBottom w:val="0"/>
      <w:divBdr>
        <w:top w:val="none" w:sz="0" w:space="0" w:color="auto"/>
        <w:left w:val="none" w:sz="0" w:space="0" w:color="auto"/>
        <w:bottom w:val="none" w:sz="0" w:space="0" w:color="auto"/>
        <w:right w:val="none" w:sz="0" w:space="0" w:color="auto"/>
      </w:divBdr>
      <w:divsChild>
        <w:div w:id="39329059">
          <w:marLeft w:val="547"/>
          <w:marRight w:val="0"/>
          <w:marTop w:val="115"/>
          <w:marBottom w:val="0"/>
          <w:divBdr>
            <w:top w:val="none" w:sz="0" w:space="0" w:color="auto"/>
            <w:left w:val="none" w:sz="0" w:space="0" w:color="auto"/>
            <w:bottom w:val="none" w:sz="0" w:space="0" w:color="auto"/>
            <w:right w:val="none" w:sz="0" w:space="0" w:color="auto"/>
          </w:divBdr>
        </w:div>
        <w:div w:id="1003167003">
          <w:marLeft w:val="547"/>
          <w:marRight w:val="0"/>
          <w:marTop w:val="115"/>
          <w:marBottom w:val="0"/>
          <w:divBdr>
            <w:top w:val="none" w:sz="0" w:space="0" w:color="auto"/>
            <w:left w:val="none" w:sz="0" w:space="0" w:color="auto"/>
            <w:bottom w:val="none" w:sz="0" w:space="0" w:color="auto"/>
            <w:right w:val="none" w:sz="0" w:space="0" w:color="auto"/>
          </w:divBdr>
        </w:div>
      </w:divsChild>
    </w:div>
    <w:div w:id="1170290650">
      <w:bodyDiv w:val="1"/>
      <w:marLeft w:val="0"/>
      <w:marRight w:val="0"/>
      <w:marTop w:val="0"/>
      <w:marBottom w:val="0"/>
      <w:divBdr>
        <w:top w:val="none" w:sz="0" w:space="0" w:color="auto"/>
        <w:left w:val="none" w:sz="0" w:space="0" w:color="auto"/>
        <w:bottom w:val="none" w:sz="0" w:space="0" w:color="auto"/>
        <w:right w:val="none" w:sz="0" w:space="0" w:color="auto"/>
      </w:divBdr>
      <w:divsChild>
        <w:div w:id="103965708">
          <w:marLeft w:val="547"/>
          <w:marRight w:val="0"/>
          <w:marTop w:val="115"/>
          <w:marBottom w:val="0"/>
          <w:divBdr>
            <w:top w:val="none" w:sz="0" w:space="0" w:color="auto"/>
            <w:left w:val="none" w:sz="0" w:space="0" w:color="auto"/>
            <w:bottom w:val="none" w:sz="0" w:space="0" w:color="auto"/>
            <w:right w:val="none" w:sz="0" w:space="0" w:color="auto"/>
          </w:divBdr>
        </w:div>
      </w:divsChild>
    </w:div>
    <w:div w:id="1278758933">
      <w:bodyDiv w:val="1"/>
      <w:marLeft w:val="0"/>
      <w:marRight w:val="0"/>
      <w:marTop w:val="0"/>
      <w:marBottom w:val="0"/>
      <w:divBdr>
        <w:top w:val="none" w:sz="0" w:space="0" w:color="auto"/>
        <w:left w:val="none" w:sz="0" w:space="0" w:color="auto"/>
        <w:bottom w:val="none" w:sz="0" w:space="0" w:color="auto"/>
        <w:right w:val="none" w:sz="0" w:space="0" w:color="auto"/>
      </w:divBdr>
      <w:divsChild>
        <w:div w:id="298999156">
          <w:marLeft w:val="547"/>
          <w:marRight w:val="0"/>
          <w:marTop w:val="115"/>
          <w:marBottom w:val="0"/>
          <w:divBdr>
            <w:top w:val="none" w:sz="0" w:space="0" w:color="auto"/>
            <w:left w:val="none" w:sz="0" w:space="0" w:color="auto"/>
            <w:bottom w:val="none" w:sz="0" w:space="0" w:color="auto"/>
            <w:right w:val="none" w:sz="0" w:space="0" w:color="auto"/>
          </w:divBdr>
        </w:div>
      </w:divsChild>
    </w:div>
    <w:div w:id="1979142636">
      <w:bodyDiv w:val="1"/>
      <w:marLeft w:val="0"/>
      <w:marRight w:val="0"/>
      <w:marTop w:val="0"/>
      <w:marBottom w:val="0"/>
      <w:divBdr>
        <w:top w:val="none" w:sz="0" w:space="0" w:color="auto"/>
        <w:left w:val="none" w:sz="0" w:space="0" w:color="auto"/>
        <w:bottom w:val="none" w:sz="0" w:space="0" w:color="auto"/>
        <w:right w:val="none" w:sz="0" w:space="0" w:color="auto"/>
      </w:divBdr>
      <w:divsChild>
        <w:div w:id="698628054">
          <w:marLeft w:val="547"/>
          <w:marRight w:val="0"/>
          <w:marTop w:val="115"/>
          <w:marBottom w:val="0"/>
          <w:divBdr>
            <w:top w:val="none" w:sz="0" w:space="0" w:color="auto"/>
            <w:left w:val="none" w:sz="0" w:space="0" w:color="auto"/>
            <w:bottom w:val="none" w:sz="0" w:space="0" w:color="auto"/>
            <w:right w:val="none" w:sz="0" w:space="0" w:color="auto"/>
          </w:divBdr>
        </w:div>
        <w:div w:id="190390236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EMethi</dc:creator>
  <cp:lastModifiedBy>Buyiswa Ndibongo</cp:lastModifiedBy>
  <cp:revision>2</cp:revision>
  <cp:lastPrinted>2010-08-10T10:05:00Z</cp:lastPrinted>
  <dcterms:created xsi:type="dcterms:W3CDTF">2018-02-08T11:16:00Z</dcterms:created>
  <dcterms:modified xsi:type="dcterms:W3CDTF">2018-02-08T11:16:00Z</dcterms:modified>
</cp:coreProperties>
</file>