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92" w:rsidRDefault="000C7192" w:rsidP="003B2A33">
      <w:pPr>
        <w:jc w:val="center"/>
        <w:rPr>
          <w:b/>
          <w:sz w:val="48"/>
          <w:szCs w:val="48"/>
        </w:rPr>
      </w:pPr>
      <w:r w:rsidRPr="000C7192">
        <w:rPr>
          <w:b/>
          <w:noProof/>
          <w:sz w:val="48"/>
          <w:szCs w:val="48"/>
          <w:lang w:val="en-ZA" w:eastAsia="en-ZA"/>
        </w:rPr>
        <w:drawing>
          <wp:anchor distT="0" distB="0" distL="114300" distR="114300" simplePos="0" relativeHeight="251659264" behindDoc="1" locked="0" layoutInCell="1" allowOverlap="1">
            <wp:simplePos x="0" y="0"/>
            <wp:positionH relativeFrom="column">
              <wp:posOffset>-812972</wp:posOffset>
            </wp:positionH>
            <wp:positionV relativeFrom="paragraph">
              <wp:posOffset>-766119</wp:posOffset>
            </wp:positionV>
            <wp:extent cx="7378529" cy="1351005"/>
            <wp:effectExtent l="19050" t="0" r="0" b="0"/>
            <wp:wrapTight wrapText="bothSides">
              <wp:wrapPolygon edited="0">
                <wp:start x="-56" y="0"/>
                <wp:lineTo x="-56" y="21326"/>
                <wp:lineTo x="21583" y="21326"/>
                <wp:lineTo x="21583" y="0"/>
                <wp:lineTo x="-56" y="0"/>
              </wp:wrapPolygon>
            </wp:wrapTight>
            <wp:docPr id="4" name="Picture 4" descr="BSash National Office Letterhea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sh National Office Letterhead - header.jpg"/>
                    <pic:cNvPicPr/>
                  </pic:nvPicPr>
                  <pic:blipFill>
                    <a:blip r:embed="rId8" cstate="print"/>
                    <a:srcRect l="3854" r="1253"/>
                    <a:stretch>
                      <a:fillRect/>
                    </a:stretch>
                  </pic:blipFill>
                  <pic:spPr>
                    <a:xfrm>
                      <a:off x="0" y="0"/>
                      <a:ext cx="7378065" cy="1350645"/>
                    </a:xfrm>
                    <a:prstGeom prst="rect">
                      <a:avLst/>
                    </a:prstGeom>
                    <a:noFill/>
                    <a:ln>
                      <a:noFill/>
                    </a:ln>
                  </pic:spPr>
                </pic:pic>
              </a:graphicData>
            </a:graphic>
          </wp:anchor>
        </w:drawing>
      </w:r>
    </w:p>
    <w:p w:rsidR="000C7192" w:rsidRDefault="000C7192" w:rsidP="003B2A33">
      <w:pPr>
        <w:jc w:val="center"/>
        <w:rPr>
          <w:b/>
          <w:sz w:val="48"/>
          <w:szCs w:val="48"/>
        </w:rPr>
      </w:pPr>
    </w:p>
    <w:p w:rsidR="003B2A33" w:rsidRDefault="000939DC" w:rsidP="000C7192">
      <w:pPr>
        <w:spacing w:line="360" w:lineRule="auto"/>
        <w:jc w:val="center"/>
        <w:rPr>
          <w:b/>
          <w:sz w:val="48"/>
          <w:szCs w:val="48"/>
        </w:rPr>
      </w:pPr>
      <w:r w:rsidRPr="003B2A33">
        <w:rPr>
          <w:b/>
          <w:sz w:val="48"/>
          <w:szCs w:val="48"/>
        </w:rPr>
        <w:t>SUBMISSION</w:t>
      </w:r>
      <w:r w:rsidR="003B2A33" w:rsidRPr="003B2A33">
        <w:rPr>
          <w:b/>
          <w:sz w:val="48"/>
          <w:szCs w:val="48"/>
        </w:rPr>
        <w:t xml:space="preserve"> </w:t>
      </w:r>
      <w:r w:rsidRPr="003B2A33">
        <w:rPr>
          <w:b/>
          <w:sz w:val="48"/>
          <w:szCs w:val="48"/>
        </w:rPr>
        <w:t>TO THE</w:t>
      </w:r>
      <w:r w:rsidR="00F65A9C" w:rsidRPr="003B2A33">
        <w:rPr>
          <w:b/>
          <w:sz w:val="48"/>
          <w:szCs w:val="48"/>
        </w:rPr>
        <w:t xml:space="preserve"> </w:t>
      </w:r>
      <w:r w:rsidRPr="003B2A33">
        <w:rPr>
          <w:b/>
          <w:sz w:val="48"/>
          <w:szCs w:val="48"/>
        </w:rPr>
        <w:t>DEPARTMENT OF TRADE AND INDUSTRY</w:t>
      </w:r>
      <w:r w:rsidR="003B2A33" w:rsidRPr="003B2A33">
        <w:rPr>
          <w:b/>
          <w:sz w:val="48"/>
          <w:szCs w:val="48"/>
        </w:rPr>
        <w:t xml:space="preserve"> </w:t>
      </w:r>
      <w:r w:rsidRPr="003B2A33">
        <w:rPr>
          <w:b/>
          <w:sz w:val="48"/>
          <w:szCs w:val="48"/>
        </w:rPr>
        <w:t>ON THE</w:t>
      </w:r>
      <w:r w:rsidR="003B2A33" w:rsidRPr="003B2A33">
        <w:rPr>
          <w:b/>
          <w:sz w:val="48"/>
          <w:szCs w:val="48"/>
        </w:rPr>
        <w:t xml:space="preserve"> </w:t>
      </w:r>
      <w:r w:rsidRPr="003B2A33">
        <w:rPr>
          <w:b/>
          <w:sz w:val="48"/>
          <w:szCs w:val="48"/>
        </w:rPr>
        <w:t>DRAFT AMENDMENTS TO THE NATIONAL CREDIT ACT</w:t>
      </w:r>
      <w:r w:rsidR="003B2A33" w:rsidRPr="003B2A33">
        <w:rPr>
          <w:b/>
          <w:sz w:val="48"/>
          <w:szCs w:val="48"/>
        </w:rPr>
        <w:t xml:space="preserve"> </w:t>
      </w:r>
      <w:r w:rsidR="008C0899" w:rsidRPr="003B2A33">
        <w:rPr>
          <w:b/>
          <w:sz w:val="48"/>
          <w:szCs w:val="48"/>
        </w:rPr>
        <w:t>NO</w:t>
      </w:r>
      <w:r w:rsidR="003B2A33" w:rsidRPr="003B2A33">
        <w:rPr>
          <w:b/>
          <w:sz w:val="48"/>
          <w:szCs w:val="48"/>
        </w:rPr>
        <w:t>.</w:t>
      </w:r>
      <w:r w:rsidR="008C0899" w:rsidRPr="003B2A33">
        <w:rPr>
          <w:b/>
          <w:sz w:val="48"/>
          <w:szCs w:val="48"/>
        </w:rPr>
        <w:t xml:space="preserve"> 41274 </w:t>
      </w:r>
    </w:p>
    <w:p w:rsidR="00816347" w:rsidRPr="003B2A33" w:rsidRDefault="008C0899" w:rsidP="000C7192">
      <w:pPr>
        <w:spacing w:line="360" w:lineRule="auto"/>
        <w:jc w:val="center"/>
        <w:rPr>
          <w:b/>
          <w:sz w:val="48"/>
          <w:szCs w:val="48"/>
        </w:rPr>
      </w:pPr>
      <w:r w:rsidRPr="003B2A33">
        <w:rPr>
          <w:b/>
          <w:sz w:val="48"/>
          <w:szCs w:val="48"/>
        </w:rPr>
        <w:t>OF 24 NOVEMBER 2017</w:t>
      </w:r>
    </w:p>
    <w:p w:rsidR="000939DC" w:rsidRDefault="000939DC" w:rsidP="007D4DEA">
      <w:pPr>
        <w:jc w:val="center"/>
        <w:rPr>
          <w:b/>
          <w:bCs/>
          <w:sz w:val="48"/>
          <w:szCs w:val="48"/>
        </w:rPr>
      </w:pPr>
      <w:bookmarkStart w:id="0" w:name="_GoBack"/>
      <w:bookmarkEnd w:id="0"/>
    </w:p>
    <w:p w:rsidR="003B2A33" w:rsidRDefault="003B2A33" w:rsidP="007D4DEA">
      <w:pPr>
        <w:jc w:val="center"/>
        <w:rPr>
          <w:b/>
          <w:bCs/>
          <w:sz w:val="48"/>
          <w:szCs w:val="48"/>
        </w:rPr>
      </w:pPr>
    </w:p>
    <w:p w:rsidR="003B2A33" w:rsidRDefault="003B2A33" w:rsidP="007D4DEA">
      <w:pPr>
        <w:jc w:val="center"/>
        <w:rPr>
          <w:b/>
          <w:bCs/>
          <w:sz w:val="48"/>
          <w:szCs w:val="48"/>
        </w:rPr>
      </w:pPr>
    </w:p>
    <w:p w:rsidR="003B2A33" w:rsidRDefault="003B2A33" w:rsidP="007D4DEA">
      <w:pPr>
        <w:jc w:val="center"/>
        <w:rPr>
          <w:b/>
          <w:bCs/>
          <w:sz w:val="48"/>
          <w:szCs w:val="48"/>
        </w:rPr>
      </w:pPr>
    </w:p>
    <w:p w:rsidR="003B2A33" w:rsidRDefault="003B2A33" w:rsidP="007D4DEA">
      <w:pPr>
        <w:jc w:val="center"/>
        <w:rPr>
          <w:b/>
          <w:bCs/>
          <w:sz w:val="48"/>
          <w:szCs w:val="48"/>
        </w:rPr>
      </w:pPr>
    </w:p>
    <w:p w:rsidR="003B2A33" w:rsidRDefault="003B2A33" w:rsidP="007D4DEA">
      <w:pPr>
        <w:jc w:val="center"/>
        <w:rPr>
          <w:b/>
          <w:bCs/>
          <w:sz w:val="48"/>
          <w:szCs w:val="48"/>
        </w:rPr>
      </w:pPr>
    </w:p>
    <w:p w:rsidR="000939DC" w:rsidRPr="00971628" w:rsidRDefault="00E442AF" w:rsidP="007D4DEA">
      <w:pPr>
        <w:jc w:val="center"/>
        <w:rPr>
          <w:b/>
          <w:bCs/>
          <w:sz w:val="48"/>
          <w:szCs w:val="48"/>
        </w:rPr>
      </w:pPr>
      <w:r>
        <w:rPr>
          <w:b/>
          <w:bCs/>
          <w:sz w:val="48"/>
          <w:szCs w:val="48"/>
        </w:rPr>
        <w:t>12</w:t>
      </w:r>
      <w:r w:rsidR="000939DC" w:rsidRPr="00971628">
        <w:rPr>
          <w:b/>
          <w:bCs/>
          <w:sz w:val="48"/>
          <w:szCs w:val="48"/>
        </w:rPr>
        <w:t xml:space="preserve"> FEBRUARY 2018</w:t>
      </w:r>
    </w:p>
    <w:p w:rsidR="00461D48" w:rsidRDefault="00461D48" w:rsidP="006C2333">
      <w:pPr>
        <w:jc w:val="center"/>
        <w:rPr>
          <w:b/>
          <w:bCs/>
        </w:rPr>
      </w:pPr>
    </w:p>
    <w:p w:rsidR="00461D48" w:rsidRDefault="00461D48" w:rsidP="006C2333">
      <w:pPr>
        <w:jc w:val="center"/>
        <w:rPr>
          <w:b/>
          <w:bCs/>
        </w:rPr>
      </w:pPr>
    </w:p>
    <w:p w:rsidR="00461D48" w:rsidRDefault="00461D48" w:rsidP="006C2333">
      <w:pPr>
        <w:jc w:val="center"/>
        <w:rPr>
          <w:b/>
          <w:bCs/>
        </w:rPr>
      </w:pPr>
    </w:p>
    <w:p w:rsidR="00461D48" w:rsidRPr="009657EA" w:rsidRDefault="00461D48" w:rsidP="006C2333">
      <w:pPr>
        <w:jc w:val="center"/>
        <w:rPr>
          <w:b/>
          <w:bCs/>
          <w:u w:val="single"/>
        </w:rPr>
      </w:pPr>
    </w:p>
    <w:p w:rsidR="00461D48" w:rsidRPr="009657EA" w:rsidRDefault="00461D48" w:rsidP="006C2333">
      <w:pPr>
        <w:jc w:val="center"/>
        <w:rPr>
          <w:b/>
          <w:bCs/>
          <w:u w:val="single"/>
        </w:rPr>
      </w:pPr>
    </w:p>
    <w:p w:rsidR="00461D48" w:rsidRPr="009657EA" w:rsidRDefault="00461D48" w:rsidP="006C2333">
      <w:pPr>
        <w:jc w:val="center"/>
        <w:rPr>
          <w:b/>
          <w:bCs/>
          <w:u w:val="single"/>
        </w:rPr>
      </w:pPr>
    </w:p>
    <w:p w:rsidR="00461D48" w:rsidRPr="009657EA" w:rsidRDefault="00461D48" w:rsidP="006C2333">
      <w:pPr>
        <w:jc w:val="center"/>
        <w:rPr>
          <w:b/>
          <w:bCs/>
          <w:u w:val="single"/>
        </w:rPr>
      </w:pPr>
    </w:p>
    <w:p w:rsidR="00461D48" w:rsidRPr="009657EA" w:rsidRDefault="00461D48" w:rsidP="006C2333">
      <w:pPr>
        <w:jc w:val="center"/>
        <w:rPr>
          <w:b/>
          <w:bCs/>
          <w:u w:val="single"/>
        </w:rPr>
      </w:pPr>
    </w:p>
    <w:p w:rsidR="00461D48" w:rsidRPr="009657EA" w:rsidRDefault="00461D48" w:rsidP="006C2333">
      <w:pPr>
        <w:jc w:val="center"/>
        <w:rPr>
          <w:b/>
          <w:bCs/>
          <w:u w:val="single"/>
        </w:rPr>
      </w:pPr>
    </w:p>
    <w:p w:rsidR="000C7192" w:rsidRDefault="000C7192" w:rsidP="00971628">
      <w:pPr>
        <w:pStyle w:val="ListParagraph"/>
        <w:numPr>
          <w:ilvl w:val="0"/>
          <w:numId w:val="27"/>
        </w:numPr>
        <w:rPr>
          <w:rFonts w:ascii="Calibri" w:hAnsi="Calibri"/>
          <w:b/>
          <w:bCs/>
        </w:rPr>
        <w:sectPr w:rsidR="000C7192" w:rsidSect="009C0C0B">
          <w:footerReference w:type="default" r:id="rId9"/>
          <w:pgSz w:w="12240" w:h="15840"/>
          <w:pgMar w:top="1440" w:right="1440" w:bottom="1440" w:left="1440" w:header="720" w:footer="720" w:gutter="0"/>
          <w:cols w:space="720"/>
          <w:docGrid w:linePitch="360"/>
        </w:sectPr>
      </w:pPr>
    </w:p>
    <w:p w:rsidR="004B080E" w:rsidRDefault="00217647" w:rsidP="00971628">
      <w:pPr>
        <w:pStyle w:val="ListParagraph"/>
        <w:numPr>
          <w:ilvl w:val="0"/>
          <w:numId w:val="27"/>
        </w:numPr>
        <w:rPr>
          <w:rFonts w:ascii="Calibri" w:hAnsi="Calibri"/>
          <w:b/>
          <w:bCs/>
        </w:rPr>
      </w:pPr>
      <w:r w:rsidRPr="004B080E">
        <w:rPr>
          <w:rFonts w:ascii="Calibri" w:hAnsi="Calibri"/>
          <w:b/>
          <w:bCs/>
        </w:rPr>
        <w:lastRenderedPageBreak/>
        <w:t>I</w:t>
      </w:r>
      <w:r w:rsidR="00F60455" w:rsidRPr="004B080E">
        <w:rPr>
          <w:rFonts w:ascii="Calibri" w:hAnsi="Calibri"/>
          <w:b/>
          <w:bCs/>
        </w:rPr>
        <w:t>NTRODUCTION TO BLACK SASH</w:t>
      </w:r>
      <w:r w:rsidR="003B2A33">
        <w:rPr>
          <w:rFonts w:ascii="Calibri" w:hAnsi="Calibri"/>
          <w:b/>
          <w:bCs/>
        </w:rPr>
        <w:br/>
      </w:r>
    </w:p>
    <w:p w:rsidR="004B080E" w:rsidRPr="004B080E" w:rsidRDefault="009657EA" w:rsidP="00971628">
      <w:pPr>
        <w:pStyle w:val="ListParagraph"/>
        <w:numPr>
          <w:ilvl w:val="1"/>
          <w:numId w:val="27"/>
        </w:numPr>
        <w:rPr>
          <w:rFonts w:ascii="Calibri" w:hAnsi="Calibri"/>
          <w:b/>
          <w:bCs/>
        </w:rPr>
      </w:pPr>
      <w:r w:rsidRPr="004B080E">
        <w:rPr>
          <w:rFonts w:ascii="Calibri" w:hAnsi="Calibri"/>
          <w:bCs/>
        </w:rPr>
        <w:t>The Black Sash Trust (</w:t>
      </w:r>
      <w:r w:rsidR="000939DC" w:rsidRPr="004B080E">
        <w:rPr>
          <w:rFonts w:ascii="Calibri" w:hAnsi="Calibri"/>
          <w:bCs/>
        </w:rPr>
        <w:t>Black Sash) welcomes the opportunity to make submissions of the amendments to the National Credit Act 34 of 2005</w:t>
      </w:r>
      <w:r w:rsidR="00904D05" w:rsidRPr="004B080E">
        <w:rPr>
          <w:rFonts w:ascii="Calibri" w:hAnsi="Calibri"/>
          <w:bCs/>
        </w:rPr>
        <w:t>.</w:t>
      </w:r>
      <w:r w:rsidR="003B2A33">
        <w:rPr>
          <w:rFonts w:ascii="Calibri" w:hAnsi="Calibri"/>
          <w:bCs/>
        </w:rPr>
        <w:br/>
      </w:r>
    </w:p>
    <w:p w:rsidR="00461D48" w:rsidRPr="004B080E" w:rsidRDefault="00904D05" w:rsidP="00971628">
      <w:pPr>
        <w:pStyle w:val="ListParagraph"/>
        <w:numPr>
          <w:ilvl w:val="1"/>
          <w:numId w:val="27"/>
        </w:numPr>
        <w:rPr>
          <w:rFonts w:ascii="Calibri" w:hAnsi="Calibri"/>
          <w:b/>
          <w:bCs/>
        </w:rPr>
      </w:pPr>
      <w:r w:rsidRPr="004B080E">
        <w:rPr>
          <w:rFonts w:ascii="Calibri" w:hAnsi="Calibri"/>
        </w:rPr>
        <w:t>Our submission is informed by our work with the Department of Social Development and South African Social Security Agency to stop unlawful deductions, as well as various court proceedings, education and related community monitoring and advocacy.</w:t>
      </w:r>
      <w:r w:rsidR="008C0899" w:rsidRPr="004B080E">
        <w:rPr>
          <w:rFonts w:ascii="Calibri" w:hAnsi="Calibri"/>
        </w:rPr>
        <w:t xml:space="preserve"> W</w:t>
      </w:r>
      <w:r w:rsidRPr="004B080E">
        <w:rPr>
          <w:rFonts w:ascii="Calibri" w:hAnsi="Calibri"/>
        </w:rPr>
        <w:t>orking towards</w:t>
      </w:r>
      <w:r w:rsidR="00461D48" w:rsidRPr="004B080E">
        <w:rPr>
          <w:rFonts w:ascii="Calibri" w:hAnsi="Calibri"/>
        </w:rPr>
        <w:t xml:space="preserve"> the realis</w:t>
      </w:r>
      <w:r w:rsidR="008C0899" w:rsidRPr="004B080E">
        <w:rPr>
          <w:rFonts w:ascii="Calibri" w:hAnsi="Calibri"/>
        </w:rPr>
        <w:t xml:space="preserve">ation of socio-economic rights, </w:t>
      </w:r>
      <w:r w:rsidRPr="004B080E">
        <w:rPr>
          <w:rFonts w:ascii="Calibri" w:hAnsi="Calibri"/>
        </w:rPr>
        <w:t xml:space="preserve">with </w:t>
      </w:r>
      <w:r w:rsidR="00461D48" w:rsidRPr="004B080E">
        <w:rPr>
          <w:rFonts w:ascii="Calibri" w:hAnsi="Calibri"/>
        </w:rPr>
        <w:t>emphasis on social security and social prot</w:t>
      </w:r>
      <w:r w:rsidRPr="004B080E">
        <w:rPr>
          <w:rFonts w:ascii="Calibri" w:hAnsi="Calibri"/>
        </w:rPr>
        <w:t>ection for the m</w:t>
      </w:r>
      <w:r w:rsidR="00816347" w:rsidRPr="004B080E">
        <w:rPr>
          <w:rFonts w:ascii="Calibri" w:hAnsi="Calibri"/>
        </w:rPr>
        <w:t>ost vulnerable,</w:t>
      </w:r>
      <w:r w:rsidRPr="004B080E">
        <w:rPr>
          <w:rFonts w:ascii="Calibri" w:hAnsi="Calibri"/>
        </w:rPr>
        <w:t xml:space="preserve"> we welcome the amendments to alleviate the struggles of the indigent by providing them with a life line to get out of the pit of debt and transform their lives for the better.</w:t>
      </w:r>
    </w:p>
    <w:p w:rsidR="00461D48" w:rsidRPr="0051553F" w:rsidRDefault="00461D48" w:rsidP="00461D48">
      <w:pPr>
        <w:rPr>
          <w:rFonts w:ascii="Calibri" w:hAnsi="Calibri"/>
          <w:b/>
          <w:bCs/>
        </w:rPr>
      </w:pPr>
    </w:p>
    <w:p w:rsidR="004B080E" w:rsidRDefault="00461D48" w:rsidP="00971628">
      <w:pPr>
        <w:pStyle w:val="ListParagraph"/>
        <w:numPr>
          <w:ilvl w:val="0"/>
          <w:numId w:val="27"/>
        </w:numPr>
        <w:rPr>
          <w:rFonts w:ascii="Calibri" w:hAnsi="Calibri"/>
          <w:b/>
          <w:bCs/>
        </w:rPr>
      </w:pPr>
      <w:r w:rsidRPr="004B080E">
        <w:rPr>
          <w:rFonts w:ascii="Calibri" w:hAnsi="Calibri"/>
          <w:b/>
          <w:bCs/>
        </w:rPr>
        <w:t>CONTEXTUALISING THE INTEREST OF BLACK SASH</w:t>
      </w:r>
      <w:r w:rsidR="003B2A33">
        <w:rPr>
          <w:rFonts w:ascii="Calibri" w:hAnsi="Calibri"/>
          <w:b/>
          <w:bCs/>
        </w:rPr>
        <w:br/>
      </w:r>
    </w:p>
    <w:p w:rsidR="00722CDC" w:rsidRPr="004B080E" w:rsidRDefault="006C2333" w:rsidP="00971628">
      <w:pPr>
        <w:pStyle w:val="ListParagraph"/>
        <w:numPr>
          <w:ilvl w:val="1"/>
          <w:numId w:val="27"/>
        </w:numPr>
        <w:rPr>
          <w:rFonts w:ascii="Calibri" w:hAnsi="Calibri"/>
          <w:b/>
          <w:bCs/>
        </w:rPr>
      </w:pPr>
      <w:r w:rsidRPr="004B080E">
        <w:rPr>
          <w:rFonts w:ascii="Calibri" w:hAnsi="Calibri"/>
        </w:rPr>
        <w:t>Black Sash submits that the protection of social grants from u</w:t>
      </w:r>
      <w:r w:rsidR="008C0899" w:rsidRPr="004B080E">
        <w:rPr>
          <w:rFonts w:ascii="Calibri" w:hAnsi="Calibri"/>
        </w:rPr>
        <w:t xml:space="preserve">nlawful deductions is </w:t>
      </w:r>
      <w:r w:rsidR="003D0F93">
        <w:rPr>
          <w:rFonts w:ascii="Calibri" w:hAnsi="Calibri"/>
        </w:rPr>
        <w:t xml:space="preserve">a </w:t>
      </w:r>
      <w:r w:rsidR="008C0899" w:rsidRPr="004B080E">
        <w:rPr>
          <w:rFonts w:ascii="Calibri" w:hAnsi="Calibri"/>
        </w:rPr>
        <w:t xml:space="preserve">critical </w:t>
      </w:r>
      <w:r w:rsidRPr="004B080E">
        <w:rPr>
          <w:rFonts w:ascii="Calibri" w:hAnsi="Calibri"/>
        </w:rPr>
        <w:t xml:space="preserve">element of the right to </w:t>
      </w:r>
      <w:r w:rsidR="003D0F93">
        <w:rPr>
          <w:rFonts w:ascii="Calibri" w:hAnsi="Calibri"/>
        </w:rPr>
        <w:t>S</w:t>
      </w:r>
      <w:r w:rsidRPr="004B080E">
        <w:rPr>
          <w:rFonts w:ascii="Calibri" w:hAnsi="Calibri"/>
        </w:rPr>
        <w:t xml:space="preserve">ocial </w:t>
      </w:r>
      <w:r w:rsidR="003D0F93">
        <w:rPr>
          <w:rFonts w:ascii="Calibri" w:hAnsi="Calibri"/>
        </w:rPr>
        <w:t>S</w:t>
      </w:r>
      <w:r w:rsidRPr="004B080E">
        <w:rPr>
          <w:rFonts w:ascii="Calibri" w:hAnsi="Calibri"/>
        </w:rPr>
        <w:t>ecurity/</w:t>
      </w:r>
      <w:r w:rsidR="003D0F93">
        <w:rPr>
          <w:rFonts w:ascii="Calibri" w:hAnsi="Calibri"/>
        </w:rPr>
        <w:t>A</w:t>
      </w:r>
      <w:r w:rsidRPr="004B080E">
        <w:rPr>
          <w:rFonts w:ascii="Calibri" w:hAnsi="Calibri"/>
        </w:rPr>
        <w:t xml:space="preserve">ssistance as </w:t>
      </w:r>
      <w:r w:rsidR="00D040BE" w:rsidRPr="004B080E">
        <w:rPr>
          <w:rFonts w:ascii="Calibri" w:hAnsi="Calibri"/>
        </w:rPr>
        <w:t xml:space="preserve">set out in </w:t>
      </w:r>
      <w:r w:rsidRPr="004B080E">
        <w:rPr>
          <w:rFonts w:ascii="Calibri" w:hAnsi="Calibri"/>
        </w:rPr>
        <w:t>International Law</w:t>
      </w:r>
      <w:r w:rsidR="00816347" w:rsidRPr="004B080E">
        <w:rPr>
          <w:rFonts w:ascii="Calibri" w:hAnsi="Calibri"/>
        </w:rPr>
        <w:t>, in accordance with the</w:t>
      </w:r>
      <w:r w:rsidR="00D040BE" w:rsidRPr="004B080E">
        <w:rPr>
          <w:rFonts w:ascii="Calibri" w:hAnsi="Calibri"/>
        </w:rPr>
        <w:t xml:space="preserve"> South African Constitution </w:t>
      </w:r>
      <w:r w:rsidR="00863D7C" w:rsidRPr="004B080E">
        <w:rPr>
          <w:rFonts w:ascii="Calibri" w:hAnsi="Calibri"/>
        </w:rPr>
        <w:t>and</w:t>
      </w:r>
      <w:r w:rsidR="00D040BE" w:rsidRPr="004B080E">
        <w:rPr>
          <w:rFonts w:ascii="Calibri" w:hAnsi="Calibri"/>
        </w:rPr>
        <w:t xml:space="preserve"> in </w:t>
      </w:r>
      <w:r w:rsidR="003D0F93">
        <w:rPr>
          <w:rFonts w:ascii="Calibri" w:hAnsi="Calibri"/>
        </w:rPr>
        <w:t>J</w:t>
      </w:r>
      <w:r w:rsidR="003B2A33" w:rsidRPr="004B080E">
        <w:rPr>
          <w:rFonts w:ascii="Calibri" w:hAnsi="Calibri"/>
        </w:rPr>
        <w:t>urisprudence. Providing</w:t>
      </w:r>
      <w:r w:rsidR="00AC68F2" w:rsidRPr="004B080E">
        <w:rPr>
          <w:rFonts w:ascii="Calibri" w:hAnsi="Calibri"/>
        </w:rPr>
        <w:t xml:space="preserve"> social assistance also includes providing social protection, which in this instance means protecting and securing the accounts </w:t>
      </w:r>
      <w:r w:rsidR="003B2A33" w:rsidRPr="004B080E">
        <w:rPr>
          <w:rFonts w:ascii="Calibri" w:hAnsi="Calibri"/>
        </w:rPr>
        <w:t>of social</w:t>
      </w:r>
      <w:r w:rsidR="00AC68F2" w:rsidRPr="004B080E">
        <w:rPr>
          <w:rFonts w:ascii="Calibri" w:hAnsi="Calibri"/>
        </w:rPr>
        <w:t xml:space="preserve"> grant </w:t>
      </w:r>
      <w:r w:rsidR="00A06B52" w:rsidRPr="004B080E">
        <w:rPr>
          <w:rFonts w:ascii="Calibri" w:hAnsi="Calibri"/>
        </w:rPr>
        <w:t>recipients</w:t>
      </w:r>
      <w:r w:rsidR="00AC68F2" w:rsidRPr="004B080E">
        <w:rPr>
          <w:rFonts w:ascii="Calibri" w:hAnsi="Calibri"/>
        </w:rPr>
        <w:t xml:space="preserve"> from </w:t>
      </w:r>
      <w:r w:rsidR="00AC68F2" w:rsidRPr="004B080E">
        <w:rPr>
          <w:rFonts w:ascii="Calibri" w:hAnsi="Calibri"/>
          <w:bCs/>
        </w:rPr>
        <w:t>unauthorized and unlawful deduction</w:t>
      </w:r>
      <w:r w:rsidR="003D0F93">
        <w:rPr>
          <w:rFonts w:ascii="Calibri" w:hAnsi="Calibri"/>
          <w:bCs/>
        </w:rPr>
        <w:t>s</w:t>
      </w:r>
      <w:r w:rsidR="00F60455" w:rsidRPr="004B080E">
        <w:rPr>
          <w:rFonts w:ascii="Calibri" w:hAnsi="Calibri"/>
          <w:b/>
          <w:bCs/>
        </w:rPr>
        <w:t xml:space="preserve">. </w:t>
      </w:r>
    </w:p>
    <w:p w:rsidR="00CE4391" w:rsidRPr="0051553F" w:rsidRDefault="00CE4391" w:rsidP="00CE4391">
      <w:pPr>
        <w:rPr>
          <w:rFonts w:ascii="Calibri" w:hAnsi="Calibri"/>
          <w:b/>
          <w:bCs/>
        </w:rPr>
      </w:pPr>
    </w:p>
    <w:p w:rsidR="004B080E" w:rsidRDefault="006C2333" w:rsidP="00971628">
      <w:pPr>
        <w:pStyle w:val="ListParagraph"/>
        <w:numPr>
          <w:ilvl w:val="0"/>
          <w:numId w:val="27"/>
        </w:numPr>
        <w:rPr>
          <w:rFonts w:ascii="Calibri" w:hAnsi="Calibri"/>
          <w:b/>
          <w:bCs/>
        </w:rPr>
      </w:pPr>
      <w:r w:rsidRPr="004B080E">
        <w:rPr>
          <w:rFonts w:ascii="Calibri" w:hAnsi="Calibri"/>
          <w:b/>
          <w:bCs/>
        </w:rPr>
        <w:t>STATE OBLIGATION</w:t>
      </w:r>
      <w:r w:rsidR="003B2A33">
        <w:rPr>
          <w:rFonts w:ascii="Calibri" w:hAnsi="Calibri"/>
          <w:b/>
          <w:bCs/>
        </w:rPr>
        <w:br/>
      </w:r>
    </w:p>
    <w:p w:rsidR="00761594" w:rsidRPr="004B080E" w:rsidRDefault="00816347" w:rsidP="00971628">
      <w:pPr>
        <w:pStyle w:val="ListParagraph"/>
        <w:numPr>
          <w:ilvl w:val="1"/>
          <w:numId w:val="27"/>
        </w:numPr>
        <w:rPr>
          <w:rFonts w:ascii="Calibri" w:hAnsi="Calibri"/>
          <w:b/>
          <w:bCs/>
        </w:rPr>
      </w:pPr>
      <w:r w:rsidRPr="004B080E">
        <w:rPr>
          <w:rFonts w:ascii="Calibri" w:hAnsi="Calibri"/>
        </w:rPr>
        <w:t>There is an onus on the state to enact legislation</w:t>
      </w:r>
      <w:r w:rsidR="005029B3" w:rsidRPr="004B080E">
        <w:rPr>
          <w:rFonts w:ascii="Calibri" w:hAnsi="Calibri"/>
        </w:rPr>
        <w:t xml:space="preserve"> by ensuring the payment </w:t>
      </w:r>
      <w:r w:rsidR="00217647" w:rsidRPr="004B080E">
        <w:rPr>
          <w:rFonts w:ascii="Calibri" w:hAnsi="Calibri"/>
        </w:rPr>
        <w:t>of social grants</w:t>
      </w:r>
      <w:r w:rsidR="00A06B52" w:rsidRPr="004B080E">
        <w:rPr>
          <w:rFonts w:ascii="Calibri" w:hAnsi="Calibri"/>
        </w:rPr>
        <w:t xml:space="preserve"> in full and which </w:t>
      </w:r>
      <w:r w:rsidR="003B2A33" w:rsidRPr="004B080E">
        <w:rPr>
          <w:rFonts w:ascii="Calibri" w:hAnsi="Calibri"/>
        </w:rPr>
        <w:t>is ring</w:t>
      </w:r>
      <w:r w:rsidR="00916E1F" w:rsidRPr="004B080E">
        <w:rPr>
          <w:rFonts w:ascii="Calibri" w:hAnsi="Calibri"/>
        </w:rPr>
        <w:t xml:space="preserve"> fenced</w:t>
      </w:r>
      <w:r w:rsidRPr="004B080E">
        <w:rPr>
          <w:rFonts w:ascii="Calibri" w:hAnsi="Calibri"/>
        </w:rPr>
        <w:t xml:space="preserve"> from unlawful deductions through rec</w:t>
      </w:r>
      <w:r w:rsidR="00A06B52" w:rsidRPr="004B080E">
        <w:rPr>
          <w:rFonts w:ascii="Calibri" w:hAnsi="Calibri"/>
        </w:rPr>
        <w:t>kless lending.</w:t>
      </w:r>
    </w:p>
    <w:p w:rsidR="00CE4391" w:rsidRPr="0051553F" w:rsidRDefault="00CE4391" w:rsidP="00CE4391">
      <w:pPr>
        <w:pStyle w:val="ListParagraph"/>
        <w:ind w:left="360"/>
        <w:rPr>
          <w:rFonts w:ascii="Calibri" w:hAnsi="Calibri"/>
        </w:rPr>
      </w:pPr>
    </w:p>
    <w:p w:rsidR="004B080E" w:rsidRPr="004B080E" w:rsidRDefault="00761594" w:rsidP="00971628">
      <w:pPr>
        <w:pStyle w:val="ListParagraph"/>
        <w:numPr>
          <w:ilvl w:val="0"/>
          <w:numId w:val="27"/>
        </w:numPr>
        <w:rPr>
          <w:rFonts w:ascii="Calibri" w:hAnsi="Calibri"/>
        </w:rPr>
      </w:pPr>
      <w:r w:rsidRPr="004B080E">
        <w:rPr>
          <w:rFonts w:ascii="Calibri" w:hAnsi="Calibri"/>
          <w:b/>
          <w:bCs/>
        </w:rPr>
        <w:t>BLACK SASH AND THE N</w:t>
      </w:r>
      <w:r w:rsidR="00CE4391" w:rsidRPr="004B080E">
        <w:rPr>
          <w:rFonts w:ascii="Calibri" w:hAnsi="Calibri"/>
          <w:b/>
          <w:bCs/>
        </w:rPr>
        <w:t>ATIONAL CREDIT ACT (NCA)</w:t>
      </w:r>
      <w:r w:rsidR="003B2A33">
        <w:rPr>
          <w:rFonts w:ascii="Calibri" w:hAnsi="Calibri"/>
          <w:b/>
          <w:bCs/>
        </w:rPr>
        <w:br/>
      </w:r>
    </w:p>
    <w:p w:rsidR="000836BC" w:rsidRPr="004B080E" w:rsidRDefault="00AC526C" w:rsidP="00971628">
      <w:pPr>
        <w:pStyle w:val="ListParagraph"/>
        <w:numPr>
          <w:ilvl w:val="1"/>
          <w:numId w:val="27"/>
        </w:numPr>
        <w:rPr>
          <w:rFonts w:ascii="Calibri" w:hAnsi="Calibri"/>
        </w:rPr>
      </w:pPr>
      <w:r w:rsidRPr="004B080E">
        <w:rPr>
          <w:rFonts w:ascii="Calibri" w:hAnsi="Calibri"/>
        </w:rPr>
        <w:t>Black Sash acknowledges the objective and purp</w:t>
      </w:r>
      <w:r w:rsidR="00CE4391" w:rsidRPr="004B080E">
        <w:rPr>
          <w:rFonts w:ascii="Calibri" w:hAnsi="Calibri"/>
        </w:rPr>
        <w:t>ose of the NCA</w:t>
      </w:r>
      <w:r w:rsidRPr="004B080E">
        <w:rPr>
          <w:rFonts w:ascii="Calibri" w:hAnsi="Calibri"/>
        </w:rPr>
        <w:t xml:space="preserve"> and believes that over-indebtedness is a social and economic challenge that has far reaching consequences for the most vulnerable social grant </w:t>
      </w:r>
      <w:r w:rsidR="003B2A33" w:rsidRPr="004B080E">
        <w:rPr>
          <w:rFonts w:ascii="Calibri" w:hAnsi="Calibri"/>
        </w:rPr>
        <w:t>recipients. Grant</w:t>
      </w:r>
      <w:r w:rsidRPr="004B080E">
        <w:rPr>
          <w:rFonts w:ascii="Calibri" w:hAnsi="Calibri"/>
        </w:rPr>
        <w:t xml:space="preserve"> </w:t>
      </w:r>
      <w:r w:rsidR="00A06B52" w:rsidRPr="004B080E">
        <w:rPr>
          <w:rFonts w:ascii="Calibri" w:hAnsi="Calibri"/>
        </w:rPr>
        <w:t>recipients</w:t>
      </w:r>
      <w:r w:rsidRPr="004B080E">
        <w:rPr>
          <w:rFonts w:ascii="Calibri" w:hAnsi="Calibri"/>
        </w:rPr>
        <w:t xml:space="preserve"> are easy targets for moneylenders because they receive guaranteed income from the state. </w:t>
      </w:r>
    </w:p>
    <w:p w:rsidR="009657EA" w:rsidRPr="0051553F" w:rsidRDefault="009657EA" w:rsidP="009657EA">
      <w:pPr>
        <w:rPr>
          <w:rFonts w:ascii="Calibri" w:hAnsi="Calibri"/>
        </w:rPr>
      </w:pPr>
    </w:p>
    <w:p w:rsidR="004B080E" w:rsidRDefault="00AE73AE" w:rsidP="00971628">
      <w:pPr>
        <w:pStyle w:val="ListParagraph"/>
        <w:numPr>
          <w:ilvl w:val="0"/>
          <w:numId w:val="27"/>
        </w:numPr>
        <w:rPr>
          <w:rFonts w:ascii="Calibri" w:hAnsi="Calibri"/>
          <w:b/>
          <w:bCs/>
          <w:lang w:val="en-ZA"/>
        </w:rPr>
      </w:pPr>
      <w:r w:rsidRPr="004B080E">
        <w:rPr>
          <w:rFonts w:ascii="Calibri" w:hAnsi="Calibri"/>
          <w:b/>
          <w:bCs/>
          <w:lang w:val="en-ZA"/>
        </w:rPr>
        <w:t xml:space="preserve">SASSA </w:t>
      </w:r>
      <w:r w:rsidR="003234DB">
        <w:rPr>
          <w:rFonts w:ascii="Calibri" w:hAnsi="Calibri"/>
          <w:b/>
          <w:bCs/>
          <w:lang w:val="en-ZA"/>
        </w:rPr>
        <w:t>RECIPIENTS</w:t>
      </w:r>
      <w:r w:rsidRPr="004B080E">
        <w:rPr>
          <w:rFonts w:ascii="Calibri" w:hAnsi="Calibri"/>
          <w:b/>
          <w:bCs/>
          <w:lang w:val="en-ZA"/>
        </w:rPr>
        <w:t xml:space="preserve"> AND UNLAWFUL DEDUCTIONS</w:t>
      </w:r>
      <w:r w:rsidR="003B2A33">
        <w:rPr>
          <w:rFonts w:ascii="Calibri" w:hAnsi="Calibri"/>
          <w:b/>
          <w:bCs/>
          <w:lang w:val="en-ZA"/>
        </w:rPr>
        <w:br/>
      </w:r>
    </w:p>
    <w:p w:rsidR="004B080E" w:rsidRDefault="00AE73AE" w:rsidP="00971628">
      <w:pPr>
        <w:pStyle w:val="ListParagraph"/>
        <w:numPr>
          <w:ilvl w:val="1"/>
          <w:numId w:val="27"/>
        </w:numPr>
        <w:rPr>
          <w:rFonts w:ascii="Calibri" w:hAnsi="Calibri"/>
          <w:lang w:val="en-ZA"/>
        </w:rPr>
      </w:pPr>
      <w:r w:rsidRPr="004B080E">
        <w:rPr>
          <w:rFonts w:ascii="Calibri" w:hAnsi="Calibri"/>
          <w:lang w:val="en-ZA"/>
        </w:rPr>
        <w:t xml:space="preserve">Grant </w:t>
      </w:r>
      <w:r w:rsidR="003234DB">
        <w:rPr>
          <w:rFonts w:ascii="Calibri" w:hAnsi="Calibri"/>
          <w:lang w:val="en-ZA"/>
        </w:rPr>
        <w:t>recipients</w:t>
      </w:r>
      <w:r w:rsidRPr="004B080E">
        <w:rPr>
          <w:rFonts w:ascii="Calibri" w:hAnsi="Calibri"/>
          <w:lang w:val="en-ZA"/>
        </w:rPr>
        <w:t xml:space="preserve"> have SASSA bank cards which are serviced by Cash Payment Services (CPS) who provide the card technology and manage the card programme on behalf of the government of South Africa and facilitated through Grindrod bank. The SASSA contract with CPS </w:t>
      </w:r>
      <w:r w:rsidR="00217647" w:rsidRPr="004B080E">
        <w:rPr>
          <w:rFonts w:ascii="Calibri" w:hAnsi="Calibri"/>
          <w:lang w:val="en-ZA"/>
        </w:rPr>
        <w:t xml:space="preserve">facilitated the opening of approximately </w:t>
      </w:r>
      <w:r w:rsidRPr="004B080E">
        <w:rPr>
          <w:rFonts w:ascii="Calibri" w:hAnsi="Calibri"/>
          <w:lang w:val="en-ZA"/>
        </w:rPr>
        <w:t xml:space="preserve">11 million SASSA bank accounts by CPS via Grindrod Bank for approximately 17 million grant </w:t>
      </w:r>
      <w:r w:rsidR="003234DB">
        <w:rPr>
          <w:rFonts w:ascii="Calibri" w:hAnsi="Calibri"/>
          <w:lang w:val="en-ZA"/>
        </w:rPr>
        <w:t>recipients</w:t>
      </w:r>
      <w:r w:rsidR="009657EA" w:rsidRPr="004B080E">
        <w:rPr>
          <w:rFonts w:ascii="Calibri" w:hAnsi="Calibri"/>
          <w:lang w:val="en-ZA"/>
        </w:rPr>
        <w:t xml:space="preserve">. </w:t>
      </w:r>
      <w:r w:rsidR="003B2A33">
        <w:rPr>
          <w:rFonts w:ascii="Calibri" w:hAnsi="Calibri"/>
          <w:lang w:val="en-ZA"/>
        </w:rPr>
        <w:br/>
      </w:r>
    </w:p>
    <w:p w:rsidR="00AE73AE" w:rsidRDefault="00AE73AE" w:rsidP="00971628">
      <w:pPr>
        <w:pStyle w:val="ListParagraph"/>
        <w:numPr>
          <w:ilvl w:val="1"/>
          <w:numId w:val="27"/>
        </w:numPr>
        <w:rPr>
          <w:rFonts w:ascii="Calibri" w:hAnsi="Calibri"/>
          <w:lang w:val="en-ZA"/>
        </w:rPr>
      </w:pPr>
      <w:r w:rsidRPr="004B080E">
        <w:rPr>
          <w:rFonts w:ascii="Calibri" w:hAnsi="Calibri"/>
          <w:lang w:val="en-ZA"/>
        </w:rPr>
        <w:lastRenderedPageBreak/>
        <w:t xml:space="preserve">In June 2015 Grindrod Bank with </w:t>
      </w:r>
      <w:r w:rsidR="003D0F93">
        <w:rPr>
          <w:rFonts w:ascii="Calibri" w:hAnsi="Calibri"/>
          <w:lang w:val="en-ZA"/>
        </w:rPr>
        <w:t xml:space="preserve">Moneyline, a subsidiary of Net1, </w:t>
      </w:r>
      <w:r w:rsidRPr="004B080E">
        <w:rPr>
          <w:rFonts w:ascii="Calibri" w:hAnsi="Calibri"/>
          <w:lang w:val="en-ZA"/>
        </w:rPr>
        <w:t xml:space="preserve">opened up the Easypay Everywhere Bank account known as the “Green Card”. This EPE card has fuelled indebtedness as many loan sharks use this card to provide loans often with </w:t>
      </w:r>
      <w:r w:rsidRPr="004B080E">
        <w:rPr>
          <w:rFonts w:ascii="Calibri" w:hAnsi="Calibri"/>
          <w:b/>
          <w:bCs/>
          <w:lang w:val="en-ZA"/>
        </w:rPr>
        <w:t>no affordability tests</w:t>
      </w:r>
      <w:r w:rsidRPr="004B080E">
        <w:rPr>
          <w:rFonts w:ascii="Calibri" w:hAnsi="Calibri"/>
          <w:lang w:val="en-ZA"/>
        </w:rPr>
        <w:t xml:space="preserve">, no proper avenues of recourse, no administrative justice and </w:t>
      </w:r>
      <w:r w:rsidRPr="004B080E">
        <w:rPr>
          <w:rFonts w:ascii="Calibri" w:hAnsi="Calibri"/>
          <w:b/>
          <w:bCs/>
          <w:lang w:val="en-ZA"/>
        </w:rPr>
        <w:t>no debt counselling.</w:t>
      </w:r>
      <w:r w:rsidRPr="004B080E">
        <w:rPr>
          <w:rFonts w:ascii="Calibri" w:hAnsi="Calibri"/>
          <w:lang w:val="en-ZA"/>
        </w:rPr>
        <w:t xml:space="preserve"> Grant </w:t>
      </w:r>
      <w:r w:rsidR="003234DB">
        <w:rPr>
          <w:rFonts w:ascii="Calibri" w:hAnsi="Calibri"/>
          <w:lang w:val="en-ZA"/>
        </w:rPr>
        <w:t>recipients</w:t>
      </w:r>
      <w:r w:rsidRPr="004B080E">
        <w:rPr>
          <w:rFonts w:ascii="Calibri" w:hAnsi="Calibri"/>
          <w:lang w:val="en-ZA"/>
        </w:rPr>
        <w:t xml:space="preserve"> are trapped in a vicious cycle, using debt to pay debt to pay for food and basic living needs. </w:t>
      </w:r>
      <w:r w:rsidR="003B2A33">
        <w:rPr>
          <w:rFonts w:ascii="Calibri" w:hAnsi="Calibri"/>
          <w:lang w:val="en-ZA"/>
        </w:rPr>
        <w:br/>
      </w:r>
    </w:p>
    <w:p w:rsidR="003234DB" w:rsidRPr="004B080E" w:rsidRDefault="003234DB" w:rsidP="00971628">
      <w:pPr>
        <w:pStyle w:val="ListParagraph"/>
        <w:numPr>
          <w:ilvl w:val="1"/>
          <w:numId w:val="27"/>
        </w:numPr>
        <w:rPr>
          <w:rFonts w:ascii="Calibri" w:hAnsi="Calibri"/>
          <w:lang w:val="en-ZA"/>
        </w:rPr>
      </w:pPr>
      <w:r>
        <w:rPr>
          <w:rFonts w:ascii="Calibri" w:hAnsi="Calibri"/>
          <w:lang w:val="en-ZA"/>
        </w:rPr>
        <w:t>To date there are 2.3 million recipients who have EPE cards which is an indicator of how many grant recipients have loans</w:t>
      </w:r>
      <w:r w:rsidR="003B2A33">
        <w:rPr>
          <w:rFonts w:ascii="Calibri" w:hAnsi="Calibri"/>
          <w:lang w:val="en-ZA"/>
        </w:rPr>
        <w:t>.</w:t>
      </w:r>
      <w:r w:rsidR="003B2A33">
        <w:rPr>
          <w:rFonts w:ascii="Calibri" w:hAnsi="Calibri"/>
          <w:lang w:val="en-ZA"/>
        </w:rPr>
        <w:br/>
      </w:r>
    </w:p>
    <w:p w:rsidR="00B27884" w:rsidRPr="004B080E" w:rsidRDefault="00AE73AE" w:rsidP="00971628">
      <w:pPr>
        <w:pStyle w:val="ListParagraph"/>
        <w:numPr>
          <w:ilvl w:val="0"/>
          <w:numId w:val="27"/>
        </w:numPr>
        <w:rPr>
          <w:rFonts w:ascii="Calibri" w:hAnsi="Calibri"/>
          <w:b/>
          <w:bCs/>
          <w:lang w:val="en-ZA"/>
        </w:rPr>
      </w:pPr>
      <w:r w:rsidRPr="004B080E">
        <w:rPr>
          <w:rFonts w:ascii="Calibri" w:hAnsi="Calibri"/>
          <w:b/>
          <w:bCs/>
          <w:lang w:val="en-ZA"/>
        </w:rPr>
        <w:t>DO THE AMENDMENTS ADDRESS OVER INDEBTEDNESS OF POOR?</w:t>
      </w:r>
      <w:r w:rsidR="003B2A33">
        <w:rPr>
          <w:rFonts w:ascii="Calibri" w:hAnsi="Calibri"/>
          <w:b/>
          <w:bCs/>
          <w:lang w:val="en-ZA"/>
        </w:rPr>
        <w:br/>
      </w:r>
    </w:p>
    <w:p w:rsidR="00B27884" w:rsidRPr="0051553F" w:rsidRDefault="00AE73AE" w:rsidP="00971628">
      <w:pPr>
        <w:pStyle w:val="ListParagraph"/>
        <w:numPr>
          <w:ilvl w:val="1"/>
          <w:numId w:val="27"/>
        </w:numPr>
        <w:rPr>
          <w:rFonts w:ascii="Calibri" w:hAnsi="Calibri"/>
          <w:b/>
          <w:bCs/>
          <w:lang w:val="en-ZA"/>
        </w:rPr>
      </w:pPr>
      <w:r w:rsidRPr="0051553F">
        <w:rPr>
          <w:rFonts w:ascii="Calibri" w:hAnsi="Calibri"/>
          <w:lang w:val="en-ZA"/>
        </w:rPr>
        <w:t>Over-indebtedness is a social and economic challenge with far reaching consequences for vulnerable social grant recipients.</w:t>
      </w:r>
      <w:r w:rsidR="003234DB">
        <w:rPr>
          <w:rFonts w:ascii="Calibri" w:hAnsi="Calibri"/>
          <w:lang w:val="en-ZA"/>
        </w:rPr>
        <w:t xml:space="preserve"> </w:t>
      </w:r>
      <w:r w:rsidRPr="0051553F">
        <w:rPr>
          <w:rFonts w:ascii="Calibri" w:hAnsi="Calibri"/>
          <w:lang w:val="en-ZA"/>
        </w:rPr>
        <w:t>Social grant recipients can become easy pr</w:t>
      </w:r>
      <w:r w:rsidR="00217647" w:rsidRPr="0051553F">
        <w:rPr>
          <w:rFonts w:ascii="Calibri" w:hAnsi="Calibri"/>
          <w:lang w:val="en-ZA"/>
        </w:rPr>
        <w:t>ey for moneylenders as they are</w:t>
      </w:r>
      <w:r w:rsidRPr="0051553F">
        <w:rPr>
          <w:rFonts w:ascii="Calibri" w:hAnsi="Calibri"/>
          <w:lang w:val="en-ZA"/>
        </w:rPr>
        <w:t xml:space="preserve"> receiving </w:t>
      </w:r>
      <w:r w:rsidR="003D0F93">
        <w:rPr>
          <w:rFonts w:ascii="Calibri" w:hAnsi="Calibri"/>
          <w:lang w:val="en-ZA"/>
        </w:rPr>
        <w:t xml:space="preserve">a </w:t>
      </w:r>
      <w:r w:rsidRPr="0051553F">
        <w:rPr>
          <w:rFonts w:ascii="Calibri" w:hAnsi="Calibri"/>
          <w:lang w:val="en-ZA"/>
        </w:rPr>
        <w:t>guaranteed monthly income from the state.</w:t>
      </w:r>
      <w:r w:rsidR="003B2A33">
        <w:rPr>
          <w:rFonts w:ascii="Calibri" w:hAnsi="Calibri"/>
          <w:lang w:val="en-ZA"/>
        </w:rPr>
        <w:br/>
      </w:r>
    </w:p>
    <w:p w:rsidR="00AE73AE" w:rsidRPr="003234DB" w:rsidRDefault="00AE73AE" w:rsidP="00971628">
      <w:pPr>
        <w:pStyle w:val="ListParagraph"/>
        <w:numPr>
          <w:ilvl w:val="1"/>
          <w:numId w:val="27"/>
        </w:numPr>
        <w:rPr>
          <w:rFonts w:ascii="Calibri" w:hAnsi="Calibri"/>
          <w:b/>
          <w:bCs/>
          <w:lang w:val="en-ZA"/>
        </w:rPr>
      </w:pPr>
      <w:r w:rsidRPr="0051553F">
        <w:rPr>
          <w:rFonts w:ascii="Calibri" w:hAnsi="Calibri"/>
          <w:lang w:val="en-ZA"/>
        </w:rPr>
        <w:t>Grant recipients whose bank accounts have a debit</w:t>
      </w:r>
      <w:r w:rsidR="00B27884" w:rsidRPr="0051553F">
        <w:rPr>
          <w:rFonts w:ascii="Calibri" w:hAnsi="Calibri"/>
          <w:lang w:val="en-ZA"/>
        </w:rPr>
        <w:t xml:space="preserve"> order facility that can secure </w:t>
      </w:r>
      <w:r w:rsidRPr="0051553F">
        <w:rPr>
          <w:rFonts w:ascii="Calibri" w:hAnsi="Calibri"/>
          <w:lang w:val="en-ZA"/>
        </w:rPr>
        <w:t>loan deductions, with easy access to confidential data- is placed in a precarious position, especially when no affordability tests have been don</w:t>
      </w:r>
      <w:r w:rsidR="003234DB">
        <w:rPr>
          <w:rFonts w:ascii="Calibri" w:hAnsi="Calibri"/>
          <w:lang w:val="en-ZA"/>
        </w:rPr>
        <w:t>e, there are no proper avenues of recourse, no administrative justice and no debt counselling.</w:t>
      </w:r>
      <w:r w:rsidR="003B2A33">
        <w:rPr>
          <w:rFonts w:ascii="Calibri" w:hAnsi="Calibri"/>
          <w:lang w:val="en-ZA"/>
        </w:rPr>
        <w:br/>
      </w:r>
    </w:p>
    <w:p w:rsidR="003234DB" w:rsidRPr="003234DB" w:rsidRDefault="003234DB" w:rsidP="00971628">
      <w:pPr>
        <w:pStyle w:val="ListParagraph"/>
        <w:numPr>
          <w:ilvl w:val="1"/>
          <w:numId w:val="27"/>
        </w:numPr>
        <w:rPr>
          <w:rFonts w:ascii="Calibri" w:hAnsi="Calibri"/>
          <w:b/>
          <w:bCs/>
          <w:lang w:val="en-ZA"/>
        </w:rPr>
      </w:pPr>
      <w:r>
        <w:rPr>
          <w:rFonts w:ascii="Calibri" w:hAnsi="Calibri"/>
          <w:lang w:val="en-ZA"/>
        </w:rPr>
        <w:t>Grant recipients are trapped in a vicious cycle of debt, using debt to pay debt for food and basic living needs.</w:t>
      </w:r>
      <w:r w:rsidR="003B2A33">
        <w:rPr>
          <w:rFonts w:ascii="Calibri" w:hAnsi="Calibri"/>
          <w:lang w:val="en-ZA"/>
        </w:rPr>
        <w:br/>
      </w:r>
    </w:p>
    <w:p w:rsidR="003234DB" w:rsidRPr="007D4DEA" w:rsidRDefault="00E8717C" w:rsidP="00971628">
      <w:pPr>
        <w:pStyle w:val="ListParagraph"/>
        <w:numPr>
          <w:ilvl w:val="1"/>
          <w:numId w:val="27"/>
        </w:numPr>
        <w:rPr>
          <w:rFonts w:ascii="Calibri" w:hAnsi="Calibri"/>
          <w:b/>
          <w:bCs/>
          <w:lang w:val="en-ZA"/>
        </w:rPr>
      </w:pPr>
      <w:r>
        <w:rPr>
          <w:rFonts w:ascii="Calibri" w:hAnsi="Calibri"/>
          <w:bCs/>
          <w:lang w:val="en-ZA"/>
        </w:rPr>
        <w:t>S</w:t>
      </w:r>
      <w:r w:rsidR="003234DB">
        <w:rPr>
          <w:rFonts w:ascii="Calibri" w:hAnsi="Calibri"/>
          <w:bCs/>
          <w:lang w:val="en-ZA"/>
        </w:rPr>
        <w:t xml:space="preserve">ocial grants </w:t>
      </w:r>
      <w:r>
        <w:rPr>
          <w:rFonts w:ascii="Calibri" w:hAnsi="Calibri"/>
          <w:bCs/>
          <w:lang w:val="en-ZA"/>
        </w:rPr>
        <w:t>is used as collateral  for loans</w:t>
      </w:r>
      <w:r w:rsidR="003234DB">
        <w:rPr>
          <w:rFonts w:ascii="Calibri" w:hAnsi="Calibri"/>
          <w:bCs/>
          <w:lang w:val="en-ZA"/>
        </w:rPr>
        <w:t xml:space="preserve"> </w:t>
      </w:r>
    </w:p>
    <w:p w:rsidR="007D4DEA" w:rsidRPr="0051553F" w:rsidRDefault="007D4DEA" w:rsidP="007D4DEA">
      <w:pPr>
        <w:pStyle w:val="ListParagraph"/>
        <w:ind w:left="792"/>
        <w:rPr>
          <w:rFonts w:ascii="Calibri" w:hAnsi="Calibri"/>
          <w:b/>
          <w:bCs/>
          <w:lang w:val="en-ZA"/>
        </w:rPr>
      </w:pPr>
    </w:p>
    <w:p w:rsidR="00B27884" w:rsidRPr="0051553F" w:rsidRDefault="00AE73AE" w:rsidP="00971628">
      <w:pPr>
        <w:pStyle w:val="ListParagraph"/>
        <w:numPr>
          <w:ilvl w:val="0"/>
          <w:numId w:val="27"/>
        </w:numPr>
        <w:rPr>
          <w:rFonts w:ascii="Calibri" w:hAnsi="Calibri"/>
          <w:b/>
          <w:bCs/>
          <w:lang w:val="en-ZA"/>
        </w:rPr>
      </w:pPr>
      <w:r w:rsidRPr="0051553F">
        <w:rPr>
          <w:rFonts w:ascii="Calibri" w:hAnsi="Calibri"/>
          <w:b/>
          <w:bCs/>
          <w:lang w:val="en-ZA"/>
        </w:rPr>
        <w:t>DEBT INTERVENTION APPLICATI</w:t>
      </w:r>
      <w:r w:rsidR="0022728C" w:rsidRPr="0051553F">
        <w:rPr>
          <w:rFonts w:ascii="Calibri" w:hAnsi="Calibri"/>
          <w:b/>
          <w:bCs/>
          <w:lang w:val="en-ZA"/>
        </w:rPr>
        <w:t xml:space="preserve">ON CRITERIA Section 88A </w:t>
      </w:r>
      <w:r w:rsidR="003B2A33">
        <w:rPr>
          <w:rFonts w:ascii="Calibri" w:hAnsi="Calibri"/>
          <w:b/>
          <w:bCs/>
          <w:lang w:val="en-ZA"/>
        </w:rPr>
        <w:br/>
      </w:r>
    </w:p>
    <w:p w:rsidR="00B27884" w:rsidRPr="0051553F" w:rsidRDefault="00AE73AE" w:rsidP="00971628">
      <w:pPr>
        <w:pStyle w:val="ListParagraph"/>
        <w:numPr>
          <w:ilvl w:val="1"/>
          <w:numId w:val="27"/>
        </w:numPr>
        <w:rPr>
          <w:rFonts w:ascii="Calibri" w:hAnsi="Calibri"/>
          <w:b/>
          <w:bCs/>
          <w:lang w:val="en-ZA"/>
        </w:rPr>
      </w:pPr>
      <w:r w:rsidRPr="0051553F">
        <w:rPr>
          <w:rFonts w:ascii="Calibri" w:hAnsi="Calibri"/>
          <w:bCs/>
          <w:lang w:val="en-ZA"/>
        </w:rPr>
        <w:t>We we</w:t>
      </w:r>
      <w:r w:rsidR="0022728C" w:rsidRPr="0051553F">
        <w:rPr>
          <w:rFonts w:ascii="Calibri" w:hAnsi="Calibri"/>
          <w:bCs/>
          <w:lang w:val="en-ZA"/>
        </w:rPr>
        <w:t>lcome the threshold of R7</w:t>
      </w:r>
      <w:r w:rsidR="003B2A33" w:rsidRPr="0051553F">
        <w:rPr>
          <w:rFonts w:ascii="Calibri" w:hAnsi="Calibri"/>
          <w:bCs/>
          <w:lang w:val="en-ZA"/>
        </w:rPr>
        <w:t>, 500</w:t>
      </w:r>
      <w:r w:rsidRPr="0051553F">
        <w:rPr>
          <w:rFonts w:ascii="Calibri" w:hAnsi="Calibri"/>
          <w:bCs/>
          <w:lang w:val="en-ZA"/>
        </w:rPr>
        <w:t xml:space="preserve"> for debt intervention as this will cover many social grant recipients</w:t>
      </w:r>
      <w:r w:rsidR="0022728C" w:rsidRPr="0051553F">
        <w:rPr>
          <w:rFonts w:ascii="Calibri" w:hAnsi="Calibri"/>
          <w:bCs/>
        </w:rPr>
        <w:t>.</w:t>
      </w:r>
      <w:r w:rsidR="003B2A33">
        <w:rPr>
          <w:rFonts w:ascii="Calibri" w:hAnsi="Calibri"/>
          <w:bCs/>
        </w:rPr>
        <w:br/>
      </w:r>
    </w:p>
    <w:p w:rsidR="00B27884" w:rsidRPr="0051553F" w:rsidRDefault="00AE73AE" w:rsidP="00971628">
      <w:pPr>
        <w:pStyle w:val="ListParagraph"/>
        <w:numPr>
          <w:ilvl w:val="1"/>
          <w:numId w:val="27"/>
        </w:numPr>
        <w:rPr>
          <w:rFonts w:ascii="Calibri" w:hAnsi="Calibri"/>
          <w:b/>
          <w:bCs/>
          <w:lang w:val="en-ZA"/>
        </w:rPr>
      </w:pPr>
      <w:r w:rsidRPr="0051553F">
        <w:rPr>
          <w:rFonts w:ascii="Calibri" w:hAnsi="Calibri"/>
          <w:bCs/>
          <w:lang w:val="en-ZA"/>
        </w:rPr>
        <w:t>Under Section 88A (1</w:t>
      </w:r>
      <w:r w:rsidR="003B2A33" w:rsidRPr="0051553F">
        <w:rPr>
          <w:rFonts w:ascii="Calibri" w:hAnsi="Calibri"/>
          <w:bCs/>
          <w:lang w:val="en-ZA"/>
        </w:rPr>
        <w:t>) (</w:t>
      </w:r>
      <w:r w:rsidRPr="0051553F">
        <w:rPr>
          <w:rFonts w:ascii="Calibri" w:hAnsi="Calibri"/>
          <w:bCs/>
          <w:lang w:val="en-ZA"/>
        </w:rPr>
        <w:t xml:space="preserve">b) realisable assets </w:t>
      </w:r>
      <w:r w:rsidR="003D0F93">
        <w:rPr>
          <w:rFonts w:ascii="Calibri" w:hAnsi="Calibri"/>
          <w:bCs/>
          <w:lang w:val="en-ZA"/>
        </w:rPr>
        <w:t>are</w:t>
      </w:r>
      <w:r w:rsidRPr="0051553F">
        <w:rPr>
          <w:rFonts w:ascii="Calibri" w:hAnsi="Calibri"/>
          <w:bCs/>
          <w:lang w:val="en-ZA"/>
        </w:rPr>
        <w:t xml:space="preserve"> too low and </w:t>
      </w:r>
      <w:r w:rsidR="003B2A33" w:rsidRPr="0051553F">
        <w:rPr>
          <w:rFonts w:ascii="Calibri" w:hAnsi="Calibri"/>
          <w:bCs/>
          <w:lang w:val="en-ZA"/>
        </w:rPr>
        <w:t>the amount</w:t>
      </w:r>
      <w:r w:rsidRPr="0051553F">
        <w:rPr>
          <w:rFonts w:ascii="Calibri" w:hAnsi="Calibri"/>
          <w:bCs/>
          <w:lang w:val="en-ZA"/>
        </w:rPr>
        <w:t xml:space="preserve"> should be increased to R25, 000. Basic household assets </w:t>
      </w:r>
      <w:r w:rsidR="00217647" w:rsidRPr="0051553F">
        <w:rPr>
          <w:rFonts w:ascii="Calibri" w:hAnsi="Calibri"/>
          <w:bCs/>
          <w:lang w:val="en-ZA"/>
        </w:rPr>
        <w:t xml:space="preserve">often exceed the </w:t>
      </w:r>
      <w:r w:rsidR="0022728C" w:rsidRPr="0051553F">
        <w:rPr>
          <w:rFonts w:ascii="Calibri" w:hAnsi="Calibri"/>
          <w:bCs/>
          <w:lang w:val="en-ZA"/>
        </w:rPr>
        <w:t>R10, 000 limit</w:t>
      </w:r>
      <w:r w:rsidR="009657EA" w:rsidRPr="0051553F">
        <w:rPr>
          <w:rFonts w:ascii="Calibri" w:hAnsi="Calibri"/>
          <w:bCs/>
          <w:lang w:val="en-ZA"/>
        </w:rPr>
        <w:t>.</w:t>
      </w:r>
      <w:r w:rsidR="003B2A33">
        <w:rPr>
          <w:rFonts w:ascii="Calibri" w:hAnsi="Calibri"/>
          <w:bCs/>
          <w:lang w:val="en-ZA"/>
        </w:rPr>
        <w:br/>
      </w:r>
    </w:p>
    <w:p w:rsidR="00B27884" w:rsidRPr="0051553F" w:rsidRDefault="00AE73AE" w:rsidP="00971628">
      <w:pPr>
        <w:pStyle w:val="ListParagraph"/>
        <w:numPr>
          <w:ilvl w:val="1"/>
          <w:numId w:val="27"/>
        </w:numPr>
        <w:rPr>
          <w:rFonts w:ascii="Calibri" w:hAnsi="Calibri"/>
          <w:b/>
          <w:bCs/>
          <w:lang w:val="en-ZA"/>
        </w:rPr>
      </w:pPr>
      <w:r w:rsidRPr="0051553F">
        <w:rPr>
          <w:rFonts w:ascii="Calibri" w:hAnsi="Calibri"/>
          <w:bCs/>
          <w:lang w:val="en-ZA"/>
        </w:rPr>
        <w:t>Insert</w:t>
      </w:r>
      <w:r w:rsidRPr="0051553F">
        <w:rPr>
          <w:rFonts w:ascii="Calibri" w:hAnsi="Calibri"/>
          <w:bCs/>
        </w:rPr>
        <w:t xml:space="preserve"> under reali</w:t>
      </w:r>
      <w:r w:rsidR="003D0F93">
        <w:rPr>
          <w:rFonts w:ascii="Calibri" w:hAnsi="Calibri"/>
          <w:bCs/>
        </w:rPr>
        <w:t>s</w:t>
      </w:r>
      <w:r w:rsidRPr="0051553F">
        <w:rPr>
          <w:rFonts w:ascii="Calibri" w:hAnsi="Calibri"/>
          <w:bCs/>
        </w:rPr>
        <w:t>able assets (b)”but does not include”… a RDP house or property provided by governme</w:t>
      </w:r>
      <w:r w:rsidR="009657EA" w:rsidRPr="0051553F">
        <w:rPr>
          <w:rFonts w:ascii="Calibri" w:hAnsi="Calibri"/>
          <w:bCs/>
        </w:rPr>
        <w:t xml:space="preserve">nt. The elderly, the disabled, </w:t>
      </w:r>
      <w:r w:rsidRPr="0051553F">
        <w:rPr>
          <w:rFonts w:ascii="Calibri" w:hAnsi="Calibri"/>
          <w:bCs/>
        </w:rPr>
        <w:t>women and children need the protection of a secure home</w:t>
      </w:r>
      <w:r w:rsidR="003B2A33">
        <w:rPr>
          <w:rFonts w:ascii="Calibri" w:hAnsi="Calibri"/>
          <w:bCs/>
        </w:rPr>
        <w:t>.</w:t>
      </w:r>
      <w:r w:rsidR="003B2A33">
        <w:rPr>
          <w:rFonts w:ascii="Calibri" w:hAnsi="Calibri"/>
          <w:bCs/>
        </w:rPr>
        <w:br/>
      </w:r>
    </w:p>
    <w:p w:rsidR="003B2A33" w:rsidRDefault="00AE73AE" w:rsidP="00971628">
      <w:pPr>
        <w:pStyle w:val="ListParagraph"/>
        <w:numPr>
          <w:ilvl w:val="1"/>
          <w:numId w:val="27"/>
        </w:numPr>
        <w:rPr>
          <w:rFonts w:ascii="Calibri" w:hAnsi="Calibri"/>
          <w:bCs/>
          <w:lang w:val="en-ZA"/>
        </w:rPr>
      </w:pPr>
      <w:r w:rsidRPr="0051553F">
        <w:rPr>
          <w:rFonts w:ascii="Calibri" w:hAnsi="Calibri"/>
          <w:bCs/>
          <w:lang w:val="en-ZA"/>
        </w:rPr>
        <w:t>Section 88A (2) makes provision for one application for debt intervention. We are of the view that this should be amended to at least two, given that small crises increase the vulnerability of the very poor</w:t>
      </w:r>
      <w:r w:rsidR="00E43794" w:rsidRPr="0051553F">
        <w:rPr>
          <w:rFonts w:ascii="Calibri" w:hAnsi="Calibri"/>
          <w:bCs/>
          <w:lang w:val="en-ZA"/>
        </w:rPr>
        <w:t>.</w:t>
      </w:r>
    </w:p>
    <w:p w:rsidR="00AE73AE" w:rsidRPr="003B2A33" w:rsidRDefault="003B2A33" w:rsidP="003B2A33">
      <w:pPr>
        <w:rPr>
          <w:rFonts w:ascii="Calibri" w:hAnsi="Calibri"/>
          <w:bCs/>
          <w:lang w:val="en-ZA"/>
        </w:rPr>
      </w:pPr>
      <w:r>
        <w:rPr>
          <w:rFonts w:ascii="Calibri" w:hAnsi="Calibri"/>
          <w:bCs/>
          <w:lang w:val="en-ZA"/>
        </w:rPr>
        <w:br w:type="page"/>
      </w:r>
    </w:p>
    <w:p w:rsidR="00B27884" w:rsidRPr="0051553F" w:rsidRDefault="00AE73AE" w:rsidP="00971628">
      <w:pPr>
        <w:pStyle w:val="ListParagraph"/>
        <w:numPr>
          <w:ilvl w:val="0"/>
          <w:numId w:val="27"/>
        </w:numPr>
        <w:rPr>
          <w:rFonts w:ascii="Calibri" w:hAnsi="Calibri"/>
          <w:b/>
          <w:bCs/>
        </w:rPr>
      </w:pPr>
      <w:r w:rsidRPr="0051553F">
        <w:rPr>
          <w:rFonts w:ascii="Calibri" w:hAnsi="Calibri"/>
          <w:b/>
          <w:bCs/>
        </w:rPr>
        <w:lastRenderedPageBreak/>
        <w:t>EVALUATION OF APPLICATION FOR DEBT INTERVENTION Section 88B p.16</w:t>
      </w:r>
      <w:r w:rsidR="003B2A33">
        <w:rPr>
          <w:rFonts w:ascii="Calibri" w:hAnsi="Calibri"/>
          <w:b/>
          <w:bCs/>
        </w:rPr>
        <w:br/>
      </w:r>
    </w:p>
    <w:p w:rsidR="00B27884" w:rsidRPr="0051553F" w:rsidRDefault="00217647" w:rsidP="00971628">
      <w:pPr>
        <w:pStyle w:val="ListParagraph"/>
        <w:numPr>
          <w:ilvl w:val="1"/>
          <w:numId w:val="27"/>
        </w:numPr>
        <w:rPr>
          <w:rFonts w:ascii="Calibri" w:hAnsi="Calibri"/>
          <w:b/>
          <w:bCs/>
        </w:rPr>
      </w:pPr>
      <w:r w:rsidRPr="0051553F">
        <w:rPr>
          <w:rFonts w:ascii="Calibri" w:hAnsi="Calibri"/>
          <w:bCs/>
        </w:rPr>
        <w:t>T</w:t>
      </w:r>
      <w:r w:rsidR="00AE73AE" w:rsidRPr="0051553F">
        <w:rPr>
          <w:rFonts w:ascii="Calibri" w:hAnsi="Calibri"/>
          <w:bCs/>
        </w:rPr>
        <w:t>he prescribed forms and procedure must be user friendly and easy to understand with cle</w:t>
      </w:r>
      <w:r w:rsidRPr="0051553F">
        <w:rPr>
          <w:rFonts w:ascii="Calibri" w:hAnsi="Calibri"/>
          <w:bCs/>
        </w:rPr>
        <w:t>ar guidelines and a step-by-step process</w:t>
      </w:r>
      <w:r w:rsidR="009657EA" w:rsidRPr="0051553F">
        <w:rPr>
          <w:rFonts w:ascii="Calibri" w:hAnsi="Calibri"/>
          <w:bCs/>
        </w:rPr>
        <w:t xml:space="preserve">. </w:t>
      </w:r>
      <w:r w:rsidR="003B2A33">
        <w:rPr>
          <w:rFonts w:ascii="Calibri" w:hAnsi="Calibri"/>
          <w:bCs/>
        </w:rPr>
        <w:br/>
      </w:r>
    </w:p>
    <w:p w:rsidR="00B27884" w:rsidRPr="0051553F" w:rsidRDefault="00AE73AE" w:rsidP="00971628">
      <w:pPr>
        <w:pStyle w:val="ListParagraph"/>
        <w:numPr>
          <w:ilvl w:val="1"/>
          <w:numId w:val="27"/>
        </w:numPr>
        <w:rPr>
          <w:rFonts w:ascii="Calibri" w:hAnsi="Calibri"/>
          <w:b/>
          <w:bCs/>
        </w:rPr>
      </w:pPr>
      <w:r w:rsidRPr="0051553F">
        <w:rPr>
          <w:rFonts w:ascii="Calibri" w:hAnsi="Calibri"/>
          <w:bCs/>
        </w:rPr>
        <w:t>The current application procedure excludes the option to appeal a negative outcome. We think this is an important st</w:t>
      </w:r>
      <w:r w:rsidR="003D0F93">
        <w:rPr>
          <w:rFonts w:ascii="Calibri" w:hAnsi="Calibri"/>
          <w:bCs/>
        </w:rPr>
        <w:t>ep to insert so that applicants may have a right to recourse.</w:t>
      </w:r>
      <w:r w:rsidR="003B2A33">
        <w:rPr>
          <w:rFonts w:ascii="Calibri" w:hAnsi="Calibri"/>
          <w:bCs/>
        </w:rPr>
        <w:br/>
      </w:r>
    </w:p>
    <w:p w:rsidR="00AE73AE" w:rsidRPr="007D4DEA" w:rsidRDefault="00AE73AE" w:rsidP="00971628">
      <w:pPr>
        <w:pStyle w:val="ListParagraph"/>
        <w:numPr>
          <w:ilvl w:val="1"/>
          <w:numId w:val="27"/>
        </w:numPr>
        <w:rPr>
          <w:rFonts w:ascii="Calibri" w:hAnsi="Calibri"/>
          <w:b/>
          <w:bCs/>
        </w:rPr>
      </w:pPr>
      <w:r w:rsidRPr="0051553F">
        <w:rPr>
          <w:rFonts w:ascii="Calibri" w:hAnsi="Calibri"/>
          <w:bCs/>
        </w:rPr>
        <w:t>The amendments which allow fo</w:t>
      </w:r>
      <w:r w:rsidR="009657EA" w:rsidRPr="0051553F">
        <w:rPr>
          <w:rFonts w:ascii="Calibri" w:hAnsi="Calibri"/>
          <w:bCs/>
        </w:rPr>
        <w:t>r debt counseling under Section</w:t>
      </w:r>
      <w:r w:rsidRPr="0051553F">
        <w:rPr>
          <w:rFonts w:ascii="Calibri" w:hAnsi="Calibri"/>
          <w:bCs/>
        </w:rPr>
        <w:t xml:space="preserve"> 88B (4)(b)</w:t>
      </w:r>
      <w:r w:rsidRPr="0051553F">
        <w:rPr>
          <w:rFonts w:ascii="Calibri" w:hAnsi="Calibri"/>
          <w:bCs/>
          <w:lang w:val="en-ZA"/>
        </w:rPr>
        <w:t>, orders for financial literacy or budgeting skills programmes under Section 88C (5)(d)must be free</w:t>
      </w:r>
      <w:r w:rsidR="003B2A33">
        <w:rPr>
          <w:rFonts w:ascii="Calibri" w:hAnsi="Calibri"/>
          <w:bCs/>
          <w:lang w:val="en-ZA"/>
        </w:rPr>
        <w:t>.</w:t>
      </w:r>
    </w:p>
    <w:p w:rsidR="007D4DEA" w:rsidRPr="0051553F" w:rsidRDefault="007D4DEA" w:rsidP="007D4DEA">
      <w:pPr>
        <w:pStyle w:val="ListParagraph"/>
        <w:ind w:left="792"/>
        <w:rPr>
          <w:rFonts w:ascii="Calibri" w:hAnsi="Calibri"/>
          <w:b/>
          <w:bCs/>
        </w:rPr>
      </w:pPr>
    </w:p>
    <w:p w:rsidR="00B27884" w:rsidRPr="0051553F" w:rsidRDefault="00AE73AE" w:rsidP="00971628">
      <w:pPr>
        <w:pStyle w:val="ListParagraph"/>
        <w:numPr>
          <w:ilvl w:val="0"/>
          <w:numId w:val="27"/>
        </w:numPr>
        <w:rPr>
          <w:rFonts w:ascii="Calibri" w:hAnsi="Calibri"/>
          <w:b/>
          <w:bCs/>
        </w:rPr>
      </w:pPr>
      <w:r w:rsidRPr="0051553F">
        <w:rPr>
          <w:rFonts w:ascii="Calibri" w:hAnsi="Calibri"/>
          <w:b/>
          <w:bCs/>
        </w:rPr>
        <w:t>LIMITING CONDITIONS TO APPLY FOR INTERVENTION Section 88A (2)</w:t>
      </w:r>
      <w:r w:rsidR="003B2A33">
        <w:rPr>
          <w:rFonts w:ascii="Calibri" w:hAnsi="Calibri"/>
          <w:b/>
          <w:bCs/>
        </w:rPr>
        <w:br/>
      </w:r>
    </w:p>
    <w:p w:rsidR="00B27884" w:rsidRPr="0051553F" w:rsidRDefault="00AE73AE" w:rsidP="00971628">
      <w:pPr>
        <w:pStyle w:val="ListParagraph"/>
        <w:numPr>
          <w:ilvl w:val="1"/>
          <w:numId w:val="27"/>
        </w:numPr>
        <w:rPr>
          <w:rFonts w:ascii="Calibri" w:hAnsi="Calibri"/>
          <w:b/>
          <w:bCs/>
        </w:rPr>
      </w:pPr>
      <w:r w:rsidRPr="0051553F">
        <w:rPr>
          <w:rFonts w:ascii="Calibri" w:hAnsi="Calibri"/>
          <w:bCs/>
        </w:rPr>
        <w:t>Section 88A (2) limits the amount of unsecured de</w:t>
      </w:r>
      <w:r w:rsidR="00034DDB" w:rsidRPr="0051553F">
        <w:rPr>
          <w:rFonts w:ascii="Calibri" w:hAnsi="Calibri"/>
          <w:bCs/>
        </w:rPr>
        <w:t>bt to R50,000 and (3)</w:t>
      </w:r>
      <w:r w:rsidR="00E43794" w:rsidRPr="0051553F">
        <w:rPr>
          <w:rFonts w:ascii="Calibri" w:hAnsi="Calibri"/>
          <w:bCs/>
        </w:rPr>
        <w:t xml:space="preserve">(a) </w:t>
      </w:r>
      <w:r w:rsidRPr="0051553F">
        <w:rPr>
          <w:rFonts w:ascii="Calibri" w:hAnsi="Calibri"/>
          <w:bCs/>
        </w:rPr>
        <w:t>sets out which types of unsecured debt do NOT qualify for debt intervention</w:t>
      </w:r>
      <w:r w:rsidR="003B2A33">
        <w:rPr>
          <w:rFonts w:ascii="Calibri" w:hAnsi="Calibri"/>
          <w:bCs/>
        </w:rPr>
        <w:t>.</w:t>
      </w:r>
      <w:r w:rsidR="003B2A33">
        <w:rPr>
          <w:rFonts w:ascii="Calibri" w:hAnsi="Calibri"/>
          <w:bCs/>
        </w:rPr>
        <w:br/>
      </w:r>
    </w:p>
    <w:p w:rsidR="00B27884" w:rsidRPr="0051553F" w:rsidRDefault="00AE73AE" w:rsidP="00971628">
      <w:pPr>
        <w:pStyle w:val="ListParagraph"/>
        <w:numPr>
          <w:ilvl w:val="1"/>
          <w:numId w:val="27"/>
        </w:numPr>
        <w:rPr>
          <w:rFonts w:ascii="Calibri" w:hAnsi="Calibri"/>
          <w:b/>
          <w:bCs/>
        </w:rPr>
      </w:pPr>
      <w:r w:rsidRPr="0051553F">
        <w:rPr>
          <w:rFonts w:ascii="Calibri" w:hAnsi="Calibri"/>
          <w:bCs/>
        </w:rPr>
        <w:t xml:space="preserve">When children </w:t>
      </w:r>
      <w:r w:rsidR="003D0F93">
        <w:rPr>
          <w:rFonts w:ascii="Calibri" w:hAnsi="Calibri"/>
          <w:bCs/>
        </w:rPr>
        <w:t>reach</w:t>
      </w:r>
      <w:r w:rsidRPr="0051553F">
        <w:rPr>
          <w:rFonts w:ascii="Calibri" w:hAnsi="Calibri"/>
          <w:bCs/>
        </w:rPr>
        <w:t xml:space="preserve"> 18 years</w:t>
      </w:r>
      <w:r w:rsidR="003D0F93">
        <w:rPr>
          <w:rFonts w:ascii="Calibri" w:hAnsi="Calibri"/>
          <w:bCs/>
        </w:rPr>
        <w:t xml:space="preserve"> of age, </w:t>
      </w:r>
      <w:r w:rsidR="003D0F93" w:rsidRPr="0051553F">
        <w:rPr>
          <w:rFonts w:ascii="Calibri" w:hAnsi="Calibri"/>
          <w:bCs/>
        </w:rPr>
        <w:t>they</w:t>
      </w:r>
      <w:r w:rsidRPr="0051553F">
        <w:rPr>
          <w:rFonts w:ascii="Calibri" w:hAnsi="Calibri"/>
          <w:bCs/>
        </w:rPr>
        <w:t xml:space="preserve"> no longer qualify for the Child Support Grant (CSG) – they are compliantly reliant on bursaries and loans to fund their tertiary education including accommodation and food. The likelihood of securing employment immediately after completing their studies is highly unlikely given the current economic situation.</w:t>
      </w:r>
      <w:r w:rsidR="003B2A33">
        <w:rPr>
          <w:rFonts w:ascii="Calibri" w:hAnsi="Calibri"/>
          <w:bCs/>
        </w:rPr>
        <w:br/>
      </w:r>
    </w:p>
    <w:p w:rsidR="00034DDB" w:rsidRPr="007D4DEA" w:rsidRDefault="00AE73AE" w:rsidP="00971628">
      <w:pPr>
        <w:pStyle w:val="ListParagraph"/>
        <w:numPr>
          <w:ilvl w:val="1"/>
          <w:numId w:val="27"/>
        </w:numPr>
        <w:rPr>
          <w:rFonts w:ascii="Calibri" w:hAnsi="Calibri"/>
          <w:b/>
          <w:bCs/>
        </w:rPr>
      </w:pPr>
      <w:r w:rsidRPr="0051553F">
        <w:rPr>
          <w:rFonts w:ascii="Calibri" w:hAnsi="Calibri"/>
          <w:bCs/>
        </w:rPr>
        <w:t>The limitation should not exclude educational loans under Section 88A (3) (a) as contemplated in section 10 of the NCA. The threshold level for unsecured debt under section 88A (2) should be increased to at least R100, 000 for education.</w:t>
      </w:r>
    </w:p>
    <w:p w:rsidR="007D4DEA" w:rsidRPr="0051553F" w:rsidRDefault="007D4DEA" w:rsidP="007D4DEA">
      <w:pPr>
        <w:pStyle w:val="ListParagraph"/>
        <w:ind w:left="792"/>
        <w:rPr>
          <w:rFonts w:ascii="Calibri" w:hAnsi="Calibri"/>
          <w:b/>
          <w:bCs/>
        </w:rPr>
      </w:pPr>
    </w:p>
    <w:p w:rsidR="003B2A33" w:rsidRDefault="00AE73AE" w:rsidP="003B2A33">
      <w:pPr>
        <w:pStyle w:val="ListParagraph"/>
        <w:numPr>
          <w:ilvl w:val="0"/>
          <w:numId w:val="27"/>
        </w:numPr>
        <w:rPr>
          <w:rFonts w:ascii="Calibri" w:hAnsi="Calibri"/>
          <w:b/>
          <w:bCs/>
          <w:lang w:val="en-ZA"/>
        </w:rPr>
      </w:pPr>
      <w:r w:rsidRPr="0051553F">
        <w:rPr>
          <w:rFonts w:ascii="Calibri" w:hAnsi="Calibri"/>
          <w:b/>
          <w:bCs/>
          <w:lang w:val="en-ZA"/>
        </w:rPr>
        <w:t>ORDERS RELATING TO DEBT INTERVENTION Section 88C pg18</w:t>
      </w:r>
      <w:r w:rsidR="003B2A33">
        <w:rPr>
          <w:rFonts w:ascii="Calibri" w:hAnsi="Calibri"/>
          <w:b/>
          <w:bCs/>
          <w:lang w:val="en-ZA"/>
        </w:rPr>
        <w:br/>
      </w:r>
    </w:p>
    <w:p w:rsidR="003B2A33" w:rsidRDefault="003B2A33" w:rsidP="003B2A33">
      <w:pPr>
        <w:pStyle w:val="ListParagraph"/>
        <w:ind w:left="360"/>
        <w:rPr>
          <w:rFonts w:ascii="Calibri" w:hAnsi="Calibri"/>
          <w:bCs/>
          <w:lang w:val="en-ZA"/>
        </w:rPr>
      </w:pPr>
      <w:r>
        <w:rPr>
          <w:rFonts w:ascii="Calibri" w:hAnsi="Calibri"/>
          <w:b/>
          <w:bCs/>
          <w:lang w:val="en-ZA"/>
        </w:rPr>
        <w:t xml:space="preserve">10.1 </w:t>
      </w:r>
      <w:r w:rsidRPr="003B2A33">
        <w:rPr>
          <w:rFonts w:ascii="Calibri" w:hAnsi="Calibri"/>
          <w:bCs/>
          <w:lang w:val="en-ZA"/>
        </w:rPr>
        <w:t>W</w:t>
      </w:r>
      <w:r w:rsidR="00AE73AE" w:rsidRPr="003B2A33">
        <w:rPr>
          <w:rFonts w:ascii="Calibri" w:hAnsi="Calibri"/>
          <w:bCs/>
          <w:lang w:val="en-ZA"/>
        </w:rPr>
        <w:t xml:space="preserve">e commend you on the simplicity of having a single member consider the </w:t>
      </w:r>
    </w:p>
    <w:p w:rsidR="003B2A33" w:rsidRDefault="003B2A33" w:rsidP="003B2A33">
      <w:pPr>
        <w:pStyle w:val="ListParagraph"/>
        <w:ind w:left="360"/>
        <w:rPr>
          <w:rFonts w:ascii="Calibri" w:hAnsi="Calibri"/>
          <w:bCs/>
        </w:rPr>
      </w:pPr>
      <w:r>
        <w:rPr>
          <w:rFonts w:ascii="Calibri" w:hAnsi="Calibri"/>
          <w:bCs/>
          <w:lang w:val="en-ZA"/>
        </w:rPr>
        <w:tab/>
      </w:r>
      <w:r w:rsidR="00AE73AE" w:rsidRPr="003B2A33">
        <w:rPr>
          <w:rFonts w:ascii="Calibri" w:hAnsi="Calibri"/>
          <w:bCs/>
          <w:lang w:val="en-ZA"/>
        </w:rPr>
        <w:t xml:space="preserve">application for the sake of accessibility and expediency. However, bias and </w:t>
      </w:r>
      <w:r w:rsidRPr="003B2A33">
        <w:rPr>
          <w:rFonts w:ascii="Calibri" w:hAnsi="Calibri"/>
          <w:bCs/>
          <w:lang w:val="en-ZA"/>
        </w:rPr>
        <w:t>partiality of</w:t>
      </w:r>
      <w:r w:rsidR="00AE73AE" w:rsidRPr="003B2A33">
        <w:rPr>
          <w:rFonts w:ascii="Calibri" w:hAnsi="Calibri"/>
          <w:bCs/>
          <w:lang w:val="en-ZA"/>
        </w:rPr>
        <w:t xml:space="preserve"> </w:t>
      </w:r>
      <w:r>
        <w:rPr>
          <w:rFonts w:ascii="Calibri" w:hAnsi="Calibri"/>
          <w:bCs/>
          <w:lang w:val="en-ZA"/>
        </w:rPr>
        <w:tab/>
      </w:r>
      <w:r w:rsidR="00AE73AE" w:rsidRPr="003B2A33">
        <w:rPr>
          <w:rFonts w:ascii="Calibri" w:hAnsi="Calibri"/>
          <w:bCs/>
          <w:lang w:val="en-ZA"/>
        </w:rPr>
        <w:t xml:space="preserve">a single member may result in negative income and must allow for a right of review and </w:t>
      </w:r>
      <w:r>
        <w:rPr>
          <w:rFonts w:ascii="Calibri" w:hAnsi="Calibri"/>
          <w:bCs/>
          <w:lang w:val="en-ZA"/>
        </w:rPr>
        <w:tab/>
      </w:r>
      <w:r w:rsidR="00AE73AE" w:rsidRPr="003B2A33">
        <w:rPr>
          <w:rFonts w:ascii="Calibri" w:hAnsi="Calibri"/>
          <w:bCs/>
          <w:lang w:val="en-ZA"/>
        </w:rPr>
        <w:t>appeal process</w:t>
      </w:r>
      <w:r w:rsidR="00691E59" w:rsidRPr="003B2A33">
        <w:rPr>
          <w:rFonts w:ascii="Calibri" w:hAnsi="Calibri"/>
          <w:bCs/>
        </w:rPr>
        <w:t xml:space="preserve">. </w:t>
      </w:r>
      <w:r w:rsidR="00AE73AE" w:rsidRPr="003B2A33">
        <w:rPr>
          <w:rFonts w:ascii="Calibri" w:hAnsi="Calibri"/>
          <w:bCs/>
          <w:lang w:val="en-ZA"/>
        </w:rPr>
        <w:t xml:space="preserve">Section 88C p.18 (4) p.20 making provision for </w:t>
      </w:r>
      <w:r w:rsidRPr="003B2A33">
        <w:rPr>
          <w:rFonts w:ascii="Calibri" w:hAnsi="Calibri"/>
          <w:bCs/>
          <w:lang w:val="en-ZA"/>
        </w:rPr>
        <w:t>the extinguishment</w:t>
      </w:r>
      <w:r w:rsidR="00AE73AE" w:rsidRPr="003B2A33">
        <w:rPr>
          <w:rFonts w:ascii="Calibri" w:hAnsi="Calibri"/>
          <w:bCs/>
          <w:lang w:val="en-ZA"/>
        </w:rPr>
        <w:t xml:space="preserve"> of </w:t>
      </w:r>
      <w:r>
        <w:rPr>
          <w:rFonts w:ascii="Calibri" w:hAnsi="Calibri"/>
          <w:bCs/>
          <w:lang w:val="en-ZA"/>
        </w:rPr>
        <w:tab/>
      </w:r>
      <w:r w:rsidR="00AE73AE" w:rsidRPr="003B2A33">
        <w:rPr>
          <w:rFonts w:ascii="Calibri" w:hAnsi="Calibri"/>
          <w:bCs/>
          <w:lang w:val="en-ZA"/>
        </w:rPr>
        <w:t xml:space="preserve">the </w:t>
      </w:r>
      <w:r w:rsidRPr="003B2A33">
        <w:rPr>
          <w:rFonts w:ascii="Calibri" w:hAnsi="Calibri"/>
          <w:bCs/>
          <w:lang w:val="en-ZA"/>
        </w:rPr>
        <w:t>debt is</w:t>
      </w:r>
      <w:r w:rsidR="00AE73AE" w:rsidRPr="003B2A33">
        <w:rPr>
          <w:rFonts w:ascii="Calibri" w:hAnsi="Calibri"/>
          <w:bCs/>
          <w:lang w:val="en-ZA"/>
        </w:rPr>
        <w:t xml:space="preserve"> commendable</w:t>
      </w:r>
      <w:r>
        <w:rPr>
          <w:rFonts w:ascii="Calibri" w:hAnsi="Calibri"/>
          <w:bCs/>
          <w:lang w:val="en-ZA"/>
        </w:rPr>
        <w:t>.</w:t>
      </w:r>
      <w:r>
        <w:rPr>
          <w:rFonts w:ascii="Calibri" w:hAnsi="Calibri"/>
          <w:bCs/>
          <w:lang w:val="en-ZA"/>
        </w:rPr>
        <w:br/>
      </w:r>
      <w:r>
        <w:rPr>
          <w:rFonts w:ascii="Calibri" w:hAnsi="Calibri"/>
          <w:bCs/>
          <w:lang w:val="en-ZA"/>
        </w:rPr>
        <w:br/>
      </w:r>
      <w:r>
        <w:rPr>
          <w:rFonts w:ascii="Calibri" w:hAnsi="Calibri"/>
          <w:b/>
          <w:bCs/>
          <w:lang w:val="en-ZA"/>
        </w:rPr>
        <w:t xml:space="preserve">10.2 </w:t>
      </w:r>
      <w:r w:rsidR="00AE73AE" w:rsidRPr="000E797C">
        <w:rPr>
          <w:rFonts w:ascii="Calibri" w:hAnsi="Calibri"/>
          <w:bCs/>
        </w:rPr>
        <w:t>Section 88 C (7) p.21</w:t>
      </w:r>
      <w:r w:rsidR="00EB72FA" w:rsidRPr="000E797C">
        <w:rPr>
          <w:rFonts w:ascii="Calibri" w:hAnsi="Calibri"/>
          <w:bCs/>
        </w:rPr>
        <w:t xml:space="preserve">: </w:t>
      </w:r>
      <w:r w:rsidR="00AE73AE" w:rsidRPr="000E797C">
        <w:rPr>
          <w:rFonts w:ascii="Calibri" w:hAnsi="Calibri"/>
          <w:bCs/>
        </w:rPr>
        <w:t>The time period limiting an applicant from applying for credit for</w:t>
      </w:r>
    </w:p>
    <w:p w:rsidR="00AE73AE" w:rsidRPr="007D4DEA" w:rsidRDefault="003B2A33" w:rsidP="003B2A33">
      <w:pPr>
        <w:pStyle w:val="ListParagraph"/>
        <w:ind w:left="360"/>
        <w:rPr>
          <w:rFonts w:ascii="Calibri" w:hAnsi="Calibri"/>
          <w:b/>
          <w:bCs/>
          <w:lang w:val="en-ZA"/>
        </w:rPr>
      </w:pPr>
      <w:r>
        <w:rPr>
          <w:rFonts w:ascii="Calibri" w:hAnsi="Calibri"/>
          <w:bCs/>
        </w:rPr>
        <w:tab/>
      </w:r>
      <w:r w:rsidR="00AE73AE" w:rsidRPr="000E797C">
        <w:rPr>
          <w:rFonts w:ascii="Calibri" w:hAnsi="Calibri"/>
          <w:bCs/>
        </w:rPr>
        <w:t xml:space="preserve"> 36 months should be reduced to 24 months. </w:t>
      </w:r>
    </w:p>
    <w:p w:rsidR="007D4DEA" w:rsidRPr="000E797C" w:rsidRDefault="007D4DEA" w:rsidP="007D4DEA">
      <w:pPr>
        <w:pStyle w:val="ListParagraph"/>
        <w:ind w:left="792"/>
        <w:rPr>
          <w:rFonts w:ascii="Calibri" w:hAnsi="Calibri"/>
          <w:b/>
          <w:bCs/>
          <w:lang w:val="en-ZA"/>
        </w:rPr>
      </w:pPr>
    </w:p>
    <w:p w:rsidR="00B27884" w:rsidRPr="0051553F" w:rsidRDefault="00AE73AE" w:rsidP="00971628">
      <w:pPr>
        <w:pStyle w:val="ListParagraph"/>
        <w:numPr>
          <w:ilvl w:val="0"/>
          <w:numId w:val="27"/>
        </w:numPr>
        <w:rPr>
          <w:rFonts w:ascii="Calibri" w:hAnsi="Calibri"/>
          <w:b/>
          <w:bCs/>
        </w:rPr>
      </w:pPr>
      <w:r w:rsidRPr="0051553F">
        <w:rPr>
          <w:rFonts w:ascii="Calibri" w:hAnsi="Calibri"/>
          <w:b/>
          <w:bCs/>
        </w:rPr>
        <w:t>EFFECT OF DEBT INTERVENTION Section 88D p.21</w:t>
      </w:r>
      <w:r w:rsidR="003B2A33">
        <w:rPr>
          <w:rFonts w:ascii="Calibri" w:hAnsi="Calibri"/>
          <w:b/>
          <w:bCs/>
        </w:rPr>
        <w:br/>
      </w:r>
    </w:p>
    <w:p w:rsidR="003B2A33" w:rsidRDefault="003B2A33" w:rsidP="003B2A33">
      <w:pPr>
        <w:ind w:left="360"/>
        <w:rPr>
          <w:rFonts w:ascii="Calibri" w:hAnsi="Calibri"/>
          <w:bCs/>
        </w:rPr>
      </w:pPr>
      <w:r w:rsidRPr="003B2A33">
        <w:rPr>
          <w:rFonts w:ascii="Calibri" w:hAnsi="Calibri"/>
          <w:b/>
          <w:bCs/>
        </w:rPr>
        <w:t>11.1</w:t>
      </w:r>
      <w:r>
        <w:rPr>
          <w:rFonts w:ascii="Calibri" w:hAnsi="Calibri"/>
          <w:bCs/>
        </w:rPr>
        <w:t xml:space="preserve"> </w:t>
      </w:r>
      <w:r w:rsidR="00AE73AE" w:rsidRPr="003B2A33">
        <w:rPr>
          <w:rFonts w:ascii="Calibri" w:hAnsi="Calibri"/>
          <w:bCs/>
        </w:rPr>
        <w:t xml:space="preserve">The right of the Tribunal to rescind or change an order where the applicant has not </w:t>
      </w:r>
      <w:r>
        <w:rPr>
          <w:rFonts w:ascii="Calibri" w:hAnsi="Calibri"/>
          <w:bCs/>
        </w:rPr>
        <w:tab/>
      </w:r>
      <w:r w:rsidR="00AE73AE" w:rsidRPr="003B2A33">
        <w:rPr>
          <w:rFonts w:ascii="Calibri" w:hAnsi="Calibri"/>
          <w:bCs/>
        </w:rPr>
        <w:t>complied w</w:t>
      </w:r>
      <w:r w:rsidR="00EB72FA" w:rsidRPr="003B2A33">
        <w:rPr>
          <w:rFonts w:ascii="Calibri" w:hAnsi="Calibri"/>
          <w:bCs/>
        </w:rPr>
        <w:t xml:space="preserve">ith the order may only be made </w:t>
      </w:r>
      <w:r w:rsidR="00AE73AE" w:rsidRPr="003B2A33">
        <w:rPr>
          <w:rFonts w:ascii="Calibri" w:hAnsi="Calibri"/>
          <w:bCs/>
        </w:rPr>
        <w:t>after investigating the</w:t>
      </w:r>
      <w:r w:rsidR="00EB72FA" w:rsidRPr="003B2A33">
        <w:rPr>
          <w:rFonts w:ascii="Calibri" w:hAnsi="Calibri"/>
          <w:bCs/>
        </w:rPr>
        <w:t xml:space="preserve"> reasons for </w:t>
      </w:r>
      <w:r>
        <w:rPr>
          <w:rFonts w:ascii="Calibri" w:hAnsi="Calibri"/>
          <w:bCs/>
        </w:rPr>
        <w:tab/>
      </w:r>
      <w:r w:rsidR="00EB72FA" w:rsidRPr="003B2A33">
        <w:rPr>
          <w:rFonts w:ascii="Calibri" w:hAnsi="Calibri"/>
          <w:bCs/>
        </w:rPr>
        <w:t xml:space="preserve">noncompliance- if </w:t>
      </w:r>
      <w:r w:rsidR="00AE73AE" w:rsidRPr="003B2A33">
        <w:rPr>
          <w:rFonts w:ascii="Calibri" w:hAnsi="Calibri"/>
          <w:bCs/>
        </w:rPr>
        <w:t xml:space="preserve">the applicant acted in good faith and circumstances was beyond his </w:t>
      </w:r>
      <w:r>
        <w:rPr>
          <w:rFonts w:ascii="Calibri" w:hAnsi="Calibri"/>
          <w:bCs/>
        </w:rPr>
        <w:lastRenderedPageBreak/>
        <w:tab/>
      </w:r>
      <w:r w:rsidR="00AE73AE" w:rsidRPr="003B2A33">
        <w:rPr>
          <w:rFonts w:ascii="Calibri" w:hAnsi="Calibri"/>
          <w:bCs/>
        </w:rPr>
        <w:t xml:space="preserve">control </w:t>
      </w:r>
      <w:r w:rsidR="00EB72FA" w:rsidRPr="003B2A33">
        <w:rPr>
          <w:rFonts w:ascii="Calibri" w:hAnsi="Calibri"/>
          <w:bCs/>
        </w:rPr>
        <w:t>to comply</w:t>
      </w:r>
      <w:r w:rsidR="00AE73AE" w:rsidRPr="003B2A33">
        <w:rPr>
          <w:rFonts w:ascii="Calibri" w:hAnsi="Calibri"/>
          <w:bCs/>
        </w:rPr>
        <w:t xml:space="preserve"> it should not be rescinded and rather b</w:t>
      </w:r>
      <w:r w:rsidR="00EB72FA" w:rsidRPr="003B2A33">
        <w:rPr>
          <w:rFonts w:ascii="Calibri" w:hAnsi="Calibri"/>
          <w:bCs/>
        </w:rPr>
        <w:t xml:space="preserve">e extended for a further </w:t>
      </w:r>
      <w:r>
        <w:rPr>
          <w:rFonts w:ascii="Calibri" w:hAnsi="Calibri"/>
          <w:bCs/>
        </w:rPr>
        <w:tab/>
      </w:r>
      <w:r w:rsidR="00EB72FA" w:rsidRPr="003B2A33">
        <w:rPr>
          <w:rFonts w:ascii="Calibri" w:hAnsi="Calibri"/>
          <w:bCs/>
        </w:rPr>
        <w:t>period</w:t>
      </w:r>
      <w:r>
        <w:rPr>
          <w:rFonts w:ascii="Calibri" w:hAnsi="Calibri"/>
          <w:bCs/>
        </w:rPr>
        <w:t>.</w:t>
      </w:r>
    </w:p>
    <w:p w:rsidR="007D4DEA" w:rsidRPr="0051553F" w:rsidRDefault="003B2A33" w:rsidP="003D0F93">
      <w:pPr>
        <w:ind w:left="360"/>
        <w:rPr>
          <w:rFonts w:ascii="Calibri" w:hAnsi="Calibri"/>
          <w:b/>
          <w:bCs/>
        </w:rPr>
      </w:pPr>
      <w:r>
        <w:rPr>
          <w:rFonts w:ascii="Calibri" w:hAnsi="Calibri"/>
          <w:bCs/>
        </w:rPr>
        <w:br/>
      </w:r>
    </w:p>
    <w:p w:rsidR="00B27884" w:rsidRPr="0051553F" w:rsidRDefault="00AE73AE" w:rsidP="00971628">
      <w:pPr>
        <w:pStyle w:val="ListParagraph"/>
        <w:numPr>
          <w:ilvl w:val="0"/>
          <w:numId w:val="27"/>
        </w:numPr>
        <w:rPr>
          <w:rFonts w:ascii="Calibri" w:hAnsi="Calibri"/>
          <w:b/>
          <w:bCs/>
        </w:rPr>
      </w:pPr>
      <w:r w:rsidRPr="0051553F">
        <w:rPr>
          <w:rFonts w:ascii="Calibri" w:hAnsi="Calibri"/>
          <w:b/>
          <w:bCs/>
        </w:rPr>
        <w:t>IN CONCLUSION</w:t>
      </w:r>
    </w:p>
    <w:p w:rsidR="003B2A33" w:rsidRDefault="003B2A33" w:rsidP="003B2A33">
      <w:pPr>
        <w:pStyle w:val="ListParagraph"/>
        <w:ind w:left="792"/>
        <w:rPr>
          <w:rFonts w:ascii="Calibri" w:hAnsi="Calibri"/>
          <w:bCs/>
        </w:rPr>
      </w:pPr>
    </w:p>
    <w:p w:rsidR="0064578B" w:rsidRDefault="003B2A33" w:rsidP="00703B6F">
      <w:pPr>
        <w:pStyle w:val="ListParagraph"/>
        <w:tabs>
          <w:tab w:val="left" w:pos="900"/>
        </w:tabs>
        <w:ind w:left="810" w:hanging="450"/>
        <w:rPr>
          <w:rFonts w:ascii="Calibri" w:hAnsi="Calibri"/>
          <w:bCs/>
        </w:rPr>
      </w:pPr>
      <w:r w:rsidRPr="003B2A33">
        <w:rPr>
          <w:rFonts w:ascii="Calibri" w:hAnsi="Calibri"/>
          <w:b/>
          <w:bCs/>
        </w:rPr>
        <w:t>12.1</w:t>
      </w:r>
      <w:r>
        <w:rPr>
          <w:rFonts w:ascii="Calibri" w:hAnsi="Calibri"/>
          <w:bCs/>
        </w:rPr>
        <w:t xml:space="preserve"> </w:t>
      </w:r>
      <w:r w:rsidR="00691E59" w:rsidRPr="0051553F">
        <w:rPr>
          <w:rFonts w:ascii="Calibri" w:hAnsi="Calibri"/>
          <w:bCs/>
        </w:rPr>
        <w:t>The Black Sash generally supports the amendment to make pr</w:t>
      </w:r>
      <w:r w:rsidR="00E442AF">
        <w:rPr>
          <w:rFonts w:ascii="Calibri" w:hAnsi="Calibri"/>
          <w:bCs/>
        </w:rPr>
        <w:t xml:space="preserve">ovision for debt </w:t>
      </w:r>
      <w:r>
        <w:rPr>
          <w:rFonts w:ascii="Calibri" w:hAnsi="Calibri"/>
          <w:bCs/>
        </w:rPr>
        <w:tab/>
      </w:r>
      <w:r w:rsidR="003D0F93">
        <w:rPr>
          <w:rFonts w:ascii="Calibri" w:hAnsi="Calibri"/>
          <w:bCs/>
        </w:rPr>
        <w:t xml:space="preserve">intervention </w:t>
      </w:r>
      <w:r w:rsidR="00AE73AE" w:rsidRPr="0051553F">
        <w:rPr>
          <w:rFonts w:ascii="Calibri" w:hAnsi="Calibri"/>
          <w:bCs/>
        </w:rPr>
        <w:t xml:space="preserve">to accommodate those who are grant recipients </w:t>
      </w:r>
      <w:r w:rsidR="00691E59" w:rsidRPr="0051553F">
        <w:rPr>
          <w:rFonts w:ascii="Calibri" w:hAnsi="Calibri"/>
          <w:bCs/>
        </w:rPr>
        <w:t xml:space="preserve">who </w:t>
      </w:r>
      <w:r w:rsidR="00AE73AE" w:rsidRPr="0051553F">
        <w:rPr>
          <w:rFonts w:ascii="Calibri" w:hAnsi="Calibri"/>
          <w:bCs/>
        </w:rPr>
        <w:t>are</w:t>
      </w:r>
      <w:r w:rsidR="00703B6F">
        <w:rPr>
          <w:rFonts w:ascii="Calibri" w:hAnsi="Calibri"/>
          <w:bCs/>
        </w:rPr>
        <w:t xml:space="preserve"> </w:t>
      </w:r>
      <w:r w:rsidR="00AE73AE" w:rsidRPr="0051553F">
        <w:rPr>
          <w:rFonts w:ascii="Calibri" w:hAnsi="Calibri"/>
          <w:bCs/>
        </w:rPr>
        <w:t>considered as a vulnerable group for unsecured debt</w:t>
      </w:r>
      <w:r w:rsidR="00D2762F">
        <w:rPr>
          <w:rFonts w:ascii="Calibri" w:hAnsi="Calibri"/>
          <w:bCs/>
        </w:rPr>
        <w:t>- taking into account their</w:t>
      </w:r>
      <w:r w:rsidR="00703B6F">
        <w:rPr>
          <w:rFonts w:ascii="Calibri" w:hAnsi="Calibri"/>
          <w:bCs/>
        </w:rPr>
        <w:t xml:space="preserve"> </w:t>
      </w:r>
      <w:r w:rsidR="00D2762F">
        <w:rPr>
          <w:rFonts w:ascii="Calibri" w:hAnsi="Calibri"/>
          <w:bCs/>
        </w:rPr>
        <w:t>vulnerability exploiting their struggle to make ends m</w:t>
      </w:r>
      <w:r w:rsidR="00E442AF">
        <w:rPr>
          <w:rFonts w:ascii="Calibri" w:hAnsi="Calibri"/>
          <w:bCs/>
        </w:rPr>
        <w:t>eet while having secure income. T</w:t>
      </w:r>
      <w:r w:rsidR="00D2762F">
        <w:rPr>
          <w:rFonts w:ascii="Calibri" w:hAnsi="Calibri"/>
          <w:bCs/>
        </w:rPr>
        <w:t>he adverse impact of loans on recipients</w:t>
      </w:r>
      <w:r w:rsidR="00E442AF">
        <w:rPr>
          <w:rFonts w:ascii="Calibri" w:hAnsi="Calibri"/>
          <w:bCs/>
        </w:rPr>
        <w:t xml:space="preserve">, especially where the loans are provided fraudulently, illegally and unlawfully by reckless lenders must be </w:t>
      </w:r>
      <w:r>
        <w:rPr>
          <w:rFonts w:ascii="Calibri" w:hAnsi="Calibri"/>
          <w:bCs/>
        </w:rPr>
        <w:t>considered to</w:t>
      </w:r>
      <w:r w:rsidR="00E442AF">
        <w:rPr>
          <w:rFonts w:ascii="Calibri" w:hAnsi="Calibri"/>
          <w:bCs/>
        </w:rPr>
        <w:t xml:space="preserve"> protect recipients and impose harsh penalties</w:t>
      </w:r>
      <w:r w:rsidR="00D2762F">
        <w:rPr>
          <w:rFonts w:ascii="Calibri" w:hAnsi="Calibri"/>
          <w:bCs/>
        </w:rPr>
        <w:t xml:space="preserve"> on credit providers</w:t>
      </w:r>
      <w:r w:rsidR="00E442AF">
        <w:rPr>
          <w:rFonts w:ascii="Calibri" w:hAnsi="Calibri"/>
          <w:bCs/>
        </w:rPr>
        <w:t xml:space="preserve"> who are reckless lenders</w:t>
      </w:r>
      <w:r>
        <w:rPr>
          <w:rFonts w:ascii="Calibri" w:hAnsi="Calibri"/>
          <w:bCs/>
        </w:rPr>
        <w:t>.</w:t>
      </w:r>
    </w:p>
    <w:p w:rsidR="003B2A33" w:rsidRPr="0064578B" w:rsidRDefault="003B2A33" w:rsidP="003B2A33">
      <w:pPr>
        <w:pStyle w:val="ListParagraph"/>
        <w:ind w:left="360"/>
        <w:rPr>
          <w:rFonts w:ascii="Calibri" w:hAnsi="Calibri"/>
          <w:b/>
          <w:bCs/>
        </w:rPr>
      </w:pPr>
    </w:p>
    <w:p w:rsidR="00B27884" w:rsidRPr="00E442AF" w:rsidRDefault="00E442AF" w:rsidP="00E442AF">
      <w:pPr>
        <w:ind w:left="360"/>
        <w:rPr>
          <w:rFonts w:ascii="Calibri" w:hAnsi="Calibri"/>
          <w:b/>
          <w:bCs/>
        </w:rPr>
      </w:pPr>
      <w:r w:rsidRPr="003B2A33">
        <w:rPr>
          <w:rFonts w:ascii="Calibri" w:hAnsi="Calibri"/>
          <w:b/>
          <w:bCs/>
        </w:rPr>
        <w:t>12.2</w:t>
      </w:r>
      <w:r w:rsidR="003B2A33">
        <w:rPr>
          <w:rFonts w:ascii="Calibri" w:hAnsi="Calibri"/>
          <w:bCs/>
        </w:rPr>
        <w:t xml:space="preserve"> </w:t>
      </w:r>
      <w:r w:rsidR="00AE73AE" w:rsidRPr="00E442AF">
        <w:rPr>
          <w:rFonts w:ascii="Calibri" w:hAnsi="Calibri"/>
          <w:bCs/>
        </w:rPr>
        <w:t xml:space="preserve">The application process for debt intervention must be simplified to be user friendly </w:t>
      </w:r>
      <w:r w:rsidR="003B2A33">
        <w:rPr>
          <w:rFonts w:ascii="Calibri" w:hAnsi="Calibri"/>
          <w:bCs/>
        </w:rPr>
        <w:tab/>
      </w:r>
      <w:r w:rsidR="00AE73AE" w:rsidRPr="00E442AF">
        <w:rPr>
          <w:rFonts w:ascii="Calibri" w:hAnsi="Calibri"/>
          <w:bCs/>
        </w:rPr>
        <w:t>with prescribed fo</w:t>
      </w:r>
      <w:r w:rsidR="00EE255E" w:rsidRPr="00E442AF">
        <w:rPr>
          <w:rFonts w:ascii="Calibri" w:hAnsi="Calibri"/>
          <w:bCs/>
        </w:rPr>
        <w:t>rms.</w:t>
      </w:r>
    </w:p>
    <w:p w:rsidR="000836BC" w:rsidRPr="00EE255E" w:rsidRDefault="000836BC" w:rsidP="00EE255E">
      <w:pPr>
        <w:rPr>
          <w:rFonts w:ascii="Calibri" w:hAnsi="Calibri"/>
          <w:b/>
          <w:bCs/>
        </w:rPr>
      </w:pPr>
    </w:p>
    <w:p w:rsidR="00AC526C" w:rsidRPr="0051553F" w:rsidRDefault="00AC526C" w:rsidP="00AC526C">
      <w:pPr>
        <w:rPr>
          <w:rFonts w:ascii="Calibri" w:hAnsi="Calibri"/>
        </w:rPr>
      </w:pPr>
    </w:p>
    <w:sectPr w:rsidR="00AC526C" w:rsidRPr="0051553F" w:rsidSect="000C719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A0" w:rsidRDefault="00B00BA0" w:rsidP="000836BC">
      <w:r>
        <w:separator/>
      </w:r>
    </w:p>
  </w:endnote>
  <w:endnote w:type="continuationSeparator" w:id="0">
    <w:p w:rsidR="00B00BA0" w:rsidRDefault="00B00BA0" w:rsidP="00083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92" w:rsidRPr="000203BC" w:rsidRDefault="000C7192" w:rsidP="000C7192">
    <w:pPr>
      <w:pStyle w:val="Footer"/>
      <w:tabs>
        <w:tab w:val="right" w:pos="9214"/>
      </w:tabs>
      <w:ind w:right="-188"/>
      <w:rPr>
        <w:rFonts w:ascii="Arial Narrow" w:hAnsi="Arial Narrow"/>
        <w:sz w:val="16"/>
        <w:szCs w:val="16"/>
      </w:rPr>
    </w:pPr>
    <w:r w:rsidRPr="000203BC">
      <w:rPr>
        <w:rFonts w:ascii="Arial Narrow" w:hAnsi="Arial Narrow"/>
        <w:b/>
        <w:sz w:val="16"/>
        <w:szCs w:val="16"/>
      </w:rPr>
      <w:t>Trustees</w:t>
    </w:r>
    <w:r w:rsidRPr="000203BC">
      <w:rPr>
        <w:rFonts w:ascii="Arial Narrow" w:hAnsi="Arial Narrow"/>
        <w:sz w:val="16"/>
        <w:szCs w:val="16"/>
      </w:rPr>
      <w:t>: Sibongile (Bongi) Mkhabela (Chairperson), Yasmin Turton (Deputy Chairperson), Jennifer De Tolly, Margaret (Dolly) Khumalo, Mary-Jane Morifi, Diana (Di) Oliver, Hilary Southall, Woineshet Bischoff</w:t>
    </w:r>
    <w:r>
      <w:rPr>
        <w:rFonts w:ascii="Arial Narrow" w:hAnsi="Arial Narrow"/>
        <w:sz w:val="16"/>
        <w:szCs w:val="16"/>
      </w:rPr>
      <w:t xml:space="preserve">, Mieke Krynauw, Janeen de Klerk. </w:t>
    </w:r>
    <w:r w:rsidRPr="003216E2">
      <w:rPr>
        <w:rFonts w:ascii="Arial Narrow" w:hAnsi="Arial Narrow"/>
        <w:b/>
        <w:sz w:val="16"/>
        <w:szCs w:val="16"/>
      </w:rPr>
      <w:t>Patron</w:t>
    </w:r>
    <w:r>
      <w:rPr>
        <w:rFonts w:ascii="Arial Narrow" w:hAnsi="Arial Narrow"/>
        <w:b/>
        <w:sz w:val="16"/>
        <w:szCs w:val="16"/>
      </w:rPr>
      <w:t>:</w:t>
    </w:r>
    <w:r w:rsidRPr="003216E2">
      <w:rPr>
        <w:rFonts w:ascii="Arial Narrow" w:hAnsi="Arial Narrow"/>
        <w:sz w:val="16"/>
        <w:szCs w:val="16"/>
      </w:rPr>
      <w:t xml:space="preserve"> </w:t>
    </w:r>
    <w:r w:rsidRPr="000203BC">
      <w:rPr>
        <w:rFonts w:ascii="Arial Narrow" w:hAnsi="Arial Narrow"/>
        <w:sz w:val="16"/>
        <w:szCs w:val="16"/>
      </w:rPr>
      <w:t>Maria (Mary) Burton</w:t>
    </w:r>
    <w:r>
      <w:rPr>
        <w:rFonts w:ascii="Arial Narrow" w:hAnsi="Arial Narrow"/>
        <w:sz w:val="16"/>
        <w:szCs w:val="16"/>
      </w:rPr>
      <w:t xml:space="preserve">, </w:t>
    </w:r>
    <w:r w:rsidRPr="00015D68">
      <w:rPr>
        <w:rFonts w:ascii="Arial Narrow" w:hAnsi="Arial Narrow"/>
        <w:b/>
        <w:sz w:val="16"/>
        <w:szCs w:val="16"/>
      </w:rPr>
      <w:t>National Director</w:t>
    </w:r>
    <w:r>
      <w:rPr>
        <w:rFonts w:ascii="Arial Narrow" w:hAnsi="Arial Narrow"/>
        <w:sz w:val="16"/>
        <w:szCs w:val="16"/>
      </w:rPr>
      <w:t>: Lynette Maart</w:t>
    </w:r>
  </w:p>
  <w:p w:rsidR="000C7192" w:rsidRDefault="000C7192" w:rsidP="000C7192">
    <w:pPr>
      <w:pStyle w:val="Footer"/>
      <w:tabs>
        <w:tab w:val="right" w:pos="9214"/>
      </w:tabs>
      <w:spacing w:line="360" w:lineRule="auto"/>
      <w:ind w:right="-188"/>
      <w:rPr>
        <w:rFonts w:ascii="Arial Narrow" w:hAnsi="Arial Narrow"/>
        <w:sz w:val="16"/>
        <w:szCs w:val="16"/>
        <w:u w:val="single"/>
      </w:rPr>
    </w:pPr>
    <w:r>
      <w:rPr>
        <w:rFonts w:ascii="Arial Narrow" w:hAnsi="Arial Narrow"/>
        <w:sz w:val="16"/>
        <w:szCs w:val="16"/>
        <w:u w:val="single"/>
      </w:rPr>
      <w:tab/>
    </w:r>
    <w:r>
      <w:rPr>
        <w:rFonts w:ascii="Arial Narrow" w:hAnsi="Arial Narrow"/>
        <w:sz w:val="16"/>
        <w:szCs w:val="16"/>
        <w:u w:val="single"/>
      </w:rPr>
      <w:tab/>
    </w:r>
  </w:p>
  <w:p w:rsidR="000C7192" w:rsidRPr="000203BC" w:rsidRDefault="000C7192" w:rsidP="000C7192">
    <w:pPr>
      <w:pStyle w:val="Footer"/>
      <w:tabs>
        <w:tab w:val="right" w:pos="9214"/>
      </w:tabs>
      <w:ind w:right="-188"/>
      <w:jc w:val="center"/>
      <w:rPr>
        <w:rFonts w:ascii="Arial Narrow" w:hAnsi="Arial Narrow"/>
        <w:sz w:val="14"/>
        <w:szCs w:val="14"/>
      </w:rPr>
    </w:pPr>
    <w:r w:rsidRPr="000203BC">
      <w:rPr>
        <w:rFonts w:ascii="Arial Narrow" w:hAnsi="Arial Narrow"/>
        <w:sz w:val="14"/>
        <w:szCs w:val="14"/>
      </w:rPr>
      <w:t xml:space="preserve">Trust Registration Number: IT 1179/85 </w:t>
    </w:r>
    <w:r w:rsidRPr="000203BC">
      <w:rPr>
        <w:rFonts w:ascii="Arial Narrow" w:hAnsi="Arial Narrow"/>
        <w:sz w:val="14"/>
        <w:szCs w:val="14"/>
      </w:rPr>
      <w:sym w:font="Wingdings" w:char="F09E"/>
    </w:r>
    <w:r w:rsidRPr="000203BC">
      <w:rPr>
        <w:rFonts w:ascii="Arial Narrow" w:hAnsi="Arial Narrow"/>
        <w:sz w:val="14"/>
        <w:szCs w:val="14"/>
      </w:rPr>
      <w:t xml:space="preserve"> Non-profit Orga</w:t>
    </w:r>
    <w:r>
      <w:rPr>
        <w:rFonts w:ascii="Arial Narrow" w:hAnsi="Arial Narrow"/>
        <w:sz w:val="14"/>
        <w:szCs w:val="14"/>
      </w:rPr>
      <w:t>nisation Registration number: 00</w:t>
    </w:r>
    <w:r w:rsidRPr="000203BC">
      <w:rPr>
        <w:rFonts w:ascii="Arial Narrow" w:hAnsi="Arial Narrow"/>
        <w:sz w:val="14"/>
        <w:szCs w:val="14"/>
      </w:rPr>
      <w:t xml:space="preserve">6-214 </w:t>
    </w:r>
    <w:r w:rsidRPr="000203BC">
      <w:rPr>
        <w:rFonts w:ascii="Arial Narrow" w:hAnsi="Arial Narrow"/>
        <w:sz w:val="14"/>
        <w:szCs w:val="14"/>
      </w:rPr>
      <w:sym w:font="Wingdings" w:char="F09E"/>
    </w:r>
    <w:r w:rsidRPr="000203BC">
      <w:rPr>
        <w:rFonts w:ascii="Arial Narrow" w:hAnsi="Arial Narrow"/>
        <w:sz w:val="14"/>
        <w:szCs w:val="14"/>
      </w:rPr>
      <w:t xml:space="preserve"> Public Benefit Organisation Registration number: 930005962</w:t>
    </w:r>
  </w:p>
  <w:p w:rsidR="000C7192" w:rsidRPr="000203BC" w:rsidRDefault="000C7192" w:rsidP="000C7192">
    <w:pPr>
      <w:pStyle w:val="Footer"/>
      <w:tabs>
        <w:tab w:val="right" w:pos="9214"/>
      </w:tabs>
      <w:ind w:right="-188"/>
      <w:jc w:val="center"/>
      <w:rPr>
        <w:rFonts w:ascii="Arial Narrow" w:hAnsi="Arial Narrow"/>
        <w:sz w:val="14"/>
        <w:szCs w:val="14"/>
      </w:rPr>
    </w:pPr>
    <w:r w:rsidRPr="000203BC">
      <w:rPr>
        <w:rFonts w:ascii="Arial Narrow" w:hAnsi="Arial Narrow"/>
        <w:sz w:val="14"/>
        <w:szCs w:val="14"/>
      </w:rPr>
      <w:t>BBBEE (Socio-economic development beneficiary certificate)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637735"/>
      <w:docPartObj>
        <w:docPartGallery w:val="Page Numbers (Bottom of Page)"/>
        <w:docPartUnique/>
      </w:docPartObj>
    </w:sdtPr>
    <w:sdtContent>
      <w:p w:rsidR="00274A85" w:rsidRDefault="00765DA8">
        <w:pPr>
          <w:pStyle w:val="Footer"/>
          <w:jc w:val="right"/>
        </w:pPr>
        <w:fldSimple w:instr=" PAGE   \* MERGEFORMAT ">
          <w:r w:rsidR="00B25A79">
            <w:rPr>
              <w:noProof/>
            </w:rPr>
            <w:t>2</w:t>
          </w:r>
        </w:fldSimple>
      </w:p>
    </w:sdtContent>
  </w:sdt>
  <w:p w:rsidR="000C7192" w:rsidRPr="000C7192" w:rsidRDefault="000C7192" w:rsidP="000C7192">
    <w:pPr>
      <w:pStyle w:val="Footer"/>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A0" w:rsidRDefault="00B00BA0" w:rsidP="000836BC">
      <w:r>
        <w:separator/>
      </w:r>
    </w:p>
  </w:footnote>
  <w:footnote w:type="continuationSeparator" w:id="0">
    <w:p w:rsidR="00B00BA0" w:rsidRDefault="00B00BA0" w:rsidP="00083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5DE"/>
    <w:multiLevelType w:val="hybridMultilevel"/>
    <w:tmpl w:val="BD5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0430"/>
    <w:multiLevelType w:val="hybridMultilevel"/>
    <w:tmpl w:val="83AA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1B7E"/>
    <w:multiLevelType w:val="multilevel"/>
    <w:tmpl w:val="D0E0DCC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904235"/>
    <w:multiLevelType w:val="multilevel"/>
    <w:tmpl w:val="79CC13C2"/>
    <w:lvl w:ilvl="0">
      <w:start w:val="7"/>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nsid w:val="146A543F"/>
    <w:multiLevelType w:val="multilevel"/>
    <w:tmpl w:val="63B45A4E"/>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5AD3EE5"/>
    <w:multiLevelType w:val="multilevel"/>
    <w:tmpl w:val="1548CC4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1B055815"/>
    <w:multiLevelType w:val="multilevel"/>
    <w:tmpl w:val="D2521150"/>
    <w:lvl w:ilvl="0">
      <w:start w:val="13"/>
      <w:numFmt w:val="decimal"/>
      <w:lvlText w:val="%1"/>
      <w:lvlJc w:val="left"/>
      <w:pPr>
        <w:ind w:left="420" w:hanging="420"/>
      </w:pPr>
      <w:rPr>
        <w:rFonts w:cs="Webdings" w:hint="default"/>
        <w:b w:val="0"/>
      </w:rPr>
    </w:lvl>
    <w:lvl w:ilvl="1">
      <w:start w:val="1"/>
      <w:numFmt w:val="decimal"/>
      <w:lvlText w:val="%1.%2"/>
      <w:lvlJc w:val="left"/>
      <w:pPr>
        <w:ind w:left="780" w:hanging="420"/>
      </w:pPr>
      <w:rPr>
        <w:rFonts w:cs="Webdings" w:hint="default"/>
        <w:b w:val="0"/>
      </w:rPr>
    </w:lvl>
    <w:lvl w:ilvl="2">
      <w:start w:val="1"/>
      <w:numFmt w:val="decimal"/>
      <w:lvlText w:val="%1.%2.%3"/>
      <w:lvlJc w:val="left"/>
      <w:pPr>
        <w:ind w:left="1440" w:hanging="720"/>
      </w:pPr>
      <w:rPr>
        <w:rFonts w:cs="Webdings" w:hint="default"/>
        <w:b w:val="0"/>
      </w:rPr>
    </w:lvl>
    <w:lvl w:ilvl="3">
      <w:start w:val="1"/>
      <w:numFmt w:val="decimal"/>
      <w:lvlText w:val="%1.%2.%3.%4"/>
      <w:lvlJc w:val="left"/>
      <w:pPr>
        <w:ind w:left="1800" w:hanging="720"/>
      </w:pPr>
      <w:rPr>
        <w:rFonts w:cs="Webdings" w:hint="default"/>
        <w:b w:val="0"/>
      </w:rPr>
    </w:lvl>
    <w:lvl w:ilvl="4">
      <w:start w:val="1"/>
      <w:numFmt w:val="decimal"/>
      <w:lvlText w:val="%1.%2.%3.%4.%5"/>
      <w:lvlJc w:val="left"/>
      <w:pPr>
        <w:ind w:left="2520" w:hanging="1080"/>
      </w:pPr>
      <w:rPr>
        <w:rFonts w:cs="Webdings" w:hint="default"/>
        <w:b w:val="0"/>
      </w:rPr>
    </w:lvl>
    <w:lvl w:ilvl="5">
      <w:start w:val="1"/>
      <w:numFmt w:val="decimal"/>
      <w:lvlText w:val="%1.%2.%3.%4.%5.%6"/>
      <w:lvlJc w:val="left"/>
      <w:pPr>
        <w:ind w:left="2880" w:hanging="1080"/>
      </w:pPr>
      <w:rPr>
        <w:rFonts w:cs="Webdings" w:hint="default"/>
        <w:b w:val="0"/>
      </w:rPr>
    </w:lvl>
    <w:lvl w:ilvl="6">
      <w:start w:val="1"/>
      <w:numFmt w:val="decimal"/>
      <w:lvlText w:val="%1.%2.%3.%4.%5.%6.%7"/>
      <w:lvlJc w:val="left"/>
      <w:pPr>
        <w:ind w:left="3600" w:hanging="1440"/>
      </w:pPr>
      <w:rPr>
        <w:rFonts w:cs="Webdings" w:hint="default"/>
        <w:b w:val="0"/>
      </w:rPr>
    </w:lvl>
    <w:lvl w:ilvl="7">
      <w:start w:val="1"/>
      <w:numFmt w:val="decimal"/>
      <w:lvlText w:val="%1.%2.%3.%4.%5.%6.%7.%8"/>
      <w:lvlJc w:val="left"/>
      <w:pPr>
        <w:ind w:left="3960" w:hanging="1440"/>
      </w:pPr>
      <w:rPr>
        <w:rFonts w:cs="Webdings" w:hint="default"/>
        <w:b w:val="0"/>
      </w:rPr>
    </w:lvl>
    <w:lvl w:ilvl="8">
      <w:start w:val="1"/>
      <w:numFmt w:val="decimal"/>
      <w:lvlText w:val="%1.%2.%3.%4.%5.%6.%7.%8.%9"/>
      <w:lvlJc w:val="left"/>
      <w:pPr>
        <w:ind w:left="4680" w:hanging="1800"/>
      </w:pPr>
      <w:rPr>
        <w:rFonts w:cs="Webdings" w:hint="default"/>
        <w:b w:val="0"/>
      </w:rPr>
    </w:lvl>
  </w:abstractNum>
  <w:abstractNum w:abstractNumId="7">
    <w:nsid w:val="1D2436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F1472"/>
    <w:multiLevelType w:val="hybridMultilevel"/>
    <w:tmpl w:val="1E6EBAFE"/>
    <w:lvl w:ilvl="0" w:tplc="0409000F">
      <w:start w:val="1"/>
      <w:numFmt w:val="decimal"/>
      <w:lvlText w:val="%1."/>
      <w:lvlJc w:val="left"/>
      <w:pPr>
        <w:ind w:left="720" w:hanging="360"/>
      </w:pPr>
    </w:lvl>
    <w:lvl w:ilvl="1" w:tplc="EAAECCB4">
      <w:start w:val="1"/>
      <w:numFmt w:val="decimal"/>
      <w:lvlText w:val="1.%2"/>
      <w:lvlJc w:val="left"/>
      <w:pPr>
        <w:ind w:left="1440" w:hanging="360"/>
      </w:pPr>
      <w:rPr>
        <w:rFonts w:asciiTheme="minorHAnsi" w:eastAsiaTheme="minorHAnsi" w:hAnsiTheme="minorHAns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230A2"/>
    <w:multiLevelType w:val="multilevel"/>
    <w:tmpl w:val="69E85736"/>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1C1763"/>
    <w:multiLevelType w:val="hybridMultilevel"/>
    <w:tmpl w:val="75B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F1A0E"/>
    <w:multiLevelType w:val="multilevel"/>
    <w:tmpl w:val="7D9EA970"/>
    <w:lvl w:ilvl="0">
      <w:start w:val="9"/>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nsid w:val="34EF60EC"/>
    <w:multiLevelType w:val="multilevel"/>
    <w:tmpl w:val="17DA67E6"/>
    <w:lvl w:ilvl="0">
      <w:start w:val="8"/>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nsid w:val="3A5D524C"/>
    <w:multiLevelType w:val="multilevel"/>
    <w:tmpl w:val="FA645C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9E027C"/>
    <w:multiLevelType w:val="hybridMultilevel"/>
    <w:tmpl w:val="A9E2E3CE"/>
    <w:lvl w:ilvl="0" w:tplc="CD2ED484">
      <w:start w:val="1"/>
      <w:numFmt w:val="decimal"/>
      <w:lvlText w:val="%1."/>
      <w:lvlJc w:val="left"/>
      <w:pPr>
        <w:ind w:left="720" w:hanging="360"/>
      </w:pPr>
      <w:rPr>
        <w:rFonts w:hint="default"/>
        <w:b/>
        <w:bCs/>
      </w:rPr>
    </w:lvl>
    <w:lvl w:ilvl="1" w:tplc="DBC253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D65EB"/>
    <w:multiLevelType w:val="multilevel"/>
    <w:tmpl w:val="68026FE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512F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9D6D43"/>
    <w:multiLevelType w:val="multilevel"/>
    <w:tmpl w:val="F49E0BCA"/>
    <w:lvl w:ilvl="0">
      <w:start w:val="10"/>
      <w:numFmt w:val="decimal"/>
      <w:lvlText w:val="%1"/>
      <w:lvlJc w:val="left"/>
      <w:pPr>
        <w:ind w:left="420" w:hanging="420"/>
      </w:pPr>
      <w:rPr>
        <w:rFonts w:hint="default"/>
        <w:b w:val="0"/>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55BE2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DF711A"/>
    <w:multiLevelType w:val="multilevel"/>
    <w:tmpl w:val="6F42B91E"/>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25D4589"/>
    <w:multiLevelType w:val="hybridMultilevel"/>
    <w:tmpl w:val="CF1E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E1575"/>
    <w:multiLevelType w:val="multilevel"/>
    <w:tmpl w:val="D66806C2"/>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2">
    <w:nsid w:val="6C764387"/>
    <w:multiLevelType w:val="multilevel"/>
    <w:tmpl w:val="CAF4A97C"/>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6ED127D6"/>
    <w:multiLevelType w:val="hybridMultilevel"/>
    <w:tmpl w:val="C958A83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A4926"/>
    <w:multiLevelType w:val="multilevel"/>
    <w:tmpl w:val="13E0CE58"/>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5">
    <w:nsid w:val="7B0A6EA7"/>
    <w:multiLevelType w:val="multilevel"/>
    <w:tmpl w:val="7562B11C"/>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7C9E0EAA"/>
    <w:multiLevelType w:val="multilevel"/>
    <w:tmpl w:val="BE28BD9A"/>
    <w:lvl w:ilvl="0">
      <w:start w:val="1"/>
      <w:numFmt w:val="decimal"/>
      <w:lvlText w:val="%1."/>
      <w:lvlJc w:val="left"/>
      <w:pPr>
        <w:ind w:left="360" w:hanging="360"/>
      </w:pPr>
    </w:lvl>
    <w:lvl w:ilvl="1">
      <w:start w:val="1"/>
      <w:numFmt w:val="decimal"/>
      <w:lvlText w:val="1.%2"/>
      <w:lvlJc w:val="left"/>
      <w:pPr>
        <w:ind w:left="720" w:hanging="360"/>
      </w:pPr>
      <w:rPr>
        <w:rFonts w:asciiTheme="minorHAnsi" w:eastAsiaTheme="minorHAnsi" w:hAnsiTheme="minorHAns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2A3F5A"/>
    <w:multiLevelType w:val="hybridMultilevel"/>
    <w:tmpl w:val="BD52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10"/>
  </w:num>
  <w:num w:numId="5">
    <w:abstractNumId w:val="0"/>
  </w:num>
  <w:num w:numId="6">
    <w:abstractNumId w:val="8"/>
  </w:num>
  <w:num w:numId="7">
    <w:abstractNumId w:val="24"/>
  </w:num>
  <w:num w:numId="8">
    <w:abstractNumId w:val="25"/>
  </w:num>
  <w:num w:numId="9">
    <w:abstractNumId w:val="19"/>
  </w:num>
  <w:num w:numId="10">
    <w:abstractNumId w:val="15"/>
  </w:num>
  <w:num w:numId="11">
    <w:abstractNumId w:val="5"/>
  </w:num>
  <w:num w:numId="12">
    <w:abstractNumId w:val="21"/>
  </w:num>
  <w:num w:numId="13">
    <w:abstractNumId w:val="3"/>
  </w:num>
  <w:num w:numId="14">
    <w:abstractNumId w:val="12"/>
  </w:num>
  <w:num w:numId="15">
    <w:abstractNumId w:val="11"/>
  </w:num>
  <w:num w:numId="16">
    <w:abstractNumId w:val="27"/>
  </w:num>
  <w:num w:numId="17">
    <w:abstractNumId w:val="17"/>
  </w:num>
  <w:num w:numId="18">
    <w:abstractNumId w:val="22"/>
  </w:num>
  <w:num w:numId="19">
    <w:abstractNumId w:val="23"/>
  </w:num>
  <w:num w:numId="20">
    <w:abstractNumId w:val="2"/>
  </w:num>
  <w:num w:numId="21">
    <w:abstractNumId w:val="4"/>
  </w:num>
  <w:num w:numId="22">
    <w:abstractNumId w:val="6"/>
  </w:num>
  <w:num w:numId="23">
    <w:abstractNumId w:val="14"/>
  </w:num>
  <w:num w:numId="24">
    <w:abstractNumId w:val="26"/>
  </w:num>
  <w:num w:numId="25">
    <w:abstractNumId w:val="18"/>
  </w:num>
  <w:num w:numId="26">
    <w:abstractNumId w:val="7"/>
  </w:num>
  <w:num w:numId="27">
    <w:abstractNumId w:val="13"/>
  </w:num>
  <w:num w:numId="2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31F2"/>
    <w:rsid w:val="00034DDB"/>
    <w:rsid w:val="000535FD"/>
    <w:rsid w:val="000836BC"/>
    <w:rsid w:val="00091BCE"/>
    <w:rsid w:val="00092F46"/>
    <w:rsid w:val="000939DC"/>
    <w:rsid w:val="000C0FF5"/>
    <w:rsid w:val="000C7192"/>
    <w:rsid w:val="000D07B6"/>
    <w:rsid w:val="000E797C"/>
    <w:rsid w:val="000F7F98"/>
    <w:rsid w:val="00105C05"/>
    <w:rsid w:val="001D385B"/>
    <w:rsid w:val="00217647"/>
    <w:rsid w:val="0022728C"/>
    <w:rsid w:val="00256FDB"/>
    <w:rsid w:val="00274A85"/>
    <w:rsid w:val="003234DB"/>
    <w:rsid w:val="00347611"/>
    <w:rsid w:val="003664F1"/>
    <w:rsid w:val="003849EA"/>
    <w:rsid w:val="003B2A33"/>
    <w:rsid w:val="003D0F93"/>
    <w:rsid w:val="003F4EEB"/>
    <w:rsid w:val="00461D48"/>
    <w:rsid w:val="004865BB"/>
    <w:rsid w:val="004B080E"/>
    <w:rsid w:val="005029B3"/>
    <w:rsid w:val="00514C3A"/>
    <w:rsid w:val="0051553F"/>
    <w:rsid w:val="005D748A"/>
    <w:rsid w:val="00606124"/>
    <w:rsid w:val="0064417B"/>
    <w:rsid w:val="0064578B"/>
    <w:rsid w:val="00691E59"/>
    <w:rsid w:val="006A6C4E"/>
    <w:rsid w:val="006B4A68"/>
    <w:rsid w:val="006C2333"/>
    <w:rsid w:val="00703B6F"/>
    <w:rsid w:val="00722CDC"/>
    <w:rsid w:val="00745B9A"/>
    <w:rsid w:val="00761594"/>
    <w:rsid w:val="00765DA8"/>
    <w:rsid w:val="007731F2"/>
    <w:rsid w:val="007A2198"/>
    <w:rsid w:val="007D4DEA"/>
    <w:rsid w:val="0081121B"/>
    <w:rsid w:val="00816347"/>
    <w:rsid w:val="00857030"/>
    <w:rsid w:val="00863D7C"/>
    <w:rsid w:val="0086688E"/>
    <w:rsid w:val="008857DA"/>
    <w:rsid w:val="00886510"/>
    <w:rsid w:val="008C0899"/>
    <w:rsid w:val="008C7BB1"/>
    <w:rsid w:val="00904D05"/>
    <w:rsid w:val="00916E1F"/>
    <w:rsid w:val="00960744"/>
    <w:rsid w:val="009657EA"/>
    <w:rsid w:val="00971628"/>
    <w:rsid w:val="00990B95"/>
    <w:rsid w:val="009A4BD3"/>
    <w:rsid w:val="009C0C0B"/>
    <w:rsid w:val="009F159F"/>
    <w:rsid w:val="00A06B52"/>
    <w:rsid w:val="00A83E94"/>
    <w:rsid w:val="00AC526C"/>
    <w:rsid w:val="00AC68F2"/>
    <w:rsid w:val="00AE73AE"/>
    <w:rsid w:val="00B00BA0"/>
    <w:rsid w:val="00B25A79"/>
    <w:rsid w:val="00B27884"/>
    <w:rsid w:val="00B36B5B"/>
    <w:rsid w:val="00B72864"/>
    <w:rsid w:val="00BD03C3"/>
    <w:rsid w:val="00C545B8"/>
    <w:rsid w:val="00C80CA1"/>
    <w:rsid w:val="00CE4391"/>
    <w:rsid w:val="00D040BE"/>
    <w:rsid w:val="00D2762F"/>
    <w:rsid w:val="00DA2B48"/>
    <w:rsid w:val="00DA695E"/>
    <w:rsid w:val="00DB46FF"/>
    <w:rsid w:val="00E20641"/>
    <w:rsid w:val="00E35A96"/>
    <w:rsid w:val="00E43794"/>
    <w:rsid w:val="00E442AF"/>
    <w:rsid w:val="00E749F4"/>
    <w:rsid w:val="00E8717C"/>
    <w:rsid w:val="00E96780"/>
    <w:rsid w:val="00EB72FA"/>
    <w:rsid w:val="00ED4A41"/>
    <w:rsid w:val="00EE255E"/>
    <w:rsid w:val="00EE42F8"/>
    <w:rsid w:val="00EF7838"/>
    <w:rsid w:val="00F60455"/>
    <w:rsid w:val="00F65A9C"/>
    <w:rsid w:val="00F95C0A"/>
    <w:rsid w:val="00FA2020"/>
    <w:rsid w:val="00FB1EFB"/>
    <w:rsid w:val="00FC683D"/>
    <w:rsid w:val="00FD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heading 4,Evidence on Demand bullet points,List Bullet Mary,List Paragraph (numbered (a)),Main Body Bullet"/>
    <w:basedOn w:val="Normal"/>
    <w:link w:val="ListParagraphChar"/>
    <w:uiPriority w:val="34"/>
    <w:qFormat/>
    <w:rsid w:val="007731F2"/>
    <w:pPr>
      <w:ind w:left="720"/>
      <w:contextualSpacing/>
    </w:pPr>
  </w:style>
  <w:style w:type="paragraph" w:styleId="NormalWeb">
    <w:name w:val="Normal (Web)"/>
    <w:basedOn w:val="Normal"/>
    <w:uiPriority w:val="99"/>
    <w:semiHidden/>
    <w:unhideWhenUsed/>
    <w:rsid w:val="007731F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836BC"/>
    <w:pPr>
      <w:tabs>
        <w:tab w:val="center" w:pos="4680"/>
        <w:tab w:val="right" w:pos="9360"/>
      </w:tabs>
    </w:pPr>
  </w:style>
  <w:style w:type="character" w:customStyle="1" w:styleId="HeaderChar">
    <w:name w:val="Header Char"/>
    <w:basedOn w:val="DefaultParagraphFont"/>
    <w:link w:val="Header"/>
    <w:uiPriority w:val="99"/>
    <w:rsid w:val="000836BC"/>
  </w:style>
  <w:style w:type="paragraph" w:styleId="Footer">
    <w:name w:val="footer"/>
    <w:basedOn w:val="Normal"/>
    <w:link w:val="FooterChar"/>
    <w:uiPriority w:val="99"/>
    <w:unhideWhenUsed/>
    <w:rsid w:val="000836BC"/>
    <w:pPr>
      <w:tabs>
        <w:tab w:val="center" w:pos="4680"/>
        <w:tab w:val="right" w:pos="9360"/>
      </w:tabs>
    </w:pPr>
  </w:style>
  <w:style w:type="character" w:customStyle="1" w:styleId="FooterChar">
    <w:name w:val="Footer Char"/>
    <w:basedOn w:val="DefaultParagraphFont"/>
    <w:link w:val="Footer"/>
    <w:uiPriority w:val="99"/>
    <w:rsid w:val="000836BC"/>
  </w:style>
  <w:style w:type="character" w:customStyle="1" w:styleId="ListParagraphChar">
    <w:name w:val="List Paragraph Char"/>
    <w:aliases w:val="Resume Title Char,Citation List Char,heading 4 Char,Evidence on Demand bullet points Char,List Bullet Mary Char,List Paragraph (numbered (a)) Char,Main Body Bullet Char"/>
    <w:basedOn w:val="DefaultParagraphFont"/>
    <w:link w:val="ListParagraph"/>
    <w:uiPriority w:val="34"/>
    <w:locked/>
    <w:rsid w:val="00461D48"/>
  </w:style>
  <w:style w:type="character" w:styleId="Hyperlink">
    <w:name w:val="Hyperlink"/>
    <w:basedOn w:val="DefaultParagraphFont"/>
    <w:uiPriority w:val="99"/>
    <w:unhideWhenUsed/>
    <w:rsid w:val="00904D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0505002">
      <w:bodyDiv w:val="1"/>
      <w:marLeft w:val="0"/>
      <w:marRight w:val="0"/>
      <w:marTop w:val="0"/>
      <w:marBottom w:val="0"/>
      <w:divBdr>
        <w:top w:val="none" w:sz="0" w:space="0" w:color="auto"/>
        <w:left w:val="none" w:sz="0" w:space="0" w:color="auto"/>
        <w:bottom w:val="none" w:sz="0" w:space="0" w:color="auto"/>
        <w:right w:val="none" w:sz="0" w:space="0" w:color="auto"/>
      </w:divBdr>
    </w:div>
    <w:div w:id="644284550">
      <w:bodyDiv w:val="1"/>
      <w:marLeft w:val="0"/>
      <w:marRight w:val="0"/>
      <w:marTop w:val="0"/>
      <w:marBottom w:val="0"/>
      <w:divBdr>
        <w:top w:val="none" w:sz="0" w:space="0" w:color="auto"/>
        <w:left w:val="none" w:sz="0" w:space="0" w:color="auto"/>
        <w:bottom w:val="none" w:sz="0" w:space="0" w:color="auto"/>
        <w:right w:val="none" w:sz="0" w:space="0" w:color="auto"/>
      </w:divBdr>
    </w:div>
    <w:div w:id="722750020">
      <w:bodyDiv w:val="1"/>
      <w:marLeft w:val="0"/>
      <w:marRight w:val="0"/>
      <w:marTop w:val="0"/>
      <w:marBottom w:val="0"/>
      <w:divBdr>
        <w:top w:val="none" w:sz="0" w:space="0" w:color="auto"/>
        <w:left w:val="none" w:sz="0" w:space="0" w:color="auto"/>
        <w:bottom w:val="none" w:sz="0" w:space="0" w:color="auto"/>
        <w:right w:val="none" w:sz="0" w:space="0" w:color="auto"/>
      </w:divBdr>
    </w:div>
    <w:div w:id="884105581">
      <w:bodyDiv w:val="1"/>
      <w:marLeft w:val="0"/>
      <w:marRight w:val="0"/>
      <w:marTop w:val="0"/>
      <w:marBottom w:val="0"/>
      <w:divBdr>
        <w:top w:val="none" w:sz="0" w:space="0" w:color="auto"/>
        <w:left w:val="none" w:sz="0" w:space="0" w:color="auto"/>
        <w:bottom w:val="none" w:sz="0" w:space="0" w:color="auto"/>
        <w:right w:val="none" w:sz="0" w:space="0" w:color="auto"/>
      </w:divBdr>
    </w:div>
    <w:div w:id="908030379">
      <w:bodyDiv w:val="1"/>
      <w:marLeft w:val="0"/>
      <w:marRight w:val="0"/>
      <w:marTop w:val="0"/>
      <w:marBottom w:val="0"/>
      <w:divBdr>
        <w:top w:val="none" w:sz="0" w:space="0" w:color="auto"/>
        <w:left w:val="none" w:sz="0" w:space="0" w:color="auto"/>
        <w:bottom w:val="none" w:sz="0" w:space="0" w:color="auto"/>
        <w:right w:val="none" w:sz="0" w:space="0" w:color="auto"/>
      </w:divBdr>
    </w:div>
    <w:div w:id="1376932777">
      <w:bodyDiv w:val="1"/>
      <w:marLeft w:val="0"/>
      <w:marRight w:val="0"/>
      <w:marTop w:val="0"/>
      <w:marBottom w:val="0"/>
      <w:divBdr>
        <w:top w:val="none" w:sz="0" w:space="0" w:color="auto"/>
        <w:left w:val="none" w:sz="0" w:space="0" w:color="auto"/>
        <w:bottom w:val="none" w:sz="0" w:space="0" w:color="auto"/>
        <w:right w:val="none" w:sz="0" w:space="0" w:color="auto"/>
      </w:divBdr>
    </w:div>
    <w:div w:id="1463232257">
      <w:bodyDiv w:val="1"/>
      <w:marLeft w:val="0"/>
      <w:marRight w:val="0"/>
      <w:marTop w:val="0"/>
      <w:marBottom w:val="0"/>
      <w:divBdr>
        <w:top w:val="none" w:sz="0" w:space="0" w:color="auto"/>
        <w:left w:val="none" w:sz="0" w:space="0" w:color="auto"/>
        <w:bottom w:val="none" w:sz="0" w:space="0" w:color="auto"/>
        <w:right w:val="none" w:sz="0" w:space="0" w:color="auto"/>
      </w:divBdr>
    </w:div>
    <w:div w:id="1514298218">
      <w:bodyDiv w:val="1"/>
      <w:marLeft w:val="0"/>
      <w:marRight w:val="0"/>
      <w:marTop w:val="0"/>
      <w:marBottom w:val="0"/>
      <w:divBdr>
        <w:top w:val="none" w:sz="0" w:space="0" w:color="auto"/>
        <w:left w:val="none" w:sz="0" w:space="0" w:color="auto"/>
        <w:bottom w:val="none" w:sz="0" w:space="0" w:color="auto"/>
        <w:right w:val="none" w:sz="0" w:space="0" w:color="auto"/>
      </w:divBdr>
    </w:div>
    <w:div w:id="1757244855">
      <w:bodyDiv w:val="1"/>
      <w:marLeft w:val="0"/>
      <w:marRight w:val="0"/>
      <w:marTop w:val="0"/>
      <w:marBottom w:val="0"/>
      <w:divBdr>
        <w:top w:val="none" w:sz="0" w:space="0" w:color="auto"/>
        <w:left w:val="none" w:sz="0" w:space="0" w:color="auto"/>
        <w:bottom w:val="none" w:sz="0" w:space="0" w:color="auto"/>
        <w:right w:val="none" w:sz="0" w:space="0" w:color="auto"/>
      </w:divBdr>
    </w:div>
    <w:div w:id="181240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4336B3-3B25-42CD-85AD-F150B0FD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Tinuola Dada</dc:creator>
  <cp:lastModifiedBy>PUMZA</cp:lastModifiedBy>
  <cp:revision>2</cp:revision>
  <cp:lastPrinted>2018-02-12T14:13:00Z</cp:lastPrinted>
  <dcterms:created xsi:type="dcterms:W3CDTF">2018-02-20T07:17:00Z</dcterms:created>
  <dcterms:modified xsi:type="dcterms:W3CDTF">2018-02-20T07:17:00Z</dcterms:modified>
</cp:coreProperties>
</file>