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3" w:rsidRPr="00C353B9" w:rsidRDefault="00184D13" w:rsidP="00893EE9">
      <w:pPr>
        <w:rPr>
          <w:rFonts w:cs="Arial"/>
          <w:sz w:val="24"/>
          <w:szCs w:val="24"/>
        </w:rPr>
      </w:pPr>
      <w:bookmarkStart w:id="0" w:name="_GoBack"/>
      <w:bookmarkEnd w:id="0"/>
    </w:p>
    <w:p w:rsidR="004166B1" w:rsidRDefault="004166B1" w:rsidP="00893EE9">
      <w:pPr>
        <w:rPr>
          <w:rFonts w:cs="Arial"/>
          <w:sz w:val="24"/>
          <w:szCs w:val="24"/>
        </w:rPr>
      </w:pPr>
    </w:p>
    <w:p w:rsidR="004166B1" w:rsidRDefault="004166B1" w:rsidP="00893EE9">
      <w:pPr>
        <w:rPr>
          <w:rFonts w:cs="Arial"/>
          <w:sz w:val="24"/>
          <w:szCs w:val="24"/>
        </w:rPr>
      </w:pPr>
    </w:p>
    <w:p w:rsidR="009A2690" w:rsidRPr="00C353B9" w:rsidRDefault="004166B1" w:rsidP="00893EE9">
      <w:pPr>
        <w:rPr>
          <w:rFonts w:cs="Arial"/>
          <w:sz w:val="24"/>
          <w:szCs w:val="24"/>
        </w:rPr>
      </w:pPr>
      <w:r>
        <w:rPr>
          <w:rFonts w:cs="Arial"/>
          <w:sz w:val="24"/>
          <w:szCs w:val="24"/>
        </w:rPr>
        <w:t>29 January 2017</w:t>
      </w:r>
      <w:r w:rsidR="00AD0A4E" w:rsidRPr="00C353B9">
        <w:rPr>
          <w:rFonts w:cs="Arial"/>
          <w:sz w:val="24"/>
          <w:szCs w:val="24"/>
        </w:rPr>
        <w:t xml:space="preserve"> </w:t>
      </w:r>
      <w:r w:rsidR="009A2690" w:rsidRPr="00C353B9">
        <w:rPr>
          <w:rFonts w:cs="Arial"/>
          <w:sz w:val="24"/>
          <w:szCs w:val="24"/>
        </w:rPr>
        <w:t xml:space="preserve"> </w:t>
      </w:r>
    </w:p>
    <w:p w:rsidR="009A2690" w:rsidRPr="00893EE9" w:rsidRDefault="009A2690" w:rsidP="00893EE9">
      <w:pPr>
        <w:pStyle w:val="ResearchTitle"/>
        <w:rPr>
          <w:rFonts w:cs="Arial"/>
        </w:rPr>
      </w:pPr>
    </w:p>
    <w:p w:rsidR="009A2690" w:rsidRDefault="004166B1" w:rsidP="004166B1">
      <w:pPr>
        <w:pStyle w:val="Title"/>
        <w:rPr>
          <w:color w:val="auto"/>
        </w:rPr>
      </w:pPr>
      <w:r>
        <w:rPr>
          <w:color w:val="auto"/>
        </w:rPr>
        <w:t>development bank of south africa – brief summary of 2017 annual report</w:t>
      </w:r>
    </w:p>
    <w:p w:rsidR="004166B1" w:rsidRDefault="004166B1" w:rsidP="004166B1"/>
    <w:p w:rsidR="004166B1" w:rsidRDefault="004166B1" w:rsidP="004166B1"/>
    <w:p w:rsidR="004166B1" w:rsidRPr="004166B1" w:rsidRDefault="004166B1" w:rsidP="004166B1">
      <w:pPr>
        <w:pStyle w:val="ListParagraph"/>
        <w:numPr>
          <w:ilvl w:val="0"/>
          <w:numId w:val="29"/>
        </w:numPr>
        <w:rPr>
          <w:rFonts w:eastAsia="Times New Roman" w:cs="Times New Roman"/>
          <w:b/>
          <w:bCs/>
          <w:color w:val="000000"/>
          <w:spacing w:val="6"/>
          <w:sz w:val="24"/>
          <w:szCs w:val="24"/>
          <w:lang w:eastAsia="en-GB"/>
        </w:rPr>
      </w:pPr>
      <w:r w:rsidRPr="004166B1">
        <w:rPr>
          <w:rFonts w:eastAsia="Times New Roman" w:cs="Times New Roman"/>
          <w:b/>
          <w:bCs/>
          <w:color w:val="000000"/>
          <w:spacing w:val="6"/>
          <w:sz w:val="24"/>
          <w:szCs w:val="24"/>
          <w:lang w:eastAsia="en-GB"/>
        </w:rPr>
        <w:t>BACKGROUND</w:t>
      </w:r>
    </w:p>
    <w:p w:rsidR="004166B1" w:rsidRPr="004166B1" w:rsidRDefault="004166B1" w:rsidP="004166B1">
      <w:pPr>
        <w:tabs>
          <w:tab w:val="num" w:pos="720"/>
        </w:tabs>
        <w:rPr>
          <w:rFonts w:eastAsia="Times New Roman" w:cs="Times New Roman"/>
          <w:bCs/>
          <w:color w:val="000000"/>
          <w:spacing w:val="6"/>
          <w:sz w:val="24"/>
          <w:szCs w:val="24"/>
          <w:lang w:eastAsia="en-GB"/>
        </w:rPr>
      </w:pPr>
    </w:p>
    <w:p w:rsidR="004166B1" w:rsidRDefault="004166B1" w:rsidP="004166B1">
      <w:pPr>
        <w:tabs>
          <w:tab w:val="num" w:pos="720"/>
        </w:tabs>
        <w:rPr>
          <w:rFonts w:eastAsia="Times New Roman" w:cs="Times New Roman"/>
          <w:bCs/>
          <w:color w:val="000000"/>
          <w:spacing w:val="6"/>
          <w:sz w:val="24"/>
          <w:szCs w:val="24"/>
          <w:lang w:eastAsia="en-GB"/>
        </w:rPr>
      </w:pPr>
      <w:r w:rsidRPr="004166B1">
        <w:rPr>
          <w:rFonts w:eastAsia="Times New Roman" w:cs="Times New Roman"/>
          <w:bCs/>
          <w:color w:val="000000"/>
          <w:spacing w:val="6"/>
          <w:sz w:val="24"/>
          <w:szCs w:val="24"/>
          <w:lang w:eastAsia="en-GB"/>
        </w:rPr>
        <w:t>The D</w:t>
      </w:r>
      <w:r w:rsidR="00533467">
        <w:rPr>
          <w:rFonts w:eastAsia="Times New Roman" w:cs="Times New Roman"/>
          <w:bCs/>
          <w:color w:val="000000"/>
          <w:spacing w:val="6"/>
          <w:sz w:val="24"/>
          <w:szCs w:val="24"/>
          <w:lang w:eastAsia="en-GB"/>
        </w:rPr>
        <w:t xml:space="preserve">evelopment </w:t>
      </w:r>
      <w:r w:rsidRPr="004166B1">
        <w:rPr>
          <w:rFonts w:eastAsia="Times New Roman" w:cs="Times New Roman"/>
          <w:bCs/>
          <w:color w:val="000000"/>
          <w:spacing w:val="6"/>
          <w:sz w:val="24"/>
          <w:szCs w:val="24"/>
          <w:lang w:eastAsia="en-GB"/>
        </w:rPr>
        <w:t>B</w:t>
      </w:r>
      <w:r w:rsidR="00533467">
        <w:rPr>
          <w:rFonts w:eastAsia="Times New Roman" w:cs="Times New Roman"/>
          <w:bCs/>
          <w:color w:val="000000"/>
          <w:spacing w:val="6"/>
          <w:sz w:val="24"/>
          <w:szCs w:val="24"/>
          <w:lang w:eastAsia="en-GB"/>
        </w:rPr>
        <w:t xml:space="preserve">ank of </w:t>
      </w:r>
      <w:r w:rsidRPr="004166B1">
        <w:rPr>
          <w:rFonts w:eastAsia="Times New Roman" w:cs="Times New Roman"/>
          <w:bCs/>
          <w:color w:val="000000"/>
          <w:spacing w:val="6"/>
          <w:sz w:val="24"/>
          <w:szCs w:val="24"/>
          <w:lang w:eastAsia="en-GB"/>
        </w:rPr>
        <w:t>S</w:t>
      </w:r>
      <w:r w:rsidR="00533467">
        <w:rPr>
          <w:rFonts w:eastAsia="Times New Roman" w:cs="Times New Roman"/>
          <w:bCs/>
          <w:color w:val="000000"/>
          <w:spacing w:val="6"/>
          <w:sz w:val="24"/>
          <w:szCs w:val="24"/>
          <w:lang w:eastAsia="en-GB"/>
        </w:rPr>
        <w:t xml:space="preserve">outh </w:t>
      </w:r>
      <w:r w:rsidRPr="004166B1">
        <w:rPr>
          <w:rFonts w:eastAsia="Times New Roman" w:cs="Times New Roman"/>
          <w:bCs/>
          <w:color w:val="000000"/>
          <w:spacing w:val="6"/>
          <w:sz w:val="24"/>
          <w:szCs w:val="24"/>
          <w:lang w:eastAsia="en-GB"/>
        </w:rPr>
        <w:t>A</w:t>
      </w:r>
      <w:r w:rsidR="00533467">
        <w:rPr>
          <w:rFonts w:eastAsia="Times New Roman" w:cs="Times New Roman"/>
          <w:bCs/>
          <w:color w:val="000000"/>
          <w:spacing w:val="6"/>
          <w:sz w:val="24"/>
          <w:szCs w:val="24"/>
          <w:lang w:eastAsia="en-GB"/>
        </w:rPr>
        <w:t>frica (DBSA)</w:t>
      </w:r>
      <w:r w:rsidRPr="004166B1">
        <w:rPr>
          <w:rFonts w:eastAsia="Times New Roman" w:cs="Times New Roman"/>
          <w:bCs/>
          <w:color w:val="000000"/>
          <w:spacing w:val="6"/>
          <w:sz w:val="24"/>
          <w:szCs w:val="24"/>
          <w:lang w:eastAsia="en-GB"/>
        </w:rPr>
        <w:t xml:space="preserve"> is constituted in terms of the Development Bank of Southern Africa Act, No 13 of 1997 (Amended Act No 41 of 2014) as a development finance institution wholly owned by the South African government. The geographic mandate of the Bank has been extended beyond the Southern African Development Community (SADC) to any country on the African continent and its oceanic islands.</w:t>
      </w:r>
    </w:p>
    <w:p w:rsidR="004166B1" w:rsidRDefault="004166B1" w:rsidP="004166B1">
      <w:pPr>
        <w:tabs>
          <w:tab w:val="num" w:pos="720"/>
        </w:tabs>
        <w:rPr>
          <w:rFonts w:eastAsia="Times New Roman" w:cs="Times New Roman"/>
          <w:bCs/>
          <w:color w:val="000000"/>
          <w:spacing w:val="6"/>
          <w:sz w:val="24"/>
          <w:szCs w:val="24"/>
          <w:lang w:eastAsia="en-GB"/>
        </w:rPr>
      </w:pPr>
    </w:p>
    <w:p w:rsidR="004166B1" w:rsidRPr="004166B1" w:rsidRDefault="004166B1" w:rsidP="004166B1">
      <w:pPr>
        <w:tabs>
          <w:tab w:val="num" w:pos="720"/>
        </w:tabs>
        <w:rPr>
          <w:rFonts w:eastAsia="Times New Roman" w:cs="Times New Roman"/>
          <w:bCs/>
          <w:color w:val="000000"/>
          <w:spacing w:val="6"/>
          <w:sz w:val="24"/>
          <w:szCs w:val="24"/>
          <w:lang w:eastAsia="en-GB"/>
        </w:rPr>
      </w:pPr>
      <w:r w:rsidRPr="004166B1">
        <w:rPr>
          <w:rFonts w:eastAsia="Times New Roman" w:cs="Times New Roman"/>
          <w:bCs/>
          <w:color w:val="000000"/>
          <w:spacing w:val="6"/>
          <w:sz w:val="24"/>
          <w:szCs w:val="24"/>
          <w:lang w:eastAsia="en-GB"/>
        </w:rPr>
        <w:t xml:space="preserve">The Bank aims to deepen its development impact in South Africa and the rest of the African continent by expanding access to development finance while effectively integrating and implementing sustainable development solutions. Since its founding in 1983, the DBSA has expanded its role to serve as financier, advisor, partner, implementer and integrator to the benefit of its clients. </w:t>
      </w:r>
    </w:p>
    <w:p w:rsidR="004166B1" w:rsidRDefault="004166B1" w:rsidP="004166B1">
      <w:pPr>
        <w:tabs>
          <w:tab w:val="num" w:pos="720"/>
        </w:tabs>
        <w:rPr>
          <w:rFonts w:eastAsia="Times New Roman" w:cs="Times New Roman"/>
          <w:bCs/>
          <w:color w:val="000000"/>
          <w:spacing w:val="6"/>
          <w:sz w:val="24"/>
          <w:szCs w:val="24"/>
          <w:lang w:eastAsia="en-GB"/>
        </w:rPr>
      </w:pPr>
    </w:p>
    <w:p w:rsidR="004166B1" w:rsidRPr="004166B1" w:rsidRDefault="004166B1" w:rsidP="004166B1">
      <w:pPr>
        <w:tabs>
          <w:tab w:val="num" w:pos="720"/>
        </w:tabs>
        <w:rPr>
          <w:rFonts w:eastAsia="Times New Roman" w:cs="Times New Roman"/>
          <w:bCs/>
          <w:color w:val="000000"/>
          <w:spacing w:val="6"/>
          <w:sz w:val="24"/>
          <w:szCs w:val="24"/>
          <w:lang w:eastAsia="en-GB"/>
        </w:rPr>
      </w:pPr>
      <w:r w:rsidRPr="004166B1">
        <w:rPr>
          <w:rFonts w:eastAsia="Times New Roman" w:cs="Times New Roman"/>
          <w:bCs/>
          <w:color w:val="000000"/>
          <w:spacing w:val="6"/>
          <w:sz w:val="24"/>
          <w:szCs w:val="24"/>
          <w:lang w:eastAsia="en-GB"/>
        </w:rPr>
        <w:t>The bank is further regulated by the Public Finance Management Act, No 1 of 1999 (PFMA), the principles of the King Code of Governance Principles for South Africa 2016 (King IV) and the Protocol on Corporate Governance in the Public Sector. The DBSA’s mandate is defined in section 3 of the DBSA Act.</w:t>
      </w:r>
    </w:p>
    <w:p w:rsidR="004166B1" w:rsidRPr="004166B1" w:rsidRDefault="004166B1" w:rsidP="004166B1">
      <w:pPr>
        <w:rPr>
          <w:rFonts w:eastAsia="Times New Roman" w:cs="Times New Roman"/>
          <w:bCs/>
          <w:color w:val="000000"/>
          <w:spacing w:val="6"/>
          <w:sz w:val="24"/>
          <w:szCs w:val="24"/>
          <w:lang w:eastAsia="en-GB"/>
        </w:rPr>
      </w:pPr>
    </w:p>
    <w:p w:rsidR="004166B1" w:rsidRPr="004166B1" w:rsidRDefault="004166B1" w:rsidP="004166B1">
      <w:pPr>
        <w:pStyle w:val="ListParagraph"/>
        <w:numPr>
          <w:ilvl w:val="0"/>
          <w:numId w:val="29"/>
        </w:numPr>
        <w:rPr>
          <w:rFonts w:eastAsia="Times New Roman" w:cs="Times New Roman"/>
          <w:bCs/>
          <w:color w:val="000000"/>
          <w:spacing w:val="6"/>
          <w:sz w:val="24"/>
          <w:szCs w:val="24"/>
          <w:lang w:eastAsia="en-GB"/>
        </w:rPr>
      </w:pPr>
      <w:r w:rsidRPr="004166B1">
        <w:rPr>
          <w:rFonts w:eastAsia="Times New Roman" w:cs="Times New Roman"/>
          <w:b/>
          <w:bCs/>
          <w:color w:val="000000"/>
          <w:spacing w:val="6"/>
          <w:sz w:val="24"/>
          <w:szCs w:val="24"/>
          <w:lang w:eastAsia="en-GB"/>
        </w:rPr>
        <w:t>MANDATE</w:t>
      </w:r>
    </w:p>
    <w:p w:rsidR="004166B1" w:rsidRPr="004166B1" w:rsidRDefault="004166B1" w:rsidP="004166B1">
      <w:pPr>
        <w:rPr>
          <w:rFonts w:eastAsia="Times New Roman" w:cs="Times New Roman"/>
          <w:bCs/>
          <w:color w:val="000000"/>
          <w:spacing w:val="6"/>
          <w:sz w:val="24"/>
          <w:szCs w:val="24"/>
          <w:lang w:eastAsia="en-GB"/>
        </w:rPr>
      </w:pPr>
    </w:p>
    <w:p w:rsidR="004166B1" w:rsidRPr="004166B1" w:rsidRDefault="004166B1" w:rsidP="004166B1">
      <w:pPr>
        <w:rPr>
          <w:rFonts w:eastAsia="Times New Roman" w:cs="Times New Roman"/>
          <w:bCs/>
          <w:color w:val="000000"/>
          <w:spacing w:val="6"/>
          <w:sz w:val="24"/>
          <w:szCs w:val="24"/>
          <w:lang w:eastAsia="en-GB"/>
        </w:rPr>
      </w:pPr>
      <w:r w:rsidRPr="004166B1">
        <w:rPr>
          <w:rFonts w:eastAsia="Times New Roman" w:cs="Times New Roman"/>
          <w:bCs/>
          <w:color w:val="000000"/>
          <w:spacing w:val="6"/>
          <w:sz w:val="24"/>
          <w:szCs w:val="24"/>
          <w:lang w:eastAsia="en-GB"/>
        </w:rPr>
        <w:t>At the core of their mandate, the DBSA seeks to play a pivotal role in delivering developmental infrastructure in South Africa. DBSA’s strategy is driven by the need to create world-class infrastructure catalysing capabilities in an ever increasing competitive environment. The DBSA has refined its strategic objectives to support its transformation journey consisting of sustained growth in developmental impact, providing integrated infrastructure solutions and maintain financial sustainability.</w:t>
      </w:r>
    </w:p>
    <w:p w:rsidR="004166B1" w:rsidRPr="004166B1" w:rsidRDefault="004166B1" w:rsidP="004166B1">
      <w:pPr>
        <w:rPr>
          <w:rFonts w:eastAsia="Times New Roman" w:cs="Times New Roman"/>
          <w:bCs/>
          <w:color w:val="000000"/>
          <w:spacing w:val="6"/>
          <w:sz w:val="24"/>
          <w:szCs w:val="24"/>
          <w:lang w:eastAsia="en-GB"/>
        </w:rPr>
      </w:pPr>
    </w:p>
    <w:p w:rsidR="004166B1" w:rsidRPr="004166B1" w:rsidRDefault="004166B1" w:rsidP="004166B1">
      <w:pPr>
        <w:rPr>
          <w:lang w:val="en-US"/>
        </w:rPr>
      </w:pPr>
    </w:p>
    <w:p w:rsidR="004166B1" w:rsidRPr="004166B1" w:rsidRDefault="004166B1" w:rsidP="004166B1">
      <w:pPr>
        <w:pStyle w:val="ListParagraph"/>
        <w:numPr>
          <w:ilvl w:val="0"/>
          <w:numId w:val="29"/>
        </w:numPr>
        <w:rPr>
          <w:b/>
          <w:lang w:val="en-US"/>
        </w:rPr>
      </w:pPr>
      <w:r w:rsidRPr="004166B1">
        <w:rPr>
          <w:rFonts w:eastAsia="Times New Roman" w:cs="Times New Roman"/>
          <w:b/>
          <w:bCs/>
          <w:color w:val="000000"/>
          <w:spacing w:val="6"/>
          <w:sz w:val="24"/>
          <w:szCs w:val="24"/>
          <w:lang w:eastAsia="en-GB"/>
        </w:rPr>
        <w:t>KEY PERFORMANCE INDICATORS AND TARGETS</w:t>
      </w:r>
    </w:p>
    <w:p w:rsidR="004166B1" w:rsidRPr="004166B1" w:rsidRDefault="004166B1" w:rsidP="004166B1">
      <w:pPr>
        <w:rPr>
          <w:lang w:val="en-US"/>
        </w:rPr>
      </w:pPr>
    </w:p>
    <w:p w:rsidR="004166B1" w:rsidRPr="004166B1" w:rsidRDefault="004166B1" w:rsidP="004166B1">
      <w:pPr>
        <w:rPr>
          <w:rFonts w:eastAsia="Times New Roman" w:cs="Times New Roman"/>
          <w:bCs/>
          <w:color w:val="000000"/>
          <w:spacing w:val="6"/>
          <w:sz w:val="24"/>
          <w:szCs w:val="24"/>
          <w:lang w:eastAsia="en-GB"/>
        </w:rPr>
      </w:pPr>
      <w:r w:rsidRPr="004166B1">
        <w:rPr>
          <w:rFonts w:eastAsia="Times New Roman" w:cs="Times New Roman"/>
          <w:bCs/>
          <w:color w:val="000000"/>
          <w:spacing w:val="6"/>
          <w:sz w:val="24"/>
          <w:szCs w:val="24"/>
          <w:lang w:eastAsia="en-GB"/>
        </w:rPr>
        <w:t xml:space="preserve">The table </w:t>
      </w:r>
      <w:r>
        <w:rPr>
          <w:rFonts w:eastAsia="Times New Roman" w:cs="Times New Roman"/>
          <w:bCs/>
          <w:color w:val="000000"/>
          <w:spacing w:val="6"/>
          <w:sz w:val="24"/>
          <w:szCs w:val="24"/>
          <w:lang w:eastAsia="en-GB"/>
        </w:rPr>
        <w:t>below</w:t>
      </w:r>
      <w:r w:rsidRPr="004166B1">
        <w:rPr>
          <w:rFonts w:eastAsia="Times New Roman" w:cs="Times New Roman"/>
          <w:bCs/>
          <w:color w:val="000000"/>
          <w:spacing w:val="6"/>
          <w:sz w:val="24"/>
          <w:szCs w:val="24"/>
          <w:lang w:eastAsia="en-GB"/>
        </w:rPr>
        <w:t xml:space="preserve"> compares the planned and related actual performance on the high-level corporate strategic objectives for 2017</w:t>
      </w:r>
      <w:r>
        <w:rPr>
          <w:rFonts w:eastAsia="Times New Roman" w:cs="Times New Roman"/>
          <w:bCs/>
          <w:color w:val="000000"/>
          <w:spacing w:val="6"/>
          <w:sz w:val="24"/>
          <w:szCs w:val="24"/>
          <w:lang w:eastAsia="en-GB"/>
        </w:rPr>
        <w:t>.</w:t>
      </w:r>
    </w:p>
    <w:p w:rsidR="004166B1" w:rsidRPr="004166B1" w:rsidRDefault="004166B1" w:rsidP="004166B1">
      <w:pPr>
        <w:rPr>
          <w:rFonts w:eastAsia="Times New Roman" w:cs="Times New Roman"/>
          <w:bCs/>
          <w:color w:val="000000"/>
          <w:spacing w:val="6"/>
          <w:sz w:val="24"/>
          <w:szCs w:val="24"/>
          <w:lang w:eastAsia="en-GB"/>
        </w:rPr>
      </w:pPr>
    </w:p>
    <w:p w:rsidR="004166B1" w:rsidRPr="004166B1" w:rsidRDefault="004166B1" w:rsidP="004166B1">
      <w:pPr>
        <w:rPr>
          <w:rFonts w:eastAsia="Times New Roman" w:cs="Times New Roman"/>
          <w:bCs/>
          <w:color w:val="000000"/>
          <w:spacing w:val="6"/>
          <w:sz w:val="24"/>
          <w:szCs w:val="24"/>
          <w:lang w:eastAsia="en-GB"/>
        </w:rPr>
      </w:pPr>
    </w:p>
    <w:tbl>
      <w:tblPr>
        <w:tblStyle w:val="TableGrid"/>
        <w:tblW w:w="10201" w:type="dxa"/>
        <w:tblLook w:val="04A0"/>
      </w:tblPr>
      <w:tblGrid>
        <w:gridCol w:w="2405"/>
        <w:gridCol w:w="1985"/>
        <w:gridCol w:w="1559"/>
        <w:gridCol w:w="1559"/>
        <w:gridCol w:w="2693"/>
      </w:tblGrid>
      <w:tr w:rsidR="004166B1" w:rsidRPr="004166B1" w:rsidTr="001F0EA8">
        <w:tc>
          <w:tcPr>
            <w:tcW w:w="2405" w:type="dxa"/>
          </w:tcPr>
          <w:p w:rsidR="004166B1" w:rsidRPr="004166B1" w:rsidRDefault="004166B1" w:rsidP="004166B1">
            <w:pPr>
              <w:rPr>
                <w:b/>
                <w:lang w:val="en-US"/>
              </w:rPr>
            </w:pPr>
            <w:r w:rsidRPr="004166B1">
              <w:rPr>
                <w:b/>
                <w:lang w:val="en-US"/>
              </w:rPr>
              <w:lastRenderedPageBreak/>
              <w:t>Objective</w:t>
            </w:r>
          </w:p>
        </w:tc>
        <w:tc>
          <w:tcPr>
            <w:tcW w:w="1985" w:type="dxa"/>
          </w:tcPr>
          <w:p w:rsidR="004166B1" w:rsidRPr="004166B1" w:rsidRDefault="004166B1" w:rsidP="004166B1">
            <w:pPr>
              <w:rPr>
                <w:b/>
                <w:lang w:val="en-US"/>
              </w:rPr>
            </w:pPr>
            <w:r w:rsidRPr="004166B1">
              <w:rPr>
                <w:b/>
                <w:lang w:val="en-US"/>
              </w:rPr>
              <w:t>Key Performance Indicator</w:t>
            </w:r>
          </w:p>
        </w:tc>
        <w:tc>
          <w:tcPr>
            <w:tcW w:w="1559" w:type="dxa"/>
          </w:tcPr>
          <w:p w:rsidR="004166B1" w:rsidRPr="004166B1" w:rsidRDefault="004166B1" w:rsidP="004166B1">
            <w:pPr>
              <w:rPr>
                <w:b/>
                <w:lang w:val="en-US"/>
              </w:rPr>
            </w:pPr>
            <w:r w:rsidRPr="004166B1">
              <w:rPr>
                <w:b/>
                <w:lang w:val="en-US"/>
              </w:rPr>
              <w:t xml:space="preserve">Target </w:t>
            </w:r>
          </w:p>
        </w:tc>
        <w:tc>
          <w:tcPr>
            <w:tcW w:w="1559" w:type="dxa"/>
          </w:tcPr>
          <w:p w:rsidR="004166B1" w:rsidRPr="004166B1" w:rsidRDefault="004166B1" w:rsidP="004166B1">
            <w:pPr>
              <w:rPr>
                <w:b/>
                <w:lang w:val="en-US"/>
              </w:rPr>
            </w:pPr>
            <w:r w:rsidRPr="004166B1">
              <w:rPr>
                <w:b/>
                <w:lang w:val="en-US"/>
              </w:rPr>
              <w:t xml:space="preserve">Actual </w:t>
            </w:r>
          </w:p>
        </w:tc>
        <w:tc>
          <w:tcPr>
            <w:tcW w:w="2693" w:type="dxa"/>
          </w:tcPr>
          <w:p w:rsidR="004166B1" w:rsidRPr="004166B1" w:rsidRDefault="004166B1" w:rsidP="004166B1">
            <w:pPr>
              <w:rPr>
                <w:b/>
                <w:lang w:val="en-US"/>
              </w:rPr>
            </w:pPr>
            <w:r w:rsidRPr="004166B1">
              <w:rPr>
                <w:b/>
                <w:lang w:val="en-US"/>
              </w:rPr>
              <w:t>Achieved/Not Achieved</w:t>
            </w:r>
          </w:p>
        </w:tc>
      </w:tr>
      <w:tr w:rsidR="004166B1" w:rsidRPr="004166B1" w:rsidTr="001F0EA8">
        <w:tc>
          <w:tcPr>
            <w:tcW w:w="10201" w:type="dxa"/>
            <w:gridSpan w:val="5"/>
            <w:shd w:val="clear" w:color="auto" w:fill="5B9BD5" w:themeFill="accent1"/>
          </w:tcPr>
          <w:p w:rsidR="004166B1" w:rsidRPr="004166B1" w:rsidRDefault="004166B1" w:rsidP="004166B1">
            <w:pPr>
              <w:rPr>
                <w:lang w:val="en-US"/>
              </w:rPr>
            </w:pPr>
            <w:r w:rsidRPr="004166B1">
              <w:rPr>
                <w:lang w:val="en-US"/>
              </w:rPr>
              <w:t>CUSTOMER PERSPECTIVE (47%)</w:t>
            </w:r>
          </w:p>
        </w:tc>
      </w:tr>
      <w:tr w:rsidR="004166B1" w:rsidRPr="004166B1" w:rsidTr="001F0EA8">
        <w:tc>
          <w:tcPr>
            <w:tcW w:w="2405" w:type="dxa"/>
            <w:vMerge w:val="restart"/>
          </w:tcPr>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r w:rsidRPr="004166B1">
              <w:rPr>
                <w:lang w:val="en-US"/>
              </w:rPr>
              <w:t>Sustained growth in development impact</w:t>
            </w: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r w:rsidRPr="004166B1">
              <w:rPr>
                <w:lang w:val="en-US"/>
              </w:rPr>
              <w:t>Providing integrated infrastructure solutions</w:t>
            </w:r>
          </w:p>
        </w:tc>
        <w:tc>
          <w:tcPr>
            <w:tcW w:w="7796" w:type="dxa"/>
            <w:gridSpan w:val="4"/>
          </w:tcPr>
          <w:p w:rsidR="004166B1" w:rsidRPr="004166B1" w:rsidRDefault="004166B1" w:rsidP="004166B1">
            <w:pPr>
              <w:rPr>
                <w:lang w:val="en-US"/>
              </w:rPr>
            </w:pPr>
            <w:r w:rsidRPr="004166B1">
              <w:rPr>
                <w:lang w:val="en-US"/>
              </w:rPr>
              <w:t xml:space="preserve">Project Preparation </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 xml:space="preserve">Gross value of bankable projects prepared </w:t>
            </w:r>
          </w:p>
        </w:tc>
        <w:tc>
          <w:tcPr>
            <w:tcW w:w="1559" w:type="dxa"/>
          </w:tcPr>
          <w:p w:rsidR="004166B1" w:rsidRPr="004166B1" w:rsidRDefault="004166B1" w:rsidP="004166B1">
            <w:pPr>
              <w:rPr>
                <w:lang w:val="en-US"/>
              </w:rPr>
            </w:pPr>
            <w:r w:rsidRPr="004166B1">
              <w:rPr>
                <w:lang w:val="en-US"/>
              </w:rPr>
              <w:t xml:space="preserve">R9.0 billion </w:t>
            </w:r>
          </w:p>
        </w:tc>
        <w:tc>
          <w:tcPr>
            <w:tcW w:w="1559" w:type="dxa"/>
          </w:tcPr>
          <w:p w:rsidR="004166B1" w:rsidRPr="004166B1" w:rsidRDefault="004166B1" w:rsidP="004166B1">
            <w:pPr>
              <w:rPr>
                <w:lang w:val="en-US"/>
              </w:rPr>
            </w:pPr>
            <w:r w:rsidRPr="004166B1">
              <w:rPr>
                <w:lang w:val="en-US"/>
              </w:rPr>
              <w:t xml:space="preserve">R0.6 billion </w:t>
            </w:r>
          </w:p>
        </w:tc>
        <w:tc>
          <w:tcPr>
            <w:tcW w:w="2693" w:type="dxa"/>
          </w:tcPr>
          <w:p w:rsidR="004166B1" w:rsidRPr="004166B1" w:rsidRDefault="004166B1" w:rsidP="004166B1">
            <w:pPr>
              <w:rPr>
                <w:lang w:val="en-US"/>
              </w:rPr>
            </w:pPr>
            <w:r w:rsidRPr="004166B1">
              <w:rPr>
                <w:lang w:val="en-US"/>
              </w:rPr>
              <w:t>Not achieved</w:t>
            </w:r>
          </w:p>
        </w:tc>
      </w:tr>
      <w:tr w:rsidR="004166B1" w:rsidRPr="004166B1" w:rsidTr="001F0EA8">
        <w:tc>
          <w:tcPr>
            <w:tcW w:w="2405" w:type="dxa"/>
            <w:vMerge/>
          </w:tcPr>
          <w:p w:rsidR="004166B1" w:rsidRPr="004166B1" w:rsidRDefault="004166B1" w:rsidP="004166B1">
            <w:pPr>
              <w:rPr>
                <w:lang w:val="en-US"/>
              </w:rPr>
            </w:pPr>
          </w:p>
        </w:tc>
        <w:tc>
          <w:tcPr>
            <w:tcW w:w="7796" w:type="dxa"/>
            <w:gridSpan w:val="4"/>
            <w:shd w:val="clear" w:color="auto" w:fill="9CC2E5" w:themeFill="accent1" w:themeFillTint="99"/>
          </w:tcPr>
          <w:p w:rsidR="004166B1" w:rsidRPr="004166B1" w:rsidRDefault="004166B1" w:rsidP="004166B1">
            <w:pPr>
              <w:rPr>
                <w:lang w:val="en-US"/>
              </w:rPr>
            </w:pPr>
            <w:r w:rsidRPr="004166B1">
              <w:rPr>
                <w:lang w:val="en-US"/>
              </w:rPr>
              <w:t>Infrastructure financing</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Total value of infrastructure unlocked</w:t>
            </w:r>
          </w:p>
        </w:tc>
        <w:tc>
          <w:tcPr>
            <w:tcW w:w="1559" w:type="dxa"/>
          </w:tcPr>
          <w:p w:rsidR="004166B1" w:rsidRPr="004166B1" w:rsidRDefault="004166B1" w:rsidP="004166B1">
            <w:pPr>
              <w:rPr>
                <w:lang w:val="en-US"/>
              </w:rPr>
            </w:pPr>
            <w:r w:rsidRPr="004166B1">
              <w:rPr>
                <w:lang w:val="en-US"/>
              </w:rPr>
              <w:t xml:space="preserve">R35.2 billion </w:t>
            </w:r>
          </w:p>
        </w:tc>
        <w:tc>
          <w:tcPr>
            <w:tcW w:w="1559" w:type="dxa"/>
          </w:tcPr>
          <w:p w:rsidR="004166B1" w:rsidRPr="004166B1" w:rsidRDefault="004166B1" w:rsidP="004166B1">
            <w:pPr>
              <w:rPr>
                <w:lang w:val="en-US"/>
              </w:rPr>
            </w:pPr>
            <w:r w:rsidRPr="004166B1">
              <w:rPr>
                <w:lang w:val="en-US"/>
              </w:rPr>
              <w:t xml:space="preserve">R48.2 billion </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Value of third party funds catalysed by the DBSA</w:t>
            </w:r>
          </w:p>
        </w:tc>
        <w:tc>
          <w:tcPr>
            <w:tcW w:w="1559" w:type="dxa"/>
          </w:tcPr>
          <w:p w:rsidR="004166B1" w:rsidRPr="004166B1" w:rsidRDefault="004166B1" w:rsidP="004166B1">
            <w:pPr>
              <w:rPr>
                <w:lang w:val="en-US"/>
              </w:rPr>
            </w:pPr>
            <w:r w:rsidRPr="004166B1">
              <w:rPr>
                <w:lang w:val="en-US"/>
              </w:rPr>
              <w:t>R5.6 billion</w:t>
            </w:r>
          </w:p>
        </w:tc>
        <w:tc>
          <w:tcPr>
            <w:tcW w:w="1559" w:type="dxa"/>
          </w:tcPr>
          <w:p w:rsidR="004166B1" w:rsidRPr="004166B1" w:rsidRDefault="004166B1" w:rsidP="004166B1">
            <w:pPr>
              <w:rPr>
                <w:lang w:val="en-US"/>
              </w:rPr>
            </w:pPr>
            <w:r w:rsidRPr="004166B1">
              <w:rPr>
                <w:lang w:val="en-US"/>
              </w:rPr>
              <w:t>R31.9 billion</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Value of infrastructure disbursements</w:t>
            </w:r>
          </w:p>
        </w:tc>
        <w:tc>
          <w:tcPr>
            <w:tcW w:w="1559" w:type="dxa"/>
          </w:tcPr>
          <w:p w:rsidR="004166B1" w:rsidRPr="004166B1" w:rsidRDefault="004166B1" w:rsidP="004166B1">
            <w:pPr>
              <w:rPr>
                <w:lang w:val="en-US"/>
              </w:rPr>
            </w:pPr>
            <w:r w:rsidRPr="004166B1">
              <w:rPr>
                <w:lang w:val="en-US"/>
              </w:rPr>
              <w:t xml:space="preserve">R16.4 billion </w:t>
            </w:r>
          </w:p>
        </w:tc>
        <w:tc>
          <w:tcPr>
            <w:tcW w:w="1559" w:type="dxa"/>
          </w:tcPr>
          <w:p w:rsidR="004166B1" w:rsidRPr="004166B1" w:rsidRDefault="004166B1" w:rsidP="004166B1">
            <w:pPr>
              <w:rPr>
                <w:lang w:val="en-US"/>
              </w:rPr>
            </w:pPr>
            <w:r w:rsidRPr="004166B1">
              <w:rPr>
                <w:lang w:val="en-US"/>
              </w:rPr>
              <w:t xml:space="preserve">R12.4 billion </w:t>
            </w:r>
          </w:p>
        </w:tc>
        <w:tc>
          <w:tcPr>
            <w:tcW w:w="2693" w:type="dxa"/>
          </w:tcPr>
          <w:p w:rsidR="004166B1" w:rsidRPr="004166B1" w:rsidRDefault="004166B1" w:rsidP="004166B1">
            <w:pPr>
              <w:rPr>
                <w:lang w:val="en-US"/>
              </w:rPr>
            </w:pPr>
            <w:r w:rsidRPr="004166B1">
              <w:rPr>
                <w:lang w:val="en-US"/>
              </w:rPr>
              <w:t>Not achieved</w:t>
            </w:r>
          </w:p>
        </w:tc>
      </w:tr>
      <w:tr w:rsidR="004166B1" w:rsidRPr="004166B1" w:rsidTr="001F0EA8">
        <w:tc>
          <w:tcPr>
            <w:tcW w:w="2405" w:type="dxa"/>
          </w:tcPr>
          <w:p w:rsidR="004166B1" w:rsidRPr="004166B1" w:rsidRDefault="004166B1" w:rsidP="004166B1">
            <w:pPr>
              <w:rPr>
                <w:lang w:val="en-US"/>
              </w:rPr>
            </w:pPr>
          </w:p>
        </w:tc>
        <w:tc>
          <w:tcPr>
            <w:tcW w:w="7796" w:type="dxa"/>
            <w:gridSpan w:val="4"/>
            <w:shd w:val="clear" w:color="auto" w:fill="9CC2E5" w:themeFill="accent1" w:themeFillTint="99"/>
          </w:tcPr>
          <w:p w:rsidR="004166B1" w:rsidRPr="004166B1" w:rsidRDefault="004166B1" w:rsidP="004166B1">
            <w:pPr>
              <w:rPr>
                <w:lang w:val="en-US"/>
              </w:rPr>
            </w:pPr>
            <w:r w:rsidRPr="004166B1">
              <w:rPr>
                <w:lang w:val="en-US"/>
              </w:rPr>
              <w:t>Implementation and delivery support programmes</w:t>
            </w:r>
          </w:p>
        </w:tc>
      </w:tr>
      <w:tr w:rsidR="004166B1" w:rsidRPr="004166B1" w:rsidTr="001F0EA8">
        <w:tc>
          <w:tcPr>
            <w:tcW w:w="2405" w:type="dxa"/>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Total funds under management and catalysed</w:t>
            </w:r>
          </w:p>
        </w:tc>
        <w:tc>
          <w:tcPr>
            <w:tcW w:w="1559" w:type="dxa"/>
          </w:tcPr>
          <w:p w:rsidR="004166B1" w:rsidRPr="004166B1" w:rsidRDefault="004166B1" w:rsidP="004166B1">
            <w:pPr>
              <w:rPr>
                <w:lang w:val="en-US"/>
              </w:rPr>
            </w:pPr>
            <w:r w:rsidRPr="004166B1">
              <w:rPr>
                <w:lang w:val="en-US"/>
              </w:rPr>
              <w:t>R4.2 billion</w:t>
            </w:r>
          </w:p>
        </w:tc>
        <w:tc>
          <w:tcPr>
            <w:tcW w:w="1559" w:type="dxa"/>
          </w:tcPr>
          <w:p w:rsidR="004166B1" w:rsidRPr="004166B1" w:rsidRDefault="004166B1" w:rsidP="004166B1">
            <w:pPr>
              <w:rPr>
                <w:lang w:val="en-US"/>
              </w:rPr>
            </w:pPr>
            <w:r w:rsidRPr="004166B1">
              <w:rPr>
                <w:lang w:val="en-US"/>
              </w:rPr>
              <w:t xml:space="preserve">R3.3 billion </w:t>
            </w:r>
          </w:p>
        </w:tc>
        <w:tc>
          <w:tcPr>
            <w:tcW w:w="2693" w:type="dxa"/>
          </w:tcPr>
          <w:p w:rsidR="004166B1" w:rsidRPr="004166B1" w:rsidRDefault="004166B1" w:rsidP="004166B1">
            <w:pPr>
              <w:rPr>
                <w:lang w:val="en-US"/>
              </w:rPr>
            </w:pPr>
            <w:r w:rsidRPr="004166B1">
              <w:rPr>
                <w:lang w:val="en-US"/>
              </w:rPr>
              <w:t>Not achieved</w:t>
            </w:r>
          </w:p>
        </w:tc>
      </w:tr>
      <w:tr w:rsidR="004166B1" w:rsidRPr="004166B1" w:rsidTr="001F0EA8">
        <w:tc>
          <w:tcPr>
            <w:tcW w:w="10201" w:type="dxa"/>
            <w:gridSpan w:val="5"/>
            <w:shd w:val="clear" w:color="auto" w:fill="5B9BD5" w:themeFill="accent1"/>
          </w:tcPr>
          <w:p w:rsidR="004166B1" w:rsidRPr="004166B1" w:rsidRDefault="004166B1" w:rsidP="004166B1">
            <w:pPr>
              <w:rPr>
                <w:lang w:val="en-US"/>
              </w:rPr>
            </w:pPr>
            <w:r w:rsidRPr="004166B1">
              <w:rPr>
                <w:lang w:val="en-US"/>
              </w:rPr>
              <w:t>FINANCIAL PERSPECTIVE</w:t>
            </w:r>
          </w:p>
        </w:tc>
      </w:tr>
      <w:tr w:rsidR="004166B1" w:rsidRPr="004166B1" w:rsidTr="001F0EA8">
        <w:tc>
          <w:tcPr>
            <w:tcW w:w="2405" w:type="dxa"/>
            <w:vMerge w:val="restart"/>
          </w:tcPr>
          <w:p w:rsidR="004166B1" w:rsidRPr="004166B1" w:rsidRDefault="004166B1" w:rsidP="004166B1">
            <w:pPr>
              <w:rPr>
                <w:lang w:val="en-US"/>
              </w:rPr>
            </w:pPr>
          </w:p>
          <w:p w:rsidR="004166B1" w:rsidRPr="004166B1" w:rsidRDefault="004166B1" w:rsidP="004166B1">
            <w:pPr>
              <w:rPr>
                <w:lang w:val="en-US"/>
              </w:rPr>
            </w:pPr>
            <w:r w:rsidRPr="004166B1">
              <w:rPr>
                <w:lang w:val="en-US"/>
              </w:rPr>
              <w:t>Maintain financial sustainability</w:t>
            </w:r>
          </w:p>
        </w:tc>
        <w:tc>
          <w:tcPr>
            <w:tcW w:w="1985" w:type="dxa"/>
          </w:tcPr>
          <w:p w:rsidR="004166B1" w:rsidRPr="004166B1" w:rsidRDefault="004166B1" w:rsidP="004166B1">
            <w:pPr>
              <w:rPr>
                <w:lang w:val="en-US"/>
              </w:rPr>
            </w:pPr>
            <w:r w:rsidRPr="004166B1">
              <w:rPr>
                <w:lang w:val="en-US"/>
              </w:rPr>
              <w:t xml:space="preserve">Sustainable </w:t>
            </w:r>
          </w:p>
        </w:tc>
        <w:tc>
          <w:tcPr>
            <w:tcW w:w="1559" w:type="dxa"/>
          </w:tcPr>
          <w:p w:rsidR="004166B1" w:rsidRPr="004166B1" w:rsidRDefault="004166B1" w:rsidP="004166B1">
            <w:pPr>
              <w:rPr>
                <w:lang w:val="en-US"/>
              </w:rPr>
            </w:pPr>
            <w:r w:rsidRPr="004166B1">
              <w:rPr>
                <w:lang w:val="en-US"/>
              </w:rPr>
              <w:t>R1.1 billion</w:t>
            </w:r>
          </w:p>
        </w:tc>
        <w:tc>
          <w:tcPr>
            <w:tcW w:w="1559" w:type="dxa"/>
          </w:tcPr>
          <w:p w:rsidR="004166B1" w:rsidRPr="004166B1" w:rsidRDefault="004166B1" w:rsidP="004166B1">
            <w:pPr>
              <w:rPr>
                <w:lang w:val="en-US"/>
              </w:rPr>
            </w:pPr>
            <w:r w:rsidRPr="004166B1">
              <w:rPr>
                <w:lang w:val="en-US"/>
              </w:rPr>
              <w:t>R3.6 billion</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 xml:space="preserve">Non-interest revenue (excluding IDD) </w:t>
            </w:r>
          </w:p>
        </w:tc>
        <w:tc>
          <w:tcPr>
            <w:tcW w:w="1559" w:type="dxa"/>
          </w:tcPr>
          <w:p w:rsidR="004166B1" w:rsidRPr="004166B1" w:rsidRDefault="004166B1" w:rsidP="004166B1">
            <w:pPr>
              <w:rPr>
                <w:lang w:val="en-US"/>
              </w:rPr>
            </w:pPr>
            <w:r w:rsidRPr="004166B1">
              <w:rPr>
                <w:lang w:val="en-US"/>
              </w:rPr>
              <w:t>R250 million</w:t>
            </w:r>
          </w:p>
        </w:tc>
        <w:tc>
          <w:tcPr>
            <w:tcW w:w="1559" w:type="dxa"/>
          </w:tcPr>
          <w:p w:rsidR="004166B1" w:rsidRPr="004166B1" w:rsidRDefault="004166B1" w:rsidP="004166B1">
            <w:pPr>
              <w:rPr>
                <w:lang w:val="en-US"/>
              </w:rPr>
            </w:pPr>
            <w:r w:rsidRPr="004166B1">
              <w:rPr>
                <w:lang w:val="en-US"/>
              </w:rPr>
              <w:t>R278 million</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Net-interest margin</w:t>
            </w:r>
          </w:p>
        </w:tc>
        <w:tc>
          <w:tcPr>
            <w:tcW w:w="1559" w:type="dxa"/>
          </w:tcPr>
          <w:p w:rsidR="004166B1" w:rsidRPr="004166B1" w:rsidRDefault="004166B1" w:rsidP="004166B1">
            <w:pPr>
              <w:rPr>
                <w:lang w:val="en-US"/>
              </w:rPr>
            </w:pPr>
            <w:r w:rsidRPr="004166B1">
              <w:rPr>
                <w:lang w:val="en-US"/>
              </w:rPr>
              <w:t>40.9%</w:t>
            </w:r>
          </w:p>
        </w:tc>
        <w:tc>
          <w:tcPr>
            <w:tcW w:w="1559" w:type="dxa"/>
          </w:tcPr>
          <w:p w:rsidR="004166B1" w:rsidRPr="004166B1" w:rsidRDefault="004166B1" w:rsidP="004166B1">
            <w:pPr>
              <w:rPr>
                <w:lang w:val="en-US"/>
              </w:rPr>
            </w:pPr>
            <w:r w:rsidRPr="004166B1">
              <w:rPr>
                <w:lang w:val="en-US"/>
              </w:rPr>
              <w:t>49.8%</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10201" w:type="dxa"/>
            <w:gridSpan w:val="5"/>
            <w:shd w:val="clear" w:color="auto" w:fill="5B9BD5" w:themeFill="accent1"/>
          </w:tcPr>
          <w:p w:rsidR="004166B1" w:rsidRPr="004166B1" w:rsidRDefault="004166B1" w:rsidP="004166B1">
            <w:pPr>
              <w:rPr>
                <w:lang w:val="en-US"/>
              </w:rPr>
            </w:pPr>
            <w:r w:rsidRPr="004166B1">
              <w:rPr>
                <w:lang w:val="en-US"/>
              </w:rPr>
              <w:t>INTERNAL PERSPECTIVE</w:t>
            </w:r>
          </w:p>
        </w:tc>
      </w:tr>
      <w:tr w:rsidR="004166B1" w:rsidRPr="004166B1" w:rsidTr="001F0EA8">
        <w:tc>
          <w:tcPr>
            <w:tcW w:w="2405" w:type="dxa"/>
            <w:vMerge w:val="restart"/>
          </w:tcPr>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p>
          <w:p w:rsidR="004166B1" w:rsidRPr="004166B1" w:rsidRDefault="004166B1" w:rsidP="004166B1">
            <w:pPr>
              <w:rPr>
                <w:lang w:val="en-US"/>
              </w:rPr>
            </w:pPr>
            <w:r w:rsidRPr="004166B1">
              <w:rPr>
                <w:lang w:val="en-US"/>
              </w:rPr>
              <w:t>Continuous improvement of internal systems and processes</w:t>
            </w:r>
          </w:p>
        </w:tc>
        <w:tc>
          <w:tcPr>
            <w:tcW w:w="1985" w:type="dxa"/>
          </w:tcPr>
          <w:p w:rsidR="004166B1" w:rsidRPr="004166B1" w:rsidRDefault="004166B1" w:rsidP="004166B1">
            <w:pPr>
              <w:rPr>
                <w:lang w:val="en-US"/>
              </w:rPr>
            </w:pPr>
            <w:r w:rsidRPr="004166B1">
              <w:rPr>
                <w:lang w:val="en-US"/>
              </w:rPr>
              <w:t>Cost-to-income ratio: Financing business</w:t>
            </w:r>
          </w:p>
        </w:tc>
        <w:tc>
          <w:tcPr>
            <w:tcW w:w="1559" w:type="dxa"/>
          </w:tcPr>
          <w:p w:rsidR="004166B1" w:rsidRPr="004166B1" w:rsidRDefault="004166B1" w:rsidP="004166B1">
            <w:pPr>
              <w:rPr>
                <w:lang w:val="en-US"/>
              </w:rPr>
            </w:pPr>
            <w:r w:rsidRPr="004166B1">
              <w:rPr>
                <w:lang w:val="en-US"/>
              </w:rPr>
              <w:t>35%</w:t>
            </w:r>
          </w:p>
        </w:tc>
        <w:tc>
          <w:tcPr>
            <w:tcW w:w="1559" w:type="dxa"/>
          </w:tcPr>
          <w:p w:rsidR="004166B1" w:rsidRPr="004166B1" w:rsidRDefault="004166B1" w:rsidP="004166B1">
            <w:pPr>
              <w:rPr>
                <w:lang w:val="en-US"/>
              </w:rPr>
            </w:pPr>
            <w:r w:rsidRPr="004166B1">
              <w:rPr>
                <w:lang w:val="en-US"/>
              </w:rPr>
              <w:t>15%</w:t>
            </w:r>
          </w:p>
        </w:tc>
        <w:tc>
          <w:tcPr>
            <w:tcW w:w="2693" w:type="dxa"/>
          </w:tcPr>
          <w:p w:rsidR="004166B1" w:rsidRPr="004166B1" w:rsidRDefault="004166B1" w:rsidP="004166B1">
            <w:pPr>
              <w:rPr>
                <w:lang w:val="en-US"/>
              </w:rPr>
            </w:pPr>
            <w:r w:rsidRPr="004166B1">
              <w:rPr>
                <w:lang w:val="en-US"/>
              </w:rPr>
              <w:t>Not 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 xml:space="preserve">Cost-to-income ratio of IDD1 95% 128% Balance sheet capacity: Capital management Capital </w:t>
            </w:r>
          </w:p>
        </w:tc>
        <w:tc>
          <w:tcPr>
            <w:tcW w:w="1559" w:type="dxa"/>
          </w:tcPr>
          <w:p w:rsidR="004166B1" w:rsidRPr="004166B1" w:rsidRDefault="004166B1" w:rsidP="004166B1">
            <w:pPr>
              <w:rPr>
                <w:lang w:val="en-US"/>
              </w:rPr>
            </w:pPr>
            <w:r w:rsidRPr="004166B1">
              <w:rPr>
                <w:lang w:val="en-US"/>
              </w:rPr>
              <w:t>95%</w:t>
            </w:r>
          </w:p>
        </w:tc>
        <w:tc>
          <w:tcPr>
            <w:tcW w:w="1559" w:type="dxa"/>
          </w:tcPr>
          <w:p w:rsidR="004166B1" w:rsidRPr="004166B1" w:rsidRDefault="004166B1" w:rsidP="004166B1">
            <w:pPr>
              <w:rPr>
                <w:lang w:val="en-US"/>
              </w:rPr>
            </w:pPr>
            <w:r w:rsidRPr="004166B1">
              <w:rPr>
                <w:lang w:val="en-US"/>
              </w:rPr>
              <w:t>128%</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Balance sheet capacity: Capital management</w:t>
            </w:r>
          </w:p>
        </w:tc>
        <w:tc>
          <w:tcPr>
            <w:tcW w:w="1559" w:type="dxa"/>
          </w:tcPr>
          <w:p w:rsidR="004166B1" w:rsidRPr="004166B1" w:rsidRDefault="004166B1" w:rsidP="004166B1">
            <w:pPr>
              <w:rPr>
                <w:lang w:val="en-US"/>
              </w:rPr>
            </w:pPr>
            <w:r w:rsidRPr="004166B1">
              <w:rPr>
                <w:lang w:val="en-US"/>
              </w:rPr>
              <w:t>Capital management strategy and framework approved</w:t>
            </w:r>
          </w:p>
        </w:tc>
        <w:tc>
          <w:tcPr>
            <w:tcW w:w="1559" w:type="dxa"/>
          </w:tcPr>
          <w:p w:rsidR="004166B1" w:rsidRPr="004166B1" w:rsidRDefault="004166B1" w:rsidP="004166B1">
            <w:pPr>
              <w:rPr>
                <w:lang w:val="en-US"/>
              </w:rPr>
            </w:pPr>
            <w:r w:rsidRPr="004166B1">
              <w:rPr>
                <w:lang w:val="en-US"/>
              </w:rPr>
              <w:t xml:space="preserve">Capital management strategy and framework approved </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Innovation</w:t>
            </w:r>
          </w:p>
        </w:tc>
        <w:tc>
          <w:tcPr>
            <w:tcW w:w="1559" w:type="dxa"/>
          </w:tcPr>
          <w:p w:rsidR="004166B1" w:rsidRPr="004166B1" w:rsidRDefault="004166B1" w:rsidP="004166B1">
            <w:pPr>
              <w:rPr>
                <w:lang w:val="en-US"/>
              </w:rPr>
            </w:pPr>
            <w:r w:rsidRPr="004166B1">
              <w:rPr>
                <w:lang w:val="en-US"/>
              </w:rPr>
              <w:t xml:space="preserve">Approval of </w:t>
            </w:r>
            <w:r w:rsidRPr="004166B1">
              <w:rPr>
                <w:lang w:val="en-US"/>
              </w:rPr>
              <w:lastRenderedPageBreak/>
              <w:t>an innovative concept/ product</w:t>
            </w:r>
          </w:p>
        </w:tc>
        <w:tc>
          <w:tcPr>
            <w:tcW w:w="1559" w:type="dxa"/>
          </w:tcPr>
          <w:p w:rsidR="004166B1" w:rsidRPr="004166B1" w:rsidRDefault="004166B1" w:rsidP="004166B1">
            <w:pPr>
              <w:rPr>
                <w:lang w:val="en-US"/>
              </w:rPr>
            </w:pPr>
            <w:r w:rsidRPr="004166B1">
              <w:rPr>
                <w:lang w:val="en-US"/>
              </w:rPr>
              <w:lastRenderedPageBreak/>
              <w:t xml:space="preserve">Four </w:t>
            </w:r>
            <w:r w:rsidRPr="004166B1">
              <w:rPr>
                <w:lang w:val="en-US"/>
              </w:rPr>
              <w:lastRenderedPageBreak/>
              <w:t>innovative concepts approved</w:t>
            </w:r>
          </w:p>
        </w:tc>
        <w:tc>
          <w:tcPr>
            <w:tcW w:w="2693" w:type="dxa"/>
          </w:tcPr>
          <w:p w:rsidR="004166B1" w:rsidRPr="004166B1" w:rsidRDefault="004166B1" w:rsidP="004166B1">
            <w:pPr>
              <w:rPr>
                <w:lang w:val="en-US"/>
              </w:rPr>
            </w:pPr>
            <w:r w:rsidRPr="004166B1">
              <w:rPr>
                <w:lang w:val="en-US"/>
              </w:rPr>
              <w:lastRenderedPageBreak/>
              <w:t>Achieved</w:t>
            </w:r>
          </w:p>
        </w:tc>
      </w:tr>
      <w:tr w:rsidR="004166B1" w:rsidRPr="004166B1" w:rsidTr="001F0EA8">
        <w:tc>
          <w:tcPr>
            <w:tcW w:w="10201" w:type="dxa"/>
            <w:gridSpan w:val="5"/>
            <w:shd w:val="clear" w:color="auto" w:fill="5B9BD5" w:themeFill="accent1"/>
          </w:tcPr>
          <w:p w:rsidR="004166B1" w:rsidRPr="004166B1" w:rsidRDefault="004166B1" w:rsidP="004166B1">
            <w:pPr>
              <w:rPr>
                <w:lang w:val="en-US"/>
              </w:rPr>
            </w:pPr>
            <w:r w:rsidRPr="004166B1">
              <w:rPr>
                <w:lang w:val="en-US"/>
              </w:rPr>
              <w:lastRenderedPageBreak/>
              <w:t>LEARNING AND GROWTH</w:t>
            </w:r>
          </w:p>
        </w:tc>
      </w:tr>
      <w:tr w:rsidR="004166B1" w:rsidRPr="004166B1" w:rsidTr="001F0EA8">
        <w:tc>
          <w:tcPr>
            <w:tcW w:w="2405" w:type="dxa"/>
            <w:vMerge w:val="restart"/>
          </w:tcPr>
          <w:p w:rsidR="004166B1" w:rsidRPr="004166B1" w:rsidRDefault="004166B1" w:rsidP="004166B1">
            <w:pPr>
              <w:rPr>
                <w:lang w:val="en-US"/>
              </w:rPr>
            </w:pPr>
          </w:p>
          <w:p w:rsidR="004166B1" w:rsidRPr="004166B1" w:rsidRDefault="004166B1" w:rsidP="004166B1">
            <w:pPr>
              <w:rPr>
                <w:lang w:val="en-US"/>
              </w:rPr>
            </w:pPr>
            <w:r w:rsidRPr="004166B1">
              <w:rPr>
                <w:lang w:val="en-US"/>
              </w:rPr>
              <w:t xml:space="preserve">Create and maintain high performance environment </w:t>
            </w:r>
          </w:p>
        </w:tc>
        <w:tc>
          <w:tcPr>
            <w:tcW w:w="1985" w:type="dxa"/>
          </w:tcPr>
          <w:p w:rsidR="004166B1" w:rsidRPr="004166B1" w:rsidRDefault="004166B1" w:rsidP="004166B1">
            <w:pPr>
              <w:rPr>
                <w:lang w:val="en-US"/>
              </w:rPr>
            </w:pPr>
            <w:r w:rsidRPr="004166B1">
              <w:rPr>
                <w:lang w:val="en-US"/>
              </w:rPr>
              <w:t>Development and retention of key skills</w:t>
            </w:r>
          </w:p>
        </w:tc>
        <w:tc>
          <w:tcPr>
            <w:tcW w:w="1559" w:type="dxa"/>
          </w:tcPr>
          <w:p w:rsidR="004166B1" w:rsidRPr="004166B1" w:rsidRDefault="004166B1" w:rsidP="004166B1">
            <w:pPr>
              <w:rPr>
                <w:lang w:val="en-US"/>
              </w:rPr>
            </w:pPr>
            <w:r w:rsidRPr="004166B1">
              <w:rPr>
                <w:lang w:val="en-US"/>
              </w:rPr>
              <w:t>85% of critical skills retained</w:t>
            </w:r>
          </w:p>
        </w:tc>
        <w:tc>
          <w:tcPr>
            <w:tcW w:w="1559" w:type="dxa"/>
          </w:tcPr>
          <w:p w:rsidR="004166B1" w:rsidRPr="004166B1" w:rsidRDefault="004166B1" w:rsidP="004166B1">
            <w:pPr>
              <w:rPr>
                <w:lang w:val="en-US"/>
              </w:rPr>
            </w:pPr>
            <w:r w:rsidRPr="004166B1">
              <w:rPr>
                <w:lang w:val="en-US"/>
              </w:rPr>
              <w:t>89%</w:t>
            </w:r>
          </w:p>
        </w:tc>
        <w:tc>
          <w:tcPr>
            <w:tcW w:w="2693" w:type="dxa"/>
          </w:tcPr>
          <w:p w:rsidR="004166B1" w:rsidRPr="004166B1" w:rsidRDefault="004166B1" w:rsidP="004166B1">
            <w:pPr>
              <w:rPr>
                <w:lang w:val="en-US"/>
              </w:rPr>
            </w:pPr>
            <w:r w:rsidRPr="004166B1">
              <w:rPr>
                <w:lang w:val="en-US"/>
              </w:rPr>
              <w:t>Achieved</w:t>
            </w:r>
          </w:p>
        </w:tc>
      </w:tr>
      <w:tr w:rsidR="004166B1" w:rsidRPr="004166B1" w:rsidTr="001F0EA8">
        <w:tc>
          <w:tcPr>
            <w:tcW w:w="2405" w:type="dxa"/>
            <w:vMerge/>
          </w:tcPr>
          <w:p w:rsidR="004166B1" w:rsidRPr="004166B1" w:rsidRDefault="004166B1" w:rsidP="004166B1">
            <w:pPr>
              <w:rPr>
                <w:lang w:val="en-US"/>
              </w:rPr>
            </w:pPr>
          </w:p>
        </w:tc>
        <w:tc>
          <w:tcPr>
            <w:tcW w:w="1985" w:type="dxa"/>
          </w:tcPr>
          <w:p w:rsidR="004166B1" w:rsidRPr="004166B1" w:rsidRDefault="004166B1" w:rsidP="004166B1">
            <w:pPr>
              <w:rPr>
                <w:lang w:val="en-US"/>
              </w:rPr>
            </w:pPr>
            <w:r w:rsidRPr="004166B1">
              <w:rPr>
                <w:lang w:val="en-US"/>
              </w:rPr>
              <w:t>Reduction in entropy score</w:t>
            </w:r>
          </w:p>
        </w:tc>
        <w:tc>
          <w:tcPr>
            <w:tcW w:w="1559" w:type="dxa"/>
          </w:tcPr>
          <w:p w:rsidR="004166B1" w:rsidRPr="004166B1" w:rsidRDefault="004166B1" w:rsidP="004166B1">
            <w:pPr>
              <w:rPr>
                <w:lang w:val="en-US"/>
              </w:rPr>
            </w:pPr>
            <w:r w:rsidRPr="004166B1">
              <w:rPr>
                <w:lang w:val="en-US"/>
              </w:rPr>
              <w:t>3% reduction</w:t>
            </w:r>
          </w:p>
        </w:tc>
        <w:tc>
          <w:tcPr>
            <w:tcW w:w="1559" w:type="dxa"/>
          </w:tcPr>
          <w:p w:rsidR="004166B1" w:rsidRPr="004166B1" w:rsidRDefault="004166B1" w:rsidP="004166B1">
            <w:pPr>
              <w:rPr>
                <w:lang w:val="en-US"/>
              </w:rPr>
            </w:pPr>
            <w:r w:rsidRPr="004166B1">
              <w:rPr>
                <w:lang w:val="en-US"/>
              </w:rPr>
              <w:t>5% reduction from 2016 results</w:t>
            </w:r>
          </w:p>
        </w:tc>
        <w:tc>
          <w:tcPr>
            <w:tcW w:w="2693" w:type="dxa"/>
          </w:tcPr>
          <w:p w:rsidR="004166B1" w:rsidRPr="004166B1" w:rsidRDefault="004166B1" w:rsidP="004166B1">
            <w:pPr>
              <w:rPr>
                <w:lang w:val="en-US"/>
              </w:rPr>
            </w:pPr>
            <w:r w:rsidRPr="004166B1">
              <w:rPr>
                <w:lang w:val="en-US"/>
              </w:rPr>
              <w:t>Achieved</w:t>
            </w:r>
          </w:p>
        </w:tc>
      </w:tr>
    </w:tbl>
    <w:p w:rsidR="004166B1" w:rsidRPr="004166B1" w:rsidRDefault="004166B1" w:rsidP="004166B1">
      <w:pPr>
        <w:rPr>
          <w:b/>
          <w:lang w:val="en-US"/>
        </w:rPr>
      </w:pPr>
      <w:r w:rsidRPr="004166B1">
        <w:rPr>
          <w:b/>
          <w:lang w:val="en-US"/>
        </w:rPr>
        <w:t>Source: DBSA 2017 Annual Report</w:t>
      </w:r>
    </w:p>
    <w:p w:rsidR="004166B1" w:rsidRPr="004166B1" w:rsidRDefault="004166B1" w:rsidP="004166B1">
      <w:pPr>
        <w:rPr>
          <w:lang w:val="en-US"/>
        </w:rPr>
      </w:pPr>
    </w:p>
    <w:p w:rsidR="004166B1" w:rsidRPr="004166B1" w:rsidRDefault="004166B1" w:rsidP="004166B1">
      <w:pPr>
        <w:rPr>
          <w:rFonts w:eastAsia="Times New Roman" w:cs="Times New Roman"/>
          <w:bCs/>
          <w:color w:val="000000"/>
          <w:spacing w:val="6"/>
          <w:sz w:val="24"/>
          <w:szCs w:val="24"/>
          <w:lang w:eastAsia="en-GB"/>
        </w:rPr>
      </w:pPr>
      <w:r w:rsidRPr="004166B1">
        <w:rPr>
          <w:rFonts w:eastAsia="Times New Roman" w:cs="Times New Roman"/>
          <w:bCs/>
          <w:color w:val="000000"/>
          <w:spacing w:val="6"/>
          <w:sz w:val="24"/>
          <w:szCs w:val="24"/>
          <w:lang w:eastAsia="en-GB"/>
        </w:rPr>
        <w:t>The Bank continued to achieve good results for the year under review, meeting more than half of its strategic objectives whilst the targets for the following key performance indicators were not met:</w:t>
      </w:r>
    </w:p>
    <w:p w:rsidR="004166B1" w:rsidRDefault="004166B1" w:rsidP="00533467">
      <w:pPr>
        <w:pStyle w:val="ListParagraph"/>
        <w:numPr>
          <w:ilvl w:val="0"/>
          <w:numId w:val="30"/>
        </w:num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 xml:space="preserve">Disbursements to metro and secondary municipalities: The underperformance was largely attributed to municipalities not coming to the market to seek funding. The ability to convert the approved bridging projects remains a challenge. </w:t>
      </w:r>
    </w:p>
    <w:p w:rsidR="004166B1" w:rsidRDefault="004166B1" w:rsidP="004166B1">
      <w:pPr>
        <w:pStyle w:val="ListParagraph"/>
        <w:numPr>
          <w:ilvl w:val="0"/>
          <w:numId w:val="30"/>
        </w:num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 xml:space="preserve">Disbursement to fund social and economic infrastructure: The underperformance was largely attributed to the non-materialisation of various planned infrastructure projects and a strong competition in the market. </w:t>
      </w:r>
    </w:p>
    <w:p w:rsidR="004166B1" w:rsidRDefault="004166B1" w:rsidP="004166B1">
      <w:pPr>
        <w:pStyle w:val="ListParagraph"/>
        <w:numPr>
          <w:ilvl w:val="0"/>
          <w:numId w:val="30"/>
        </w:num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 xml:space="preserve">Disbursement to the SADC region (excluding South Africa): Infrastructure development and financing in the region is complex and time-consuming and can take a number of years to reach financial close, thus impacting the ability to disburse. The conversion of approval to disbursements took longer than anticipated. The challenging macro-economic conditions impact the ability to provide cost-effective funding. </w:t>
      </w:r>
    </w:p>
    <w:p w:rsidR="00533467" w:rsidRDefault="004166B1" w:rsidP="004166B1">
      <w:pPr>
        <w:pStyle w:val="ListParagraph"/>
        <w:numPr>
          <w:ilvl w:val="0"/>
          <w:numId w:val="30"/>
        </w:num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 xml:space="preserve">Value of projects prepared and committed by DBSA: The underperformance was mainly as the result of the delay in concluding the Power Purchase Agreements for the IPP programme and delays in procurement of rolling stock for Gautrain Phase 1 extension which will reach financial closure during 2018. </w:t>
      </w:r>
    </w:p>
    <w:p w:rsidR="004166B1" w:rsidRDefault="004166B1" w:rsidP="004166B1">
      <w:pPr>
        <w:pStyle w:val="ListParagraph"/>
        <w:numPr>
          <w:ilvl w:val="0"/>
          <w:numId w:val="30"/>
        </w:num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Value of funds under management: The underperformance was mainly as a result of the delays from government departments in releasing funds of the programmes that the DBSA is managing as per the agreed project schedule.</w:t>
      </w:r>
    </w:p>
    <w:p w:rsidR="004166B1" w:rsidRPr="00533467" w:rsidRDefault="004166B1" w:rsidP="004166B1">
      <w:pPr>
        <w:pStyle w:val="ListParagraph"/>
        <w:numPr>
          <w:ilvl w:val="0"/>
          <w:numId w:val="30"/>
        </w:num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Cost-to-income for Infrastructure Delivery Division: The main reason for the underperformance was as a result of expenses remaining high as the Infrastructure Delivery Division struggled to raise sufficient income to cover its costs for the last four months of the financial year (DBSA, 2017)</w:t>
      </w:r>
    </w:p>
    <w:p w:rsidR="004166B1" w:rsidRPr="004166B1" w:rsidRDefault="004166B1" w:rsidP="004166B1">
      <w:pPr>
        <w:rPr>
          <w:rFonts w:eastAsia="Times New Roman" w:cs="Times New Roman"/>
          <w:bCs/>
          <w:color w:val="000000"/>
          <w:spacing w:val="6"/>
          <w:sz w:val="24"/>
          <w:szCs w:val="24"/>
          <w:lang w:eastAsia="en-GB"/>
        </w:rPr>
      </w:pPr>
    </w:p>
    <w:p w:rsidR="004166B1" w:rsidRPr="00533467" w:rsidRDefault="004166B1" w:rsidP="00533467">
      <w:pPr>
        <w:pStyle w:val="ListParagraph"/>
        <w:numPr>
          <w:ilvl w:val="0"/>
          <w:numId w:val="29"/>
        </w:numPr>
        <w:rPr>
          <w:b/>
          <w:sz w:val="24"/>
          <w:szCs w:val="24"/>
          <w:lang w:val="en-US"/>
        </w:rPr>
      </w:pPr>
      <w:r w:rsidRPr="00533467">
        <w:rPr>
          <w:b/>
          <w:sz w:val="24"/>
          <w:szCs w:val="24"/>
          <w:lang w:val="en-US"/>
        </w:rPr>
        <w:t>CORPORATE GOVERNANCE</w:t>
      </w:r>
    </w:p>
    <w:p w:rsidR="004166B1" w:rsidRPr="004166B1" w:rsidRDefault="004166B1" w:rsidP="004166B1">
      <w:pPr>
        <w:rPr>
          <w:lang w:val="en-US"/>
        </w:rPr>
      </w:pPr>
    </w:p>
    <w:p w:rsidR="00745A8C" w:rsidRPr="00533467" w:rsidRDefault="009C30C8" w:rsidP="004166B1">
      <w:pPr>
        <w:numPr>
          <w:ilvl w:val="0"/>
          <w:numId w:val="28"/>
        </w:numPr>
        <w:rPr>
          <w:b/>
          <w:lang w:val="en-US"/>
        </w:rPr>
      </w:pPr>
      <w:r w:rsidRPr="00533467">
        <w:rPr>
          <w:b/>
          <w:lang w:val="en-US"/>
        </w:rPr>
        <w:t xml:space="preserve">External Audit Report </w:t>
      </w:r>
    </w:p>
    <w:p w:rsidR="004166B1" w:rsidRPr="004166B1" w:rsidRDefault="004166B1" w:rsidP="004166B1">
      <w:pPr>
        <w:rPr>
          <w:lang w:val="en-US"/>
        </w:rPr>
      </w:pPr>
    </w:p>
    <w:p w:rsidR="004166B1" w:rsidRPr="00533467" w:rsidRDefault="004166B1" w:rsidP="00533467">
      <w:p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 xml:space="preserve">The financial statements present fairly, in all material respects, the financial position of the Development Bank of Southern Africa as at 31 March 2017.  </w:t>
      </w:r>
      <w:r w:rsidRPr="00533467">
        <w:rPr>
          <w:rFonts w:eastAsia="Times New Roman" w:cs="Times New Roman"/>
          <w:bCs/>
          <w:color w:val="000000"/>
          <w:spacing w:val="6"/>
          <w:sz w:val="24"/>
          <w:szCs w:val="24"/>
          <w:lang w:eastAsia="en-GB"/>
        </w:rPr>
        <w:lastRenderedPageBreak/>
        <w:t>There were no material findings on the usefulness and reliability of the reported performance information for the following objectives: sustained growth in development impact; maintain financial sustainability and create and maintain a high performance culture.</w:t>
      </w:r>
    </w:p>
    <w:p w:rsidR="004166B1" w:rsidRPr="00533467" w:rsidRDefault="004166B1" w:rsidP="00533467">
      <w:pPr>
        <w:pStyle w:val="ListParagraph"/>
        <w:ind w:left="360"/>
        <w:rPr>
          <w:rFonts w:eastAsia="Times New Roman" w:cs="Times New Roman"/>
          <w:bCs/>
          <w:color w:val="000000"/>
          <w:spacing w:val="6"/>
          <w:sz w:val="24"/>
          <w:szCs w:val="24"/>
          <w:lang w:eastAsia="en-GB"/>
        </w:rPr>
      </w:pPr>
    </w:p>
    <w:p w:rsidR="004166B1" w:rsidRPr="00533467" w:rsidRDefault="009C30C8" w:rsidP="00533467">
      <w:pPr>
        <w:pStyle w:val="ListParagraph"/>
        <w:numPr>
          <w:ilvl w:val="0"/>
          <w:numId w:val="30"/>
        </w:numPr>
        <w:rPr>
          <w:rFonts w:eastAsia="Times New Roman" w:cs="Times New Roman"/>
          <w:b/>
          <w:bCs/>
          <w:color w:val="000000"/>
          <w:spacing w:val="6"/>
          <w:lang w:eastAsia="en-GB"/>
        </w:rPr>
      </w:pPr>
      <w:r w:rsidRPr="00533467">
        <w:rPr>
          <w:rFonts w:eastAsia="Times New Roman" w:cs="Times New Roman"/>
          <w:b/>
          <w:bCs/>
          <w:color w:val="000000"/>
          <w:spacing w:val="6"/>
          <w:lang w:eastAsia="en-GB"/>
        </w:rPr>
        <w:t xml:space="preserve">Internal Control </w:t>
      </w:r>
    </w:p>
    <w:p w:rsidR="00533467" w:rsidRPr="00533467" w:rsidRDefault="00533467" w:rsidP="00533467">
      <w:pPr>
        <w:pStyle w:val="ListParagraph"/>
        <w:ind w:left="360"/>
        <w:rPr>
          <w:rFonts w:eastAsia="Times New Roman" w:cs="Times New Roman"/>
          <w:bCs/>
          <w:color w:val="000000"/>
          <w:spacing w:val="6"/>
          <w:sz w:val="24"/>
          <w:szCs w:val="24"/>
          <w:lang w:eastAsia="en-GB"/>
        </w:rPr>
      </w:pPr>
    </w:p>
    <w:p w:rsidR="004166B1" w:rsidRPr="00533467" w:rsidRDefault="004166B1" w:rsidP="00533467">
      <w:p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The internal control relevant to the audit of the financial statements, annual performance report and compliance with legislation did not identify any significant deficiencies in internal control.</w:t>
      </w:r>
    </w:p>
    <w:p w:rsidR="004166B1" w:rsidRPr="00533467" w:rsidRDefault="004166B1" w:rsidP="00533467">
      <w:pPr>
        <w:pStyle w:val="ListParagraph"/>
        <w:ind w:left="360"/>
        <w:rPr>
          <w:rFonts w:eastAsia="Times New Roman" w:cs="Times New Roman"/>
          <w:bCs/>
          <w:color w:val="000000"/>
          <w:spacing w:val="6"/>
          <w:sz w:val="24"/>
          <w:szCs w:val="24"/>
          <w:lang w:eastAsia="en-GB"/>
        </w:rPr>
      </w:pPr>
    </w:p>
    <w:p w:rsidR="004166B1" w:rsidRPr="00533467" w:rsidRDefault="004166B1" w:rsidP="00533467">
      <w:pPr>
        <w:pStyle w:val="ListParagraph"/>
        <w:numPr>
          <w:ilvl w:val="0"/>
          <w:numId w:val="29"/>
        </w:numPr>
        <w:rPr>
          <w:b/>
          <w:sz w:val="24"/>
          <w:szCs w:val="24"/>
          <w:lang w:val="en-US"/>
        </w:rPr>
      </w:pPr>
      <w:r w:rsidRPr="00533467">
        <w:rPr>
          <w:b/>
          <w:sz w:val="24"/>
          <w:szCs w:val="24"/>
          <w:lang w:val="en-US"/>
        </w:rPr>
        <w:t xml:space="preserve">FINANCIAL PERFORMANCE </w:t>
      </w:r>
    </w:p>
    <w:p w:rsidR="004166B1" w:rsidRPr="004166B1" w:rsidRDefault="004166B1" w:rsidP="004166B1">
      <w:pPr>
        <w:rPr>
          <w:lang w:val="en-US"/>
        </w:rPr>
      </w:pPr>
    </w:p>
    <w:p w:rsidR="004166B1" w:rsidRDefault="004166B1" w:rsidP="004166B1">
      <w:p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 xml:space="preserve">Sustainable earnings rose to 3.7 billion (2016: R3.2 billion) on the back of an increase in the net interest income. DBSA achieved a net profit of R2.8 billion (2016: R2.6 billion). </w:t>
      </w:r>
    </w:p>
    <w:p w:rsidR="00533467" w:rsidRPr="00533467" w:rsidRDefault="00533467" w:rsidP="004166B1">
      <w:pPr>
        <w:rPr>
          <w:rFonts w:eastAsia="Times New Roman" w:cs="Times New Roman"/>
          <w:bCs/>
          <w:color w:val="000000"/>
          <w:spacing w:val="6"/>
          <w:sz w:val="24"/>
          <w:szCs w:val="24"/>
          <w:lang w:eastAsia="en-GB"/>
        </w:rPr>
      </w:pPr>
    </w:p>
    <w:p w:rsidR="004166B1" w:rsidRDefault="004166B1" w:rsidP="004166B1">
      <w:p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Development loans, development bonds and equity investments disbursed decreased by 27% to R12.4 billion (2016: R17.1 billion). Despite the increase of impairment provision of 10% to R4.2 billion, the quality of loan book remains healthy. This is further contributed by 3.3% of non-performing loans in relation to the entire book.   Debt-to-equity ratio improved to 158.1% (2016: 177.8%).</w:t>
      </w:r>
    </w:p>
    <w:p w:rsidR="00533467" w:rsidRPr="00533467" w:rsidRDefault="00533467" w:rsidP="004166B1">
      <w:pPr>
        <w:rPr>
          <w:rFonts w:eastAsia="Times New Roman" w:cs="Times New Roman"/>
          <w:bCs/>
          <w:color w:val="000000"/>
          <w:spacing w:val="6"/>
          <w:sz w:val="24"/>
          <w:szCs w:val="24"/>
          <w:lang w:eastAsia="en-GB"/>
        </w:rPr>
      </w:pPr>
    </w:p>
    <w:p w:rsidR="004166B1" w:rsidRPr="00533467" w:rsidRDefault="004166B1" w:rsidP="00533467">
      <w:pPr>
        <w:pStyle w:val="ListParagraph"/>
        <w:numPr>
          <w:ilvl w:val="0"/>
          <w:numId w:val="30"/>
        </w:numPr>
        <w:rPr>
          <w:rFonts w:eastAsia="Times New Roman" w:cs="Times New Roman"/>
          <w:b/>
          <w:bCs/>
          <w:color w:val="000000"/>
          <w:spacing w:val="6"/>
          <w:lang w:eastAsia="en-GB"/>
        </w:rPr>
      </w:pPr>
      <w:r w:rsidRPr="00533467">
        <w:rPr>
          <w:rFonts w:eastAsia="Times New Roman" w:cs="Times New Roman"/>
          <w:b/>
          <w:bCs/>
          <w:color w:val="000000"/>
          <w:spacing w:val="6"/>
          <w:lang w:eastAsia="en-GB"/>
        </w:rPr>
        <w:t>Dividend</w:t>
      </w:r>
    </w:p>
    <w:p w:rsidR="00533467" w:rsidRPr="00533467" w:rsidRDefault="00533467" w:rsidP="004166B1">
      <w:pPr>
        <w:rPr>
          <w:rFonts w:eastAsia="Times New Roman" w:cs="Times New Roman"/>
          <w:bCs/>
          <w:color w:val="000000"/>
          <w:spacing w:val="6"/>
          <w:sz w:val="24"/>
          <w:szCs w:val="24"/>
          <w:lang w:eastAsia="en-GB"/>
        </w:rPr>
      </w:pPr>
    </w:p>
    <w:p w:rsidR="004166B1" w:rsidRPr="00533467" w:rsidRDefault="004166B1" w:rsidP="004166B1">
      <w:pPr>
        <w:rPr>
          <w:rFonts w:eastAsia="Times New Roman" w:cs="Times New Roman"/>
          <w:bCs/>
          <w:color w:val="000000"/>
          <w:spacing w:val="6"/>
          <w:sz w:val="24"/>
          <w:szCs w:val="24"/>
          <w:lang w:eastAsia="en-GB"/>
        </w:rPr>
      </w:pPr>
      <w:r w:rsidRPr="00533467">
        <w:rPr>
          <w:rFonts w:eastAsia="Times New Roman" w:cs="Times New Roman"/>
          <w:bCs/>
          <w:color w:val="000000"/>
          <w:spacing w:val="6"/>
          <w:sz w:val="24"/>
          <w:szCs w:val="24"/>
          <w:lang w:eastAsia="en-GB"/>
        </w:rPr>
        <w:t>No dividend has been declared for the current and previous financial years. The DBSA does not have a dividend policy as part of its contract with the shareholder. The benefits of reinvesting in the mandate of the DBSA far outweigh the benefit of a dividend to the shareholder.</w:t>
      </w:r>
    </w:p>
    <w:p w:rsidR="0071617F" w:rsidRPr="0027036F" w:rsidRDefault="0071617F" w:rsidP="00052B47">
      <w:pPr>
        <w:rPr>
          <w:rFonts w:cs="Arial"/>
          <w:sz w:val="24"/>
          <w:szCs w:val="24"/>
        </w:rPr>
      </w:pPr>
    </w:p>
    <w:p w:rsidR="00052B47" w:rsidRPr="0027036F" w:rsidRDefault="00052B47" w:rsidP="00533467">
      <w:pPr>
        <w:pStyle w:val="Heading1"/>
        <w:rPr>
          <w:color w:val="auto"/>
          <w:sz w:val="24"/>
          <w:szCs w:val="24"/>
        </w:rPr>
      </w:pPr>
      <w:bookmarkStart w:id="1" w:name="_Toc464214448"/>
      <w:r w:rsidRPr="0027036F">
        <w:rPr>
          <w:color w:val="auto"/>
          <w:sz w:val="24"/>
          <w:szCs w:val="24"/>
        </w:rPr>
        <w:t>References</w:t>
      </w:r>
      <w:bookmarkEnd w:id="1"/>
      <w:r w:rsidRPr="0027036F">
        <w:rPr>
          <w:color w:val="auto"/>
          <w:sz w:val="24"/>
          <w:szCs w:val="24"/>
        </w:rPr>
        <w:t xml:space="preserve"> </w:t>
      </w:r>
    </w:p>
    <w:p w:rsidR="00DB162D" w:rsidRPr="0027036F" w:rsidRDefault="00DB162D" w:rsidP="00DB162D">
      <w:pPr>
        <w:rPr>
          <w:sz w:val="24"/>
          <w:szCs w:val="24"/>
        </w:rPr>
      </w:pPr>
    </w:p>
    <w:p w:rsidR="00DB162D" w:rsidRPr="0027036F" w:rsidRDefault="00533467" w:rsidP="00DB162D">
      <w:pPr>
        <w:rPr>
          <w:rFonts w:cs="Arial"/>
          <w:sz w:val="24"/>
          <w:szCs w:val="24"/>
          <w:lang w:val="en-GB"/>
        </w:rPr>
      </w:pPr>
      <w:r>
        <w:rPr>
          <w:rFonts w:cs="Arial"/>
          <w:sz w:val="24"/>
          <w:szCs w:val="24"/>
          <w:lang w:val="en-GB"/>
        </w:rPr>
        <w:t>Development Bank of South Africa</w:t>
      </w:r>
      <w:r w:rsidR="00DB162D" w:rsidRPr="0027036F">
        <w:rPr>
          <w:rFonts w:cs="Arial"/>
          <w:sz w:val="24"/>
          <w:szCs w:val="24"/>
          <w:lang w:val="en-GB"/>
        </w:rPr>
        <w:t xml:space="preserve"> (201</w:t>
      </w:r>
      <w:r w:rsidR="0027036F">
        <w:rPr>
          <w:rFonts w:cs="Arial"/>
          <w:sz w:val="24"/>
          <w:szCs w:val="24"/>
          <w:lang w:val="en-GB"/>
        </w:rPr>
        <w:t>7</w:t>
      </w:r>
      <w:r w:rsidR="00DB162D" w:rsidRPr="0027036F">
        <w:rPr>
          <w:rFonts w:cs="Arial"/>
          <w:sz w:val="24"/>
          <w:szCs w:val="24"/>
          <w:lang w:val="en-GB"/>
        </w:rPr>
        <w:t>) Annual Report</w:t>
      </w:r>
      <w:r w:rsidR="00DC03FC" w:rsidRPr="0027036F">
        <w:rPr>
          <w:rFonts w:cs="Arial"/>
          <w:sz w:val="24"/>
          <w:szCs w:val="24"/>
          <w:lang w:val="en-GB"/>
        </w:rPr>
        <w:t xml:space="preserve"> 201</w:t>
      </w:r>
      <w:r w:rsidR="0027036F">
        <w:rPr>
          <w:rFonts w:cs="Arial"/>
          <w:sz w:val="24"/>
          <w:szCs w:val="24"/>
          <w:lang w:val="en-GB"/>
        </w:rPr>
        <w:t>7</w:t>
      </w:r>
    </w:p>
    <w:p w:rsidR="005E068D" w:rsidRPr="0027036F" w:rsidRDefault="005E068D" w:rsidP="00DB162D">
      <w:pPr>
        <w:rPr>
          <w:rFonts w:cs="Arial"/>
          <w:sz w:val="24"/>
          <w:szCs w:val="24"/>
          <w:lang w:val="en-GB"/>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p w:rsidR="005E068D" w:rsidRPr="0027036F" w:rsidRDefault="005E068D" w:rsidP="00893EE9">
      <w:pPr>
        <w:rPr>
          <w:rFonts w:cs="Arial"/>
          <w:sz w:val="24"/>
          <w:szCs w:val="24"/>
        </w:rPr>
      </w:pPr>
    </w:p>
    <w:sectPr w:rsidR="005E068D" w:rsidRPr="0027036F" w:rsidSect="00055604">
      <w:headerReference w:type="default" r:id="rId8"/>
      <w:footerReference w:type="default" r:id="rId9"/>
      <w:headerReference w:type="first" r:id="rId10"/>
      <w:footerReference w:type="first" r:id="rId11"/>
      <w:pgSz w:w="11906" w:h="16838"/>
      <w:pgMar w:top="2002"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50" w:rsidRDefault="008A6150" w:rsidP="00BE1544">
      <w:pPr>
        <w:spacing w:line="240" w:lineRule="auto"/>
      </w:pPr>
      <w:r>
        <w:separator/>
      </w:r>
    </w:p>
  </w:endnote>
  <w:endnote w:type="continuationSeparator" w:id="0">
    <w:p w:rsidR="008A6150" w:rsidRDefault="008A6150"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89881"/>
      <w:docPartObj>
        <w:docPartGallery w:val="Page Numbers (Bottom of Page)"/>
        <w:docPartUnique/>
      </w:docPartObj>
    </w:sdtPr>
    <w:sdtContent>
      <w:sdt>
        <w:sdtPr>
          <w:id w:val="2052957686"/>
          <w:docPartObj>
            <w:docPartGallery w:val="Page Numbers (Top of Page)"/>
            <w:docPartUnique/>
          </w:docPartObj>
        </w:sdtPr>
        <w:sdtContent>
          <w:p w:rsidR="00F62866" w:rsidRDefault="00A16CA4" w:rsidP="00BE1544">
            <w:pPr>
              <w:pStyle w:val="Footer"/>
            </w:pPr>
            <w:r w:rsidRPr="00A16CA4">
              <w:rPr>
                <w:rFonts w:cs="Arial"/>
                <w:b/>
                <w:noProof/>
                <w:sz w:val="16"/>
                <w:szCs w:val="16"/>
                <w:lang w:eastAsia="en-ZA"/>
              </w:rPr>
              <w:pict>
                <v:line id="Straight Connector 12" o:spid="_x0000_s409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w:r>
            <w:r w:rsidR="00F62866" w:rsidRPr="00BE1544">
              <w:rPr>
                <w:rFonts w:cs="Arial"/>
                <w:b/>
                <w:sz w:val="16"/>
                <w:szCs w:val="16"/>
              </w:rPr>
              <w:t>Research Unit |</w:t>
            </w:r>
            <w:r w:rsidR="00F62866" w:rsidRPr="00BE1544">
              <w:rPr>
                <w:rFonts w:cs="Arial"/>
                <w:sz w:val="16"/>
                <w:szCs w:val="16"/>
              </w:rPr>
              <w:t xml:space="preserve"> </w:t>
            </w:r>
            <w:r w:rsidR="00533467">
              <w:rPr>
                <w:rFonts w:cs="Arial"/>
                <w:sz w:val="16"/>
                <w:szCs w:val="16"/>
              </w:rPr>
              <w:t>DBSA</w:t>
            </w:r>
            <w:r w:rsidR="0027036F">
              <w:rPr>
                <w:rFonts w:cs="Arial"/>
                <w:sz w:val="16"/>
                <w:szCs w:val="16"/>
              </w:rPr>
              <w:t xml:space="preserve"> </w:t>
            </w:r>
            <w:r w:rsidR="00055604">
              <w:rPr>
                <w:rFonts w:cs="Arial"/>
                <w:sz w:val="16"/>
                <w:szCs w:val="16"/>
              </w:rPr>
              <w:t xml:space="preserve">Annual Review </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66" w:rsidRPr="00BE1544" w:rsidRDefault="00A16CA4">
    <w:pPr>
      <w:pStyle w:val="Footer"/>
      <w:rPr>
        <w:rFonts w:cs="Arial"/>
        <w:sz w:val="16"/>
        <w:szCs w:val="16"/>
      </w:rPr>
    </w:pPr>
    <w:r w:rsidRPr="00A16CA4">
      <w:rPr>
        <w:rFonts w:cs="Arial"/>
        <w:b/>
        <w:noProof/>
        <w:sz w:val="16"/>
        <w:szCs w:val="16"/>
        <w:lang w:eastAsia="en-ZA"/>
      </w:rPr>
      <w:pict>
        <v:line id="Straight Connector 9" o:spid="_x0000_s409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F62866" w:rsidRPr="00BE1544">
      <w:rPr>
        <w:rFonts w:cs="Arial"/>
        <w:b/>
        <w:sz w:val="16"/>
        <w:szCs w:val="16"/>
      </w:rPr>
      <w:t>Research Unit</w:t>
    </w:r>
    <w:r w:rsidR="00F62866">
      <w:rPr>
        <w:rFonts w:cs="Arial"/>
        <w:b/>
        <w:sz w:val="16"/>
        <w:szCs w:val="16"/>
      </w:rPr>
      <w:t xml:space="preserve"> </w:t>
    </w:r>
    <w:r w:rsidR="00F62866" w:rsidRPr="00BE1544">
      <w:rPr>
        <w:rFonts w:cs="Arial"/>
        <w:b/>
        <w:sz w:val="16"/>
        <w:szCs w:val="16"/>
      </w:rPr>
      <w:t>|</w:t>
    </w:r>
    <w:r w:rsidR="00F62866" w:rsidRPr="00BE1544">
      <w:rPr>
        <w:rFonts w:cs="Arial"/>
        <w:sz w:val="16"/>
        <w:szCs w:val="16"/>
      </w:rPr>
      <w:t xml:space="preserve"> </w:t>
    </w:r>
    <w:r w:rsidR="004166B1">
      <w:rPr>
        <w:rFonts w:cs="Arial"/>
        <w:sz w:val="16"/>
        <w:szCs w:val="16"/>
      </w:rPr>
      <w:t xml:space="preserve">DBSA </w:t>
    </w:r>
    <w:r w:rsidR="000E474E">
      <w:rPr>
        <w:rFonts w:cs="Arial"/>
        <w:sz w:val="16"/>
        <w:szCs w:val="16"/>
      </w:rPr>
      <w:t xml:space="preserve">annual report </w:t>
    </w:r>
    <w:r w:rsidR="000E474E">
      <w:rPr>
        <w:rFonts w:cs="Arial"/>
        <w:sz w:val="16"/>
        <w:szCs w:val="16"/>
      </w:rPr>
      <w:tab/>
    </w:r>
    <w:r w:rsidR="000E474E">
      <w:rPr>
        <w:rFonts w:cs="Arial"/>
        <w:sz w:val="16"/>
        <w:szCs w:val="16"/>
      </w:rPr>
      <w:tab/>
    </w:r>
    <w:r w:rsidR="00F62866" w:rsidRPr="00BE1544">
      <w:rPr>
        <w:rFonts w:cs="Arial"/>
        <w:sz w:val="16"/>
        <w:szCs w:val="16"/>
      </w:rPr>
      <w:t xml:space="preserve">Contact details: 021 403 </w:t>
    </w:r>
    <w:r w:rsidR="00F62866">
      <w:rPr>
        <w:rFonts w:cs="Arial"/>
        <w:sz w:val="16"/>
        <w:szCs w:val="16"/>
      </w:rPr>
      <w:t>8017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50" w:rsidRDefault="008A6150" w:rsidP="00BE1544">
      <w:pPr>
        <w:spacing w:line="240" w:lineRule="auto"/>
      </w:pPr>
      <w:r>
        <w:separator/>
      </w:r>
    </w:p>
  </w:footnote>
  <w:footnote w:type="continuationSeparator" w:id="0">
    <w:p w:rsidR="008A6150" w:rsidRDefault="008A6150"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66" w:rsidRDefault="00F62866">
    <w:pPr>
      <w:pStyle w:val="Header"/>
    </w:pPr>
    <w:r>
      <w:rPr>
        <w:noProof/>
        <w:lang w:eastAsia="en-ZA"/>
      </w:rPr>
      <w:drawing>
        <wp:anchor distT="0" distB="0" distL="114300" distR="114300" simplePos="0" relativeHeight="251659264" behindDoc="0" locked="0" layoutInCell="1" allowOverlap="1">
          <wp:simplePos x="0" y="0"/>
          <wp:positionH relativeFrom="margin">
            <wp:posOffset>4931410</wp:posOffset>
          </wp:positionH>
          <wp:positionV relativeFrom="page">
            <wp:posOffset>344643</wp:posOffset>
          </wp:positionV>
          <wp:extent cx="800100" cy="824230"/>
          <wp:effectExtent l="0" t="0" r="0"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p w:rsidR="00F62866" w:rsidRDefault="00F62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66" w:rsidRDefault="00F62866">
    <w:pPr>
      <w:pStyle w:val="Header"/>
    </w:pPr>
    <w:r>
      <w:rPr>
        <w:noProof/>
        <w:lang w:eastAsia="en-ZA"/>
      </w:rPr>
      <w:drawing>
        <wp:anchor distT="0" distB="0" distL="114300" distR="114300" simplePos="0" relativeHeight="251658240" behindDoc="0" locked="0" layoutInCell="1" allowOverlap="1">
          <wp:simplePos x="0" y="0"/>
          <wp:positionH relativeFrom="margin">
            <wp:posOffset>-82388</wp:posOffset>
          </wp:positionH>
          <wp:positionV relativeFrom="page">
            <wp:posOffset>411480</wp:posOffset>
          </wp:positionV>
          <wp:extent cx="2543810" cy="824230"/>
          <wp:effectExtent l="0" t="0" r="889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0288" behindDoc="1" locked="0" layoutInCell="1" allowOverlap="1">
          <wp:simplePos x="0" y="0"/>
          <wp:positionH relativeFrom="margin">
            <wp:posOffset>3557743</wp:posOffset>
          </wp:positionH>
          <wp:positionV relativeFrom="page">
            <wp:posOffset>560070</wp:posOffset>
          </wp:positionV>
          <wp:extent cx="2279650" cy="611505"/>
          <wp:effectExtent l="0" t="0" r="6350" b="0"/>
          <wp:wrapSquare wrapText="bothSides"/>
          <wp:docPr id="14" name="Picture 1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438"/>
    <w:multiLevelType w:val="multilevel"/>
    <w:tmpl w:val="BEEAB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866B2"/>
    <w:multiLevelType w:val="hybridMultilevel"/>
    <w:tmpl w:val="5E2E8B6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7DD38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7F5AEC"/>
    <w:multiLevelType w:val="hybridMultilevel"/>
    <w:tmpl w:val="05E2F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DD5527"/>
    <w:multiLevelType w:val="hybridMultilevel"/>
    <w:tmpl w:val="84BA6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A1A323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AFA49F1"/>
    <w:multiLevelType w:val="hybridMultilevel"/>
    <w:tmpl w:val="C49E874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350E07"/>
    <w:multiLevelType w:val="hybridMultilevel"/>
    <w:tmpl w:val="A0E626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1616860"/>
    <w:multiLevelType w:val="hybridMultilevel"/>
    <w:tmpl w:val="D0A8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721B8"/>
    <w:multiLevelType w:val="hybridMultilevel"/>
    <w:tmpl w:val="784A20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87571B3"/>
    <w:multiLevelType w:val="hybridMultilevel"/>
    <w:tmpl w:val="86E808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DD2570"/>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53B46BC3"/>
    <w:multiLevelType w:val="hybridMultilevel"/>
    <w:tmpl w:val="FEB610B0"/>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51C5042"/>
    <w:multiLevelType w:val="hybridMultilevel"/>
    <w:tmpl w:val="7788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27453"/>
    <w:multiLevelType w:val="hybridMultilevel"/>
    <w:tmpl w:val="574C8770"/>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6624A"/>
    <w:multiLevelType w:val="hybridMultilevel"/>
    <w:tmpl w:val="AB988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802D3D"/>
    <w:multiLevelType w:val="hybridMultilevel"/>
    <w:tmpl w:val="CD1E9F9C"/>
    <w:lvl w:ilvl="0" w:tplc="C180F32C">
      <w:start w:val="1"/>
      <w:numFmt w:val="lowerRoman"/>
      <w:lvlText w:val="(%1)"/>
      <w:lvlJc w:val="left"/>
      <w:pPr>
        <w:ind w:left="900" w:hanging="72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1D97F37"/>
    <w:multiLevelType w:val="hybridMultilevel"/>
    <w:tmpl w:val="5EBE1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21B6A89"/>
    <w:multiLevelType w:val="hybridMultilevel"/>
    <w:tmpl w:val="BDC836FC"/>
    <w:lvl w:ilvl="0" w:tplc="D51418B4">
      <w:start w:val="1"/>
      <w:numFmt w:val="decimal"/>
      <w:lvlText w:val="%1."/>
      <w:lvlJc w:val="left"/>
      <w:pPr>
        <w:ind w:left="360" w:hanging="360"/>
      </w:pPr>
      <w:rPr>
        <w:rFonts w:hint="default"/>
        <w:b/>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2A81F49"/>
    <w:multiLevelType w:val="hybridMultilevel"/>
    <w:tmpl w:val="CC3214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46712D9"/>
    <w:multiLevelType w:val="hybridMultilevel"/>
    <w:tmpl w:val="9096439A"/>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01519"/>
    <w:multiLevelType w:val="multilevel"/>
    <w:tmpl w:val="1E5890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B1A2413"/>
    <w:multiLevelType w:val="hybridMultilevel"/>
    <w:tmpl w:val="9FE48BA6"/>
    <w:lvl w:ilvl="0" w:tplc="7382BDE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875FE"/>
    <w:multiLevelType w:val="multilevel"/>
    <w:tmpl w:val="8834AFB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365D55"/>
    <w:multiLevelType w:val="hybridMultilevel"/>
    <w:tmpl w:val="9B9C2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74D85B79"/>
    <w:multiLevelType w:val="hybridMultilevel"/>
    <w:tmpl w:val="4D1A4CD6"/>
    <w:lvl w:ilvl="0" w:tplc="22687B36">
      <w:start w:val="1"/>
      <w:numFmt w:val="lowerRoman"/>
      <w:lvlText w:val="%1."/>
      <w:lvlJc w:val="left"/>
      <w:pPr>
        <w:ind w:left="81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8047693"/>
    <w:multiLevelType w:val="hybridMultilevel"/>
    <w:tmpl w:val="5118690E"/>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20"/>
  </w:num>
  <w:num w:numId="5">
    <w:abstractNumId w:val="9"/>
  </w:num>
  <w:num w:numId="6">
    <w:abstractNumId w:val="24"/>
  </w:num>
  <w:num w:numId="7">
    <w:abstractNumId w:val="11"/>
  </w:num>
  <w:num w:numId="8">
    <w:abstractNumId w:val="5"/>
  </w:num>
  <w:num w:numId="9">
    <w:abstractNumId w:val="1"/>
  </w:num>
  <w:num w:numId="10">
    <w:abstractNumId w:val="16"/>
  </w:num>
  <w:num w:numId="11">
    <w:abstractNumId w:val="3"/>
  </w:num>
  <w:num w:numId="12">
    <w:abstractNumId w:val="18"/>
  </w:num>
  <w:num w:numId="13">
    <w:abstractNumId w:val="29"/>
  </w:num>
  <w:num w:numId="14">
    <w:abstractNumId w:val="26"/>
  </w:num>
  <w:num w:numId="15">
    <w:abstractNumId w:val="2"/>
  </w:num>
  <w:num w:numId="16">
    <w:abstractNumId w:val="17"/>
  </w:num>
  <w:num w:numId="17">
    <w:abstractNumId w:val="23"/>
  </w:num>
  <w:num w:numId="18">
    <w:abstractNumId w:val="14"/>
  </w:num>
  <w:num w:numId="19">
    <w:abstractNumId w:val="15"/>
  </w:num>
  <w:num w:numId="20">
    <w:abstractNumId w:val="8"/>
  </w:num>
  <w:num w:numId="21">
    <w:abstractNumId w:val="21"/>
  </w:num>
  <w:num w:numId="22">
    <w:abstractNumId w:val="28"/>
  </w:num>
  <w:num w:numId="23">
    <w:abstractNumId w:val="7"/>
  </w:num>
  <w:num w:numId="24">
    <w:abstractNumId w:val="22"/>
  </w:num>
  <w:num w:numId="25">
    <w:abstractNumId w:val="27"/>
  </w:num>
  <w:num w:numId="26">
    <w:abstractNumId w:val="13"/>
  </w:num>
  <w:num w:numId="27">
    <w:abstractNumId w:val="6"/>
  </w:num>
  <w:num w:numId="28">
    <w:abstractNumId w:val="10"/>
  </w:num>
  <w:num w:numId="29">
    <w:abstractNumId w:val="1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45F0C"/>
    <w:rsid w:val="000076BF"/>
    <w:rsid w:val="0001102D"/>
    <w:rsid w:val="00021A79"/>
    <w:rsid w:val="00034B99"/>
    <w:rsid w:val="0004431C"/>
    <w:rsid w:val="0004494C"/>
    <w:rsid w:val="00052B47"/>
    <w:rsid w:val="00054A92"/>
    <w:rsid w:val="00055604"/>
    <w:rsid w:val="000670F5"/>
    <w:rsid w:val="00067A47"/>
    <w:rsid w:val="000B648B"/>
    <w:rsid w:val="000C41C0"/>
    <w:rsid w:val="000E474E"/>
    <w:rsid w:val="000F0ECE"/>
    <w:rsid w:val="00112D46"/>
    <w:rsid w:val="00142CEB"/>
    <w:rsid w:val="00153B94"/>
    <w:rsid w:val="00177880"/>
    <w:rsid w:val="00184D13"/>
    <w:rsid w:val="00191AF0"/>
    <w:rsid w:val="001F7BAD"/>
    <w:rsid w:val="00214DD2"/>
    <w:rsid w:val="002373D9"/>
    <w:rsid w:val="002464D1"/>
    <w:rsid w:val="0025404A"/>
    <w:rsid w:val="002621CD"/>
    <w:rsid w:val="0027036F"/>
    <w:rsid w:val="002B006D"/>
    <w:rsid w:val="002B08CF"/>
    <w:rsid w:val="002D6EE7"/>
    <w:rsid w:val="002F1450"/>
    <w:rsid w:val="0031278C"/>
    <w:rsid w:val="0034606F"/>
    <w:rsid w:val="00360133"/>
    <w:rsid w:val="00377ACD"/>
    <w:rsid w:val="003939BE"/>
    <w:rsid w:val="003A6436"/>
    <w:rsid w:val="003C27CD"/>
    <w:rsid w:val="003C3F5B"/>
    <w:rsid w:val="003C5550"/>
    <w:rsid w:val="0041476B"/>
    <w:rsid w:val="004166B1"/>
    <w:rsid w:val="00432957"/>
    <w:rsid w:val="004333D9"/>
    <w:rsid w:val="00454195"/>
    <w:rsid w:val="00462C35"/>
    <w:rsid w:val="004C17E7"/>
    <w:rsid w:val="004D39E3"/>
    <w:rsid w:val="004F5C45"/>
    <w:rsid w:val="004F6E7C"/>
    <w:rsid w:val="005028B1"/>
    <w:rsid w:val="00533467"/>
    <w:rsid w:val="00574827"/>
    <w:rsid w:val="0058436C"/>
    <w:rsid w:val="005B1685"/>
    <w:rsid w:val="005C6C84"/>
    <w:rsid w:val="005E068D"/>
    <w:rsid w:val="006163FE"/>
    <w:rsid w:val="00621CB4"/>
    <w:rsid w:val="00630D3E"/>
    <w:rsid w:val="00663F6C"/>
    <w:rsid w:val="00667D16"/>
    <w:rsid w:val="00684805"/>
    <w:rsid w:val="006E0F0E"/>
    <w:rsid w:val="006F5E2B"/>
    <w:rsid w:val="00702501"/>
    <w:rsid w:val="0071617F"/>
    <w:rsid w:val="00764580"/>
    <w:rsid w:val="007678EB"/>
    <w:rsid w:val="00796FBD"/>
    <w:rsid w:val="007C1A8E"/>
    <w:rsid w:val="007D206C"/>
    <w:rsid w:val="00810ACC"/>
    <w:rsid w:val="0082503B"/>
    <w:rsid w:val="00827369"/>
    <w:rsid w:val="00845F0C"/>
    <w:rsid w:val="008817A9"/>
    <w:rsid w:val="00882C8E"/>
    <w:rsid w:val="00893EE9"/>
    <w:rsid w:val="00896E7D"/>
    <w:rsid w:val="008A1185"/>
    <w:rsid w:val="008A6150"/>
    <w:rsid w:val="00933955"/>
    <w:rsid w:val="0099420E"/>
    <w:rsid w:val="009A2690"/>
    <w:rsid w:val="009B2A77"/>
    <w:rsid w:val="009C30C8"/>
    <w:rsid w:val="009C6D1F"/>
    <w:rsid w:val="009E0C94"/>
    <w:rsid w:val="009E5DE3"/>
    <w:rsid w:val="00A04B6F"/>
    <w:rsid w:val="00A16CA4"/>
    <w:rsid w:val="00A43698"/>
    <w:rsid w:val="00AA2350"/>
    <w:rsid w:val="00AD0A4E"/>
    <w:rsid w:val="00AE56DF"/>
    <w:rsid w:val="00AE60E1"/>
    <w:rsid w:val="00AE6B13"/>
    <w:rsid w:val="00B71B61"/>
    <w:rsid w:val="00B725AB"/>
    <w:rsid w:val="00B75CDB"/>
    <w:rsid w:val="00B9302E"/>
    <w:rsid w:val="00BC6E8F"/>
    <w:rsid w:val="00BE1544"/>
    <w:rsid w:val="00BE65C0"/>
    <w:rsid w:val="00C353B9"/>
    <w:rsid w:val="00CA59EA"/>
    <w:rsid w:val="00CE26E6"/>
    <w:rsid w:val="00D12839"/>
    <w:rsid w:val="00D323E9"/>
    <w:rsid w:val="00DA50F5"/>
    <w:rsid w:val="00DB162D"/>
    <w:rsid w:val="00DB35AC"/>
    <w:rsid w:val="00DC03FC"/>
    <w:rsid w:val="00E079AD"/>
    <w:rsid w:val="00E60C1F"/>
    <w:rsid w:val="00E9186C"/>
    <w:rsid w:val="00EC191C"/>
    <w:rsid w:val="00EC1AF4"/>
    <w:rsid w:val="00EC4E94"/>
    <w:rsid w:val="00EF074D"/>
    <w:rsid w:val="00EF36A1"/>
    <w:rsid w:val="00F14BC4"/>
    <w:rsid w:val="00F35173"/>
    <w:rsid w:val="00F62866"/>
    <w:rsid w:val="00FE6A74"/>
    <w:rsid w:val="00FE7C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5604"/>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customStyle="1" w:styleId="Default">
    <w:name w:val="Default"/>
    <w:rsid w:val="00684805"/>
    <w:pPr>
      <w:autoSpaceDE w:val="0"/>
      <w:autoSpaceDN w:val="0"/>
      <w:adjustRightInd w:val="0"/>
      <w:spacing w:after="0" w:line="240" w:lineRule="auto"/>
    </w:pPr>
    <w:rPr>
      <w:rFonts w:ascii="Arial" w:hAnsi="Arial" w:cs="Arial"/>
      <w:color w:val="000000"/>
      <w:sz w:val="24"/>
      <w:szCs w:val="24"/>
      <w:lang w:val="en-US"/>
    </w:rPr>
  </w:style>
  <w:style w:type="paragraph" w:customStyle="1" w:styleId="Pa9">
    <w:name w:val="Pa9"/>
    <w:basedOn w:val="Default"/>
    <w:next w:val="Default"/>
    <w:uiPriority w:val="99"/>
    <w:rsid w:val="00684805"/>
    <w:pPr>
      <w:spacing w:line="221" w:lineRule="atLeast"/>
    </w:pPr>
    <w:rPr>
      <w:color w:val="auto"/>
    </w:rPr>
  </w:style>
  <w:style w:type="paragraph" w:customStyle="1" w:styleId="Pa8">
    <w:name w:val="Pa8"/>
    <w:basedOn w:val="Default"/>
    <w:next w:val="Default"/>
    <w:uiPriority w:val="99"/>
    <w:rsid w:val="00684805"/>
    <w:pPr>
      <w:spacing w:line="221" w:lineRule="atLeast"/>
    </w:pPr>
    <w:rPr>
      <w:color w:val="auto"/>
    </w:rPr>
  </w:style>
  <w:style w:type="character" w:customStyle="1" w:styleId="A12">
    <w:name w:val="A12"/>
    <w:uiPriority w:val="99"/>
    <w:rsid w:val="00684805"/>
    <w:rPr>
      <w:color w:val="000000"/>
      <w:sz w:val="16"/>
      <w:szCs w:val="16"/>
    </w:rPr>
  </w:style>
  <w:style w:type="paragraph" w:styleId="BalloonText">
    <w:name w:val="Balloon Text"/>
    <w:basedOn w:val="Normal"/>
    <w:link w:val="BalloonTextChar"/>
    <w:uiPriority w:val="99"/>
    <w:semiHidden/>
    <w:unhideWhenUsed/>
    <w:rsid w:val="00EF36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A1"/>
    <w:rPr>
      <w:rFonts w:ascii="Segoe UI" w:hAnsi="Segoe UI" w:cs="Segoe UI"/>
      <w:sz w:val="18"/>
      <w:szCs w:val="18"/>
    </w:rPr>
  </w:style>
  <w:style w:type="paragraph" w:styleId="BodyText">
    <w:name w:val="Body Text"/>
    <w:basedOn w:val="Normal"/>
    <w:link w:val="BodyTextChar"/>
    <w:rsid w:val="00112D46"/>
    <w:pPr>
      <w:spacing w:line="240" w:lineRule="auto"/>
      <w:jc w:val="left"/>
    </w:pPr>
    <w:rPr>
      <w:rFonts w:eastAsia="Times New Roman" w:cs="Arial"/>
      <w:b/>
      <w:bCs/>
      <w:sz w:val="20"/>
      <w:szCs w:val="20"/>
      <w:u w:val="single"/>
      <w:lang w:val="en-US"/>
    </w:rPr>
  </w:style>
  <w:style w:type="character" w:customStyle="1" w:styleId="BodyTextChar">
    <w:name w:val="Body Text Char"/>
    <w:basedOn w:val="DefaultParagraphFont"/>
    <w:link w:val="BodyText"/>
    <w:rsid w:val="00112D46"/>
    <w:rPr>
      <w:rFonts w:ascii="Arial" w:eastAsia="Times New Roman" w:hAnsi="Arial" w:cs="Arial"/>
      <w:b/>
      <w:bCs/>
      <w:sz w:val="20"/>
      <w:szCs w:val="20"/>
      <w:u w:val="single"/>
      <w:lang w:val="en-US"/>
    </w:rPr>
  </w:style>
  <w:style w:type="character" w:styleId="CommentReference">
    <w:name w:val="annotation reference"/>
    <w:basedOn w:val="DefaultParagraphFont"/>
    <w:uiPriority w:val="99"/>
    <w:semiHidden/>
    <w:unhideWhenUsed/>
    <w:rsid w:val="00214DD2"/>
    <w:rPr>
      <w:sz w:val="16"/>
      <w:szCs w:val="16"/>
    </w:rPr>
  </w:style>
  <w:style w:type="paragraph" w:styleId="CommentSubject">
    <w:name w:val="annotation subject"/>
    <w:basedOn w:val="CommentText"/>
    <w:next w:val="CommentText"/>
    <w:link w:val="CommentSubjectChar"/>
    <w:uiPriority w:val="99"/>
    <w:semiHidden/>
    <w:unhideWhenUsed/>
    <w:rsid w:val="00214DD2"/>
    <w:pPr>
      <w:spacing w:line="240" w:lineRule="auto"/>
      <w:jc w:val="both"/>
    </w:pPr>
    <w:rPr>
      <w:rFonts w:eastAsia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214DD2"/>
    <w:rPr>
      <w:rFonts w:ascii="Arial" w:eastAsia="Times New Roman" w:hAnsi="Arial" w:cs="Times New Roman"/>
      <w:b/>
      <w:bCs/>
      <w:color w:val="000000"/>
      <w:sz w:val="20"/>
      <w:szCs w:val="20"/>
      <w:lang w:val="en-GB" w:eastAsia="en-GB"/>
    </w:rPr>
  </w:style>
  <w:style w:type="paragraph" w:styleId="FootnoteText">
    <w:name w:val="footnote text"/>
    <w:basedOn w:val="Normal"/>
    <w:link w:val="FootnoteTextChar"/>
    <w:uiPriority w:val="99"/>
    <w:semiHidden/>
    <w:unhideWhenUsed/>
    <w:rsid w:val="000E474E"/>
    <w:pPr>
      <w:spacing w:line="240" w:lineRule="auto"/>
    </w:pPr>
    <w:rPr>
      <w:sz w:val="20"/>
      <w:szCs w:val="20"/>
    </w:rPr>
  </w:style>
  <w:style w:type="character" w:customStyle="1" w:styleId="FootnoteTextChar">
    <w:name w:val="Footnote Text Char"/>
    <w:basedOn w:val="DefaultParagraphFont"/>
    <w:link w:val="FootnoteText"/>
    <w:uiPriority w:val="99"/>
    <w:semiHidden/>
    <w:rsid w:val="000E474E"/>
    <w:rPr>
      <w:rFonts w:ascii="Arial" w:hAnsi="Arial"/>
      <w:sz w:val="20"/>
      <w:szCs w:val="20"/>
    </w:rPr>
  </w:style>
  <w:style w:type="character" w:styleId="FootnoteReference">
    <w:name w:val="footnote reference"/>
    <w:basedOn w:val="DefaultParagraphFont"/>
    <w:uiPriority w:val="99"/>
    <w:semiHidden/>
    <w:unhideWhenUsed/>
    <w:rsid w:val="000E474E"/>
    <w:rPr>
      <w:vertAlign w:val="superscript"/>
    </w:rPr>
  </w:style>
</w:styles>
</file>

<file path=word/webSettings.xml><?xml version="1.0" encoding="utf-8"?>
<w:webSettings xmlns:r="http://schemas.openxmlformats.org/officeDocument/2006/relationships" xmlns:w="http://schemas.openxmlformats.org/wordprocessingml/2006/main">
  <w:divs>
    <w:div w:id="666517668">
      <w:bodyDiv w:val="1"/>
      <w:marLeft w:val="0"/>
      <w:marRight w:val="0"/>
      <w:marTop w:val="0"/>
      <w:marBottom w:val="0"/>
      <w:divBdr>
        <w:top w:val="none" w:sz="0" w:space="0" w:color="auto"/>
        <w:left w:val="none" w:sz="0" w:space="0" w:color="auto"/>
        <w:bottom w:val="none" w:sz="0" w:space="0" w:color="auto"/>
        <w:right w:val="none" w:sz="0" w:space="0" w:color="auto"/>
      </w:divBdr>
      <w:divsChild>
        <w:div w:id="1377269613">
          <w:marLeft w:val="0"/>
          <w:marRight w:val="0"/>
          <w:marTop w:val="0"/>
          <w:marBottom w:val="0"/>
          <w:divBdr>
            <w:top w:val="none" w:sz="0" w:space="0" w:color="auto"/>
            <w:left w:val="none" w:sz="0" w:space="0" w:color="auto"/>
            <w:bottom w:val="none" w:sz="0" w:space="0" w:color="auto"/>
            <w:right w:val="none" w:sz="0" w:space="0" w:color="auto"/>
          </w:divBdr>
        </w:div>
        <w:div w:id="834684159">
          <w:marLeft w:val="0"/>
          <w:marRight w:val="0"/>
          <w:marTop w:val="0"/>
          <w:marBottom w:val="0"/>
          <w:divBdr>
            <w:top w:val="none" w:sz="0" w:space="0" w:color="auto"/>
            <w:left w:val="none" w:sz="0" w:space="0" w:color="auto"/>
            <w:bottom w:val="none" w:sz="0" w:space="0" w:color="auto"/>
            <w:right w:val="none" w:sz="0" w:space="0" w:color="auto"/>
          </w:divBdr>
        </w:div>
        <w:div w:id="378287669">
          <w:marLeft w:val="0"/>
          <w:marRight w:val="0"/>
          <w:marTop w:val="0"/>
          <w:marBottom w:val="0"/>
          <w:divBdr>
            <w:top w:val="none" w:sz="0" w:space="0" w:color="auto"/>
            <w:left w:val="none" w:sz="0" w:space="0" w:color="auto"/>
            <w:bottom w:val="none" w:sz="0" w:space="0" w:color="auto"/>
            <w:right w:val="none" w:sz="0" w:space="0" w:color="auto"/>
          </w:divBdr>
        </w:div>
        <w:div w:id="902176590">
          <w:marLeft w:val="0"/>
          <w:marRight w:val="0"/>
          <w:marTop w:val="0"/>
          <w:marBottom w:val="0"/>
          <w:divBdr>
            <w:top w:val="none" w:sz="0" w:space="0" w:color="auto"/>
            <w:left w:val="none" w:sz="0" w:space="0" w:color="auto"/>
            <w:bottom w:val="none" w:sz="0" w:space="0" w:color="auto"/>
            <w:right w:val="none" w:sz="0" w:space="0" w:color="auto"/>
          </w:divBdr>
        </w:div>
        <w:div w:id="2013140082">
          <w:marLeft w:val="0"/>
          <w:marRight w:val="0"/>
          <w:marTop w:val="0"/>
          <w:marBottom w:val="0"/>
          <w:divBdr>
            <w:top w:val="none" w:sz="0" w:space="0" w:color="auto"/>
            <w:left w:val="none" w:sz="0" w:space="0" w:color="auto"/>
            <w:bottom w:val="none" w:sz="0" w:space="0" w:color="auto"/>
            <w:right w:val="none" w:sz="0" w:space="0" w:color="auto"/>
          </w:divBdr>
        </w:div>
        <w:div w:id="1821342310">
          <w:marLeft w:val="0"/>
          <w:marRight w:val="0"/>
          <w:marTop w:val="0"/>
          <w:marBottom w:val="0"/>
          <w:divBdr>
            <w:top w:val="none" w:sz="0" w:space="0" w:color="auto"/>
            <w:left w:val="none" w:sz="0" w:space="0" w:color="auto"/>
            <w:bottom w:val="none" w:sz="0" w:space="0" w:color="auto"/>
            <w:right w:val="none" w:sz="0" w:space="0" w:color="auto"/>
          </w:divBdr>
        </w:div>
        <w:div w:id="1148979681">
          <w:marLeft w:val="0"/>
          <w:marRight w:val="0"/>
          <w:marTop w:val="0"/>
          <w:marBottom w:val="0"/>
          <w:divBdr>
            <w:top w:val="none" w:sz="0" w:space="0" w:color="auto"/>
            <w:left w:val="none" w:sz="0" w:space="0" w:color="auto"/>
            <w:bottom w:val="none" w:sz="0" w:space="0" w:color="auto"/>
            <w:right w:val="none" w:sz="0" w:space="0" w:color="auto"/>
          </w:divBdr>
        </w:div>
        <w:div w:id="414938500">
          <w:marLeft w:val="0"/>
          <w:marRight w:val="0"/>
          <w:marTop w:val="0"/>
          <w:marBottom w:val="0"/>
          <w:divBdr>
            <w:top w:val="none" w:sz="0" w:space="0" w:color="auto"/>
            <w:left w:val="none" w:sz="0" w:space="0" w:color="auto"/>
            <w:bottom w:val="none" w:sz="0" w:space="0" w:color="auto"/>
            <w:right w:val="none" w:sz="0" w:space="0" w:color="auto"/>
          </w:divBdr>
        </w:div>
        <w:div w:id="1670870160">
          <w:marLeft w:val="0"/>
          <w:marRight w:val="0"/>
          <w:marTop w:val="0"/>
          <w:marBottom w:val="0"/>
          <w:divBdr>
            <w:top w:val="none" w:sz="0" w:space="0" w:color="auto"/>
            <w:left w:val="none" w:sz="0" w:space="0" w:color="auto"/>
            <w:bottom w:val="none" w:sz="0" w:space="0" w:color="auto"/>
            <w:right w:val="none" w:sz="0" w:space="0" w:color="auto"/>
          </w:divBdr>
        </w:div>
        <w:div w:id="1391735588">
          <w:marLeft w:val="0"/>
          <w:marRight w:val="0"/>
          <w:marTop w:val="0"/>
          <w:marBottom w:val="0"/>
          <w:divBdr>
            <w:top w:val="none" w:sz="0" w:space="0" w:color="auto"/>
            <w:left w:val="none" w:sz="0" w:space="0" w:color="auto"/>
            <w:bottom w:val="none" w:sz="0" w:space="0" w:color="auto"/>
            <w:right w:val="none" w:sz="0" w:space="0" w:color="auto"/>
          </w:divBdr>
        </w:div>
        <w:div w:id="250432846">
          <w:marLeft w:val="0"/>
          <w:marRight w:val="0"/>
          <w:marTop w:val="0"/>
          <w:marBottom w:val="0"/>
          <w:divBdr>
            <w:top w:val="none" w:sz="0" w:space="0" w:color="auto"/>
            <w:left w:val="none" w:sz="0" w:space="0" w:color="auto"/>
            <w:bottom w:val="none" w:sz="0" w:space="0" w:color="auto"/>
            <w:right w:val="none" w:sz="0" w:space="0" w:color="auto"/>
          </w:divBdr>
        </w:div>
        <w:div w:id="1188787542">
          <w:marLeft w:val="0"/>
          <w:marRight w:val="0"/>
          <w:marTop w:val="0"/>
          <w:marBottom w:val="0"/>
          <w:divBdr>
            <w:top w:val="none" w:sz="0" w:space="0" w:color="auto"/>
            <w:left w:val="none" w:sz="0" w:space="0" w:color="auto"/>
            <w:bottom w:val="none" w:sz="0" w:space="0" w:color="auto"/>
            <w:right w:val="none" w:sz="0" w:space="0" w:color="auto"/>
          </w:divBdr>
        </w:div>
        <w:div w:id="2107462926">
          <w:marLeft w:val="0"/>
          <w:marRight w:val="0"/>
          <w:marTop w:val="0"/>
          <w:marBottom w:val="0"/>
          <w:divBdr>
            <w:top w:val="none" w:sz="0" w:space="0" w:color="auto"/>
            <w:left w:val="none" w:sz="0" w:space="0" w:color="auto"/>
            <w:bottom w:val="none" w:sz="0" w:space="0" w:color="auto"/>
            <w:right w:val="none" w:sz="0" w:space="0" w:color="auto"/>
          </w:divBdr>
        </w:div>
        <w:div w:id="733283823">
          <w:marLeft w:val="0"/>
          <w:marRight w:val="0"/>
          <w:marTop w:val="0"/>
          <w:marBottom w:val="0"/>
          <w:divBdr>
            <w:top w:val="none" w:sz="0" w:space="0" w:color="auto"/>
            <w:left w:val="none" w:sz="0" w:space="0" w:color="auto"/>
            <w:bottom w:val="none" w:sz="0" w:space="0" w:color="auto"/>
            <w:right w:val="none" w:sz="0" w:space="0" w:color="auto"/>
          </w:divBdr>
        </w:div>
        <w:div w:id="587924671">
          <w:marLeft w:val="0"/>
          <w:marRight w:val="0"/>
          <w:marTop w:val="0"/>
          <w:marBottom w:val="0"/>
          <w:divBdr>
            <w:top w:val="none" w:sz="0" w:space="0" w:color="auto"/>
            <w:left w:val="none" w:sz="0" w:space="0" w:color="auto"/>
            <w:bottom w:val="none" w:sz="0" w:space="0" w:color="auto"/>
            <w:right w:val="none" w:sz="0" w:space="0" w:color="auto"/>
          </w:divBdr>
        </w:div>
        <w:div w:id="327710249">
          <w:marLeft w:val="0"/>
          <w:marRight w:val="0"/>
          <w:marTop w:val="0"/>
          <w:marBottom w:val="0"/>
          <w:divBdr>
            <w:top w:val="none" w:sz="0" w:space="0" w:color="auto"/>
            <w:left w:val="none" w:sz="0" w:space="0" w:color="auto"/>
            <w:bottom w:val="none" w:sz="0" w:space="0" w:color="auto"/>
            <w:right w:val="none" w:sz="0" w:space="0" w:color="auto"/>
          </w:divBdr>
        </w:div>
        <w:div w:id="777287746">
          <w:marLeft w:val="0"/>
          <w:marRight w:val="0"/>
          <w:marTop w:val="0"/>
          <w:marBottom w:val="0"/>
          <w:divBdr>
            <w:top w:val="none" w:sz="0" w:space="0" w:color="auto"/>
            <w:left w:val="none" w:sz="0" w:space="0" w:color="auto"/>
            <w:bottom w:val="none" w:sz="0" w:space="0" w:color="auto"/>
            <w:right w:val="none" w:sz="0" w:space="0" w:color="auto"/>
          </w:divBdr>
        </w:div>
        <w:div w:id="893278570">
          <w:marLeft w:val="0"/>
          <w:marRight w:val="0"/>
          <w:marTop w:val="0"/>
          <w:marBottom w:val="0"/>
          <w:divBdr>
            <w:top w:val="none" w:sz="0" w:space="0" w:color="auto"/>
            <w:left w:val="none" w:sz="0" w:space="0" w:color="auto"/>
            <w:bottom w:val="none" w:sz="0" w:space="0" w:color="auto"/>
            <w:right w:val="none" w:sz="0" w:space="0" w:color="auto"/>
          </w:divBdr>
        </w:div>
        <w:div w:id="1788355986">
          <w:marLeft w:val="0"/>
          <w:marRight w:val="0"/>
          <w:marTop w:val="0"/>
          <w:marBottom w:val="0"/>
          <w:divBdr>
            <w:top w:val="none" w:sz="0" w:space="0" w:color="auto"/>
            <w:left w:val="none" w:sz="0" w:space="0" w:color="auto"/>
            <w:bottom w:val="none" w:sz="0" w:space="0" w:color="auto"/>
            <w:right w:val="none" w:sz="0" w:space="0" w:color="auto"/>
          </w:divBdr>
        </w:div>
        <w:div w:id="1991518899">
          <w:marLeft w:val="0"/>
          <w:marRight w:val="0"/>
          <w:marTop w:val="0"/>
          <w:marBottom w:val="0"/>
          <w:divBdr>
            <w:top w:val="none" w:sz="0" w:space="0" w:color="auto"/>
            <w:left w:val="none" w:sz="0" w:space="0" w:color="auto"/>
            <w:bottom w:val="none" w:sz="0" w:space="0" w:color="auto"/>
            <w:right w:val="none" w:sz="0" w:space="0" w:color="auto"/>
          </w:divBdr>
        </w:div>
      </w:divsChild>
    </w:div>
    <w:div w:id="1351881713">
      <w:bodyDiv w:val="1"/>
      <w:marLeft w:val="0"/>
      <w:marRight w:val="0"/>
      <w:marTop w:val="0"/>
      <w:marBottom w:val="0"/>
      <w:divBdr>
        <w:top w:val="none" w:sz="0" w:space="0" w:color="auto"/>
        <w:left w:val="none" w:sz="0" w:space="0" w:color="auto"/>
        <w:bottom w:val="none" w:sz="0" w:space="0" w:color="auto"/>
        <w:right w:val="none" w:sz="0" w:space="0" w:color="auto"/>
      </w:divBdr>
      <w:divsChild>
        <w:div w:id="51008248">
          <w:marLeft w:val="0"/>
          <w:marRight w:val="0"/>
          <w:marTop w:val="0"/>
          <w:marBottom w:val="0"/>
          <w:divBdr>
            <w:top w:val="none" w:sz="0" w:space="0" w:color="auto"/>
            <w:left w:val="none" w:sz="0" w:space="0" w:color="auto"/>
            <w:bottom w:val="none" w:sz="0" w:space="0" w:color="auto"/>
            <w:right w:val="none" w:sz="0" w:space="0" w:color="auto"/>
          </w:divBdr>
        </w:div>
        <w:div w:id="225070577">
          <w:marLeft w:val="0"/>
          <w:marRight w:val="0"/>
          <w:marTop w:val="0"/>
          <w:marBottom w:val="0"/>
          <w:divBdr>
            <w:top w:val="none" w:sz="0" w:space="0" w:color="auto"/>
            <w:left w:val="none" w:sz="0" w:space="0" w:color="auto"/>
            <w:bottom w:val="none" w:sz="0" w:space="0" w:color="auto"/>
            <w:right w:val="none" w:sz="0" w:space="0" w:color="auto"/>
          </w:divBdr>
        </w:div>
        <w:div w:id="1164592327">
          <w:marLeft w:val="0"/>
          <w:marRight w:val="0"/>
          <w:marTop w:val="0"/>
          <w:marBottom w:val="0"/>
          <w:divBdr>
            <w:top w:val="none" w:sz="0" w:space="0" w:color="auto"/>
            <w:left w:val="none" w:sz="0" w:space="0" w:color="auto"/>
            <w:bottom w:val="none" w:sz="0" w:space="0" w:color="auto"/>
            <w:right w:val="none" w:sz="0" w:space="0" w:color="auto"/>
          </w:divBdr>
        </w:div>
        <w:div w:id="591744509">
          <w:marLeft w:val="0"/>
          <w:marRight w:val="0"/>
          <w:marTop w:val="0"/>
          <w:marBottom w:val="0"/>
          <w:divBdr>
            <w:top w:val="none" w:sz="0" w:space="0" w:color="auto"/>
            <w:left w:val="none" w:sz="0" w:space="0" w:color="auto"/>
            <w:bottom w:val="none" w:sz="0" w:space="0" w:color="auto"/>
            <w:right w:val="none" w:sz="0" w:space="0" w:color="auto"/>
          </w:divBdr>
        </w:div>
        <w:div w:id="2057461202">
          <w:marLeft w:val="0"/>
          <w:marRight w:val="0"/>
          <w:marTop w:val="0"/>
          <w:marBottom w:val="0"/>
          <w:divBdr>
            <w:top w:val="none" w:sz="0" w:space="0" w:color="auto"/>
            <w:left w:val="none" w:sz="0" w:space="0" w:color="auto"/>
            <w:bottom w:val="none" w:sz="0" w:space="0" w:color="auto"/>
            <w:right w:val="none" w:sz="0" w:space="0" w:color="auto"/>
          </w:divBdr>
        </w:div>
        <w:div w:id="1484809040">
          <w:marLeft w:val="0"/>
          <w:marRight w:val="0"/>
          <w:marTop w:val="0"/>
          <w:marBottom w:val="0"/>
          <w:divBdr>
            <w:top w:val="none" w:sz="0" w:space="0" w:color="auto"/>
            <w:left w:val="none" w:sz="0" w:space="0" w:color="auto"/>
            <w:bottom w:val="none" w:sz="0" w:space="0" w:color="auto"/>
            <w:right w:val="none" w:sz="0" w:space="0" w:color="auto"/>
          </w:divBdr>
        </w:div>
        <w:div w:id="251819573">
          <w:marLeft w:val="0"/>
          <w:marRight w:val="0"/>
          <w:marTop w:val="0"/>
          <w:marBottom w:val="0"/>
          <w:divBdr>
            <w:top w:val="none" w:sz="0" w:space="0" w:color="auto"/>
            <w:left w:val="none" w:sz="0" w:space="0" w:color="auto"/>
            <w:bottom w:val="none" w:sz="0" w:space="0" w:color="auto"/>
            <w:right w:val="none" w:sz="0" w:space="0" w:color="auto"/>
          </w:divBdr>
        </w:div>
        <w:div w:id="1771004186">
          <w:marLeft w:val="0"/>
          <w:marRight w:val="0"/>
          <w:marTop w:val="0"/>
          <w:marBottom w:val="0"/>
          <w:divBdr>
            <w:top w:val="none" w:sz="0" w:space="0" w:color="auto"/>
            <w:left w:val="none" w:sz="0" w:space="0" w:color="auto"/>
            <w:bottom w:val="none" w:sz="0" w:space="0" w:color="auto"/>
            <w:right w:val="none" w:sz="0" w:space="0" w:color="auto"/>
          </w:divBdr>
        </w:div>
        <w:div w:id="1500924522">
          <w:marLeft w:val="0"/>
          <w:marRight w:val="0"/>
          <w:marTop w:val="0"/>
          <w:marBottom w:val="0"/>
          <w:divBdr>
            <w:top w:val="none" w:sz="0" w:space="0" w:color="auto"/>
            <w:left w:val="none" w:sz="0" w:space="0" w:color="auto"/>
            <w:bottom w:val="none" w:sz="0" w:space="0" w:color="auto"/>
            <w:right w:val="none" w:sz="0" w:space="0" w:color="auto"/>
          </w:divBdr>
        </w:div>
        <w:div w:id="1687098331">
          <w:marLeft w:val="0"/>
          <w:marRight w:val="0"/>
          <w:marTop w:val="0"/>
          <w:marBottom w:val="0"/>
          <w:divBdr>
            <w:top w:val="none" w:sz="0" w:space="0" w:color="auto"/>
            <w:left w:val="none" w:sz="0" w:space="0" w:color="auto"/>
            <w:bottom w:val="none" w:sz="0" w:space="0" w:color="auto"/>
            <w:right w:val="none" w:sz="0" w:space="0" w:color="auto"/>
          </w:divBdr>
        </w:div>
        <w:div w:id="1078287250">
          <w:marLeft w:val="0"/>
          <w:marRight w:val="0"/>
          <w:marTop w:val="0"/>
          <w:marBottom w:val="0"/>
          <w:divBdr>
            <w:top w:val="none" w:sz="0" w:space="0" w:color="auto"/>
            <w:left w:val="none" w:sz="0" w:space="0" w:color="auto"/>
            <w:bottom w:val="none" w:sz="0" w:space="0" w:color="auto"/>
            <w:right w:val="none" w:sz="0" w:space="0" w:color="auto"/>
          </w:divBdr>
        </w:div>
        <w:div w:id="524294527">
          <w:marLeft w:val="0"/>
          <w:marRight w:val="0"/>
          <w:marTop w:val="0"/>
          <w:marBottom w:val="0"/>
          <w:divBdr>
            <w:top w:val="none" w:sz="0" w:space="0" w:color="auto"/>
            <w:left w:val="none" w:sz="0" w:space="0" w:color="auto"/>
            <w:bottom w:val="none" w:sz="0" w:space="0" w:color="auto"/>
            <w:right w:val="none" w:sz="0" w:space="0" w:color="auto"/>
          </w:divBdr>
        </w:div>
        <w:div w:id="458425336">
          <w:marLeft w:val="0"/>
          <w:marRight w:val="0"/>
          <w:marTop w:val="0"/>
          <w:marBottom w:val="0"/>
          <w:divBdr>
            <w:top w:val="none" w:sz="0" w:space="0" w:color="auto"/>
            <w:left w:val="none" w:sz="0" w:space="0" w:color="auto"/>
            <w:bottom w:val="none" w:sz="0" w:space="0" w:color="auto"/>
            <w:right w:val="none" w:sz="0" w:space="0" w:color="auto"/>
          </w:divBdr>
        </w:div>
        <w:div w:id="1538276231">
          <w:marLeft w:val="0"/>
          <w:marRight w:val="0"/>
          <w:marTop w:val="0"/>
          <w:marBottom w:val="0"/>
          <w:divBdr>
            <w:top w:val="none" w:sz="0" w:space="0" w:color="auto"/>
            <w:left w:val="none" w:sz="0" w:space="0" w:color="auto"/>
            <w:bottom w:val="none" w:sz="0" w:space="0" w:color="auto"/>
            <w:right w:val="none" w:sz="0" w:space="0" w:color="auto"/>
          </w:divBdr>
        </w:div>
        <w:div w:id="1127317152">
          <w:marLeft w:val="0"/>
          <w:marRight w:val="0"/>
          <w:marTop w:val="0"/>
          <w:marBottom w:val="0"/>
          <w:divBdr>
            <w:top w:val="none" w:sz="0" w:space="0" w:color="auto"/>
            <w:left w:val="none" w:sz="0" w:space="0" w:color="auto"/>
            <w:bottom w:val="none" w:sz="0" w:space="0" w:color="auto"/>
            <w:right w:val="none" w:sz="0" w:space="0" w:color="auto"/>
          </w:divBdr>
        </w:div>
        <w:div w:id="1641113603">
          <w:marLeft w:val="0"/>
          <w:marRight w:val="0"/>
          <w:marTop w:val="0"/>
          <w:marBottom w:val="0"/>
          <w:divBdr>
            <w:top w:val="none" w:sz="0" w:space="0" w:color="auto"/>
            <w:left w:val="none" w:sz="0" w:space="0" w:color="auto"/>
            <w:bottom w:val="none" w:sz="0" w:space="0" w:color="auto"/>
            <w:right w:val="none" w:sz="0" w:space="0" w:color="auto"/>
          </w:divBdr>
        </w:div>
        <w:div w:id="1931237483">
          <w:marLeft w:val="0"/>
          <w:marRight w:val="0"/>
          <w:marTop w:val="0"/>
          <w:marBottom w:val="0"/>
          <w:divBdr>
            <w:top w:val="none" w:sz="0" w:space="0" w:color="auto"/>
            <w:left w:val="none" w:sz="0" w:space="0" w:color="auto"/>
            <w:bottom w:val="none" w:sz="0" w:space="0" w:color="auto"/>
            <w:right w:val="none" w:sz="0" w:space="0" w:color="auto"/>
          </w:divBdr>
        </w:div>
        <w:div w:id="589699923">
          <w:marLeft w:val="0"/>
          <w:marRight w:val="0"/>
          <w:marTop w:val="0"/>
          <w:marBottom w:val="0"/>
          <w:divBdr>
            <w:top w:val="none" w:sz="0" w:space="0" w:color="auto"/>
            <w:left w:val="none" w:sz="0" w:space="0" w:color="auto"/>
            <w:bottom w:val="none" w:sz="0" w:space="0" w:color="auto"/>
            <w:right w:val="none" w:sz="0" w:space="0" w:color="auto"/>
          </w:divBdr>
        </w:div>
        <w:div w:id="1330329928">
          <w:marLeft w:val="0"/>
          <w:marRight w:val="0"/>
          <w:marTop w:val="0"/>
          <w:marBottom w:val="0"/>
          <w:divBdr>
            <w:top w:val="none" w:sz="0" w:space="0" w:color="auto"/>
            <w:left w:val="none" w:sz="0" w:space="0" w:color="auto"/>
            <w:bottom w:val="none" w:sz="0" w:space="0" w:color="auto"/>
            <w:right w:val="none" w:sz="0" w:space="0" w:color="auto"/>
          </w:divBdr>
        </w:div>
        <w:div w:id="599870766">
          <w:marLeft w:val="0"/>
          <w:marRight w:val="0"/>
          <w:marTop w:val="0"/>
          <w:marBottom w:val="0"/>
          <w:divBdr>
            <w:top w:val="none" w:sz="0" w:space="0" w:color="auto"/>
            <w:left w:val="none" w:sz="0" w:space="0" w:color="auto"/>
            <w:bottom w:val="none" w:sz="0" w:space="0" w:color="auto"/>
            <w:right w:val="none" w:sz="0" w:space="0" w:color="auto"/>
          </w:divBdr>
        </w:div>
        <w:div w:id="106854431">
          <w:marLeft w:val="0"/>
          <w:marRight w:val="0"/>
          <w:marTop w:val="0"/>
          <w:marBottom w:val="0"/>
          <w:divBdr>
            <w:top w:val="none" w:sz="0" w:space="0" w:color="auto"/>
            <w:left w:val="none" w:sz="0" w:space="0" w:color="auto"/>
            <w:bottom w:val="none" w:sz="0" w:space="0" w:color="auto"/>
            <w:right w:val="none" w:sz="0" w:space="0" w:color="auto"/>
          </w:divBdr>
        </w:div>
        <w:div w:id="1706754877">
          <w:marLeft w:val="0"/>
          <w:marRight w:val="0"/>
          <w:marTop w:val="0"/>
          <w:marBottom w:val="0"/>
          <w:divBdr>
            <w:top w:val="none" w:sz="0" w:space="0" w:color="auto"/>
            <w:left w:val="none" w:sz="0" w:space="0" w:color="auto"/>
            <w:bottom w:val="none" w:sz="0" w:space="0" w:color="auto"/>
            <w:right w:val="none" w:sz="0" w:space="0" w:color="auto"/>
          </w:divBdr>
        </w:div>
      </w:divsChild>
    </w:div>
    <w:div w:id="1785539344">
      <w:bodyDiv w:val="1"/>
      <w:marLeft w:val="0"/>
      <w:marRight w:val="0"/>
      <w:marTop w:val="0"/>
      <w:marBottom w:val="0"/>
      <w:divBdr>
        <w:top w:val="none" w:sz="0" w:space="0" w:color="auto"/>
        <w:left w:val="none" w:sz="0" w:space="0" w:color="auto"/>
        <w:bottom w:val="none" w:sz="0" w:space="0" w:color="auto"/>
        <w:right w:val="none" w:sz="0" w:space="0" w:color="auto"/>
      </w:divBdr>
      <w:divsChild>
        <w:div w:id="491454873">
          <w:marLeft w:val="0"/>
          <w:marRight w:val="0"/>
          <w:marTop w:val="0"/>
          <w:marBottom w:val="0"/>
          <w:divBdr>
            <w:top w:val="none" w:sz="0" w:space="0" w:color="auto"/>
            <w:left w:val="none" w:sz="0" w:space="0" w:color="auto"/>
            <w:bottom w:val="none" w:sz="0" w:space="0" w:color="auto"/>
            <w:right w:val="none" w:sz="0" w:space="0" w:color="auto"/>
          </w:divBdr>
        </w:div>
        <w:div w:id="1590772846">
          <w:marLeft w:val="0"/>
          <w:marRight w:val="0"/>
          <w:marTop w:val="0"/>
          <w:marBottom w:val="0"/>
          <w:divBdr>
            <w:top w:val="none" w:sz="0" w:space="0" w:color="auto"/>
            <w:left w:val="none" w:sz="0" w:space="0" w:color="auto"/>
            <w:bottom w:val="none" w:sz="0" w:space="0" w:color="auto"/>
            <w:right w:val="none" w:sz="0" w:space="0" w:color="auto"/>
          </w:divBdr>
        </w:div>
        <w:div w:id="1258323409">
          <w:marLeft w:val="0"/>
          <w:marRight w:val="0"/>
          <w:marTop w:val="0"/>
          <w:marBottom w:val="0"/>
          <w:divBdr>
            <w:top w:val="none" w:sz="0" w:space="0" w:color="auto"/>
            <w:left w:val="none" w:sz="0" w:space="0" w:color="auto"/>
            <w:bottom w:val="none" w:sz="0" w:space="0" w:color="auto"/>
            <w:right w:val="none" w:sz="0" w:space="0" w:color="auto"/>
          </w:divBdr>
        </w:div>
        <w:div w:id="1800680599">
          <w:marLeft w:val="0"/>
          <w:marRight w:val="0"/>
          <w:marTop w:val="0"/>
          <w:marBottom w:val="0"/>
          <w:divBdr>
            <w:top w:val="none" w:sz="0" w:space="0" w:color="auto"/>
            <w:left w:val="none" w:sz="0" w:space="0" w:color="auto"/>
            <w:bottom w:val="none" w:sz="0" w:space="0" w:color="auto"/>
            <w:right w:val="none" w:sz="0" w:space="0" w:color="auto"/>
          </w:divBdr>
        </w:div>
        <w:div w:id="424155192">
          <w:marLeft w:val="0"/>
          <w:marRight w:val="0"/>
          <w:marTop w:val="0"/>
          <w:marBottom w:val="0"/>
          <w:divBdr>
            <w:top w:val="none" w:sz="0" w:space="0" w:color="auto"/>
            <w:left w:val="none" w:sz="0" w:space="0" w:color="auto"/>
            <w:bottom w:val="none" w:sz="0" w:space="0" w:color="auto"/>
            <w:right w:val="none" w:sz="0" w:space="0" w:color="auto"/>
          </w:divBdr>
        </w:div>
        <w:div w:id="961958674">
          <w:marLeft w:val="0"/>
          <w:marRight w:val="0"/>
          <w:marTop w:val="0"/>
          <w:marBottom w:val="0"/>
          <w:divBdr>
            <w:top w:val="none" w:sz="0" w:space="0" w:color="auto"/>
            <w:left w:val="none" w:sz="0" w:space="0" w:color="auto"/>
            <w:bottom w:val="none" w:sz="0" w:space="0" w:color="auto"/>
            <w:right w:val="none" w:sz="0" w:space="0" w:color="auto"/>
          </w:divBdr>
        </w:div>
        <w:div w:id="203369947">
          <w:marLeft w:val="0"/>
          <w:marRight w:val="0"/>
          <w:marTop w:val="0"/>
          <w:marBottom w:val="0"/>
          <w:divBdr>
            <w:top w:val="none" w:sz="0" w:space="0" w:color="auto"/>
            <w:left w:val="none" w:sz="0" w:space="0" w:color="auto"/>
            <w:bottom w:val="none" w:sz="0" w:space="0" w:color="auto"/>
            <w:right w:val="none" w:sz="0" w:space="0" w:color="auto"/>
          </w:divBdr>
        </w:div>
        <w:div w:id="799612770">
          <w:marLeft w:val="0"/>
          <w:marRight w:val="0"/>
          <w:marTop w:val="0"/>
          <w:marBottom w:val="0"/>
          <w:divBdr>
            <w:top w:val="none" w:sz="0" w:space="0" w:color="auto"/>
            <w:left w:val="none" w:sz="0" w:space="0" w:color="auto"/>
            <w:bottom w:val="none" w:sz="0" w:space="0" w:color="auto"/>
            <w:right w:val="none" w:sz="0" w:space="0" w:color="auto"/>
          </w:divBdr>
        </w:div>
        <w:div w:id="1979870473">
          <w:marLeft w:val="0"/>
          <w:marRight w:val="0"/>
          <w:marTop w:val="0"/>
          <w:marBottom w:val="0"/>
          <w:divBdr>
            <w:top w:val="none" w:sz="0" w:space="0" w:color="auto"/>
            <w:left w:val="none" w:sz="0" w:space="0" w:color="auto"/>
            <w:bottom w:val="none" w:sz="0" w:space="0" w:color="auto"/>
            <w:right w:val="none" w:sz="0" w:space="0" w:color="auto"/>
          </w:divBdr>
        </w:div>
        <w:div w:id="735861916">
          <w:marLeft w:val="0"/>
          <w:marRight w:val="0"/>
          <w:marTop w:val="0"/>
          <w:marBottom w:val="0"/>
          <w:divBdr>
            <w:top w:val="none" w:sz="0" w:space="0" w:color="auto"/>
            <w:left w:val="none" w:sz="0" w:space="0" w:color="auto"/>
            <w:bottom w:val="none" w:sz="0" w:space="0" w:color="auto"/>
            <w:right w:val="none" w:sz="0" w:space="0" w:color="auto"/>
          </w:divBdr>
        </w:div>
        <w:div w:id="1652323497">
          <w:marLeft w:val="0"/>
          <w:marRight w:val="0"/>
          <w:marTop w:val="0"/>
          <w:marBottom w:val="0"/>
          <w:divBdr>
            <w:top w:val="none" w:sz="0" w:space="0" w:color="auto"/>
            <w:left w:val="none" w:sz="0" w:space="0" w:color="auto"/>
            <w:bottom w:val="none" w:sz="0" w:space="0" w:color="auto"/>
            <w:right w:val="none" w:sz="0" w:space="0" w:color="auto"/>
          </w:divBdr>
        </w:div>
        <w:div w:id="555702879">
          <w:marLeft w:val="0"/>
          <w:marRight w:val="0"/>
          <w:marTop w:val="0"/>
          <w:marBottom w:val="0"/>
          <w:divBdr>
            <w:top w:val="none" w:sz="0" w:space="0" w:color="auto"/>
            <w:left w:val="none" w:sz="0" w:space="0" w:color="auto"/>
            <w:bottom w:val="none" w:sz="0" w:space="0" w:color="auto"/>
            <w:right w:val="none" w:sz="0" w:space="0" w:color="auto"/>
          </w:divBdr>
        </w:div>
        <w:div w:id="556863808">
          <w:marLeft w:val="0"/>
          <w:marRight w:val="0"/>
          <w:marTop w:val="0"/>
          <w:marBottom w:val="0"/>
          <w:divBdr>
            <w:top w:val="none" w:sz="0" w:space="0" w:color="auto"/>
            <w:left w:val="none" w:sz="0" w:space="0" w:color="auto"/>
            <w:bottom w:val="none" w:sz="0" w:space="0" w:color="auto"/>
            <w:right w:val="none" w:sz="0" w:space="0" w:color="auto"/>
          </w:divBdr>
        </w:div>
        <w:div w:id="1077292101">
          <w:marLeft w:val="0"/>
          <w:marRight w:val="0"/>
          <w:marTop w:val="0"/>
          <w:marBottom w:val="0"/>
          <w:divBdr>
            <w:top w:val="none" w:sz="0" w:space="0" w:color="auto"/>
            <w:left w:val="none" w:sz="0" w:space="0" w:color="auto"/>
            <w:bottom w:val="none" w:sz="0" w:space="0" w:color="auto"/>
            <w:right w:val="none" w:sz="0" w:space="0" w:color="auto"/>
          </w:divBdr>
        </w:div>
        <w:div w:id="1585530709">
          <w:marLeft w:val="0"/>
          <w:marRight w:val="0"/>
          <w:marTop w:val="0"/>
          <w:marBottom w:val="0"/>
          <w:divBdr>
            <w:top w:val="none" w:sz="0" w:space="0" w:color="auto"/>
            <w:left w:val="none" w:sz="0" w:space="0" w:color="auto"/>
            <w:bottom w:val="none" w:sz="0" w:space="0" w:color="auto"/>
            <w:right w:val="none" w:sz="0" w:space="0" w:color="auto"/>
          </w:divBdr>
        </w:div>
        <w:div w:id="7905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amela\Desktop\Desktop%20documents\Budget%20Analysis%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D669-BCA1-4B59-B996-8C69413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2016 template</Template>
  <TotalTime>1</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Manamela</dc:creator>
  <cp:lastModifiedBy>PUMZA</cp:lastModifiedBy>
  <cp:revision>2</cp:revision>
  <cp:lastPrinted>2016-02-19T12:31:00Z</cp:lastPrinted>
  <dcterms:created xsi:type="dcterms:W3CDTF">2018-01-30T13:39:00Z</dcterms:created>
  <dcterms:modified xsi:type="dcterms:W3CDTF">2018-01-30T13:39:00Z</dcterms:modified>
</cp:coreProperties>
</file>