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521" w:rsidRPr="00630EFD" w:rsidRDefault="00A95521" w:rsidP="00A95521">
      <w:r w:rsidRPr="00630EFD">
        <w:rPr>
          <w:noProof/>
          <w:lang w:eastAsia="en-ZA"/>
        </w:rPr>
        <w:drawing>
          <wp:anchor distT="0" distB="0" distL="114300" distR="114300" simplePos="0" relativeHeight="251658240" behindDoc="0" locked="0" layoutInCell="1" allowOverlap="1">
            <wp:simplePos x="0" y="0"/>
            <wp:positionH relativeFrom="column">
              <wp:posOffset>-405765</wp:posOffset>
            </wp:positionH>
            <wp:positionV relativeFrom="paragraph">
              <wp:posOffset>-87630</wp:posOffset>
            </wp:positionV>
            <wp:extent cx="2543810" cy="824230"/>
            <wp:effectExtent l="0" t="0" r="889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43810" cy="824230"/>
                    </a:xfrm>
                    <a:prstGeom prst="rect">
                      <a:avLst/>
                    </a:prstGeom>
                    <a:noFill/>
                    <a:ln>
                      <a:noFill/>
                    </a:ln>
                  </pic:spPr>
                </pic:pic>
              </a:graphicData>
            </a:graphic>
          </wp:anchor>
        </w:drawing>
      </w:r>
      <w:r w:rsidRPr="00630EFD">
        <w:tab/>
      </w:r>
      <w:r w:rsidRPr="00630EFD">
        <w:tab/>
      </w:r>
      <w:r w:rsidRPr="00630EFD">
        <w:tab/>
      </w:r>
      <w:r w:rsidRPr="00630EFD">
        <w:tab/>
      </w:r>
      <w:r w:rsidRPr="00630EFD">
        <w:tab/>
      </w:r>
      <w:r w:rsidRPr="00630EFD">
        <w:tab/>
      </w:r>
      <w:r w:rsidR="00B9218E" w:rsidRPr="00630EFD">
        <w:tab/>
      </w:r>
      <w:r w:rsidR="00460EBA" w:rsidRPr="00630EFD">
        <w:t xml:space="preserve">          </w:t>
      </w:r>
      <w:r w:rsidRPr="00630EFD">
        <w:rPr>
          <w:noProof/>
          <w:lang w:eastAsia="en-ZA"/>
        </w:rPr>
        <w:drawing>
          <wp:inline distT="0" distB="0" distL="0" distR="0">
            <wp:extent cx="2200910" cy="57912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00910" cy="579120"/>
                    </a:xfrm>
                    <a:prstGeom prst="rect">
                      <a:avLst/>
                    </a:prstGeom>
                    <a:noFill/>
                  </pic:spPr>
                </pic:pic>
              </a:graphicData>
            </a:graphic>
          </wp:inline>
        </w:drawing>
      </w:r>
    </w:p>
    <w:p w:rsidR="00A95521" w:rsidRPr="00630EFD" w:rsidRDefault="00A95521" w:rsidP="00A95521">
      <w:pPr>
        <w:ind w:firstLine="720"/>
      </w:pPr>
    </w:p>
    <w:p w:rsidR="00C96DE0" w:rsidRPr="00630EFD" w:rsidRDefault="00C96DE0" w:rsidP="009C6ABC">
      <w:pPr>
        <w:spacing w:line="360" w:lineRule="auto"/>
        <w:jc w:val="both"/>
        <w:rPr>
          <w:rFonts w:ascii="Arial" w:hAnsi="Arial" w:cs="Arial"/>
          <w:b/>
        </w:rPr>
      </w:pPr>
      <w:r w:rsidRPr="00630EFD">
        <w:rPr>
          <w:rFonts w:ascii="Arial" w:hAnsi="Arial" w:cs="Arial"/>
          <w:b/>
        </w:rPr>
        <w:t xml:space="preserve">TO:     </w:t>
      </w:r>
      <w:r w:rsidRPr="00630EFD">
        <w:rPr>
          <w:rFonts w:ascii="Arial" w:hAnsi="Arial" w:cs="Arial"/>
          <w:b/>
        </w:rPr>
        <w:tab/>
      </w:r>
      <w:r w:rsidR="009A5763">
        <w:rPr>
          <w:rFonts w:ascii="Arial" w:hAnsi="Arial" w:cs="Arial"/>
          <w:b/>
        </w:rPr>
        <w:tab/>
      </w:r>
      <w:r w:rsidRPr="00630EFD">
        <w:rPr>
          <w:rFonts w:ascii="Arial" w:hAnsi="Arial" w:cs="Arial"/>
          <w:b/>
        </w:rPr>
        <w:t xml:space="preserve">Chairperson, Standing Committee on Finance [Mr Y Carrim, MP]       </w:t>
      </w:r>
    </w:p>
    <w:p w:rsidR="00C96DE0" w:rsidRPr="00630EFD" w:rsidRDefault="00C96DE0" w:rsidP="009C6ABC">
      <w:pPr>
        <w:spacing w:line="360" w:lineRule="auto"/>
        <w:ind w:left="1049" w:hanging="1049"/>
        <w:jc w:val="both"/>
        <w:rPr>
          <w:rFonts w:ascii="Arial" w:hAnsi="Arial" w:cs="Arial"/>
          <w:b/>
        </w:rPr>
      </w:pPr>
      <w:r w:rsidRPr="00630EFD">
        <w:rPr>
          <w:rFonts w:ascii="Arial" w:hAnsi="Arial" w:cs="Arial"/>
          <w:b/>
        </w:rPr>
        <w:t xml:space="preserve">FROM: </w:t>
      </w:r>
      <w:r w:rsidRPr="00630EFD">
        <w:rPr>
          <w:rFonts w:ascii="Arial" w:hAnsi="Arial" w:cs="Arial"/>
          <w:b/>
        </w:rPr>
        <w:tab/>
      </w:r>
      <w:r w:rsidR="00FA3C03" w:rsidRPr="00630EFD">
        <w:rPr>
          <w:rFonts w:ascii="Arial" w:hAnsi="Arial" w:cs="Arial"/>
          <w:b/>
        </w:rPr>
        <w:tab/>
      </w:r>
      <w:r w:rsidRPr="00630EFD">
        <w:rPr>
          <w:rFonts w:ascii="Arial" w:hAnsi="Arial" w:cs="Arial"/>
          <w:b/>
        </w:rPr>
        <w:t>Constituti</w:t>
      </w:r>
      <w:r w:rsidR="009C6ABC">
        <w:rPr>
          <w:rFonts w:ascii="Arial" w:hAnsi="Arial" w:cs="Arial"/>
          <w:b/>
        </w:rPr>
        <w:t>onal and Legal Services Offic</w:t>
      </w:r>
      <w:r w:rsidR="0019602D">
        <w:rPr>
          <w:rFonts w:ascii="Arial" w:hAnsi="Arial" w:cs="Arial"/>
          <w:b/>
        </w:rPr>
        <w:t>e</w:t>
      </w:r>
    </w:p>
    <w:p w:rsidR="00C96DE0" w:rsidRDefault="00C96DE0" w:rsidP="00C96DE0">
      <w:pPr>
        <w:spacing w:line="360" w:lineRule="auto"/>
        <w:ind w:left="1049" w:hanging="1049"/>
        <w:jc w:val="both"/>
        <w:rPr>
          <w:rFonts w:ascii="Arial" w:hAnsi="Arial" w:cs="Arial"/>
          <w:b/>
        </w:rPr>
      </w:pPr>
      <w:r w:rsidRPr="00630EFD">
        <w:rPr>
          <w:rFonts w:ascii="Arial" w:hAnsi="Arial" w:cs="Arial"/>
          <w:b/>
        </w:rPr>
        <w:t xml:space="preserve">DATE: </w:t>
      </w:r>
      <w:r w:rsidRPr="00630EFD">
        <w:rPr>
          <w:rFonts w:ascii="Arial" w:hAnsi="Arial" w:cs="Arial"/>
          <w:b/>
        </w:rPr>
        <w:tab/>
      </w:r>
      <w:r w:rsidR="00FA3C03" w:rsidRPr="00630EFD">
        <w:rPr>
          <w:rFonts w:ascii="Arial" w:hAnsi="Arial" w:cs="Arial"/>
          <w:b/>
        </w:rPr>
        <w:tab/>
      </w:r>
      <w:r w:rsidR="00F10BB5">
        <w:rPr>
          <w:rFonts w:ascii="Arial" w:hAnsi="Arial" w:cs="Arial"/>
          <w:b/>
        </w:rPr>
        <w:t>27 November</w:t>
      </w:r>
      <w:r w:rsidR="00184BAC" w:rsidRPr="00630EFD">
        <w:rPr>
          <w:rFonts w:ascii="Arial" w:hAnsi="Arial" w:cs="Arial"/>
          <w:b/>
        </w:rPr>
        <w:t xml:space="preserve"> 2017</w:t>
      </w:r>
    </w:p>
    <w:p w:rsidR="00593C2E" w:rsidRPr="00630EFD" w:rsidRDefault="00C96DE0" w:rsidP="0075148F">
      <w:pPr>
        <w:pBdr>
          <w:top w:val="single" w:sz="4" w:space="1" w:color="auto"/>
          <w:bottom w:val="single" w:sz="4" w:space="1" w:color="auto"/>
        </w:pBdr>
        <w:spacing w:line="360" w:lineRule="auto"/>
        <w:jc w:val="both"/>
        <w:rPr>
          <w:rFonts w:ascii="Arial" w:hAnsi="Arial" w:cs="Arial"/>
          <w:b/>
        </w:rPr>
      </w:pPr>
      <w:r w:rsidRPr="00630EFD">
        <w:rPr>
          <w:rFonts w:ascii="Arial" w:hAnsi="Arial" w:cs="Arial"/>
          <w:b/>
        </w:rPr>
        <w:t>SUBJECT:</w:t>
      </w:r>
      <w:r w:rsidRPr="00630EFD">
        <w:rPr>
          <w:rFonts w:ascii="Arial" w:hAnsi="Arial" w:cs="Arial"/>
          <w:b/>
        </w:rPr>
        <w:tab/>
      </w:r>
      <w:r w:rsidR="00FA3C03" w:rsidRPr="00630EFD">
        <w:rPr>
          <w:rFonts w:ascii="Arial" w:hAnsi="Arial" w:cs="Arial"/>
          <w:b/>
        </w:rPr>
        <w:t xml:space="preserve">Advice on the </w:t>
      </w:r>
      <w:r w:rsidR="003D4E72">
        <w:rPr>
          <w:rFonts w:ascii="Arial" w:hAnsi="Arial" w:cs="Arial"/>
          <w:b/>
        </w:rPr>
        <w:t>way forward to consider the KPMG report on the so-called SARS ‘rogue unit’ report</w:t>
      </w:r>
    </w:p>
    <w:p w:rsidR="0075148F" w:rsidRPr="006623E9" w:rsidRDefault="00A27FB3" w:rsidP="00A27FB3">
      <w:pPr>
        <w:spacing w:line="360" w:lineRule="auto"/>
        <w:jc w:val="both"/>
        <w:rPr>
          <w:rFonts w:ascii="Arial" w:hAnsi="Arial" w:cs="Arial"/>
          <w:b/>
        </w:rPr>
      </w:pPr>
      <w:r w:rsidRPr="006623E9">
        <w:rPr>
          <w:rFonts w:ascii="Arial" w:hAnsi="Arial" w:cs="Arial"/>
          <w:b/>
        </w:rPr>
        <w:t>Purpose</w:t>
      </w:r>
    </w:p>
    <w:p w:rsidR="003A0A7C" w:rsidRDefault="0075148F" w:rsidP="003A0A7C">
      <w:pPr>
        <w:pStyle w:val="ListParagraph"/>
        <w:numPr>
          <w:ilvl w:val="0"/>
          <w:numId w:val="2"/>
        </w:numPr>
        <w:spacing w:line="360" w:lineRule="auto"/>
        <w:jc w:val="both"/>
        <w:rPr>
          <w:rFonts w:ascii="Arial" w:hAnsi="Arial" w:cs="Arial"/>
        </w:rPr>
      </w:pPr>
      <w:r>
        <w:rPr>
          <w:rFonts w:ascii="Arial" w:hAnsi="Arial" w:cs="Arial"/>
        </w:rPr>
        <w:t>The purpose of this note is t</w:t>
      </w:r>
      <w:r w:rsidR="00184BAC" w:rsidRPr="0030299A">
        <w:rPr>
          <w:rFonts w:ascii="Arial" w:hAnsi="Arial" w:cs="Arial"/>
        </w:rPr>
        <w:t>o advise the Standing Committee on Finance (</w:t>
      </w:r>
      <w:proofErr w:type="spellStart"/>
      <w:r w:rsidR="00184BAC" w:rsidRPr="0030299A">
        <w:rPr>
          <w:rFonts w:ascii="Arial" w:hAnsi="Arial" w:cs="Arial"/>
        </w:rPr>
        <w:t>SCo</w:t>
      </w:r>
      <w:r w:rsidR="00C17F9A" w:rsidRPr="0030299A">
        <w:rPr>
          <w:rFonts w:ascii="Arial" w:hAnsi="Arial" w:cs="Arial"/>
        </w:rPr>
        <w:t>F</w:t>
      </w:r>
      <w:proofErr w:type="spellEnd"/>
      <w:r w:rsidR="0030299A">
        <w:rPr>
          <w:rFonts w:ascii="Arial" w:hAnsi="Arial" w:cs="Arial"/>
        </w:rPr>
        <w:t>) on the</w:t>
      </w:r>
      <w:r w:rsidR="0030299A" w:rsidRPr="0030299A">
        <w:rPr>
          <w:rFonts w:ascii="Arial" w:hAnsi="Arial" w:cs="Arial"/>
        </w:rPr>
        <w:t xml:space="preserve"> </w:t>
      </w:r>
      <w:r w:rsidR="003D4E72" w:rsidRPr="003D4E72">
        <w:rPr>
          <w:rFonts w:ascii="Arial" w:hAnsi="Arial" w:cs="Arial"/>
        </w:rPr>
        <w:t>way forward to consider the KPMG report on the so-called SARS ‘rogue unit’ report</w:t>
      </w:r>
      <w:r w:rsidR="0030299A">
        <w:rPr>
          <w:rFonts w:ascii="Arial" w:hAnsi="Arial" w:cs="Arial"/>
        </w:rPr>
        <w:t xml:space="preserve">. </w:t>
      </w:r>
    </w:p>
    <w:p w:rsidR="0075148F" w:rsidRPr="006623E9" w:rsidRDefault="00A27FB3" w:rsidP="00A27FB3">
      <w:pPr>
        <w:spacing w:line="360" w:lineRule="auto"/>
        <w:jc w:val="both"/>
        <w:rPr>
          <w:rFonts w:ascii="Arial" w:hAnsi="Arial" w:cs="Arial"/>
          <w:b/>
        </w:rPr>
      </w:pPr>
      <w:r w:rsidRPr="006623E9">
        <w:rPr>
          <w:rFonts w:ascii="Arial" w:hAnsi="Arial" w:cs="Arial"/>
          <w:b/>
        </w:rPr>
        <w:t>Context</w:t>
      </w:r>
    </w:p>
    <w:p w:rsidR="00B57C07" w:rsidRDefault="00B57C07" w:rsidP="00B57C07">
      <w:pPr>
        <w:pStyle w:val="ListParagraph"/>
        <w:numPr>
          <w:ilvl w:val="0"/>
          <w:numId w:val="2"/>
        </w:numPr>
        <w:spacing w:line="360" w:lineRule="auto"/>
        <w:jc w:val="both"/>
        <w:rPr>
          <w:rFonts w:ascii="Arial" w:hAnsi="Arial" w:cs="Arial"/>
        </w:rPr>
      </w:pPr>
      <w:r>
        <w:rPr>
          <w:rFonts w:ascii="Arial" w:hAnsi="Arial" w:cs="Arial"/>
        </w:rPr>
        <w:t>On 15 September 2017 the Sunday Times reported that:</w:t>
      </w:r>
      <w:r>
        <w:rPr>
          <w:rStyle w:val="FootnoteReference"/>
          <w:rFonts w:ascii="Arial" w:hAnsi="Arial" w:cs="Arial"/>
        </w:rPr>
        <w:footnoteReference w:id="1"/>
      </w:r>
    </w:p>
    <w:p w:rsidR="00B57C07" w:rsidRDefault="00B57C07" w:rsidP="00B57C07">
      <w:pPr>
        <w:pStyle w:val="ListParagraph"/>
        <w:numPr>
          <w:ilvl w:val="0"/>
          <w:numId w:val="11"/>
        </w:numPr>
        <w:spacing w:line="360" w:lineRule="auto"/>
        <w:jc w:val="both"/>
        <w:rPr>
          <w:rFonts w:ascii="Arial" w:hAnsi="Arial" w:cs="Arial"/>
        </w:rPr>
      </w:pPr>
      <w:r w:rsidRPr="00B57C07">
        <w:rPr>
          <w:rFonts w:ascii="Arial" w:hAnsi="Arial" w:cs="Arial"/>
        </w:rPr>
        <w:t xml:space="preserve">SARS engaged KPMG SA in December 2014 to perform an "extensive document investigative review which resulted in the 'Report on Allegations of </w:t>
      </w:r>
      <w:r>
        <w:rPr>
          <w:rFonts w:ascii="Arial" w:hAnsi="Arial" w:cs="Arial"/>
        </w:rPr>
        <w:t>Irregularities and Misconduct'.</w:t>
      </w:r>
    </w:p>
    <w:p w:rsidR="00B57C07" w:rsidRDefault="00B57C07" w:rsidP="00B57C07">
      <w:pPr>
        <w:pStyle w:val="ListParagraph"/>
        <w:numPr>
          <w:ilvl w:val="0"/>
          <w:numId w:val="11"/>
        </w:numPr>
        <w:spacing w:line="360" w:lineRule="auto"/>
        <w:jc w:val="both"/>
        <w:rPr>
          <w:rFonts w:ascii="Arial" w:hAnsi="Arial" w:cs="Arial"/>
        </w:rPr>
      </w:pPr>
      <w:r w:rsidRPr="00B57C07">
        <w:rPr>
          <w:rFonts w:ascii="Arial" w:hAnsi="Arial" w:cs="Arial"/>
        </w:rPr>
        <w:t xml:space="preserve">A version of the report dated </w:t>
      </w:r>
      <w:r>
        <w:rPr>
          <w:rFonts w:ascii="Arial" w:hAnsi="Arial" w:cs="Arial"/>
        </w:rPr>
        <w:t>3 September</w:t>
      </w:r>
      <w:r w:rsidRPr="00B57C07">
        <w:rPr>
          <w:rFonts w:ascii="Arial" w:hAnsi="Arial" w:cs="Arial"/>
        </w:rPr>
        <w:t xml:space="preserve"> 2015 was leaked and made public on </w:t>
      </w:r>
      <w:r>
        <w:rPr>
          <w:rFonts w:ascii="Arial" w:hAnsi="Arial" w:cs="Arial"/>
        </w:rPr>
        <w:t xml:space="preserve">4 </w:t>
      </w:r>
      <w:r w:rsidRPr="00B57C07">
        <w:rPr>
          <w:rFonts w:ascii="Arial" w:hAnsi="Arial" w:cs="Arial"/>
        </w:rPr>
        <w:t xml:space="preserve">October 2015. It was accepted as final on </w:t>
      </w:r>
      <w:r>
        <w:rPr>
          <w:rFonts w:ascii="Arial" w:hAnsi="Arial" w:cs="Arial"/>
        </w:rPr>
        <w:t xml:space="preserve">26 </w:t>
      </w:r>
      <w:r w:rsidRPr="00B57C07">
        <w:rPr>
          <w:rFonts w:ascii="Arial" w:hAnsi="Arial" w:cs="Arial"/>
        </w:rPr>
        <w:t>January 2016.</w:t>
      </w:r>
    </w:p>
    <w:p w:rsidR="00B24A0D" w:rsidRPr="00B24A0D" w:rsidRDefault="00B57C07" w:rsidP="00B24A0D">
      <w:pPr>
        <w:pStyle w:val="ListParagraph"/>
        <w:numPr>
          <w:ilvl w:val="0"/>
          <w:numId w:val="11"/>
        </w:numPr>
        <w:spacing w:line="360" w:lineRule="auto"/>
        <w:jc w:val="both"/>
        <w:rPr>
          <w:rFonts w:ascii="Arial" w:hAnsi="Arial" w:cs="Arial"/>
        </w:rPr>
      </w:pPr>
      <w:r w:rsidRPr="00B57C07">
        <w:rPr>
          <w:rFonts w:ascii="Arial" w:hAnsi="Arial" w:cs="Arial"/>
        </w:rPr>
        <w:t>At a later stage‚ this mandate was extended to the provision of a report which included conclusions‚ recommendations and legal opinions. As a result‚ during the course of the engagement‚ the scope of the work changed.</w:t>
      </w:r>
    </w:p>
    <w:p w:rsidR="00F94DB5" w:rsidRDefault="00B24A0D" w:rsidP="00F94DB5">
      <w:pPr>
        <w:pStyle w:val="ListParagraph"/>
        <w:numPr>
          <w:ilvl w:val="0"/>
          <w:numId w:val="11"/>
        </w:numPr>
        <w:spacing w:line="360" w:lineRule="auto"/>
        <w:jc w:val="both"/>
        <w:rPr>
          <w:rFonts w:ascii="Arial" w:hAnsi="Arial" w:cs="Arial"/>
        </w:rPr>
      </w:pPr>
      <w:r w:rsidRPr="00B24A0D">
        <w:rPr>
          <w:rFonts w:ascii="Arial" w:hAnsi="Arial" w:cs="Arial"/>
        </w:rPr>
        <w:t>International auditing firm KPMG withdr</w:t>
      </w:r>
      <w:r>
        <w:rPr>
          <w:rFonts w:ascii="Arial" w:hAnsi="Arial" w:cs="Arial"/>
        </w:rPr>
        <w:t>e</w:t>
      </w:r>
      <w:r w:rsidRPr="00B24A0D">
        <w:rPr>
          <w:rFonts w:ascii="Arial" w:hAnsi="Arial" w:cs="Arial"/>
        </w:rPr>
        <w:t>w all of its findings‚ recommendations and conclusions around its report into the South African Revenue Service (SARS) "rogue spy unit"</w:t>
      </w:r>
      <w:r>
        <w:rPr>
          <w:rFonts w:ascii="Arial" w:hAnsi="Arial" w:cs="Arial"/>
        </w:rPr>
        <w:t xml:space="preserve"> at the time of the media report</w:t>
      </w:r>
      <w:r w:rsidRPr="00B24A0D">
        <w:rPr>
          <w:rFonts w:ascii="Arial" w:hAnsi="Arial" w:cs="Arial"/>
        </w:rPr>
        <w:t>.</w:t>
      </w:r>
      <w:r w:rsidR="00B57C07" w:rsidRPr="00B57C07">
        <w:rPr>
          <w:rFonts w:ascii="Arial" w:hAnsi="Arial" w:cs="Arial"/>
        </w:rPr>
        <w:t xml:space="preserve"> </w:t>
      </w:r>
    </w:p>
    <w:p w:rsidR="00F94DB5" w:rsidRPr="00F94DB5" w:rsidRDefault="00F94DB5" w:rsidP="00F94DB5">
      <w:pPr>
        <w:pStyle w:val="ListParagraph"/>
        <w:spacing w:line="360" w:lineRule="auto"/>
        <w:ind w:left="1080"/>
        <w:jc w:val="both"/>
        <w:rPr>
          <w:rFonts w:ascii="Arial" w:hAnsi="Arial" w:cs="Arial"/>
        </w:rPr>
      </w:pPr>
    </w:p>
    <w:p w:rsidR="00593041" w:rsidRPr="00F94DB5" w:rsidRDefault="00F94DB5" w:rsidP="00AA77BD">
      <w:pPr>
        <w:pStyle w:val="ListParagraph"/>
        <w:numPr>
          <w:ilvl w:val="0"/>
          <w:numId w:val="2"/>
        </w:numPr>
        <w:spacing w:line="360" w:lineRule="auto"/>
        <w:jc w:val="both"/>
        <w:rPr>
          <w:rFonts w:ascii="Arial" w:hAnsi="Arial" w:cs="Arial"/>
        </w:rPr>
      </w:pPr>
      <w:r w:rsidRPr="00F94DB5">
        <w:rPr>
          <w:rFonts w:ascii="Arial" w:hAnsi="Arial" w:cs="Arial"/>
        </w:rPr>
        <w:t xml:space="preserve">On 29 September 2017 Mr D </w:t>
      </w:r>
      <w:proofErr w:type="spellStart"/>
      <w:r w:rsidRPr="00F94DB5">
        <w:rPr>
          <w:rFonts w:ascii="Arial" w:hAnsi="Arial" w:cs="Arial"/>
        </w:rPr>
        <w:t>Maynier</w:t>
      </w:r>
      <w:proofErr w:type="spellEnd"/>
      <w:r w:rsidRPr="00F94DB5">
        <w:rPr>
          <w:rFonts w:ascii="Arial" w:hAnsi="Arial" w:cs="Arial"/>
        </w:rPr>
        <w:t xml:space="preserve"> MP wrote to the Chairperson of the </w:t>
      </w:r>
      <w:proofErr w:type="spellStart"/>
      <w:r w:rsidRPr="00F94DB5">
        <w:rPr>
          <w:rFonts w:ascii="Arial" w:hAnsi="Arial" w:cs="Arial"/>
        </w:rPr>
        <w:t>SCoF</w:t>
      </w:r>
      <w:proofErr w:type="spellEnd"/>
      <w:r w:rsidRPr="00F94DB5">
        <w:rPr>
          <w:rFonts w:ascii="Arial" w:hAnsi="Arial" w:cs="Arial"/>
        </w:rPr>
        <w:t xml:space="preserve"> to request that the committee programme include:</w:t>
      </w:r>
    </w:p>
    <w:p w:rsidR="00F94DB5" w:rsidRPr="00F94DB5" w:rsidRDefault="0075148F" w:rsidP="001458CF">
      <w:pPr>
        <w:pStyle w:val="ListParagraph"/>
        <w:numPr>
          <w:ilvl w:val="0"/>
          <w:numId w:val="11"/>
        </w:numPr>
        <w:spacing w:line="360" w:lineRule="auto"/>
        <w:jc w:val="both"/>
        <w:rPr>
          <w:rFonts w:ascii="Arial" w:hAnsi="Arial" w:cs="Arial"/>
        </w:rPr>
      </w:pPr>
      <w:r>
        <w:rPr>
          <w:rFonts w:ascii="Arial" w:hAnsi="Arial" w:cs="Arial"/>
        </w:rPr>
        <w:t>scrutinizing</w:t>
      </w:r>
      <w:r w:rsidR="00F94DB5" w:rsidRPr="00F94DB5">
        <w:rPr>
          <w:rFonts w:ascii="Arial" w:hAnsi="Arial" w:cs="Arial"/>
        </w:rPr>
        <w:t xml:space="preserve"> SARS handling of KPMG South Africa’s investigative review into the so-called SARS “Rogue Unit” which resulted in the report, entitled “Report on Allegations of Irregularities and Misconduct”, dated 04 December 2015; and </w:t>
      </w:r>
    </w:p>
    <w:p w:rsidR="00F94DB5" w:rsidRPr="00F94DB5" w:rsidRDefault="00F94DB5" w:rsidP="00F94DB5">
      <w:pPr>
        <w:spacing w:line="360" w:lineRule="auto"/>
        <w:jc w:val="both"/>
        <w:rPr>
          <w:rFonts w:ascii="Arial" w:hAnsi="Arial" w:cs="Arial"/>
        </w:rPr>
      </w:pPr>
    </w:p>
    <w:p w:rsidR="001458CF" w:rsidRPr="001458CF" w:rsidRDefault="0075148F" w:rsidP="008C7108">
      <w:pPr>
        <w:pStyle w:val="ListParagraph"/>
        <w:numPr>
          <w:ilvl w:val="0"/>
          <w:numId w:val="11"/>
        </w:numPr>
        <w:spacing w:line="360" w:lineRule="auto"/>
        <w:jc w:val="both"/>
        <w:rPr>
          <w:rFonts w:ascii="Arial" w:hAnsi="Arial" w:cs="Arial"/>
        </w:rPr>
      </w:pPr>
      <w:r>
        <w:rPr>
          <w:rFonts w:ascii="Arial" w:hAnsi="Arial" w:cs="Arial"/>
        </w:rPr>
        <w:t>scrutinizing</w:t>
      </w:r>
      <w:r w:rsidR="00F94DB5" w:rsidRPr="00F94DB5">
        <w:rPr>
          <w:rFonts w:ascii="Arial" w:hAnsi="Arial" w:cs="Arial"/>
        </w:rPr>
        <w:t xml:space="preserve"> SARS’ handling of KPMG International’s report on KPMG South Africa’s investigative </w:t>
      </w:r>
      <w:r>
        <w:rPr>
          <w:rFonts w:ascii="Arial" w:hAnsi="Arial" w:cs="Arial"/>
        </w:rPr>
        <w:t xml:space="preserve">review into the so-called SARS </w:t>
      </w:r>
      <w:r w:rsidR="003510FC">
        <w:rPr>
          <w:rFonts w:ascii="Arial" w:hAnsi="Arial" w:cs="Arial"/>
        </w:rPr>
        <w:t>‘r</w:t>
      </w:r>
      <w:r w:rsidR="00F94DB5" w:rsidRPr="00F94DB5">
        <w:rPr>
          <w:rFonts w:ascii="Arial" w:hAnsi="Arial" w:cs="Arial"/>
        </w:rPr>
        <w:t xml:space="preserve">ogue </w:t>
      </w:r>
      <w:r w:rsidR="003510FC">
        <w:rPr>
          <w:rFonts w:ascii="Arial" w:hAnsi="Arial" w:cs="Arial"/>
        </w:rPr>
        <w:t>u</w:t>
      </w:r>
      <w:r w:rsidR="00F94DB5" w:rsidRPr="00F94DB5">
        <w:rPr>
          <w:rFonts w:ascii="Arial" w:hAnsi="Arial" w:cs="Arial"/>
        </w:rPr>
        <w:t>nit</w:t>
      </w:r>
      <w:r w:rsidR="003510FC">
        <w:rPr>
          <w:rFonts w:ascii="Arial" w:hAnsi="Arial" w:cs="Arial"/>
        </w:rPr>
        <w:t>’</w:t>
      </w:r>
      <w:r w:rsidR="00F94DB5" w:rsidRPr="00F94DB5">
        <w:rPr>
          <w:rFonts w:ascii="Arial" w:hAnsi="Arial" w:cs="Arial"/>
        </w:rPr>
        <w:t>, including the press conference held on 18 September 2017.</w:t>
      </w:r>
    </w:p>
    <w:p w:rsidR="001458CF" w:rsidRDefault="001458CF" w:rsidP="008C7108">
      <w:pPr>
        <w:spacing w:line="360" w:lineRule="auto"/>
        <w:jc w:val="both"/>
        <w:rPr>
          <w:rFonts w:ascii="Arial" w:hAnsi="Arial" w:cs="Arial"/>
        </w:rPr>
      </w:pPr>
    </w:p>
    <w:p w:rsidR="005A6189" w:rsidRPr="006623E9" w:rsidRDefault="00827B17" w:rsidP="006623E9">
      <w:pPr>
        <w:pStyle w:val="ListParagraph"/>
        <w:numPr>
          <w:ilvl w:val="0"/>
          <w:numId w:val="2"/>
        </w:numPr>
        <w:spacing w:line="360" w:lineRule="auto"/>
        <w:jc w:val="both"/>
        <w:rPr>
          <w:rFonts w:ascii="Arial" w:hAnsi="Arial" w:cs="Arial"/>
        </w:rPr>
      </w:pPr>
      <w:r w:rsidRPr="006623E9">
        <w:rPr>
          <w:rFonts w:ascii="Arial" w:hAnsi="Arial" w:cs="Arial"/>
        </w:rPr>
        <w:t xml:space="preserve">The SCOF chairperson informed the Committee that he has engaged with the Chairpersons of the </w:t>
      </w:r>
      <w:r w:rsidR="006623E9">
        <w:rPr>
          <w:rFonts w:ascii="Arial" w:hAnsi="Arial" w:cs="Arial"/>
        </w:rPr>
        <w:t xml:space="preserve">Joint </w:t>
      </w:r>
      <w:r w:rsidRPr="006623E9">
        <w:rPr>
          <w:rFonts w:ascii="Arial" w:hAnsi="Arial" w:cs="Arial"/>
        </w:rPr>
        <w:t>Standing Committee on Intelligence</w:t>
      </w:r>
      <w:r w:rsidR="006623E9">
        <w:rPr>
          <w:rFonts w:ascii="Arial" w:hAnsi="Arial" w:cs="Arial"/>
        </w:rPr>
        <w:t xml:space="preserve"> (JSCI</w:t>
      </w:r>
      <w:r w:rsidR="00D5231A" w:rsidRPr="006623E9">
        <w:rPr>
          <w:rFonts w:ascii="Arial" w:hAnsi="Arial" w:cs="Arial"/>
        </w:rPr>
        <w:t>)</w:t>
      </w:r>
      <w:r w:rsidRPr="006623E9">
        <w:rPr>
          <w:rFonts w:ascii="Arial" w:hAnsi="Arial" w:cs="Arial"/>
        </w:rPr>
        <w:t xml:space="preserve">, Mr Charles </w:t>
      </w:r>
      <w:proofErr w:type="spellStart"/>
      <w:r w:rsidRPr="006623E9">
        <w:rPr>
          <w:rFonts w:ascii="Arial" w:hAnsi="Arial" w:cs="Arial"/>
        </w:rPr>
        <w:t>Nqakula</w:t>
      </w:r>
      <w:proofErr w:type="spellEnd"/>
      <w:r w:rsidR="006623E9">
        <w:rPr>
          <w:rFonts w:ascii="Arial" w:hAnsi="Arial" w:cs="Arial"/>
        </w:rPr>
        <w:t xml:space="preserve"> MP</w:t>
      </w:r>
      <w:r w:rsidRPr="006623E9">
        <w:rPr>
          <w:rFonts w:ascii="Arial" w:hAnsi="Arial" w:cs="Arial"/>
        </w:rPr>
        <w:t>, and the Standing Committee on Public Accounts</w:t>
      </w:r>
      <w:r w:rsidR="00D5231A" w:rsidRPr="006623E9">
        <w:rPr>
          <w:rFonts w:ascii="Arial" w:hAnsi="Arial" w:cs="Arial"/>
        </w:rPr>
        <w:t xml:space="preserve"> (SCOPA)</w:t>
      </w:r>
      <w:r w:rsidRPr="006623E9">
        <w:rPr>
          <w:rFonts w:ascii="Arial" w:hAnsi="Arial" w:cs="Arial"/>
        </w:rPr>
        <w:t xml:space="preserve">, Mr </w:t>
      </w:r>
      <w:proofErr w:type="spellStart"/>
      <w:r w:rsidRPr="006623E9">
        <w:rPr>
          <w:rFonts w:ascii="Arial" w:hAnsi="Arial" w:cs="Arial"/>
        </w:rPr>
        <w:t>Themba</w:t>
      </w:r>
      <w:proofErr w:type="spellEnd"/>
      <w:r w:rsidRPr="006623E9">
        <w:rPr>
          <w:rFonts w:ascii="Arial" w:hAnsi="Arial" w:cs="Arial"/>
        </w:rPr>
        <w:t xml:space="preserve"> </w:t>
      </w:r>
      <w:proofErr w:type="spellStart"/>
      <w:r w:rsidRPr="006623E9">
        <w:rPr>
          <w:rFonts w:ascii="Arial" w:hAnsi="Arial" w:cs="Arial"/>
        </w:rPr>
        <w:t>Godi</w:t>
      </w:r>
      <w:proofErr w:type="spellEnd"/>
      <w:r w:rsidR="006623E9">
        <w:rPr>
          <w:rFonts w:ascii="Arial" w:hAnsi="Arial" w:cs="Arial"/>
        </w:rPr>
        <w:t xml:space="preserve"> MP</w:t>
      </w:r>
      <w:r w:rsidRPr="006623E9">
        <w:rPr>
          <w:rFonts w:ascii="Arial" w:hAnsi="Arial" w:cs="Arial"/>
        </w:rPr>
        <w:t>, about the respective roles the Finance and these other two Committees could play in processing the matter. The SCOF chairperson said that</w:t>
      </w:r>
      <w:r w:rsidR="006623E9">
        <w:rPr>
          <w:rFonts w:ascii="Arial" w:hAnsi="Arial" w:cs="Arial"/>
        </w:rPr>
        <w:t xml:space="preserve"> Mr </w:t>
      </w:r>
      <w:proofErr w:type="spellStart"/>
      <w:r w:rsidR="006623E9">
        <w:rPr>
          <w:rFonts w:ascii="Arial" w:hAnsi="Arial" w:cs="Arial"/>
        </w:rPr>
        <w:t>Godi</w:t>
      </w:r>
      <w:proofErr w:type="spellEnd"/>
      <w:r w:rsidR="006623E9">
        <w:rPr>
          <w:rFonts w:ascii="Arial" w:hAnsi="Arial" w:cs="Arial"/>
        </w:rPr>
        <w:t xml:space="preserve"> informed him that SCOPA</w:t>
      </w:r>
      <w:r w:rsidR="005A6189" w:rsidRPr="006623E9">
        <w:rPr>
          <w:rFonts w:ascii="Arial" w:hAnsi="Arial" w:cs="Arial"/>
        </w:rPr>
        <w:t xml:space="preserve"> would not be taking the matter forward, and Mr </w:t>
      </w:r>
      <w:proofErr w:type="spellStart"/>
      <w:r w:rsidR="005A6189" w:rsidRPr="006623E9">
        <w:rPr>
          <w:rFonts w:ascii="Arial" w:hAnsi="Arial" w:cs="Arial"/>
        </w:rPr>
        <w:t>Nqakula</w:t>
      </w:r>
      <w:proofErr w:type="spellEnd"/>
      <w:r w:rsidR="005A6189" w:rsidRPr="006623E9">
        <w:rPr>
          <w:rFonts w:ascii="Arial" w:hAnsi="Arial" w:cs="Arial"/>
        </w:rPr>
        <w:t xml:space="preserve"> told him that if they received a proposal similar to Mr </w:t>
      </w:r>
      <w:proofErr w:type="spellStart"/>
      <w:r w:rsidR="005A6189" w:rsidRPr="006623E9">
        <w:rPr>
          <w:rFonts w:ascii="Arial" w:hAnsi="Arial" w:cs="Arial"/>
        </w:rPr>
        <w:t>Maynier’s</w:t>
      </w:r>
      <w:proofErr w:type="spellEnd"/>
      <w:r w:rsidR="005A6189" w:rsidRPr="006623E9">
        <w:rPr>
          <w:rFonts w:ascii="Arial" w:hAnsi="Arial" w:cs="Arial"/>
        </w:rPr>
        <w:t xml:space="preserve"> from a DA memb</w:t>
      </w:r>
      <w:r w:rsidR="006623E9">
        <w:rPr>
          <w:rFonts w:ascii="Arial" w:hAnsi="Arial" w:cs="Arial"/>
        </w:rPr>
        <w:t>er in the JSCI</w:t>
      </w:r>
      <w:r w:rsidR="005A6189" w:rsidRPr="006623E9">
        <w:rPr>
          <w:rFonts w:ascii="Arial" w:hAnsi="Arial" w:cs="Arial"/>
        </w:rPr>
        <w:t xml:space="preserve"> they</w:t>
      </w:r>
      <w:r w:rsidR="006623E9">
        <w:rPr>
          <w:rFonts w:ascii="Arial" w:hAnsi="Arial" w:cs="Arial"/>
        </w:rPr>
        <w:t xml:space="preserve"> would consider what</w:t>
      </w:r>
      <w:r w:rsidR="005A6189" w:rsidRPr="006623E9">
        <w:rPr>
          <w:rFonts w:ascii="Arial" w:hAnsi="Arial" w:cs="Arial"/>
        </w:rPr>
        <w:t xml:space="preserve"> action to take.</w:t>
      </w:r>
    </w:p>
    <w:p w:rsidR="00D5231A" w:rsidRDefault="00D5231A" w:rsidP="00D5231A">
      <w:pPr>
        <w:pStyle w:val="ListParagraph"/>
        <w:spacing w:line="360" w:lineRule="auto"/>
        <w:ind w:left="360"/>
        <w:jc w:val="both"/>
        <w:rPr>
          <w:rFonts w:ascii="Arial" w:hAnsi="Arial" w:cs="Arial"/>
          <w:color w:val="FF0000"/>
        </w:rPr>
      </w:pPr>
    </w:p>
    <w:p w:rsidR="00D5231A" w:rsidRPr="006623E9" w:rsidRDefault="005A6189" w:rsidP="0075148F">
      <w:pPr>
        <w:pStyle w:val="ListParagraph"/>
        <w:numPr>
          <w:ilvl w:val="0"/>
          <w:numId w:val="2"/>
        </w:numPr>
        <w:spacing w:line="360" w:lineRule="auto"/>
        <w:jc w:val="both"/>
        <w:rPr>
          <w:rFonts w:ascii="Arial" w:hAnsi="Arial" w:cs="Arial"/>
        </w:rPr>
      </w:pPr>
      <w:r w:rsidRPr="006623E9">
        <w:rPr>
          <w:rFonts w:ascii="Arial" w:hAnsi="Arial" w:cs="Arial"/>
        </w:rPr>
        <w:t>The Chairperson also engaged with the</w:t>
      </w:r>
      <w:r w:rsidR="00070D7C" w:rsidRPr="006623E9">
        <w:rPr>
          <w:rFonts w:ascii="Arial" w:hAnsi="Arial" w:cs="Arial"/>
        </w:rPr>
        <w:t xml:space="preserve"> CEO of the</w:t>
      </w:r>
      <w:r w:rsidRPr="006623E9">
        <w:rPr>
          <w:rFonts w:ascii="Arial" w:hAnsi="Arial" w:cs="Arial"/>
        </w:rPr>
        <w:t xml:space="preserve"> Independent Regulatory Board for Auditors</w:t>
      </w:r>
      <w:r w:rsidR="0019602D">
        <w:rPr>
          <w:rFonts w:ascii="Arial" w:hAnsi="Arial" w:cs="Arial"/>
        </w:rPr>
        <w:t xml:space="preserve"> (IRBA)</w:t>
      </w:r>
      <w:r w:rsidR="00070D7C" w:rsidRPr="006623E9">
        <w:rPr>
          <w:rFonts w:ascii="Arial" w:hAnsi="Arial" w:cs="Arial"/>
        </w:rPr>
        <w:t xml:space="preserve">, Mr Bernard Agulhas, on what role they could play in respect of KPMG’s role in this matter. Mr Agulhas explained that </w:t>
      </w:r>
      <w:r w:rsidR="0019602D">
        <w:rPr>
          <w:rFonts w:ascii="Arial" w:hAnsi="Arial" w:cs="Arial"/>
        </w:rPr>
        <w:t>as the report on the so-called ‘</w:t>
      </w:r>
      <w:r w:rsidR="00D5231A" w:rsidRPr="006623E9">
        <w:rPr>
          <w:rFonts w:ascii="Arial" w:hAnsi="Arial" w:cs="Arial"/>
        </w:rPr>
        <w:t>rogue unit</w:t>
      </w:r>
      <w:r w:rsidR="0019602D">
        <w:rPr>
          <w:rFonts w:ascii="Arial" w:hAnsi="Arial" w:cs="Arial"/>
        </w:rPr>
        <w:t>’</w:t>
      </w:r>
      <w:r w:rsidR="00D5231A" w:rsidRPr="006623E9">
        <w:rPr>
          <w:rFonts w:ascii="Arial" w:hAnsi="Arial" w:cs="Arial"/>
        </w:rPr>
        <w:t xml:space="preserve"> is a forensic</w:t>
      </w:r>
      <w:r w:rsidR="0019602D">
        <w:rPr>
          <w:rFonts w:ascii="Arial" w:hAnsi="Arial" w:cs="Arial"/>
        </w:rPr>
        <w:t xml:space="preserve"> investigation and</w:t>
      </w:r>
      <w:r w:rsidR="00D5231A" w:rsidRPr="006623E9">
        <w:rPr>
          <w:rFonts w:ascii="Arial" w:hAnsi="Arial" w:cs="Arial"/>
        </w:rPr>
        <w:t xml:space="preserve"> not an audit report</w:t>
      </w:r>
      <w:r w:rsidR="008B1664">
        <w:rPr>
          <w:rFonts w:ascii="Arial" w:hAnsi="Arial" w:cs="Arial"/>
        </w:rPr>
        <w:t>,</w:t>
      </w:r>
      <w:r w:rsidR="00D5231A" w:rsidRPr="006623E9">
        <w:rPr>
          <w:rFonts w:ascii="Arial" w:hAnsi="Arial" w:cs="Arial"/>
        </w:rPr>
        <w:t xml:space="preserve"> IRBA’s initial legal advice was that they could not investigate report but could look into the conduct of the auditor within their legal mandate. </w:t>
      </w:r>
      <w:r w:rsidR="008B1664">
        <w:rPr>
          <w:rFonts w:ascii="Arial" w:hAnsi="Arial" w:cs="Arial"/>
        </w:rPr>
        <w:t xml:space="preserve">He said this also at a SCOF Committee </w:t>
      </w:r>
      <w:r w:rsidR="00D5231A" w:rsidRPr="006623E9">
        <w:rPr>
          <w:rFonts w:ascii="Arial" w:hAnsi="Arial" w:cs="Arial"/>
        </w:rPr>
        <w:t xml:space="preserve">The Chairperson </w:t>
      </w:r>
      <w:r w:rsidR="004104ED">
        <w:rPr>
          <w:rFonts w:ascii="Arial" w:hAnsi="Arial" w:cs="Arial"/>
        </w:rPr>
        <w:t xml:space="preserve">informed me that he spoke with Mr Agulhas again on 27 November and </w:t>
      </w:r>
      <w:r w:rsidR="00D11440">
        <w:rPr>
          <w:rFonts w:ascii="Arial" w:hAnsi="Arial" w:cs="Arial"/>
        </w:rPr>
        <w:t xml:space="preserve">was told that IRBA had initiated an inquiry into the conduct of the </w:t>
      </w:r>
      <w:r w:rsidR="00216316">
        <w:rPr>
          <w:rFonts w:ascii="Arial" w:hAnsi="Arial" w:cs="Arial"/>
        </w:rPr>
        <w:t>KPMG auditor but would not be considering the report as a whole.</w:t>
      </w:r>
    </w:p>
    <w:p w:rsidR="00D5231A" w:rsidRPr="00D5231A" w:rsidRDefault="00D5231A" w:rsidP="00D5231A">
      <w:pPr>
        <w:spacing w:line="360" w:lineRule="auto"/>
        <w:jc w:val="both"/>
        <w:rPr>
          <w:rFonts w:ascii="Arial" w:hAnsi="Arial" w:cs="Arial"/>
          <w:color w:val="FF0000"/>
        </w:rPr>
      </w:pPr>
    </w:p>
    <w:p w:rsidR="00A27FB3" w:rsidRPr="006623E9" w:rsidRDefault="00D5231A" w:rsidP="0075148F">
      <w:pPr>
        <w:pStyle w:val="ListParagraph"/>
        <w:numPr>
          <w:ilvl w:val="0"/>
          <w:numId w:val="2"/>
        </w:numPr>
        <w:spacing w:line="360" w:lineRule="auto"/>
        <w:jc w:val="both"/>
        <w:rPr>
          <w:rFonts w:ascii="Arial" w:hAnsi="Arial" w:cs="Arial"/>
        </w:rPr>
      </w:pPr>
      <w:r w:rsidRPr="006623E9">
        <w:rPr>
          <w:rFonts w:ascii="Arial" w:hAnsi="Arial" w:cs="Arial"/>
        </w:rPr>
        <w:t>The Chairperson re</w:t>
      </w:r>
      <w:r w:rsidR="006623E9">
        <w:rPr>
          <w:rFonts w:ascii="Arial" w:hAnsi="Arial" w:cs="Arial"/>
        </w:rPr>
        <w:t>quested the Legal Services Office</w:t>
      </w:r>
      <w:r w:rsidR="00070D7C" w:rsidRPr="006623E9">
        <w:rPr>
          <w:rFonts w:ascii="Arial" w:hAnsi="Arial" w:cs="Arial"/>
        </w:rPr>
        <w:t xml:space="preserve"> </w:t>
      </w:r>
      <w:r w:rsidRPr="006623E9">
        <w:rPr>
          <w:rFonts w:ascii="Arial" w:hAnsi="Arial" w:cs="Arial"/>
        </w:rPr>
        <w:t xml:space="preserve">to frame the terms of reference for a SCOF Inquiry into the matter that is distinct from the role the </w:t>
      </w:r>
      <w:r w:rsidR="006623E9">
        <w:rPr>
          <w:rFonts w:ascii="Arial" w:hAnsi="Arial" w:cs="Arial"/>
        </w:rPr>
        <w:t>JSC</w:t>
      </w:r>
      <w:r w:rsidRPr="006623E9">
        <w:rPr>
          <w:rFonts w:ascii="Arial" w:hAnsi="Arial" w:cs="Arial"/>
        </w:rPr>
        <w:t xml:space="preserve">I would play. We would </w:t>
      </w:r>
      <w:r w:rsidR="00A27FB3" w:rsidRPr="006623E9">
        <w:rPr>
          <w:rFonts w:ascii="Arial" w:hAnsi="Arial" w:cs="Arial"/>
        </w:rPr>
        <w:t>have to consider after further engagement on this but our in</w:t>
      </w:r>
      <w:r w:rsidR="00216316">
        <w:rPr>
          <w:rFonts w:ascii="Arial" w:hAnsi="Arial" w:cs="Arial"/>
        </w:rPr>
        <w:t>i</w:t>
      </w:r>
      <w:r w:rsidR="00A27FB3" w:rsidRPr="006623E9">
        <w:rPr>
          <w:rFonts w:ascii="Arial" w:hAnsi="Arial" w:cs="Arial"/>
        </w:rPr>
        <w:t>tial advice is provide</w:t>
      </w:r>
      <w:r w:rsidR="00216316">
        <w:rPr>
          <w:rFonts w:ascii="Arial" w:hAnsi="Arial" w:cs="Arial"/>
        </w:rPr>
        <w:t>d</w:t>
      </w:r>
      <w:r w:rsidR="00A27FB3" w:rsidRPr="006623E9">
        <w:rPr>
          <w:rFonts w:ascii="Arial" w:hAnsi="Arial" w:cs="Arial"/>
        </w:rPr>
        <w:t xml:space="preserve"> here.</w:t>
      </w:r>
    </w:p>
    <w:p w:rsidR="00A371FD" w:rsidRDefault="00A371FD" w:rsidP="00A27FB3">
      <w:pPr>
        <w:spacing w:line="360" w:lineRule="auto"/>
        <w:jc w:val="both"/>
        <w:rPr>
          <w:rFonts w:ascii="Arial" w:hAnsi="Arial" w:cs="Arial"/>
          <w:b/>
        </w:rPr>
      </w:pPr>
    </w:p>
    <w:p w:rsidR="00082FCB" w:rsidRPr="009E07BA" w:rsidRDefault="00A27FB3" w:rsidP="00A27FB3">
      <w:pPr>
        <w:spacing w:line="360" w:lineRule="auto"/>
        <w:jc w:val="both"/>
        <w:rPr>
          <w:rFonts w:ascii="Arial" w:hAnsi="Arial" w:cs="Arial"/>
          <w:b/>
        </w:rPr>
      </w:pPr>
      <w:r w:rsidRPr="009E07BA">
        <w:rPr>
          <w:rFonts w:ascii="Arial" w:hAnsi="Arial" w:cs="Arial"/>
          <w:b/>
        </w:rPr>
        <w:t xml:space="preserve">Regulatory Framework </w:t>
      </w:r>
      <w:r w:rsidR="00070D7C" w:rsidRPr="009E07BA">
        <w:rPr>
          <w:rFonts w:ascii="Arial" w:hAnsi="Arial" w:cs="Arial"/>
          <w:b/>
        </w:rPr>
        <w:t xml:space="preserve">  </w:t>
      </w:r>
      <w:r w:rsidR="005A6189" w:rsidRPr="009E07BA">
        <w:rPr>
          <w:rFonts w:ascii="Arial" w:hAnsi="Arial" w:cs="Arial"/>
          <w:b/>
        </w:rPr>
        <w:t xml:space="preserve"> </w:t>
      </w:r>
    </w:p>
    <w:p w:rsidR="0075148F" w:rsidRDefault="0075148F" w:rsidP="0075148F">
      <w:pPr>
        <w:pStyle w:val="ListParagraph"/>
        <w:numPr>
          <w:ilvl w:val="0"/>
          <w:numId w:val="2"/>
        </w:numPr>
        <w:spacing w:line="360" w:lineRule="auto"/>
        <w:jc w:val="both"/>
        <w:rPr>
          <w:rFonts w:ascii="Arial" w:hAnsi="Arial" w:cs="Arial"/>
        </w:rPr>
      </w:pPr>
      <w:r>
        <w:rPr>
          <w:rFonts w:ascii="Arial" w:hAnsi="Arial" w:cs="Arial"/>
        </w:rPr>
        <w:t xml:space="preserve">NA rule 232, read with rule 227, mandates the </w:t>
      </w:r>
      <w:proofErr w:type="spellStart"/>
      <w:r>
        <w:rPr>
          <w:rFonts w:ascii="Arial" w:hAnsi="Arial" w:cs="Arial"/>
        </w:rPr>
        <w:t>SCoF</w:t>
      </w:r>
      <w:proofErr w:type="spellEnd"/>
      <w:r>
        <w:rPr>
          <w:rFonts w:ascii="Arial" w:hAnsi="Arial" w:cs="Arial"/>
        </w:rPr>
        <w:t xml:space="preserve"> to maintain oversight of an executive organ of state within its portfolio. </w:t>
      </w:r>
      <w:r w:rsidR="003510FC">
        <w:rPr>
          <w:rFonts w:ascii="Arial" w:hAnsi="Arial" w:cs="Arial"/>
        </w:rPr>
        <w:t>It must maintain oversight of SARS, in other words. In doing so, it may</w:t>
      </w:r>
      <w:r w:rsidRPr="0075148F">
        <w:rPr>
          <w:rFonts w:ascii="Arial" w:hAnsi="Arial" w:cs="Arial"/>
        </w:rPr>
        <w:t xml:space="preserve"> monitor, investigate, enquire into and make recommendations </w:t>
      </w:r>
      <w:r w:rsidRPr="0075148F">
        <w:rPr>
          <w:rFonts w:ascii="Arial" w:hAnsi="Arial" w:cs="Arial"/>
        </w:rPr>
        <w:lastRenderedPageBreak/>
        <w:t>concerning any such executive organ of state, including the legislative programme budget, rationalisation, restructuring, functioning, organisation, structure, staff and policies of such organ of state, instituti</w:t>
      </w:r>
      <w:r>
        <w:rPr>
          <w:rFonts w:ascii="Arial" w:hAnsi="Arial" w:cs="Arial"/>
        </w:rPr>
        <w:t>on or other body or institution.</w:t>
      </w:r>
    </w:p>
    <w:p w:rsidR="0075148F" w:rsidRDefault="0075148F" w:rsidP="0075148F">
      <w:pPr>
        <w:pStyle w:val="ListParagraph"/>
        <w:spacing w:line="360" w:lineRule="auto"/>
        <w:ind w:left="360"/>
        <w:jc w:val="both"/>
        <w:rPr>
          <w:rFonts w:ascii="Arial" w:hAnsi="Arial" w:cs="Arial"/>
        </w:rPr>
      </w:pPr>
    </w:p>
    <w:p w:rsidR="009E07BA" w:rsidRPr="009E07BA" w:rsidRDefault="009E07BA" w:rsidP="009E07BA">
      <w:pPr>
        <w:pStyle w:val="ListParagraph"/>
        <w:rPr>
          <w:rFonts w:ascii="Arial" w:hAnsi="Arial" w:cs="Arial"/>
        </w:rPr>
      </w:pPr>
    </w:p>
    <w:p w:rsidR="00ED44ED" w:rsidRDefault="009E07BA" w:rsidP="00ED44ED">
      <w:pPr>
        <w:pStyle w:val="ListParagraph"/>
        <w:numPr>
          <w:ilvl w:val="0"/>
          <w:numId w:val="2"/>
        </w:numPr>
        <w:spacing w:line="360" w:lineRule="auto"/>
        <w:jc w:val="both"/>
        <w:rPr>
          <w:rFonts w:ascii="Arial" w:hAnsi="Arial" w:cs="Arial"/>
        </w:rPr>
      </w:pPr>
      <w:r>
        <w:rPr>
          <w:rFonts w:ascii="Arial" w:hAnsi="Arial" w:cs="Arial"/>
        </w:rPr>
        <w:t xml:space="preserve">The JSCI is established by the Intelligence Services Control Act 40 of 1994 and is mandated by section 199(8) of the Constitution to maintain oversight of all security services, including any intelligence services. Oversight of the services performed by intelligence services – which might include the ‘rogue unit’ – falls within the purview of the JSCI. </w:t>
      </w:r>
    </w:p>
    <w:p w:rsidR="009E07BA" w:rsidRPr="00ED44ED" w:rsidRDefault="009E07BA" w:rsidP="00ED44ED">
      <w:pPr>
        <w:pStyle w:val="ListParagraph"/>
        <w:spacing w:line="360" w:lineRule="auto"/>
        <w:ind w:left="360"/>
        <w:jc w:val="both"/>
        <w:rPr>
          <w:rFonts w:ascii="Arial" w:hAnsi="Arial" w:cs="Arial"/>
        </w:rPr>
      </w:pPr>
      <w:r w:rsidRPr="00ED44ED">
        <w:rPr>
          <w:rFonts w:ascii="Arial" w:hAnsi="Arial" w:cs="Arial"/>
        </w:rPr>
        <w:t xml:space="preserve"> </w:t>
      </w:r>
    </w:p>
    <w:p w:rsidR="00ED44ED" w:rsidRDefault="00ED44ED" w:rsidP="00ED44ED">
      <w:pPr>
        <w:pStyle w:val="ListParagraph"/>
        <w:numPr>
          <w:ilvl w:val="0"/>
          <w:numId w:val="2"/>
        </w:numPr>
        <w:spacing w:line="360" w:lineRule="auto"/>
        <w:jc w:val="both"/>
        <w:rPr>
          <w:rFonts w:ascii="Arial" w:hAnsi="Arial" w:cs="Arial"/>
        </w:rPr>
      </w:pPr>
      <w:r>
        <w:rPr>
          <w:rFonts w:ascii="Arial" w:hAnsi="Arial" w:cs="Arial"/>
        </w:rPr>
        <w:t xml:space="preserve">In scrutinising the handling by SARS of the report from KPMG it appears necessary that the contents of the various drafts of the report must be examined. This raises questions whether the report contains classified information about intelligence services. </w:t>
      </w:r>
    </w:p>
    <w:p w:rsidR="00604235" w:rsidRPr="00604235" w:rsidRDefault="00604235" w:rsidP="00604235">
      <w:pPr>
        <w:pStyle w:val="ListParagraph"/>
        <w:rPr>
          <w:rFonts w:ascii="Arial" w:hAnsi="Arial" w:cs="Arial"/>
        </w:rPr>
      </w:pPr>
    </w:p>
    <w:p w:rsidR="00604235" w:rsidRDefault="00604235" w:rsidP="0075148F">
      <w:pPr>
        <w:pStyle w:val="ListParagraph"/>
        <w:numPr>
          <w:ilvl w:val="0"/>
          <w:numId w:val="2"/>
        </w:numPr>
        <w:spacing w:line="360" w:lineRule="auto"/>
        <w:jc w:val="both"/>
        <w:rPr>
          <w:rFonts w:ascii="Arial" w:hAnsi="Arial" w:cs="Arial"/>
        </w:rPr>
      </w:pPr>
      <w:r>
        <w:rPr>
          <w:rFonts w:ascii="Arial" w:hAnsi="Arial" w:cs="Arial"/>
        </w:rPr>
        <w:t xml:space="preserve">In addition to or as an alternative to scrutinising the contents of the report, the committee could call relevant persons from SARS and KPMG to enquire into the handing of the report. As an alternative, this option would not disclose classified aspects of the report. </w:t>
      </w:r>
      <w:r w:rsidR="00C149D3">
        <w:rPr>
          <w:rFonts w:ascii="Arial" w:hAnsi="Arial" w:cs="Arial"/>
        </w:rPr>
        <w:t>It would also leav</w:t>
      </w:r>
      <w:r w:rsidR="00ED44ED">
        <w:rPr>
          <w:rFonts w:ascii="Arial" w:hAnsi="Arial" w:cs="Arial"/>
        </w:rPr>
        <w:t xml:space="preserve">e </w:t>
      </w:r>
      <w:r w:rsidR="00C149D3">
        <w:rPr>
          <w:rFonts w:ascii="Arial" w:hAnsi="Arial" w:cs="Arial"/>
        </w:rPr>
        <w:t>the contents of the report in the hands of the JSC</w:t>
      </w:r>
      <w:r w:rsidR="00ED44ED">
        <w:rPr>
          <w:rFonts w:ascii="Arial" w:hAnsi="Arial" w:cs="Arial"/>
        </w:rPr>
        <w:t>I</w:t>
      </w:r>
      <w:r w:rsidR="00C149D3">
        <w:rPr>
          <w:rFonts w:ascii="Arial" w:hAnsi="Arial" w:cs="Arial"/>
        </w:rPr>
        <w:t xml:space="preserve">. </w:t>
      </w:r>
    </w:p>
    <w:p w:rsidR="00604235" w:rsidRPr="00ED44ED" w:rsidRDefault="00604235" w:rsidP="00ED44ED">
      <w:pPr>
        <w:rPr>
          <w:rFonts w:ascii="Arial" w:hAnsi="Arial" w:cs="Arial"/>
        </w:rPr>
      </w:pPr>
    </w:p>
    <w:p w:rsidR="001458CF" w:rsidRPr="00604235" w:rsidRDefault="003510FC" w:rsidP="00604235">
      <w:pPr>
        <w:spacing w:line="360" w:lineRule="auto"/>
        <w:jc w:val="both"/>
        <w:rPr>
          <w:rFonts w:ascii="Arial" w:hAnsi="Arial" w:cs="Arial"/>
        </w:rPr>
      </w:pPr>
      <w:r w:rsidRPr="00604235">
        <w:rPr>
          <w:rFonts w:ascii="Arial" w:hAnsi="Arial" w:cs="Arial"/>
        </w:rPr>
        <w:t xml:space="preserve"> </w:t>
      </w:r>
      <w:r w:rsidR="0075148F" w:rsidRPr="00604235">
        <w:rPr>
          <w:rFonts w:ascii="Arial" w:hAnsi="Arial" w:cs="Arial"/>
        </w:rPr>
        <w:t xml:space="preserve"> </w:t>
      </w:r>
    </w:p>
    <w:p w:rsidR="001458CF" w:rsidRDefault="001458CF" w:rsidP="008C7108">
      <w:pPr>
        <w:spacing w:line="360" w:lineRule="auto"/>
        <w:jc w:val="both"/>
        <w:rPr>
          <w:rFonts w:ascii="Arial" w:hAnsi="Arial" w:cs="Arial"/>
        </w:rPr>
      </w:pPr>
    </w:p>
    <w:p w:rsidR="001458CF" w:rsidRDefault="001458CF" w:rsidP="008C7108">
      <w:pPr>
        <w:spacing w:line="360" w:lineRule="auto"/>
        <w:jc w:val="both"/>
        <w:rPr>
          <w:rFonts w:ascii="Arial" w:hAnsi="Arial" w:cs="Arial"/>
        </w:rPr>
      </w:pPr>
    </w:p>
    <w:p w:rsidR="008C7108" w:rsidRDefault="00F25105" w:rsidP="008C7108">
      <w:pPr>
        <w:spacing w:line="360" w:lineRule="auto"/>
        <w:jc w:val="both"/>
        <w:rPr>
          <w:rFonts w:ascii="Arial" w:hAnsi="Arial" w:cs="Arial"/>
        </w:rPr>
      </w:pPr>
      <w:r>
        <w:rPr>
          <w:rFonts w:ascii="Arial" w:hAnsi="Arial" w:cs="Arial"/>
        </w:rPr>
        <w:t>Adv F S Jenkins</w:t>
      </w:r>
    </w:p>
    <w:p w:rsidR="00AD073C" w:rsidRPr="008C7108" w:rsidRDefault="00F25105" w:rsidP="008C7108">
      <w:pPr>
        <w:spacing w:line="360" w:lineRule="auto"/>
        <w:jc w:val="both"/>
        <w:rPr>
          <w:rFonts w:ascii="Arial" w:hAnsi="Arial" w:cs="Arial"/>
        </w:rPr>
      </w:pPr>
      <w:r>
        <w:rPr>
          <w:rFonts w:ascii="Arial" w:hAnsi="Arial" w:cs="Arial"/>
        </w:rPr>
        <w:t>Senior</w:t>
      </w:r>
      <w:r w:rsidR="008C7108">
        <w:rPr>
          <w:rFonts w:ascii="Arial" w:hAnsi="Arial" w:cs="Arial"/>
        </w:rPr>
        <w:t xml:space="preserve"> Parliamentary Legal Adviser</w:t>
      </w:r>
    </w:p>
    <w:sectPr w:rsidR="00AD073C" w:rsidRPr="008C7108" w:rsidSect="00AC53D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21F" w:rsidRDefault="0018421F" w:rsidP="00A95521">
      <w:pPr>
        <w:spacing w:after="0" w:line="240" w:lineRule="auto"/>
      </w:pPr>
      <w:r>
        <w:separator/>
      </w:r>
    </w:p>
  </w:endnote>
  <w:endnote w:type="continuationSeparator" w:id="0">
    <w:p w:rsidR="0018421F" w:rsidRDefault="0018421F" w:rsidP="00A95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690" w:rsidRDefault="001F06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405784"/>
      <w:docPartObj>
        <w:docPartGallery w:val="Page Numbers (Bottom of Page)"/>
        <w:docPartUnique/>
      </w:docPartObj>
    </w:sdtPr>
    <w:sdtEndPr>
      <w:rPr>
        <w:noProof/>
      </w:rPr>
    </w:sdtEndPr>
    <w:sdtContent>
      <w:p w:rsidR="00D46B44" w:rsidRDefault="00AC53D9">
        <w:pPr>
          <w:pStyle w:val="Footer"/>
          <w:jc w:val="right"/>
        </w:pPr>
        <w:r>
          <w:fldChar w:fldCharType="begin"/>
        </w:r>
        <w:r w:rsidR="00D46B44">
          <w:instrText xml:space="preserve"> PAGE   \* MERGEFORMAT </w:instrText>
        </w:r>
        <w:r>
          <w:fldChar w:fldCharType="separate"/>
        </w:r>
        <w:r w:rsidR="002A3088">
          <w:rPr>
            <w:noProof/>
          </w:rPr>
          <w:t>1</w:t>
        </w:r>
        <w:r>
          <w:rPr>
            <w:noProof/>
          </w:rPr>
          <w:fldChar w:fldCharType="end"/>
        </w:r>
      </w:p>
    </w:sdtContent>
  </w:sdt>
  <w:p w:rsidR="00D46B44" w:rsidRDefault="00D46B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690" w:rsidRDefault="001F06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21F" w:rsidRDefault="0018421F" w:rsidP="00A95521">
      <w:pPr>
        <w:spacing w:after="0" w:line="240" w:lineRule="auto"/>
      </w:pPr>
      <w:r>
        <w:separator/>
      </w:r>
    </w:p>
  </w:footnote>
  <w:footnote w:type="continuationSeparator" w:id="0">
    <w:p w:rsidR="0018421F" w:rsidRDefault="0018421F" w:rsidP="00A95521">
      <w:pPr>
        <w:spacing w:after="0" w:line="240" w:lineRule="auto"/>
      </w:pPr>
      <w:r>
        <w:continuationSeparator/>
      </w:r>
    </w:p>
  </w:footnote>
  <w:footnote w:id="1">
    <w:p w:rsidR="00B57C07" w:rsidRDefault="00B57C07">
      <w:pPr>
        <w:pStyle w:val="FootnoteText"/>
      </w:pPr>
      <w:r>
        <w:rPr>
          <w:rStyle w:val="FootnoteReference"/>
        </w:rPr>
        <w:footnoteRef/>
      </w:r>
      <w:r>
        <w:t xml:space="preserve"> </w:t>
      </w:r>
      <w:hyperlink r:id="rId1" w:history="1">
        <w:r w:rsidRPr="00A538A2">
          <w:rPr>
            <w:rStyle w:val="Hyperlink"/>
          </w:rPr>
          <w:t>https://www.timeslive.co.za/politics/2017-09-15-kpmg-cans-sars-rogue-unit-report-apologises-to-gordhan/</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690" w:rsidRDefault="001F06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521" w:rsidRDefault="00A95521" w:rsidP="00A95521">
    <w:pPr>
      <w:pStyle w:val="Header"/>
      <w:tabs>
        <w:tab w:val="clear" w:pos="4513"/>
        <w:tab w:val="clear" w:pos="9026"/>
        <w:tab w:val="left" w:pos="7848"/>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690" w:rsidRDefault="001F06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201"/>
    <w:multiLevelType w:val="hybridMultilevel"/>
    <w:tmpl w:val="74349436"/>
    <w:lvl w:ilvl="0" w:tplc="96E427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E247B05"/>
    <w:multiLevelType w:val="hybridMultilevel"/>
    <w:tmpl w:val="76C87724"/>
    <w:lvl w:ilvl="0" w:tplc="1C09000F">
      <w:start w:val="1"/>
      <w:numFmt w:val="decimal"/>
      <w:lvlText w:val="%1."/>
      <w:lvlJc w:val="left"/>
      <w:pPr>
        <w:ind w:left="360" w:hanging="360"/>
      </w:pPr>
    </w:lvl>
    <w:lvl w:ilvl="1" w:tplc="1C090017">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30BC6B0B"/>
    <w:multiLevelType w:val="hybridMultilevel"/>
    <w:tmpl w:val="84D8C1A8"/>
    <w:lvl w:ilvl="0" w:tplc="96E4278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43C945CC"/>
    <w:multiLevelType w:val="hybridMultilevel"/>
    <w:tmpl w:val="CF00D3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6A31155"/>
    <w:multiLevelType w:val="hybridMultilevel"/>
    <w:tmpl w:val="57A4A352"/>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49104074"/>
    <w:multiLevelType w:val="hybridMultilevel"/>
    <w:tmpl w:val="DF9C03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CEE7CE8"/>
    <w:multiLevelType w:val="hybridMultilevel"/>
    <w:tmpl w:val="2B943674"/>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5B867418"/>
    <w:multiLevelType w:val="hybridMultilevel"/>
    <w:tmpl w:val="38D23C4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61176F51"/>
    <w:multiLevelType w:val="hybridMultilevel"/>
    <w:tmpl w:val="75A23D1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1EA2BBF"/>
    <w:multiLevelType w:val="hybridMultilevel"/>
    <w:tmpl w:val="7B782AE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9F77DFE"/>
    <w:multiLevelType w:val="hybridMultilevel"/>
    <w:tmpl w:val="7B782AE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45D5EFE"/>
    <w:multiLevelType w:val="hybridMultilevel"/>
    <w:tmpl w:val="229E66D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10"/>
  </w:num>
  <w:num w:numId="5">
    <w:abstractNumId w:val="11"/>
  </w:num>
  <w:num w:numId="6">
    <w:abstractNumId w:val="9"/>
  </w:num>
  <w:num w:numId="7">
    <w:abstractNumId w:val="4"/>
  </w:num>
  <w:num w:numId="8">
    <w:abstractNumId w:val="1"/>
  </w:num>
  <w:num w:numId="9">
    <w:abstractNumId w:val="0"/>
  </w:num>
  <w:num w:numId="10">
    <w:abstractNumId w:val="2"/>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A95521"/>
    <w:rsid w:val="00054CAB"/>
    <w:rsid w:val="000628CA"/>
    <w:rsid w:val="00070D7C"/>
    <w:rsid w:val="00082FCB"/>
    <w:rsid w:val="00090990"/>
    <w:rsid w:val="000B2092"/>
    <w:rsid w:val="000D285C"/>
    <w:rsid w:val="000D7BDC"/>
    <w:rsid w:val="000F4A57"/>
    <w:rsid w:val="000F59F7"/>
    <w:rsid w:val="000F7BAA"/>
    <w:rsid w:val="000F7ED9"/>
    <w:rsid w:val="00103759"/>
    <w:rsid w:val="0011105B"/>
    <w:rsid w:val="001458CF"/>
    <w:rsid w:val="00180C7B"/>
    <w:rsid w:val="0018421F"/>
    <w:rsid w:val="00184BAC"/>
    <w:rsid w:val="0019602D"/>
    <w:rsid w:val="001A0BB5"/>
    <w:rsid w:val="001B24D1"/>
    <w:rsid w:val="001C1289"/>
    <w:rsid w:val="001D1F32"/>
    <w:rsid w:val="001F0690"/>
    <w:rsid w:val="00216316"/>
    <w:rsid w:val="00226417"/>
    <w:rsid w:val="00244E95"/>
    <w:rsid w:val="00257360"/>
    <w:rsid w:val="00257D1B"/>
    <w:rsid w:val="0026384F"/>
    <w:rsid w:val="0026480E"/>
    <w:rsid w:val="00265026"/>
    <w:rsid w:val="002749B9"/>
    <w:rsid w:val="00275DA8"/>
    <w:rsid w:val="00294C51"/>
    <w:rsid w:val="002A3088"/>
    <w:rsid w:val="002A6F6A"/>
    <w:rsid w:val="002D1D3C"/>
    <w:rsid w:val="00300E19"/>
    <w:rsid w:val="0030299A"/>
    <w:rsid w:val="00334237"/>
    <w:rsid w:val="003510FC"/>
    <w:rsid w:val="003577E9"/>
    <w:rsid w:val="0037227B"/>
    <w:rsid w:val="00390E7F"/>
    <w:rsid w:val="003A0A7C"/>
    <w:rsid w:val="003B1AD2"/>
    <w:rsid w:val="003D4E72"/>
    <w:rsid w:val="003F4911"/>
    <w:rsid w:val="003F63D7"/>
    <w:rsid w:val="004104ED"/>
    <w:rsid w:val="004349DF"/>
    <w:rsid w:val="00436EB5"/>
    <w:rsid w:val="00444B53"/>
    <w:rsid w:val="00455D23"/>
    <w:rsid w:val="00460EBA"/>
    <w:rsid w:val="00494A30"/>
    <w:rsid w:val="004B5BBC"/>
    <w:rsid w:val="004C1DCF"/>
    <w:rsid w:val="004C3DCF"/>
    <w:rsid w:val="004F3B52"/>
    <w:rsid w:val="005158D7"/>
    <w:rsid w:val="00532D34"/>
    <w:rsid w:val="005366B8"/>
    <w:rsid w:val="00536B2B"/>
    <w:rsid w:val="00542376"/>
    <w:rsid w:val="00564982"/>
    <w:rsid w:val="00565E67"/>
    <w:rsid w:val="00573864"/>
    <w:rsid w:val="0058228D"/>
    <w:rsid w:val="00593041"/>
    <w:rsid w:val="00593C2E"/>
    <w:rsid w:val="00594BB5"/>
    <w:rsid w:val="005A6189"/>
    <w:rsid w:val="005B0DA9"/>
    <w:rsid w:val="005C7639"/>
    <w:rsid w:val="005D2F1C"/>
    <w:rsid w:val="00604235"/>
    <w:rsid w:val="00613AC2"/>
    <w:rsid w:val="00630EFD"/>
    <w:rsid w:val="006474BF"/>
    <w:rsid w:val="00652265"/>
    <w:rsid w:val="00657C27"/>
    <w:rsid w:val="006623E9"/>
    <w:rsid w:val="00675446"/>
    <w:rsid w:val="00675F06"/>
    <w:rsid w:val="00676AE2"/>
    <w:rsid w:val="00680962"/>
    <w:rsid w:val="006A06A0"/>
    <w:rsid w:val="006D79F2"/>
    <w:rsid w:val="007103B5"/>
    <w:rsid w:val="0073513B"/>
    <w:rsid w:val="0075148F"/>
    <w:rsid w:val="007745B8"/>
    <w:rsid w:val="00781B49"/>
    <w:rsid w:val="007A64E7"/>
    <w:rsid w:val="007B7860"/>
    <w:rsid w:val="007D09E0"/>
    <w:rsid w:val="007E2038"/>
    <w:rsid w:val="0081125B"/>
    <w:rsid w:val="00822C83"/>
    <w:rsid w:val="00822CB2"/>
    <w:rsid w:val="00827B17"/>
    <w:rsid w:val="008479D2"/>
    <w:rsid w:val="008B1664"/>
    <w:rsid w:val="008C18C2"/>
    <w:rsid w:val="008C7108"/>
    <w:rsid w:val="00903561"/>
    <w:rsid w:val="00911253"/>
    <w:rsid w:val="009A5763"/>
    <w:rsid w:val="009C425C"/>
    <w:rsid w:val="009C6ABC"/>
    <w:rsid w:val="009E07BA"/>
    <w:rsid w:val="009E127C"/>
    <w:rsid w:val="00A01EC6"/>
    <w:rsid w:val="00A0313B"/>
    <w:rsid w:val="00A13177"/>
    <w:rsid w:val="00A22060"/>
    <w:rsid w:val="00A279EA"/>
    <w:rsid w:val="00A27FB3"/>
    <w:rsid w:val="00A371DB"/>
    <w:rsid w:val="00A371FD"/>
    <w:rsid w:val="00A752AF"/>
    <w:rsid w:val="00A8205C"/>
    <w:rsid w:val="00A95521"/>
    <w:rsid w:val="00AA04D3"/>
    <w:rsid w:val="00AA0D37"/>
    <w:rsid w:val="00AA0EAE"/>
    <w:rsid w:val="00AA77BD"/>
    <w:rsid w:val="00AC2EA5"/>
    <w:rsid w:val="00AC53D9"/>
    <w:rsid w:val="00AC551E"/>
    <w:rsid w:val="00AD073C"/>
    <w:rsid w:val="00B10815"/>
    <w:rsid w:val="00B24A0D"/>
    <w:rsid w:val="00B45C95"/>
    <w:rsid w:val="00B57C07"/>
    <w:rsid w:val="00B62018"/>
    <w:rsid w:val="00B80063"/>
    <w:rsid w:val="00B868F5"/>
    <w:rsid w:val="00B9218E"/>
    <w:rsid w:val="00C149D3"/>
    <w:rsid w:val="00C15390"/>
    <w:rsid w:val="00C17F9A"/>
    <w:rsid w:val="00C3366B"/>
    <w:rsid w:val="00C67476"/>
    <w:rsid w:val="00C70D8F"/>
    <w:rsid w:val="00C85E9F"/>
    <w:rsid w:val="00C91452"/>
    <w:rsid w:val="00C96DE0"/>
    <w:rsid w:val="00C96F15"/>
    <w:rsid w:val="00CD2C0A"/>
    <w:rsid w:val="00D11440"/>
    <w:rsid w:val="00D22341"/>
    <w:rsid w:val="00D26C60"/>
    <w:rsid w:val="00D3170E"/>
    <w:rsid w:val="00D437BC"/>
    <w:rsid w:val="00D46B44"/>
    <w:rsid w:val="00D5231A"/>
    <w:rsid w:val="00D62D38"/>
    <w:rsid w:val="00D66CD1"/>
    <w:rsid w:val="00DD23FA"/>
    <w:rsid w:val="00DF505E"/>
    <w:rsid w:val="00E459F3"/>
    <w:rsid w:val="00E73FF6"/>
    <w:rsid w:val="00E84B80"/>
    <w:rsid w:val="00E87AA9"/>
    <w:rsid w:val="00E9498E"/>
    <w:rsid w:val="00EB25E4"/>
    <w:rsid w:val="00EB2DE9"/>
    <w:rsid w:val="00EB2F99"/>
    <w:rsid w:val="00EB3B6E"/>
    <w:rsid w:val="00EC0A55"/>
    <w:rsid w:val="00ED44ED"/>
    <w:rsid w:val="00ED7C67"/>
    <w:rsid w:val="00EE006F"/>
    <w:rsid w:val="00EE6BD3"/>
    <w:rsid w:val="00EF290E"/>
    <w:rsid w:val="00F10BB5"/>
    <w:rsid w:val="00F2504F"/>
    <w:rsid w:val="00F25105"/>
    <w:rsid w:val="00F4271D"/>
    <w:rsid w:val="00F900B1"/>
    <w:rsid w:val="00F94DB5"/>
    <w:rsid w:val="00FA3C03"/>
    <w:rsid w:val="00FF56F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3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521"/>
  </w:style>
  <w:style w:type="paragraph" w:styleId="Footer">
    <w:name w:val="footer"/>
    <w:basedOn w:val="Normal"/>
    <w:link w:val="FooterChar"/>
    <w:uiPriority w:val="99"/>
    <w:unhideWhenUsed/>
    <w:rsid w:val="00A95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521"/>
  </w:style>
  <w:style w:type="paragraph" w:styleId="ListParagraph">
    <w:name w:val="List Paragraph"/>
    <w:basedOn w:val="Normal"/>
    <w:uiPriority w:val="34"/>
    <w:qFormat/>
    <w:rsid w:val="00184BAC"/>
    <w:pPr>
      <w:ind w:left="720"/>
      <w:contextualSpacing/>
    </w:pPr>
  </w:style>
  <w:style w:type="paragraph" w:styleId="BalloonText">
    <w:name w:val="Balloon Text"/>
    <w:basedOn w:val="Normal"/>
    <w:link w:val="BalloonTextChar"/>
    <w:uiPriority w:val="99"/>
    <w:semiHidden/>
    <w:unhideWhenUsed/>
    <w:rsid w:val="00EE0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06F"/>
    <w:rPr>
      <w:rFonts w:ascii="Segoe UI" w:hAnsi="Segoe UI" w:cs="Segoe UI"/>
      <w:sz w:val="18"/>
      <w:szCs w:val="18"/>
    </w:rPr>
  </w:style>
  <w:style w:type="paragraph" w:styleId="FootnoteText">
    <w:name w:val="footnote text"/>
    <w:basedOn w:val="Normal"/>
    <w:link w:val="FootnoteTextChar"/>
    <w:uiPriority w:val="99"/>
    <w:semiHidden/>
    <w:unhideWhenUsed/>
    <w:rsid w:val="00B868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68F5"/>
    <w:rPr>
      <w:sz w:val="20"/>
      <w:szCs w:val="20"/>
    </w:rPr>
  </w:style>
  <w:style w:type="character" w:styleId="FootnoteReference">
    <w:name w:val="footnote reference"/>
    <w:basedOn w:val="DefaultParagraphFont"/>
    <w:uiPriority w:val="99"/>
    <w:semiHidden/>
    <w:unhideWhenUsed/>
    <w:rsid w:val="00B868F5"/>
    <w:rPr>
      <w:vertAlign w:val="superscript"/>
    </w:rPr>
  </w:style>
  <w:style w:type="character" w:styleId="Hyperlink">
    <w:name w:val="Hyperlink"/>
    <w:basedOn w:val="DefaultParagraphFont"/>
    <w:uiPriority w:val="99"/>
    <w:unhideWhenUsed/>
    <w:rsid w:val="00B868F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timeslive.co.za/politics/2017-09-15-kpmg-cans-sars-rogue-unit-report-apologises-to-gordh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24683-2DCE-4087-9146-EFC2C5220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Stander Jenkins</dc:creator>
  <cp:lastModifiedBy>PUMZA</cp:lastModifiedBy>
  <cp:revision>2</cp:revision>
  <cp:lastPrinted>2017-10-02T10:23:00Z</cp:lastPrinted>
  <dcterms:created xsi:type="dcterms:W3CDTF">2017-11-30T08:11:00Z</dcterms:created>
  <dcterms:modified xsi:type="dcterms:W3CDTF">2017-11-30T08:11:00Z</dcterms:modified>
</cp:coreProperties>
</file>