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21" w:rsidRPr="00630EFD" w:rsidRDefault="00A95521" w:rsidP="00A95521">
      <w:r w:rsidRPr="00630EFD">
        <w:rPr>
          <w:noProof/>
          <w:lang w:eastAsia="en-ZA"/>
        </w:rPr>
        <w:drawing>
          <wp:anchor distT="0" distB="0" distL="114300" distR="114300" simplePos="0" relativeHeight="251658240" behindDoc="0" locked="0" layoutInCell="1" allowOverlap="1">
            <wp:simplePos x="0" y="0"/>
            <wp:positionH relativeFrom="column">
              <wp:posOffset>-405765</wp:posOffset>
            </wp:positionH>
            <wp:positionV relativeFrom="paragraph">
              <wp:posOffset>-87630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sidRPr="00630EFD">
        <w:tab/>
      </w:r>
      <w:r w:rsidRPr="00630EFD">
        <w:tab/>
      </w:r>
      <w:r w:rsidRPr="00630EFD">
        <w:tab/>
      </w:r>
      <w:r w:rsidRPr="00630EFD">
        <w:tab/>
      </w:r>
      <w:r w:rsidRPr="00630EFD">
        <w:tab/>
      </w:r>
      <w:r w:rsidRPr="00630EFD">
        <w:tab/>
      </w:r>
      <w:r w:rsidR="00B9218E" w:rsidRPr="00630EFD">
        <w:tab/>
      </w:r>
      <w:r w:rsidR="00460EBA" w:rsidRPr="00630EFD">
        <w:t xml:space="preserve">          </w:t>
      </w:r>
      <w:r w:rsidRPr="00630EFD">
        <w:rPr>
          <w:noProof/>
          <w:lang w:eastAsia="en-ZA"/>
        </w:rPr>
        <w:drawing>
          <wp:inline distT="0" distB="0" distL="0" distR="0">
            <wp:extent cx="2200910" cy="5791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910" cy="579120"/>
                    </a:xfrm>
                    <a:prstGeom prst="rect">
                      <a:avLst/>
                    </a:prstGeom>
                    <a:noFill/>
                  </pic:spPr>
                </pic:pic>
              </a:graphicData>
            </a:graphic>
          </wp:inline>
        </w:drawing>
      </w:r>
    </w:p>
    <w:p w:rsidR="00A95521" w:rsidRPr="00630EFD" w:rsidRDefault="00A95521" w:rsidP="00A95521">
      <w:pPr>
        <w:ind w:firstLine="720"/>
      </w:pPr>
    </w:p>
    <w:p w:rsidR="00C96DE0" w:rsidRPr="00630EFD" w:rsidRDefault="00C96DE0" w:rsidP="009C6ABC">
      <w:pPr>
        <w:spacing w:line="360" w:lineRule="auto"/>
        <w:jc w:val="both"/>
        <w:rPr>
          <w:rFonts w:ascii="Arial" w:hAnsi="Arial" w:cs="Arial"/>
          <w:b/>
        </w:rPr>
      </w:pPr>
      <w:r w:rsidRPr="00630EFD">
        <w:rPr>
          <w:rFonts w:ascii="Arial" w:hAnsi="Arial" w:cs="Arial"/>
          <w:b/>
        </w:rPr>
        <w:t xml:space="preserve">TO:     </w:t>
      </w:r>
      <w:r w:rsidRPr="00630EFD">
        <w:rPr>
          <w:rFonts w:ascii="Arial" w:hAnsi="Arial" w:cs="Arial"/>
          <w:b/>
        </w:rPr>
        <w:tab/>
      </w:r>
      <w:r w:rsidR="009A5763">
        <w:rPr>
          <w:rFonts w:ascii="Arial" w:hAnsi="Arial" w:cs="Arial"/>
          <w:b/>
        </w:rPr>
        <w:tab/>
      </w:r>
      <w:r w:rsidRPr="00630EFD">
        <w:rPr>
          <w:rFonts w:ascii="Arial" w:hAnsi="Arial" w:cs="Arial"/>
          <w:b/>
        </w:rPr>
        <w:t xml:space="preserve">Chairperson, Standing Committee on Finance [Mr Y Carrim, MP]       </w:t>
      </w:r>
    </w:p>
    <w:p w:rsidR="00C96DE0" w:rsidRPr="00630EFD" w:rsidRDefault="00C96DE0" w:rsidP="009C6ABC">
      <w:pPr>
        <w:spacing w:line="360" w:lineRule="auto"/>
        <w:ind w:left="1049" w:hanging="1049"/>
        <w:jc w:val="both"/>
        <w:rPr>
          <w:rFonts w:ascii="Arial" w:hAnsi="Arial" w:cs="Arial"/>
          <w:b/>
        </w:rPr>
      </w:pPr>
      <w:r w:rsidRPr="00630EFD">
        <w:rPr>
          <w:rFonts w:ascii="Arial" w:hAnsi="Arial" w:cs="Arial"/>
          <w:b/>
        </w:rPr>
        <w:t xml:space="preserve">FROM: </w:t>
      </w:r>
      <w:r w:rsidRPr="00630EFD">
        <w:rPr>
          <w:rFonts w:ascii="Arial" w:hAnsi="Arial" w:cs="Arial"/>
          <w:b/>
        </w:rPr>
        <w:tab/>
      </w:r>
      <w:r w:rsidR="00FA3C03" w:rsidRPr="00630EFD">
        <w:rPr>
          <w:rFonts w:ascii="Arial" w:hAnsi="Arial" w:cs="Arial"/>
          <w:b/>
        </w:rPr>
        <w:tab/>
      </w:r>
      <w:r w:rsidRPr="00630EFD">
        <w:rPr>
          <w:rFonts w:ascii="Arial" w:hAnsi="Arial" w:cs="Arial"/>
          <w:b/>
        </w:rPr>
        <w:t>Constituti</w:t>
      </w:r>
      <w:r w:rsidR="009C6ABC">
        <w:rPr>
          <w:rFonts w:ascii="Arial" w:hAnsi="Arial" w:cs="Arial"/>
          <w:b/>
        </w:rPr>
        <w:t>onal and Legal Services Offic</w:t>
      </w:r>
      <w:r w:rsidR="00BB1CD8">
        <w:rPr>
          <w:rFonts w:ascii="Arial" w:hAnsi="Arial" w:cs="Arial"/>
          <w:b/>
        </w:rPr>
        <w:t>e</w:t>
      </w:r>
    </w:p>
    <w:p w:rsidR="00C96DE0" w:rsidRDefault="00C96DE0" w:rsidP="00C96DE0">
      <w:pPr>
        <w:spacing w:line="360" w:lineRule="auto"/>
        <w:ind w:left="1049" w:hanging="1049"/>
        <w:jc w:val="both"/>
        <w:rPr>
          <w:rFonts w:ascii="Arial" w:hAnsi="Arial" w:cs="Arial"/>
          <w:b/>
        </w:rPr>
      </w:pPr>
      <w:r w:rsidRPr="00630EFD">
        <w:rPr>
          <w:rFonts w:ascii="Arial" w:hAnsi="Arial" w:cs="Arial"/>
          <w:b/>
        </w:rPr>
        <w:t xml:space="preserve">DATE: </w:t>
      </w:r>
      <w:r w:rsidRPr="00630EFD">
        <w:rPr>
          <w:rFonts w:ascii="Arial" w:hAnsi="Arial" w:cs="Arial"/>
          <w:b/>
        </w:rPr>
        <w:tab/>
      </w:r>
      <w:r w:rsidR="00FA3C03" w:rsidRPr="00630EFD">
        <w:rPr>
          <w:rFonts w:ascii="Arial" w:hAnsi="Arial" w:cs="Arial"/>
          <w:b/>
        </w:rPr>
        <w:tab/>
      </w:r>
      <w:r w:rsidR="00F10BB5">
        <w:rPr>
          <w:rFonts w:ascii="Arial" w:hAnsi="Arial" w:cs="Arial"/>
          <w:b/>
        </w:rPr>
        <w:t>27 November</w:t>
      </w:r>
      <w:r w:rsidR="00184BAC" w:rsidRPr="00630EFD">
        <w:rPr>
          <w:rFonts w:ascii="Arial" w:hAnsi="Arial" w:cs="Arial"/>
          <w:b/>
        </w:rPr>
        <w:t xml:space="preserve"> 2017</w:t>
      </w:r>
    </w:p>
    <w:p w:rsidR="00C96DE0" w:rsidRPr="00630EFD" w:rsidRDefault="00C96DE0" w:rsidP="00FA3C03">
      <w:pPr>
        <w:pBdr>
          <w:top w:val="single" w:sz="4" w:space="1" w:color="auto"/>
          <w:bottom w:val="single" w:sz="4" w:space="1" w:color="auto"/>
        </w:pBdr>
        <w:spacing w:line="360" w:lineRule="auto"/>
        <w:jc w:val="both"/>
        <w:rPr>
          <w:rFonts w:ascii="Arial" w:hAnsi="Arial" w:cs="Arial"/>
          <w:b/>
        </w:rPr>
      </w:pPr>
      <w:r w:rsidRPr="00630EFD">
        <w:rPr>
          <w:rFonts w:ascii="Arial" w:hAnsi="Arial" w:cs="Arial"/>
          <w:b/>
        </w:rPr>
        <w:t>SUBJECT:</w:t>
      </w:r>
      <w:r w:rsidRPr="00630EFD">
        <w:rPr>
          <w:rFonts w:ascii="Arial" w:hAnsi="Arial" w:cs="Arial"/>
          <w:b/>
        </w:rPr>
        <w:tab/>
      </w:r>
      <w:r w:rsidR="00FA3C03" w:rsidRPr="00630EFD">
        <w:rPr>
          <w:rFonts w:ascii="Arial" w:hAnsi="Arial" w:cs="Arial"/>
          <w:b/>
        </w:rPr>
        <w:t xml:space="preserve">Advice on the </w:t>
      </w:r>
      <w:r w:rsidR="00F10BB5">
        <w:rPr>
          <w:rFonts w:ascii="Arial" w:hAnsi="Arial" w:cs="Arial"/>
          <w:b/>
        </w:rPr>
        <w:t>letter from SARS Commissioner</w:t>
      </w:r>
    </w:p>
    <w:p w:rsidR="00593C2E" w:rsidRPr="00630EFD" w:rsidRDefault="00184BAC" w:rsidP="00C96DE0">
      <w:pPr>
        <w:spacing w:line="360" w:lineRule="auto"/>
        <w:jc w:val="both"/>
        <w:rPr>
          <w:rFonts w:ascii="Arial" w:hAnsi="Arial" w:cs="Arial"/>
          <w:b/>
        </w:rPr>
      </w:pPr>
      <w:r w:rsidRPr="00630EFD">
        <w:rPr>
          <w:rFonts w:ascii="Arial" w:hAnsi="Arial" w:cs="Arial"/>
          <w:b/>
        </w:rPr>
        <w:t>Purpose</w:t>
      </w:r>
    </w:p>
    <w:p w:rsidR="0026384F" w:rsidRPr="0030299A" w:rsidRDefault="00184BAC" w:rsidP="00F233B5">
      <w:pPr>
        <w:pStyle w:val="ListParagraph"/>
        <w:numPr>
          <w:ilvl w:val="0"/>
          <w:numId w:val="2"/>
        </w:numPr>
        <w:spacing w:line="360" w:lineRule="auto"/>
        <w:jc w:val="both"/>
        <w:rPr>
          <w:rFonts w:ascii="Arial" w:hAnsi="Arial" w:cs="Arial"/>
        </w:rPr>
      </w:pPr>
      <w:r w:rsidRPr="0030299A">
        <w:rPr>
          <w:rFonts w:ascii="Arial" w:hAnsi="Arial" w:cs="Arial"/>
        </w:rPr>
        <w:t>To advise the Standing Committee on Finance (SCo</w:t>
      </w:r>
      <w:r w:rsidR="00C17F9A" w:rsidRPr="0030299A">
        <w:rPr>
          <w:rFonts w:ascii="Arial" w:hAnsi="Arial" w:cs="Arial"/>
        </w:rPr>
        <w:t>F</w:t>
      </w:r>
      <w:r w:rsidR="0030299A">
        <w:rPr>
          <w:rFonts w:ascii="Arial" w:hAnsi="Arial" w:cs="Arial"/>
        </w:rPr>
        <w:t>) on the</w:t>
      </w:r>
      <w:r w:rsidR="0030299A" w:rsidRPr="0030299A">
        <w:rPr>
          <w:rFonts w:ascii="Arial" w:hAnsi="Arial" w:cs="Arial"/>
        </w:rPr>
        <w:t xml:space="preserve"> letter from SARS Commissioner</w:t>
      </w:r>
      <w:r w:rsidR="0030299A">
        <w:rPr>
          <w:rFonts w:ascii="Arial" w:hAnsi="Arial" w:cs="Arial"/>
        </w:rPr>
        <w:t xml:space="preserve">, Mr T Moyane, dated 15 November 2017. </w:t>
      </w:r>
    </w:p>
    <w:p w:rsidR="003A0A7C" w:rsidRPr="003A0A7C" w:rsidRDefault="00A95521" w:rsidP="003A0A7C">
      <w:pPr>
        <w:spacing w:line="360" w:lineRule="auto"/>
        <w:jc w:val="both"/>
        <w:rPr>
          <w:rFonts w:ascii="Arial" w:hAnsi="Arial" w:cs="Arial"/>
          <w:b/>
        </w:rPr>
      </w:pPr>
      <w:r w:rsidRPr="00630EFD">
        <w:rPr>
          <w:rFonts w:ascii="Arial" w:hAnsi="Arial" w:cs="Arial"/>
          <w:b/>
        </w:rPr>
        <w:t>Background</w:t>
      </w:r>
    </w:p>
    <w:p w:rsidR="00B868F5" w:rsidRDefault="0030299A" w:rsidP="0030299A">
      <w:pPr>
        <w:pStyle w:val="ListParagraph"/>
        <w:numPr>
          <w:ilvl w:val="0"/>
          <w:numId w:val="2"/>
        </w:numPr>
        <w:spacing w:line="360" w:lineRule="auto"/>
        <w:jc w:val="both"/>
        <w:rPr>
          <w:rFonts w:ascii="Arial" w:hAnsi="Arial" w:cs="Arial"/>
        </w:rPr>
      </w:pPr>
      <w:r w:rsidRPr="0030299A">
        <w:rPr>
          <w:rFonts w:ascii="Arial" w:hAnsi="Arial" w:cs="Arial"/>
        </w:rPr>
        <w:t>On 6 November 2017 the</w:t>
      </w:r>
      <w:r w:rsidR="00D3170E">
        <w:rPr>
          <w:rFonts w:ascii="Arial" w:hAnsi="Arial" w:cs="Arial"/>
        </w:rPr>
        <w:t xml:space="preserve"> Chairperson of</w:t>
      </w:r>
      <w:r w:rsidRPr="0030299A">
        <w:rPr>
          <w:rFonts w:ascii="Arial" w:hAnsi="Arial" w:cs="Arial"/>
        </w:rPr>
        <w:t xml:space="preserve"> SCoF requested the report on the disciplinary enquiry into Mr Jonas Makwakwa and Ms Kelly-Anne Elskie</w:t>
      </w:r>
      <w:r w:rsidR="00D3170E">
        <w:rPr>
          <w:rFonts w:ascii="Arial" w:hAnsi="Arial" w:cs="Arial"/>
        </w:rPr>
        <w:t xml:space="preserve"> from the Commissioner of SARS</w:t>
      </w:r>
      <w:r w:rsidR="00917842" w:rsidRPr="00917842">
        <w:rPr>
          <w:rFonts w:ascii="Arial" w:hAnsi="Arial" w:cs="Arial"/>
          <w:color w:val="000000" w:themeColor="text1"/>
        </w:rPr>
        <w:t xml:space="preserve">. </w:t>
      </w:r>
      <w:r w:rsidRPr="0030299A">
        <w:rPr>
          <w:rFonts w:ascii="Arial" w:hAnsi="Arial" w:cs="Arial"/>
        </w:rPr>
        <w:t>The letter was based on legal advice that section 56 of the Constitution authorises all committees of the National Assembly to summon any person to appear before it to produce documents</w:t>
      </w:r>
      <w:r w:rsidR="00B868F5">
        <w:rPr>
          <w:rFonts w:ascii="Arial" w:hAnsi="Arial" w:cs="Arial"/>
        </w:rPr>
        <w:t>.</w:t>
      </w:r>
      <w:r w:rsidR="009C6ABC">
        <w:rPr>
          <w:rFonts w:ascii="Arial" w:hAnsi="Arial" w:cs="Arial"/>
        </w:rPr>
        <w:t xml:space="preserve"> The request was copied to the Minister of Finance.</w:t>
      </w:r>
    </w:p>
    <w:p w:rsidR="00B868F5" w:rsidRDefault="0030299A" w:rsidP="00B868F5">
      <w:pPr>
        <w:pStyle w:val="ListParagraph"/>
        <w:rPr>
          <w:rFonts w:ascii="Arial" w:hAnsi="Arial" w:cs="Arial"/>
        </w:rPr>
      </w:pPr>
      <w:r w:rsidRPr="0030299A">
        <w:rPr>
          <w:rFonts w:ascii="Arial" w:hAnsi="Arial" w:cs="Arial"/>
        </w:rPr>
        <w:t xml:space="preserve"> </w:t>
      </w:r>
    </w:p>
    <w:p w:rsidR="00B868F5" w:rsidRDefault="0030299A" w:rsidP="0030299A">
      <w:pPr>
        <w:pStyle w:val="ListParagraph"/>
        <w:numPr>
          <w:ilvl w:val="0"/>
          <w:numId w:val="2"/>
        </w:numPr>
        <w:spacing w:line="360" w:lineRule="auto"/>
        <w:jc w:val="both"/>
        <w:rPr>
          <w:rFonts w:ascii="Arial" w:hAnsi="Arial" w:cs="Arial"/>
        </w:rPr>
      </w:pPr>
      <w:r w:rsidRPr="0030299A">
        <w:rPr>
          <w:rFonts w:ascii="Arial" w:hAnsi="Arial" w:cs="Arial"/>
        </w:rPr>
        <w:t xml:space="preserve">The request </w:t>
      </w:r>
      <w:r w:rsidR="00B868F5">
        <w:rPr>
          <w:rFonts w:ascii="Arial" w:hAnsi="Arial" w:cs="Arial"/>
        </w:rPr>
        <w:t xml:space="preserve">included the proviso that classified aspects of the report, if there are any, could be considered </w:t>
      </w:r>
      <w:r w:rsidRPr="0030299A">
        <w:rPr>
          <w:rFonts w:ascii="Arial" w:hAnsi="Arial" w:cs="Arial"/>
        </w:rPr>
        <w:t>in a closed meeting or deleted from the report</w:t>
      </w:r>
      <w:r w:rsidR="00B868F5">
        <w:rPr>
          <w:rFonts w:ascii="Arial" w:hAnsi="Arial" w:cs="Arial"/>
        </w:rPr>
        <w:t xml:space="preserve"> based on agreement between legal advisers from SARS and Parliament</w:t>
      </w:r>
      <w:r w:rsidRPr="0030299A">
        <w:rPr>
          <w:rFonts w:ascii="Arial" w:hAnsi="Arial" w:cs="Arial"/>
        </w:rPr>
        <w:t xml:space="preserve">. </w:t>
      </w:r>
    </w:p>
    <w:p w:rsidR="00B868F5" w:rsidRPr="00B868F5" w:rsidRDefault="00B868F5" w:rsidP="00B868F5">
      <w:pPr>
        <w:pStyle w:val="ListParagraph"/>
        <w:rPr>
          <w:rFonts w:ascii="Arial" w:hAnsi="Arial" w:cs="Arial"/>
        </w:rPr>
      </w:pPr>
    </w:p>
    <w:p w:rsidR="00B868F5" w:rsidRDefault="00B868F5" w:rsidP="0030299A">
      <w:pPr>
        <w:pStyle w:val="ListParagraph"/>
        <w:numPr>
          <w:ilvl w:val="0"/>
          <w:numId w:val="2"/>
        </w:numPr>
        <w:spacing w:line="360" w:lineRule="auto"/>
        <w:jc w:val="both"/>
        <w:rPr>
          <w:rFonts w:ascii="Arial" w:hAnsi="Arial" w:cs="Arial"/>
        </w:rPr>
      </w:pPr>
      <w:r>
        <w:rPr>
          <w:rFonts w:ascii="Arial" w:hAnsi="Arial" w:cs="Arial"/>
        </w:rPr>
        <w:t xml:space="preserve">The request also indicated that </w:t>
      </w:r>
      <w:r w:rsidR="00917842">
        <w:rPr>
          <w:rFonts w:ascii="Arial" w:hAnsi="Arial" w:cs="Arial"/>
        </w:rPr>
        <w:t xml:space="preserve">the Commissioner must provide </w:t>
      </w:r>
      <w:r>
        <w:rPr>
          <w:rFonts w:ascii="Arial" w:hAnsi="Arial" w:cs="Arial"/>
        </w:rPr>
        <w:t>legal reaso</w:t>
      </w:r>
      <w:r w:rsidRPr="00717C06">
        <w:rPr>
          <w:rFonts w:ascii="Arial" w:hAnsi="Arial" w:cs="Arial"/>
        </w:rPr>
        <w:t>n</w:t>
      </w:r>
      <w:r w:rsidR="00917842" w:rsidRPr="00717C06">
        <w:rPr>
          <w:rFonts w:ascii="Arial" w:hAnsi="Arial" w:cs="Arial"/>
        </w:rPr>
        <w:t>s</w:t>
      </w:r>
      <w:r>
        <w:rPr>
          <w:rFonts w:ascii="Arial" w:hAnsi="Arial" w:cs="Arial"/>
        </w:rPr>
        <w:t xml:space="preserve"> should he </w:t>
      </w:r>
      <w:r w:rsidR="0030299A" w:rsidRPr="0030299A">
        <w:rPr>
          <w:rFonts w:ascii="Arial" w:hAnsi="Arial" w:cs="Arial"/>
        </w:rPr>
        <w:t xml:space="preserve">decide not to make the report available to </w:t>
      </w:r>
      <w:r>
        <w:rPr>
          <w:rFonts w:ascii="Arial" w:hAnsi="Arial" w:cs="Arial"/>
        </w:rPr>
        <w:t xml:space="preserve">SCoF. </w:t>
      </w:r>
    </w:p>
    <w:p w:rsidR="00B868F5" w:rsidRPr="00B868F5" w:rsidRDefault="00B868F5" w:rsidP="00B868F5">
      <w:pPr>
        <w:pStyle w:val="ListParagraph"/>
        <w:rPr>
          <w:rFonts w:ascii="Arial" w:hAnsi="Arial" w:cs="Arial"/>
        </w:rPr>
      </w:pPr>
    </w:p>
    <w:p w:rsidR="0030299A" w:rsidRDefault="00B868F5" w:rsidP="00B868F5">
      <w:pPr>
        <w:pStyle w:val="ListParagraph"/>
        <w:numPr>
          <w:ilvl w:val="0"/>
          <w:numId w:val="2"/>
        </w:numPr>
        <w:spacing w:line="360" w:lineRule="auto"/>
        <w:jc w:val="both"/>
        <w:rPr>
          <w:rFonts w:ascii="Arial" w:hAnsi="Arial" w:cs="Arial"/>
        </w:rPr>
      </w:pPr>
      <w:r>
        <w:rPr>
          <w:rFonts w:ascii="Arial" w:hAnsi="Arial" w:cs="Arial"/>
        </w:rPr>
        <w:t xml:space="preserve">The Committee </w:t>
      </w:r>
      <w:r w:rsidR="0030299A" w:rsidRPr="0030299A">
        <w:rPr>
          <w:rFonts w:ascii="Arial" w:hAnsi="Arial" w:cs="Arial"/>
        </w:rPr>
        <w:t>also request</w:t>
      </w:r>
      <w:r>
        <w:rPr>
          <w:rFonts w:ascii="Arial" w:hAnsi="Arial" w:cs="Arial"/>
        </w:rPr>
        <w:t>ed</w:t>
      </w:r>
      <w:r w:rsidR="0030299A" w:rsidRPr="0030299A">
        <w:rPr>
          <w:rFonts w:ascii="Arial" w:hAnsi="Arial" w:cs="Arial"/>
        </w:rPr>
        <w:t xml:space="preserve"> the Hogan Lovells report on this matter. </w:t>
      </w:r>
    </w:p>
    <w:p w:rsidR="00B868F5" w:rsidRPr="00B868F5" w:rsidRDefault="00B868F5" w:rsidP="00B868F5">
      <w:pPr>
        <w:pStyle w:val="ListParagraph"/>
        <w:rPr>
          <w:rFonts w:ascii="Arial" w:hAnsi="Arial" w:cs="Arial"/>
        </w:rPr>
      </w:pPr>
    </w:p>
    <w:p w:rsidR="0030299A" w:rsidRPr="0030299A" w:rsidRDefault="00B868F5" w:rsidP="00B868F5">
      <w:pPr>
        <w:pStyle w:val="ListParagraph"/>
        <w:numPr>
          <w:ilvl w:val="0"/>
          <w:numId w:val="2"/>
        </w:numPr>
        <w:spacing w:line="360" w:lineRule="auto"/>
        <w:jc w:val="both"/>
        <w:rPr>
          <w:rFonts w:ascii="Arial" w:hAnsi="Arial" w:cs="Arial"/>
        </w:rPr>
      </w:pPr>
      <w:r>
        <w:rPr>
          <w:rFonts w:ascii="Arial" w:hAnsi="Arial" w:cs="Arial"/>
        </w:rPr>
        <w:t>On 10 November</w:t>
      </w:r>
      <w:r w:rsidR="00D3170E">
        <w:rPr>
          <w:rFonts w:ascii="Arial" w:hAnsi="Arial" w:cs="Arial"/>
        </w:rPr>
        <w:t>,</w:t>
      </w:r>
      <w:r>
        <w:rPr>
          <w:rFonts w:ascii="Arial" w:hAnsi="Arial" w:cs="Arial"/>
        </w:rPr>
        <w:t xml:space="preserve"> BizNews reported that the</w:t>
      </w:r>
      <w:r w:rsidR="0030299A" w:rsidRPr="0030299A">
        <w:rPr>
          <w:rFonts w:ascii="Arial" w:hAnsi="Arial" w:cs="Arial"/>
        </w:rPr>
        <w:t xml:space="preserve"> Hogan Lovells </w:t>
      </w:r>
      <w:r>
        <w:rPr>
          <w:rFonts w:ascii="Arial" w:hAnsi="Arial" w:cs="Arial"/>
        </w:rPr>
        <w:t xml:space="preserve">report </w:t>
      </w:r>
      <w:r w:rsidR="0030299A" w:rsidRPr="0030299A">
        <w:rPr>
          <w:rFonts w:ascii="Arial" w:hAnsi="Arial" w:cs="Arial"/>
        </w:rPr>
        <w:t xml:space="preserve">was limited to identifying whether any misconduct had been committed by </w:t>
      </w:r>
      <w:r>
        <w:rPr>
          <w:rFonts w:ascii="Arial" w:hAnsi="Arial" w:cs="Arial"/>
        </w:rPr>
        <w:t xml:space="preserve">Mr </w:t>
      </w:r>
      <w:r w:rsidR="0030299A" w:rsidRPr="0030299A">
        <w:rPr>
          <w:rFonts w:ascii="Arial" w:hAnsi="Arial" w:cs="Arial"/>
        </w:rPr>
        <w:t xml:space="preserve">Makwakwa and </w:t>
      </w:r>
      <w:r>
        <w:rPr>
          <w:rFonts w:ascii="Arial" w:hAnsi="Arial" w:cs="Arial"/>
        </w:rPr>
        <w:t xml:space="preserve">Ms </w:t>
      </w:r>
      <w:r w:rsidR="0030299A" w:rsidRPr="0030299A">
        <w:rPr>
          <w:rFonts w:ascii="Arial" w:hAnsi="Arial" w:cs="Arial"/>
        </w:rPr>
        <w:t>Elskie as employees of SARS.</w:t>
      </w:r>
      <w:r>
        <w:rPr>
          <w:rStyle w:val="FootnoteReference"/>
          <w:rFonts w:ascii="Arial" w:hAnsi="Arial" w:cs="Arial"/>
        </w:rPr>
        <w:footnoteReference w:id="1"/>
      </w:r>
      <w:r w:rsidR="0030299A" w:rsidRPr="0030299A">
        <w:rPr>
          <w:rFonts w:ascii="Arial" w:hAnsi="Arial" w:cs="Arial"/>
        </w:rPr>
        <w:t xml:space="preserve"> </w:t>
      </w:r>
      <w:r>
        <w:rPr>
          <w:rFonts w:ascii="Arial" w:hAnsi="Arial" w:cs="Arial"/>
        </w:rPr>
        <w:t xml:space="preserve">According to the article, the Hogan Lovells report </w:t>
      </w:r>
      <w:r w:rsidR="0030299A" w:rsidRPr="0030299A">
        <w:rPr>
          <w:rFonts w:ascii="Arial" w:hAnsi="Arial" w:cs="Arial"/>
        </w:rPr>
        <w:t xml:space="preserve">did not seek to </w:t>
      </w:r>
      <w:r w:rsidR="00D3170E">
        <w:rPr>
          <w:rFonts w:ascii="Arial" w:hAnsi="Arial" w:cs="Arial"/>
        </w:rPr>
        <w:t>“</w:t>
      </w:r>
      <w:r w:rsidR="0030299A" w:rsidRPr="0030299A">
        <w:rPr>
          <w:rFonts w:ascii="Arial" w:hAnsi="Arial" w:cs="Arial"/>
        </w:rPr>
        <w:t>directly investigate the financial transactions identified</w:t>
      </w:r>
      <w:r w:rsidR="00D3170E">
        <w:rPr>
          <w:rFonts w:ascii="Arial" w:hAnsi="Arial" w:cs="Arial"/>
        </w:rPr>
        <w:t>”</w:t>
      </w:r>
      <w:r w:rsidR="0030299A" w:rsidRPr="0030299A">
        <w:rPr>
          <w:rFonts w:ascii="Arial" w:hAnsi="Arial" w:cs="Arial"/>
        </w:rPr>
        <w:t xml:space="preserve"> by the F</w:t>
      </w:r>
      <w:r w:rsidR="00D3170E">
        <w:rPr>
          <w:rFonts w:ascii="Arial" w:hAnsi="Arial" w:cs="Arial"/>
        </w:rPr>
        <w:t xml:space="preserve">inancial </w:t>
      </w:r>
      <w:r w:rsidR="0030299A" w:rsidRPr="0030299A">
        <w:rPr>
          <w:rFonts w:ascii="Arial" w:hAnsi="Arial" w:cs="Arial"/>
        </w:rPr>
        <w:t>I</w:t>
      </w:r>
      <w:r w:rsidR="00D3170E">
        <w:rPr>
          <w:rFonts w:ascii="Arial" w:hAnsi="Arial" w:cs="Arial"/>
        </w:rPr>
        <w:t xml:space="preserve">ntelligence </w:t>
      </w:r>
      <w:r w:rsidR="0030299A" w:rsidRPr="0030299A">
        <w:rPr>
          <w:rFonts w:ascii="Arial" w:hAnsi="Arial" w:cs="Arial"/>
        </w:rPr>
        <w:t>C</w:t>
      </w:r>
      <w:r w:rsidR="00D3170E">
        <w:rPr>
          <w:rFonts w:ascii="Arial" w:hAnsi="Arial" w:cs="Arial"/>
        </w:rPr>
        <w:t>entre (FIC) and that “</w:t>
      </w:r>
      <w:r w:rsidR="0030299A" w:rsidRPr="0030299A">
        <w:rPr>
          <w:rFonts w:ascii="Arial" w:hAnsi="Arial" w:cs="Arial"/>
        </w:rPr>
        <w:t>all criminal related allegations arising from the FIC report were referred to the relevant authorities for investigation.</w:t>
      </w:r>
      <w:r w:rsidR="00D3170E">
        <w:rPr>
          <w:rFonts w:ascii="Arial" w:hAnsi="Arial" w:cs="Arial"/>
        </w:rPr>
        <w:t>”</w:t>
      </w:r>
    </w:p>
    <w:p w:rsidR="0030299A" w:rsidRPr="0030299A" w:rsidRDefault="0030299A" w:rsidP="0030299A">
      <w:pPr>
        <w:pStyle w:val="ListParagraph"/>
        <w:spacing w:line="360" w:lineRule="auto"/>
        <w:ind w:left="360"/>
        <w:jc w:val="both"/>
        <w:rPr>
          <w:rFonts w:ascii="Arial" w:hAnsi="Arial" w:cs="Arial"/>
        </w:rPr>
      </w:pPr>
    </w:p>
    <w:p w:rsidR="0030299A" w:rsidRDefault="00D3170E" w:rsidP="00D3170E">
      <w:pPr>
        <w:pStyle w:val="ListParagraph"/>
        <w:numPr>
          <w:ilvl w:val="0"/>
          <w:numId w:val="2"/>
        </w:numPr>
        <w:spacing w:line="360" w:lineRule="auto"/>
        <w:jc w:val="both"/>
        <w:rPr>
          <w:rFonts w:ascii="Arial" w:hAnsi="Arial" w:cs="Arial"/>
        </w:rPr>
      </w:pPr>
      <w:r>
        <w:rPr>
          <w:rFonts w:ascii="Arial" w:hAnsi="Arial" w:cs="Arial"/>
        </w:rPr>
        <w:t>The BizNews article indicated that the</w:t>
      </w:r>
      <w:r w:rsidR="0030299A" w:rsidRPr="0030299A">
        <w:rPr>
          <w:rFonts w:ascii="Arial" w:hAnsi="Arial" w:cs="Arial"/>
        </w:rPr>
        <w:t xml:space="preserve"> Hogan Lovells </w:t>
      </w:r>
      <w:r>
        <w:rPr>
          <w:rFonts w:ascii="Arial" w:hAnsi="Arial" w:cs="Arial"/>
        </w:rPr>
        <w:t>report</w:t>
      </w:r>
      <w:r w:rsidR="0030299A" w:rsidRPr="0030299A">
        <w:rPr>
          <w:rFonts w:ascii="Arial" w:hAnsi="Arial" w:cs="Arial"/>
        </w:rPr>
        <w:t xml:space="preserve"> </w:t>
      </w:r>
      <w:r>
        <w:rPr>
          <w:rFonts w:ascii="Arial" w:hAnsi="Arial" w:cs="Arial"/>
        </w:rPr>
        <w:t xml:space="preserve">recommended that </w:t>
      </w:r>
      <w:r w:rsidR="0030299A" w:rsidRPr="0030299A">
        <w:rPr>
          <w:rFonts w:ascii="Arial" w:hAnsi="Arial" w:cs="Arial"/>
        </w:rPr>
        <w:t xml:space="preserve">disciplinary action should be taken against </w:t>
      </w:r>
      <w:r>
        <w:rPr>
          <w:rFonts w:ascii="Arial" w:hAnsi="Arial" w:cs="Arial"/>
        </w:rPr>
        <w:t xml:space="preserve">Mr </w:t>
      </w:r>
      <w:r w:rsidR="0030299A" w:rsidRPr="0030299A">
        <w:rPr>
          <w:rFonts w:ascii="Arial" w:hAnsi="Arial" w:cs="Arial"/>
        </w:rPr>
        <w:t>Makwakwa for non-disclosure of external interests</w:t>
      </w:r>
      <w:r>
        <w:rPr>
          <w:rFonts w:ascii="Arial" w:hAnsi="Arial" w:cs="Arial"/>
        </w:rPr>
        <w:t xml:space="preserve"> and that n</w:t>
      </w:r>
      <w:r w:rsidR="0030299A" w:rsidRPr="0030299A">
        <w:rPr>
          <w:rFonts w:ascii="Arial" w:hAnsi="Arial" w:cs="Arial"/>
        </w:rPr>
        <w:t xml:space="preserve">o action was recommended against </w:t>
      </w:r>
      <w:r>
        <w:rPr>
          <w:rFonts w:ascii="Arial" w:hAnsi="Arial" w:cs="Arial"/>
        </w:rPr>
        <w:t xml:space="preserve">Ms </w:t>
      </w:r>
      <w:r w:rsidR="0030299A" w:rsidRPr="0030299A">
        <w:rPr>
          <w:rFonts w:ascii="Arial" w:hAnsi="Arial" w:cs="Arial"/>
        </w:rPr>
        <w:t xml:space="preserve">Elskie. </w:t>
      </w:r>
      <w:r>
        <w:rPr>
          <w:rFonts w:ascii="Arial" w:hAnsi="Arial" w:cs="Arial"/>
        </w:rPr>
        <w:t>“</w:t>
      </w:r>
      <w:r w:rsidR="0030299A" w:rsidRPr="0030299A">
        <w:rPr>
          <w:rFonts w:ascii="Arial" w:hAnsi="Arial" w:cs="Arial"/>
        </w:rPr>
        <w:t>SARS subsequently followed its own internal disciplinary procedures which included charges relating to Makwakwa’s breach of his suspension conditions and the failure to disclose. A hearing was convened and chaired by an independent senior counsel, Advocate Terry Motau SC. The findings of that internal enquiry acquitted Makwakwa of all charges.</w:t>
      </w:r>
      <w:r>
        <w:rPr>
          <w:rFonts w:ascii="Arial" w:hAnsi="Arial" w:cs="Arial"/>
        </w:rPr>
        <w:t>”</w:t>
      </w:r>
    </w:p>
    <w:p w:rsidR="00435305" w:rsidRPr="00435305" w:rsidRDefault="00435305" w:rsidP="00471B63">
      <w:pPr>
        <w:pStyle w:val="ListParagraph"/>
        <w:rPr>
          <w:rFonts w:ascii="Arial" w:hAnsi="Arial" w:cs="Arial"/>
        </w:rPr>
      </w:pPr>
    </w:p>
    <w:p w:rsidR="00865FAA" w:rsidRPr="00865FAA" w:rsidRDefault="00865FAA" w:rsidP="00865FAA">
      <w:pPr>
        <w:pStyle w:val="ListParagraph"/>
        <w:numPr>
          <w:ilvl w:val="0"/>
          <w:numId w:val="2"/>
        </w:numPr>
        <w:spacing w:line="360" w:lineRule="auto"/>
        <w:jc w:val="both"/>
        <w:rPr>
          <w:rFonts w:ascii="Arial" w:hAnsi="Arial" w:cs="Arial"/>
        </w:rPr>
      </w:pPr>
      <w:r w:rsidRPr="00865FAA">
        <w:rPr>
          <w:rFonts w:ascii="Arial" w:hAnsi="Arial" w:cs="Arial"/>
        </w:rPr>
        <w:t>Articles in the Daily Maverick (Pauli van Wyk, 21 November 2017) and Business Day (Linda Ensor &amp; Natasha Ma</w:t>
      </w:r>
      <w:r w:rsidR="00717C06">
        <w:rPr>
          <w:rFonts w:ascii="Arial" w:hAnsi="Arial" w:cs="Arial"/>
        </w:rPr>
        <w:t>rian, 23 November 2017) confirm</w:t>
      </w:r>
      <w:bookmarkStart w:id="0" w:name="_GoBack"/>
      <w:bookmarkEnd w:id="0"/>
      <w:r w:rsidRPr="00865FAA">
        <w:rPr>
          <w:rFonts w:ascii="Arial" w:hAnsi="Arial" w:cs="Arial"/>
        </w:rPr>
        <w:t xml:space="preserve"> the limited brief of Hogan Lovells, although the reason for the terms of reference appears to be an attempt not to consider the FIC report and the consequent PwC Report on it due to taxpayer confidentiality. </w:t>
      </w:r>
    </w:p>
    <w:p w:rsidR="00865FAA" w:rsidRPr="00865FAA" w:rsidRDefault="00865FAA" w:rsidP="00865FAA">
      <w:pPr>
        <w:pStyle w:val="ListParagraph"/>
        <w:rPr>
          <w:rFonts w:ascii="Arial" w:hAnsi="Arial" w:cs="Arial"/>
        </w:rPr>
      </w:pPr>
    </w:p>
    <w:p w:rsidR="00532D34" w:rsidRDefault="00D3170E" w:rsidP="00D3170E">
      <w:pPr>
        <w:pStyle w:val="ListParagraph"/>
        <w:numPr>
          <w:ilvl w:val="0"/>
          <w:numId w:val="2"/>
        </w:numPr>
        <w:spacing w:line="360" w:lineRule="auto"/>
        <w:jc w:val="both"/>
        <w:rPr>
          <w:rFonts w:ascii="Arial" w:hAnsi="Arial" w:cs="Arial"/>
        </w:rPr>
      </w:pPr>
      <w:r>
        <w:rPr>
          <w:rFonts w:ascii="Arial" w:hAnsi="Arial" w:cs="Arial"/>
        </w:rPr>
        <w:t>On 15 November 2017 the Commissioner responded to the</w:t>
      </w:r>
      <w:r w:rsidR="004B5BBC">
        <w:rPr>
          <w:rFonts w:ascii="Arial" w:hAnsi="Arial" w:cs="Arial"/>
        </w:rPr>
        <w:t xml:space="preserve"> Chairperson of SCoF, indicating that he was willing to release the report on the disciplinary enquiry and the Hogan Lovells report. </w:t>
      </w:r>
      <w:r w:rsidR="00455D23">
        <w:rPr>
          <w:rFonts w:ascii="Arial" w:hAnsi="Arial" w:cs="Arial"/>
        </w:rPr>
        <w:t xml:space="preserve">However, the response indicated that due to the provisions of the Financial Intelligence </w:t>
      </w:r>
      <w:r w:rsidR="00A84E8C">
        <w:rPr>
          <w:rFonts w:ascii="Arial" w:hAnsi="Arial" w:cs="Arial"/>
        </w:rPr>
        <w:t xml:space="preserve">Centre </w:t>
      </w:r>
      <w:r w:rsidR="00455D23">
        <w:rPr>
          <w:rFonts w:ascii="Arial" w:hAnsi="Arial" w:cs="Arial"/>
        </w:rPr>
        <w:t>Act, legal representatives from SARS, Parliament, Treasury and the FIC should meet to agree on briefing a Senior Counsel or the permissibility of disclosing the reports. The response indicated that the legal argument presented in the request for the said repor</w:t>
      </w:r>
      <w:r w:rsidR="005366B8">
        <w:rPr>
          <w:rFonts w:ascii="Arial" w:hAnsi="Arial" w:cs="Arial"/>
        </w:rPr>
        <w:t>ts is</w:t>
      </w:r>
      <w:r w:rsidR="00455D23">
        <w:rPr>
          <w:rFonts w:ascii="Arial" w:hAnsi="Arial" w:cs="Arial"/>
        </w:rPr>
        <w:t xml:space="preserve"> legally flawed.  </w:t>
      </w:r>
    </w:p>
    <w:p w:rsidR="00532D34" w:rsidRPr="00532D34" w:rsidRDefault="00532D34" w:rsidP="00532D34">
      <w:pPr>
        <w:pStyle w:val="ListParagraph"/>
        <w:rPr>
          <w:rFonts w:ascii="Arial" w:hAnsi="Arial" w:cs="Arial"/>
        </w:rPr>
      </w:pPr>
    </w:p>
    <w:p w:rsidR="006F52A1" w:rsidRDefault="00532D34" w:rsidP="006F52A1">
      <w:pPr>
        <w:pStyle w:val="ListParagraph"/>
        <w:numPr>
          <w:ilvl w:val="0"/>
          <w:numId w:val="2"/>
        </w:numPr>
        <w:spacing w:line="360" w:lineRule="auto"/>
        <w:jc w:val="both"/>
        <w:rPr>
          <w:rFonts w:ascii="Arial" w:hAnsi="Arial" w:cs="Arial"/>
        </w:rPr>
      </w:pPr>
      <w:r>
        <w:rPr>
          <w:rFonts w:ascii="Arial" w:hAnsi="Arial" w:cs="Arial"/>
        </w:rPr>
        <w:t>The response referred to the “Financial Intelligence Act and its dictates, especially around the disclosure of South African citizens’ personal information arising from the FIC suspicious report.” The Commissioner’s response further referred to the criminal complaint laid by Corruption Watch against him for his disclosure of the FIC report to Mr Makwakwa for the purpose of the disciplinary process against the latter.</w:t>
      </w:r>
    </w:p>
    <w:p w:rsidR="006F52A1" w:rsidRPr="006F52A1" w:rsidRDefault="006F52A1" w:rsidP="00A84E8C">
      <w:pPr>
        <w:pStyle w:val="ListParagraph"/>
        <w:spacing w:line="360" w:lineRule="auto"/>
        <w:ind w:left="360"/>
        <w:jc w:val="both"/>
        <w:rPr>
          <w:rFonts w:ascii="Arial" w:hAnsi="Arial" w:cs="Arial"/>
        </w:rPr>
      </w:pPr>
    </w:p>
    <w:p w:rsidR="006F52A1" w:rsidRDefault="006F52A1" w:rsidP="006F52A1">
      <w:pPr>
        <w:pStyle w:val="ListParagraph"/>
        <w:numPr>
          <w:ilvl w:val="0"/>
          <w:numId w:val="2"/>
        </w:numPr>
        <w:spacing w:line="360" w:lineRule="auto"/>
        <w:jc w:val="both"/>
        <w:rPr>
          <w:rFonts w:ascii="Arial" w:hAnsi="Arial" w:cs="Arial"/>
        </w:rPr>
      </w:pPr>
      <w:r w:rsidRPr="00A84E8C">
        <w:rPr>
          <w:rFonts w:ascii="Arial" w:hAnsi="Arial" w:cs="Arial"/>
        </w:rPr>
        <w:t xml:space="preserve">The Chairperson responded to the SARS Commissioner on 24 November saying the matter had been referred to Parliament’s Legal Services Unit and requested </w:t>
      </w:r>
      <w:r w:rsidRPr="006F52A1">
        <w:rPr>
          <w:rFonts w:ascii="Arial" w:hAnsi="Arial" w:cs="Arial"/>
        </w:rPr>
        <w:t xml:space="preserve">a copy of the Terms of Reference of the Disciplinary Enquiry and the PWC Report which it is said in the media is linked to this matter. </w:t>
      </w:r>
    </w:p>
    <w:p w:rsidR="003307C1" w:rsidRDefault="003307C1" w:rsidP="00AA04D3">
      <w:pPr>
        <w:spacing w:line="360" w:lineRule="auto"/>
        <w:jc w:val="both"/>
        <w:rPr>
          <w:rFonts w:ascii="Arial" w:hAnsi="Arial" w:cs="Arial"/>
        </w:rPr>
      </w:pPr>
    </w:p>
    <w:p w:rsidR="00D17659" w:rsidRDefault="00D17659" w:rsidP="00AA04D3">
      <w:pPr>
        <w:spacing w:line="360" w:lineRule="auto"/>
        <w:jc w:val="both"/>
        <w:rPr>
          <w:rFonts w:ascii="Arial" w:hAnsi="Arial" w:cs="Arial"/>
          <w:b/>
        </w:rPr>
      </w:pPr>
    </w:p>
    <w:p w:rsidR="00D17659" w:rsidRDefault="00D17659" w:rsidP="00AA04D3">
      <w:pPr>
        <w:spacing w:line="360" w:lineRule="auto"/>
        <w:jc w:val="both"/>
        <w:rPr>
          <w:rFonts w:ascii="Arial" w:hAnsi="Arial" w:cs="Arial"/>
          <w:b/>
        </w:rPr>
      </w:pPr>
    </w:p>
    <w:p w:rsidR="00AA04D3" w:rsidRPr="00AA04D3" w:rsidRDefault="00C15390" w:rsidP="00AA04D3">
      <w:pPr>
        <w:spacing w:line="360" w:lineRule="auto"/>
        <w:jc w:val="both"/>
        <w:rPr>
          <w:rFonts w:ascii="Arial" w:hAnsi="Arial" w:cs="Arial"/>
          <w:b/>
        </w:rPr>
      </w:pPr>
      <w:r>
        <w:rPr>
          <w:rFonts w:ascii="Arial" w:hAnsi="Arial" w:cs="Arial"/>
          <w:b/>
        </w:rPr>
        <w:lastRenderedPageBreak/>
        <w:t>Regulatory framework</w:t>
      </w:r>
    </w:p>
    <w:p w:rsidR="00300E19" w:rsidRDefault="00DF505E" w:rsidP="00090990">
      <w:pPr>
        <w:pStyle w:val="ListParagraph"/>
        <w:numPr>
          <w:ilvl w:val="0"/>
          <w:numId w:val="2"/>
        </w:numPr>
        <w:spacing w:line="360" w:lineRule="auto"/>
        <w:jc w:val="both"/>
        <w:rPr>
          <w:rFonts w:ascii="Arial" w:hAnsi="Arial" w:cs="Arial"/>
        </w:rPr>
      </w:pPr>
      <w:r>
        <w:rPr>
          <w:rFonts w:ascii="Arial" w:hAnsi="Arial" w:cs="Arial"/>
        </w:rPr>
        <w:t xml:space="preserve">The crisp issue is whether </w:t>
      </w:r>
      <w:r w:rsidR="00300E19">
        <w:rPr>
          <w:rFonts w:ascii="Arial" w:hAnsi="Arial" w:cs="Arial"/>
        </w:rPr>
        <w:t xml:space="preserve">the </w:t>
      </w:r>
      <w:r w:rsidR="00532D34">
        <w:rPr>
          <w:rFonts w:ascii="Arial" w:hAnsi="Arial" w:cs="Arial"/>
        </w:rPr>
        <w:t>Financial Intelligence Centre Act No. 38 of 2001</w:t>
      </w:r>
      <w:r w:rsidR="00300E19">
        <w:rPr>
          <w:rFonts w:ascii="Arial" w:hAnsi="Arial" w:cs="Arial"/>
        </w:rPr>
        <w:t xml:space="preserve"> prohibits the C</w:t>
      </w:r>
      <w:r w:rsidR="00D22341">
        <w:rPr>
          <w:rFonts w:ascii="Arial" w:hAnsi="Arial" w:cs="Arial"/>
        </w:rPr>
        <w:t>ommissioner from disclosing the</w:t>
      </w:r>
      <w:r w:rsidR="00300E19">
        <w:rPr>
          <w:rFonts w:ascii="Arial" w:hAnsi="Arial" w:cs="Arial"/>
        </w:rPr>
        <w:t xml:space="preserve"> report on the disciplinary enquiry and the Hogan Lovells report.</w:t>
      </w:r>
    </w:p>
    <w:p w:rsidR="00300E19" w:rsidRDefault="00300E19" w:rsidP="00300E19">
      <w:pPr>
        <w:pStyle w:val="ListParagraph"/>
        <w:spacing w:line="360" w:lineRule="auto"/>
        <w:ind w:left="360"/>
        <w:jc w:val="both"/>
        <w:rPr>
          <w:rFonts w:ascii="Arial" w:hAnsi="Arial" w:cs="Arial"/>
        </w:rPr>
      </w:pPr>
    </w:p>
    <w:p w:rsidR="00300E19" w:rsidRDefault="00300E19" w:rsidP="00090990">
      <w:pPr>
        <w:pStyle w:val="ListParagraph"/>
        <w:numPr>
          <w:ilvl w:val="0"/>
          <w:numId w:val="2"/>
        </w:numPr>
        <w:spacing w:line="360" w:lineRule="auto"/>
        <w:jc w:val="both"/>
        <w:rPr>
          <w:rFonts w:ascii="Arial" w:hAnsi="Arial" w:cs="Arial"/>
        </w:rPr>
      </w:pPr>
      <w:r>
        <w:rPr>
          <w:rFonts w:ascii="Arial" w:hAnsi="Arial" w:cs="Arial"/>
        </w:rPr>
        <w:t xml:space="preserve">At the outset it appears from the media that the Hogan Lovells report did not deal with the issues raised by the FIC concerning payments received by Mr </w:t>
      </w:r>
      <w:r w:rsidRPr="0030299A">
        <w:rPr>
          <w:rFonts w:ascii="Arial" w:hAnsi="Arial" w:cs="Arial"/>
        </w:rPr>
        <w:t>Makwakwa</w:t>
      </w:r>
      <w:r>
        <w:rPr>
          <w:rFonts w:ascii="Arial" w:hAnsi="Arial" w:cs="Arial"/>
        </w:rPr>
        <w:t xml:space="preserve">  and Ms </w:t>
      </w:r>
      <w:r w:rsidRPr="0030299A">
        <w:rPr>
          <w:rFonts w:ascii="Arial" w:hAnsi="Arial" w:cs="Arial"/>
        </w:rPr>
        <w:t>Elskie</w:t>
      </w:r>
      <w:r>
        <w:rPr>
          <w:rFonts w:ascii="Arial" w:hAnsi="Arial" w:cs="Arial"/>
        </w:rPr>
        <w:t xml:space="preserve">. It further appears that the disciplinary enquiry did not deal with these issues either. </w:t>
      </w:r>
    </w:p>
    <w:p w:rsidR="00300E19" w:rsidRPr="00300E19" w:rsidRDefault="00300E19" w:rsidP="00300E19">
      <w:pPr>
        <w:pStyle w:val="ListParagraph"/>
        <w:rPr>
          <w:rFonts w:ascii="Arial" w:hAnsi="Arial" w:cs="Arial"/>
        </w:rPr>
      </w:pPr>
    </w:p>
    <w:p w:rsidR="00FF56F0" w:rsidRDefault="00300E19" w:rsidP="00090990">
      <w:pPr>
        <w:pStyle w:val="ListParagraph"/>
        <w:numPr>
          <w:ilvl w:val="0"/>
          <w:numId w:val="2"/>
        </w:numPr>
        <w:spacing w:line="360" w:lineRule="auto"/>
        <w:jc w:val="both"/>
        <w:rPr>
          <w:rFonts w:ascii="Arial" w:hAnsi="Arial" w:cs="Arial"/>
        </w:rPr>
      </w:pPr>
      <w:r>
        <w:rPr>
          <w:rFonts w:ascii="Arial" w:hAnsi="Arial" w:cs="Arial"/>
        </w:rPr>
        <w:t xml:space="preserve">Be that as it may, the Commissioner is alleged to have supplied the report from the FIC to Mr Makwakwa for the purpose of the disciplinary enquiry. </w:t>
      </w:r>
    </w:p>
    <w:p w:rsidR="00A01EC6" w:rsidRPr="003307C1" w:rsidRDefault="00A01EC6" w:rsidP="003307C1">
      <w:pPr>
        <w:rPr>
          <w:rFonts w:ascii="Arial" w:hAnsi="Arial" w:cs="Arial"/>
        </w:rPr>
      </w:pPr>
    </w:p>
    <w:p w:rsidR="00676AE2" w:rsidRDefault="00676AE2" w:rsidP="00676AE2">
      <w:pPr>
        <w:pStyle w:val="ListParagraph"/>
        <w:numPr>
          <w:ilvl w:val="0"/>
          <w:numId w:val="2"/>
        </w:numPr>
        <w:spacing w:line="360" w:lineRule="auto"/>
        <w:jc w:val="both"/>
        <w:rPr>
          <w:rFonts w:ascii="Arial" w:hAnsi="Arial" w:cs="Arial"/>
        </w:rPr>
      </w:pPr>
      <w:r w:rsidRPr="00676AE2">
        <w:rPr>
          <w:rFonts w:ascii="Arial" w:hAnsi="Arial" w:cs="Arial"/>
        </w:rPr>
        <w:t xml:space="preserve">Section 29(4) provides as follows: </w:t>
      </w:r>
    </w:p>
    <w:p w:rsidR="00A01EC6" w:rsidRPr="00676AE2" w:rsidRDefault="00A01EC6" w:rsidP="00676AE2">
      <w:pPr>
        <w:spacing w:line="360" w:lineRule="auto"/>
        <w:ind w:left="720"/>
        <w:jc w:val="both"/>
        <w:rPr>
          <w:rFonts w:ascii="Arial" w:hAnsi="Arial" w:cs="Arial"/>
          <w:i/>
        </w:rPr>
      </w:pPr>
      <w:r w:rsidRPr="00676AE2">
        <w:rPr>
          <w:rFonts w:ascii="Arial" w:hAnsi="Arial" w:cs="Arial"/>
          <w:i/>
        </w:rPr>
        <w:t>(4)  No person who knows or suspects that a report has been or is to be made in terms of this section may disclose that knowledge or suspicion or any information regarding the contents or suspected contents of any such report to any other person, including the person in respect of whom the report is or is to be made, otherwise than—</w:t>
      </w:r>
    </w:p>
    <w:p w:rsidR="00A01EC6" w:rsidRPr="00676AE2" w:rsidRDefault="00A01EC6" w:rsidP="00676AE2">
      <w:pPr>
        <w:spacing w:line="360" w:lineRule="auto"/>
        <w:ind w:left="1440"/>
        <w:jc w:val="both"/>
        <w:rPr>
          <w:rFonts w:ascii="Arial" w:hAnsi="Arial" w:cs="Arial"/>
          <w:i/>
        </w:rPr>
      </w:pPr>
      <w:r w:rsidRPr="00676AE2">
        <w:rPr>
          <w:rFonts w:ascii="Arial" w:hAnsi="Arial" w:cs="Arial"/>
          <w:i/>
        </w:rPr>
        <w:t>(a) within the scope of that person’s powers and duties in terms of any legislation;</w:t>
      </w:r>
    </w:p>
    <w:p w:rsidR="00A01EC6" w:rsidRPr="00676AE2" w:rsidRDefault="00A01EC6" w:rsidP="00676AE2">
      <w:pPr>
        <w:spacing w:line="360" w:lineRule="auto"/>
        <w:ind w:left="1440"/>
        <w:jc w:val="both"/>
        <w:rPr>
          <w:rFonts w:ascii="Arial" w:hAnsi="Arial" w:cs="Arial"/>
          <w:i/>
        </w:rPr>
      </w:pPr>
      <w:r w:rsidRPr="00676AE2">
        <w:rPr>
          <w:rFonts w:ascii="Arial" w:hAnsi="Arial" w:cs="Arial"/>
          <w:i/>
        </w:rPr>
        <w:t>(b) for the purpose of carrying out the provisions of this Act;</w:t>
      </w:r>
    </w:p>
    <w:p w:rsidR="00A01EC6" w:rsidRPr="00676AE2" w:rsidRDefault="00A01EC6" w:rsidP="00676AE2">
      <w:pPr>
        <w:spacing w:line="360" w:lineRule="auto"/>
        <w:ind w:left="1440"/>
        <w:jc w:val="both"/>
        <w:rPr>
          <w:rFonts w:ascii="Arial" w:hAnsi="Arial" w:cs="Arial"/>
          <w:i/>
        </w:rPr>
      </w:pPr>
      <w:r w:rsidRPr="00676AE2">
        <w:rPr>
          <w:rFonts w:ascii="Arial" w:hAnsi="Arial" w:cs="Arial"/>
          <w:i/>
        </w:rPr>
        <w:t>(c) for the purpose of legal proceedings, including any proceedings before a judge in chambers; or</w:t>
      </w:r>
    </w:p>
    <w:p w:rsidR="00A01EC6" w:rsidRPr="00676AE2" w:rsidRDefault="00A01EC6" w:rsidP="00676AE2">
      <w:pPr>
        <w:spacing w:line="360" w:lineRule="auto"/>
        <w:ind w:left="1440"/>
        <w:jc w:val="both"/>
        <w:rPr>
          <w:rFonts w:ascii="Arial" w:hAnsi="Arial" w:cs="Arial"/>
          <w:i/>
        </w:rPr>
      </w:pPr>
      <w:r w:rsidRPr="00676AE2">
        <w:rPr>
          <w:rFonts w:ascii="Arial" w:hAnsi="Arial" w:cs="Arial"/>
          <w:i/>
        </w:rPr>
        <w:t xml:space="preserve">(d) in terms of an order of court. </w:t>
      </w:r>
    </w:p>
    <w:p w:rsidR="00A01EC6" w:rsidRPr="00A01EC6" w:rsidRDefault="00A01EC6" w:rsidP="00A01EC6">
      <w:pPr>
        <w:pStyle w:val="ListParagraph"/>
        <w:rPr>
          <w:rFonts w:ascii="Arial" w:hAnsi="Arial" w:cs="Arial"/>
        </w:rPr>
      </w:pPr>
    </w:p>
    <w:p w:rsidR="000B2092" w:rsidRDefault="00532D34" w:rsidP="00090990">
      <w:pPr>
        <w:pStyle w:val="ListParagraph"/>
        <w:numPr>
          <w:ilvl w:val="0"/>
          <w:numId w:val="2"/>
        </w:numPr>
        <w:spacing w:line="360" w:lineRule="auto"/>
        <w:jc w:val="both"/>
        <w:rPr>
          <w:rFonts w:ascii="Arial" w:hAnsi="Arial" w:cs="Arial"/>
        </w:rPr>
      </w:pPr>
      <w:r>
        <w:rPr>
          <w:rFonts w:ascii="Arial" w:hAnsi="Arial" w:cs="Arial"/>
        </w:rPr>
        <w:t xml:space="preserve"> </w:t>
      </w:r>
      <w:r w:rsidR="000B2092">
        <w:rPr>
          <w:rFonts w:ascii="Arial" w:hAnsi="Arial" w:cs="Arial"/>
        </w:rPr>
        <w:t>Subsections (1) and (2) of section 60 provide as follows:</w:t>
      </w:r>
    </w:p>
    <w:p w:rsidR="000B2092" w:rsidRDefault="000B2092" w:rsidP="000B2092">
      <w:pPr>
        <w:pStyle w:val="ListParagraph"/>
        <w:spacing w:line="360" w:lineRule="auto"/>
        <w:ind w:left="360"/>
        <w:jc w:val="both"/>
        <w:rPr>
          <w:rFonts w:ascii="Arial" w:hAnsi="Arial" w:cs="Arial"/>
        </w:rPr>
      </w:pPr>
    </w:p>
    <w:p w:rsidR="000B2092" w:rsidRPr="000B2092" w:rsidRDefault="000B2092" w:rsidP="000B2092">
      <w:pPr>
        <w:pStyle w:val="ListParagraph"/>
        <w:spacing w:line="360" w:lineRule="auto"/>
        <w:jc w:val="both"/>
        <w:rPr>
          <w:rFonts w:ascii="Arial" w:hAnsi="Arial" w:cs="Arial"/>
          <w:i/>
        </w:rPr>
      </w:pPr>
      <w:r w:rsidRPr="000B2092">
        <w:rPr>
          <w:rFonts w:ascii="Arial" w:hAnsi="Arial" w:cs="Arial"/>
          <w:i/>
        </w:rPr>
        <w:t>60.   Misuse of information.—(1)  Any person who—</w:t>
      </w:r>
    </w:p>
    <w:p w:rsidR="000B2092" w:rsidRPr="000B2092" w:rsidRDefault="000B2092" w:rsidP="00AC551E">
      <w:pPr>
        <w:pStyle w:val="ListParagraph"/>
        <w:spacing w:line="360" w:lineRule="auto"/>
        <w:ind w:left="1440"/>
        <w:jc w:val="both"/>
        <w:rPr>
          <w:rFonts w:ascii="Arial" w:hAnsi="Arial" w:cs="Arial"/>
          <w:i/>
        </w:rPr>
      </w:pPr>
      <w:r w:rsidRPr="000B2092">
        <w:rPr>
          <w:rFonts w:ascii="Arial" w:hAnsi="Arial" w:cs="Arial"/>
          <w:i/>
        </w:rPr>
        <w:t>(a) discloses confidential information held by or obtained from the Centre otherwise than in accordance with section 40 or 41;</w:t>
      </w:r>
    </w:p>
    <w:p w:rsidR="000B2092" w:rsidRPr="000B2092" w:rsidRDefault="000B2092" w:rsidP="00AC551E">
      <w:pPr>
        <w:pStyle w:val="ListParagraph"/>
        <w:spacing w:line="360" w:lineRule="auto"/>
        <w:ind w:left="1440"/>
        <w:jc w:val="both"/>
        <w:rPr>
          <w:rFonts w:ascii="Arial" w:hAnsi="Arial" w:cs="Arial"/>
          <w:i/>
        </w:rPr>
      </w:pPr>
      <w:r w:rsidRPr="000B2092">
        <w:rPr>
          <w:rFonts w:ascii="Arial" w:hAnsi="Arial" w:cs="Arial"/>
          <w:i/>
        </w:rPr>
        <w:t>(b) willfully destroys or in any other way tampers with information kept by the Centre for the purposes of this Act;</w:t>
      </w:r>
    </w:p>
    <w:p w:rsidR="000B2092" w:rsidRPr="000B2092" w:rsidRDefault="000B2092" w:rsidP="00AC551E">
      <w:pPr>
        <w:pStyle w:val="ListParagraph"/>
        <w:spacing w:line="360" w:lineRule="auto"/>
        <w:ind w:left="1440"/>
        <w:jc w:val="both"/>
        <w:rPr>
          <w:rFonts w:ascii="Arial" w:hAnsi="Arial" w:cs="Arial"/>
          <w:i/>
        </w:rPr>
      </w:pPr>
      <w:r w:rsidRPr="000B2092">
        <w:rPr>
          <w:rFonts w:ascii="Arial" w:hAnsi="Arial" w:cs="Arial"/>
          <w:i/>
        </w:rPr>
        <w:t>(c) uses information from the Centre otherwise than in accordance with—</w:t>
      </w:r>
    </w:p>
    <w:p w:rsidR="000B2092" w:rsidRPr="000B2092" w:rsidRDefault="000B2092" w:rsidP="00AC551E">
      <w:pPr>
        <w:pStyle w:val="ListParagraph"/>
        <w:spacing w:line="360" w:lineRule="auto"/>
        <w:ind w:left="2160"/>
        <w:jc w:val="both"/>
        <w:rPr>
          <w:rFonts w:ascii="Arial" w:hAnsi="Arial" w:cs="Arial"/>
          <w:i/>
        </w:rPr>
      </w:pPr>
      <w:r w:rsidRPr="000B2092">
        <w:rPr>
          <w:rFonts w:ascii="Arial" w:hAnsi="Arial" w:cs="Arial"/>
          <w:i/>
        </w:rPr>
        <w:lastRenderedPageBreak/>
        <w:t>(i) any arrangements or safeguards made or imposed by the Director in terms of section 40 (3); or</w:t>
      </w:r>
    </w:p>
    <w:p w:rsidR="000B2092" w:rsidRPr="000B2092" w:rsidRDefault="000B2092" w:rsidP="00AC551E">
      <w:pPr>
        <w:pStyle w:val="ListParagraph"/>
        <w:spacing w:line="360" w:lineRule="auto"/>
        <w:ind w:left="2160"/>
        <w:jc w:val="both"/>
        <w:rPr>
          <w:rFonts w:ascii="Arial" w:hAnsi="Arial" w:cs="Arial"/>
          <w:i/>
        </w:rPr>
      </w:pPr>
      <w:r w:rsidRPr="000B2092">
        <w:rPr>
          <w:rFonts w:ascii="Arial" w:hAnsi="Arial" w:cs="Arial"/>
          <w:i/>
        </w:rPr>
        <w:t>(ii) section 40 (6); or</w:t>
      </w:r>
    </w:p>
    <w:p w:rsidR="00AC551E" w:rsidRDefault="000B2092" w:rsidP="00AC551E">
      <w:pPr>
        <w:pStyle w:val="ListParagraph"/>
        <w:spacing w:line="360" w:lineRule="auto"/>
        <w:ind w:left="1440"/>
        <w:jc w:val="both"/>
        <w:rPr>
          <w:rFonts w:ascii="Arial" w:hAnsi="Arial" w:cs="Arial"/>
          <w:i/>
        </w:rPr>
      </w:pPr>
      <w:r w:rsidRPr="000B2092">
        <w:rPr>
          <w:rFonts w:ascii="Arial" w:hAnsi="Arial" w:cs="Arial"/>
          <w:i/>
        </w:rPr>
        <w:t>(d) discloses a fact or information contemplated in section 45B (2A), or uses such information, otherwise than as permitted by section 45B (5),</w:t>
      </w:r>
      <w:r w:rsidR="00AC551E">
        <w:rPr>
          <w:rFonts w:ascii="Arial" w:hAnsi="Arial" w:cs="Arial"/>
          <w:i/>
        </w:rPr>
        <w:t xml:space="preserve"> </w:t>
      </w:r>
    </w:p>
    <w:p w:rsidR="000B2092" w:rsidRPr="00AC551E" w:rsidRDefault="000B2092" w:rsidP="00AC551E">
      <w:pPr>
        <w:pStyle w:val="ListParagraph"/>
        <w:spacing w:line="360" w:lineRule="auto"/>
        <w:jc w:val="both"/>
        <w:rPr>
          <w:rFonts w:ascii="Arial" w:hAnsi="Arial" w:cs="Arial"/>
          <w:i/>
        </w:rPr>
      </w:pPr>
      <w:r w:rsidRPr="00AC551E">
        <w:rPr>
          <w:rFonts w:ascii="Arial" w:hAnsi="Arial" w:cs="Arial"/>
          <w:i/>
        </w:rPr>
        <w:t>is guilty of an offence.</w:t>
      </w:r>
    </w:p>
    <w:p w:rsidR="000B2092" w:rsidRPr="000B2092" w:rsidRDefault="000B2092" w:rsidP="000B2092">
      <w:pPr>
        <w:pStyle w:val="ListParagraph"/>
        <w:spacing w:line="360" w:lineRule="auto"/>
        <w:jc w:val="both"/>
        <w:rPr>
          <w:rFonts w:ascii="Arial" w:hAnsi="Arial" w:cs="Arial"/>
          <w:i/>
        </w:rPr>
      </w:pPr>
    </w:p>
    <w:p w:rsidR="000B2092" w:rsidRPr="000B2092" w:rsidRDefault="000B2092" w:rsidP="000B2092">
      <w:pPr>
        <w:pStyle w:val="ListParagraph"/>
        <w:spacing w:line="360" w:lineRule="auto"/>
        <w:jc w:val="both"/>
        <w:rPr>
          <w:rFonts w:ascii="Arial" w:hAnsi="Arial" w:cs="Arial"/>
          <w:i/>
        </w:rPr>
      </w:pPr>
      <w:r w:rsidRPr="000B2092">
        <w:rPr>
          <w:rFonts w:ascii="Arial" w:hAnsi="Arial" w:cs="Arial"/>
          <w:i/>
        </w:rPr>
        <w:t>(2)  Any person who knows, suspects or ought reasonably to have known or suspected—</w:t>
      </w:r>
    </w:p>
    <w:p w:rsidR="000B2092" w:rsidRPr="000B2092" w:rsidRDefault="000B2092" w:rsidP="000B2092">
      <w:pPr>
        <w:pStyle w:val="ListParagraph"/>
        <w:spacing w:line="360" w:lineRule="auto"/>
        <w:ind w:left="1440"/>
        <w:jc w:val="both"/>
        <w:rPr>
          <w:rFonts w:ascii="Arial" w:hAnsi="Arial" w:cs="Arial"/>
          <w:i/>
        </w:rPr>
      </w:pPr>
      <w:r w:rsidRPr="000B2092">
        <w:rPr>
          <w:rFonts w:ascii="Arial" w:hAnsi="Arial" w:cs="Arial"/>
          <w:i/>
        </w:rPr>
        <w:t>(a) that information has been disclosed to the Centre; or</w:t>
      </w:r>
    </w:p>
    <w:p w:rsidR="00DD23FA" w:rsidRDefault="000B2092" w:rsidP="000B2092">
      <w:pPr>
        <w:pStyle w:val="ListParagraph"/>
        <w:spacing w:line="360" w:lineRule="auto"/>
        <w:ind w:left="1440"/>
        <w:jc w:val="both"/>
        <w:rPr>
          <w:rFonts w:ascii="Arial" w:hAnsi="Arial" w:cs="Arial"/>
          <w:i/>
        </w:rPr>
      </w:pPr>
      <w:r w:rsidRPr="000B2092">
        <w:rPr>
          <w:rFonts w:ascii="Arial" w:hAnsi="Arial" w:cs="Arial"/>
          <w:i/>
        </w:rPr>
        <w:t>(b) that an investigation is being, or may be, conducted as a result of information that has been or is</w:t>
      </w:r>
      <w:r>
        <w:rPr>
          <w:rFonts w:ascii="Arial" w:hAnsi="Arial" w:cs="Arial"/>
          <w:i/>
        </w:rPr>
        <w:t xml:space="preserve"> to be disclosed to the Centre, </w:t>
      </w:r>
    </w:p>
    <w:p w:rsidR="008C7108" w:rsidRPr="00DD23FA" w:rsidRDefault="000B2092" w:rsidP="00DD23FA">
      <w:pPr>
        <w:pStyle w:val="ListParagraph"/>
        <w:spacing w:line="360" w:lineRule="auto"/>
        <w:jc w:val="both"/>
        <w:rPr>
          <w:rFonts w:ascii="Arial" w:hAnsi="Arial" w:cs="Arial"/>
          <w:i/>
        </w:rPr>
      </w:pPr>
      <w:r w:rsidRPr="000B2092">
        <w:rPr>
          <w:rFonts w:ascii="Arial" w:hAnsi="Arial" w:cs="Arial"/>
          <w:i/>
        </w:rPr>
        <w:t>and who directly or indirectly alerts, or brings information to the attention of, another person which will or is likely to prejudice such an investigation,</w:t>
      </w:r>
      <w:r w:rsidR="00DD23FA">
        <w:rPr>
          <w:rFonts w:ascii="Arial" w:hAnsi="Arial" w:cs="Arial"/>
          <w:i/>
        </w:rPr>
        <w:t xml:space="preserve"> </w:t>
      </w:r>
      <w:r w:rsidRPr="00DD23FA">
        <w:rPr>
          <w:rFonts w:ascii="Arial" w:hAnsi="Arial" w:cs="Arial"/>
          <w:i/>
        </w:rPr>
        <w:t>is guilty of an offence.</w:t>
      </w:r>
      <w:r w:rsidRPr="00DD23FA">
        <w:rPr>
          <w:rFonts w:ascii="Arial" w:hAnsi="Arial" w:cs="Arial"/>
        </w:rPr>
        <w:t xml:space="preserve"> </w:t>
      </w:r>
    </w:p>
    <w:p w:rsidR="00244E95" w:rsidRPr="00244E95" w:rsidRDefault="00244E95" w:rsidP="00244E95">
      <w:pPr>
        <w:pStyle w:val="ListParagraph"/>
        <w:spacing w:line="360" w:lineRule="auto"/>
        <w:ind w:left="360"/>
        <w:jc w:val="both"/>
        <w:rPr>
          <w:rFonts w:ascii="Arial" w:hAnsi="Arial" w:cs="Arial"/>
        </w:rPr>
      </w:pPr>
    </w:p>
    <w:p w:rsidR="001C1289" w:rsidRDefault="001C1289" w:rsidP="00244E95">
      <w:pPr>
        <w:pStyle w:val="ListParagraph"/>
        <w:numPr>
          <w:ilvl w:val="0"/>
          <w:numId w:val="2"/>
        </w:numPr>
        <w:spacing w:line="360" w:lineRule="auto"/>
        <w:jc w:val="both"/>
        <w:rPr>
          <w:rFonts w:ascii="Arial" w:hAnsi="Arial" w:cs="Arial"/>
        </w:rPr>
      </w:pPr>
      <w:r>
        <w:rPr>
          <w:rFonts w:ascii="Arial" w:hAnsi="Arial" w:cs="Arial"/>
        </w:rPr>
        <w:t>Section</w:t>
      </w:r>
      <w:r w:rsidR="00244E95">
        <w:rPr>
          <w:rFonts w:ascii="Arial" w:hAnsi="Arial" w:cs="Arial"/>
        </w:rPr>
        <w:t xml:space="preserve"> 40 </w:t>
      </w:r>
      <w:r>
        <w:rPr>
          <w:rFonts w:ascii="Arial" w:hAnsi="Arial" w:cs="Arial"/>
        </w:rPr>
        <w:t>provides for the circumstances under which the FIC must make information available to certain organs of state</w:t>
      </w:r>
      <w:r w:rsidR="00AC551E">
        <w:rPr>
          <w:rFonts w:ascii="Arial" w:hAnsi="Arial" w:cs="Arial"/>
        </w:rPr>
        <w:t xml:space="preserve">. </w:t>
      </w:r>
      <w:r w:rsidR="005366B8">
        <w:rPr>
          <w:rFonts w:ascii="Arial" w:hAnsi="Arial" w:cs="Arial"/>
        </w:rPr>
        <w:t xml:space="preserve">Neither the National Assembly, nor any of its committees is listed.  </w:t>
      </w:r>
      <w:r w:rsidR="00822C83">
        <w:rPr>
          <w:rFonts w:ascii="Arial" w:hAnsi="Arial" w:cs="Arial"/>
        </w:rPr>
        <w:t xml:space="preserve">The Public Protector is listed. </w:t>
      </w:r>
    </w:p>
    <w:p w:rsidR="00AC551E" w:rsidRDefault="00AC551E" w:rsidP="00AC551E">
      <w:pPr>
        <w:pStyle w:val="ListParagraph"/>
        <w:spacing w:line="360" w:lineRule="auto"/>
        <w:ind w:left="360"/>
        <w:jc w:val="both"/>
        <w:rPr>
          <w:rFonts w:ascii="Arial" w:hAnsi="Arial" w:cs="Arial"/>
        </w:rPr>
      </w:pPr>
    </w:p>
    <w:p w:rsidR="00AC551E" w:rsidRDefault="00AC551E" w:rsidP="00244E95">
      <w:pPr>
        <w:pStyle w:val="ListParagraph"/>
        <w:numPr>
          <w:ilvl w:val="0"/>
          <w:numId w:val="2"/>
        </w:numPr>
        <w:spacing w:line="360" w:lineRule="auto"/>
        <w:jc w:val="both"/>
        <w:rPr>
          <w:rFonts w:ascii="Arial" w:hAnsi="Arial" w:cs="Arial"/>
        </w:rPr>
      </w:pPr>
      <w:r>
        <w:rPr>
          <w:rFonts w:ascii="Arial" w:hAnsi="Arial" w:cs="Arial"/>
        </w:rPr>
        <w:t xml:space="preserve">Section </w:t>
      </w:r>
      <w:r w:rsidR="00244E95">
        <w:rPr>
          <w:rFonts w:ascii="Arial" w:hAnsi="Arial" w:cs="Arial"/>
        </w:rPr>
        <w:t xml:space="preserve">41 </w:t>
      </w:r>
      <w:r>
        <w:rPr>
          <w:rFonts w:ascii="Arial" w:hAnsi="Arial" w:cs="Arial"/>
        </w:rPr>
        <w:t>provides as follows:</w:t>
      </w:r>
    </w:p>
    <w:p w:rsidR="00AC551E" w:rsidRDefault="00AC551E" w:rsidP="00AC551E">
      <w:pPr>
        <w:pStyle w:val="ListParagraph"/>
        <w:rPr>
          <w:rFonts w:ascii="Arial" w:hAnsi="Arial" w:cs="Arial"/>
        </w:rPr>
      </w:pPr>
    </w:p>
    <w:p w:rsidR="00AC551E" w:rsidRPr="00AC551E" w:rsidRDefault="00AC551E" w:rsidP="00AC551E">
      <w:pPr>
        <w:pStyle w:val="ListParagraph"/>
        <w:spacing w:line="360" w:lineRule="auto"/>
        <w:jc w:val="both"/>
        <w:rPr>
          <w:rFonts w:ascii="Arial" w:hAnsi="Arial" w:cs="Arial"/>
          <w:i/>
        </w:rPr>
      </w:pPr>
      <w:r w:rsidRPr="00AC551E">
        <w:rPr>
          <w:rFonts w:ascii="Arial" w:hAnsi="Arial" w:cs="Arial"/>
          <w:i/>
        </w:rPr>
        <w:t xml:space="preserve">41.   Protection of confidential information.—No person may disclose confidential information held by or obtained from the Centre except—      </w:t>
      </w:r>
    </w:p>
    <w:p w:rsidR="00AC551E" w:rsidRPr="00AC551E" w:rsidRDefault="00AC551E" w:rsidP="00AC551E">
      <w:pPr>
        <w:pStyle w:val="ListParagraph"/>
        <w:spacing w:line="360" w:lineRule="auto"/>
        <w:ind w:left="1440"/>
        <w:jc w:val="both"/>
        <w:rPr>
          <w:rFonts w:ascii="Arial" w:hAnsi="Arial" w:cs="Arial"/>
          <w:i/>
        </w:rPr>
      </w:pPr>
      <w:r w:rsidRPr="00AC551E">
        <w:rPr>
          <w:rFonts w:ascii="Arial" w:hAnsi="Arial" w:cs="Arial"/>
          <w:i/>
        </w:rPr>
        <w:t>(a) within the scope of that person’s powers and duties in terms of any legislation;</w:t>
      </w:r>
    </w:p>
    <w:p w:rsidR="00AC551E" w:rsidRPr="00AC551E" w:rsidRDefault="00AC551E" w:rsidP="00AC551E">
      <w:pPr>
        <w:pStyle w:val="ListParagraph"/>
        <w:spacing w:line="360" w:lineRule="auto"/>
        <w:ind w:left="1440"/>
        <w:jc w:val="both"/>
        <w:rPr>
          <w:rFonts w:ascii="Arial" w:hAnsi="Arial" w:cs="Arial"/>
          <w:i/>
        </w:rPr>
      </w:pPr>
      <w:r w:rsidRPr="00AC551E">
        <w:rPr>
          <w:rFonts w:ascii="Arial" w:hAnsi="Arial" w:cs="Arial"/>
          <w:i/>
        </w:rPr>
        <w:t>(b) for the purpose of carrying out the provisions of this Act;</w:t>
      </w:r>
    </w:p>
    <w:p w:rsidR="00AC551E" w:rsidRPr="00AC551E" w:rsidRDefault="00AC551E" w:rsidP="00AC551E">
      <w:pPr>
        <w:pStyle w:val="ListParagraph"/>
        <w:spacing w:line="360" w:lineRule="auto"/>
        <w:ind w:left="1440"/>
        <w:jc w:val="both"/>
        <w:rPr>
          <w:rFonts w:ascii="Arial" w:hAnsi="Arial" w:cs="Arial"/>
          <w:i/>
        </w:rPr>
      </w:pPr>
      <w:r w:rsidRPr="00AC551E">
        <w:rPr>
          <w:rFonts w:ascii="Arial" w:hAnsi="Arial" w:cs="Arial"/>
          <w:i/>
        </w:rPr>
        <w:t>(c) with the permission of the Centre;</w:t>
      </w:r>
    </w:p>
    <w:p w:rsidR="00AC551E" w:rsidRPr="00AC551E" w:rsidRDefault="00AC551E" w:rsidP="00AC551E">
      <w:pPr>
        <w:pStyle w:val="ListParagraph"/>
        <w:spacing w:line="360" w:lineRule="auto"/>
        <w:ind w:left="1440"/>
        <w:jc w:val="both"/>
        <w:rPr>
          <w:rFonts w:ascii="Arial" w:hAnsi="Arial" w:cs="Arial"/>
          <w:i/>
        </w:rPr>
      </w:pPr>
      <w:r w:rsidRPr="00AC551E">
        <w:rPr>
          <w:rFonts w:ascii="Arial" w:hAnsi="Arial" w:cs="Arial"/>
          <w:i/>
        </w:rPr>
        <w:t>(d) for the purpose of legal proceedings, including any proceedings before a judge in chambers; or</w:t>
      </w:r>
    </w:p>
    <w:p w:rsidR="00AC551E" w:rsidRPr="00AC551E" w:rsidRDefault="00AC551E" w:rsidP="00AC551E">
      <w:pPr>
        <w:pStyle w:val="ListParagraph"/>
        <w:spacing w:line="360" w:lineRule="auto"/>
        <w:ind w:left="1440"/>
        <w:jc w:val="both"/>
        <w:rPr>
          <w:rFonts w:ascii="Arial" w:hAnsi="Arial" w:cs="Arial"/>
          <w:i/>
        </w:rPr>
      </w:pPr>
      <w:r w:rsidRPr="00AC551E">
        <w:rPr>
          <w:rFonts w:ascii="Arial" w:hAnsi="Arial" w:cs="Arial"/>
          <w:i/>
        </w:rPr>
        <w:t>(e) in terms of an order of court.</w:t>
      </w:r>
    </w:p>
    <w:p w:rsidR="00AC551E" w:rsidRPr="00AC551E" w:rsidRDefault="00AC551E" w:rsidP="00AC551E">
      <w:pPr>
        <w:pStyle w:val="ListParagraph"/>
        <w:spacing w:line="360" w:lineRule="auto"/>
        <w:ind w:left="360"/>
        <w:jc w:val="both"/>
        <w:rPr>
          <w:rFonts w:ascii="Arial" w:hAnsi="Arial" w:cs="Arial"/>
        </w:rPr>
      </w:pPr>
    </w:p>
    <w:p w:rsidR="00913555" w:rsidRDefault="00913555" w:rsidP="00913555">
      <w:pPr>
        <w:pStyle w:val="ListParagraph"/>
        <w:numPr>
          <w:ilvl w:val="0"/>
          <w:numId w:val="2"/>
        </w:numPr>
        <w:spacing w:line="360" w:lineRule="auto"/>
        <w:jc w:val="both"/>
        <w:rPr>
          <w:rFonts w:ascii="Arial" w:hAnsi="Arial" w:cs="Arial"/>
        </w:rPr>
      </w:pPr>
      <w:r>
        <w:rPr>
          <w:rFonts w:ascii="Arial" w:hAnsi="Arial" w:cs="Arial"/>
        </w:rPr>
        <w:t>Section 53 provides as follows:</w:t>
      </w:r>
    </w:p>
    <w:p w:rsidR="00913555" w:rsidRPr="00913555" w:rsidRDefault="00913555" w:rsidP="00913555">
      <w:pPr>
        <w:pStyle w:val="ListParagraph"/>
        <w:spacing w:line="360" w:lineRule="auto"/>
        <w:jc w:val="both"/>
        <w:rPr>
          <w:rFonts w:ascii="Arial" w:hAnsi="Arial" w:cs="Arial"/>
          <w:i/>
        </w:rPr>
      </w:pPr>
      <w:r w:rsidRPr="00913555">
        <w:rPr>
          <w:rFonts w:ascii="Arial" w:hAnsi="Arial" w:cs="Arial"/>
          <w:i/>
        </w:rPr>
        <w:t>(1)  Any person referred to in section 29 (3) who discloses a fact or information contemplated in that section, otherwise than in the circumstances or for the purposes authorised in that section, is guilty of an offence.</w:t>
      </w:r>
    </w:p>
    <w:p w:rsidR="00913555" w:rsidRPr="00913555" w:rsidRDefault="00913555" w:rsidP="00913555">
      <w:pPr>
        <w:pStyle w:val="ListParagraph"/>
        <w:spacing w:line="360" w:lineRule="auto"/>
        <w:jc w:val="both"/>
        <w:rPr>
          <w:rFonts w:ascii="Arial" w:hAnsi="Arial" w:cs="Arial"/>
          <w:i/>
        </w:rPr>
      </w:pPr>
    </w:p>
    <w:p w:rsidR="00913555" w:rsidRPr="00913555" w:rsidRDefault="00913555" w:rsidP="00913555">
      <w:pPr>
        <w:pStyle w:val="ListParagraph"/>
        <w:spacing w:line="360" w:lineRule="auto"/>
        <w:jc w:val="both"/>
        <w:rPr>
          <w:rFonts w:ascii="Arial" w:hAnsi="Arial" w:cs="Arial"/>
          <w:i/>
        </w:rPr>
      </w:pPr>
      <w:r w:rsidRPr="00913555">
        <w:rPr>
          <w:rFonts w:ascii="Arial" w:hAnsi="Arial" w:cs="Arial"/>
          <w:i/>
        </w:rPr>
        <w:lastRenderedPageBreak/>
        <w:t>(2)  Any person referred to in section 29 (4) who discloses a knowledge or suspicion or any information contemplated in that section, otherwise than in the circumstances and for the purposes authorised in that section, is guilty of an offence.</w:t>
      </w:r>
    </w:p>
    <w:p w:rsidR="00913555" w:rsidRDefault="00913555" w:rsidP="00913555">
      <w:pPr>
        <w:pStyle w:val="ListParagraph"/>
        <w:spacing w:line="360" w:lineRule="auto"/>
        <w:ind w:left="360"/>
        <w:jc w:val="both"/>
        <w:rPr>
          <w:rFonts w:ascii="Arial" w:hAnsi="Arial" w:cs="Arial"/>
        </w:rPr>
      </w:pPr>
    </w:p>
    <w:p w:rsidR="00C15390" w:rsidRDefault="0081125B" w:rsidP="00244E95">
      <w:pPr>
        <w:pStyle w:val="ListParagraph"/>
        <w:numPr>
          <w:ilvl w:val="0"/>
          <w:numId w:val="2"/>
        </w:numPr>
        <w:spacing w:line="360" w:lineRule="auto"/>
        <w:jc w:val="both"/>
        <w:rPr>
          <w:rFonts w:ascii="Arial" w:hAnsi="Arial" w:cs="Arial"/>
        </w:rPr>
      </w:pPr>
      <w:r>
        <w:rPr>
          <w:rFonts w:ascii="Arial" w:hAnsi="Arial" w:cs="Arial"/>
        </w:rPr>
        <w:t>Confidential information obtained from the FIC is protected in terms of the FIC Act. A person may only disclose such information in terms of the FIC Act.</w:t>
      </w:r>
      <w:r w:rsidR="00103759">
        <w:rPr>
          <w:rFonts w:ascii="Arial" w:hAnsi="Arial" w:cs="Arial"/>
        </w:rPr>
        <w:t xml:space="preserve"> Failure to do so is a criminal offence.</w:t>
      </w:r>
      <w:r>
        <w:rPr>
          <w:rFonts w:ascii="Arial" w:hAnsi="Arial" w:cs="Arial"/>
        </w:rPr>
        <w:t xml:space="preserve"> </w:t>
      </w:r>
    </w:p>
    <w:p w:rsidR="00C15390" w:rsidRDefault="00C15390" w:rsidP="00C15390">
      <w:pPr>
        <w:pStyle w:val="ListParagraph"/>
        <w:spacing w:line="360" w:lineRule="auto"/>
        <w:ind w:left="360"/>
        <w:jc w:val="both"/>
        <w:rPr>
          <w:rFonts w:ascii="Arial" w:hAnsi="Arial" w:cs="Arial"/>
        </w:rPr>
      </w:pPr>
    </w:p>
    <w:p w:rsidR="00EF290E" w:rsidRDefault="00C15390" w:rsidP="00244E95">
      <w:pPr>
        <w:pStyle w:val="ListParagraph"/>
        <w:numPr>
          <w:ilvl w:val="0"/>
          <w:numId w:val="2"/>
        </w:numPr>
        <w:spacing w:line="360" w:lineRule="auto"/>
        <w:jc w:val="both"/>
        <w:rPr>
          <w:rFonts w:ascii="Arial" w:hAnsi="Arial" w:cs="Arial"/>
        </w:rPr>
      </w:pPr>
      <w:r>
        <w:rPr>
          <w:rFonts w:ascii="Arial" w:hAnsi="Arial" w:cs="Arial"/>
        </w:rPr>
        <w:t>Section 16 of the Powers, Privileges and Immunities of Parliament and Provincial Legislatures Act 4 of 2004 provides that a witness who is requested to produce a document under oath is immune from civil and criminal liability for such disclosure.</w:t>
      </w:r>
    </w:p>
    <w:p w:rsidR="00D17659" w:rsidRDefault="00D17659" w:rsidP="00F2504F">
      <w:pPr>
        <w:spacing w:line="360" w:lineRule="auto"/>
        <w:jc w:val="both"/>
        <w:rPr>
          <w:rFonts w:ascii="Arial" w:hAnsi="Arial" w:cs="Arial"/>
          <w:b/>
        </w:rPr>
      </w:pPr>
    </w:p>
    <w:p w:rsidR="00334237" w:rsidRPr="00F2504F" w:rsidRDefault="00334237" w:rsidP="00F2504F">
      <w:pPr>
        <w:spacing w:line="360" w:lineRule="auto"/>
        <w:jc w:val="both"/>
        <w:rPr>
          <w:rFonts w:ascii="Arial" w:hAnsi="Arial" w:cs="Arial"/>
          <w:b/>
        </w:rPr>
      </w:pPr>
      <w:r w:rsidRPr="00F2504F">
        <w:rPr>
          <w:rFonts w:ascii="Arial" w:hAnsi="Arial" w:cs="Arial"/>
          <w:b/>
        </w:rPr>
        <w:t>Advice</w:t>
      </w:r>
    </w:p>
    <w:p w:rsidR="00C15390" w:rsidRDefault="00822C83" w:rsidP="00244E95">
      <w:pPr>
        <w:pStyle w:val="ListParagraph"/>
        <w:numPr>
          <w:ilvl w:val="0"/>
          <w:numId w:val="2"/>
        </w:numPr>
        <w:spacing w:line="360" w:lineRule="auto"/>
        <w:jc w:val="both"/>
        <w:rPr>
          <w:rFonts w:ascii="Arial" w:hAnsi="Arial" w:cs="Arial"/>
        </w:rPr>
      </w:pPr>
      <w:r>
        <w:rPr>
          <w:rFonts w:ascii="Arial" w:hAnsi="Arial" w:cs="Arial"/>
        </w:rPr>
        <w:t>C</w:t>
      </w:r>
      <w:r w:rsidR="005B0DA9">
        <w:rPr>
          <w:rFonts w:ascii="Arial" w:hAnsi="Arial" w:cs="Arial"/>
        </w:rPr>
        <w:t>onfidential information obtained fro</w:t>
      </w:r>
      <w:r w:rsidR="00103759">
        <w:rPr>
          <w:rFonts w:ascii="Arial" w:hAnsi="Arial" w:cs="Arial"/>
        </w:rPr>
        <w:t>m the FIC</w:t>
      </w:r>
      <w:r w:rsidR="005B0DA9">
        <w:rPr>
          <w:rFonts w:ascii="Arial" w:hAnsi="Arial" w:cs="Arial"/>
        </w:rPr>
        <w:t xml:space="preserve"> included in </w:t>
      </w:r>
      <w:r w:rsidR="00103759">
        <w:rPr>
          <w:rFonts w:ascii="Arial" w:hAnsi="Arial" w:cs="Arial"/>
        </w:rPr>
        <w:t>a</w:t>
      </w:r>
      <w:r w:rsidR="005B0DA9">
        <w:rPr>
          <w:rFonts w:ascii="Arial" w:hAnsi="Arial" w:cs="Arial"/>
        </w:rPr>
        <w:t xml:space="preserve"> report</w:t>
      </w:r>
      <w:r w:rsidR="00103759">
        <w:rPr>
          <w:rFonts w:ascii="Arial" w:hAnsi="Arial" w:cs="Arial"/>
        </w:rPr>
        <w:t xml:space="preserve"> which will be made public</w:t>
      </w:r>
      <w:r w:rsidR="005B0DA9">
        <w:rPr>
          <w:rFonts w:ascii="Arial" w:hAnsi="Arial" w:cs="Arial"/>
        </w:rPr>
        <w:t xml:space="preserve"> </w:t>
      </w:r>
      <w:r w:rsidR="00822CB2">
        <w:rPr>
          <w:rFonts w:ascii="Arial" w:hAnsi="Arial" w:cs="Arial"/>
        </w:rPr>
        <w:t xml:space="preserve">or disclosed outside the boundaries of the FIC Act </w:t>
      </w:r>
      <w:r w:rsidR="005B0DA9">
        <w:rPr>
          <w:rFonts w:ascii="Arial" w:hAnsi="Arial" w:cs="Arial"/>
        </w:rPr>
        <w:t>will have to be redacted.</w:t>
      </w:r>
      <w:r w:rsidR="00EB2DE9">
        <w:rPr>
          <w:rFonts w:ascii="Arial" w:hAnsi="Arial" w:cs="Arial"/>
        </w:rPr>
        <w:t xml:space="preserve"> Failing this the person disclosing the information commits an offence.</w:t>
      </w:r>
      <w:r w:rsidR="000D7BDC">
        <w:rPr>
          <w:rFonts w:ascii="Arial" w:hAnsi="Arial" w:cs="Arial"/>
        </w:rPr>
        <w:t xml:space="preserve"> </w:t>
      </w:r>
    </w:p>
    <w:p w:rsidR="00C15390" w:rsidRDefault="00C15390" w:rsidP="00C15390">
      <w:pPr>
        <w:pStyle w:val="ListParagraph"/>
        <w:spacing w:line="360" w:lineRule="auto"/>
        <w:ind w:left="360"/>
        <w:jc w:val="both"/>
        <w:rPr>
          <w:rFonts w:ascii="Arial" w:hAnsi="Arial" w:cs="Arial"/>
        </w:rPr>
      </w:pPr>
    </w:p>
    <w:p w:rsidR="000D7BDC" w:rsidRDefault="00C15390" w:rsidP="00244E95">
      <w:pPr>
        <w:pStyle w:val="ListParagraph"/>
        <w:numPr>
          <w:ilvl w:val="0"/>
          <w:numId w:val="2"/>
        </w:numPr>
        <w:spacing w:line="360" w:lineRule="auto"/>
        <w:jc w:val="both"/>
        <w:rPr>
          <w:rFonts w:ascii="Arial" w:hAnsi="Arial" w:cs="Arial"/>
        </w:rPr>
      </w:pPr>
      <w:r>
        <w:rPr>
          <w:rFonts w:ascii="Arial" w:hAnsi="Arial" w:cs="Arial"/>
        </w:rPr>
        <w:t xml:space="preserve">However, a committee must </w:t>
      </w:r>
      <w:r w:rsidR="009C425C">
        <w:rPr>
          <w:rFonts w:ascii="Arial" w:hAnsi="Arial" w:cs="Arial"/>
        </w:rPr>
        <w:t xml:space="preserve">abide by the law and thus a request for information must be lawful. </w:t>
      </w:r>
      <w:r>
        <w:rPr>
          <w:rFonts w:ascii="Arial" w:hAnsi="Arial" w:cs="Arial"/>
        </w:rPr>
        <w:t xml:space="preserve"> </w:t>
      </w:r>
      <w:r w:rsidR="00E459F3">
        <w:rPr>
          <w:rFonts w:ascii="Arial" w:hAnsi="Arial" w:cs="Arial"/>
        </w:rPr>
        <w:t>In this regard the FIC may give permission in terms of section 41</w:t>
      </w:r>
      <w:r>
        <w:rPr>
          <w:rFonts w:ascii="Arial" w:hAnsi="Arial" w:cs="Arial"/>
        </w:rPr>
        <w:t xml:space="preserve"> </w:t>
      </w:r>
      <w:r w:rsidR="00E459F3">
        <w:rPr>
          <w:rFonts w:ascii="Arial" w:hAnsi="Arial" w:cs="Arial"/>
        </w:rPr>
        <w:t>for the disclosure of such information. It follows that if the reports include confidential information obtained from the FIC, the SCoF or the Commissioner may request the FIC to allow the disclosure.</w:t>
      </w:r>
    </w:p>
    <w:p w:rsidR="000D7BDC" w:rsidRDefault="000D7BDC" w:rsidP="000D7BDC">
      <w:pPr>
        <w:pStyle w:val="ListParagraph"/>
        <w:spacing w:line="360" w:lineRule="auto"/>
        <w:ind w:left="360"/>
        <w:jc w:val="both"/>
        <w:rPr>
          <w:rFonts w:ascii="Arial" w:hAnsi="Arial" w:cs="Arial"/>
        </w:rPr>
      </w:pPr>
    </w:p>
    <w:p w:rsidR="005B0DA9" w:rsidRDefault="000D7BDC" w:rsidP="000D7BDC">
      <w:pPr>
        <w:pStyle w:val="ListParagraph"/>
        <w:numPr>
          <w:ilvl w:val="0"/>
          <w:numId w:val="2"/>
        </w:numPr>
        <w:spacing w:line="360" w:lineRule="auto"/>
        <w:jc w:val="both"/>
        <w:rPr>
          <w:rFonts w:ascii="Arial" w:hAnsi="Arial" w:cs="Arial"/>
        </w:rPr>
      </w:pPr>
      <w:r>
        <w:rPr>
          <w:rFonts w:ascii="Arial" w:hAnsi="Arial" w:cs="Arial"/>
        </w:rPr>
        <w:t xml:space="preserve">As suggested in the letter of request, confidential information in the two reports can be considered in a meeting excluding the public in terms of National Assembly rules 184 and 189. </w:t>
      </w:r>
      <w:r w:rsidR="00B80063">
        <w:rPr>
          <w:rFonts w:ascii="Arial" w:hAnsi="Arial" w:cs="Arial"/>
        </w:rPr>
        <w:t xml:space="preserve">These rules are based on section 59(2) of the Constitution. </w:t>
      </w:r>
    </w:p>
    <w:p w:rsidR="005B0DA9" w:rsidRDefault="005B0DA9" w:rsidP="005B0DA9">
      <w:pPr>
        <w:pStyle w:val="ListParagraph"/>
        <w:spacing w:line="360" w:lineRule="auto"/>
        <w:ind w:left="360"/>
        <w:jc w:val="both"/>
        <w:rPr>
          <w:rFonts w:ascii="Arial" w:hAnsi="Arial" w:cs="Arial"/>
        </w:rPr>
      </w:pPr>
    </w:p>
    <w:p w:rsidR="005B0DA9" w:rsidRDefault="00911253" w:rsidP="005B0DA9">
      <w:pPr>
        <w:pStyle w:val="ListParagraph"/>
        <w:numPr>
          <w:ilvl w:val="0"/>
          <w:numId w:val="2"/>
        </w:numPr>
        <w:spacing w:line="360" w:lineRule="auto"/>
        <w:jc w:val="both"/>
        <w:rPr>
          <w:rFonts w:ascii="Arial" w:hAnsi="Arial" w:cs="Arial"/>
        </w:rPr>
      </w:pPr>
      <w:r>
        <w:rPr>
          <w:rFonts w:ascii="Arial" w:hAnsi="Arial" w:cs="Arial"/>
        </w:rPr>
        <w:t xml:space="preserve">In light of the media report and the provisions of the FIC Act, confidential </w:t>
      </w:r>
      <w:r w:rsidR="005B0DA9">
        <w:rPr>
          <w:rFonts w:ascii="Arial" w:hAnsi="Arial" w:cs="Arial"/>
        </w:rPr>
        <w:t xml:space="preserve"> information</w:t>
      </w:r>
      <w:r>
        <w:rPr>
          <w:rFonts w:ascii="Arial" w:hAnsi="Arial" w:cs="Arial"/>
        </w:rPr>
        <w:t xml:space="preserve"> obtained from the FIC</w:t>
      </w:r>
      <w:r w:rsidR="005B0DA9">
        <w:rPr>
          <w:rFonts w:ascii="Arial" w:hAnsi="Arial" w:cs="Arial"/>
        </w:rPr>
        <w:t xml:space="preserve"> should not be included in the Hogan Lovells report as the attorneys should not have access to such information</w:t>
      </w:r>
      <w:r>
        <w:rPr>
          <w:rFonts w:ascii="Arial" w:hAnsi="Arial" w:cs="Arial"/>
        </w:rPr>
        <w:t xml:space="preserve"> </w:t>
      </w:r>
      <w:r w:rsidR="005B0DA9">
        <w:rPr>
          <w:rFonts w:ascii="Arial" w:hAnsi="Arial" w:cs="Arial"/>
        </w:rPr>
        <w:t>in the ordinary scope of thei</w:t>
      </w:r>
      <w:r w:rsidR="00436EB5">
        <w:rPr>
          <w:rFonts w:ascii="Arial" w:hAnsi="Arial" w:cs="Arial"/>
        </w:rPr>
        <w:t>r</w:t>
      </w:r>
      <w:r w:rsidR="005B0DA9">
        <w:rPr>
          <w:rFonts w:ascii="Arial" w:hAnsi="Arial" w:cs="Arial"/>
        </w:rPr>
        <w:t xml:space="preserve"> mandate.</w:t>
      </w:r>
    </w:p>
    <w:p w:rsidR="005B0DA9" w:rsidRPr="005B0DA9" w:rsidRDefault="005B0DA9" w:rsidP="005B0DA9">
      <w:pPr>
        <w:pStyle w:val="ListParagraph"/>
        <w:rPr>
          <w:rFonts w:ascii="Arial" w:hAnsi="Arial" w:cs="Arial"/>
        </w:rPr>
      </w:pPr>
    </w:p>
    <w:p w:rsidR="005B0DA9" w:rsidRDefault="005B0DA9" w:rsidP="005B0DA9">
      <w:pPr>
        <w:pStyle w:val="ListParagraph"/>
        <w:numPr>
          <w:ilvl w:val="0"/>
          <w:numId w:val="2"/>
        </w:numPr>
        <w:spacing w:line="360" w:lineRule="auto"/>
        <w:jc w:val="both"/>
        <w:rPr>
          <w:rFonts w:ascii="Arial" w:hAnsi="Arial" w:cs="Arial"/>
        </w:rPr>
      </w:pPr>
      <w:r w:rsidRPr="005B0DA9">
        <w:rPr>
          <w:rFonts w:ascii="Arial" w:hAnsi="Arial" w:cs="Arial"/>
        </w:rPr>
        <w:t>Whether confidential information obtained from the FIC is included in the report on the disciplinary enquiry, is not evident from the facts set out above.</w:t>
      </w:r>
    </w:p>
    <w:p w:rsidR="005B0DA9" w:rsidRPr="005B0DA9" w:rsidRDefault="005B0DA9" w:rsidP="005B0DA9">
      <w:pPr>
        <w:pStyle w:val="ListParagraph"/>
        <w:rPr>
          <w:rFonts w:ascii="Arial" w:hAnsi="Arial" w:cs="Arial"/>
        </w:rPr>
      </w:pPr>
    </w:p>
    <w:p w:rsidR="00436EB5" w:rsidRDefault="005B0DA9" w:rsidP="005B0DA9">
      <w:pPr>
        <w:pStyle w:val="ListParagraph"/>
        <w:numPr>
          <w:ilvl w:val="0"/>
          <w:numId w:val="2"/>
        </w:numPr>
        <w:spacing w:line="360" w:lineRule="auto"/>
        <w:jc w:val="both"/>
        <w:rPr>
          <w:rFonts w:ascii="Arial" w:hAnsi="Arial" w:cs="Arial"/>
        </w:rPr>
      </w:pPr>
      <w:r>
        <w:rPr>
          <w:rFonts w:ascii="Arial" w:hAnsi="Arial" w:cs="Arial"/>
        </w:rPr>
        <w:lastRenderedPageBreak/>
        <w:t xml:space="preserve">The SCoF must decide how to respond to the proposal from the Commissioner. In this regard </w:t>
      </w:r>
      <w:r w:rsidR="0011105B">
        <w:rPr>
          <w:rFonts w:ascii="Arial" w:hAnsi="Arial" w:cs="Arial"/>
        </w:rPr>
        <w:t xml:space="preserve">the SCoF may </w:t>
      </w:r>
      <w:r w:rsidR="007D09E0">
        <w:rPr>
          <w:rFonts w:ascii="Arial" w:hAnsi="Arial" w:cs="Arial"/>
        </w:rPr>
        <w:t>request</w:t>
      </w:r>
      <w:r w:rsidR="0011105B">
        <w:rPr>
          <w:rFonts w:ascii="Arial" w:hAnsi="Arial" w:cs="Arial"/>
        </w:rPr>
        <w:t xml:space="preserve"> </w:t>
      </w:r>
      <w:r w:rsidR="007D09E0">
        <w:rPr>
          <w:rFonts w:ascii="Arial" w:hAnsi="Arial" w:cs="Arial"/>
        </w:rPr>
        <w:t>t</w:t>
      </w:r>
      <w:r>
        <w:rPr>
          <w:rFonts w:ascii="Arial" w:hAnsi="Arial" w:cs="Arial"/>
        </w:rPr>
        <w:t>he Minister</w:t>
      </w:r>
      <w:r w:rsidR="007D09E0">
        <w:rPr>
          <w:rFonts w:ascii="Arial" w:hAnsi="Arial" w:cs="Arial"/>
        </w:rPr>
        <w:t xml:space="preserve"> of Finance</w:t>
      </w:r>
      <w:r>
        <w:rPr>
          <w:rFonts w:ascii="Arial" w:hAnsi="Arial" w:cs="Arial"/>
        </w:rPr>
        <w:t xml:space="preserve"> </w:t>
      </w:r>
      <w:r w:rsidR="0011105B">
        <w:rPr>
          <w:rFonts w:ascii="Arial" w:hAnsi="Arial" w:cs="Arial"/>
        </w:rPr>
        <w:t xml:space="preserve">to comment on the </w:t>
      </w:r>
      <w:r>
        <w:rPr>
          <w:rFonts w:ascii="Arial" w:hAnsi="Arial" w:cs="Arial"/>
        </w:rPr>
        <w:t>proposal.</w:t>
      </w:r>
      <w:r w:rsidR="007D09E0">
        <w:rPr>
          <w:rFonts w:ascii="Arial" w:hAnsi="Arial" w:cs="Arial"/>
        </w:rPr>
        <w:t xml:space="preserve"> He is the responsible member of Cabinet for the implementation of the Act. </w:t>
      </w:r>
      <w:r>
        <w:rPr>
          <w:rFonts w:ascii="Arial" w:hAnsi="Arial" w:cs="Arial"/>
        </w:rPr>
        <w:t xml:space="preserve"> </w:t>
      </w:r>
      <w:r w:rsidR="007D09E0">
        <w:rPr>
          <w:rFonts w:ascii="Arial" w:hAnsi="Arial" w:cs="Arial"/>
        </w:rPr>
        <w:t>He was also copied in the request from SCoF and it is not clear whether he is aware of the response from the Commissioner.</w:t>
      </w:r>
      <w:r w:rsidR="00436EB5">
        <w:rPr>
          <w:rFonts w:ascii="Arial" w:hAnsi="Arial" w:cs="Arial"/>
        </w:rPr>
        <w:t xml:space="preserve"> </w:t>
      </w:r>
    </w:p>
    <w:p w:rsidR="00436EB5" w:rsidRPr="00436EB5" w:rsidRDefault="00436EB5" w:rsidP="00436EB5">
      <w:pPr>
        <w:pStyle w:val="ListParagraph"/>
        <w:rPr>
          <w:rFonts w:ascii="Arial" w:hAnsi="Arial" w:cs="Arial"/>
        </w:rPr>
      </w:pPr>
    </w:p>
    <w:p w:rsidR="004079C3" w:rsidRDefault="00436EB5" w:rsidP="005B0DA9">
      <w:pPr>
        <w:pStyle w:val="ListParagraph"/>
        <w:numPr>
          <w:ilvl w:val="0"/>
          <w:numId w:val="2"/>
        </w:numPr>
        <w:spacing w:line="360" w:lineRule="auto"/>
        <w:jc w:val="both"/>
        <w:rPr>
          <w:rFonts w:ascii="Arial" w:hAnsi="Arial" w:cs="Arial"/>
        </w:rPr>
      </w:pPr>
      <w:r>
        <w:rPr>
          <w:rFonts w:ascii="Arial" w:hAnsi="Arial" w:cs="Arial"/>
        </w:rPr>
        <w:t xml:space="preserve">The Constitution empowers the SCoF to request the reports and permits it to exclude the public from the meeting if it is reasonable and justifiable in an open and democratic society. </w:t>
      </w:r>
      <w:r w:rsidR="00E459F3">
        <w:rPr>
          <w:rFonts w:ascii="Arial" w:hAnsi="Arial" w:cs="Arial"/>
        </w:rPr>
        <w:t xml:space="preserve">The exclusion would be an exception to the default constitutional position of open meetings. It is </w:t>
      </w:r>
      <w:r w:rsidR="003307C1" w:rsidRPr="003307C1">
        <w:rPr>
          <w:rFonts w:ascii="Arial" w:hAnsi="Arial" w:cs="Arial"/>
        </w:rPr>
        <w:t>a</w:t>
      </w:r>
      <w:r w:rsidR="00E92EE4">
        <w:rPr>
          <w:rFonts w:ascii="Arial" w:hAnsi="Arial" w:cs="Arial"/>
          <w:color w:val="FF0000"/>
        </w:rPr>
        <w:t xml:space="preserve"> </w:t>
      </w:r>
      <w:r w:rsidR="00E459F3">
        <w:rPr>
          <w:rFonts w:ascii="Arial" w:hAnsi="Arial" w:cs="Arial"/>
        </w:rPr>
        <w:t xml:space="preserve">means of last resort should the reports include confidential information and the FIC has given permission for its disclosure subject to such condition. </w:t>
      </w:r>
      <w:r w:rsidR="007D09E0">
        <w:rPr>
          <w:rFonts w:ascii="Arial" w:hAnsi="Arial" w:cs="Arial"/>
        </w:rPr>
        <w:t xml:space="preserve">  </w:t>
      </w:r>
      <w:r w:rsidR="005B0DA9">
        <w:rPr>
          <w:rFonts w:ascii="Arial" w:hAnsi="Arial" w:cs="Arial"/>
        </w:rPr>
        <w:t xml:space="preserve">   </w:t>
      </w:r>
      <w:r w:rsidR="005B0DA9" w:rsidRPr="005B0DA9">
        <w:rPr>
          <w:rFonts w:ascii="Arial" w:hAnsi="Arial" w:cs="Arial"/>
        </w:rPr>
        <w:t xml:space="preserve"> </w:t>
      </w:r>
    </w:p>
    <w:p w:rsidR="004079C3" w:rsidRDefault="004079C3" w:rsidP="004079C3">
      <w:pPr>
        <w:spacing w:line="360" w:lineRule="auto"/>
        <w:jc w:val="both"/>
        <w:rPr>
          <w:rFonts w:ascii="Arial" w:hAnsi="Arial" w:cs="Arial"/>
        </w:rPr>
      </w:pPr>
    </w:p>
    <w:p w:rsidR="004079C3" w:rsidRDefault="004079C3" w:rsidP="004079C3">
      <w:pPr>
        <w:spacing w:line="360" w:lineRule="auto"/>
        <w:jc w:val="both"/>
        <w:rPr>
          <w:rFonts w:ascii="Arial" w:hAnsi="Arial" w:cs="Arial"/>
        </w:rPr>
      </w:pPr>
    </w:p>
    <w:p w:rsidR="004079C3" w:rsidRDefault="004079C3" w:rsidP="004079C3">
      <w:pPr>
        <w:spacing w:line="360" w:lineRule="auto"/>
        <w:jc w:val="both"/>
        <w:rPr>
          <w:rFonts w:ascii="Arial" w:hAnsi="Arial" w:cs="Arial"/>
        </w:rPr>
      </w:pPr>
      <w:r>
        <w:rPr>
          <w:rFonts w:ascii="Arial" w:hAnsi="Arial" w:cs="Arial"/>
        </w:rPr>
        <w:t>Adv F S Jenkins</w:t>
      </w:r>
    </w:p>
    <w:p w:rsidR="004079C3" w:rsidRDefault="004079C3" w:rsidP="004079C3">
      <w:pPr>
        <w:spacing w:line="360" w:lineRule="auto"/>
        <w:jc w:val="both"/>
        <w:rPr>
          <w:rFonts w:ascii="Arial" w:hAnsi="Arial" w:cs="Arial"/>
        </w:rPr>
      </w:pPr>
      <w:r>
        <w:rPr>
          <w:rFonts w:ascii="Arial" w:hAnsi="Arial" w:cs="Arial"/>
        </w:rPr>
        <w:t>Senior Parliamentary Legal Adviser</w:t>
      </w:r>
    </w:p>
    <w:p w:rsidR="00244E95" w:rsidRPr="004079C3" w:rsidRDefault="005B0DA9" w:rsidP="004079C3">
      <w:pPr>
        <w:spacing w:line="360" w:lineRule="auto"/>
        <w:jc w:val="both"/>
        <w:rPr>
          <w:rFonts w:ascii="Arial" w:hAnsi="Arial" w:cs="Arial"/>
        </w:rPr>
      </w:pPr>
      <w:r w:rsidRPr="004079C3">
        <w:rPr>
          <w:rFonts w:ascii="Arial" w:hAnsi="Arial" w:cs="Arial"/>
        </w:rPr>
        <w:t xml:space="preserve"> </w:t>
      </w:r>
    </w:p>
    <w:sectPr w:rsidR="00244E95" w:rsidRPr="004079C3" w:rsidSect="003850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1D" w:rsidRDefault="0045181D" w:rsidP="00A95521">
      <w:pPr>
        <w:spacing w:after="0" w:line="240" w:lineRule="auto"/>
      </w:pPr>
      <w:r>
        <w:separator/>
      </w:r>
    </w:p>
  </w:endnote>
  <w:endnote w:type="continuationSeparator" w:id="0">
    <w:p w:rsidR="0045181D" w:rsidRDefault="0045181D" w:rsidP="00A9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05784"/>
      <w:docPartObj>
        <w:docPartGallery w:val="Page Numbers (Bottom of Page)"/>
        <w:docPartUnique/>
      </w:docPartObj>
    </w:sdtPr>
    <w:sdtEndPr>
      <w:rPr>
        <w:noProof/>
      </w:rPr>
    </w:sdtEndPr>
    <w:sdtContent>
      <w:p w:rsidR="00D46B44" w:rsidRDefault="0038503C">
        <w:pPr>
          <w:pStyle w:val="Footer"/>
          <w:jc w:val="right"/>
        </w:pPr>
        <w:r>
          <w:fldChar w:fldCharType="begin"/>
        </w:r>
        <w:r w:rsidR="00D46B44">
          <w:instrText xml:space="preserve"> PAGE   \* MERGEFORMAT </w:instrText>
        </w:r>
        <w:r>
          <w:fldChar w:fldCharType="separate"/>
        </w:r>
        <w:r w:rsidR="002305BA">
          <w:rPr>
            <w:noProof/>
          </w:rPr>
          <w:t>2</w:t>
        </w:r>
        <w:r>
          <w:rPr>
            <w:noProof/>
          </w:rPr>
          <w:fldChar w:fldCharType="end"/>
        </w:r>
      </w:p>
    </w:sdtContent>
  </w:sdt>
  <w:p w:rsidR="00D46B44" w:rsidRDefault="00D46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1D" w:rsidRDefault="0045181D" w:rsidP="00A95521">
      <w:pPr>
        <w:spacing w:after="0" w:line="240" w:lineRule="auto"/>
      </w:pPr>
      <w:r>
        <w:separator/>
      </w:r>
    </w:p>
  </w:footnote>
  <w:footnote w:type="continuationSeparator" w:id="0">
    <w:p w:rsidR="0045181D" w:rsidRDefault="0045181D" w:rsidP="00A95521">
      <w:pPr>
        <w:spacing w:after="0" w:line="240" w:lineRule="auto"/>
      </w:pPr>
      <w:r>
        <w:continuationSeparator/>
      </w:r>
    </w:p>
  </w:footnote>
  <w:footnote w:id="1">
    <w:p w:rsidR="00B868F5" w:rsidRDefault="00B868F5">
      <w:pPr>
        <w:pStyle w:val="FootnoteText"/>
      </w:pPr>
      <w:r>
        <w:rPr>
          <w:rStyle w:val="FootnoteReference"/>
        </w:rPr>
        <w:footnoteRef/>
      </w:r>
      <w:r>
        <w:t xml:space="preserve"> </w:t>
      </w:r>
      <w:hyperlink r:id="rId1" w:history="1">
        <w:r w:rsidRPr="00A538A2">
          <w:rPr>
            <w:rStyle w:val="Hyperlink"/>
          </w:rPr>
          <w:t>https://www.biznews.com/undictated/2017/11/10/makwakwa-probe-into-sars-no-2/</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1" w:rsidRDefault="00A95521" w:rsidP="00A95521">
    <w:pPr>
      <w:pStyle w:val="Header"/>
      <w:tabs>
        <w:tab w:val="clear" w:pos="4513"/>
        <w:tab w:val="clear" w:pos="9026"/>
        <w:tab w:val="left" w:pos="784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01"/>
    <w:multiLevelType w:val="hybridMultilevel"/>
    <w:tmpl w:val="74349436"/>
    <w:lvl w:ilvl="0" w:tplc="96E427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247B05"/>
    <w:multiLevelType w:val="hybridMultilevel"/>
    <w:tmpl w:val="76C87724"/>
    <w:lvl w:ilvl="0" w:tplc="1C09000F">
      <w:start w:val="1"/>
      <w:numFmt w:val="decimal"/>
      <w:lvlText w:val="%1."/>
      <w:lvlJc w:val="left"/>
      <w:pPr>
        <w:ind w:left="360" w:hanging="360"/>
      </w:pPr>
    </w:lvl>
    <w:lvl w:ilvl="1" w:tplc="1C090017">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BC6B0B"/>
    <w:multiLevelType w:val="hybridMultilevel"/>
    <w:tmpl w:val="84D8C1A8"/>
    <w:lvl w:ilvl="0" w:tplc="96E427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6A31155"/>
    <w:multiLevelType w:val="hybridMultilevel"/>
    <w:tmpl w:val="57A4A35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9104074"/>
    <w:multiLevelType w:val="hybridMultilevel"/>
    <w:tmpl w:val="DF9C03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EE7CE8"/>
    <w:multiLevelType w:val="hybridMultilevel"/>
    <w:tmpl w:val="2B94367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1176F51"/>
    <w:multiLevelType w:val="hybridMultilevel"/>
    <w:tmpl w:val="75A23D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1EA2BBF"/>
    <w:multiLevelType w:val="hybridMultilevel"/>
    <w:tmpl w:val="7B782A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F77DFE"/>
    <w:multiLevelType w:val="hybridMultilevel"/>
    <w:tmpl w:val="7B782A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5D5EFE"/>
    <w:multiLevelType w:val="hybridMultilevel"/>
    <w:tmpl w:val="229E66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9"/>
  </w:num>
  <w:num w:numId="6">
    <w:abstractNumId w:val="7"/>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A95521"/>
    <w:rsid w:val="00054CAB"/>
    <w:rsid w:val="00090990"/>
    <w:rsid w:val="000B2092"/>
    <w:rsid w:val="000D285C"/>
    <w:rsid w:val="000D7BDC"/>
    <w:rsid w:val="000F4A57"/>
    <w:rsid w:val="000F59F7"/>
    <w:rsid w:val="000F7BAA"/>
    <w:rsid w:val="000F7ED9"/>
    <w:rsid w:val="00103759"/>
    <w:rsid w:val="0011105B"/>
    <w:rsid w:val="00180C7B"/>
    <w:rsid w:val="00184BAC"/>
    <w:rsid w:val="00185DA3"/>
    <w:rsid w:val="001B24D1"/>
    <w:rsid w:val="001C1289"/>
    <w:rsid w:val="001D1F32"/>
    <w:rsid w:val="001F0690"/>
    <w:rsid w:val="00226417"/>
    <w:rsid w:val="002305BA"/>
    <w:rsid w:val="00244E95"/>
    <w:rsid w:val="00257360"/>
    <w:rsid w:val="00257D1B"/>
    <w:rsid w:val="0026384F"/>
    <w:rsid w:val="0026480E"/>
    <w:rsid w:val="00265026"/>
    <w:rsid w:val="002749B9"/>
    <w:rsid w:val="00275DA8"/>
    <w:rsid w:val="00294C51"/>
    <w:rsid w:val="002A6F6A"/>
    <w:rsid w:val="002A7EFA"/>
    <w:rsid w:val="002D1D3C"/>
    <w:rsid w:val="00300E19"/>
    <w:rsid w:val="0030299A"/>
    <w:rsid w:val="003307C1"/>
    <w:rsid w:val="00334237"/>
    <w:rsid w:val="003577E9"/>
    <w:rsid w:val="0037227B"/>
    <w:rsid w:val="0038503C"/>
    <w:rsid w:val="00390E7F"/>
    <w:rsid w:val="003A0A7C"/>
    <w:rsid w:val="003B1AD2"/>
    <w:rsid w:val="003F4911"/>
    <w:rsid w:val="003F63D7"/>
    <w:rsid w:val="004079C3"/>
    <w:rsid w:val="004349DF"/>
    <w:rsid w:val="00435305"/>
    <w:rsid w:val="00436EB5"/>
    <w:rsid w:val="0045181D"/>
    <w:rsid w:val="00455D23"/>
    <w:rsid w:val="00460EBA"/>
    <w:rsid w:val="00471B63"/>
    <w:rsid w:val="00494A30"/>
    <w:rsid w:val="004B5BBC"/>
    <w:rsid w:val="004C1DCF"/>
    <w:rsid w:val="004C3DCF"/>
    <w:rsid w:val="004F3B52"/>
    <w:rsid w:val="005158D7"/>
    <w:rsid w:val="00532D34"/>
    <w:rsid w:val="005366B8"/>
    <w:rsid w:val="00542376"/>
    <w:rsid w:val="00564982"/>
    <w:rsid w:val="00565E67"/>
    <w:rsid w:val="00573864"/>
    <w:rsid w:val="0058228D"/>
    <w:rsid w:val="00593041"/>
    <w:rsid w:val="00593C2E"/>
    <w:rsid w:val="00594BB5"/>
    <w:rsid w:val="005B0DA9"/>
    <w:rsid w:val="005C7639"/>
    <w:rsid w:val="005D2F1C"/>
    <w:rsid w:val="00613AC2"/>
    <w:rsid w:val="00630EFD"/>
    <w:rsid w:val="006474BF"/>
    <w:rsid w:val="00652265"/>
    <w:rsid w:val="00657C27"/>
    <w:rsid w:val="00667BD1"/>
    <w:rsid w:val="00675F06"/>
    <w:rsid w:val="00676AE2"/>
    <w:rsid w:val="00680962"/>
    <w:rsid w:val="006A06A0"/>
    <w:rsid w:val="006D79F2"/>
    <w:rsid w:val="006F52A1"/>
    <w:rsid w:val="007103B5"/>
    <w:rsid w:val="00717C06"/>
    <w:rsid w:val="0073513B"/>
    <w:rsid w:val="00772246"/>
    <w:rsid w:val="007745B8"/>
    <w:rsid w:val="00781B49"/>
    <w:rsid w:val="007A64E7"/>
    <w:rsid w:val="007B7860"/>
    <w:rsid w:val="007D09E0"/>
    <w:rsid w:val="007E2038"/>
    <w:rsid w:val="007F710D"/>
    <w:rsid w:val="0081125B"/>
    <w:rsid w:val="00820E33"/>
    <w:rsid w:val="00822C83"/>
    <w:rsid w:val="00822CB2"/>
    <w:rsid w:val="008479D2"/>
    <w:rsid w:val="00865FAA"/>
    <w:rsid w:val="008C18C2"/>
    <w:rsid w:val="008C7108"/>
    <w:rsid w:val="00903561"/>
    <w:rsid w:val="00911253"/>
    <w:rsid w:val="00913555"/>
    <w:rsid w:val="00917842"/>
    <w:rsid w:val="009A5763"/>
    <w:rsid w:val="009C425C"/>
    <w:rsid w:val="009C6ABC"/>
    <w:rsid w:val="009E127C"/>
    <w:rsid w:val="00A01EC6"/>
    <w:rsid w:val="00A0313B"/>
    <w:rsid w:val="00A13177"/>
    <w:rsid w:val="00A22060"/>
    <w:rsid w:val="00A371DB"/>
    <w:rsid w:val="00A752AF"/>
    <w:rsid w:val="00A84E8C"/>
    <w:rsid w:val="00A95521"/>
    <w:rsid w:val="00AA04D3"/>
    <w:rsid w:val="00AA0D37"/>
    <w:rsid w:val="00AA0EAE"/>
    <w:rsid w:val="00AA77BD"/>
    <w:rsid w:val="00AC2EA5"/>
    <w:rsid w:val="00AC402D"/>
    <w:rsid w:val="00AC551E"/>
    <w:rsid w:val="00AD073C"/>
    <w:rsid w:val="00AE147A"/>
    <w:rsid w:val="00B10815"/>
    <w:rsid w:val="00B45C95"/>
    <w:rsid w:val="00B62018"/>
    <w:rsid w:val="00B80063"/>
    <w:rsid w:val="00B868F5"/>
    <w:rsid w:val="00B9218E"/>
    <w:rsid w:val="00BB1CD8"/>
    <w:rsid w:val="00C15390"/>
    <w:rsid w:val="00C17F9A"/>
    <w:rsid w:val="00C3366B"/>
    <w:rsid w:val="00C67476"/>
    <w:rsid w:val="00C70D8F"/>
    <w:rsid w:val="00C85E9F"/>
    <w:rsid w:val="00C91452"/>
    <w:rsid w:val="00C96DE0"/>
    <w:rsid w:val="00C96F15"/>
    <w:rsid w:val="00CD2C0A"/>
    <w:rsid w:val="00D17659"/>
    <w:rsid w:val="00D22341"/>
    <w:rsid w:val="00D26C60"/>
    <w:rsid w:val="00D3170E"/>
    <w:rsid w:val="00D437BC"/>
    <w:rsid w:val="00D46B44"/>
    <w:rsid w:val="00D66CD1"/>
    <w:rsid w:val="00DD23FA"/>
    <w:rsid w:val="00DF505E"/>
    <w:rsid w:val="00E459F3"/>
    <w:rsid w:val="00E84B80"/>
    <w:rsid w:val="00E92EE4"/>
    <w:rsid w:val="00E9498E"/>
    <w:rsid w:val="00EB25E4"/>
    <w:rsid w:val="00EB2DE9"/>
    <w:rsid w:val="00EB2F99"/>
    <w:rsid w:val="00EB3B6E"/>
    <w:rsid w:val="00EC0A55"/>
    <w:rsid w:val="00ED7C67"/>
    <w:rsid w:val="00EE006F"/>
    <w:rsid w:val="00EE6BD3"/>
    <w:rsid w:val="00EF290E"/>
    <w:rsid w:val="00F10BB5"/>
    <w:rsid w:val="00F2504F"/>
    <w:rsid w:val="00F25105"/>
    <w:rsid w:val="00F4271D"/>
    <w:rsid w:val="00F43141"/>
    <w:rsid w:val="00F900B1"/>
    <w:rsid w:val="00FA3C03"/>
    <w:rsid w:val="00FB69E0"/>
    <w:rsid w:val="00FF56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21"/>
  </w:style>
  <w:style w:type="paragraph" w:styleId="Footer">
    <w:name w:val="footer"/>
    <w:basedOn w:val="Normal"/>
    <w:link w:val="FooterChar"/>
    <w:uiPriority w:val="99"/>
    <w:unhideWhenUsed/>
    <w:rsid w:val="00A9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21"/>
  </w:style>
  <w:style w:type="paragraph" w:styleId="ListParagraph">
    <w:name w:val="List Paragraph"/>
    <w:basedOn w:val="Normal"/>
    <w:uiPriority w:val="34"/>
    <w:qFormat/>
    <w:rsid w:val="00184BAC"/>
    <w:pPr>
      <w:ind w:left="720"/>
      <w:contextualSpacing/>
    </w:pPr>
  </w:style>
  <w:style w:type="paragraph" w:styleId="BalloonText">
    <w:name w:val="Balloon Text"/>
    <w:basedOn w:val="Normal"/>
    <w:link w:val="BalloonTextChar"/>
    <w:uiPriority w:val="99"/>
    <w:semiHidden/>
    <w:unhideWhenUsed/>
    <w:rsid w:val="00EE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6F"/>
    <w:rPr>
      <w:rFonts w:ascii="Segoe UI" w:hAnsi="Segoe UI" w:cs="Segoe UI"/>
      <w:sz w:val="18"/>
      <w:szCs w:val="18"/>
    </w:rPr>
  </w:style>
  <w:style w:type="paragraph" w:styleId="FootnoteText">
    <w:name w:val="footnote text"/>
    <w:basedOn w:val="Normal"/>
    <w:link w:val="FootnoteTextChar"/>
    <w:uiPriority w:val="99"/>
    <w:semiHidden/>
    <w:unhideWhenUsed/>
    <w:rsid w:val="00B86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8F5"/>
    <w:rPr>
      <w:sz w:val="20"/>
      <w:szCs w:val="20"/>
    </w:rPr>
  </w:style>
  <w:style w:type="character" w:styleId="FootnoteReference">
    <w:name w:val="footnote reference"/>
    <w:basedOn w:val="DefaultParagraphFont"/>
    <w:uiPriority w:val="99"/>
    <w:semiHidden/>
    <w:unhideWhenUsed/>
    <w:rsid w:val="00B868F5"/>
    <w:rPr>
      <w:vertAlign w:val="superscript"/>
    </w:rPr>
  </w:style>
  <w:style w:type="character" w:styleId="Hyperlink">
    <w:name w:val="Hyperlink"/>
    <w:basedOn w:val="DefaultParagraphFont"/>
    <w:uiPriority w:val="99"/>
    <w:unhideWhenUsed/>
    <w:rsid w:val="00B868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373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znews.com/undictated/2017/11/10/makwakwa-probe-into-sars-n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1B42-59ED-4444-B3FD-C61CCB82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cp:lastPrinted>2017-10-02T10:23:00Z</cp:lastPrinted>
  <dcterms:created xsi:type="dcterms:W3CDTF">2017-11-30T08:09:00Z</dcterms:created>
  <dcterms:modified xsi:type="dcterms:W3CDTF">2017-11-30T08:09:00Z</dcterms:modified>
</cp:coreProperties>
</file>