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33427" w14:textId="6DA8CCBA" w:rsidR="00C64ECE" w:rsidRPr="00B8524E" w:rsidRDefault="008A071A" w:rsidP="00B8524E">
      <w:pPr>
        <w:pStyle w:val="ListParagraph"/>
        <w:widowControl/>
        <w:numPr>
          <w:ilvl w:val="0"/>
          <w:numId w:val="21"/>
        </w:numPr>
        <w:tabs>
          <w:tab w:val="left" w:pos="450"/>
        </w:tabs>
        <w:spacing w:before="120" w:after="120" w:line="360" w:lineRule="auto"/>
        <w:ind w:left="450" w:hanging="450"/>
        <w:rPr>
          <w:rFonts w:ascii="Times New Roman" w:hAnsi="Times New Roman" w:cs="Times New Roman"/>
          <w:b/>
          <w:color w:val="000000" w:themeColor="text1"/>
          <w:sz w:val="24"/>
          <w:szCs w:val="24"/>
        </w:rPr>
      </w:pPr>
      <w:r w:rsidRPr="00B8524E">
        <w:rPr>
          <w:rFonts w:ascii="Times New Roman" w:hAnsi="Times New Roman" w:cs="Times New Roman"/>
          <w:b/>
          <w:color w:val="000000" w:themeColor="text1"/>
          <w:sz w:val="24"/>
          <w:szCs w:val="24"/>
        </w:rPr>
        <w:t xml:space="preserve">Report </w:t>
      </w:r>
      <w:r w:rsidR="00B8524E" w:rsidRPr="00B8524E">
        <w:rPr>
          <w:rFonts w:ascii="Times New Roman" w:hAnsi="Times New Roman" w:cs="Times New Roman"/>
          <w:b/>
          <w:color w:val="000000" w:themeColor="text1"/>
          <w:sz w:val="24"/>
          <w:szCs w:val="24"/>
        </w:rPr>
        <w:t xml:space="preserve">of the Standing Committee on Finance </w:t>
      </w:r>
      <w:r w:rsidR="00C64ECE" w:rsidRPr="00B8524E">
        <w:rPr>
          <w:rFonts w:ascii="Times New Roman" w:hAnsi="Times New Roman" w:cs="Times New Roman"/>
          <w:b/>
          <w:color w:val="000000" w:themeColor="text1"/>
          <w:sz w:val="24"/>
          <w:szCs w:val="24"/>
        </w:rPr>
        <w:t>on the Insurance Bill [B 1 - 2016] (National Assembly- section 7</w:t>
      </w:r>
      <w:r w:rsidR="00967567" w:rsidRPr="00B8524E">
        <w:rPr>
          <w:rFonts w:ascii="Times New Roman" w:hAnsi="Times New Roman" w:cs="Times New Roman"/>
          <w:b/>
          <w:color w:val="000000" w:themeColor="text1"/>
          <w:sz w:val="24"/>
          <w:szCs w:val="24"/>
        </w:rPr>
        <w:t>5</w:t>
      </w:r>
      <w:r w:rsidR="00C64ECE" w:rsidRPr="00B8524E">
        <w:rPr>
          <w:rFonts w:ascii="Times New Roman" w:hAnsi="Times New Roman" w:cs="Times New Roman"/>
          <w:b/>
          <w:color w:val="000000" w:themeColor="text1"/>
          <w:sz w:val="24"/>
          <w:szCs w:val="24"/>
        </w:rPr>
        <w:t xml:space="preserve">), </w:t>
      </w:r>
      <w:r w:rsidR="00E85F03" w:rsidRPr="00B8524E">
        <w:rPr>
          <w:rFonts w:ascii="Times New Roman" w:hAnsi="Times New Roman" w:cs="Times New Roman"/>
          <w:b/>
          <w:color w:val="000000" w:themeColor="text1"/>
          <w:sz w:val="24"/>
          <w:szCs w:val="24"/>
        </w:rPr>
        <w:t>dated 22</w:t>
      </w:r>
      <w:r w:rsidR="009755AE" w:rsidRPr="00B8524E">
        <w:rPr>
          <w:rFonts w:ascii="Times New Roman" w:hAnsi="Times New Roman" w:cs="Times New Roman"/>
          <w:b/>
          <w:color w:val="000000" w:themeColor="text1"/>
          <w:sz w:val="24"/>
          <w:szCs w:val="24"/>
        </w:rPr>
        <w:t xml:space="preserve"> </w:t>
      </w:r>
      <w:r w:rsidR="00C64ECE" w:rsidRPr="00B8524E">
        <w:rPr>
          <w:rFonts w:ascii="Times New Roman" w:hAnsi="Times New Roman" w:cs="Times New Roman"/>
          <w:b/>
          <w:color w:val="000000" w:themeColor="text1"/>
          <w:sz w:val="24"/>
          <w:szCs w:val="24"/>
        </w:rPr>
        <w:t>November 2017</w:t>
      </w:r>
    </w:p>
    <w:p w14:paraId="4EC4A704" w14:textId="77777777" w:rsidR="00051834" w:rsidRPr="00E85F03" w:rsidRDefault="00051834" w:rsidP="00E85F03">
      <w:pPr>
        <w:widowControl/>
        <w:spacing w:before="120" w:after="120" w:line="360" w:lineRule="auto"/>
        <w:jc w:val="both"/>
        <w:rPr>
          <w:rFonts w:ascii="Times New Roman" w:hAnsi="Times New Roman" w:cs="Times New Roman"/>
          <w:color w:val="000000" w:themeColor="text1"/>
          <w:sz w:val="24"/>
          <w:szCs w:val="24"/>
        </w:rPr>
      </w:pPr>
      <w:bookmarkStart w:id="0" w:name="_GoBack"/>
      <w:bookmarkEnd w:id="0"/>
    </w:p>
    <w:p w14:paraId="69481F30" w14:textId="77777777" w:rsidR="00C64ECE" w:rsidRPr="00E85F03" w:rsidRDefault="00C64ECE" w:rsidP="00E85F03">
      <w:pPr>
        <w:widowControl/>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The Standing Committee on Finance, having considered and thoroughly examined the Insurance Bill [B1 - 2016] (National Assembly – section 7</w:t>
      </w:r>
      <w:r w:rsidR="00967567" w:rsidRPr="00E85F03">
        <w:rPr>
          <w:rFonts w:ascii="Times New Roman" w:hAnsi="Times New Roman" w:cs="Times New Roman"/>
          <w:color w:val="000000" w:themeColor="text1"/>
          <w:sz w:val="24"/>
          <w:szCs w:val="24"/>
        </w:rPr>
        <w:t>5</w:t>
      </w:r>
      <w:r w:rsidRPr="00E85F03">
        <w:rPr>
          <w:rFonts w:ascii="Times New Roman" w:hAnsi="Times New Roman" w:cs="Times New Roman"/>
          <w:color w:val="000000" w:themeColor="text1"/>
          <w:sz w:val="24"/>
          <w:szCs w:val="24"/>
        </w:rPr>
        <w:t xml:space="preserve">), referred to it, and classified by the JTM as </w:t>
      </w:r>
      <w:r w:rsidR="00967567" w:rsidRPr="00E85F03">
        <w:rPr>
          <w:rFonts w:ascii="Times New Roman" w:hAnsi="Times New Roman" w:cs="Times New Roman"/>
          <w:color w:val="000000" w:themeColor="text1"/>
          <w:sz w:val="24"/>
          <w:szCs w:val="24"/>
        </w:rPr>
        <w:t>a section 75 Bill</w:t>
      </w:r>
      <w:r w:rsidRPr="00E85F03">
        <w:rPr>
          <w:rFonts w:ascii="Times New Roman" w:hAnsi="Times New Roman" w:cs="Times New Roman"/>
          <w:color w:val="000000" w:themeColor="text1"/>
          <w:sz w:val="24"/>
          <w:szCs w:val="24"/>
        </w:rPr>
        <w:t>, reports the Bill with amendments [B1A – 2016].</w:t>
      </w:r>
    </w:p>
    <w:p w14:paraId="0EE1735F" w14:textId="77777777" w:rsidR="002F5E78" w:rsidRPr="00E85F03" w:rsidRDefault="002F5E78" w:rsidP="00E85F03">
      <w:pPr>
        <w:pStyle w:val="ListParagraph"/>
        <w:widowControl/>
        <w:spacing w:before="120" w:after="120" w:line="360" w:lineRule="auto"/>
        <w:ind w:left="360"/>
        <w:jc w:val="both"/>
        <w:rPr>
          <w:rFonts w:ascii="Times New Roman" w:hAnsi="Times New Roman" w:cs="Times New Roman"/>
          <w:color w:val="000000" w:themeColor="text1"/>
          <w:sz w:val="24"/>
          <w:szCs w:val="24"/>
        </w:rPr>
      </w:pPr>
    </w:p>
    <w:p w14:paraId="7A13AB72" w14:textId="77777777" w:rsidR="008C4C08" w:rsidRPr="00E85F03" w:rsidRDefault="008C4C08" w:rsidP="00E85F03">
      <w:pPr>
        <w:widowControl/>
        <w:spacing w:before="120" w:after="120" w:line="360" w:lineRule="auto"/>
        <w:jc w:val="both"/>
        <w:rPr>
          <w:rFonts w:ascii="Times New Roman" w:hAnsi="Times New Roman" w:cs="Times New Roman"/>
          <w:b/>
          <w:color w:val="000000" w:themeColor="text1"/>
          <w:sz w:val="24"/>
          <w:szCs w:val="24"/>
        </w:rPr>
      </w:pPr>
      <w:r w:rsidRPr="00E85F03">
        <w:rPr>
          <w:rFonts w:ascii="Times New Roman" w:hAnsi="Times New Roman" w:cs="Times New Roman"/>
          <w:b/>
          <w:color w:val="000000" w:themeColor="text1"/>
          <w:sz w:val="24"/>
          <w:szCs w:val="24"/>
        </w:rPr>
        <w:t>Insurance Bill</w:t>
      </w:r>
      <w:r w:rsidR="007D1983" w:rsidRPr="00E85F03">
        <w:rPr>
          <w:rFonts w:ascii="Times New Roman" w:hAnsi="Times New Roman" w:cs="Times New Roman"/>
          <w:b/>
          <w:color w:val="000000" w:themeColor="text1"/>
          <w:sz w:val="24"/>
          <w:szCs w:val="24"/>
        </w:rPr>
        <w:t xml:space="preserve"> Part of N</w:t>
      </w:r>
      <w:r w:rsidR="002F5E78" w:rsidRPr="00E85F03">
        <w:rPr>
          <w:rFonts w:ascii="Times New Roman" w:hAnsi="Times New Roman" w:cs="Times New Roman"/>
          <w:b/>
          <w:color w:val="000000" w:themeColor="text1"/>
          <w:sz w:val="24"/>
          <w:szCs w:val="24"/>
        </w:rPr>
        <w:t>ew “Twin Peaks” Model of Financial Transformation</w:t>
      </w:r>
    </w:p>
    <w:p w14:paraId="5FA52D7F" w14:textId="77777777" w:rsidR="002F5E78" w:rsidRPr="00E85F03" w:rsidRDefault="002F5E78" w:rsidP="00E85F03">
      <w:pPr>
        <w:widowControl/>
        <w:spacing w:before="120" w:after="120" w:line="360" w:lineRule="auto"/>
        <w:jc w:val="both"/>
        <w:rPr>
          <w:rFonts w:ascii="Times New Roman" w:hAnsi="Times New Roman" w:cs="Times New Roman"/>
          <w:b/>
          <w:color w:val="000000" w:themeColor="text1"/>
          <w:sz w:val="24"/>
          <w:szCs w:val="24"/>
        </w:rPr>
      </w:pPr>
    </w:p>
    <w:p w14:paraId="5ECF4F5B" w14:textId="77777777" w:rsidR="00C2190D" w:rsidRPr="00E85F03" w:rsidRDefault="005429F3" w:rsidP="00E85F03">
      <w:pPr>
        <w:pStyle w:val="ListParagraph"/>
        <w:widowControl/>
        <w:numPr>
          <w:ilvl w:val="0"/>
          <w:numId w:val="16"/>
        </w:numPr>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The Insurance Bill of 2016 (“the Bill”) </w:t>
      </w:r>
      <w:r w:rsidR="004E61FE" w:rsidRPr="00E85F03">
        <w:rPr>
          <w:rFonts w:ascii="Times New Roman" w:hAnsi="Times New Roman" w:cs="Times New Roman"/>
          <w:color w:val="000000" w:themeColor="text1"/>
          <w:sz w:val="24"/>
          <w:szCs w:val="24"/>
        </w:rPr>
        <w:t>is part of the tranche of Bills giving effect</w:t>
      </w:r>
      <w:r w:rsidR="007D1983" w:rsidRPr="00E85F03">
        <w:rPr>
          <w:rFonts w:ascii="Times New Roman" w:hAnsi="Times New Roman" w:cs="Times New Roman"/>
          <w:color w:val="000000" w:themeColor="text1"/>
          <w:sz w:val="24"/>
          <w:szCs w:val="24"/>
        </w:rPr>
        <w:t xml:space="preserve"> to the new “Twin Peaks” model</w:t>
      </w:r>
      <w:r w:rsidR="001213FC" w:rsidRPr="00E85F03">
        <w:rPr>
          <w:rFonts w:ascii="Times New Roman" w:hAnsi="Times New Roman" w:cs="Times New Roman"/>
          <w:color w:val="000000" w:themeColor="text1"/>
          <w:sz w:val="24"/>
          <w:szCs w:val="24"/>
        </w:rPr>
        <w:t xml:space="preserve"> that seeks to transform the financial sector to reduce the prospects of the negative consequences</w:t>
      </w:r>
      <w:r w:rsidR="006336F2" w:rsidRPr="00E85F03">
        <w:rPr>
          <w:rFonts w:ascii="Times New Roman" w:hAnsi="Times New Roman" w:cs="Times New Roman"/>
          <w:color w:val="000000" w:themeColor="text1"/>
          <w:sz w:val="24"/>
          <w:szCs w:val="24"/>
        </w:rPr>
        <w:t xml:space="preserve"> of the 2008 global financial</w:t>
      </w:r>
      <w:r w:rsidR="001213FC" w:rsidRPr="00E85F03">
        <w:rPr>
          <w:rFonts w:ascii="Times New Roman" w:hAnsi="Times New Roman" w:cs="Times New Roman"/>
          <w:color w:val="000000" w:themeColor="text1"/>
          <w:sz w:val="24"/>
          <w:szCs w:val="24"/>
        </w:rPr>
        <w:t xml:space="preserve"> </w:t>
      </w:r>
      <w:r w:rsidR="006336F2" w:rsidRPr="00E85F03">
        <w:rPr>
          <w:rFonts w:ascii="Times New Roman" w:hAnsi="Times New Roman" w:cs="Times New Roman"/>
          <w:color w:val="000000" w:themeColor="text1"/>
          <w:sz w:val="24"/>
          <w:szCs w:val="24"/>
        </w:rPr>
        <w:t>and economic crisis</w:t>
      </w:r>
      <w:r w:rsidR="00F14AEF" w:rsidRPr="00E85F03">
        <w:rPr>
          <w:rFonts w:ascii="Times New Roman" w:hAnsi="Times New Roman" w:cs="Times New Roman"/>
          <w:color w:val="000000" w:themeColor="text1"/>
          <w:sz w:val="24"/>
          <w:szCs w:val="24"/>
        </w:rPr>
        <w:t xml:space="preserve"> recurring</w:t>
      </w:r>
      <w:r w:rsidR="005E240B" w:rsidRPr="00E85F03">
        <w:rPr>
          <w:rFonts w:ascii="Times New Roman" w:hAnsi="Times New Roman" w:cs="Times New Roman"/>
          <w:color w:val="000000" w:themeColor="text1"/>
          <w:sz w:val="24"/>
          <w:szCs w:val="24"/>
        </w:rPr>
        <w:t xml:space="preserve">, </w:t>
      </w:r>
      <w:r w:rsidR="004446E6" w:rsidRPr="00E85F03">
        <w:rPr>
          <w:rFonts w:ascii="Times New Roman" w:hAnsi="Times New Roman" w:cs="Times New Roman"/>
          <w:color w:val="000000" w:themeColor="text1"/>
          <w:sz w:val="24"/>
          <w:szCs w:val="24"/>
        </w:rPr>
        <w:t xml:space="preserve">especially </w:t>
      </w:r>
      <w:r w:rsidR="005E240B" w:rsidRPr="00E85F03">
        <w:rPr>
          <w:rFonts w:ascii="Times New Roman" w:hAnsi="Times New Roman" w:cs="Times New Roman"/>
          <w:color w:val="000000" w:themeColor="text1"/>
          <w:sz w:val="24"/>
          <w:szCs w:val="24"/>
        </w:rPr>
        <w:t xml:space="preserve">for </w:t>
      </w:r>
      <w:r w:rsidR="004446E6" w:rsidRPr="00E85F03">
        <w:rPr>
          <w:rFonts w:ascii="Times New Roman" w:hAnsi="Times New Roman" w:cs="Times New Roman"/>
          <w:color w:val="000000" w:themeColor="text1"/>
          <w:sz w:val="24"/>
          <w:szCs w:val="24"/>
        </w:rPr>
        <w:t>financial customers</w:t>
      </w:r>
      <w:r w:rsidR="00F14AEF" w:rsidRPr="00E85F03">
        <w:rPr>
          <w:rFonts w:ascii="Times New Roman" w:hAnsi="Times New Roman" w:cs="Times New Roman"/>
          <w:color w:val="000000" w:themeColor="text1"/>
          <w:sz w:val="24"/>
          <w:szCs w:val="24"/>
        </w:rPr>
        <w:t xml:space="preserve">. </w:t>
      </w:r>
      <w:r w:rsidR="005E240B" w:rsidRPr="00E85F03">
        <w:rPr>
          <w:rFonts w:ascii="Times New Roman" w:hAnsi="Times New Roman" w:cs="Times New Roman"/>
          <w:color w:val="000000" w:themeColor="text1"/>
          <w:sz w:val="24"/>
          <w:szCs w:val="24"/>
        </w:rPr>
        <w:t xml:space="preserve">It is the lower income earners that usually </w:t>
      </w:r>
      <w:proofErr w:type="gramStart"/>
      <w:r w:rsidR="005E240B" w:rsidRPr="00E85F03">
        <w:rPr>
          <w:rFonts w:ascii="Times New Roman" w:hAnsi="Times New Roman" w:cs="Times New Roman"/>
          <w:color w:val="000000" w:themeColor="text1"/>
          <w:sz w:val="24"/>
          <w:szCs w:val="24"/>
        </w:rPr>
        <w:t>suffer</w:t>
      </w:r>
      <w:proofErr w:type="gramEnd"/>
      <w:r w:rsidR="005E240B" w:rsidRPr="00E85F03">
        <w:rPr>
          <w:rFonts w:ascii="Times New Roman" w:hAnsi="Times New Roman" w:cs="Times New Roman"/>
          <w:color w:val="000000" w:themeColor="text1"/>
          <w:sz w:val="24"/>
          <w:szCs w:val="24"/>
        </w:rPr>
        <w:t xml:space="preserve"> disproportionately w</w:t>
      </w:r>
      <w:r w:rsidR="00471754" w:rsidRPr="00E85F03">
        <w:rPr>
          <w:rFonts w:ascii="Times New Roman" w:hAnsi="Times New Roman" w:cs="Times New Roman"/>
          <w:color w:val="000000" w:themeColor="text1"/>
          <w:sz w:val="24"/>
          <w:szCs w:val="24"/>
        </w:rPr>
        <w:t>hen financial institutions fail – and in South Africa these are mainly Black people.</w:t>
      </w:r>
      <w:r w:rsidR="005E240B" w:rsidRPr="00E85F03">
        <w:rPr>
          <w:rFonts w:ascii="Times New Roman" w:hAnsi="Times New Roman" w:cs="Times New Roman"/>
          <w:color w:val="000000" w:themeColor="text1"/>
          <w:sz w:val="24"/>
          <w:szCs w:val="24"/>
        </w:rPr>
        <w:t xml:space="preserve">  </w:t>
      </w:r>
    </w:p>
    <w:p w14:paraId="52243751" w14:textId="77777777" w:rsidR="005429F3" w:rsidRPr="00E85F03" w:rsidRDefault="004C4DBA" w:rsidP="00E85F03">
      <w:pPr>
        <w:pStyle w:val="ListParagraph"/>
        <w:widowControl/>
        <w:numPr>
          <w:ilvl w:val="0"/>
          <w:numId w:val="16"/>
        </w:numPr>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The Bill </w:t>
      </w:r>
      <w:r w:rsidR="005429F3" w:rsidRPr="00E85F03">
        <w:rPr>
          <w:rFonts w:ascii="Times New Roman" w:hAnsi="Times New Roman" w:cs="Times New Roman"/>
          <w:color w:val="000000" w:themeColor="text1"/>
          <w:sz w:val="24"/>
          <w:szCs w:val="24"/>
        </w:rPr>
        <w:t>provides a consolidated legal framework for the prudential supervision of insurers</w:t>
      </w:r>
      <w:r w:rsidR="00FF0E73" w:rsidRPr="00E85F03">
        <w:rPr>
          <w:rFonts w:ascii="Times New Roman" w:hAnsi="Times New Roman" w:cs="Times New Roman"/>
          <w:color w:val="000000" w:themeColor="text1"/>
          <w:sz w:val="24"/>
          <w:szCs w:val="24"/>
        </w:rPr>
        <w:t xml:space="preserve"> </w:t>
      </w:r>
      <w:r w:rsidR="005429F3" w:rsidRPr="00E85F03">
        <w:rPr>
          <w:rFonts w:ascii="Times New Roman" w:hAnsi="Times New Roman" w:cs="Times New Roman"/>
          <w:color w:val="000000" w:themeColor="text1"/>
          <w:sz w:val="24"/>
          <w:szCs w:val="24"/>
        </w:rPr>
        <w:t>that is consistent with international standards for insurance regulation and supervision</w:t>
      </w:r>
      <w:r w:rsidR="00FF0E73" w:rsidRPr="00E85F03">
        <w:rPr>
          <w:rFonts w:ascii="Times New Roman" w:hAnsi="Times New Roman" w:cs="Times New Roman"/>
          <w:color w:val="000000" w:themeColor="text1"/>
          <w:sz w:val="24"/>
          <w:szCs w:val="24"/>
        </w:rPr>
        <w:t xml:space="preserve"> and takes into account </w:t>
      </w:r>
      <w:r w:rsidR="006A6088" w:rsidRPr="00E85F03">
        <w:rPr>
          <w:rFonts w:ascii="Times New Roman" w:hAnsi="Times New Roman" w:cs="Times New Roman"/>
          <w:color w:val="000000" w:themeColor="text1"/>
          <w:sz w:val="24"/>
          <w:szCs w:val="24"/>
        </w:rPr>
        <w:t>the specific conditions in South Africa</w:t>
      </w:r>
      <w:r w:rsidR="005429F3" w:rsidRPr="00E85F03">
        <w:rPr>
          <w:rFonts w:ascii="Times New Roman" w:hAnsi="Times New Roman" w:cs="Times New Roman"/>
          <w:color w:val="000000" w:themeColor="text1"/>
          <w:sz w:val="24"/>
          <w:szCs w:val="24"/>
        </w:rPr>
        <w:t>. It also seeks to replace and consolidate substantial parts of the Long-term Insurance Act, 1998 (Act No. 52 of 1998) and the Short-term Insurance Act, 1998 (Act No. 53 of 1998) relating to prudential supervision.</w:t>
      </w:r>
    </w:p>
    <w:p w14:paraId="526AEF6C" w14:textId="77777777" w:rsidR="005429F3" w:rsidRPr="00E85F03" w:rsidRDefault="005429F3" w:rsidP="00E85F03">
      <w:pPr>
        <w:pStyle w:val="ListParagraph"/>
        <w:widowControl/>
        <w:numPr>
          <w:ilvl w:val="0"/>
          <w:numId w:val="16"/>
        </w:numPr>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The Bill seeks to promote the maintenance of a fair, safe and stable insurance market by establishing a legal framework for insurers that –</w:t>
      </w:r>
    </w:p>
    <w:p w14:paraId="6B6FE9A2" w14:textId="77777777" w:rsidR="005429F3" w:rsidRPr="00E85F03" w:rsidRDefault="005429F3" w:rsidP="00E85F03">
      <w:pPr>
        <w:pStyle w:val="ListParagraph"/>
        <w:widowControl/>
        <w:numPr>
          <w:ilvl w:val="0"/>
          <w:numId w:val="11"/>
        </w:numPr>
        <w:spacing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Enhances financial soundness and oversight through higher prudential standards, group supervision and stronger reinsurance arrangement</w:t>
      </w:r>
      <w:r w:rsidR="00DA757A" w:rsidRPr="00E85F03">
        <w:rPr>
          <w:rFonts w:ascii="Times New Roman" w:hAnsi="Times New Roman" w:cs="Times New Roman"/>
          <w:color w:val="000000" w:themeColor="text1"/>
          <w:sz w:val="24"/>
          <w:szCs w:val="24"/>
        </w:rPr>
        <w:t>s;</w:t>
      </w:r>
    </w:p>
    <w:p w14:paraId="3F62DF2B" w14:textId="77777777" w:rsidR="005429F3" w:rsidRPr="00E85F03" w:rsidRDefault="005429F3" w:rsidP="00E85F03">
      <w:pPr>
        <w:pStyle w:val="ListParagraph"/>
        <w:widowControl/>
        <w:numPr>
          <w:ilvl w:val="0"/>
          <w:numId w:val="11"/>
        </w:numPr>
        <w:spacing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Increases access to insurance through a dedicated micro-insurance framework; </w:t>
      </w:r>
    </w:p>
    <w:p w14:paraId="4F183D13" w14:textId="77777777" w:rsidR="005429F3" w:rsidRPr="00E85F03" w:rsidRDefault="005429F3" w:rsidP="00E85F03">
      <w:pPr>
        <w:pStyle w:val="ListParagraph"/>
        <w:widowControl/>
        <w:numPr>
          <w:ilvl w:val="0"/>
          <w:numId w:val="11"/>
        </w:numPr>
        <w:autoSpaceDE w:val="0"/>
        <w:autoSpaceDN w:val="0"/>
        <w:adjustRightInd w:val="0"/>
        <w:spacing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strengthens the regulatory requirements in respect of governance, risk management and internal controls for insurers; and </w:t>
      </w:r>
    </w:p>
    <w:p w14:paraId="6FEBF48A" w14:textId="77777777" w:rsidR="005429F3" w:rsidRPr="00E85F03" w:rsidRDefault="005429F3" w:rsidP="00E85F03">
      <w:pPr>
        <w:pStyle w:val="ListParagraph"/>
        <w:widowControl/>
        <w:numPr>
          <w:ilvl w:val="0"/>
          <w:numId w:val="11"/>
        </w:numPr>
        <w:autoSpaceDE w:val="0"/>
        <w:autoSpaceDN w:val="0"/>
        <w:adjustRightInd w:val="0"/>
        <w:spacing w:line="360" w:lineRule="auto"/>
        <w:jc w:val="both"/>
        <w:rPr>
          <w:rFonts w:ascii="Times New Roman" w:hAnsi="Times New Roman" w:cs="Times New Roman"/>
          <w:color w:val="000000" w:themeColor="text1"/>
          <w:sz w:val="24"/>
          <w:szCs w:val="24"/>
        </w:rPr>
      </w:pPr>
      <w:proofErr w:type="gramStart"/>
      <w:r w:rsidRPr="00E85F03">
        <w:rPr>
          <w:rFonts w:ascii="Times New Roman" w:hAnsi="Times New Roman" w:cs="Times New Roman"/>
          <w:color w:val="000000" w:themeColor="text1"/>
          <w:sz w:val="24"/>
          <w:szCs w:val="24"/>
        </w:rPr>
        <w:t>aligns</w:t>
      </w:r>
      <w:proofErr w:type="gramEnd"/>
      <w:r w:rsidRPr="00E85F03">
        <w:rPr>
          <w:rFonts w:ascii="Times New Roman" w:hAnsi="Times New Roman" w:cs="Times New Roman"/>
          <w:color w:val="000000" w:themeColor="text1"/>
          <w:sz w:val="24"/>
          <w:szCs w:val="24"/>
        </w:rPr>
        <w:t xml:space="preserve"> with international standards and </w:t>
      </w:r>
      <w:r w:rsidR="005008C3" w:rsidRPr="00E85F03">
        <w:rPr>
          <w:rFonts w:ascii="Times New Roman" w:hAnsi="Times New Roman" w:cs="Times New Roman"/>
          <w:color w:val="000000" w:themeColor="text1"/>
          <w:sz w:val="24"/>
          <w:szCs w:val="24"/>
        </w:rPr>
        <w:t xml:space="preserve">is </w:t>
      </w:r>
      <w:r w:rsidRPr="00E85F03">
        <w:rPr>
          <w:rFonts w:ascii="Times New Roman" w:hAnsi="Times New Roman" w:cs="Times New Roman"/>
          <w:color w:val="000000" w:themeColor="text1"/>
          <w:sz w:val="24"/>
          <w:szCs w:val="24"/>
        </w:rPr>
        <w:t>in accordance with</w:t>
      </w:r>
      <w:r w:rsidR="00755294" w:rsidRPr="00E85F03">
        <w:rPr>
          <w:rFonts w:ascii="Times New Roman" w:hAnsi="Times New Roman" w:cs="Times New Roman"/>
          <w:color w:val="000000" w:themeColor="text1"/>
          <w:sz w:val="24"/>
          <w:szCs w:val="24"/>
        </w:rPr>
        <w:t xml:space="preserve"> South Africa’s G20 commitments, while taking into account the </w:t>
      </w:r>
      <w:r w:rsidR="00471754" w:rsidRPr="00E85F03">
        <w:rPr>
          <w:rFonts w:ascii="Times New Roman" w:hAnsi="Times New Roman" w:cs="Times New Roman"/>
          <w:color w:val="000000" w:themeColor="text1"/>
          <w:sz w:val="24"/>
          <w:szCs w:val="24"/>
        </w:rPr>
        <w:t>spec</w:t>
      </w:r>
      <w:r w:rsidR="00D3046B" w:rsidRPr="00E85F03">
        <w:rPr>
          <w:rFonts w:ascii="Times New Roman" w:hAnsi="Times New Roman" w:cs="Times New Roman"/>
          <w:color w:val="000000" w:themeColor="text1"/>
          <w:sz w:val="24"/>
          <w:szCs w:val="24"/>
        </w:rPr>
        <w:t>ific conditions in South Africa.</w:t>
      </w:r>
      <w:r w:rsidR="00471754" w:rsidRPr="00E85F03">
        <w:rPr>
          <w:rFonts w:ascii="Times New Roman" w:hAnsi="Times New Roman" w:cs="Times New Roman"/>
          <w:color w:val="000000" w:themeColor="text1"/>
          <w:sz w:val="24"/>
          <w:szCs w:val="24"/>
        </w:rPr>
        <w:t xml:space="preserve"> </w:t>
      </w:r>
    </w:p>
    <w:p w14:paraId="4A114EE3" w14:textId="77777777" w:rsidR="00105AB6" w:rsidRPr="00E85F03" w:rsidRDefault="00105AB6" w:rsidP="00E85F03">
      <w:pPr>
        <w:pStyle w:val="ListParagraph"/>
        <w:widowControl/>
        <w:numPr>
          <w:ilvl w:val="0"/>
          <w:numId w:val="16"/>
        </w:numPr>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The insurance sector</w:t>
      </w:r>
      <w:r w:rsidR="005429F3" w:rsidRPr="00E85F03">
        <w:rPr>
          <w:rFonts w:ascii="Times New Roman" w:hAnsi="Times New Roman" w:cs="Times New Roman"/>
          <w:color w:val="000000" w:themeColor="text1"/>
          <w:sz w:val="24"/>
          <w:szCs w:val="24"/>
        </w:rPr>
        <w:t xml:space="preserve"> plays</w:t>
      </w:r>
      <w:r w:rsidR="00BD233F" w:rsidRPr="00E85F03">
        <w:rPr>
          <w:rFonts w:ascii="Times New Roman" w:hAnsi="Times New Roman" w:cs="Times New Roman"/>
          <w:color w:val="000000" w:themeColor="text1"/>
          <w:sz w:val="24"/>
          <w:szCs w:val="24"/>
        </w:rPr>
        <w:t xml:space="preserve"> an important </w:t>
      </w:r>
      <w:r w:rsidRPr="00E85F03">
        <w:rPr>
          <w:rFonts w:ascii="Times New Roman" w:hAnsi="Times New Roman" w:cs="Times New Roman"/>
          <w:color w:val="000000" w:themeColor="text1"/>
          <w:sz w:val="24"/>
          <w:szCs w:val="24"/>
        </w:rPr>
        <w:t xml:space="preserve">role in supporting a sustainable inclusive economy. Insurance </w:t>
      </w:r>
      <w:r w:rsidR="00DB7336" w:rsidRPr="00E85F03">
        <w:rPr>
          <w:rFonts w:ascii="Times New Roman" w:hAnsi="Times New Roman" w:cs="Times New Roman"/>
          <w:color w:val="000000" w:themeColor="text1"/>
          <w:sz w:val="24"/>
          <w:szCs w:val="24"/>
        </w:rPr>
        <w:t xml:space="preserve">provides the </w:t>
      </w:r>
      <w:r w:rsidR="00D827E8" w:rsidRPr="00E85F03">
        <w:rPr>
          <w:rFonts w:ascii="Times New Roman" w:hAnsi="Times New Roman" w:cs="Times New Roman"/>
          <w:color w:val="000000" w:themeColor="text1"/>
          <w:sz w:val="24"/>
          <w:szCs w:val="24"/>
        </w:rPr>
        <w:t xml:space="preserve">necessary </w:t>
      </w:r>
      <w:r w:rsidRPr="00E85F03">
        <w:rPr>
          <w:rFonts w:ascii="Times New Roman" w:hAnsi="Times New Roman" w:cs="Times New Roman"/>
          <w:color w:val="000000" w:themeColor="text1"/>
          <w:sz w:val="24"/>
          <w:szCs w:val="24"/>
        </w:rPr>
        <w:t>protection</w:t>
      </w:r>
      <w:r w:rsidR="00D827E8" w:rsidRPr="00E85F03">
        <w:rPr>
          <w:rFonts w:ascii="Times New Roman" w:hAnsi="Times New Roman" w:cs="Times New Roman"/>
          <w:color w:val="000000" w:themeColor="text1"/>
          <w:sz w:val="24"/>
          <w:szCs w:val="24"/>
        </w:rPr>
        <w:t xml:space="preserve"> </w:t>
      </w:r>
      <w:r w:rsidR="00C413B5" w:rsidRPr="00E85F03">
        <w:rPr>
          <w:rFonts w:ascii="Times New Roman" w:hAnsi="Times New Roman" w:cs="Times New Roman"/>
          <w:color w:val="000000" w:themeColor="text1"/>
          <w:sz w:val="24"/>
          <w:szCs w:val="24"/>
        </w:rPr>
        <w:t xml:space="preserve">for households and </w:t>
      </w:r>
      <w:r w:rsidR="00BE6D96" w:rsidRPr="00E85F03">
        <w:rPr>
          <w:rFonts w:ascii="Times New Roman" w:hAnsi="Times New Roman" w:cs="Times New Roman"/>
          <w:color w:val="000000" w:themeColor="text1"/>
          <w:sz w:val="24"/>
          <w:szCs w:val="24"/>
        </w:rPr>
        <w:t>corporates</w:t>
      </w:r>
      <w:r w:rsidR="00C413B5" w:rsidRPr="00E85F03">
        <w:rPr>
          <w:rFonts w:ascii="Times New Roman" w:hAnsi="Times New Roman" w:cs="Times New Roman"/>
          <w:color w:val="000000" w:themeColor="text1"/>
          <w:sz w:val="24"/>
          <w:szCs w:val="24"/>
        </w:rPr>
        <w:t xml:space="preserve"> to </w:t>
      </w:r>
      <w:r w:rsidR="00051834" w:rsidRPr="00E85F03">
        <w:rPr>
          <w:rFonts w:ascii="Times New Roman" w:hAnsi="Times New Roman" w:cs="Times New Roman"/>
          <w:color w:val="000000" w:themeColor="text1"/>
          <w:sz w:val="24"/>
          <w:szCs w:val="24"/>
        </w:rPr>
        <w:lastRenderedPageBreak/>
        <w:t>mitigate</w:t>
      </w:r>
      <w:r w:rsidR="00D827E8" w:rsidRPr="00E85F03">
        <w:rPr>
          <w:rFonts w:ascii="Times New Roman" w:hAnsi="Times New Roman" w:cs="Times New Roman"/>
          <w:color w:val="000000" w:themeColor="text1"/>
          <w:sz w:val="24"/>
          <w:szCs w:val="24"/>
        </w:rPr>
        <w:t xml:space="preserve"> </w:t>
      </w:r>
      <w:r w:rsidRPr="00E85F03">
        <w:rPr>
          <w:rFonts w:ascii="Times New Roman" w:hAnsi="Times New Roman" w:cs="Times New Roman"/>
          <w:color w:val="000000" w:themeColor="text1"/>
          <w:sz w:val="24"/>
          <w:szCs w:val="24"/>
        </w:rPr>
        <w:t>against unexpected loss</w:t>
      </w:r>
      <w:r w:rsidR="00DB7336" w:rsidRPr="00E85F03">
        <w:rPr>
          <w:rFonts w:ascii="Times New Roman" w:hAnsi="Times New Roman" w:cs="Times New Roman"/>
          <w:color w:val="000000" w:themeColor="text1"/>
          <w:sz w:val="24"/>
          <w:szCs w:val="24"/>
        </w:rPr>
        <w:t>es. In the absence of such protection</w:t>
      </w:r>
      <w:r w:rsidR="00260A54" w:rsidRPr="00E85F03">
        <w:rPr>
          <w:rFonts w:ascii="Times New Roman" w:hAnsi="Times New Roman" w:cs="Times New Roman"/>
          <w:color w:val="000000" w:themeColor="text1"/>
          <w:sz w:val="24"/>
          <w:szCs w:val="24"/>
        </w:rPr>
        <w:t>,</w:t>
      </w:r>
      <w:r w:rsidR="00DB7336" w:rsidRPr="00E85F03">
        <w:rPr>
          <w:rFonts w:ascii="Times New Roman" w:hAnsi="Times New Roman" w:cs="Times New Roman"/>
          <w:color w:val="000000" w:themeColor="text1"/>
          <w:sz w:val="24"/>
          <w:szCs w:val="24"/>
        </w:rPr>
        <w:t xml:space="preserve"> </w:t>
      </w:r>
      <w:r w:rsidR="00D827E8" w:rsidRPr="00E85F03">
        <w:rPr>
          <w:rFonts w:ascii="Times New Roman" w:hAnsi="Times New Roman" w:cs="Times New Roman"/>
          <w:color w:val="000000" w:themeColor="text1"/>
          <w:sz w:val="24"/>
          <w:szCs w:val="24"/>
        </w:rPr>
        <w:t>vulnerable</w:t>
      </w:r>
      <w:r w:rsidRPr="00E85F03">
        <w:rPr>
          <w:rFonts w:ascii="Times New Roman" w:hAnsi="Times New Roman" w:cs="Times New Roman"/>
          <w:color w:val="000000" w:themeColor="text1"/>
          <w:sz w:val="24"/>
          <w:szCs w:val="24"/>
        </w:rPr>
        <w:t xml:space="preserve"> households and </w:t>
      </w:r>
      <w:r w:rsidR="00D827E8" w:rsidRPr="00E85F03">
        <w:rPr>
          <w:rFonts w:ascii="Times New Roman" w:hAnsi="Times New Roman" w:cs="Times New Roman"/>
          <w:color w:val="000000" w:themeColor="text1"/>
          <w:sz w:val="24"/>
          <w:szCs w:val="24"/>
        </w:rPr>
        <w:t>corporates could be pushed into a viciou</w:t>
      </w:r>
      <w:r w:rsidR="00DB7336" w:rsidRPr="00E85F03">
        <w:rPr>
          <w:rFonts w:ascii="Times New Roman" w:hAnsi="Times New Roman" w:cs="Times New Roman"/>
          <w:color w:val="000000" w:themeColor="text1"/>
          <w:sz w:val="24"/>
          <w:szCs w:val="24"/>
        </w:rPr>
        <w:t>s cycle of debt and poverty</w:t>
      </w:r>
      <w:r w:rsidR="00D827E8" w:rsidRPr="00E85F03">
        <w:rPr>
          <w:rFonts w:ascii="Times New Roman" w:hAnsi="Times New Roman" w:cs="Times New Roman"/>
          <w:color w:val="000000" w:themeColor="text1"/>
          <w:sz w:val="24"/>
          <w:szCs w:val="24"/>
        </w:rPr>
        <w:t>.</w:t>
      </w:r>
    </w:p>
    <w:p w14:paraId="150C44F1" w14:textId="77777777" w:rsidR="00105AB6" w:rsidRPr="00E85F03" w:rsidRDefault="00260A54" w:rsidP="00E85F03">
      <w:pPr>
        <w:pStyle w:val="ListParagraph"/>
        <w:widowControl/>
        <w:numPr>
          <w:ilvl w:val="0"/>
          <w:numId w:val="16"/>
        </w:numPr>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The C</w:t>
      </w:r>
      <w:r w:rsidR="00051834" w:rsidRPr="00E85F03">
        <w:rPr>
          <w:rFonts w:ascii="Times New Roman" w:hAnsi="Times New Roman" w:cs="Times New Roman"/>
          <w:color w:val="000000" w:themeColor="text1"/>
          <w:sz w:val="24"/>
          <w:szCs w:val="24"/>
        </w:rPr>
        <w:t xml:space="preserve">ommittee </w:t>
      </w:r>
      <w:r w:rsidR="00E24AD4" w:rsidRPr="00E85F03">
        <w:rPr>
          <w:rFonts w:ascii="Times New Roman" w:hAnsi="Times New Roman" w:cs="Times New Roman"/>
          <w:color w:val="000000" w:themeColor="text1"/>
          <w:sz w:val="24"/>
          <w:szCs w:val="24"/>
        </w:rPr>
        <w:t xml:space="preserve">supports </w:t>
      </w:r>
      <w:r w:rsidR="00D827E8" w:rsidRPr="00E85F03">
        <w:rPr>
          <w:rFonts w:ascii="Times New Roman" w:hAnsi="Times New Roman" w:cs="Times New Roman"/>
          <w:color w:val="000000" w:themeColor="text1"/>
          <w:sz w:val="24"/>
          <w:szCs w:val="24"/>
        </w:rPr>
        <w:t>Government’s</w:t>
      </w:r>
      <w:r w:rsidR="00105AB6" w:rsidRPr="00E85F03">
        <w:rPr>
          <w:rFonts w:ascii="Times New Roman" w:hAnsi="Times New Roman" w:cs="Times New Roman"/>
          <w:color w:val="000000" w:themeColor="text1"/>
          <w:sz w:val="24"/>
          <w:szCs w:val="24"/>
        </w:rPr>
        <w:t xml:space="preserve"> policy priorities to ensure that all South Africans have access to affordable and appropriate insurance</w:t>
      </w:r>
      <w:r w:rsidRPr="00E85F03">
        <w:rPr>
          <w:rFonts w:ascii="Times New Roman" w:hAnsi="Times New Roman" w:cs="Times New Roman"/>
          <w:color w:val="000000" w:themeColor="text1"/>
          <w:sz w:val="24"/>
          <w:szCs w:val="24"/>
        </w:rPr>
        <w:t xml:space="preserve"> coverage (financial inclusion), c</w:t>
      </w:r>
      <w:r w:rsidR="00105AB6" w:rsidRPr="00E85F03">
        <w:rPr>
          <w:rFonts w:ascii="Times New Roman" w:hAnsi="Times New Roman" w:cs="Times New Roman"/>
          <w:color w:val="000000" w:themeColor="text1"/>
          <w:sz w:val="24"/>
          <w:szCs w:val="24"/>
        </w:rPr>
        <w:t xml:space="preserve">onsumers are treated fairly, and are protected from poor outcomes arising from market failures (market conduct). Insurers must meet their long and short-term promises to consumers and must remain financially stable, in order to be in a position to continue to pay claims (prudential soundness). </w:t>
      </w:r>
    </w:p>
    <w:p w14:paraId="12BD894D" w14:textId="77777777" w:rsidR="00DB7336" w:rsidRPr="00E85F03" w:rsidRDefault="00DB7336" w:rsidP="00E85F03">
      <w:pPr>
        <w:pStyle w:val="ListParagraph"/>
        <w:widowControl/>
        <w:numPr>
          <w:ilvl w:val="0"/>
          <w:numId w:val="16"/>
        </w:numPr>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The 2008 </w:t>
      </w:r>
      <w:r w:rsidR="005008C3" w:rsidRPr="00E85F03">
        <w:rPr>
          <w:rFonts w:ascii="Times New Roman" w:hAnsi="Times New Roman" w:cs="Times New Roman"/>
          <w:color w:val="000000" w:themeColor="text1"/>
          <w:sz w:val="24"/>
          <w:szCs w:val="24"/>
        </w:rPr>
        <w:t>g</w:t>
      </w:r>
      <w:r w:rsidRPr="00E85F03">
        <w:rPr>
          <w:rFonts w:ascii="Times New Roman" w:hAnsi="Times New Roman" w:cs="Times New Roman"/>
          <w:color w:val="000000" w:themeColor="text1"/>
          <w:sz w:val="24"/>
          <w:szCs w:val="24"/>
        </w:rPr>
        <w:t xml:space="preserve">lobal </w:t>
      </w:r>
      <w:r w:rsidR="005008C3" w:rsidRPr="00E85F03">
        <w:rPr>
          <w:rFonts w:ascii="Times New Roman" w:hAnsi="Times New Roman" w:cs="Times New Roman"/>
          <w:color w:val="000000" w:themeColor="text1"/>
          <w:sz w:val="24"/>
          <w:szCs w:val="24"/>
        </w:rPr>
        <w:t>f</w:t>
      </w:r>
      <w:r w:rsidRPr="00E85F03">
        <w:rPr>
          <w:rFonts w:ascii="Times New Roman" w:hAnsi="Times New Roman" w:cs="Times New Roman"/>
          <w:color w:val="000000" w:themeColor="text1"/>
          <w:sz w:val="24"/>
          <w:szCs w:val="24"/>
        </w:rPr>
        <w:t xml:space="preserve">inancial </w:t>
      </w:r>
      <w:r w:rsidR="005008C3" w:rsidRPr="00E85F03">
        <w:rPr>
          <w:rFonts w:ascii="Times New Roman" w:hAnsi="Times New Roman" w:cs="Times New Roman"/>
          <w:color w:val="000000" w:themeColor="text1"/>
          <w:sz w:val="24"/>
          <w:szCs w:val="24"/>
        </w:rPr>
        <w:t>and economic c</w:t>
      </w:r>
      <w:r w:rsidRPr="00E85F03">
        <w:rPr>
          <w:rFonts w:ascii="Times New Roman" w:hAnsi="Times New Roman" w:cs="Times New Roman"/>
          <w:color w:val="000000" w:themeColor="text1"/>
          <w:sz w:val="24"/>
          <w:szCs w:val="24"/>
        </w:rPr>
        <w:t>risis highlighted the importance of having higher prudential and market conduct standards on both banks and insurance companies, to enhance their financial soundness and ultimately support consumer protection and financial stability</w:t>
      </w:r>
      <w:r w:rsidR="00051834" w:rsidRPr="00E85F03">
        <w:rPr>
          <w:rFonts w:ascii="Times New Roman" w:hAnsi="Times New Roman" w:cs="Times New Roman"/>
          <w:color w:val="000000" w:themeColor="text1"/>
          <w:sz w:val="24"/>
          <w:szCs w:val="24"/>
        </w:rPr>
        <w:t>.</w:t>
      </w:r>
    </w:p>
    <w:p w14:paraId="0C4907D9" w14:textId="77777777" w:rsidR="00DB7336" w:rsidRPr="00E85F03" w:rsidRDefault="00DB7336" w:rsidP="00E85F03">
      <w:pPr>
        <w:pStyle w:val="ListParagraph"/>
        <w:widowControl/>
        <w:numPr>
          <w:ilvl w:val="0"/>
          <w:numId w:val="16"/>
        </w:numPr>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In South Africa, a</w:t>
      </w:r>
      <w:r w:rsidR="00051834" w:rsidRPr="00E85F03">
        <w:rPr>
          <w:rFonts w:ascii="Times New Roman" w:hAnsi="Times New Roman" w:cs="Times New Roman"/>
          <w:color w:val="000000" w:themeColor="text1"/>
          <w:sz w:val="24"/>
          <w:szCs w:val="24"/>
        </w:rPr>
        <w:t xml:space="preserve"> new </w:t>
      </w:r>
      <w:r w:rsidRPr="00E85F03">
        <w:rPr>
          <w:rFonts w:ascii="Times New Roman" w:hAnsi="Times New Roman" w:cs="Times New Roman"/>
          <w:color w:val="000000" w:themeColor="text1"/>
          <w:sz w:val="24"/>
          <w:szCs w:val="24"/>
        </w:rPr>
        <w:t xml:space="preserve">prudential framework for the insurance sector called the Solvency Assessment and </w:t>
      </w:r>
      <w:r w:rsidR="00260A54" w:rsidRPr="00E85F03">
        <w:rPr>
          <w:rFonts w:ascii="Times New Roman" w:hAnsi="Times New Roman" w:cs="Times New Roman"/>
          <w:color w:val="000000" w:themeColor="text1"/>
          <w:sz w:val="24"/>
          <w:szCs w:val="24"/>
        </w:rPr>
        <w:t>Management (“SAM”) framework has been</w:t>
      </w:r>
      <w:r w:rsidRPr="00E85F03">
        <w:rPr>
          <w:rFonts w:ascii="Times New Roman" w:hAnsi="Times New Roman" w:cs="Times New Roman"/>
          <w:color w:val="000000" w:themeColor="text1"/>
          <w:sz w:val="24"/>
          <w:szCs w:val="24"/>
        </w:rPr>
        <w:t xml:space="preserve"> developed</w:t>
      </w:r>
      <w:r w:rsidR="00051834" w:rsidRPr="00E85F03">
        <w:rPr>
          <w:rFonts w:ascii="Times New Roman" w:hAnsi="Times New Roman" w:cs="Times New Roman"/>
          <w:color w:val="000000" w:themeColor="text1"/>
          <w:sz w:val="24"/>
          <w:szCs w:val="24"/>
        </w:rPr>
        <w:t xml:space="preserve"> </w:t>
      </w:r>
      <w:r w:rsidRPr="00E85F03">
        <w:rPr>
          <w:rFonts w:ascii="Times New Roman" w:hAnsi="Times New Roman" w:cs="Times New Roman"/>
          <w:color w:val="000000" w:themeColor="text1"/>
          <w:sz w:val="24"/>
          <w:szCs w:val="24"/>
        </w:rPr>
        <w:t>to improve policyho</w:t>
      </w:r>
      <w:r w:rsidR="004A0824" w:rsidRPr="00E85F03">
        <w:rPr>
          <w:rFonts w:ascii="Times New Roman" w:hAnsi="Times New Roman" w:cs="Times New Roman"/>
          <w:color w:val="000000" w:themeColor="text1"/>
          <w:sz w:val="24"/>
          <w:szCs w:val="24"/>
        </w:rPr>
        <w:t>lder protection and contribute</w:t>
      </w:r>
      <w:r w:rsidRPr="00E85F03">
        <w:rPr>
          <w:rFonts w:ascii="Times New Roman" w:hAnsi="Times New Roman" w:cs="Times New Roman"/>
          <w:color w:val="000000" w:themeColor="text1"/>
          <w:sz w:val="24"/>
          <w:szCs w:val="24"/>
        </w:rPr>
        <w:t xml:space="preserve"> to financial stability through aligning insurers’ regulatory capital requirements with the underlying risks of the insurer. </w:t>
      </w:r>
    </w:p>
    <w:p w14:paraId="68BEBE23" w14:textId="77777777" w:rsidR="009F1D0A" w:rsidRPr="00E85F03" w:rsidRDefault="00321063" w:rsidP="00E85F03">
      <w:pPr>
        <w:pStyle w:val="ListParagraph"/>
        <w:widowControl/>
        <w:numPr>
          <w:ilvl w:val="0"/>
          <w:numId w:val="16"/>
        </w:numPr>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The enhanced prudential framework for insurers forms part of Phase 2 of Twin Peaks reforms</w:t>
      </w:r>
      <w:r w:rsidR="00151A0C" w:rsidRPr="00E85F03">
        <w:rPr>
          <w:rFonts w:ascii="Times New Roman" w:hAnsi="Times New Roman" w:cs="Times New Roman"/>
          <w:color w:val="000000" w:themeColor="text1"/>
          <w:sz w:val="24"/>
          <w:szCs w:val="24"/>
        </w:rPr>
        <w:t xml:space="preserve">. Phase 1 was the passage of the </w:t>
      </w:r>
      <w:r w:rsidR="00C413B5" w:rsidRPr="00E85F03">
        <w:rPr>
          <w:rFonts w:ascii="Times New Roman" w:hAnsi="Times New Roman" w:cs="Times New Roman"/>
          <w:color w:val="000000" w:themeColor="text1"/>
          <w:sz w:val="24"/>
          <w:szCs w:val="24"/>
        </w:rPr>
        <w:t xml:space="preserve">Financial </w:t>
      </w:r>
      <w:r w:rsidR="00151A0C" w:rsidRPr="00E85F03">
        <w:rPr>
          <w:rFonts w:ascii="Times New Roman" w:hAnsi="Times New Roman" w:cs="Times New Roman"/>
          <w:color w:val="000000" w:themeColor="text1"/>
          <w:sz w:val="24"/>
          <w:szCs w:val="24"/>
        </w:rPr>
        <w:t>Sector Regulation Act</w:t>
      </w:r>
      <w:r w:rsidR="006329CF" w:rsidRPr="00E85F03">
        <w:rPr>
          <w:rFonts w:ascii="Times New Roman" w:hAnsi="Times New Roman" w:cs="Times New Roman"/>
          <w:color w:val="000000" w:themeColor="text1"/>
          <w:sz w:val="24"/>
          <w:szCs w:val="24"/>
        </w:rPr>
        <w:t>, 2017</w:t>
      </w:r>
      <w:r w:rsidR="00151A0C" w:rsidRPr="00E85F03">
        <w:rPr>
          <w:rFonts w:ascii="Times New Roman" w:hAnsi="Times New Roman" w:cs="Times New Roman"/>
          <w:color w:val="000000" w:themeColor="text1"/>
          <w:sz w:val="24"/>
          <w:szCs w:val="24"/>
        </w:rPr>
        <w:t xml:space="preserve">. </w:t>
      </w:r>
      <w:r w:rsidRPr="00E85F03">
        <w:rPr>
          <w:rFonts w:ascii="Times New Roman" w:hAnsi="Times New Roman" w:cs="Times New Roman"/>
          <w:color w:val="000000" w:themeColor="text1"/>
          <w:sz w:val="24"/>
          <w:szCs w:val="24"/>
        </w:rPr>
        <w:t xml:space="preserve"> </w:t>
      </w:r>
      <w:r w:rsidR="00151A0C" w:rsidRPr="00E85F03">
        <w:rPr>
          <w:rFonts w:ascii="Times New Roman" w:hAnsi="Times New Roman" w:cs="Times New Roman"/>
          <w:color w:val="000000" w:themeColor="text1"/>
          <w:sz w:val="24"/>
          <w:szCs w:val="24"/>
        </w:rPr>
        <w:t xml:space="preserve">These reforms </w:t>
      </w:r>
      <w:r w:rsidRPr="00E85F03">
        <w:rPr>
          <w:rFonts w:ascii="Times New Roman" w:hAnsi="Times New Roman" w:cs="Times New Roman"/>
          <w:color w:val="000000" w:themeColor="text1"/>
          <w:sz w:val="24"/>
          <w:szCs w:val="24"/>
        </w:rPr>
        <w:t xml:space="preserve">seek to significantly enhance South Africa’s financial regulatory and supervisory framework, by also enabling an intensive, intrusive and effective system of regulating the financial sector. </w:t>
      </w:r>
    </w:p>
    <w:p w14:paraId="7891284B" w14:textId="77777777" w:rsidR="00321063" w:rsidRPr="00E85F03" w:rsidRDefault="00321063" w:rsidP="00E85F03">
      <w:pPr>
        <w:pStyle w:val="ListParagraph"/>
        <w:widowControl/>
        <w:numPr>
          <w:ilvl w:val="0"/>
          <w:numId w:val="16"/>
        </w:numPr>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The Bill facilitates a seamless transition into the Twin Peaks </w:t>
      </w:r>
      <w:r w:rsidR="004A0824" w:rsidRPr="00E85F03">
        <w:rPr>
          <w:rFonts w:ascii="Times New Roman" w:hAnsi="Times New Roman" w:cs="Times New Roman"/>
          <w:color w:val="000000" w:themeColor="text1"/>
          <w:sz w:val="24"/>
          <w:szCs w:val="24"/>
        </w:rPr>
        <w:t xml:space="preserve">model </w:t>
      </w:r>
      <w:r w:rsidRPr="00E85F03">
        <w:rPr>
          <w:rFonts w:ascii="Times New Roman" w:hAnsi="Times New Roman" w:cs="Times New Roman"/>
          <w:color w:val="000000" w:themeColor="text1"/>
          <w:sz w:val="24"/>
          <w:szCs w:val="24"/>
        </w:rPr>
        <w:t>that is envisaged in the Financial Sector Regulation Act, in respect of prudential supervision of insurers, which will be enforced by the new Prudential Authority under the South African Reserve Bank.</w:t>
      </w:r>
    </w:p>
    <w:p w14:paraId="73C3AE71" w14:textId="77777777" w:rsidR="00260A54" w:rsidRPr="00E85F03" w:rsidRDefault="00717AD8" w:rsidP="00E85F03">
      <w:pPr>
        <w:pStyle w:val="ListParagraph"/>
        <w:widowControl/>
        <w:numPr>
          <w:ilvl w:val="0"/>
          <w:numId w:val="16"/>
        </w:numPr>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As an important part of the overall transformation of the financial sector, t</w:t>
      </w:r>
      <w:r w:rsidR="00260A54" w:rsidRPr="00E85F03">
        <w:rPr>
          <w:rFonts w:ascii="Times New Roman" w:hAnsi="Times New Roman" w:cs="Times New Roman"/>
          <w:color w:val="000000" w:themeColor="text1"/>
          <w:sz w:val="24"/>
          <w:szCs w:val="24"/>
        </w:rPr>
        <w:t xml:space="preserve">he Bill seeks to </w:t>
      </w:r>
      <w:r w:rsidRPr="00E85F03">
        <w:rPr>
          <w:rFonts w:ascii="Times New Roman" w:hAnsi="Times New Roman" w:cs="Times New Roman"/>
          <w:color w:val="000000" w:themeColor="text1"/>
          <w:sz w:val="24"/>
          <w:szCs w:val="24"/>
        </w:rPr>
        <w:t>encourage</w:t>
      </w:r>
      <w:r w:rsidR="00260A54" w:rsidRPr="00E85F03">
        <w:rPr>
          <w:rFonts w:ascii="Times New Roman" w:hAnsi="Times New Roman" w:cs="Times New Roman"/>
          <w:color w:val="000000" w:themeColor="text1"/>
          <w:sz w:val="24"/>
          <w:szCs w:val="24"/>
        </w:rPr>
        <w:t xml:space="preserve"> new entrants in the highly monopolized </w:t>
      </w:r>
      <w:r w:rsidR="00492E6B" w:rsidRPr="00E85F03">
        <w:rPr>
          <w:rFonts w:ascii="Times New Roman" w:hAnsi="Times New Roman" w:cs="Times New Roman"/>
          <w:color w:val="000000" w:themeColor="text1"/>
          <w:sz w:val="24"/>
          <w:szCs w:val="24"/>
        </w:rPr>
        <w:t xml:space="preserve">insurance industry and </w:t>
      </w:r>
      <w:r w:rsidRPr="00E85F03">
        <w:rPr>
          <w:rFonts w:ascii="Times New Roman" w:hAnsi="Times New Roman" w:cs="Times New Roman"/>
          <w:color w:val="000000" w:themeColor="text1"/>
          <w:sz w:val="24"/>
          <w:szCs w:val="24"/>
        </w:rPr>
        <w:t xml:space="preserve">contribute towards </w:t>
      </w:r>
      <w:proofErr w:type="spellStart"/>
      <w:r w:rsidR="00492E6B" w:rsidRPr="00E85F03">
        <w:rPr>
          <w:rFonts w:ascii="Times New Roman" w:hAnsi="Times New Roman" w:cs="Times New Roman"/>
          <w:color w:val="000000" w:themeColor="text1"/>
          <w:sz w:val="24"/>
          <w:szCs w:val="24"/>
        </w:rPr>
        <w:t>deracialisation</w:t>
      </w:r>
      <w:proofErr w:type="spellEnd"/>
      <w:r w:rsidR="00492E6B" w:rsidRPr="00E85F03">
        <w:rPr>
          <w:rFonts w:ascii="Times New Roman" w:hAnsi="Times New Roman" w:cs="Times New Roman"/>
          <w:color w:val="000000" w:themeColor="text1"/>
          <w:sz w:val="24"/>
          <w:szCs w:val="24"/>
        </w:rPr>
        <w:t xml:space="preserve"> and</w:t>
      </w:r>
      <w:r w:rsidR="00E175E2" w:rsidRPr="00E85F03">
        <w:rPr>
          <w:rFonts w:ascii="Times New Roman" w:hAnsi="Times New Roman" w:cs="Times New Roman"/>
          <w:color w:val="000000" w:themeColor="text1"/>
          <w:sz w:val="24"/>
          <w:szCs w:val="24"/>
        </w:rPr>
        <w:t xml:space="preserve"> other aspects of the</w:t>
      </w:r>
      <w:r w:rsidR="00492E6B" w:rsidRPr="00E85F03">
        <w:rPr>
          <w:rFonts w:ascii="Times New Roman" w:hAnsi="Times New Roman" w:cs="Times New Roman"/>
          <w:color w:val="000000" w:themeColor="text1"/>
          <w:sz w:val="24"/>
          <w:szCs w:val="24"/>
        </w:rPr>
        <w:t xml:space="preserve"> transformation</w:t>
      </w:r>
      <w:r w:rsidRPr="00E85F03">
        <w:rPr>
          <w:rFonts w:ascii="Times New Roman" w:hAnsi="Times New Roman" w:cs="Times New Roman"/>
          <w:color w:val="000000" w:themeColor="text1"/>
          <w:sz w:val="24"/>
          <w:szCs w:val="24"/>
        </w:rPr>
        <w:t xml:space="preserve"> of the insurance sector.</w:t>
      </w:r>
    </w:p>
    <w:p w14:paraId="35082627" w14:textId="77777777" w:rsidR="009755AE" w:rsidRPr="00E85F03" w:rsidRDefault="009755AE" w:rsidP="00E85F03">
      <w:pPr>
        <w:pStyle w:val="ListParagraph"/>
        <w:widowControl/>
        <w:spacing w:before="120" w:after="120" w:line="360" w:lineRule="auto"/>
        <w:ind w:left="360"/>
        <w:jc w:val="both"/>
        <w:rPr>
          <w:rFonts w:ascii="Times New Roman" w:hAnsi="Times New Roman" w:cs="Times New Roman"/>
          <w:color w:val="000000" w:themeColor="text1"/>
          <w:sz w:val="24"/>
          <w:szCs w:val="24"/>
        </w:rPr>
      </w:pPr>
    </w:p>
    <w:p w14:paraId="14AC7ED0" w14:textId="77777777" w:rsidR="00BE15FB" w:rsidRPr="00E85F03" w:rsidRDefault="00AE7EAF" w:rsidP="00E85F03">
      <w:pPr>
        <w:widowControl/>
        <w:spacing w:before="120" w:after="120" w:line="360" w:lineRule="auto"/>
        <w:jc w:val="both"/>
        <w:rPr>
          <w:rFonts w:ascii="Times New Roman" w:hAnsi="Times New Roman" w:cs="Times New Roman"/>
          <w:b/>
          <w:color w:val="000000" w:themeColor="text1"/>
          <w:sz w:val="24"/>
          <w:szCs w:val="24"/>
        </w:rPr>
      </w:pPr>
      <w:r w:rsidRPr="00E85F03">
        <w:rPr>
          <w:rFonts w:ascii="Times New Roman" w:hAnsi="Times New Roman" w:cs="Times New Roman"/>
          <w:b/>
          <w:color w:val="000000" w:themeColor="text1"/>
          <w:sz w:val="24"/>
          <w:szCs w:val="24"/>
        </w:rPr>
        <w:t>Public Consultation P</w:t>
      </w:r>
      <w:r w:rsidR="00BE15FB" w:rsidRPr="00E85F03">
        <w:rPr>
          <w:rFonts w:ascii="Times New Roman" w:hAnsi="Times New Roman" w:cs="Times New Roman"/>
          <w:b/>
          <w:color w:val="000000" w:themeColor="text1"/>
          <w:sz w:val="24"/>
          <w:szCs w:val="24"/>
        </w:rPr>
        <w:t>rocess</w:t>
      </w:r>
    </w:p>
    <w:p w14:paraId="3889A078" w14:textId="77777777" w:rsidR="009F1D0A" w:rsidRPr="00E85F03" w:rsidRDefault="00BE15FB" w:rsidP="00E85F03">
      <w:pPr>
        <w:pStyle w:val="ListParagraph"/>
        <w:widowControl/>
        <w:numPr>
          <w:ilvl w:val="0"/>
          <w:numId w:val="16"/>
        </w:numPr>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The Bill was first approved by the Cabinet</w:t>
      </w:r>
      <w:r w:rsidR="00C413B5" w:rsidRPr="00E85F03">
        <w:rPr>
          <w:rFonts w:ascii="Times New Roman" w:hAnsi="Times New Roman" w:cs="Times New Roman"/>
          <w:color w:val="000000" w:themeColor="text1"/>
          <w:sz w:val="24"/>
          <w:szCs w:val="24"/>
        </w:rPr>
        <w:t xml:space="preserve"> </w:t>
      </w:r>
      <w:r w:rsidRPr="00E85F03">
        <w:rPr>
          <w:rFonts w:ascii="Times New Roman" w:hAnsi="Times New Roman" w:cs="Times New Roman"/>
          <w:color w:val="000000" w:themeColor="text1"/>
          <w:sz w:val="24"/>
          <w:szCs w:val="24"/>
        </w:rPr>
        <w:t>and released for public comment on 17 April 2015. The Minister of Finance tabled the Bill in Parliament on 28 January 2016.</w:t>
      </w:r>
      <w:r w:rsidR="00AE7EAF" w:rsidRPr="00E85F03">
        <w:rPr>
          <w:rFonts w:ascii="Times New Roman" w:hAnsi="Times New Roman" w:cs="Times New Roman"/>
          <w:color w:val="000000" w:themeColor="text1"/>
          <w:sz w:val="24"/>
          <w:szCs w:val="24"/>
        </w:rPr>
        <w:t xml:space="preserve"> </w:t>
      </w:r>
      <w:r w:rsidRPr="00E85F03">
        <w:rPr>
          <w:rFonts w:ascii="Times New Roman" w:hAnsi="Times New Roman" w:cs="Times New Roman"/>
          <w:color w:val="000000" w:themeColor="text1"/>
          <w:sz w:val="24"/>
          <w:szCs w:val="24"/>
        </w:rPr>
        <w:t xml:space="preserve">The </w:t>
      </w:r>
      <w:r w:rsidR="008575AB" w:rsidRPr="00E85F03">
        <w:rPr>
          <w:rFonts w:ascii="Times New Roman" w:hAnsi="Times New Roman" w:cs="Times New Roman"/>
          <w:color w:val="000000" w:themeColor="text1"/>
          <w:sz w:val="24"/>
          <w:szCs w:val="24"/>
        </w:rPr>
        <w:t>c</w:t>
      </w:r>
      <w:r w:rsidRPr="00E85F03">
        <w:rPr>
          <w:rFonts w:ascii="Times New Roman" w:hAnsi="Times New Roman" w:cs="Times New Roman"/>
          <w:color w:val="000000" w:themeColor="text1"/>
          <w:sz w:val="24"/>
          <w:szCs w:val="24"/>
        </w:rPr>
        <w:t>ommittee released the Bill for further public comments on 15 December 2016,</w:t>
      </w:r>
      <w:r w:rsidR="00AE7EAF" w:rsidRPr="00E85F03">
        <w:rPr>
          <w:rFonts w:ascii="Times New Roman" w:hAnsi="Times New Roman" w:cs="Times New Roman"/>
          <w:color w:val="000000" w:themeColor="text1"/>
          <w:sz w:val="24"/>
          <w:szCs w:val="24"/>
        </w:rPr>
        <w:t xml:space="preserve"> </w:t>
      </w:r>
      <w:r w:rsidRPr="00E85F03">
        <w:rPr>
          <w:rFonts w:ascii="Times New Roman" w:hAnsi="Times New Roman" w:cs="Times New Roman"/>
          <w:color w:val="000000" w:themeColor="text1"/>
          <w:sz w:val="24"/>
          <w:szCs w:val="24"/>
        </w:rPr>
        <w:t xml:space="preserve">followed by </w:t>
      </w:r>
      <w:r w:rsidR="00174EE6" w:rsidRPr="00E85F03">
        <w:rPr>
          <w:rFonts w:ascii="Times New Roman" w:hAnsi="Times New Roman" w:cs="Times New Roman"/>
          <w:color w:val="000000" w:themeColor="text1"/>
          <w:sz w:val="24"/>
          <w:szCs w:val="24"/>
        </w:rPr>
        <w:t xml:space="preserve">public hearings on the Bill on </w:t>
      </w:r>
      <w:r w:rsidRPr="00E85F03">
        <w:rPr>
          <w:rFonts w:ascii="Times New Roman" w:hAnsi="Times New Roman" w:cs="Times New Roman"/>
          <w:color w:val="000000" w:themeColor="text1"/>
          <w:sz w:val="24"/>
          <w:szCs w:val="24"/>
        </w:rPr>
        <w:t>7 February 2017.</w:t>
      </w:r>
      <w:r w:rsidR="00E24B44" w:rsidRPr="00E85F03">
        <w:rPr>
          <w:rFonts w:ascii="Times New Roman" w:hAnsi="Times New Roman" w:cs="Times New Roman"/>
          <w:color w:val="000000" w:themeColor="text1"/>
          <w:sz w:val="24"/>
          <w:szCs w:val="24"/>
        </w:rPr>
        <w:t xml:space="preserve"> A total of 18 submissions were </w:t>
      </w:r>
      <w:r w:rsidR="00E24B44" w:rsidRPr="00E85F03">
        <w:rPr>
          <w:rFonts w:ascii="Times New Roman" w:hAnsi="Times New Roman" w:cs="Times New Roman"/>
          <w:color w:val="000000" w:themeColor="text1"/>
          <w:sz w:val="24"/>
          <w:szCs w:val="24"/>
        </w:rPr>
        <w:lastRenderedPageBreak/>
        <w:t>received from a diverse range of affected stakeholders.</w:t>
      </w:r>
      <w:r w:rsidRPr="00E85F03">
        <w:rPr>
          <w:rFonts w:ascii="Times New Roman" w:hAnsi="Times New Roman" w:cs="Times New Roman"/>
          <w:color w:val="000000" w:themeColor="text1"/>
          <w:sz w:val="24"/>
          <w:szCs w:val="24"/>
        </w:rPr>
        <w:t xml:space="preserve"> On 10 May 2017, the National</w:t>
      </w:r>
      <w:r w:rsidR="00AE7EAF" w:rsidRPr="00E85F03">
        <w:rPr>
          <w:rFonts w:ascii="Times New Roman" w:hAnsi="Times New Roman" w:cs="Times New Roman"/>
          <w:color w:val="000000" w:themeColor="text1"/>
          <w:sz w:val="24"/>
          <w:szCs w:val="24"/>
        </w:rPr>
        <w:t xml:space="preserve"> Treasury provided responses to </w:t>
      </w:r>
      <w:r w:rsidR="00174EE6" w:rsidRPr="00E85F03">
        <w:rPr>
          <w:rFonts w:ascii="Times New Roman" w:hAnsi="Times New Roman" w:cs="Times New Roman"/>
          <w:color w:val="000000" w:themeColor="text1"/>
          <w:sz w:val="24"/>
          <w:szCs w:val="24"/>
        </w:rPr>
        <w:t xml:space="preserve">the </w:t>
      </w:r>
      <w:r w:rsidR="00AE7EAF" w:rsidRPr="00E85F03">
        <w:rPr>
          <w:rFonts w:ascii="Times New Roman" w:hAnsi="Times New Roman" w:cs="Times New Roman"/>
          <w:color w:val="000000" w:themeColor="text1"/>
          <w:sz w:val="24"/>
          <w:szCs w:val="24"/>
        </w:rPr>
        <w:t xml:space="preserve">submissions on the </w:t>
      </w:r>
      <w:r w:rsidR="00174EE6" w:rsidRPr="00E85F03">
        <w:rPr>
          <w:rFonts w:ascii="Times New Roman" w:hAnsi="Times New Roman" w:cs="Times New Roman"/>
          <w:color w:val="000000" w:themeColor="text1"/>
          <w:sz w:val="24"/>
          <w:szCs w:val="24"/>
        </w:rPr>
        <w:t>Bill</w:t>
      </w:r>
      <w:r w:rsidR="00AE7EAF" w:rsidRPr="00E85F03">
        <w:rPr>
          <w:rFonts w:ascii="Times New Roman" w:hAnsi="Times New Roman" w:cs="Times New Roman"/>
          <w:color w:val="000000" w:themeColor="text1"/>
          <w:sz w:val="24"/>
          <w:szCs w:val="24"/>
        </w:rPr>
        <w:t>, some of the participants in the hearings responded to this and NT subsequently responded to this</w:t>
      </w:r>
      <w:r w:rsidR="00174EE6" w:rsidRPr="00E85F03">
        <w:rPr>
          <w:rFonts w:ascii="Times New Roman" w:hAnsi="Times New Roman" w:cs="Times New Roman"/>
          <w:color w:val="000000" w:themeColor="text1"/>
          <w:sz w:val="24"/>
          <w:szCs w:val="24"/>
        </w:rPr>
        <w:t>.</w:t>
      </w:r>
      <w:r w:rsidR="00E24B44" w:rsidRPr="00E85F03">
        <w:rPr>
          <w:rFonts w:ascii="Times New Roman" w:hAnsi="Times New Roman" w:cs="Times New Roman"/>
          <w:color w:val="000000" w:themeColor="text1"/>
          <w:sz w:val="24"/>
          <w:szCs w:val="24"/>
        </w:rPr>
        <w:t xml:space="preserve"> </w:t>
      </w:r>
      <w:r w:rsidR="00AE7EAF" w:rsidRPr="00E85F03">
        <w:rPr>
          <w:rFonts w:ascii="Times New Roman" w:hAnsi="Times New Roman" w:cs="Times New Roman"/>
          <w:color w:val="000000" w:themeColor="text1"/>
          <w:sz w:val="24"/>
          <w:szCs w:val="24"/>
        </w:rPr>
        <w:t xml:space="preserve">The Committee considered submissions from stakeholders continuously in the processing of the Bill. </w:t>
      </w:r>
      <w:r w:rsidR="00174EE6" w:rsidRPr="00E85F03">
        <w:rPr>
          <w:rFonts w:ascii="Times New Roman" w:hAnsi="Times New Roman" w:cs="Times New Roman"/>
          <w:color w:val="000000" w:themeColor="text1"/>
          <w:sz w:val="24"/>
          <w:szCs w:val="24"/>
        </w:rPr>
        <w:t xml:space="preserve"> </w:t>
      </w:r>
    </w:p>
    <w:p w14:paraId="12DDEA32" w14:textId="77777777" w:rsidR="00BE15FB" w:rsidRPr="00E85F03" w:rsidRDefault="008575AB" w:rsidP="00E85F03">
      <w:pPr>
        <w:pStyle w:val="ListParagraph"/>
        <w:widowControl/>
        <w:numPr>
          <w:ilvl w:val="0"/>
          <w:numId w:val="16"/>
        </w:numPr>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National Treasury </w:t>
      </w:r>
      <w:r w:rsidR="00AE7EAF" w:rsidRPr="00E85F03">
        <w:rPr>
          <w:rFonts w:ascii="Times New Roman" w:hAnsi="Times New Roman" w:cs="Times New Roman"/>
          <w:color w:val="000000" w:themeColor="text1"/>
          <w:sz w:val="24"/>
          <w:szCs w:val="24"/>
        </w:rPr>
        <w:t xml:space="preserve">also </w:t>
      </w:r>
      <w:r w:rsidR="00554305" w:rsidRPr="00E85F03">
        <w:rPr>
          <w:rFonts w:ascii="Times New Roman" w:hAnsi="Times New Roman" w:cs="Times New Roman"/>
          <w:color w:val="000000" w:themeColor="text1"/>
          <w:sz w:val="24"/>
          <w:szCs w:val="24"/>
        </w:rPr>
        <w:t xml:space="preserve">published </w:t>
      </w:r>
      <w:r w:rsidR="003E6F45" w:rsidRPr="00E85F03">
        <w:rPr>
          <w:rFonts w:ascii="Times New Roman" w:hAnsi="Times New Roman" w:cs="Times New Roman"/>
          <w:color w:val="000000" w:themeColor="text1"/>
          <w:sz w:val="24"/>
          <w:szCs w:val="24"/>
        </w:rPr>
        <w:t xml:space="preserve">amendments to </w:t>
      </w:r>
      <w:r w:rsidR="00554305" w:rsidRPr="00E85F03">
        <w:rPr>
          <w:rFonts w:ascii="Times New Roman" w:hAnsi="Times New Roman" w:cs="Times New Roman"/>
          <w:color w:val="000000" w:themeColor="text1"/>
          <w:sz w:val="24"/>
          <w:szCs w:val="24"/>
        </w:rPr>
        <w:t>Schedules</w:t>
      </w:r>
      <w:r w:rsidRPr="00E85F03">
        <w:rPr>
          <w:rFonts w:ascii="Times New Roman" w:hAnsi="Times New Roman" w:cs="Times New Roman"/>
          <w:color w:val="000000" w:themeColor="text1"/>
          <w:sz w:val="24"/>
          <w:szCs w:val="24"/>
        </w:rPr>
        <w:t xml:space="preserve"> 1 and 3 to the Bill for public comment on 10 October 2017 and responses </w:t>
      </w:r>
      <w:r w:rsidR="00AE7EAF" w:rsidRPr="00E85F03">
        <w:rPr>
          <w:rFonts w:ascii="Times New Roman" w:hAnsi="Times New Roman" w:cs="Times New Roman"/>
          <w:color w:val="000000" w:themeColor="text1"/>
          <w:sz w:val="24"/>
          <w:szCs w:val="24"/>
        </w:rPr>
        <w:t xml:space="preserve">from stakeholders were </w:t>
      </w:r>
      <w:r w:rsidRPr="00E85F03">
        <w:rPr>
          <w:rFonts w:ascii="Times New Roman" w:hAnsi="Times New Roman" w:cs="Times New Roman"/>
          <w:color w:val="000000" w:themeColor="text1"/>
          <w:sz w:val="24"/>
          <w:szCs w:val="24"/>
        </w:rPr>
        <w:t xml:space="preserve">discussed in </w:t>
      </w:r>
      <w:r w:rsidR="00174EE6" w:rsidRPr="00E85F03">
        <w:rPr>
          <w:rFonts w:ascii="Times New Roman" w:hAnsi="Times New Roman" w:cs="Times New Roman"/>
          <w:color w:val="000000" w:themeColor="text1"/>
          <w:sz w:val="24"/>
          <w:szCs w:val="24"/>
        </w:rPr>
        <w:t xml:space="preserve">the </w:t>
      </w:r>
      <w:r w:rsidR="00AE7EAF" w:rsidRPr="00E85F03">
        <w:rPr>
          <w:rFonts w:ascii="Times New Roman" w:hAnsi="Times New Roman" w:cs="Times New Roman"/>
          <w:color w:val="000000" w:themeColor="text1"/>
          <w:sz w:val="24"/>
          <w:szCs w:val="24"/>
        </w:rPr>
        <w:t>C</w:t>
      </w:r>
      <w:r w:rsidRPr="00E85F03">
        <w:rPr>
          <w:rFonts w:ascii="Times New Roman" w:hAnsi="Times New Roman" w:cs="Times New Roman"/>
          <w:color w:val="000000" w:themeColor="text1"/>
          <w:sz w:val="24"/>
          <w:szCs w:val="24"/>
        </w:rPr>
        <w:t xml:space="preserve">ommittee </w:t>
      </w:r>
      <w:r w:rsidR="00AE7EAF" w:rsidRPr="00E85F03">
        <w:rPr>
          <w:rFonts w:ascii="Times New Roman" w:hAnsi="Times New Roman" w:cs="Times New Roman"/>
          <w:color w:val="000000" w:themeColor="text1"/>
          <w:sz w:val="24"/>
          <w:szCs w:val="24"/>
        </w:rPr>
        <w:t xml:space="preserve">meeting of </w:t>
      </w:r>
      <w:r w:rsidRPr="00E85F03">
        <w:rPr>
          <w:rFonts w:ascii="Times New Roman" w:hAnsi="Times New Roman" w:cs="Times New Roman"/>
          <w:color w:val="000000" w:themeColor="text1"/>
          <w:sz w:val="24"/>
          <w:szCs w:val="24"/>
        </w:rPr>
        <w:t>8 November 2017.</w:t>
      </w:r>
      <w:r w:rsidR="008861A3" w:rsidRPr="00E85F03">
        <w:rPr>
          <w:rFonts w:ascii="Times New Roman" w:hAnsi="Times New Roman" w:cs="Times New Roman"/>
          <w:color w:val="000000" w:themeColor="text1"/>
          <w:sz w:val="24"/>
          <w:szCs w:val="24"/>
        </w:rPr>
        <w:t xml:space="preserve"> </w:t>
      </w:r>
      <w:r w:rsidR="007E6F00" w:rsidRPr="00E85F03">
        <w:rPr>
          <w:rFonts w:ascii="Times New Roman" w:hAnsi="Times New Roman" w:cs="Times New Roman"/>
          <w:color w:val="000000" w:themeColor="text1"/>
          <w:sz w:val="24"/>
          <w:szCs w:val="24"/>
        </w:rPr>
        <w:t>C</w:t>
      </w:r>
      <w:r w:rsidR="008861A3" w:rsidRPr="00E85F03">
        <w:rPr>
          <w:rFonts w:ascii="Times New Roman" w:hAnsi="Times New Roman" w:cs="Times New Roman"/>
          <w:color w:val="000000" w:themeColor="text1"/>
          <w:sz w:val="24"/>
          <w:szCs w:val="24"/>
        </w:rPr>
        <w:t xml:space="preserve">omprehensive responses </w:t>
      </w:r>
      <w:r w:rsidR="007E6F00" w:rsidRPr="00E85F03">
        <w:rPr>
          <w:rFonts w:ascii="Times New Roman" w:hAnsi="Times New Roman" w:cs="Times New Roman"/>
          <w:color w:val="000000" w:themeColor="text1"/>
          <w:sz w:val="24"/>
          <w:szCs w:val="24"/>
        </w:rPr>
        <w:t xml:space="preserve">were provided </w:t>
      </w:r>
      <w:r w:rsidR="008861A3" w:rsidRPr="00E85F03">
        <w:rPr>
          <w:rFonts w:ascii="Times New Roman" w:hAnsi="Times New Roman" w:cs="Times New Roman"/>
          <w:color w:val="000000" w:themeColor="text1"/>
          <w:sz w:val="24"/>
          <w:szCs w:val="24"/>
        </w:rPr>
        <w:t>to all public submission</w:t>
      </w:r>
      <w:r w:rsidR="0076313C" w:rsidRPr="00E85F03">
        <w:rPr>
          <w:rFonts w:ascii="Times New Roman" w:hAnsi="Times New Roman" w:cs="Times New Roman"/>
          <w:color w:val="000000" w:themeColor="text1"/>
          <w:sz w:val="24"/>
          <w:szCs w:val="24"/>
        </w:rPr>
        <w:t>s</w:t>
      </w:r>
      <w:r w:rsidR="008861A3" w:rsidRPr="00E85F03">
        <w:rPr>
          <w:rFonts w:ascii="Times New Roman" w:hAnsi="Times New Roman" w:cs="Times New Roman"/>
          <w:color w:val="000000" w:themeColor="text1"/>
          <w:sz w:val="24"/>
          <w:szCs w:val="24"/>
        </w:rPr>
        <w:t xml:space="preserve"> received at each stage of the public consultation process.</w:t>
      </w:r>
    </w:p>
    <w:p w14:paraId="666E4865" w14:textId="77777777" w:rsidR="009F718E" w:rsidRPr="00E85F03" w:rsidRDefault="009F718E" w:rsidP="00E85F03">
      <w:pPr>
        <w:pStyle w:val="ListParagraph"/>
        <w:widowControl/>
        <w:numPr>
          <w:ilvl w:val="0"/>
          <w:numId w:val="16"/>
        </w:numPr>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A key issue raised by mainly the emerging entrepreneurs and professionals in the public hearings was the barriers to entry for them and the need to urgently transform the insurance sector. </w:t>
      </w:r>
    </w:p>
    <w:p w14:paraId="2FDC286E" w14:textId="77777777" w:rsidR="00AE7EAF" w:rsidRPr="00E85F03" w:rsidRDefault="00AE7EAF" w:rsidP="00E85F03">
      <w:pPr>
        <w:pStyle w:val="ListParagraph"/>
        <w:widowControl/>
        <w:numPr>
          <w:ilvl w:val="0"/>
          <w:numId w:val="16"/>
        </w:numPr>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The </w:t>
      </w:r>
      <w:r w:rsidR="0081601D" w:rsidRPr="00E85F03">
        <w:rPr>
          <w:rFonts w:ascii="Times New Roman" w:hAnsi="Times New Roman" w:cs="Times New Roman"/>
          <w:color w:val="000000" w:themeColor="text1"/>
          <w:sz w:val="24"/>
          <w:szCs w:val="24"/>
        </w:rPr>
        <w:t xml:space="preserve">Finance </w:t>
      </w:r>
      <w:r w:rsidRPr="00E85F03">
        <w:rPr>
          <w:rFonts w:ascii="Times New Roman" w:hAnsi="Times New Roman" w:cs="Times New Roman"/>
          <w:color w:val="000000" w:themeColor="text1"/>
          <w:sz w:val="24"/>
          <w:szCs w:val="24"/>
        </w:rPr>
        <w:t>Committee</w:t>
      </w:r>
      <w:r w:rsidR="0081601D" w:rsidRPr="00E85F03">
        <w:rPr>
          <w:rFonts w:ascii="Times New Roman" w:hAnsi="Times New Roman" w:cs="Times New Roman"/>
          <w:color w:val="000000" w:themeColor="text1"/>
          <w:sz w:val="24"/>
          <w:szCs w:val="24"/>
        </w:rPr>
        <w:t>, together with the Portfolio Committee on Trade and Industry,</w:t>
      </w:r>
      <w:r w:rsidRPr="00E85F03">
        <w:rPr>
          <w:rFonts w:ascii="Times New Roman" w:hAnsi="Times New Roman" w:cs="Times New Roman"/>
          <w:color w:val="000000" w:themeColor="text1"/>
          <w:sz w:val="24"/>
          <w:szCs w:val="24"/>
        </w:rPr>
        <w:t xml:space="preserve"> organized major public hearings on Financial Sector Transformation </w:t>
      </w:r>
      <w:r w:rsidR="005C02BF" w:rsidRPr="00E85F03">
        <w:rPr>
          <w:rFonts w:ascii="Times New Roman" w:hAnsi="Times New Roman" w:cs="Times New Roman"/>
          <w:color w:val="000000" w:themeColor="text1"/>
          <w:sz w:val="24"/>
          <w:szCs w:val="24"/>
        </w:rPr>
        <w:t xml:space="preserve">(FST) </w:t>
      </w:r>
      <w:r w:rsidRPr="00E85F03">
        <w:rPr>
          <w:rFonts w:ascii="Times New Roman" w:hAnsi="Times New Roman" w:cs="Times New Roman"/>
          <w:color w:val="000000" w:themeColor="text1"/>
          <w:sz w:val="24"/>
          <w:szCs w:val="24"/>
        </w:rPr>
        <w:t xml:space="preserve">on </w:t>
      </w:r>
      <w:r w:rsidR="005C02BF" w:rsidRPr="00E85F03">
        <w:rPr>
          <w:rFonts w:ascii="Times New Roman" w:hAnsi="Times New Roman" w:cs="Times New Roman"/>
          <w:color w:val="000000" w:themeColor="text1"/>
          <w:sz w:val="24"/>
          <w:szCs w:val="24"/>
        </w:rPr>
        <w:t xml:space="preserve">14 March, 22 March and 3 May </w:t>
      </w:r>
      <w:r w:rsidRPr="00E85F03">
        <w:rPr>
          <w:rFonts w:ascii="Times New Roman" w:hAnsi="Times New Roman" w:cs="Times New Roman"/>
          <w:color w:val="000000" w:themeColor="text1"/>
          <w:sz w:val="24"/>
          <w:szCs w:val="24"/>
        </w:rPr>
        <w:t>2017</w:t>
      </w:r>
      <w:r w:rsidR="005C02BF" w:rsidRPr="00E85F03">
        <w:rPr>
          <w:rFonts w:ascii="Times New Roman" w:hAnsi="Times New Roman" w:cs="Times New Roman"/>
          <w:color w:val="000000" w:themeColor="text1"/>
          <w:sz w:val="24"/>
          <w:szCs w:val="24"/>
        </w:rPr>
        <w:t>, in which all the key stakeholders in the financial sector, including in insurance</w:t>
      </w:r>
      <w:r w:rsidR="0081601D" w:rsidRPr="00E85F03">
        <w:rPr>
          <w:rFonts w:ascii="Times New Roman" w:hAnsi="Times New Roman" w:cs="Times New Roman"/>
          <w:color w:val="000000" w:themeColor="text1"/>
          <w:sz w:val="24"/>
          <w:szCs w:val="24"/>
        </w:rPr>
        <w:t>,</w:t>
      </w:r>
      <w:r w:rsidR="005C02BF" w:rsidRPr="00E85F03">
        <w:rPr>
          <w:rFonts w:ascii="Times New Roman" w:hAnsi="Times New Roman" w:cs="Times New Roman"/>
          <w:color w:val="000000" w:themeColor="text1"/>
          <w:sz w:val="24"/>
          <w:szCs w:val="24"/>
        </w:rPr>
        <w:t xml:space="preserve"> participated. An Interim FST Report</w:t>
      </w:r>
      <w:r w:rsidR="0081601D" w:rsidRPr="00E85F03">
        <w:rPr>
          <w:rFonts w:ascii="Times New Roman" w:hAnsi="Times New Roman" w:cs="Times New Roman"/>
          <w:color w:val="000000" w:themeColor="text1"/>
          <w:sz w:val="24"/>
          <w:szCs w:val="24"/>
        </w:rPr>
        <w:t xml:space="preserve">, dealing </w:t>
      </w:r>
      <w:r w:rsidR="00E07632" w:rsidRPr="00E85F03">
        <w:rPr>
          <w:rFonts w:ascii="Times New Roman" w:hAnsi="Times New Roman" w:cs="Times New Roman"/>
          <w:color w:val="000000" w:themeColor="text1"/>
          <w:sz w:val="24"/>
          <w:szCs w:val="24"/>
        </w:rPr>
        <w:t xml:space="preserve">also with the insurance sector specifically, </w:t>
      </w:r>
      <w:r w:rsidR="005C02BF" w:rsidRPr="00E85F03">
        <w:rPr>
          <w:rFonts w:ascii="Times New Roman" w:hAnsi="Times New Roman" w:cs="Times New Roman"/>
          <w:color w:val="000000" w:themeColor="text1"/>
          <w:sz w:val="24"/>
          <w:szCs w:val="24"/>
        </w:rPr>
        <w:t>was finalized on 6 September 2017 and sent to all the participants in the hearings with a request for their responses. Their responses were subsequently</w:t>
      </w:r>
      <w:r w:rsidR="0081601D" w:rsidRPr="00E85F03">
        <w:rPr>
          <w:rFonts w:ascii="Times New Roman" w:hAnsi="Times New Roman" w:cs="Times New Roman"/>
          <w:color w:val="000000" w:themeColor="text1"/>
          <w:sz w:val="24"/>
          <w:szCs w:val="24"/>
        </w:rPr>
        <w:t xml:space="preserve"> </w:t>
      </w:r>
      <w:r w:rsidR="00E07632" w:rsidRPr="00E85F03">
        <w:rPr>
          <w:rFonts w:ascii="Times New Roman" w:hAnsi="Times New Roman" w:cs="Times New Roman"/>
          <w:color w:val="000000" w:themeColor="text1"/>
          <w:sz w:val="24"/>
          <w:szCs w:val="24"/>
        </w:rPr>
        <w:t>processed through Committee meetings and a final Report adopted on 15 November.</w:t>
      </w:r>
      <w:r w:rsidR="005C02BF" w:rsidRPr="00E85F03">
        <w:rPr>
          <w:rFonts w:ascii="Times New Roman" w:hAnsi="Times New Roman" w:cs="Times New Roman"/>
          <w:color w:val="000000" w:themeColor="text1"/>
          <w:sz w:val="24"/>
          <w:szCs w:val="24"/>
        </w:rPr>
        <w:t xml:space="preserve">  </w:t>
      </w:r>
      <w:r w:rsidR="009F718E" w:rsidRPr="00E85F03">
        <w:rPr>
          <w:rFonts w:ascii="Times New Roman" w:hAnsi="Times New Roman" w:cs="Times New Roman"/>
          <w:color w:val="000000" w:themeColor="text1"/>
          <w:sz w:val="24"/>
          <w:szCs w:val="24"/>
        </w:rPr>
        <w:t xml:space="preserve">Many of the issues around the need for transformation of the insurance sector raised at the Insurance Bill public hearings were repeated at these hearings and taken further.  </w:t>
      </w:r>
    </w:p>
    <w:p w14:paraId="2C07C05B" w14:textId="77777777" w:rsidR="00437132" w:rsidRPr="00E85F03" w:rsidRDefault="00506FF8" w:rsidP="00E85F03">
      <w:pPr>
        <w:pStyle w:val="ListParagraph"/>
        <w:widowControl/>
        <w:numPr>
          <w:ilvl w:val="0"/>
          <w:numId w:val="16"/>
        </w:numPr>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The Committee was not able to </w:t>
      </w:r>
      <w:proofErr w:type="spellStart"/>
      <w:r w:rsidRPr="00E85F03">
        <w:rPr>
          <w:rFonts w:ascii="Times New Roman" w:hAnsi="Times New Roman" w:cs="Times New Roman"/>
          <w:color w:val="000000" w:themeColor="text1"/>
          <w:sz w:val="24"/>
          <w:szCs w:val="24"/>
        </w:rPr>
        <w:t>finalise</w:t>
      </w:r>
      <w:proofErr w:type="spellEnd"/>
      <w:r w:rsidRPr="00E85F03">
        <w:rPr>
          <w:rFonts w:ascii="Times New Roman" w:hAnsi="Times New Roman" w:cs="Times New Roman"/>
          <w:color w:val="000000" w:themeColor="text1"/>
          <w:sz w:val="24"/>
          <w:szCs w:val="24"/>
        </w:rPr>
        <w:t xml:space="preserve"> the Insurance Bill sooner because of several reasons, including our huge legislative and oversight role, and the need to have hearings on the financial sector as a whole and finalizing a report on this first. The FST Report will provide a framework for the Committee’s processing of Bills giving effect to the “Twin Peaks” model. </w:t>
      </w:r>
    </w:p>
    <w:p w14:paraId="406B25F8" w14:textId="77777777" w:rsidR="009755AE" w:rsidRPr="00E85F03" w:rsidRDefault="009755AE" w:rsidP="00E85F03">
      <w:pPr>
        <w:pStyle w:val="ListParagraph"/>
        <w:widowControl/>
        <w:spacing w:before="120" w:after="120" w:line="360" w:lineRule="auto"/>
        <w:ind w:left="360"/>
        <w:jc w:val="both"/>
        <w:rPr>
          <w:rFonts w:ascii="Times New Roman" w:hAnsi="Times New Roman" w:cs="Times New Roman"/>
          <w:color w:val="000000" w:themeColor="text1"/>
          <w:sz w:val="24"/>
          <w:szCs w:val="24"/>
        </w:rPr>
      </w:pPr>
    </w:p>
    <w:p w14:paraId="699C7CCC" w14:textId="77777777" w:rsidR="00C64ECE" w:rsidRPr="00E85F03" w:rsidRDefault="00C64ECE" w:rsidP="00E85F03">
      <w:pPr>
        <w:widowControl/>
        <w:tabs>
          <w:tab w:val="left" w:pos="142"/>
        </w:tabs>
        <w:spacing w:before="120" w:after="120" w:line="360" w:lineRule="auto"/>
        <w:jc w:val="both"/>
        <w:rPr>
          <w:rFonts w:ascii="Times New Roman" w:hAnsi="Times New Roman" w:cs="Times New Roman"/>
          <w:b/>
          <w:color w:val="000000" w:themeColor="text1"/>
          <w:sz w:val="24"/>
          <w:szCs w:val="24"/>
        </w:rPr>
      </w:pPr>
      <w:r w:rsidRPr="00E85F03">
        <w:rPr>
          <w:rFonts w:ascii="Times New Roman" w:hAnsi="Times New Roman" w:cs="Times New Roman"/>
          <w:b/>
          <w:color w:val="000000" w:themeColor="text1"/>
          <w:sz w:val="24"/>
          <w:szCs w:val="24"/>
        </w:rPr>
        <w:t>Transformation</w:t>
      </w:r>
      <w:r w:rsidR="008575AB" w:rsidRPr="00E85F03">
        <w:rPr>
          <w:rFonts w:ascii="Times New Roman" w:hAnsi="Times New Roman" w:cs="Times New Roman"/>
          <w:b/>
          <w:color w:val="000000" w:themeColor="text1"/>
          <w:sz w:val="24"/>
          <w:szCs w:val="24"/>
        </w:rPr>
        <w:t xml:space="preserve"> of the insurance sector</w:t>
      </w:r>
    </w:p>
    <w:p w14:paraId="336C98EB" w14:textId="77777777" w:rsidR="00A62951" w:rsidRPr="00E85F03" w:rsidRDefault="00051834"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During the </w:t>
      </w:r>
      <w:r w:rsidR="009F718E" w:rsidRPr="00E85F03">
        <w:rPr>
          <w:rFonts w:ascii="Times New Roman" w:hAnsi="Times New Roman" w:cs="Times New Roman"/>
          <w:color w:val="000000" w:themeColor="text1"/>
          <w:sz w:val="24"/>
          <w:szCs w:val="24"/>
        </w:rPr>
        <w:t xml:space="preserve">Insurance Bill </w:t>
      </w:r>
      <w:r w:rsidRPr="00E85F03">
        <w:rPr>
          <w:rFonts w:ascii="Times New Roman" w:hAnsi="Times New Roman" w:cs="Times New Roman"/>
          <w:color w:val="000000" w:themeColor="text1"/>
          <w:sz w:val="24"/>
          <w:szCs w:val="24"/>
        </w:rPr>
        <w:t>publ</w:t>
      </w:r>
      <w:r w:rsidR="008661F0" w:rsidRPr="00E85F03">
        <w:rPr>
          <w:rFonts w:ascii="Times New Roman" w:hAnsi="Times New Roman" w:cs="Times New Roman"/>
          <w:color w:val="000000" w:themeColor="text1"/>
          <w:sz w:val="24"/>
          <w:szCs w:val="24"/>
        </w:rPr>
        <w:t xml:space="preserve">ic hearings, a number of </w:t>
      </w:r>
      <w:r w:rsidR="006A1E20" w:rsidRPr="00E85F03">
        <w:rPr>
          <w:rFonts w:ascii="Times New Roman" w:hAnsi="Times New Roman" w:cs="Times New Roman"/>
          <w:color w:val="000000" w:themeColor="text1"/>
          <w:sz w:val="24"/>
          <w:szCs w:val="24"/>
        </w:rPr>
        <w:t xml:space="preserve">emerging entrepreneurs in the insurance sector </w:t>
      </w:r>
      <w:r w:rsidRPr="00E85F03">
        <w:rPr>
          <w:rFonts w:ascii="Times New Roman" w:hAnsi="Times New Roman" w:cs="Times New Roman"/>
          <w:color w:val="000000" w:themeColor="text1"/>
          <w:sz w:val="24"/>
          <w:szCs w:val="24"/>
        </w:rPr>
        <w:t xml:space="preserve">argued that the Bill does not deal </w:t>
      </w:r>
      <w:r w:rsidR="009F718E" w:rsidRPr="00E85F03">
        <w:rPr>
          <w:rFonts w:ascii="Times New Roman" w:hAnsi="Times New Roman" w:cs="Times New Roman"/>
          <w:color w:val="000000" w:themeColor="text1"/>
          <w:sz w:val="24"/>
          <w:szCs w:val="24"/>
        </w:rPr>
        <w:t xml:space="preserve">adequately </w:t>
      </w:r>
      <w:r w:rsidR="006F20C2" w:rsidRPr="00E85F03">
        <w:rPr>
          <w:rFonts w:ascii="Times New Roman" w:hAnsi="Times New Roman" w:cs="Times New Roman"/>
          <w:color w:val="000000" w:themeColor="text1"/>
          <w:sz w:val="24"/>
          <w:szCs w:val="24"/>
        </w:rPr>
        <w:t>with transformation</w:t>
      </w:r>
      <w:r w:rsidRPr="00E85F03">
        <w:rPr>
          <w:rFonts w:ascii="Times New Roman" w:hAnsi="Times New Roman" w:cs="Times New Roman"/>
          <w:color w:val="000000" w:themeColor="text1"/>
          <w:sz w:val="24"/>
          <w:szCs w:val="24"/>
        </w:rPr>
        <w:t xml:space="preserve"> of the insurance sector.</w:t>
      </w:r>
      <w:r w:rsidR="00A62951" w:rsidRPr="00E85F03">
        <w:rPr>
          <w:rFonts w:ascii="Times New Roman" w:hAnsi="Times New Roman" w:cs="Times New Roman"/>
          <w:color w:val="000000" w:themeColor="text1"/>
          <w:sz w:val="24"/>
          <w:szCs w:val="24"/>
        </w:rPr>
        <w:t xml:space="preserve"> </w:t>
      </w:r>
      <w:r w:rsidR="009F718E" w:rsidRPr="00E85F03">
        <w:rPr>
          <w:rFonts w:ascii="Times New Roman" w:hAnsi="Times New Roman" w:cs="Times New Roman"/>
          <w:color w:val="000000" w:themeColor="text1"/>
          <w:sz w:val="24"/>
          <w:szCs w:val="24"/>
        </w:rPr>
        <w:t>At the FST public hearings, as the FST Report notes, there was extreme frustration expressed about the lack of transformation.</w:t>
      </w:r>
    </w:p>
    <w:p w14:paraId="68333E0B" w14:textId="77777777" w:rsidR="007E6F00" w:rsidRPr="00E85F03" w:rsidRDefault="008661F0"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The Committee’s overall approach to the Bill was that new entrants need to be encouraged in the sector and that it needs to be deracialized and diversified, while at the </w:t>
      </w:r>
      <w:r w:rsidRPr="00E85F03">
        <w:rPr>
          <w:rFonts w:ascii="Times New Roman" w:hAnsi="Times New Roman" w:cs="Times New Roman"/>
          <w:color w:val="000000" w:themeColor="text1"/>
          <w:sz w:val="24"/>
          <w:szCs w:val="24"/>
        </w:rPr>
        <w:lastRenderedPageBreak/>
        <w:t xml:space="preserve">same time ensuring that the needs and interests of the policyholders are protected.  </w:t>
      </w:r>
      <w:r w:rsidR="009F718E" w:rsidRPr="00E85F03">
        <w:rPr>
          <w:rFonts w:ascii="Times New Roman" w:hAnsi="Times New Roman" w:cs="Times New Roman"/>
          <w:color w:val="000000" w:themeColor="text1"/>
          <w:sz w:val="24"/>
          <w:szCs w:val="24"/>
        </w:rPr>
        <w:t>The C</w:t>
      </w:r>
      <w:r w:rsidR="00051834" w:rsidRPr="00E85F03">
        <w:rPr>
          <w:rFonts w:ascii="Times New Roman" w:hAnsi="Times New Roman" w:cs="Times New Roman"/>
          <w:color w:val="000000" w:themeColor="text1"/>
          <w:sz w:val="24"/>
          <w:szCs w:val="24"/>
        </w:rPr>
        <w:t xml:space="preserve">ommittee </w:t>
      </w:r>
      <w:r w:rsidR="009F718E" w:rsidRPr="00E85F03">
        <w:rPr>
          <w:rFonts w:ascii="Times New Roman" w:hAnsi="Times New Roman" w:cs="Times New Roman"/>
          <w:color w:val="000000" w:themeColor="text1"/>
          <w:sz w:val="24"/>
          <w:szCs w:val="24"/>
        </w:rPr>
        <w:t xml:space="preserve">proposed several amendments to the Bill to make the </w:t>
      </w:r>
      <w:r w:rsidRPr="00E85F03">
        <w:rPr>
          <w:rFonts w:ascii="Times New Roman" w:hAnsi="Times New Roman" w:cs="Times New Roman"/>
          <w:color w:val="000000" w:themeColor="text1"/>
          <w:sz w:val="24"/>
          <w:szCs w:val="24"/>
        </w:rPr>
        <w:t xml:space="preserve">necessary </w:t>
      </w:r>
      <w:r w:rsidR="009F718E" w:rsidRPr="00E85F03">
        <w:rPr>
          <w:rFonts w:ascii="Times New Roman" w:hAnsi="Times New Roman" w:cs="Times New Roman"/>
          <w:color w:val="000000" w:themeColor="text1"/>
          <w:sz w:val="24"/>
          <w:szCs w:val="24"/>
        </w:rPr>
        <w:t>transformation more expl</w:t>
      </w:r>
      <w:r w:rsidRPr="00E85F03">
        <w:rPr>
          <w:rFonts w:ascii="Times New Roman" w:hAnsi="Times New Roman" w:cs="Times New Roman"/>
          <w:color w:val="000000" w:themeColor="text1"/>
          <w:sz w:val="24"/>
          <w:szCs w:val="24"/>
        </w:rPr>
        <w:t>icit in the Bill and to strengthen the focus on transformation. T</w:t>
      </w:r>
      <w:r w:rsidR="007E6BDC" w:rsidRPr="00E85F03">
        <w:rPr>
          <w:rFonts w:ascii="Times New Roman" w:hAnsi="Times New Roman" w:cs="Times New Roman"/>
          <w:color w:val="000000" w:themeColor="text1"/>
          <w:sz w:val="24"/>
          <w:szCs w:val="24"/>
        </w:rPr>
        <w:t>hese include</w:t>
      </w:r>
      <w:r w:rsidRPr="00E85F03">
        <w:rPr>
          <w:rFonts w:ascii="Times New Roman" w:hAnsi="Times New Roman" w:cs="Times New Roman"/>
          <w:color w:val="000000" w:themeColor="text1"/>
          <w:sz w:val="24"/>
          <w:szCs w:val="24"/>
        </w:rPr>
        <w:t>:</w:t>
      </w:r>
    </w:p>
    <w:p w14:paraId="10E02190" w14:textId="77777777" w:rsidR="004D4388" w:rsidRPr="00E85F03" w:rsidRDefault="007E6BDC" w:rsidP="00E85F03">
      <w:pPr>
        <w:pStyle w:val="ListParagraph"/>
        <w:widowControl/>
        <w:numPr>
          <w:ilvl w:val="1"/>
          <w:numId w:val="16"/>
        </w:numPr>
        <w:tabs>
          <w:tab w:val="left" w:pos="142"/>
        </w:tabs>
        <w:spacing w:before="120" w:after="120" w:line="360" w:lineRule="auto"/>
        <w:ind w:left="1080" w:hanging="720"/>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Making explicit transformation in the objective</w:t>
      </w:r>
      <w:r w:rsidR="00A4179B" w:rsidRPr="00E85F03">
        <w:rPr>
          <w:rFonts w:ascii="Times New Roman" w:hAnsi="Times New Roman" w:cs="Times New Roman"/>
          <w:color w:val="000000" w:themeColor="text1"/>
          <w:sz w:val="24"/>
          <w:szCs w:val="24"/>
        </w:rPr>
        <w:t xml:space="preserve"> of the Bill </w:t>
      </w:r>
      <w:r w:rsidR="00B30589" w:rsidRPr="00E85F03">
        <w:rPr>
          <w:rFonts w:ascii="Times New Roman" w:hAnsi="Times New Roman" w:cs="Times New Roman"/>
          <w:color w:val="000000" w:themeColor="text1"/>
          <w:sz w:val="24"/>
          <w:szCs w:val="24"/>
        </w:rPr>
        <w:t xml:space="preserve">(clause 3 </w:t>
      </w:r>
      <w:r w:rsidR="00B30589" w:rsidRPr="00E85F03">
        <w:rPr>
          <w:rFonts w:ascii="Times New Roman" w:hAnsi="Times New Roman" w:cs="Times New Roman"/>
          <w:i/>
          <w:color w:val="000000" w:themeColor="text1"/>
          <w:sz w:val="24"/>
          <w:szCs w:val="24"/>
        </w:rPr>
        <w:t>(d)</w:t>
      </w:r>
      <w:r w:rsidR="00B30589" w:rsidRPr="00E85F03">
        <w:rPr>
          <w:rFonts w:ascii="Times New Roman" w:hAnsi="Times New Roman" w:cs="Times New Roman"/>
          <w:color w:val="000000" w:themeColor="text1"/>
          <w:sz w:val="24"/>
          <w:szCs w:val="24"/>
        </w:rPr>
        <w:t xml:space="preserve"> )</w:t>
      </w:r>
      <w:r w:rsidR="007972F8" w:rsidRPr="00E85F03">
        <w:rPr>
          <w:rFonts w:ascii="Times New Roman" w:hAnsi="Times New Roman" w:cs="Times New Roman"/>
          <w:color w:val="000000" w:themeColor="text1"/>
          <w:sz w:val="24"/>
          <w:szCs w:val="24"/>
        </w:rPr>
        <w:t>;</w:t>
      </w:r>
    </w:p>
    <w:p w14:paraId="01744491" w14:textId="77777777" w:rsidR="00A4179B" w:rsidRPr="00E85F03" w:rsidRDefault="00A4179B" w:rsidP="00E85F03">
      <w:pPr>
        <w:pStyle w:val="ListParagraph"/>
        <w:widowControl/>
        <w:numPr>
          <w:ilvl w:val="1"/>
          <w:numId w:val="16"/>
        </w:numPr>
        <w:tabs>
          <w:tab w:val="left" w:pos="142"/>
        </w:tabs>
        <w:spacing w:before="120" w:after="120" w:line="360" w:lineRule="auto"/>
        <w:ind w:left="1080" w:hanging="720"/>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Defining transformation of the insurance sector by referring to the Broad-Based Black Economic Empowerment Act and the financial sector code issued under it (clause 1(1))</w:t>
      </w:r>
      <w:r w:rsidR="007972F8" w:rsidRPr="00E85F03">
        <w:rPr>
          <w:rFonts w:ascii="Times New Roman" w:hAnsi="Times New Roman" w:cs="Times New Roman"/>
          <w:color w:val="000000" w:themeColor="text1"/>
          <w:sz w:val="24"/>
          <w:szCs w:val="24"/>
        </w:rPr>
        <w:t>;</w:t>
      </w:r>
    </w:p>
    <w:p w14:paraId="64772B71" w14:textId="77777777" w:rsidR="004D4388" w:rsidRPr="00E85F03" w:rsidRDefault="00B30589" w:rsidP="00E85F03">
      <w:pPr>
        <w:pStyle w:val="ListParagraph"/>
        <w:widowControl/>
        <w:numPr>
          <w:ilvl w:val="1"/>
          <w:numId w:val="16"/>
        </w:numPr>
        <w:tabs>
          <w:tab w:val="left" w:pos="142"/>
        </w:tabs>
        <w:spacing w:before="120" w:after="120" w:line="360" w:lineRule="auto"/>
        <w:ind w:left="1080" w:hanging="720"/>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Linking licensing to </w:t>
      </w:r>
      <w:r w:rsidR="004D4388" w:rsidRPr="00E85F03">
        <w:rPr>
          <w:rFonts w:ascii="Times New Roman" w:hAnsi="Times New Roman" w:cs="Times New Roman"/>
          <w:color w:val="000000" w:themeColor="text1"/>
          <w:sz w:val="24"/>
          <w:szCs w:val="24"/>
        </w:rPr>
        <w:t>plan</w:t>
      </w:r>
      <w:r w:rsidRPr="00E85F03">
        <w:rPr>
          <w:rFonts w:ascii="Times New Roman" w:hAnsi="Times New Roman" w:cs="Times New Roman"/>
          <w:color w:val="000000" w:themeColor="text1"/>
          <w:sz w:val="24"/>
          <w:szCs w:val="24"/>
        </w:rPr>
        <w:t>s</w:t>
      </w:r>
      <w:r w:rsidR="004D4388" w:rsidRPr="00E85F03">
        <w:rPr>
          <w:rFonts w:ascii="Times New Roman" w:hAnsi="Times New Roman" w:cs="Times New Roman"/>
          <w:color w:val="000000" w:themeColor="text1"/>
          <w:sz w:val="24"/>
          <w:szCs w:val="24"/>
        </w:rPr>
        <w:t xml:space="preserve"> to meet </w:t>
      </w:r>
      <w:r w:rsidR="00581C93" w:rsidRPr="00E85F03">
        <w:rPr>
          <w:rFonts w:ascii="Times New Roman" w:hAnsi="Times New Roman" w:cs="Times New Roman"/>
          <w:color w:val="000000" w:themeColor="text1"/>
          <w:sz w:val="24"/>
          <w:szCs w:val="24"/>
        </w:rPr>
        <w:t xml:space="preserve">transformation </w:t>
      </w:r>
      <w:r w:rsidR="004D4388" w:rsidRPr="00E85F03">
        <w:rPr>
          <w:rFonts w:ascii="Times New Roman" w:hAnsi="Times New Roman" w:cs="Times New Roman"/>
          <w:color w:val="000000" w:themeColor="text1"/>
          <w:sz w:val="24"/>
          <w:szCs w:val="24"/>
        </w:rPr>
        <w:t>commitments</w:t>
      </w:r>
      <w:r w:rsidR="00862FDD" w:rsidRPr="00E85F03">
        <w:rPr>
          <w:rFonts w:ascii="Times New Roman" w:hAnsi="Times New Roman" w:cs="Times New Roman"/>
          <w:color w:val="000000" w:themeColor="text1"/>
          <w:sz w:val="24"/>
          <w:szCs w:val="24"/>
        </w:rPr>
        <w:t xml:space="preserve"> as envisaged by the Financial Sector Code</w:t>
      </w:r>
      <w:r w:rsidR="00581C93" w:rsidRPr="00E85F03">
        <w:rPr>
          <w:rFonts w:ascii="Times New Roman" w:hAnsi="Times New Roman" w:cs="Times New Roman"/>
          <w:color w:val="000000" w:themeColor="text1"/>
          <w:sz w:val="24"/>
          <w:szCs w:val="24"/>
        </w:rPr>
        <w:t xml:space="preserve"> (clause </w:t>
      </w:r>
      <w:r w:rsidR="000F076C" w:rsidRPr="00E85F03">
        <w:rPr>
          <w:rFonts w:ascii="Times New Roman" w:hAnsi="Times New Roman" w:cs="Times New Roman"/>
          <w:color w:val="000000" w:themeColor="text1"/>
          <w:sz w:val="24"/>
          <w:szCs w:val="24"/>
        </w:rPr>
        <w:t xml:space="preserve">22(1) </w:t>
      </w:r>
      <w:r w:rsidR="000F076C" w:rsidRPr="00E85F03">
        <w:rPr>
          <w:rFonts w:ascii="Times New Roman" w:hAnsi="Times New Roman" w:cs="Times New Roman"/>
          <w:i/>
          <w:color w:val="000000" w:themeColor="text1"/>
          <w:sz w:val="24"/>
          <w:szCs w:val="24"/>
        </w:rPr>
        <w:t>(c)</w:t>
      </w:r>
      <w:r w:rsidR="000F076C" w:rsidRPr="00E85F03">
        <w:rPr>
          <w:rFonts w:ascii="Times New Roman" w:hAnsi="Times New Roman" w:cs="Times New Roman"/>
          <w:color w:val="000000" w:themeColor="text1"/>
          <w:sz w:val="24"/>
          <w:szCs w:val="24"/>
        </w:rPr>
        <w:t xml:space="preserve"> (iii)</w:t>
      </w:r>
      <w:r w:rsidR="00581C93" w:rsidRPr="00E85F03">
        <w:rPr>
          <w:rFonts w:ascii="Times New Roman" w:hAnsi="Times New Roman" w:cs="Times New Roman"/>
          <w:color w:val="000000" w:themeColor="text1"/>
          <w:sz w:val="24"/>
          <w:szCs w:val="24"/>
        </w:rPr>
        <w:t xml:space="preserve"> )</w:t>
      </w:r>
      <w:r w:rsidR="007972F8" w:rsidRPr="00E85F03">
        <w:rPr>
          <w:rFonts w:ascii="Times New Roman" w:hAnsi="Times New Roman" w:cs="Times New Roman"/>
          <w:color w:val="000000" w:themeColor="text1"/>
          <w:sz w:val="24"/>
          <w:szCs w:val="24"/>
        </w:rPr>
        <w:t>;</w:t>
      </w:r>
    </w:p>
    <w:p w14:paraId="4ACA73CE" w14:textId="77777777" w:rsidR="00943F9C" w:rsidRPr="00E85F03" w:rsidRDefault="00943F9C" w:rsidP="00E85F03">
      <w:pPr>
        <w:pStyle w:val="ListParagraph"/>
        <w:widowControl/>
        <w:numPr>
          <w:ilvl w:val="1"/>
          <w:numId w:val="16"/>
        </w:numPr>
        <w:tabs>
          <w:tab w:val="left" w:pos="142"/>
        </w:tabs>
        <w:spacing w:before="120" w:after="120" w:line="360" w:lineRule="auto"/>
        <w:ind w:left="1080" w:hanging="720"/>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Empowering the Prudential Authority to impose licensing condition</w:t>
      </w:r>
      <w:r w:rsidR="00862FDD" w:rsidRPr="00E85F03">
        <w:rPr>
          <w:rFonts w:ascii="Times New Roman" w:hAnsi="Times New Roman" w:cs="Times New Roman"/>
          <w:color w:val="000000" w:themeColor="text1"/>
          <w:sz w:val="24"/>
          <w:szCs w:val="24"/>
        </w:rPr>
        <w:t>s</w:t>
      </w:r>
      <w:r w:rsidRPr="00E85F03">
        <w:rPr>
          <w:rFonts w:ascii="Times New Roman" w:hAnsi="Times New Roman" w:cs="Times New Roman"/>
          <w:color w:val="000000" w:themeColor="text1"/>
          <w:sz w:val="24"/>
          <w:szCs w:val="24"/>
        </w:rPr>
        <w:t xml:space="preserve"> to </w:t>
      </w:r>
      <w:r w:rsidR="001271BC" w:rsidRPr="00E85F03">
        <w:rPr>
          <w:rFonts w:ascii="Times New Roman" w:hAnsi="Times New Roman" w:cs="Times New Roman"/>
          <w:color w:val="000000" w:themeColor="text1"/>
          <w:sz w:val="24"/>
          <w:szCs w:val="24"/>
        </w:rPr>
        <w:t xml:space="preserve">facilitate the progressive or incremental compliance with the Bill to promote developmental, financial inclusion and </w:t>
      </w:r>
      <w:r w:rsidRPr="00E85F03">
        <w:rPr>
          <w:rFonts w:ascii="Times New Roman" w:hAnsi="Times New Roman" w:cs="Times New Roman"/>
          <w:color w:val="000000" w:themeColor="text1"/>
          <w:sz w:val="24"/>
          <w:szCs w:val="24"/>
        </w:rPr>
        <w:t xml:space="preserve">transformation objectives (clause 25(10) </w:t>
      </w:r>
      <w:r w:rsidRPr="00E85F03">
        <w:rPr>
          <w:rFonts w:ascii="Times New Roman" w:hAnsi="Times New Roman" w:cs="Times New Roman"/>
          <w:i/>
          <w:color w:val="000000" w:themeColor="text1"/>
          <w:sz w:val="24"/>
          <w:szCs w:val="24"/>
        </w:rPr>
        <w:t>(b)</w:t>
      </w:r>
      <w:r w:rsidR="007972F8" w:rsidRPr="00E85F03">
        <w:rPr>
          <w:rFonts w:ascii="Times New Roman" w:hAnsi="Times New Roman" w:cs="Times New Roman"/>
          <w:color w:val="000000" w:themeColor="text1"/>
          <w:sz w:val="24"/>
          <w:szCs w:val="24"/>
        </w:rPr>
        <w:t>;</w:t>
      </w:r>
    </w:p>
    <w:p w14:paraId="53C97E66" w14:textId="77777777" w:rsidR="000F076C" w:rsidRPr="00E85F03" w:rsidRDefault="00674B74" w:rsidP="00E85F03">
      <w:pPr>
        <w:pStyle w:val="ListParagraph"/>
        <w:widowControl/>
        <w:numPr>
          <w:ilvl w:val="1"/>
          <w:numId w:val="16"/>
        </w:numPr>
        <w:tabs>
          <w:tab w:val="left" w:pos="142"/>
        </w:tabs>
        <w:spacing w:before="120" w:after="120" w:line="360" w:lineRule="auto"/>
        <w:ind w:left="1080" w:hanging="720"/>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Empowering the Prudential Authority to amend, vary or impose additional </w:t>
      </w:r>
      <w:r w:rsidR="000F076C" w:rsidRPr="00E85F03">
        <w:rPr>
          <w:rFonts w:ascii="Times New Roman" w:hAnsi="Times New Roman" w:cs="Times New Roman"/>
          <w:color w:val="000000" w:themeColor="text1"/>
          <w:sz w:val="24"/>
          <w:szCs w:val="24"/>
        </w:rPr>
        <w:t xml:space="preserve"> licensing conditions </w:t>
      </w:r>
      <w:r w:rsidRPr="00E85F03">
        <w:rPr>
          <w:rFonts w:ascii="Times New Roman" w:hAnsi="Times New Roman" w:cs="Times New Roman"/>
          <w:color w:val="000000" w:themeColor="text1"/>
          <w:sz w:val="24"/>
          <w:szCs w:val="24"/>
        </w:rPr>
        <w:t xml:space="preserve"> when it is in the public interest</w:t>
      </w:r>
      <w:r w:rsidR="006A1E20" w:rsidRPr="00E85F03">
        <w:rPr>
          <w:rFonts w:ascii="Times New Roman" w:hAnsi="Times New Roman" w:cs="Times New Roman"/>
          <w:color w:val="000000" w:themeColor="text1"/>
          <w:sz w:val="24"/>
          <w:szCs w:val="24"/>
        </w:rPr>
        <w:t>,</w:t>
      </w:r>
      <w:r w:rsidRPr="00E85F03">
        <w:rPr>
          <w:rFonts w:ascii="Times New Roman" w:hAnsi="Times New Roman" w:cs="Times New Roman"/>
          <w:color w:val="000000" w:themeColor="text1"/>
          <w:sz w:val="24"/>
          <w:szCs w:val="24"/>
        </w:rPr>
        <w:t xml:space="preserve"> including </w:t>
      </w:r>
      <w:r w:rsidR="000F076C" w:rsidRPr="00E85F03">
        <w:rPr>
          <w:rFonts w:ascii="Times New Roman" w:hAnsi="Times New Roman" w:cs="Times New Roman"/>
          <w:color w:val="000000" w:themeColor="text1"/>
          <w:sz w:val="24"/>
          <w:szCs w:val="24"/>
        </w:rPr>
        <w:t xml:space="preserve">transformation of the insurance sector (clause 26(1) </w:t>
      </w:r>
      <w:r w:rsidR="000F076C" w:rsidRPr="00E85F03">
        <w:rPr>
          <w:rFonts w:ascii="Times New Roman" w:hAnsi="Times New Roman" w:cs="Times New Roman"/>
          <w:i/>
          <w:color w:val="000000" w:themeColor="text1"/>
          <w:sz w:val="24"/>
          <w:szCs w:val="24"/>
        </w:rPr>
        <w:t>(b)</w:t>
      </w:r>
      <w:r w:rsidR="000F076C" w:rsidRPr="00E85F03">
        <w:rPr>
          <w:rFonts w:ascii="Times New Roman" w:hAnsi="Times New Roman" w:cs="Times New Roman"/>
          <w:color w:val="000000" w:themeColor="text1"/>
          <w:sz w:val="24"/>
          <w:szCs w:val="24"/>
        </w:rPr>
        <w:t>)</w:t>
      </w:r>
      <w:r w:rsidR="007972F8" w:rsidRPr="00E85F03">
        <w:rPr>
          <w:rFonts w:ascii="Times New Roman" w:hAnsi="Times New Roman" w:cs="Times New Roman"/>
          <w:color w:val="000000" w:themeColor="text1"/>
          <w:sz w:val="24"/>
          <w:szCs w:val="24"/>
        </w:rPr>
        <w:t>;</w:t>
      </w:r>
      <w:r w:rsidR="000F076C" w:rsidRPr="00E85F03">
        <w:rPr>
          <w:rFonts w:ascii="Times New Roman" w:hAnsi="Times New Roman" w:cs="Times New Roman"/>
          <w:color w:val="000000" w:themeColor="text1"/>
          <w:sz w:val="24"/>
          <w:szCs w:val="24"/>
        </w:rPr>
        <w:t xml:space="preserve"> </w:t>
      </w:r>
    </w:p>
    <w:p w14:paraId="740303B7" w14:textId="77777777" w:rsidR="007972F8" w:rsidRPr="00E85F03" w:rsidRDefault="007972F8" w:rsidP="00E85F03">
      <w:pPr>
        <w:pStyle w:val="ListParagraph"/>
        <w:widowControl/>
        <w:numPr>
          <w:ilvl w:val="1"/>
          <w:numId w:val="16"/>
        </w:numPr>
        <w:tabs>
          <w:tab w:val="left" w:pos="142"/>
        </w:tabs>
        <w:spacing w:before="120" w:after="120" w:line="360" w:lineRule="auto"/>
        <w:ind w:left="1080" w:hanging="720"/>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Enabling the Prudential Authority to prescribe in standards governance principles and requirements </w:t>
      </w:r>
      <w:r w:rsidR="00343897" w:rsidRPr="00E85F03">
        <w:rPr>
          <w:rFonts w:ascii="Times New Roman" w:hAnsi="Times New Roman" w:cs="Times New Roman"/>
          <w:color w:val="000000" w:themeColor="text1"/>
          <w:sz w:val="24"/>
          <w:szCs w:val="24"/>
        </w:rPr>
        <w:t>relating to</w:t>
      </w:r>
      <w:r w:rsidRPr="00E85F03">
        <w:rPr>
          <w:rFonts w:ascii="Times New Roman" w:hAnsi="Times New Roman" w:cs="Times New Roman"/>
          <w:color w:val="000000" w:themeColor="text1"/>
          <w:sz w:val="24"/>
          <w:szCs w:val="24"/>
        </w:rPr>
        <w:t xml:space="preserve"> </w:t>
      </w:r>
      <w:r w:rsidRPr="00E85F03">
        <w:rPr>
          <w:rFonts w:ascii="Times New Roman" w:eastAsia="Times New Roman" w:hAnsi="Times New Roman" w:cs="Times New Roman"/>
          <w:color w:val="000000" w:themeColor="text1"/>
          <w:sz w:val="24"/>
          <w:szCs w:val="24"/>
        </w:rPr>
        <w:t>the achievement and maintenance of the stated commitments in the transformation plan referred to in section 22(1)</w:t>
      </w:r>
      <w:r w:rsidRPr="00E85F03">
        <w:rPr>
          <w:rFonts w:ascii="Times New Roman" w:eastAsia="Times New Roman" w:hAnsi="Times New Roman" w:cs="Times New Roman"/>
          <w:i/>
          <w:color w:val="000000" w:themeColor="text1"/>
          <w:sz w:val="24"/>
          <w:szCs w:val="24"/>
        </w:rPr>
        <w:t>(c)</w:t>
      </w:r>
      <w:r w:rsidRPr="00E85F03">
        <w:rPr>
          <w:rFonts w:ascii="Times New Roman" w:eastAsia="Times New Roman" w:hAnsi="Times New Roman" w:cs="Times New Roman"/>
          <w:color w:val="000000" w:themeColor="text1"/>
          <w:sz w:val="24"/>
          <w:szCs w:val="24"/>
        </w:rPr>
        <w:t>(iii) (clause 30(4))</w:t>
      </w:r>
      <w:r w:rsidR="00343897" w:rsidRPr="00E85F03">
        <w:rPr>
          <w:rFonts w:ascii="Times New Roman" w:eastAsia="Times New Roman" w:hAnsi="Times New Roman" w:cs="Times New Roman"/>
          <w:color w:val="000000" w:themeColor="text1"/>
          <w:sz w:val="24"/>
          <w:szCs w:val="24"/>
        </w:rPr>
        <w:t>;</w:t>
      </w:r>
    </w:p>
    <w:p w14:paraId="32B27C91" w14:textId="77777777" w:rsidR="00EA6CBA" w:rsidRPr="00E85F03" w:rsidRDefault="00862FDD" w:rsidP="00E85F03">
      <w:pPr>
        <w:pStyle w:val="ListParagraph"/>
        <w:widowControl/>
        <w:numPr>
          <w:ilvl w:val="1"/>
          <w:numId w:val="16"/>
        </w:numPr>
        <w:tabs>
          <w:tab w:val="left" w:pos="142"/>
        </w:tabs>
        <w:spacing w:before="120" w:after="120" w:line="360" w:lineRule="auto"/>
        <w:ind w:left="1080" w:hanging="720"/>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Providing that Prudential standards must have regard to developmental, transformation objectives (clause (63(2) </w:t>
      </w:r>
      <w:r w:rsidRPr="00E85F03">
        <w:rPr>
          <w:rFonts w:ascii="Times New Roman" w:hAnsi="Times New Roman" w:cs="Times New Roman"/>
          <w:i/>
          <w:color w:val="000000" w:themeColor="text1"/>
          <w:sz w:val="24"/>
          <w:szCs w:val="24"/>
        </w:rPr>
        <w:t>(d)</w:t>
      </w:r>
      <w:r w:rsidRPr="00E85F03">
        <w:rPr>
          <w:rFonts w:ascii="Times New Roman" w:hAnsi="Times New Roman" w:cs="Times New Roman"/>
          <w:color w:val="000000" w:themeColor="text1"/>
          <w:sz w:val="24"/>
          <w:szCs w:val="24"/>
        </w:rPr>
        <w:t xml:space="preserve"> )</w:t>
      </w:r>
      <w:r w:rsidR="003E6F45" w:rsidRPr="00E85F03">
        <w:rPr>
          <w:rFonts w:ascii="Times New Roman" w:hAnsi="Times New Roman" w:cs="Times New Roman"/>
          <w:color w:val="000000" w:themeColor="text1"/>
          <w:sz w:val="24"/>
          <w:szCs w:val="24"/>
        </w:rPr>
        <w:t xml:space="preserve"> and clause 62 (4) (c) )</w:t>
      </w:r>
      <w:r w:rsidR="00343897" w:rsidRPr="00E85F03">
        <w:rPr>
          <w:rFonts w:ascii="Times New Roman" w:hAnsi="Times New Roman" w:cs="Times New Roman"/>
          <w:color w:val="000000" w:themeColor="text1"/>
          <w:sz w:val="24"/>
          <w:szCs w:val="24"/>
        </w:rPr>
        <w:t>;</w:t>
      </w:r>
      <w:r w:rsidRPr="00E85F03">
        <w:rPr>
          <w:rFonts w:ascii="Times New Roman" w:hAnsi="Times New Roman" w:cs="Times New Roman"/>
          <w:color w:val="000000" w:themeColor="text1"/>
          <w:sz w:val="24"/>
          <w:szCs w:val="24"/>
        </w:rPr>
        <w:t xml:space="preserve"> </w:t>
      </w:r>
    </w:p>
    <w:p w14:paraId="04618E89" w14:textId="77777777" w:rsidR="00A41957" w:rsidRPr="00E85F03" w:rsidRDefault="00943F9C" w:rsidP="00E85F03">
      <w:pPr>
        <w:pStyle w:val="ListParagraph"/>
        <w:widowControl/>
        <w:numPr>
          <w:ilvl w:val="1"/>
          <w:numId w:val="16"/>
        </w:numPr>
        <w:tabs>
          <w:tab w:val="left" w:pos="142"/>
        </w:tabs>
        <w:spacing w:before="120" w:after="120" w:line="360" w:lineRule="auto"/>
        <w:ind w:left="1080" w:hanging="720"/>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Providing for the Prudential Authority to exempt any insurer from a provision of the Bill in order to achieve developmental and transformation objectives or financial inclusion (clause 66 (1) </w:t>
      </w:r>
      <w:r w:rsidRPr="00E85F03">
        <w:rPr>
          <w:rFonts w:ascii="Times New Roman" w:hAnsi="Times New Roman" w:cs="Times New Roman"/>
          <w:i/>
          <w:color w:val="000000" w:themeColor="text1"/>
          <w:sz w:val="24"/>
          <w:szCs w:val="24"/>
        </w:rPr>
        <w:t>(c )</w:t>
      </w:r>
      <w:r w:rsidRPr="00E85F03">
        <w:rPr>
          <w:rFonts w:ascii="Times New Roman" w:hAnsi="Times New Roman" w:cs="Times New Roman"/>
          <w:color w:val="000000" w:themeColor="text1"/>
          <w:sz w:val="24"/>
          <w:szCs w:val="24"/>
        </w:rPr>
        <w:t xml:space="preserve"> )</w:t>
      </w:r>
      <w:r w:rsidR="00343897" w:rsidRPr="00E85F03">
        <w:rPr>
          <w:rFonts w:ascii="Times New Roman" w:hAnsi="Times New Roman" w:cs="Times New Roman"/>
          <w:color w:val="000000" w:themeColor="text1"/>
          <w:sz w:val="24"/>
          <w:szCs w:val="24"/>
        </w:rPr>
        <w:t>;</w:t>
      </w:r>
    </w:p>
    <w:p w14:paraId="2DA5D8AA" w14:textId="77777777" w:rsidR="003C3667" w:rsidRPr="00E85F03" w:rsidRDefault="003C3667" w:rsidP="00E85F03">
      <w:pPr>
        <w:pStyle w:val="ListParagraph"/>
        <w:widowControl/>
        <w:numPr>
          <w:ilvl w:val="1"/>
          <w:numId w:val="16"/>
        </w:numPr>
        <w:tabs>
          <w:tab w:val="left" w:pos="142"/>
        </w:tabs>
        <w:spacing w:before="120" w:after="120" w:line="360" w:lineRule="auto"/>
        <w:ind w:left="1080" w:hanging="720"/>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Providing for transitional arrangements to ensure that insurers currently registered under the Insurance Acts will upon </w:t>
      </w:r>
      <w:proofErr w:type="spellStart"/>
      <w:r w:rsidRPr="00E85F03">
        <w:rPr>
          <w:rFonts w:ascii="Times New Roman" w:hAnsi="Times New Roman" w:cs="Times New Roman"/>
          <w:color w:val="000000" w:themeColor="text1"/>
          <w:sz w:val="24"/>
          <w:szCs w:val="24"/>
        </w:rPr>
        <w:t>licence</w:t>
      </w:r>
      <w:proofErr w:type="spellEnd"/>
      <w:r w:rsidRPr="00E85F03">
        <w:rPr>
          <w:rFonts w:ascii="Times New Roman" w:hAnsi="Times New Roman" w:cs="Times New Roman"/>
          <w:color w:val="000000" w:themeColor="text1"/>
          <w:sz w:val="24"/>
          <w:szCs w:val="24"/>
        </w:rPr>
        <w:t xml:space="preserve"> conversion be subject to the same transformation requirements as new applicants</w:t>
      </w:r>
      <w:r w:rsidR="001271BC" w:rsidRPr="00E85F03">
        <w:rPr>
          <w:rFonts w:ascii="Times New Roman" w:hAnsi="Times New Roman" w:cs="Times New Roman"/>
          <w:color w:val="000000" w:themeColor="text1"/>
          <w:sz w:val="24"/>
          <w:szCs w:val="24"/>
        </w:rPr>
        <w:t xml:space="preserve"> (Schedule 3 (3) (b) (iii))</w:t>
      </w:r>
      <w:r w:rsidR="00343897" w:rsidRPr="00E85F03">
        <w:rPr>
          <w:rFonts w:ascii="Times New Roman" w:hAnsi="Times New Roman" w:cs="Times New Roman"/>
          <w:color w:val="000000" w:themeColor="text1"/>
          <w:sz w:val="24"/>
          <w:szCs w:val="24"/>
        </w:rPr>
        <w:t>;</w:t>
      </w:r>
      <w:r w:rsidR="001271BC" w:rsidRPr="00E85F03">
        <w:rPr>
          <w:rFonts w:ascii="Times New Roman" w:hAnsi="Times New Roman" w:cs="Times New Roman"/>
          <w:color w:val="000000" w:themeColor="text1"/>
          <w:sz w:val="24"/>
          <w:szCs w:val="24"/>
        </w:rPr>
        <w:t xml:space="preserve"> </w:t>
      </w:r>
      <w:r w:rsidR="00371603" w:rsidRPr="00E85F03">
        <w:rPr>
          <w:rFonts w:ascii="Times New Roman" w:hAnsi="Times New Roman" w:cs="Times New Roman"/>
          <w:color w:val="000000" w:themeColor="text1"/>
          <w:sz w:val="24"/>
          <w:szCs w:val="24"/>
        </w:rPr>
        <w:t>and</w:t>
      </w:r>
    </w:p>
    <w:p w14:paraId="4E75C2C1" w14:textId="77777777" w:rsidR="004D4388" w:rsidRPr="00E85F03" w:rsidRDefault="003C3667" w:rsidP="00E85F03">
      <w:pPr>
        <w:pStyle w:val="ListParagraph"/>
        <w:widowControl/>
        <w:numPr>
          <w:ilvl w:val="1"/>
          <w:numId w:val="16"/>
        </w:numPr>
        <w:tabs>
          <w:tab w:val="left" w:pos="142"/>
        </w:tabs>
        <w:spacing w:before="120" w:after="120" w:line="360" w:lineRule="auto"/>
        <w:ind w:left="1080" w:hanging="720"/>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Providing for the Prudential Authority </w:t>
      </w:r>
      <w:r w:rsidR="004D4388" w:rsidRPr="00E85F03">
        <w:rPr>
          <w:rFonts w:ascii="Times New Roman" w:hAnsi="Times New Roman" w:cs="Times New Roman"/>
          <w:color w:val="000000" w:themeColor="text1"/>
          <w:sz w:val="24"/>
          <w:szCs w:val="24"/>
        </w:rPr>
        <w:t>to exempt any insurer or controlling company from a provision of the Bill in order to achieve developmental and transformation objectives or financial inclusion</w:t>
      </w:r>
      <w:r w:rsidR="00371603" w:rsidRPr="00E85F03">
        <w:rPr>
          <w:rFonts w:ascii="Times New Roman" w:hAnsi="Times New Roman" w:cs="Times New Roman"/>
          <w:color w:val="000000" w:themeColor="text1"/>
          <w:sz w:val="24"/>
          <w:szCs w:val="24"/>
        </w:rPr>
        <w:t xml:space="preserve"> </w:t>
      </w:r>
      <w:r w:rsidRPr="00E85F03">
        <w:rPr>
          <w:rFonts w:ascii="Times New Roman" w:hAnsi="Times New Roman" w:cs="Times New Roman"/>
          <w:color w:val="000000" w:themeColor="text1"/>
          <w:sz w:val="24"/>
          <w:szCs w:val="24"/>
        </w:rPr>
        <w:t xml:space="preserve">(clause </w:t>
      </w:r>
      <w:r w:rsidR="007972F8" w:rsidRPr="00E85F03">
        <w:rPr>
          <w:rFonts w:ascii="Times New Roman" w:hAnsi="Times New Roman" w:cs="Times New Roman"/>
          <w:color w:val="000000" w:themeColor="text1"/>
          <w:sz w:val="24"/>
          <w:szCs w:val="24"/>
        </w:rPr>
        <w:t>13</w:t>
      </w:r>
      <w:r w:rsidR="007972F8" w:rsidRPr="00E85F03">
        <w:rPr>
          <w:rFonts w:ascii="Times New Roman" w:hAnsi="Times New Roman" w:cs="Times New Roman"/>
          <w:i/>
          <w:color w:val="000000" w:themeColor="text1"/>
          <w:sz w:val="24"/>
          <w:szCs w:val="24"/>
        </w:rPr>
        <w:t>(b)</w:t>
      </w:r>
      <w:r w:rsidRPr="00E85F03">
        <w:rPr>
          <w:rFonts w:ascii="Times New Roman" w:hAnsi="Times New Roman" w:cs="Times New Roman"/>
          <w:color w:val="000000" w:themeColor="text1"/>
          <w:sz w:val="24"/>
          <w:szCs w:val="24"/>
        </w:rPr>
        <w:t>)</w:t>
      </w:r>
      <w:r w:rsidR="00371603" w:rsidRPr="00E85F03">
        <w:rPr>
          <w:rFonts w:ascii="Times New Roman" w:hAnsi="Times New Roman" w:cs="Times New Roman"/>
          <w:color w:val="000000" w:themeColor="text1"/>
          <w:sz w:val="24"/>
          <w:szCs w:val="24"/>
        </w:rPr>
        <w:t>.</w:t>
      </w:r>
    </w:p>
    <w:p w14:paraId="16BD4D84" w14:textId="77777777" w:rsidR="004D4388" w:rsidRPr="00E85F03" w:rsidRDefault="003C3667"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lastRenderedPageBreak/>
        <w:t>The C</w:t>
      </w:r>
      <w:r w:rsidR="00051834" w:rsidRPr="00E85F03">
        <w:rPr>
          <w:rFonts w:ascii="Times New Roman" w:hAnsi="Times New Roman" w:cs="Times New Roman"/>
          <w:color w:val="000000" w:themeColor="text1"/>
          <w:sz w:val="24"/>
          <w:szCs w:val="24"/>
        </w:rPr>
        <w:t xml:space="preserve">ommittee </w:t>
      </w:r>
      <w:r w:rsidRPr="00E85F03">
        <w:rPr>
          <w:rFonts w:ascii="Times New Roman" w:hAnsi="Times New Roman" w:cs="Times New Roman"/>
          <w:color w:val="000000" w:themeColor="text1"/>
          <w:sz w:val="24"/>
          <w:szCs w:val="24"/>
        </w:rPr>
        <w:t xml:space="preserve">believes that effective fines should be imposed </w:t>
      </w:r>
      <w:r w:rsidR="00051834" w:rsidRPr="00E85F03">
        <w:rPr>
          <w:rFonts w:ascii="Times New Roman" w:hAnsi="Times New Roman" w:cs="Times New Roman"/>
          <w:color w:val="000000" w:themeColor="text1"/>
          <w:sz w:val="24"/>
          <w:szCs w:val="24"/>
        </w:rPr>
        <w:t>on insurers who do not meet their transformation commitments</w:t>
      </w:r>
      <w:r w:rsidRPr="00E85F03">
        <w:rPr>
          <w:rFonts w:ascii="Times New Roman" w:hAnsi="Times New Roman" w:cs="Times New Roman"/>
          <w:color w:val="000000" w:themeColor="text1"/>
          <w:sz w:val="24"/>
          <w:szCs w:val="24"/>
        </w:rPr>
        <w:t xml:space="preserve"> to deter companies. </w:t>
      </w:r>
    </w:p>
    <w:p w14:paraId="77538DE7" w14:textId="77777777" w:rsidR="004D4388" w:rsidRPr="00E85F03" w:rsidRDefault="00051834"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The</w:t>
      </w:r>
      <w:r w:rsidR="003C3667" w:rsidRPr="00E85F03">
        <w:rPr>
          <w:rFonts w:ascii="Times New Roman" w:hAnsi="Times New Roman" w:cs="Times New Roman"/>
          <w:color w:val="000000" w:themeColor="text1"/>
          <w:sz w:val="24"/>
          <w:szCs w:val="24"/>
        </w:rPr>
        <w:t xml:space="preserve"> C</w:t>
      </w:r>
      <w:r w:rsidRPr="00E85F03">
        <w:rPr>
          <w:rFonts w:ascii="Times New Roman" w:hAnsi="Times New Roman" w:cs="Times New Roman"/>
          <w:color w:val="000000" w:themeColor="text1"/>
          <w:sz w:val="24"/>
          <w:szCs w:val="24"/>
        </w:rPr>
        <w:t xml:space="preserve">ommittee </w:t>
      </w:r>
      <w:r w:rsidR="003C3667" w:rsidRPr="00E85F03">
        <w:rPr>
          <w:rFonts w:ascii="Times New Roman" w:hAnsi="Times New Roman" w:cs="Times New Roman"/>
          <w:color w:val="000000" w:themeColor="text1"/>
          <w:sz w:val="24"/>
          <w:szCs w:val="24"/>
        </w:rPr>
        <w:t xml:space="preserve">believes that serious consideration </w:t>
      </w:r>
      <w:r w:rsidR="002E00CF" w:rsidRPr="00E85F03">
        <w:rPr>
          <w:rFonts w:ascii="Times New Roman" w:hAnsi="Times New Roman" w:cs="Times New Roman"/>
          <w:color w:val="000000" w:themeColor="text1"/>
          <w:sz w:val="24"/>
          <w:szCs w:val="24"/>
        </w:rPr>
        <w:t xml:space="preserve">must </w:t>
      </w:r>
      <w:r w:rsidR="00D061DC" w:rsidRPr="00E85F03">
        <w:rPr>
          <w:rFonts w:ascii="Times New Roman" w:hAnsi="Times New Roman" w:cs="Times New Roman"/>
          <w:color w:val="000000" w:themeColor="text1"/>
          <w:sz w:val="24"/>
          <w:szCs w:val="24"/>
        </w:rPr>
        <w:t>be given</w:t>
      </w:r>
      <w:r w:rsidR="003C3667" w:rsidRPr="00E85F03">
        <w:rPr>
          <w:rFonts w:ascii="Times New Roman" w:hAnsi="Times New Roman" w:cs="Times New Roman"/>
          <w:color w:val="000000" w:themeColor="text1"/>
          <w:sz w:val="24"/>
          <w:szCs w:val="24"/>
        </w:rPr>
        <w:t xml:space="preserve"> </w:t>
      </w:r>
      <w:r w:rsidR="005635E4" w:rsidRPr="00E85F03">
        <w:rPr>
          <w:rFonts w:ascii="Times New Roman" w:hAnsi="Times New Roman" w:cs="Times New Roman"/>
          <w:color w:val="000000" w:themeColor="text1"/>
          <w:sz w:val="24"/>
          <w:szCs w:val="24"/>
        </w:rPr>
        <w:t>to enable</w:t>
      </w:r>
      <w:r w:rsidR="002E00CF" w:rsidRPr="00E85F03">
        <w:rPr>
          <w:rFonts w:ascii="Times New Roman" w:hAnsi="Times New Roman" w:cs="Times New Roman"/>
          <w:color w:val="000000" w:themeColor="text1"/>
          <w:sz w:val="24"/>
          <w:szCs w:val="24"/>
        </w:rPr>
        <w:t xml:space="preserve"> </w:t>
      </w:r>
      <w:r w:rsidRPr="00E85F03">
        <w:rPr>
          <w:rFonts w:ascii="Times New Roman" w:hAnsi="Times New Roman" w:cs="Times New Roman"/>
          <w:color w:val="000000" w:themeColor="text1"/>
          <w:sz w:val="24"/>
          <w:szCs w:val="24"/>
        </w:rPr>
        <w:t>small</w:t>
      </w:r>
      <w:r w:rsidR="003C3667" w:rsidRPr="00E85F03">
        <w:rPr>
          <w:rFonts w:ascii="Times New Roman" w:hAnsi="Times New Roman" w:cs="Times New Roman"/>
          <w:color w:val="000000" w:themeColor="text1"/>
          <w:sz w:val="24"/>
          <w:szCs w:val="24"/>
        </w:rPr>
        <w:t>er entrants in</w:t>
      </w:r>
      <w:r w:rsidR="002E00CF" w:rsidRPr="00E85F03">
        <w:rPr>
          <w:rFonts w:ascii="Times New Roman" w:hAnsi="Times New Roman" w:cs="Times New Roman"/>
          <w:color w:val="000000" w:themeColor="text1"/>
          <w:sz w:val="24"/>
          <w:szCs w:val="24"/>
        </w:rPr>
        <w:t>to</w:t>
      </w:r>
      <w:r w:rsidR="003C3667" w:rsidRPr="00E85F03">
        <w:rPr>
          <w:rFonts w:ascii="Times New Roman" w:hAnsi="Times New Roman" w:cs="Times New Roman"/>
          <w:color w:val="000000" w:themeColor="text1"/>
          <w:sz w:val="24"/>
          <w:szCs w:val="24"/>
        </w:rPr>
        <w:t xml:space="preserve"> the sector</w:t>
      </w:r>
      <w:r w:rsidR="002E00CF" w:rsidRPr="00E85F03">
        <w:rPr>
          <w:rFonts w:ascii="Times New Roman" w:hAnsi="Times New Roman" w:cs="Times New Roman"/>
          <w:color w:val="000000" w:themeColor="text1"/>
          <w:sz w:val="24"/>
          <w:szCs w:val="24"/>
        </w:rPr>
        <w:t xml:space="preserve">. This could be achieved </w:t>
      </w:r>
      <w:r w:rsidR="005635E4" w:rsidRPr="00E85F03">
        <w:rPr>
          <w:rFonts w:ascii="Times New Roman" w:hAnsi="Times New Roman" w:cs="Times New Roman"/>
          <w:color w:val="000000" w:themeColor="text1"/>
          <w:sz w:val="24"/>
          <w:szCs w:val="24"/>
        </w:rPr>
        <w:t>by lowering</w:t>
      </w:r>
      <w:r w:rsidR="003C3667" w:rsidRPr="00E85F03">
        <w:rPr>
          <w:rFonts w:ascii="Times New Roman" w:hAnsi="Times New Roman" w:cs="Times New Roman"/>
          <w:color w:val="000000" w:themeColor="text1"/>
          <w:sz w:val="24"/>
          <w:szCs w:val="24"/>
        </w:rPr>
        <w:t xml:space="preserve"> </w:t>
      </w:r>
      <w:r w:rsidRPr="00E85F03">
        <w:rPr>
          <w:rFonts w:ascii="Times New Roman" w:hAnsi="Times New Roman" w:cs="Times New Roman"/>
          <w:color w:val="000000" w:themeColor="text1"/>
          <w:sz w:val="24"/>
          <w:szCs w:val="24"/>
        </w:rPr>
        <w:t xml:space="preserve">fees and levies </w:t>
      </w:r>
      <w:r w:rsidR="003C3667" w:rsidRPr="00E85F03">
        <w:rPr>
          <w:rFonts w:ascii="Times New Roman" w:hAnsi="Times New Roman" w:cs="Times New Roman"/>
          <w:color w:val="000000" w:themeColor="text1"/>
          <w:sz w:val="24"/>
          <w:szCs w:val="24"/>
        </w:rPr>
        <w:t xml:space="preserve">in an appropriate system of proportionality </w:t>
      </w:r>
      <w:r w:rsidR="00212B73" w:rsidRPr="00E85F03">
        <w:rPr>
          <w:rFonts w:ascii="Times New Roman" w:hAnsi="Times New Roman" w:cs="Times New Roman"/>
          <w:color w:val="000000" w:themeColor="text1"/>
          <w:sz w:val="24"/>
          <w:szCs w:val="24"/>
        </w:rPr>
        <w:t xml:space="preserve">in </w:t>
      </w:r>
      <w:r w:rsidRPr="00E85F03">
        <w:rPr>
          <w:rFonts w:ascii="Times New Roman" w:hAnsi="Times New Roman" w:cs="Times New Roman"/>
          <w:color w:val="000000" w:themeColor="text1"/>
          <w:sz w:val="24"/>
          <w:szCs w:val="24"/>
        </w:rPr>
        <w:t xml:space="preserve">the </w:t>
      </w:r>
      <w:r w:rsidR="00212B73" w:rsidRPr="00E85F03">
        <w:rPr>
          <w:rFonts w:ascii="Times New Roman" w:hAnsi="Times New Roman" w:cs="Times New Roman"/>
          <w:color w:val="000000" w:themeColor="text1"/>
          <w:sz w:val="24"/>
          <w:szCs w:val="24"/>
        </w:rPr>
        <w:t xml:space="preserve">pending </w:t>
      </w:r>
      <w:r w:rsidRPr="00E85F03">
        <w:rPr>
          <w:rFonts w:ascii="Times New Roman" w:hAnsi="Times New Roman" w:cs="Times New Roman"/>
          <w:color w:val="000000" w:themeColor="text1"/>
          <w:sz w:val="24"/>
          <w:szCs w:val="24"/>
        </w:rPr>
        <w:t xml:space="preserve">Financial Sector Levies Bill. </w:t>
      </w:r>
    </w:p>
    <w:p w14:paraId="5B77C5A9" w14:textId="77777777" w:rsidR="00EC26B4" w:rsidRPr="00E85F03" w:rsidRDefault="00EC26B4" w:rsidP="00E85F03">
      <w:pPr>
        <w:pStyle w:val="ListParagraph"/>
        <w:widowControl/>
        <w:numPr>
          <w:ilvl w:val="0"/>
          <w:numId w:val="16"/>
        </w:numPr>
        <w:spacing w:line="360" w:lineRule="auto"/>
        <w:contextualSpacing/>
        <w:rPr>
          <w:rFonts w:ascii="Times New Roman" w:hAnsi="Times New Roman" w:cs="Times New Roman"/>
          <w:sz w:val="24"/>
          <w:szCs w:val="24"/>
        </w:rPr>
      </w:pPr>
      <w:r w:rsidRPr="00E85F03">
        <w:rPr>
          <w:rFonts w:ascii="Times New Roman" w:hAnsi="Times New Roman" w:cs="Times New Roman"/>
          <w:sz w:val="24"/>
          <w:szCs w:val="24"/>
        </w:rPr>
        <w:t>The Committee notes that Section 7 of the Financial Sector Regulation Act (FSRA) explicitly highlights transformation as one of the key objectives of the Act.  The mandate and functions of the Prudential (PA</w:t>
      </w:r>
      <w:proofErr w:type="gramStart"/>
      <w:r w:rsidRPr="00E85F03">
        <w:rPr>
          <w:rFonts w:ascii="Times New Roman" w:hAnsi="Times New Roman" w:cs="Times New Roman"/>
          <w:sz w:val="24"/>
          <w:szCs w:val="24"/>
        </w:rPr>
        <w:t>),</w:t>
      </w:r>
      <w:proofErr w:type="gramEnd"/>
      <w:r w:rsidRPr="00E85F03">
        <w:rPr>
          <w:rFonts w:ascii="Times New Roman" w:hAnsi="Times New Roman" w:cs="Times New Roman"/>
          <w:sz w:val="24"/>
          <w:szCs w:val="24"/>
        </w:rPr>
        <w:t xml:space="preserve"> are set out in (sections 33 and 34) to the FSRA. Financial stability, financial inclusion and transformation are at the core of the PA’s mandate and functions when sections 7, 33 and 34 are read together. Section 34(2) also imposes an obligation on the PA to perform any other functions conferred on it in terms of any other provisions of the FSRA or other legislation. Representatives of both NT and the SARB explained to the Committee that they believed that PA would be best placed to balance both the financial stability and transformation objectives.  NT said that If the PA does not address transformation issues some other regulator will have to do so, and it is better that the PA does this. Both the NT and SARB said that the Insurance </w:t>
      </w:r>
      <w:proofErr w:type="gramStart"/>
      <w:r w:rsidRPr="00E85F03">
        <w:rPr>
          <w:rFonts w:ascii="Times New Roman" w:hAnsi="Times New Roman" w:cs="Times New Roman"/>
          <w:sz w:val="24"/>
          <w:szCs w:val="24"/>
        </w:rPr>
        <w:t>Bill  does</w:t>
      </w:r>
      <w:proofErr w:type="gramEnd"/>
      <w:r w:rsidRPr="00E85F03">
        <w:rPr>
          <w:rFonts w:ascii="Times New Roman" w:hAnsi="Times New Roman" w:cs="Times New Roman"/>
          <w:sz w:val="24"/>
          <w:szCs w:val="24"/>
        </w:rPr>
        <w:t xml:space="preserve"> not undermine the independence of the PA.</w:t>
      </w:r>
    </w:p>
    <w:p w14:paraId="1CE6D038" w14:textId="77777777" w:rsidR="009755AE" w:rsidRPr="00E85F03" w:rsidRDefault="009755AE" w:rsidP="00E85F03">
      <w:pPr>
        <w:widowControl/>
        <w:tabs>
          <w:tab w:val="left" w:pos="142"/>
        </w:tabs>
        <w:spacing w:before="120" w:after="120" w:line="360" w:lineRule="auto"/>
        <w:jc w:val="both"/>
        <w:rPr>
          <w:rFonts w:ascii="Times New Roman" w:hAnsi="Times New Roman" w:cs="Times New Roman"/>
          <w:color w:val="000000" w:themeColor="text1"/>
          <w:sz w:val="24"/>
          <w:szCs w:val="24"/>
        </w:rPr>
      </w:pPr>
    </w:p>
    <w:p w14:paraId="5DCEB66E" w14:textId="77777777" w:rsidR="004D4388" w:rsidRPr="00E85F03" w:rsidRDefault="004D4388" w:rsidP="00E85F03">
      <w:pPr>
        <w:pStyle w:val="ListParagraph"/>
        <w:widowControl/>
        <w:spacing w:before="120" w:after="120" w:line="360" w:lineRule="auto"/>
        <w:ind w:left="360"/>
        <w:jc w:val="both"/>
        <w:rPr>
          <w:rFonts w:ascii="Times New Roman" w:hAnsi="Times New Roman" w:cs="Times New Roman"/>
          <w:color w:val="000000" w:themeColor="text1"/>
          <w:sz w:val="24"/>
          <w:szCs w:val="24"/>
        </w:rPr>
      </w:pPr>
      <w:r w:rsidRPr="00E85F03">
        <w:rPr>
          <w:rFonts w:ascii="Times New Roman" w:hAnsi="Times New Roman" w:cs="Times New Roman"/>
          <w:b/>
          <w:color w:val="000000" w:themeColor="text1"/>
          <w:sz w:val="24"/>
          <w:szCs w:val="24"/>
        </w:rPr>
        <w:t>Continuation of previously registered insurers</w:t>
      </w:r>
    </w:p>
    <w:p w14:paraId="5E397BBE" w14:textId="77777777" w:rsidR="004D4388" w:rsidRPr="00E85F03" w:rsidRDefault="00684911"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Emerging</w:t>
      </w:r>
      <w:r w:rsidR="00E6720E" w:rsidRPr="00E85F03">
        <w:rPr>
          <w:rFonts w:ascii="Times New Roman" w:hAnsi="Times New Roman" w:cs="Times New Roman"/>
          <w:color w:val="000000" w:themeColor="text1"/>
          <w:sz w:val="24"/>
          <w:szCs w:val="24"/>
        </w:rPr>
        <w:t xml:space="preserve"> insurers expressed concerns </w:t>
      </w:r>
      <w:r w:rsidRPr="00E85F03">
        <w:rPr>
          <w:rFonts w:ascii="Times New Roman" w:hAnsi="Times New Roman" w:cs="Times New Roman"/>
          <w:color w:val="000000" w:themeColor="text1"/>
          <w:sz w:val="24"/>
          <w:szCs w:val="24"/>
        </w:rPr>
        <w:t xml:space="preserve">about </w:t>
      </w:r>
      <w:r w:rsidR="00E6720E" w:rsidRPr="00E85F03">
        <w:rPr>
          <w:rFonts w:ascii="Times New Roman" w:hAnsi="Times New Roman" w:cs="Times New Roman"/>
          <w:color w:val="000000" w:themeColor="text1"/>
          <w:sz w:val="24"/>
          <w:szCs w:val="24"/>
        </w:rPr>
        <w:t>the relicensing process as set out in the Bill, given that they are likely to be at greater risk, since that they do not have the capacity of the major institutions to resort to legal action if the re-</w:t>
      </w:r>
      <w:r w:rsidRPr="00E85F03">
        <w:rPr>
          <w:rFonts w:ascii="Times New Roman" w:hAnsi="Times New Roman" w:cs="Times New Roman"/>
          <w:color w:val="000000" w:themeColor="text1"/>
          <w:sz w:val="24"/>
          <w:szCs w:val="24"/>
        </w:rPr>
        <w:t>licensing</w:t>
      </w:r>
      <w:r w:rsidR="00E6720E" w:rsidRPr="00E85F03">
        <w:rPr>
          <w:rFonts w:ascii="Times New Roman" w:hAnsi="Times New Roman" w:cs="Times New Roman"/>
          <w:color w:val="000000" w:themeColor="text1"/>
          <w:sz w:val="24"/>
          <w:szCs w:val="24"/>
        </w:rPr>
        <w:t xml:space="preserve"> process weakens current property rights.</w:t>
      </w:r>
    </w:p>
    <w:p w14:paraId="5E4D036F" w14:textId="77777777" w:rsidR="004D4388" w:rsidRPr="00E85F03" w:rsidRDefault="00E6720E"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The ori</w:t>
      </w:r>
      <w:r w:rsidR="00212B73" w:rsidRPr="00E85F03">
        <w:rPr>
          <w:rFonts w:ascii="Times New Roman" w:hAnsi="Times New Roman" w:cs="Times New Roman"/>
          <w:color w:val="000000" w:themeColor="text1"/>
          <w:sz w:val="24"/>
          <w:szCs w:val="24"/>
        </w:rPr>
        <w:t xml:space="preserve">ginal wording used in the Bill – </w:t>
      </w:r>
      <w:r w:rsidR="005242E3" w:rsidRPr="00E85F03">
        <w:rPr>
          <w:rFonts w:ascii="Times New Roman" w:hAnsi="Times New Roman" w:cs="Times New Roman"/>
          <w:color w:val="000000" w:themeColor="text1"/>
          <w:sz w:val="24"/>
          <w:szCs w:val="24"/>
        </w:rPr>
        <w:t>“</w:t>
      </w:r>
      <w:r w:rsidR="00212B73" w:rsidRPr="00E85F03">
        <w:rPr>
          <w:rFonts w:ascii="Times New Roman" w:hAnsi="Times New Roman" w:cs="Times New Roman"/>
          <w:color w:val="000000" w:themeColor="text1"/>
          <w:sz w:val="24"/>
          <w:szCs w:val="24"/>
        </w:rPr>
        <w:t>relicensing</w:t>
      </w:r>
      <w:r w:rsidR="005242E3" w:rsidRPr="00E85F03">
        <w:rPr>
          <w:rFonts w:ascii="Times New Roman" w:hAnsi="Times New Roman" w:cs="Times New Roman"/>
          <w:color w:val="000000" w:themeColor="text1"/>
          <w:sz w:val="24"/>
          <w:szCs w:val="24"/>
        </w:rPr>
        <w:t>”</w:t>
      </w:r>
      <w:r w:rsidR="00212B73" w:rsidRPr="00E85F03">
        <w:rPr>
          <w:rFonts w:ascii="Times New Roman" w:hAnsi="Times New Roman" w:cs="Times New Roman"/>
          <w:color w:val="000000" w:themeColor="text1"/>
          <w:sz w:val="24"/>
          <w:szCs w:val="24"/>
        </w:rPr>
        <w:t xml:space="preserve"> -</w:t>
      </w:r>
      <w:r w:rsidRPr="00E85F03">
        <w:rPr>
          <w:rFonts w:ascii="Times New Roman" w:hAnsi="Times New Roman" w:cs="Times New Roman"/>
          <w:color w:val="000000" w:themeColor="text1"/>
          <w:sz w:val="24"/>
          <w:szCs w:val="24"/>
        </w:rPr>
        <w:t xml:space="preserve"> does not reflect the actual process envisaged, which is the conversion of current insurance licenses to reflect more accurately the type of insurance activity for which an entity is operating under </w:t>
      </w:r>
      <w:r w:rsidR="006A1E20" w:rsidRPr="00E85F03">
        <w:rPr>
          <w:rFonts w:ascii="Times New Roman" w:hAnsi="Times New Roman" w:cs="Times New Roman"/>
          <w:color w:val="000000" w:themeColor="text1"/>
          <w:sz w:val="24"/>
          <w:szCs w:val="24"/>
        </w:rPr>
        <w:t>its</w:t>
      </w:r>
      <w:r w:rsidRPr="00E85F03">
        <w:rPr>
          <w:rFonts w:ascii="Times New Roman" w:hAnsi="Times New Roman" w:cs="Times New Roman"/>
          <w:color w:val="000000" w:themeColor="text1"/>
          <w:sz w:val="24"/>
          <w:szCs w:val="24"/>
        </w:rPr>
        <w:t xml:space="preserve"> current license. The conversion process is not meant to take away any license, which could be regarded as a possible deprivation of property rights.  To alleviate this risk</w:t>
      </w:r>
      <w:r w:rsidR="00CD1753" w:rsidRPr="00E85F03">
        <w:rPr>
          <w:rFonts w:ascii="Times New Roman" w:hAnsi="Times New Roman" w:cs="Times New Roman"/>
          <w:color w:val="000000" w:themeColor="text1"/>
          <w:sz w:val="24"/>
          <w:szCs w:val="24"/>
        </w:rPr>
        <w:t xml:space="preserve"> and provide greater certainty</w:t>
      </w:r>
      <w:r w:rsidRPr="00E85F03">
        <w:rPr>
          <w:rFonts w:ascii="Times New Roman" w:hAnsi="Times New Roman" w:cs="Times New Roman"/>
          <w:color w:val="000000" w:themeColor="text1"/>
          <w:sz w:val="24"/>
          <w:szCs w:val="24"/>
        </w:rPr>
        <w:t xml:space="preserve">, </w:t>
      </w:r>
      <w:r w:rsidR="00684911" w:rsidRPr="00E85F03">
        <w:rPr>
          <w:rFonts w:ascii="Times New Roman" w:hAnsi="Times New Roman" w:cs="Times New Roman"/>
          <w:color w:val="000000" w:themeColor="text1"/>
          <w:sz w:val="24"/>
          <w:szCs w:val="24"/>
        </w:rPr>
        <w:t xml:space="preserve">amendments were made </w:t>
      </w:r>
      <w:r w:rsidRPr="00E85F03">
        <w:rPr>
          <w:rFonts w:ascii="Times New Roman" w:hAnsi="Times New Roman" w:cs="Times New Roman"/>
          <w:color w:val="000000" w:themeColor="text1"/>
          <w:sz w:val="24"/>
          <w:szCs w:val="24"/>
        </w:rPr>
        <w:t>to guide the conversion process.</w:t>
      </w:r>
      <w:r w:rsidR="00CD1753" w:rsidRPr="00E85F03">
        <w:rPr>
          <w:rFonts w:ascii="Times New Roman" w:hAnsi="Times New Roman" w:cs="Times New Roman"/>
          <w:color w:val="000000" w:themeColor="text1"/>
          <w:sz w:val="24"/>
          <w:szCs w:val="24"/>
        </w:rPr>
        <w:t xml:space="preserve">  </w:t>
      </w:r>
    </w:p>
    <w:p w14:paraId="4B89AA3E" w14:textId="77777777" w:rsidR="009755AE" w:rsidRPr="00E85F03" w:rsidRDefault="009755AE" w:rsidP="00E85F03">
      <w:pPr>
        <w:pStyle w:val="ListParagraph"/>
        <w:widowControl/>
        <w:tabs>
          <w:tab w:val="left" w:pos="142"/>
        </w:tabs>
        <w:spacing w:before="120" w:after="120" w:line="360" w:lineRule="auto"/>
        <w:ind w:left="360"/>
        <w:jc w:val="both"/>
        <w:rPr>
          <w:rFonts w:ascii="Times New Roman" w:hAnsi="Times New Roman" w:cs="Times New Roman"/>
          <w:color w:val="000000" w:themeColor="text1"/>
          <w:sz w:val="24"/>
          <w:szCs w:val="24"/>
        </w:rPr>
      </w:pPr>
    </w:p>
    <w:p w14:paraId="7B54DC18" w14:textId="77777777" w:rsidR="004D4388" w:rsidRPr="00E85F03" w:rsidRDefault="004D4388" w:rsidP="00E85F03">
      <w:pPr>
        <w:widowControl/>
        <w:spacing w:before="120" w:after="120" w:line="360" w:lineRule="auto"/>
        <w:jc w:val="both"/>
        <w:rPr>
          <w:rFonts w:ascii="Times New Roman" w:hAnsi="Times New Roman" w:cs="Times New Roman"/>
          <w:b/>
          <w:color w:val="000000" w:themeColor="text1"/>
          <w:sz w:val="24"/>
          <w:szCs w:val="24"/>
        </w:rPr>
      </w:pPr>
      <w:r w:rsidRPr="00E85F03">
        <w:rPr>
          <w:rFonts w:ascii="Times New Roman" w:hAnsi="Times New Roman" w:cs="Times New Roman"/>
          <w:b/>
          <w:color w:val="000000" w:themeColor="text1"/>
          <w:sz w:val="24"/>
          <w:szCs w:val="24"/>
        </w:rPr>
        <w:t>Micro</w:t>
      </w:r>
      <w:r w:rsidR="00684911" w:rsidRPr="00E85F03">
        <w:rPr>
          <w:rFonts w:ascii="Times New Roman" w:hAnsi="Times New Roman" w:cs="Times New Roman"/>
          <w:b/>
          <w:color w:val="000000" w:themeColor="text1"/>
          <w:sz w:val="24"/>
          <w:szCs w:val="24"/>
        </w:rPr>
        <w:t>-</w:t>
      </w:r>
      <w:r w:rsidRPr="00E85F03">
        <w:rPr>
          <w:rFonts w:ascii="Times New Roman" w:hAnsi="Times New Roman" w:cs="Times New Roman"/>
          <w:b/>
          <w:color w:val="000000" w:themeColor="text1"/>
          <w:sz w:val="24"/>
          <w:szCs w:val="24"/>
        </w:rPr>
        <w:t xml:space="preserve">insurance </w:t>
      </w:r>
    </w:p>
    <w:p w14:paraId="018C812E" w14:textId="77777777" w:rsidR="004D4388" w:rsidRPr="00E85F03" w:rsidRDefault="00C64ECE"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The Bill gives effect t</w:t>
      </w:r>
      <w:r w:rsidR="00684911" w:rsidRPr="00E85F03">
        <w:rPr>
          <w:rFonts w:ascii="Times New Roman" w:hAnsi="Times New Roman" w:cs="Times New Roman"/>
          <w:color w:val="000000" w:themeColor="text1"/>
          <w:sz w:val="24"/>
          <w:szCs w:val="24"/>
        </w:rPr>
        <w:t>o the National Treasury‘s Micro-</w:t>
      </w:r>
      <w:r w:rsidRPr="00E85F03">
        <w:rPr>
          <w:rFonts w:ascii="Times New Roman" w:hAnsi="Times New Roman" w:cs="Times New Roman"/>
          <w:color w:val="000000" w:themeColor="text1"/>
          <w:sz w:val="24"/>
          <w:szCs w:val="24"/>
        </w:rPr>
        <w:t>insurance Policy Document released in July 2011</w:t>
      </w:r>
      <w:r w:rsidR="00B8702C" w:rsidRPr="00E85F03">
        <w:rPr>
          <w:rFonts w:ascii="Times New Roman" w:hAnsi="Times New Roman" w:cs="Times New Roman"/>
          <w:color w:val="000000" w:themeColor="text1"/>
          <w:sz w:val="24"/>
          <w:szCs w:val="24"/>
        </w:rPr>
        <w:t xml:space="preserve"> by introducing a</w:t>
      </w:r>
      <w:r w:rsidR="00174EE6" w:rsidRPr="00E85F03">
        <w:rPr>
          <w:rFonts w:ascii="Times New Roman" w:hAnsi="Times New Roman" w:cs="Times New Roman"/>
          <w:color w:val="000000" w:themeColor="text1"/>
          <w:sz w:val="24"/>
          <w:szCs w:val="24"/>
        </w:rPr>
        <w:t>n enabling</w:t>
      </w:r>
      <w:r w:rsidR="00B8702C" w:rsidRPr="00E85F03">
        <w:rPr>
          <w:rFonts w:ascii="Times New Roman" w:hAnsi="Times New Roman" w:cs="Times New Roman"/>
          <w:color w:val="000000" w:themeColor="text1"/>
          <w:sz w:val="24"/>
          <w:szCs w:val="24"/>
        </w:rPr>
        <w:t xml:space="preserve"> legal and regulatory framework for micro</w:t>
      </w:r>
      <w:r w:rsidR="00684911" w:rsidRPr="00E85F03">
        <w:rPr>
          <w:rFonts w:ascii="Times New Roman" w:hAnsi="Times New Roman" w:cs="Times New Roman"/>
          <w:color w:val="000000" w:themeColor="text1"/>
          <w:sz w:val="24"/>
          <w:szCs w:val="24"/>
        </w:rPr>
        <w:t>-</w:t>
      </w:r>
      <w:r w:rsidR="00B8702C" w:rsidRPr="00E85F03">
        <w:rPr>
          <w:rFonts w:ascii="Times New Roman" w:hAnsi="Times New Roman" w:cs="Times New Roman"/>
          <w:color w:val="000000" w:themeColor="text1"/>
          <w:sz w:val="24"/>
          <w:szCs w:val="24"/>
        </w:rPr>
        <w:t>insurance. This framework</w:t>
      </w:r>
      <w:r w:rsidRPr="00E85F03">
        <w:rPr>
          <w:rFonts w:ascii="Times New Roman" w:hAnsi="Times New Roman" w:cs="Times New Roman"/>
          <w:color w:val="000000" w:themeColor="text1"/>
          <w:sz w:val="24"/>
          <w:szCs w:val="24"/>
        </w:rPr>
        <w:t xml:space="preserve"> supports the development of an inclusive insurance </w:t>
      </w:r>
      <w:r w:rsidRPr="00E85F03">
        <w:rPr>
          <w:rFonts w:ascii="Times New Roman" w:hAnsi="Times New Roman" w:cs="Times New Roman"/>
          <w:color w:val="000000" w:themeColor="text1"/>
          <w:sz w:val="24"/>
          <w:szCs w:val="24"/>
        </w:rPr>
        <w:lastRenderedPageBreak/>
        <w:t>sector</w:t>
      </w:r>
      <w:r w:rsidR="009B36BE" w:rsidRPr="00E85F03">
        <w:rPr>
          <w:rFonts w:ascii="Times New Roman" w:hAnsi="Times New Roman" w:cs="Times New Roman"/>
          <w:color w:val="000000" w:themeColor="text1"/>
          <w:sz w:val="24"/>
          <w:szCs w:val="24"/>
        </w:rPr>
        <w:t xml:space="preserve"> to address the needs of low income households. It balances policyholder pr</w:t>
      </w:r>
      <w:r w:rsidR="00684911" w:rsidRPr="00E85F03">
        <w:rPr>
          <w:rFonts w:ascii="Times New Roman" w:hAnsi="Times New Roman" w:cs="Times New Roman"/>
          <w:color w:val="000000" w:themeColor="text1"/>
          <w:sz w:val="24"/>
          <w:szCs w:val="24"/>
        </w:rPr>
        <w:t xml:space="preserve">otection with </w:t>
      </w:r>
      <w:r w:rsidRPr="00E85F03">
        <w:rPr>
          <w:rFonts w:ascii="Times New Roman" w:hAnsi="Times New Roman" w:cs="Times New Roman"/>
          <w:color w:val="000000" w:themeColor="text1"/>
          <w:sz w:val="24"/>
          <w:szCs w:val="24"/>
        </w:rPr>
        <w:t xml:space="preserve">having proportionate and appropriate </w:t>
      </w:r>
      <w:r w:rsidR="009B36BE" w:rsidRPr="00E85F03">
        <w:rPr>
          <w:rFonts w:ascii="Times New Roman" w:hAnsi="Times New Roman" w:cs="Times New Roman"/>
          <w:color w:val="000000" w:themeColor="text1"/>
          <w:sz w:val="24"/>
          <w:szCs w:val="24"/>
        </w:rPr>
        <w:t xml:space="preserve">regulation </w:t>
      </w:r>
      <w:r w:rsidRPr="00E85F03">
        <w:rPr>
          <w:rFonts w:ascii="Times New Roman" w:hAnsi="Times New Roman" w:cs="Times New Roman"/>
          <w:color w:val="000000" w:themeColor="text1"/>
          <w:sz w:val="24"/>
          <w:szCs w:val="24"/>
        </w:rPr>
        <w:t xml:space="preserve">and supervision </w:t>
      </w:r>
      <w:r w:rsidR="009B36BE" w:rsidRPr="00E85F03">
        <w:rPr>
          <w:rFonts w:ascii="Times New Roman" w:hAnsi="Times New Roman" w:cs="Times New Roman"/>
          <w:color w:val="000000" w:themeColor="text1"/>
          <w:sz w:val="24"/>
          <w:szCs w:val="24"/>
        </w:rPr>
        <w:t>for</w:t>
      </w:r>
      <w:r w:rsidR="006F20C2" w:rsidRPr="00E85F03">
        <w:rPr>
          <w:rFonts w:ascii="Times New Roman" w:hAnsi="Times New Roman" w:cs="Times New Roman"/>
          <w:color w:val="000000" w:themeColor="text1"/>
          <w:sz w:val="24"/>
          <w:szCs w:val="24"/>
        </w:rPr>
        <w:t xml:space="preserve"> </w:t>
      </w:r>
      <w:r w:rsidRPr="00E85F03">
        <w:rPr>
          <w:rFonts w:ascii="Times New Roman" w:hAnsi="Times New Roman" w:cs="Times New Roman"/>
          <w:color w:val="000000" w:themeColor="text1"/>
          <w:sz w:val="24"/>
          <w:szCs w:val="24"/>
        </w:rPr>
        <w:t>micro-insurance</w:t>
      </w:r>
      <w:r w:rsidR="00684911" w:rsidRPr="00E85F03">
        <w:rPr>
          <w:rFonts w:ascii="Times New Roman" w:hAnsi="Times New Roman" w:cs="Times New Roman"/>
          <w:color w:val="000000" w:themeColor="text1"/>
          <w:sz w:val="24"/>
          <w:szCs w:val="24"/>
        </w:rPr>
        <w:t xml:space="preserve">, </w:t>
      </w:r>
      <w:r w:rsidR="009B36BE" w:rsidRPr="00E85F03">
        <w:rPr>
          <w:rFonts w:ascii="Times New Roman" w:hAnsi="Times New Roman" w:cs="Times New Roman"/>
          <w:color w:val="000000" w:themeColor="text1"/>
          <w:sz w:val="24"/>
          <w:szCs w:val="24"/>
        </w:rPr>
        <w:t>enabling the development of affordable insurance products</w:t>
      </w:r>
      <w:r w:rsidRPr="00E85F03">
        <w:rPr>
          <w:rFonts w:ascii="Times New Roman" w:hAnsi="Times New Roman" w:cs="Times New Roman"/>
          <w:color w:val="000000" w:themeColor="text1"/>
          <w:sz w:val="24"/>
          <w:szCs w:val="24"/>
        </w:rPr>
        <w:t xml:space="preserve">. </w:t>
      </w:r>
    </w:p>
    <w:p w14:paraId="064469F4" w14:textId="77777777" w:rsidR="004D4388" w:rsidRPr="00E85F03" w:rsidRDefault="000046A9"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During the</w:t>
      </w:r>
      <w:r w:rsidR="00C64ECE" w:rsidRPr="00E85F03">
        <w:rPr>
          <w:rFonts w:ascii="Times New Roman" w:hAnsi="Times New Roman" w:cs="Times New Roman"/>
          <w:color w:val="000000" w:themeColor="text1"/>
          <w:sz w:val="24"/>
          <w:szCs w:val="24"/>
        </w:rPr>
        <w:t xml:space="preserve"> public hearing</w:t>
      </w:r>
      <w:r w:rsidR="00B8702C" w:rsidRPr="00E85F03">
        <w:rPr>
          <w:rFonts w:ascii="Times New Roman" w:hAnsi="Times New Roman" w:cs="Times New Roman"/>
          <w:color w:val="000000" w:themeColor="text1"/>
          <w:sz w:val="24"/>
          <w:szCs w:val="24"/>
        </w:rPr>
        <w:t>s,</w:t>
      </w:r>
      <w:r w:rsidR="00C64ECE" w:rsidRPr="00E85F03">
        <w:rPr>
          <w:rFonts w:ascii="Times New Roman" w:hAnsi="Times New Roman" w:cs="Times New Roman"/>
          <w:color w:val="000000" w:themeColor="text1"/>
          <w:sz w:val="24"/>
          <w:szCs w:val="24"/>
        </w:rPr>
        <w:t xml:space="preserve"> concern was raised that the Bill seeks to distinguish between micro-insurance and macro-insurance busi</w:t>
      </w:r>
      <w:r w:rsidR="00684911" w:rsidRPr="00E85F03">
        <w:rPr>
          <w:rFonts w:ascii="Times New Roman" w:hAnsi="Times New Roman" w:cs="Times New Roman"/>
          <w:color w:val="000000" w:themeColor="text1"/>
          <w:sz w:val="24"/>
          <w:szCs w:val="24"/>
        </w:rPr>
        <w:t>ness and this would exacerbate the</w:t>
      </w:r>
      <w:r w:rsidR="00C64ECE" w:rsidRPr="00E85F03">
        <w:rPr>
          <w:rFonts w:ascii="Times New Roman" w:hAnsi="Times New Roman" w:cs="Times New Roman"/>
          <w:color w:val="000000" w:themeColor="text1"/>
          <w:sz w:val="24"/>
          <w:szCs w:val="24"/>
        </w:rPr>
        <w:t xml:space="preserve"> lack of transformation in the industry by </w:t>
      </w:r>
      <w:r w:rsidR="00684911" w:rsidRPr="00E85F03">
        <w:rPr>
          <w:rFonts w:ascii="Times New Roman" w:hAnsi="Times New Roman" w:cs="Times New Roman"/>
          <w:color w:val="000000" w:themeColor="text1"/>
          <w:sz w:val="24"/>
          <w:szCs w:val="24"/>
        </w:rPr>
        <w:t>“ghetto-</w:t>
      </w:r>
      <w:proofErr w:type="spellStart"/>
      <w:r w:rsidR="00684911" w:rsidRPr="00E85F03">
        <w:rPr>
          <w:rFonts w:ascii="Times New Roman" w:hAnsi="Times New Roman" w:cs="Times New Roman"/>
          <w:color w:val="000000" w:themeColor="text1"/>
          <w:sz w:val="24"/>
          <w:szCs w:val="24"/>
        </w:rPr>
        <w:t>izing</w:t>
      </w:r>
      <w:proofErr w:type="spellEnd"/>
      <w:r w:rsidR="00684911" w:rsidRPr="00E85F03">
        <w:rPr>
          <w:rFonts w:ascii="Times New Roman" w:hAnsi="Times New Roman" w:cs="Times New Roman"/>
          <w:color w:val="000000" w:themeColor="text1"/>
          <w:sz w:val="24"/>
          <w:szCs w:val="24"/>
        </w:rPr>
        <w:t xml:space="preserve">” Blacks in the micro-insurance sector. </w:t>
      </w:r>
    </w:p>
    <w:p w14:paraId="09A15783" w14:textId="77777777" w:rsidR="007F5604" w:rsidRPr="00E85F03" w:rsidRDefault="00C64ECE"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National Treasury </w:t>
      </w:r>
      <w:r w:rsidR="00684911" w:rsidRPr="00E85F03">
        <w:rPr>
          <w:rFonts w:ascii="Times New Roman" w:hAnsi="Times New Roman" w:cs="Times New Roman"/>
          <w:color w:val="000000" w:themeColor="text1"/>
          <w:sz w:val="24"/>
          <w:szCs w:val="24"/>
        </w:rPr>
        <w:t>argued that micro-insurance</w:t>
      </w:r>
      <w:r w:rsidRPr="00E85F03">
        <w:rPr>
          <w:rFonts w:ascii="Times New Roman" w:hAnsi="Times New Roman" w:cs="Times New Roman"/>
          <w:color w:val="000000" w:themeColor="text1"/>
          <w:sz w:val="24"/>
          <w:szCs w:val="24"/>
        </w:rPr>
        <w:t xml:space="preserve"> </w:t>
      </w:r>
      <w:r w:rsidR="009B36BE" w:rsidRPr="00E85F03">
        <w:rPr>
          <w:rFonts w:ascii="Times New Roman" w:hAnsi="Times New Roman" w:cs="Times New Roman"/>
          <w:color w:val="000000" w:themeColor="text1"/>
          <w:sz w:val="24"/>
          <w:szCs w:val="24"/>
        </w:rPr>
        <w:t xml:space="preserve">is </w:t>
      </w:r>
      <w:r w:rsidR="00684911" w:rsidRPr="00E85F03">
        <w:rPr>
          <w:rFonts w:ascii="Times New Roman" w:hAnsi="Times New Roman" w:cs="Times New Roman"/>
          <w:color w:val="000000" w:themeColor="text1"/>
          <w:sz w:val="24"/>
          <w:szCs w:val="24"/>
        </w:rPr>
        <w:t>also important in promoting</w:t>
      </w:r>
      <w:r w:rsidR="009B36BE" w:rsidRPr="00E85F03">
        <w:rPr>
          <w:rFonts w:ascii="Times New Roman" w:hAnsi="Times New Roman" w:cs="Times New Roman"/>
          <w:color w:val="000000" w:themeColor="text1"/>
          <w:sz w:val="24"/>
          <w:szCs w:val="24"/>
        </w:rPr>
        <w:t xml:space="preserve"> financial inclusion</w:t>
      </w:r>
      <w:r w:rsidR="00FA662E" w:rsidRPr="00E85F03">
        <w:rPr>
          <w:rFonts w:ascii="Times New Roman" w:hAnsi="Times New Roman" w:cs="Times New Roman"/>
          <w:color w:val="000000" w:themeColor="text1"/>
          <w:sz w:val="24"/>
          <w:szCs w:val="24"/>
        </w:rPr>
        <w:t>. It</w:t>
      </w:r>
      <w:r w:rsidR="00FD1219" w:rsidRPr="00E85F03">
        <w:rPr>
          <w:rFonts w:ascii="Times New Roman" w:hAnsi="Times New Roman" w:cs="Times New Roman"/>
          <w:color w:val="000000" w:themeColor="text1"/>
          <w:sz w:val="24"/>
          <w:szCs w:val="24"/>
        </w:rPr>
        <w:t xml:space="preserve"> establishes an</w:t>
      </w:r>
      <w:r w:rsidR="003E6F45" w:rsidRPr="00E85F03">
        <w:rPr>
          <w:rFonts w:ascii="Times New Roman" w:hAnsi="Times New Roman" w:cs="Times New Roman"/>
          <w:color w:val="000000" w:themeColor="text1"/>
          <w:sz w:val="24"/>
          <w:szCs w:val="24"/>
        </w:rPr>
        <w:t xml:space="preserve"> enabling</w:t>
      </w:r>
      <w:r w:rsidR="00FD1219" w:rsidRPr="00E85F03">
        <w:rPr>
          <w:rFonts w:ascii="Times New Roman" w:hAnsi="Times New Roman" w:cs="Times New Roman"/>
          <w:color w:val="000000" w:themeColor="text1"/>
          <w:sz w:val="24"/>
          <w:szCs w:val="24"/>
        </w:rPr>
        <w:t xml:space="preserve"> regulatory framework</w:t>
      </w:r>
      <w:r w:rsidR="007F5604" w:rsidRPr="00E85F03">
        <w:rPr>
          <w:rFonts w:ascii="Times New Roman" w:hAnsi="Times New Roman" w:cs="Times New Roman"/>
          <w:color w:val="000000" w:themeColor="text1"/>
          <w:sz w:val="24"/>
          <w:szCs w:val="24"/>
        </w:rPr>
        <w:t xml:space="preserve"> that </w:t>
      </w:r>
      <w:r w:rsidR="00A41957" w:rsidRPr="00E85F03">
        <w:rPr>
          <w:rFonts w:ascii="Times New Roman" w:hAnsi="Times New Roman" w:cs="Times New Roman"/>
          <w:color w:val="000000" w:themeColor="text1"/>
          <w:sz w:val="24"/>
          <w:szCs w:val="24"/>
        </w:rPr>
        <w:t xml:space="preserve">provides for </w:t>
      </w:r>
      <w:r w:rsidR="007F5604" w:rsidRPr="00E85F03">
        <w:rPr>
          <w:rFonts w:ascii="Times New Roman" w:hAnsi="Times New Roman" w:cs="Times New Roman"/>
          <w:color w:val="000000" w:themeColor="text1"/>
          <w:sz w:val="24"/>
          <w:szCs w:val="24"/>
        </w:rPr>
        <w:t>lowering regulatory barriers to entry</w:t>
      </w:r>
      <w:r w:rsidR="00FD1219" w:rsidRPr="00E85F03">
        <w:rPr>
          <w:rFonts w:ascii="Times New Roman" w:hAnsi="Times New Roman" w:cs="Times New Roman"/>
          <w:color w:val="000000" w:themeColor="text1"/>
          <w:sz w:val="24"/>
          <w:szCs w:val="24"/>
        </w:rPr>
        <w:t xml:space="preserve"> to facilitate the development of access products for</w:t>
      </w:r>
      <w:r w:rsidR="00684911" w:rsidRPr="00E85F03">
        <w:rPr>
          <w:rFonts w:ascii="Times New Roman" w:hAnsi="Times New Roman" w:cs="Times New Roman"/>
          <w:color w:val="000000" w:themeColor="text1"/>
          <w:sz w:val="24"/>
          <w:szCs w:val="24"/>
        </w:rPr>
        <w:t xml:space="preserve"> the low-income market</w:t>
      </w:r>
      <w:r w:rsidR="00FD1219" w:rsidRPr="00E85F03">
        <w:rPr>
          <w:rFonts w:ascii="Times New Roman" w:hAnsi="Times New Roman" w:cs="Times New Roman"/>
          <w:color w:val="000000" w:themeColor="text1"/>
          <w:sz w:val="24"/>
          <w:szCs w:val="24"/>
        </w:rPr>
        <w:t>.</w:t>
      </w:r>
      <w:r w:rsidR="00E05BBE" w:rsidRPr="00E85F03">
        <w:rPr>
          <w:rFonts w:ascii="Times New Roman" w:hAnsi="Times New Roman" w:cs="Times New Roman"/>
          <w:color w:val="000000" w:themeColor="text1"/>
          <w:sz w:val="24"/>
          <w:szCs w:val="24"/>
        </w:rPr>
        <w:t xml:space="preserve"> </w:t>
      </w:r>
    </w:p>
    <w:p w14:paraId="0DA6FF76" w14:textId="77777777" w:rsidR="00C64ECE" w:rsidRPr="00E85F03" w:rsidRDefault="00DB4B4D"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National Treasury explained that m</w:t>
      </w:r>
      <w:r w:rsidR="00C64ECE" w:rsidRPr="00E85F03">
        <w:rPr>
          <w:rFonts w:ascii="Times New Roman" w:hAnsi="Times New Roman" w:cs="Times New Roman"/>
          <w:color w:val="000000" w:themeColor="text1"/>
          <w:sz w:val="24"/>
          <w:szCs w:val="24"/>
        </w:rPr>
        <w:t>icro</w:t>
      </w:r>
      <w:r w:rsidR="00F74476" w:rsidRPr="00E85F03">
        <w:rPr>
          <w:rFonts w:ascii="Times New Roman" w:hAnsi="Times New Roman" w:cs="Times New Roman"/>
          <w:color w:val="000000" w:themeColor="text1"/>
          <w:sz w:val="24"/>
          <w:szCs w:val="24"/>
        </w:rPr>
        <w:t>-</w:t>
      </w:r>
      <w:r w:rsidR="00C64ECE" w:rsidRPr="00E85F03">
        <w:rPr>
          <w:rFonts w:ascii="Times New Roman" w:hAnsi="Times New Roman" w:cs="Times New Roman"/>
          <w:color w:val="000000" w:themeColor="text1"/>
          <w:sz w:val="24"/>
          <w:szCs w:val="24"/>
        </w:rPr>
        <w:t xml:space="preserve">insurance products will be </w:t>
      </w:r>
      <w:proofErr w:type="spellStart"/>
      <w:r w:rsidR="00C64ECE" w:rsidRPr="00E85F03">
        <w:rPr>
          <w:rFonts w:ascii="Times New Roman" w:hAnsi="Times New Roman" w:cs="Times New Roman"/>
          <w:color w:val="000000" w:themeColor="text1"/>
          <w:sz w:val="24"/>
          <w:szCs w:val="24"/>
        </w:rPr>
        <w:t>characterised</w:t>
      </w:r>
      <w:proofErr w:type="spellEnd"/>
      <w:r w:rsidR="00C64ECE" w:rsidRPr="00E85F03">
        <w:rPr>
          <w:rFonts w:ascii="Times New Roman" w:hAnsi="Times New Roman" w:cs="Times New Roman"/>
          <w:color w:val="000000" w:themeColor="text1"/>
          <w:sz w:val="24"/>
          <w:szCs w:val="24"/>
        </w:rPr>
        <w:t xml:space="preserve"> by lower risk, enabling reduced prudential and market conduct requirements to facilitate </w:t>
      </w:r>
      <w:r w:rsidR="00827A71" w:rsidRPr="00E85F03">
        <w:rPr>
          <w:rFonts w:ascii="Times New Roman" w:hAnsi="Times New Roman" w:cs="Times New Roman"/>
          <w:color w:val="000000" w:themeColor="text1"/>
          <w:sz w:val="24"/>
          <w:szCs w:val="24"/>
        </w:rPr>
        <w:t xml:space="preserve">the </w:t>
      </w:r>
      <w:r w:rsidR="00C64ECE" w:rsidRPr="00E85F03">
        <w:rPr>
          <w:rFonts w:ascii="Times New Roman" w:hAnsi="Times New Roman" w:cs="Times New Roman"/>
          <w:color w:val="000000" w:themeColor="text1"/>
          <w:sz w:val="24"/>
          <w:szCs w:val="24"/>
        </w:rPr>
        <w:t xml:space="preserve">lower cost of underwriting and distribution. The </w:t>
      </w:r>
      <w:r w:rsidRPr="00E85F03">
        <w:rPr>
          <w:rFonts w:ascii="Times New Roman" w:hAnsi="Times New Roman" w:cs="Times New Roman"/>
          <w:color w:val="000000" w:themeColor="text1"/>
          <w:sz w:val="24"/>
          <w:szCs w:val="24"/>
        </w:rPr>
        <w:t xml:space="preserve">aim </w:t>
      </w:r>
      <w:r w:rsidR="00C64ECE" w:rsidRPr="00E85F03">
        <w:rPr>
          <w:rFonts w:ascii="Times New Roman" w:hAnsi="Times New Roman" w:cs="Times New Roman"/>
          <w:color w:val="000000" w:themeColor="text1"/>
          <w:sz w:val="24"/>
          <w:szCs w:val="24"/>
        </w:rPr>
        <w:t>is to</w:t>
      </w:r>
      <w:r w:rsidR="009B36BE" w:rsidRPr="00E85F03">
        <w:rPr>
          <w:rFonts w:ascii="Times New Roman" w:hAnsi="Times New Roman" w:cs="Times New Roman"/>
          <w:color w:val="000000" w:themeColor="text1"/>
          <w:sz w:val="24"/>
          <w:szCs w:val="24"/>
        </w:rPr>
        <w:t xml:space="preserve"> provide a developmental path for </w:t>
      </w:r>
      <w:r w:rsidR="00C64ECE" w:rsidRPr="00E85F03">
        <w:rPr>
          <w:rFonts w:ascii="Times New Roman" w:hAnsi="Times New Roman" w:cs="Times New Roman"/>
          <w:color w:val="000000" w:themeColor="text1"/>
          <w:sz w:val="24"/>
          <w:szCs w:val="24"/>
        </w:rPr>
        <w:t xml:space="preserve">informal insurance providers and small prospective insurers who find current registration requirements too onerous, to be able to register as insurers with reduced but appropriate requirements that still enable them to meet minimum acceptable standards from a risk management and consumer protection point of view. </w:t>
      </w:r>
      <w:r w:rsidRPr="00E85F03">
        <w:rPr>
          <w:rFonts w:ascii="Times New Roman" w:hAnsi="Times New Roman" w:cs="Times New Roman"/>
          <w:color w:val="000000" w:themeColor="text1"/>
          <w:sz w:val="24"/>
          <w:szCs w:val="24"/>
        </w:rPr>
        <w:t xml:space="preserve">However, the Committee stressed that </w:t>
      </w:r>
      <w:r w:rsidR="005B110B" w:rsidRPr="00E85F03">
        <w:rPr>
          <w:rFonts w:ascii="Times New Roman" w:hAnsi="Times New Roman" w:cs="Times New Roman"/>
          <w:color w:val="000000" w:themeColor="text1"/>
          <w:sz w:val="24"/>
          <w:szCs w:val="24"/>
        </w:rPr>
        <w:t>while micro-insurance can assist in the emergence of new entrants, there is an urgent need to ensure that the level of concentration and monopolization in the insurance sector as a whole is reduced and that it is deracialized and transformed.</w:t>
      </w:r>
    </w:p>
    <w:p w14:paraId="5AA31548" w14:textId="77777777" w:rsidR="009755AE" w:rsidRPr="00E85F03" w:rsidRDefault="009755AE" w:rsidP="00E85F03">
      <w:pPr>
        <w:pStyle w:val="ListParagraph"/>
        <w:widowControl/>
        <w:tabs>
          <w:tab w:val="left" w:pos="142"/>
        </w:tabs>
        <w:spacing w:before="120" w:after="120" w:line="360" w:lineRule="auto"/>
        <w:ind w:left="360"/>
        <w:jc w:val="both"/>
        <w:rPr>
          <w:rFonts w:ascii="Times New Roman" w:hAnsi="Times New Roman" w:cs="Times New Roman"/>
          <w:color w:val="000000" w:themeColor="text1"/>
          <w:sz w:val="24"/>
          <w:szCs w:val="24"/>
        </w:rPr>
      </w:pPr>
    </w:p>
    <w:p w14:paraId="3D745F21" w14:textId="77777777" w:rsidR="004D4388" w:rsidRPr="00E85F03" w:rsidRDefault="004D4388" w:rsidP="00E85F03">
      <w:pPr>
        <w:pStyle w:val="ListParagraph"/>
        <w:widowControl/>
        <w:spacing w:before="120" w:after="120" w:line="360" w:lineRule="auto"/>
        <w:ind w:left="360"/>
        <w:jc w:val="both"/>
        <w:rPr>
          <w:rFonts w:ascii="Times New Roman" w:hAnsi="Times New Roman" w:cs="Times New Roman"/>
          <w:b/>
          <w:color w:val="000000" w:themeColor="text1"/>
          <w:sz w:val="24"/>
          <w:szCs w:val="24"/>
        </w:rPr>
      </w:pPr>
      <w:r w:rsidRPr="00E85F03">
        <w:rPr>
          <w:rFonts w:ascii="Times New Roman" w:hAnsi="Times New Roman" w:cs="Times New Roman"/>
          <w:b/>
          <w:color w:val="000000" w:themeColor="text1"/>
          <w:sz w:val="24"/>
          <w:szCs w:val="24"/>
        </w:rPr>
        <w:t>Fee and levies</w:t>
      </w:r>
    </w:p>
    <w:p w14:paraId="3472373A" w14:textId="77777777" w:rsidR="004D4388" w:rsidRPr="00E85F03" w:rsidRDefault="004D4388"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The </w:t>
      </w:r>
      <w:r w:rsidR="00A41957" w:rsidRPr="00E85F03">
        <w:rPr>
          <w:rFonts w:ascii="Times New Roman" w:hAnsi="Times New Roman" w:cs="Times New Roman"/>
          <w:color w:val="000000" w:themeColor="text1"/>
          <w:sz w:val="24"/>
          <w:szCs w:val="24"/>
        </w:rPr>
        <w:t>C</w:t>
      </w:r>
      <w:r w:rsidRPr="00E85F03">
        <w:rPr>
          <w:rFonts w:ascii="Times New Roman" w:hAnsi="Times New Roman" w:cs="Times New Roman"/>
          <w:color w:val="000000" w:themeColor="text1"/>
          <w:sz w:val="24"/>
          <w:szCs w:val="24"/>
        </w:rPr>
        <w:t xml:space="preserve">ommittee raised </w:t>
      </w:r>
      <w:r w:rsidR="00A41957" w:rsidRPr="00E85F03">
        <w:rPr>
          <w:rFonts w:ascii="Times New Roman" w:hAnsi="Times New Roman" w:cs="Times New Roman"/>
          <w:color w:val="000000" w:themeColor="text1"/>
          <w:sz w:val="24"/>
          <w:szCs w:val="24"/>
        </w:rPr>
        <w:t xml:space="preserve">the need for </w:t>
      </w:r>
      <w:r w:rsidRPr="00E85F03">
        <w:rPr>
          <w:rFonts w:ascii="Times New Roman" w:hAnsi="Times New Roman" w:cs="Times New Roman"/>
          <w:color w:val="000000" w:themeColor="text1"/>
          <w:sz w:val="24"/>
          <w:szCs w:val="24"/>
        </w:rPr>
        <w:t xml:space="preserve">application fees </w:t>
      </w:r>
      <w:r w:rsidR="00A41957" w:rsidRPr="00E85F03">
        <w:rPr>
          <w:rFonts w:ascii="Times New Roman" w:hAnsi="Times New Roman" w:cs="Times New Roman"/>
          <w:color w:val="000000" w:themeColor="text1"/>
          <w:sz w:val="24"/>
          <w:szCs w:val="24"/>
        </w:rPr>
        <w:t xml:space="preserve">to </w:t>
      </w:r>
      <w:r w:rsidRPr="00E85F03">
        <w:rPr>
          <w:rFonts w:ascii="Times New Roman" w:hAnsi="Times New Roman" w:cs="Times New Roman"/>
          <w:color w:val="000000" w:themeColor="text1"/>
          <w:sz w:val="24"/>
          <w:szCs w:val="24"/>
        </w:rPr>
        <w:t>be reduced for black</w:t>
      </w:r>
      <w:r w:rsidR="00827A71" w:rsidRPr="00E85F03">
        <w:rPr>
          <w:rFonts w:ascii="Times New Roman" w:hAnsi="Times New Roman" w:cs="Times New Roman"/>
          <w:color w:val="000000" w:themeColor="text1"/>
          <w:sz w:val="24"/>
          <w:szCs w:val="24"/>
        </w:rPr>
        <w:t>-</w:t>
      </w:r>
      <w:r w:rsidRPr="00E85F03">
        <w:rPr>
          <w:rFonts w:ascii="Times New Roman" w:hAnsi="Times New Roman" w:cs="Times New Roman"/>
          <w:color w:val="000000" w:themeColor="text1"/>
          <w:sz w:val="24"/>
          <w:szCs w:val="24"/>
        </w:rPr>
        <w:t xml:space="preserve">owned </w:t>
      </w:r>
      <w:r w:rsidR="00A41957" w:rsidRPr="00E85F03">
        <w:rPr>
          <w:rFonts w:ascii="Times New Roman" w:hAnsi="Times New Roman" w:cs="Times New Roman"/>
          <w:color w:val="000000" w:themeColor="text1"/>
          <w:sz w:val="24"/>
          <w:szCs w:val="24"/>
        </w:rPr>
        <w:t xml:space="preserve">companies </w:t>
      </w:r>
      <w:r w:rsidRPr="00E85F03">
        <w:rPr>
          <w:rFonts w:ascii="Times New Roman" w:hAnsi="Times New Roman" w:cs="Times New Roman"/>
          <w:color w:val="000000" w:themeColor="text1"/>
          <w:sz w:val="24"/>
          <w:szCs w:val="24"/>
        </w:rPr>
        <w:t>applying for licenses. National Treasury‘s</w:t>
      </w:r>
      <w:r w:rsidR="00827A71" w:rsidRPr="00E85F03">
        <w:rPr>
          <w:rFonts w:ascii="Times New Roman" w:hAnsi="Times New Roman" w:cs="Times New Roman"/>
          <w:color w:val="000000" w:themeColor="text1"/>
          <w:sz w:val="24"/>
          <w:szCs w:val="24"/>
        </w:rPr>
        <w:t xml:space="preserve"> </w:t>
      </w:r>
      <w:r w:rsidRPr="00E85F03">
        <w:rPr>
          <w:rFonts w:ascii="Times New Roman" w:hAnsi="Times New Roman" w:cs="Times New Roman"/>
          <w:color w:val="000000" w:themeColor="text1"/>
          <w:sz w:val="24"/>
          <w:szCs w:val="24"/>
        </w:rPr>
        <w:t xml:space="preserve">response was that fees and levies will be </w:t>
      </w:r>
      <w:r w:rsidR="00A41957" w:rsidRPr="00E85F03">
        <w:rPr>
          <w:rFonts w:ascii="Times New Roman" w:hAnsi="Times New Roman" w:cs="Times New Roman"/>
          <w:color w:val="000000" w:themeColor="text1"/>
          <w:sz w:val="24"/>
          <w:szCs w:val="24"/>
        </w:rPr>
        <w:t xml:space="preserve">decided in terms </w:t>
      </w:r>
      <w:proofErr w:type="gramStart"/>
      <w:r w:rsidR="00A41957" w:rsidRPr="00E85F03">
        <w:rPr>
          <w:rFonts w:ascii="Times New Roman" w:hAnsi="Times New Roman" w:cs="Times New Roman"/>
          <w:color w:val="000000" w:themeColor="text1"/>
          <w:sz w:val="24"/>
          <w:szCs w:val="24"/>
        </w:rPr>
        <w:t xml:space="preserve">of </w:t>
      </w:r>
      <w:r w:rsidRPr="00E85F03">
        <w:rPr>
          <w:rFonts w:ascii="Times New Roman" w:hAnsi="Times New Roman" w:cs="Times New Roman"/>
          <w:color w:val="000000" w:themeColor="text1"/>
          <w:sz w:val="24"/>
          <w:szCs w:val="24"/>
        </w:rPr>
        <w:t xml:space="preserve"> the</w:t>
      </w:r>
      <w:proofErr w:type="gramEnd"/>
      <w:r w:rsidRPr="00E85F03">
        <w:rPr>
          <w:rFonts w:ascii="Times New Roman" w:hAnsi="Times New Roman" w:cs="Times New Roman"/>
          <w:color w:val="000000" w:themeColor="text1"/>
          <w:sz w:val="24"/>
          <w:szCs w:val="24"/>
        </w:rPr>
        <w:t xml:space="preserve"> Financial Sector Regulation Act and the </w:t>
      </w:r>
      <w:r w:rsidR="00A41957" w:rsidRPr="00E85F03">
        <w:rPr>
          <w:rFonts w:ascii="Times New Roman" w:hAnsi="Times New Roman" w:cs="Times New Roman"/>
          <w:color w:val="000000" w:themeColor="text1"/>
          <w:sz w:val="24"/>
          <w:szCs w:val="24"/>
        </w:rPr>
        <w:t xml:space="preserve">pending </w:t>
      </w:r>
      <w:r w:rsidRPr="00E85F03">
        <w:rPr>
          <w:rFonts w:ascii="Times New Roman" w:hAnsi="Times New Roman" w:cs="Times New Roman"/>
          <w:color w:val="000000" w:themeColor="text1"/>
          <w:sz w:val="24"/>
          <w:szCs w:val="24"/>
        </w:rPr>
        <w:t xml:space="preserve">Financial Sector Levies Bill. </w:t>
      </w:r>
    </w:p>
    <w:p w14:paraId="1CBD756D" w14:textId="77777777" w:rsidR="00A374A6" w:rsidRPr="00E85F03" w:rsidRDefault="004D4388"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All fees and levies to be </w:t>
      </w:r>
      <w:r w:rsidR="00A41957" w:rsidRPr="00E85F03">
        <w:rPr>
          <w:rFonts w:ascii="Times New Roman" w:hAnsi="Times New Roman" w:cs="Times New Roman"/>
          <w:color w:val="000000" w:themeColor="text1"/>
          <w:sz w:val="24"/>
          <w:szCs w:val="24"/>
        </w:rPr>
        <w:t xml:space="preserve">applied </w:t>
      </w:r>
      <w:r w:rsidRPr="00E85F03">
        <w:rPr>
          <w:rFonts w:ascii="Times New Roman" w:hAnsi="Times New Roman" w:cs="Times New Roman"/>
          <w:color w:val="000000" w:themeColor="text1"/>
          <w:sz w:val="24"/>
          <w:szCs w:val="24"/>
        </w:rPr>
        <w:t xml:space="preserve">will be subject to consultation in the same manner as Prudential Standards. The </w:t>
      </w:r>
      <w:r w:rsidR="00A41957" w:rsidRPr="00E85F03">
        <w:rPr>
          <w:rFonts w:ascii="Times New Roman" w:hAnsi="Times New Roman" w:cs="Times New Roman"/>
          <w:color w:val="000000" w:themeColor="text1"/>
          <w:sz w:val="24"/>
          <w:szCs w:val="24"/>
        </w:rPr>
        <w:t>Co</w:t>
      </w:r>
      <w:r w:rsidRPr="00E85F03">
        <w:rPr>
          <w:rFonts w:ascii="Times New Roman" w:hAnsi="Times New Roman" w:cs="Times New Roman"/>
          <w:color w:val="000000" w:themeColor="text1"/>
          <w:sz w:val="24"/>
          <w:szCs w:val="24"/>
        </w:rPr>
        <w:t xml:space="preserve">mmittee </w:t>
      </w:r>
      <w:r w:rsidR="00A41957" w:rsidRPr="00E85F03">
        <w:rPr>
          <w:rFonts w:ascii="Times New Roman" w:hAnsi="Times New Roman" w:cs="Times New Roman"/>
          <w:color w:val="000000" w:themeColor="text1"/>
          <w:sz w:val="24"/>
          <w:szCs w:val="24"/>
        </w:rPr>
        <w:t xml:space="preserve">notes </w:t>
      </w:r>
      <w:r w:rsidRPr="00E85F03">
        <w:rPr>
          <w:rFonts w:ascii="Times New Roman" w:hAnsi="Times New Roman" w:cs="Times New Roman"/>
          <w:color w:val="000000" w:themeColor="text1"/>
          <w:sz w:val="24"/>
          <w:szCs w:val="24"/>
        </w:rPr>
        <w:t xml:space="preserve">National Treasury‘s response </w:t>
      </w:r>
      <w:r w:rsidR="00A41957" w:rsidRPr="00E85F03">
        <w:rPr>
          <w:rFonts w:ascii="Times New Roman" w:hAnsi="Times New Roman" w:cs="Times New Roman"/>
          <w:color w:val="000000" w:themeColor="text1"/>
          <w:sz w:val="24"/>
          <w:szCs w:val="24"/>
        </w:rPr>
        <w:t xml:space="preserve">that </w:t>
      </w:r>
      <w:r w:rsidRPr="00E85F03">
        <w:rPr>
          <w:rFonts w:ascii="Times New Roman" w:hAnsi="Times New Roman" w:cs="Times New Roman"/>
          <w:color w:val="000000" w:themeColor="text1"/>
          <w:sz w:val="24"/>
          <w:szCs w:val="24"/>
        </w:rPr>
        <w:t>the consultation process provided for in the Financial Sector Regulation Act will provide an opportunity for small and black</w:t>
      </w:r>
      <w:r w:rsidR="00827A71" w:rsidRPr="00E85F03">
        <w:rPr>
          <w:rFonts w:ascii="Times New Roman" w:hAnsi="Times New Roman" w:cs="Times New Roman"/>
          <w:color w:val="000000" w:themeColor="text1"/>
          <w:sz w:val="24"/>
          <w:szCs w:val="24"/>
        </w:rPr>
        <w:t>-</w:t>
      </w:r>
      <w:r w:rsidRPr="00E85F03">
        <w:rPr>
          <w:rFonts w:ascii="Times New Roman" w:hAnsi="Times New Roman" w:cs="Times New Roman"/>
          <w:color w:val="000000" w:themeColor="text1"/>
          <w:sz w:val="24"/>
          <w:szCs w:val="24"/>
        </w:rPr>
        <w:t xml:space="preserve">owned </w:t>
      </w:r>
      <w:r w:rsidR="00A41957" w:rsidRPr="00E85F03">
        <w:rPr>
          <w:rFonts w:ascii="Times New Roman" w:hAnsi="Times New Roman" w:cs="Times New Roman"/>
          <w:color w:val="000000" w:themeColor="text1"/>
          <w:sz w:val="24"/>
          <w:szCs w:val="24"/>
        </w:rPr>
        <w:t xml:space="preserve">companies </w:t>
      </w:r>
      <w:r w:rsidRPr="00E85F03">
        <w:rPr>
          <w:rFonts w:ascii="Times New Roman" w:hAnsi="Times New Roman" w:cs="Times New Roman"/>
          <w:color w:val="000000" w:themeColor="text1"/>
          <w:sz w:val="24"/>
          <w:szCs w:val="24"/>
        </w:rPr>
        <w:t xml:space="preserve">to </w:t>
      </w:r>
      <w:r w:rsidR="00A41957" w:rsidRPr="00E85F03">
        <w:rPr>
          <w:rFonts w:ascii="Times New Roman" w:hAnsi="Times New Roman" w:cs="Times New Roman"/>
          <w:color w:val="000000" w:themeColor="text1"/>
          <w:sz w:val="24"/>
          <w:szCs w:val="24"/>
        </w:rPr>
        <w:t>motivate</w:t>
      </w:r>
      <w:r w:rsidRPr="00E85F03">
        <w:rPr>
          <w:rFonts w:ascii="Times New Roman" w:hAnsi="Times New Roman" w:cs="Times New Roman"/>
          <w:color w:val="000000" w:themeColor="text1"/>
          <w:sz w:val="24"/>
          <w:szCs w:val="24"/>
        </w:rPr>
        <w:t xml:space="preserve"> why the fees and levies applicable to them should be reduced.</w:t>
      </w:r>
      <w:r w:rsidR="00A41957" w:rsidRPr="00E85F03">
        <w:rPr>
          <w:rFonts w:ascii="Times New Roman" w:hAnsi="Times New Roman" w:cs="Times New Roman"/>
          <w:color w:val="000000" w:themeColor="text1"/>
          <w:sz w:val="24"/>
          <w:szCs w:val="24"/>
        </w:rPr>
        <w:t xml:space="preserve"> The Committee requires National Treasury to report to it on the outcomes of this. </w:t>
      </w:r>
    </w:p>
    <w:p w14:paraId="2B4EA9C5" w14:textId="77777777" w:rsidR="009755AE" w:rsidRPr="00E85F03" w:rsidRDefault="009755AE" w:rsidP="00E85F03">
      <w:pPr>
        <w:pStyle w:val="ListParagraph"/>
        <w:widowControl/>
        <w:tabs>
          <w:tab w:val="left" w:pos="142"/>
        </w:tabs>
        <w:spacing w:before="120" w:after="120" w:line="360" w:lineRule="auto"/>
        <w:ind w:left="360"/>
        <w:jc w:val="both"/>
        <w:rPr>
          <w:rFonts w:ascii="Times New Roman" w:hAnsi="Times New Roman" w:cs="Times New Roman"/>
          <w:color w:val="000000" w:themeColor="text1"/>
          <w:sz w:val="24"/>
          <w:szCs w:val="24"/>
        </w:rPr>
      </w:pPr>
    </w:p>
    <w:p w14:paraId="03D3B5E0" w14:textId="77777777" w:rsidR="00A374A6" w:rsidRPr="00E85F03" w:rsidRDefault="00A374A6" w:rsidP="00E85F03">
      <w:pPr>
        <w:pStyle w:val="ListParagraph"/>
        <w:widowControl/>
        <w:spacing w:before="120" w:after="120" w:line="360" w:lineRule="auto"/>
        <w:ind w:left="360"/>
        <w:jc w:val="both"/>
        <w:rPr>
          <w:rFonts w:ascii="Times New Roman" w:hAnsi="Times New Roman" w:cs="Times New Roman"/>
          <w:b/>
          <w:color w:val="000000" w:themeColor="text1"/>
          <w:sz w:val="24"/>
          <w:szCs w:val="24"/>
        </w:rPr>
      </w:pPr>
      <w:r w:rsidRPr="00E85F03">
        <w:rPr>
          <w:rFonts w:ascii="Times New Roman" w:hAnsi="Times New Roman" w:cs="Times New Roman"/>
          <w:b/>
          <w:color w:val="000000" w:themeColor="text1"/>
          <w:sz w:val="24"/>
          <w:szCs w:val="24"/>
        </w:rPr>
        <w:t xml:space="preserve">Policyholders’ preferential creditor status in the event of insolvency </w:t>
      </w:r>
    </w:p>
    <w:p w14:paraId="6BF4F48A" w14:textId="77777777" w:rsidR="00A374A6" w:rsidRPr="00E85F03" w:rsidRDefault="005B110B"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lastRenderedPageBreak/>
        <w:t>The C</w:t>
      </w:r>
      <w:r w:rsidR="00C64ECE" w:rsidRPr="00E85F03">
        <w:rPr>
          <w:rFonts w:ascii="Times New Roman" w:hAnsi="Times New Roman" w:cs="Times New Roman"/>
          <w:color w:val="000000" w:themeColor="text1"/>
          <w:sz w:val="24"/>
          <w:szCs w:val="24"/>
        </w:rPr>
        <w:t xml:space="preserve">ommittee raised </w:t>
      </w:r>
      <w:r w:rsidRPr="00E85F03">
        <w:rPr>
          <w:rFonts w:ascii="Times New Roman" w:hAnsi="Times New Roman" w:cs="Times New Roman"/>
          <w:color w:val="000000" w:themeColor="text1"/>
          <w:sz w:val="24"/>
          <w:szCs w:val="24"/>
        </w:rPr>
        <w:t xml:space="preserve">the need for </w:t>
      </w:r>
      <w:r w:rsidR="00C64ECE" w:rsidRPr="00E85F03">
        <w:rPr>
          <w:rFonts w:ascii="Times New Roman" w:hAnsi="Times New Roman" w:cs="Times New Roman"/>
          <w:color w:val="000000" w:themeColor="text1"/>
          <w:sz w:val="24"/>
          <w:szCs w:val="24"/>
        </w:rPr>
        <w:t xml:space="preserve">policyholders </w:t>
      </w:r>
      <w:r w:rsidRPr="00E85F03">
        <w:rPr>
          <w:rFonts w:ascii="Times New Roman" w:hAnsi="Times New Roman" w:cs="Times New Roman"/>
          <w:color w:val="000000" w:themeColor="text1"/>
          <w:sz w:val="24"/>
          <w:szCs w:val="24"/>
        </w:rPr>
        <w:t xml:space="preserve">to </w:t>
      </w:r>
      <w:r w:rsidR="00C64ECE" w:rsidRPr="00E85F03">
        <w:rPr>
          <w:rFonts w:ascii="Times New Roman" w:hAnsi="Times New Roman" w:cs="Times New Roman"/>
          <w:color w:val="000000" w:themeColor="text1"/>
          <w:sz w:val="24"/>
          <w:szCs w:val="24"/>
        </w:rPr>
        <w:t xml:space="preserve">have preferential creditor status in the event of the insolvency of an insurer. National Treasury explained that </w:t>
      </w:r>
      <w:r w:rsidR="00B72968" w:rsidRPr="00E85F03">
        <w:rPr>
          <w:rFonts w:ascii="Times New Roman" w:hAnsi="Times New Roman" w:cs="Times New Roman"/>
          <w:color w:val="000000" w:themeColor="text1"/>
          <w:sz w:val="24"/>
          <w:szCs w:val="24"/>
        </w:rPr>
        <w:t>i</w:t>
      </w:r>
      <w:r w:rsidR="00C64ECE" w:rsidRPr="00E85F03">
        <w:rPr>
          <w:rFonts w:ascii="Times New Roman" w:hAnsi="Times New Roman" w:cs="Times New Roman"/>
          <w:color w:val="000000" w:themeColor="text1"/>
          <w:sz w:val="24"/>
          <w:szCs w:val="24"/>
        </w:rPr>
        <w:t>nternational standards require that legislation affords policyholders a high legal priority in the event of the insolvency of an insurer</w:t>
      </w:r>
      <w:r w:rsidR="00DA2D99" w:rsidRPr="00E85F03">
        <w:rPr>
          <w:rFonts w:ascii="Times New Roman" w:hAnsi="Times New Roman" w:cs="Times New Roman"/>
          <w:color w:val="000000" w:themeColor="text1"/>
          <w:sz w:val="24"/>
          <w:szCs w:val="24"/>
        </w:rPr>
        <w:t>. However</w:t>
      </w:r>
      <w:r w:rsidR="00F01CFE" w:rsidRPr="00E85F03">
        <w:rPr>
          <w:rFonts w:ascii="Times New Roman" w:hAnsi="Times New Roman" w:cs="Times New Roman"/>
          <w:color w:val="000000" w:themeColor="text1"/>
          <w:sz w:val="24"/>
          <w:szCs w:val="24"/>
        </w:rPr>
        <w:t>,</w:t>
      </w:r>
      <w:r w:rsidR="00DA2D99" w:rsidRPr="00E85F03">
        <w:rPr>
          <w:rFonts w:ascii="Times New Roman" w:hAnsi="Times New Roman" w:cs="Times New Roman"/>
          <w:color w:val="000000" w:themeColor="text1"/>
          <w:sz w:val="24"/>
          <w:szCs w:val="24"/>
        </w:rPr>
        <w:t xml:space="preserve"> this has not been provided for in the South African regulatory framework</w:t>
      </w:r>
      <w:r w:rsidR="00C64ECE" w:rsidRPr="00E85F03">
        <w:rPr>
          <w:rFonts w:ascii="Times New Roman" w:hAnsi="Times New Roman" w:cs="Times New Roman"/>
          <w:color w:val="000000" w:themeColor="text1"/>
          <w:sz w:val="24"/>
          <w:szCs w:val="24"/>
        </w:rPr>
        <w:t xml:space="preserve">. </w:t>
      </w:r>
    </w:p>
    <w:p w14:paraId="2F564BBE" w14:textId="77777777" w:rsidR="00A374A6" w:rsidRPr="00E85F03" w:rsidRDefault="005B110B"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The National Treasury,</w:t>
      </w:r>
      <w:r w:rsidR="00751A5F" w:rsidRPr="00E85F03">
        <w:rPr>
          <w:rFonts w:ascii="Times New Roman" w:hAnsi="Times New Roman" w:cs="Times New Roman"/>
          <w:color w:val="000000" w:themeColor="text1"/>
          <w:sz w:val="24"/>
          <w:szCs w:val="24"/>
        </w:rPr>
        <w:t xml:space="preserve"> </w:t>
      </w:r>
      <w:r w:rsidR="00C64ECE" w:rsidRPr="00E85F03">
        <w:rPr>
          <w:rFonts w:ascii="Times New Roman" w:hAnsi="Times New Roman" w:cs="Times New Roman"/>
          <w:color w:val="000000" w:themeColor="text1"/>
          <w:sz w:val="24"/>
          <w:szCs w:val="24"/>
        </w:rPr>
        <w:t>in its 2015 policy document on Strengthening South Africa’s Resolution Framework for Financial Institutions</w:t>
      </w:r>
      <w:r w:rsidRPr="00E85F03">
        <w:rPr>
          <w:rFonts w:ascii="Times New Roman" w:hAnsi="Times New Roman" w:cs="Times New Roman"/>
          <w:color w:val="000000" w:themeColor="text1"/>
          <w:sz w:val="24"/>
          <w:szCs w:val="24"/>
        </w:rPr>
        <w:t xml:space="preserve">, committed to do </w:t>
      </w:r>
      <w:r w:rsidR="00C64ECE" w:rsidRPr="00E85F03">
        <w:rPr>
          <w:rFonts w:ascii="Times New Roman" w:hAnsi="Times New Roman" w:cs="Times New Roman"/>
          <w:color w:val="000000" w:themeColor="text1"/>
          <w:sz w:val="24"/>
          <w:szCs w:val="24"/>
        </w:rPr>
        <w:t xml:space="preserve"> further technical work relating to </w:t>
      </w:r>
      <w:r w:rsidRPr="00E85F03">
        <w:rPr>
          <w:rFonts w:ascii="Times New Roman" w:hAnsi="Times New Roman" w:cs="Times New Roman"/>
          <w:color w:val="000000" w:themeColor="text1"/>
          <w:sz w:val="24"/>
          <w:szCs w:val="24"/>
        </w:rPr>
        <w:t xml:space="preserve">a </w:t>
      </w:r>
      <w:r w:rsidR="00C64ECE" w:rsidRPr="00E85F03">
        <w:rPr>
          <w:rFonts w:ascii="Times New Roman" w:hAnsi="Times New Roman" w:cs="Times New Roman"/>
          <w:color w:val="000000" w:themeColor="text1"/>
          <w:sz w:val="24"/>
          <w:szCs w:val="24"/>
        </w:rPr>
        <w:t xml:space="preserve">creditor hierarchy and </w:t>
      </w:r>
      <w:r w:rsidRPr="00E85F03">
        <w:rPr>
          <w:rFonts w:ascii="Times New Roman" w:hAnsi="Times New Roman" w:cs="Times New Roman"/>
          <w:color w:val="000000" w:themeColor="text1"/>
          <w:sz w:val="24"/>
          <w:szCs w:val="24"/>
        </w:rPr>
        <w:t xml:space="preserve">the </w:t>
      </w:r>
      <w:r w:rsidR="00C64ECE" w:rsidRPr="00E85F03">
        <w:rPr>
          <w:rFonts w:ascii="Times New Roman" w:hAnsi="Times New Roman" w:cs="Times New Roman"/>
          <w:color w:val="000000" w:themeColor="text1"/>
          <w:sz w:val="24"/>
          <w:szCs w:val="24"/>
        </w:rPr>
        <w:t xml:space="preserve">implications specifically </w:t>
      </w:r>
      <w:r w:rsidR="00827A71" w:rsidRPr="00E85F03">
        <w:rPr>
          <w:rFonts w:ascii="Times New Roman" w:hAnsi="Times New Roman" w:cs="Times New Roman"/>
          <w:color w:val="000000" w:themeColor="text1"/>
          <w:sz w:val="24"/>
          <w:szCs w:val="24"/>
        </w:rPr>
        <w:t xml:space="preserve">for </w:t>
      </w:r>
      <w:r w:rsidR="00C64ECE" w:rsidRPr="00E85F03">
        <w:rPr>
          <w:rFonts w:ascii="Times New Roman" w:hAnsi="Times New Roman" w:cs="Times New Roman"/>
          <w:color w:val="000000" w:themeColor="text1"/>
          <w:sz w:val="24"/>
          <w:szCs w:val="24"/>
        </w:rPr>
        <w:t xml:space="preserve">policyholders when </w:t>
      </w:r>
      <w:r w:rsidR="00751A5F" w:rsidRPr="00E85F03">
        <w:rPr>
          <w:rFonts w:ascii="Times New Roman" w:hAnsi="Times New Roman" w:cs="Times New Roman"/>
          <w:color w:val="000000" w:themeColor="text1"/>
          <w:sz w:val="24"/>
          <w:szCs w:val="24"/>
        </w:rPr>
        <w:t>an insurer is in resolution. This</w:t>
      </w:r>
      <w:r w:rsidR="00C64ECE" w:rsidRPr="00E85F03">
        <w:rPr>
          <w:rFonts w:ascii="Times New Roman" w:hAnsi="Times New Roman" w:cs="Times New Roman"/>
          <w:color w:val="000000" w:themeColor="text1"/>
          <w:sz w:val="24"/>
          <w:szCs w:val="24"/>
        </w:rPr>
        <w:t xml:space="preserve"> technical work is required to inform policy decisions on the type of insurance products and investment-related insurance products that should be afforded preference, the maximum amount that can be claimed in the case of a life or a non-life policy and the type of policyholders that must be protected.</w:t>
      </w:r>
      <w:r w:rsidR="00751A5F" w:rsidRPr="00E85F03">
        <w:rPr>
          <w:rFonts w:ascii="Times New Roman" w:hAnsi="Times New Roman" w:cs="Times New Roman"/>
          <w:color w:val="000000" w:themeColor="text1"/>
          <w:sz w:val="24"/>
          <w:szCs w:val="24"/>
        </w:rPr>
        <w:t xml:space="preserve"> </w:t>
      </w:r>
      <w:r w:rsidR="00C64ECE" w:rsidRPr="00E85F03">
        <w:rPr>
          <w:rFonts w:ascii="Times New Roman" w:hAnsi="Times New Roman" w:cs="Times New Roman"/>
          <w:color w:val="000000" w:themeColor="text1"/>
          <w:sz w:val="24"/>
          <w:szCs w:val="24"/>
        </w:rPr>
        <w:t>If such a policyholder protection scheme is established, it will form part of a second phase following the establishment of a d</w:t>
      </w:r>
      <w:r w:rsidR="00751A5F" w:rsidRPr="00E85F03">
        <w:rPr>
          <w:rFonts w:ascii="Times New Roman" w:hAnsi="Times New Roman" w:cs="Times New Roman"/>
          <w:color w:val="000000" w:themeColor="text1"/>
          <w:sz w:val="24"/>
          <w:szCs w:val="24"/>
        </w:rPr>
        <w:t>epositor guarantee scheme. The C</w:t>
      </w:r>
      <w:r w:rsidR="00C64ECE" w:rsidRPr="00E85F03">
        <w:rPr>
          <w:rFonts w:ascii="Times New Roman" w:hAnsi="Times New Roman" w:cs="Times New Roman"/>
          <w:color w:val="000000" w:themeColor="text1"/>
          <w:sz w:val="24"/>
          <w:szCs w:val="24"/>
        </w:rPr>
        <w:t xml:space="preserve">ommittee </w:t>
      </w:r>
      <w:r w:rsidR="00751A5F" w:rsidRPr="00E85F03">
        <w:rPr>
          <w:rFonts w:ascii="Times New Roman" w:hAnsi="Times New Roman" w:cs="Times New Roman"/>
          <w:color w:val="000000" w:themeColor="text1"/>
          <w:sz w:val="24"/>
          <w:szCs w:val="24"/>
        </w:rPr>
        <w:t xml:space="preserve">recommends that </w:t>
      </w:r>
      <w:r w:rsidR="00C64ECE" w:rsidRPr="00E85F03">
        <w:rPr>
          <w:rFonts w:ascii="Times New Roman" w:hAnsi="Times New Roman" w:cs="Times New Roman"/>
          <w:color w:val="000000" w:themeColor="text1"/>
          <w:sz w:val="24"/>
          <w:szCs w:val="24"/>
        </w:rPr>
        <w:t xml:space="preserve">National Treasury </w:t>
      </w:r>
      <w:r w:rsidR="00AF11D0" w:rsidRPr="00E85F03">
        <w:rPr>
          <w:rFonts w:ascii="Times New Roman" w:hAnsi="Times New Roman" w:cs="Times New Roman"/>
          <w:color w:val="000000" w:themeColor="text1"/>
          <w:sz w:val="24"/>
          <w:szCs w:val="24"/>
        </w:rPr>
        <w:t>does this technical work expeditiously and briefs the Committee on its positions.</w:t>
      </w:r>
    </w:p>
    <w:p w14:paraId="1CA48A5F" w14:textId="77777777" w:rsidR="006B1FB6" w:rsidRPr="00E85F03" w:rsidRDefault="006B1FB6" w:rsidP="00E85F03">
      <w:pPr>
        <w:pStyle w:val="ListParagraph"/>
        <w:widowControl/>
        <w:spacing w:before="120" w:after="120" w:line="360" w:lineRule="auto"/>
        <w:ind w:left="360"/>
        <w:jc w:val="both"/>
        <w:rPr>
          <w:rFonts w:ascii="Times New Roman" w:hAnsi="Times New Roman" w:cs="Times New Roman"/>
          <w:b/>
          <w:color w:val="000000" w:themeColor="text1"/>
          <w:sz w:val="24"/>
          <w:szCs w:val="24"/>
        </w:rPr>
      </w:pPr>
    </w:p>
    <w:p w14:paraId="6F5D29E3" w14:textId="77777777" w:rsidR="00AF11D0" w:rsidRPr="00E85F03" w:rsidRDefault="00AF11D0" w:rsidP="00E85F03">
      <w:pPr>
        <w:pStyle w:val="ListParagraph"/>
        <w:widowControl/>
        <w:spacing w:before="120" w:after="120" w:line="360" w:lineRule="auto"/>
        <w:ind w:left="360"/>
        <w:jc w:val="both"/>
        <w:rPr>
          <w:rFonts w:ascii="Times New Roman" w:hAnsi="Times New Roman" w:cs="Times New Roman"/>
          <w:b/>
          <w:color w:val="000000" w:themeColor="text1"/>
          <w:sz w:val="24"/>
          <w:szCs w:val="24"/>
        </w:rPr>
      </w:pPr>
      <w:r w:rsidRPr="00E85F03">
        <w:rPr>
          <w:rFonts w:ascii="Times New Roman" w:hAnsi="Times New Roman" w:cs="Times New Roman"/>
          <w:b/>
          <w:color w:val="000000" w:themeColor="text1"/>
          <w:sz w:val="24"/>
          <w:szCs w:val="24"/>
        </w:rPr>
        <w:t xml:space="preserve">Costs of regulation (Capital add-on) </w:t>
      </w:r>
    </w:p>
    <w:p w14:paraId="641CDF53" w14:textId="77777777" w:rsidR="005635E4" w:rsidRPr="00E85F03" w:rsidRDefault="00C64ECE"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There were concerns </w:t>
      </w:r>
      <w:r w:rsidR="00DA2D99" w:rsidRPr="00E85F03">
        <w:rPr>
          <w:rFonts w:ascii="Times New Roman" w:hAnsi="Times New Roman" w:cs="Times New Roman"/>
          <w:color w:val="000000" w:themeColor="text1"/>
          <w:sz w:val="24"/>
          <w:szCs w:val="24"/>
        </w:rPr>
        <w:t>raised during the public hearings</w:t>
      </w:r>
      <w:r w:rsidR="00752FAF" w:rsidRPr="00E85F03">
        <w:rPr>
          <w:rFonts w:ascii="Times New Roman" w:hAnsi="Times New Roman" w:cs="Times New Roman"/>
          <w:color w:val="000000" w:themeColor="text1"/>
          <w:sz w:val="24"/>
          <w:szCs w:val="24"/>
        </w:rPr>
        <w:t xml:space="preserve"> on the Bill</w:t>
      </w:r>
      <w:r w:rsidR="00DA2D99" w:rsidRPr="00E85F03">
        <w:rPr>
          <w:rFonts w:ascii="Times New Roman" w:hAnsi="Times New Roman" w:cs="Times New Roman"/>
          <w:color w:val="000000" w:themeColor="text1"/>
          <w:sz w:val="24"/>
          <w:szCs w:val="24"/>
        </w:rPr>
        <w:t xml:space="preserve"> </w:t>
      </w:r>
      <w:r w:rsidRPr="00E85F03">
        <w:rPr>
          <w:rFonts w:ascii="Times New Roman" w:hAnsi="Times New Roman" w:cs="Times New Roman"/>
          <w:color w:val="000000" w:themeColor="text1"/>
          <w:sz w:val="24"/>
          <w:szCs w:val="24"/>
        </w:rPr>
        <w:t>that the Prudential Authority may direct a capital add-on if the risk profile or governance framework of the insurer deviates from the underlying Solvency Capit</w:t>
      </w:r>
      <w:r w:rsidR="00DA2D99" w:rsidRPr="00E85F03">
        <w:rPr>
          <w:rFonts w:ascii="Times New Roman" w:hAnsi="Times New Roman" w:cs="Times New Roman"/>
          <w:color w:val="000000" w:themeColor="text1"/>
          <w:sz w:val="24"/>
          <w:szCs w:val="24"/>
        </w:rPr>
        <w:t>al Requirement calculation. It was submitted that this</w:t>
      </w:r>
      <w:r w:rsidRPr="00E85F03">
        <w:rPr>
          <w:rFonts w:ascii="Times New Roman" w:hAnsi="Times New Roman" w:cs="Times New Roman"/>
          <w:color w:val="000000" w:themeColor="text1"/>
          <w:sz w:val="24"/>
          <w:szCs w:val="24"/>
        </w:rPr>
        <w:t xml:space="preserve"> could result in</w:t>
      </w:r>
      <w:r w:rsidR="00DA2D99" w:rsidRPr="00E85F03">
        <w:rPr>
          <w:rFonts w:ascii="Times New Roman" w:hAnsi="Times New Roman" w:cs="Times New Roman"/>
          <w:color w:val="000000" w:themeColor="text1"/>
          <w:sz w:val="24"/>
          <w:szCs w:val="24"/>
        </w:rPr>
        <w:t xml:space="preserve"> higher cost</w:t>
      </w:r>
      <w:r w:rsidR="00AF11D0" w:rsidRPr="00E85F03">
        <w:rPr>
          <w:rFonts w:ascii="Times New Roman" w:hAnsi="Times New Roman" w:cs="Times New Roman"/>
          <w:color w:val="000000" w:themeColor="text1"/>
          <w:sz w:val="24"/>
          <w:szCs w:val="24"/>
        </w:rPr>
        <w:t>s</w:t>
      </w:r>
      <w:r w:rsidR="00DA2D99" w:rsidRPr="00E85F03">
        <w:rPr>
          <w:rFonts w:ascii="Times New Roman" w:hAnsi="Times New Roman" w:cs="Times New Roman"/>
          <w:color w:val="000000" w:themeColor="text1"/>
          <w:sz w:val="24"/>
          <w:szCs w:val="24"/>
        </w:rPr>
        <w:t xml:space="preserve"> of regulation</w:t>
      </w:r>
      <w:r w:rsidRPr="00E85F03">
        <w:rPr>
          <w:rFonts w:ascii="Times New Roman" w:hAnsi="Times New Roman" w:cs="Times New Roman"/>
          <w:color w:val="000000" w:themeColor="text1"/>
          <w:sz w:val="24"/>
          <w:szCs w:val="24"/>
        </w:rPr>
        <w:t xml:space="preserve"> </w:t>
      </w:r>
      <w:r w:rsidR="00DA2D99" w:rsidRPr="00E85F03">
        <w:rPr>
          <w:rFonts w:ascii="Times New Roman" w:hAnsi="Times New Roman" w:cs="Times New Roman"/>
          <w:color w:val="000000" w:themeColor="text1"/>
          <w:sz w:val="24"/>
          <w:szCs w:val="24"/>
        </w:rPr>
        <w:t xml:space="preserve">for </w:t>
      </w:r>
      <w:r w:rsidRPr="00E85F03">
        <w:rPr>
          <w:rFonts w:ascii="Times New Roman" w:hAnsi="Times New Roman" w:cs="Times New Roman"/>
          <w:color w:val="000000" w:themeColor="text1"/>
          <w:sz w:val="24"/>
          <w:szCs w:val="24"/>
        </w:rPr>
        <w:t xml:space="preserve">small black-owned </w:t>
      </w:r>
      <w:r w:rsidR="00DA2D99" w:rsidRPr="00E85F03">
        <w:rPr>
          <w:rFonts w:ascii="Times New Roman" w:hAnsi="Times New Roman" w:cs="Times New Roman"/>
          <w:color w:val="000000" w:themeColor="text1"/>
          <w:sz w:val="24"/>
          <w:szCs w:val="24"/>
        </w:rPr>
        <w:t>insurers</w:t>
      </w:r>
      <w:r w:rsidRPr="00E85F03">
        <w:rPr>
          <w:rFonts w:ascii="Times New Roman" w:hAnsi="Times New Roman" w:cs="Times New Roman"/>
          <w:color w:val="000000" w:themeColor="text1"/>
          <w:sz w:val="24"/>
          <w:szCs w:val="24"/>
        </w:rPr>
        <w:t>.</w:t>
      </w:r>
    </w:p>
    <w:p w14:paraId="42B068B7" w14:textId="77777777" w:rsidR="00C31EC6" w:rsidRPr="00E85F03" w:rsidRDefault="00C64ECE"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highlight w:val="yellow"/>
        </w:rPr>
      </w:pPr>
      <w:r w:rsidRPr="00E85F03">
        <w:rPr>
          <w:rFonts w:ascii="Times New Roman" w:hAnsi="Times New Roman" w:cs="Times New Roman"/>
          <w:color w:val="000000" w:themeColor="text1"/>
          <w:sz w:val="24"/>
          <w:szCs w:val="24"/>
        </w:rPr>
        <w:t xml:space="preserve">The National </w:t>
      </w:r>
      <w:r w:rsidR="00AF11D0" w:rsidRPr="00E85F03">
        <w:rPr>
          <w:rFonts w:ascii="Times New Roman" w:hAnsi="Times New Roman" w:cs="Times New Roman"/>
          <w:color w:val="000000" w:themeColor="text1"/>
          <w:sz w:val="24"/>
          <w:szCs w:val="24"/>
        </w:rPr>
        <w:t xml:space="preserve">Treasury explained that </w:t>
      </w:r>
      <w:r w:rsidRPr="00E85F03">
        <w:rPr>
          <w:rFonts w:ascii="Times New Roman" w:hAnsi="Times New Roman" w:cs="Times New Roman"/>
          <w:color w:val="000000" w:themeColor="text1"/>
          <w:sz w:val="24"/>
          <w:szCs w:val="24"/>
        </w:rPr>
        <w:t xml:space="preserve">a capital add-on </w:t>
      </w:r>
      <w:r w:rsidR="00FA662E" w:rsidRPr="00E85F03">
        <w:rPr>
          <w:rFonts w:ascii="Times New Roman" w:hAnsi="Times New Roman" w:cs="Times New Roman"/>
          <w:color w:val="000000" w:themeColor="text1"/>
          <w:sz w:val="24"/>
          <w:szCs w:val="24"/>
        </w:rPr>
        <w:t xml:space="preserve">is necessary to ensure the financial soundness of the insurer so that promises to, and claims of, policyholders can be met. It is </w:t>
      </w:r>
      <w:r w:rsidRPr="00E85F03">
        <w:rPr>
          <w:rFonts w:ascii="Times New Roman" w:hAnsi="Times New Roman" w:cs="Times New Roman"/>
          <w:color w:val="000000" w:themeColor="text1"/>
          <w:sz w:val="24"/>
          <w:szCs w:val="24"/>
        </w:rPr>
        <w:t>a measure of last resort, when other supervisory measures are ineffective or inappropriate. The circumstances under which a capital add-on may be imposed is limited in the Bill to where the Prudential Aut</w:t>
      </w:r>
      <w:r w:rsidR="00B72968" w:rsidRPr="00E85F03">
        <w:rPr>
          <w:rFonts w:ascii="Times New Roman" w:hAnsi="Times New Roman" w:cs="Times New Roman"/>
          <w:color w:val="000000" w:themeColor="text1"/>
          <w:sz w:val="24"/>
          <w:szCs w:val="24"/>
        </w:rPr>
        <w:t>h</w:t>
      </w:r>
      <w:r w:rsidR="00AF11D0" w:rsidRPr="00E85F03">
        <w:rPr>
          <w:rFonts w:ascii="Times New Roman" w:hAnsi="Times New Roman" w:cs="Times New Roman"/>
          <w:color w:val="000000" w:themeColor="text1"/>
          <w:sz w:val="24"/>
          <w:szCs w:val="24"/>
        </w:rPr>
        <w:t xml:space="preserve">ority reasonably believes that </w:t>
      </w:r>
      <w:r w:rsidRPr="00E85F03">
        <w:rPr>
          <w:rFonts w:ascii="Times New Roman" w:hAnsi="Times New Roman" w:cs="Times New Roman"/>
          <w:color w:val="000000" w:themeColor="text1"/>
          <w:sz w:val="24"/>
          <w:szCs w:val="24"/>
        </w:rPr>
        <w:t>the risk profile of the insurer deviates significantly from the solvency capital requirement calculation</w:t>
      </w:r>
      <w:r w:rsidR="007F5604" w:rsidRPr="00E85F03">
        <w:rPr>
          <w:rFonts w:ascii="Times New Roman" w:hAnsi="Times New Roman" w:cs="Times New Roman"/>
          <w:color w:val="000000" w:themeColor="text1"/>
          <w:sz w:val="24"/>
          <w:szCs w:val="24"/>
        </w:rPr>
        <w:t xml:space="preserve"> or governance framework </w:t>
      </w:r>
      <w:r w:rsidR="0033285C" w:rsidRPr="00E85F03">
        <w:rPr>
          <w:rFonts w:ascii="Times New Roman" w:hAnsi="Times New Roman" w:cs="Times New Roman"/>
          <w:color w:val="000000" w:themeColor="text1"/>
          <w:sz w:val="24"/>
          <w:szCs w:val="24"/>
        </w:rPr>
        <w:t>requirement</w:t>
      </w:r>
      <w:r w:rsidR="00C2190D" w:rsidRPr="00E85F03">
        <w:rPr>
          <w:rFonts w:ascii="Times New Roman" w:hAnsi="Times New Roman" w:cs="Times New Roman"/>
          <w:color w:val="000000" w:themeColor="text1"/>
          <w:sz w:val="24"/>
          <w:szCs w:val="24"/>
        </w:rPr>
        <w:t>.</w:t>
      </w:r>
      <w:r w:rsidRPr="00E85F03">
        <w:rPr>
          <w:rFonts w:ascii="Times New Roman" w:hAnsi="Times New Roman" w:cs="Times New Roman"/>
          <w:color w:val="000000" w:themeColor="text1"/>
          <w:sz w:val="24"/>
          <w:szCs w:val="24"/>
        </w:rPr>
        <w:t xml:space="preserve"> </w:t>
      </w:r>
      <w:r w:rsidR="007F5604" w:rsidRPr="00E85F03">
        <w:rPr>
          <w:rFonts w:ascii="Times New Roman" w:hAnsi="Times New Roman" w:cs="Times New Roman"/>
          <w:color w:val="000000" w:themeColor="text1"/>
          <w:sz w:val="24"/>
          <w:szCs w:val="24"/>
        </w:rPr>
        <w:t xml:space="preserve"> </w:t>
      </w:r>
    </w:p>
    <w:p w14:paraId="04AE0E19" w14:textId="77777777" w:rsidR="007E6BDC" w:rsidRPr="00E85F03" w:rsidRDefault="00C64ECE"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The Bill also requires the Prudential Authority to review any capital add-on imposed at least once a year and remove the capital add-on when the Prudential Authority is satisfied that an insurer has remedied the deficiencies that led to its imposition. </w:t>
      </w:r>
    </w:p>
    <w:p w14:paraId="245F91DA" w14:textId="77777777" w:rsidR="009755AE" w:rsidRPr="00E85F03" w:rsidRDefault="009755AE" w:rsidP="00E85F03">
      <w:pPr>
        <w:pStyle w:val="ListParagraph"/>
        <w:widowControl/>
        <w:tabs>
          <w:tab w:val="left" w:pos="142"/>
        </w:tabs>
        <w:spacing w:before="120" w:after="120" w:line="360" w:lineRule="auto"/>
        <w:ind w:left="360"/>
        <w:jc w:val="both"/>
        <w:rPr>
          <w:rFonts w:ascii="Times New Roman" w:hAnsi="Times New Roman" w:cs="Times New Roman"/>
          <w:color w:val="000000" w:themeColor="text1"/>
          <w:sz w:val="24"/>
          <w:szCs w:val="24"/>
        </w:rPr>
      </w:pPr>
    </w:p>
    <w:p w14:paraId="016B1797" w14:textId="77777777" w:rsidR="00AF11D0" w:rsidRPr="00E85F03" w:rsidRDefault="00AF11D0" w:rsidP="00E85F03">
      <w:pPr>
        <w:pStyle w:val="ListParagraph"/>
        <w:widowControl/>
        <w:spacing w:before="120" w:after="120" w:line="360" w:lineRule="auto"/>
        <w:ind w:left="360"/>
        <w:jc w:val="both"/>
        <w:rPr>
          <w:rFonts w:ascii="Times New Roman" w:hAnsi="Times New Roman" w:cs="Times New Roman"/>
          <w:b/>
          <w:color w:val="000000" w:themeColor="text1"/>
          <w:sz w:val="24"/>
          <w:szCs w:val="24"/>
        </w:rPr>
      </w:pPr>
      <w:r w:rsidRPr="00E85F03">
        <w:rPr>
          <w:rFonts w:ascii="Times New Roman" w:hAnsi="Times New Roman" w:cs="Times New Roman"/>
          <w:b/>
          <w:color w:val="000000" w:themeColor="text1"/>
          <w:sz w:val="24"/>
          <w:szCs w:val="24"/>
        </w:rPr>
        <w:lastRenderedPageBreak/>
        <w:t>Alignment with the Financial Sector Regulation Act</w:t>
      </w:r>
    </w:p>
    <w:p w14:paraId="0474A299" w14:textId="77777777" w:rsidR="00A42918" w:rsidRPr="00E85F03" w:rsidRDefault="00AF11D0"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Several </w:t>
      </w:r>
      <w:r w:rsidR="000046A9" w:rsidRPr="00E85F03">
        <w:rPr>
          <w:rFonts w:ascii="Times New Roman" w:hAnsi="Times New Roman" w:cs="Times New Roman"/>
          <w:color w:val="000000" w:themeColor="text1"/>
          <w:sz w:val="24"/>
          <w:szCs w:val="24"/>
        </w:rPr>
        <w:t>minor amendments were made to</w:t>
      </w:r>
      <w:r w:rsidR="00C64ECE" w:rsidRPr="00E85F03">
        <w:rPr>
          <w:rFonts w:ascii="Times New Roman" w:hAnsi="Times New Roman" w:cs="Times New Roman"/>
          <w:color w:val="000000" w:themeColor="text1"/>
          <w:sz w:val="24"/>
          <w:szCs w:val="24"/>
        </w:rPr>
        <w:t xml:space="preserve"> the Bill so that it can be properly aligned with the F</w:t>
      </w:r>
      <w:r w:rsidR="000046A9" w:rsidRPr="00E85F03">
        <w:rPr>
          <w:rFonts w:ascii="Times New Roman" w:hAnsi="Times New Roman" w:cs="Times New Roman"/>
          <w:color w:val="000000" w:themeColor="text1"/>
          <w:sz w:val="24"/>
          <w:szCs w:val="24"/>
        </w:rPr>
        <w:t>inancial Sector Regulation Act.</w:t>
      </w:r>
    </w:p>
    <w:p w14:paraId="098E778A" w14:textId="77777777" w:rsidR="006F02CB" w:rsidRPr="00E85F03" w:rsidRDefault="006F02CB" w:rsidP="00E85F03">
      <w:pPr>
        <w:pStyle w:val="ListParagraph"/>
        <w:widowControl/>
        <w:tabs>
          <w:tab w:val="left" w:pos="142"/>
        </w:tabs>
        <w:spacing w:before="120" w:after="120" w:line="360" w:lineRule="auto"/>
        <w:ind w:left="360"/>
        <w:jc w:val="both"/>
        <w:rPr>
          <w:rFonts w:ascii="Times New Roman" w:hAnsi="Times New Roman" w:cs="Times New Roman"/>
          <w:b/>
          <w:color w:val="000000" w:themeColor="text1"/>
          <w:sz w:val="24"/>
          <w:szCs w:val="24"/>
        </w:rPr>
      </w:pPr>
      <w:r w:rsidRPr="00E85F03">
        <w:rPr>
          <w:rFonts w:ascii="Times New Roman" w:hAnsi="Times New Roman" w:cs="Times New Roman"/>
          <w:b/>
          <w:color w:val="000000" w:themeColor="text1"/>
          <w:sz w:val="24"/>
          <w:szCs w:val="24"/>
        </w:rPr>
        <w:t>Relevance of NA Rule 2</w:t>
      </w:r>
      <w:r w:rsidR="006329CF" w:rsidRPr="00E85F03">
        <w:rPr>
          <w:rFonts w:ascii="Times New Roman" w:hAnsi="Times New Roman" w:cs="Times New Roman"/>
          <w:b/>
          <w:color w:val="000000" w:themeColor="text1"/>
          <w:sz w:val="24"/>
          <w:szCs w:val="24"/>
        </w:rPr>
        <w:t>8</w:t>
      </w:r>
      <w:r w:rsidRPr="00E85F03">
        <w:rPr>
          <w:rFonts w:ascii="Times New Roman" w:hAnsi="Times New Roman" w:cs="Times New Roman"/>
          <w:b/>
          <w:color w:val="000000" w:themeColor="text1"/>
          <w:sz w:val="24"/>
          <w:szCs w:val="24"/>
        </w:rPr>
        <w:t>6 (4) (b)</w:t>
      </w:r>
    </w:p>
    <w:p w14:paraId="398CB1B2" w14:textId="77777777" w:rsidR="00021E4F" w:rsidRPr="00E85F03" w:rsidRDefault="00021E4F" w:rsidP="00E85F03">
      <w:pPr>
        <w:pStyle w:val="ListParagraph"/>
        <w:widowControl/>
        <w:numPr>
          <w:ilvl w:val="0"/>
          <w:numId w:val="16"/>
        </w:numPr>
        <w:tabs>
          <w:tab w:val="left" w:pos="142"/>
        </w:tabs>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On the day the Committee </w:t>
      </w:r>
      <w:r w:rsidR="006F02CB" w:rsidRPr="00E85F03">
        <w:rPr>
          <w:rFonts w:ascii="Times New Roman" w:hAnsi="Times New Roman" w:cs="Times New Roman"/>
          <w:color w:val="000000" w:themeColor="text1"/>
          <w:sz w:val="24"/>
          <w:szCs w:val="24"/>
        </w:rPr>
        <w:t>was meant to finalize</w:t>
      </w:r>
      <w:r w:rsidR="004406AA" w:rsidRPr="00E85F03">
        <w:rPr>
          <w:rFonts w:ascii="Times New Roman" w:hAnsi="Times New Roman" w:cs="Times New Roman"/>
          <w:color w:val="000000" w:themeColor="text1"/>
          <w:sz w:val="24"/>
          <w:szCs w:val="24"/>
        </w:rPr>
        <w:t xml:space="preserve"> the Bill </w:t>
      </w:r>
      <w:r w:rsidR="00C95770" w:rsidRPr="00E85F03">
        <w:rPr>
          <w:rFonts w:ascii="Times New Roman" w:hAnsi="Times New Roman" w:cs="Times New Roman"/>
          <w:color w:val="000000" w:themeColor="text1"/>
          <w:sz w:val="24"/>
          <w:szCs w:val="24"/>
        </w:rPr>
        <w:t>the DA raised objections to its</w:t>
      </w:r>
      <w:r w:rsidR="006F02CB" w:rsidRPr="00E85F03">
        <w:rPr>
          <w:rFonts w:ascii="Times New Roman" w:hAnsi="Times New Roman" w:cs="Times New Roman"/>
          <w:color w:val="000000" w:themeColor="text1"/>
          <w:sz w:val="24"/>
          <w:szCs w:val="24"/>
        </w:rPr>
        <w:t xml:space="preserve"> processing in terms of </w:t>
      </w:r>
      <w:r w:rsidR="006F02CB" w:rsidRPr="00E85F03">
        <w:rPr>
          <w:rFonts w:ascii="Times New Roman" w:hAnsi="Times New Roman" w:cs="Times New Roman"/>
          <w:sz w:val="24"/>
          <w:szCs w:val="24"/>
        </w:rPr>
        <w:t>NA Rule 286(4)(b)</w:t>
      </w:r>
      <w:r w:rsidR="00C95770" w:rsidRPr="00E85F03">
        <w:rPr>
          <w:rFonts w:ascii="Times New Roman" w:hAnsi="Times New Roman" w:cs="Times New Roman"/>
          <w:color w:val="000000" w:themeColor="text1"/>
          <w:sz w:val="24"/>
          <w:szCs w:val="24"/>
        </w:rPr>
        <w:t xml:space="preserve"> </w:t>
      </w:r>
    </w:p>
    <w:p w14:paraId="6589DBF3" w14:textId="77777777" w:rsidR="00AF11D0" w:rsidRPr="00E85F03" w:rsidRDefault="00AF11D0" w:rsidP="00E85F03">
      <w:pPr>
        <w:widowControl/>
        <w:tabs>
          <w:tab w:val="left" w:pos="142"/>
        </w:tabs>
        <w:spacing w:before="120" w:after="120" w:line="360" w:lineRule="auto"/>
        <w:jc w:val="both"/>
        <w:rPr>
          <w:rFonts w:ascii="Times New Roman" w:hAnsi="Times New Roman" w:cs="Times New Roman"/>
          <w:color w:val="000000" w:themeColor="text1"/>
          <w:sz w:val="24"/>
          <w:szCs w:val="24"/>
        </w:rPr>
      </w:pPr>
    </w:p>
    <w:p w14:paraId="74C7E6F8" w14:textId="77777777" w:rsidR="00051834" w:rsidRPr="00E85F03" w:rsidRDefault="00AF11D0" w:rsidP="00E85F03">
      <w:pPr>
        <w:pStyle w:val="ListParagraph"/>
        <w:widowControl/>
        <w:spacing w:before="120" w:after="120" w:line="360" w:lineRule="auto"/>
        <w:ind w:left="360"/>
        <w:jc w:val="both"/>
        <w:rPr>
          <w:rFonts w:ascii="Times New Roman" w:hAnsi="Times New Roman" w:cs="Times New Roman"/>
          <w:color w:val="000000" w:themeColor="text1"/>
          <w:sz w:val="24"/>
          <w:szCs w:val="24"/>
        </w:rPr>
      </w:pPr>
      <w:r w:rsidRPr="00E85F03">
        <w:rPr>
          <w:rFonts w:ascii="Times New Roman" w:hAnsi="Times New Roman" w:cs="Times New Roman"/>
          <w:b/>
          <w:color w:val="000000" w:themeColor="text1"/>
          <w:sz w:val="24"/>
          <w:szCs w:val="24"/>
        </w:rPr>
        <w:t>Appreciation for cooperation</w:t>
      </w:r>
    </w:p>
    <w:p w14:paraId="33F4B54D" w14:textId="77777777" w:rsidR="00FE5EFA" w:rsidRPr="00E85F03" w:rsidRDefault="00AF11D0" w:rsidP="00E85F03">
      <w:pPr>
        <w:pStyle w:val="ListParagraph"/>
        <w:widowControl/>
        <w:numPr>
          <w:ilvl w:val="0"/>
          <w:numId w:val="16"/>
        </w:numPr>
        <w:spacing w:before="120" w:after="120" w:line="360" w:lineRule="auto"/>
        <w:ind w:left="567" w:hanging="709"/>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The C</w:t>
      </w:r>
      <w:r w:rsidR="00051834" w:rsidRPr="00E85F03">
        <w:rPr>
          <w:rFonts w:ascii="Times New Roman" w:hAnsi="Times New Roman" w:cs="Times New Roman"/>
          <w:color w:val="000000" w:themeColor="text1"/>
          <w:sz w:val="24"/>
          <w:szCs w:val="24"/>
        </w:rPr>
        <w:t>ommittee expresses its appreciation to all those who assisted with the processing of the Bill including the N</w:t>
      </w:r>
      <w:r w:rsidR="0033285C" w:rsidRPr="00E85F03">
        <w:rPr>
          <w:rFonts w:ascii="Times New Roman" w:hAnsi="Times New Roman" w:cs="Times New Roman"/>
          <w:color w:val="000000" w:themeColor="text1"/>
          <w:sz w:val="24"/>
          <w:szCs w:val="24"/>
        </w:rPr>
        <w:t xml:space="preserve">ational </w:t>
      </w:r>
      <w:r w:rsidR="00051834" w:rsidRPr="00E85F03">
        <w:rPr>
          <w:rFonts w:ascii="Times New Roman" w:hAnsi="Times New Roman" w:cs="Times New Roman"/>
          <w:color w:val="000000" w:themeColor="text1"/>
          <w:sz w:val="24"/>
          <w:szCs w:val="24"/>
        </w:rPr>
        <w:t>T</w:t>
      </w:r>
      <w:r w:rsidR="0033285C" w:rsidRPr="00E85F03">
        <w:rPr>
          <w:rFonts w:ascii="Times New Roman" w:hAnsi="Times New Roman" w:cs="Times New Roman"/>
          <w:color w:val="000000" w:themeColor="text1"/>
          <w:sz w:val="24"/>
          <w:szCs w:val="24"/>
        </w:rPr>
        <w:t>reasury</w:t>
      </w:r>
      <w:r w:rsidR="00051834" w:rsidRPr="00E85F03">
        <w:rPr>
          <w:rFonts w:ascii="Times New Roman" w:hAnsi="Times New Roman" w:cs="Times New Roman"/>
          <w:color w:val="000000" w:themeColor="text1"/>
          <w:sz w:val="24"/>
          <w:szCs w:val="24"/>
        </w:rPr>
        <w:t xml:space="preserve"> team, civil society stakeholders, the industry and parliamentary staff.</w:t>
      </w:r>
    </w:p>
    <w:p w14:paraId="4DDC1287" w14:textId="77777777" w:rsidR="00021E4F" w:rsidRPr="00E85F03" w:rsidRDefault="00021E4F" w:rsidP="00E85F03">
      <w:pPr>
        <w:widowControl/>
        <w:spacing w:before="120" w:after="120" w:line="360" w:lineRule="auto"/>
        <w:jc w:val="both"/>
        <w:rPr>
          <w:rFonts w:ascii="Times New Roman" w:hAnsi="Times New Roman" w:cs="Times New Roman"/>
          <w:color w:val="000000" w:themeColor="text1"/>
          <w:sz w:val="24"/>
          <w:szCs w:val="24"/>
        </w:rPr>
      </w:pPr>
    </w:p>
    <w:p w14:paraId="0EBFB0CB" w14:textId="77777777" w:rsidR="00021E4F" w:rsidRPr="00E85F03" w:rsidRDefault="00021E4F" w:rsidP="00E85F03">
      <w:pPr>
        <w:widowControl/>
        <w:spacing w:before="120" w:after="120" w:line="360" w:lineRule="auto"/>
        <w:jc w:val="both"/>
        <w:rPr>
          <w:rFonts w:ascii="Times New Roman" w:hAnsi="Times New Roman" w:cs="Times New Roman"/>
          <w:color w:val="000000" w:themeColor="text1"/>
          <w:sz w:val="24"/>
          <w:szCs w:val="24"/>
        </w:rPr>
      </w:pPr>
    </w:p>
    <w:p w14:paraId="6AEE16DD" w14:textId="77777777" w:rsidR="00021E4F" w:rsidRPr="00E85F03" w:rsidRDefault="00021E4F" w:rsidP="00E85F03">
      <w:pPr>
        <w:widowControl/>
        <w:spacing w:before="120" w:after="120" w:line="360" w:lineRule="auto"/>
        <w:jc w:val="center"/>
        <w:rPr>
          <w:rFonts w:ascii="Times New Roman" w:hAnsi="Times New Roman" w:cs="Times New Roman"/>
          <w:b/>
          <w:color w:val="000000" w:themeColor="text1"/>
          <w:sz w:val="24"/>
          <w:szCs w:val="24"/>
        </w:rPr>
      </w:pPr>
      <w:r w:rsidRPr="00E85F03">
        <w:rPr>
          <w:rFonts w:ascii="Times New Roman" w:hAnsi="Times New Roman" w:cs="Times New Roman"/>
          <w:b/>
          <w:color w:val="000000" w:themeColor="text1"/>
          <w:sz w:val="24"/>
          <w:szCs w:val="24"/>
        </w:rPr>
        <w:t>ANNEXURE</w:t>
      </w:r>
    </w:p>
    <w:p w14:paraId="4AF00230" w14:textId="77777777" w:rsidR="00021E4F" w:rsidRPr="00E85F03" w:rsidRDefault="00021E4F" w:rsidP="00E85F03">
      <w:pPr>
        <w:spacing w:line="360" w:lineRule="auto"/>
        <w:jc w:val="center"/>
        <w:rPr>
          <w:rFonts w:ascii="Times New Roman" w:hAnsi="Times New Roman" w:cs="Times New Roman"/>
          <w:b/>
          <w:sz w:val="24"/>
          <w:szCs w:val="24"/>
        </w:rPr>
      </w:pPr>
    </w:p>
    <w:p w14:paraId="7490C679" w14:textId="77777777" w:rsidR="00021E4F" w:rsidRPr="00E85F03" w:rsidRDefault="00021E4F" w:rsidP="00E85F03">
      <w:pPr>
        <w:spacing w:line="360" w:lineRule="auto"/>
        <w:jc w:val="center"/>
        <w:rPr>
          <w:rFonts w:ascii="Times New Roman" w:hAnsi="Times New Roman" w:cs="Times New Roman"/>
          <w:b/>
          <w:sz w:val="24"/>
          <w:szCs w:val="24"/>
        </w:rPr>
      </w:pPr>
    </w:p>
    <w:p w14:paraId="711B0465" w14:textId="77777777" w:rsidR="00021E4F" w:rsidRPr="00E85F03" w:rsidRDefault="00021E4F" w:rsidP="00E85F03">
      <w:pPr>
        <w:spacing w:line="360" w:lineRule="auto"/>
        <w:jc w:val="center"/>
        <w:rPr>
          <w:rFonts w:ascii="Times New Roman" w:hAnsi="Times New Roman" w:cs="Times New Roman"/>
          <w:b/>
          <w:sz w:val="24"/>
          <w:szCs w:val="24"/>
        </w:rPr>
      </w:pPr>
      <w:r w:rsidRPr="00E85F03">
        <w:rPr>
          <w:rFonts w:ascii="Times New Roman" w:hAnsi="Times New Roman" w:cs="Times New Roman"/>
          <w:b/>
          <w:sz w:val="24"/>
          <w:szCs w:val="24"/>
        </w:rPr>
        <w:t xml:space="preserve">RESOLUTION ON SUBJECT OF THE INSURANCE BILL </w:t>
      </w:r>
    </w:p>
    <w:p w14:paraId="34847B05" w14:textId="77777777" w:rsidR="00021E4F" w:rsidRPr="00E85F03" w:rsidRDefault="00021E4F" w:rsidP="00E85F03">
      <w:pPr>
        <w:spacing w:line="360" w:lineRule="auto"/>
        <w:jc w:val="center"/>
        <w:rPr>
          <w:rFonts w:ascii="Times New Roman" w:hAnsi="Times New Roman" w:cs="Times New Roman"/>
          <w:b/>
          <w:sz w:val="24"/>
          <w:szCs w:val="24"/>
        </w:rPr>
      </w:pPr>
    </w:p>
    <w:p w14:paraId="5970510C" w14:textId="77777777" w:rsidR="00021E4F" w:rsidRPr="00E85F03" w:rsidRDefault="00021E4F" w:rsidP="00E85F03">
      <w:pPr>
        <w:spacing w:line="360" w:lineRule="auto"/>
        <w:jc w:val="center"/>
        <w:rPr>
          <w:rFonts w:ascii="Times New Roman" w:hAnsi="Times New Roman" w:cs="Times New Roman"/>
          <w:b/>
          <w:sz w:val="24"/>
          <w:szCs w:val="24"/>
        </w:rPr>
      </w:pPr>
      <w:r w:rsidRPr="00E85F03">
        <w:rPr>
          <w:rFonts w:ascii="Times New Roman" w:hAnsi="Times New Roman" w:cs="Times New Roman"/>
          <w:b/>
          <w:sz w:val="24"/>
          <w:szCs w:val="24"/>
        </w:rPr>
        <w:t>22 November 2017</w:t>
      </w:r>
    </w:p>
    <w:p w14:paraId="44E21838" w14:textId="77777777" w:rsidR="00021E4F" w:rsidRPr="00E85F03" w:rsidRDefault="00021E4F" w:rsidP="00E85F03">
      <w:pPr>
        <w:spacing w:line="360" w:lineRule="auto"/>
        <w:jc w:val="center"/>
        <w:rPr>
          <w:rFonts w:ascii="Times New Roman" w:hAnsi="Times New Roman" w:cs="Times New Roman"/>
          <w:b/>
          <w:sz w:val="24"/>
          <w:szCs w:val="24"/>
        </w:rPr>
      </w:pPr>
    </w:p>
    <w:p w14:paraId="30C7F489" w14:textId="77777777" w:rsidR="00021E4F" w:rsidRPr="00E85F03" w:rsidRDefault="00021E4F" w:rsidP="00E85F03">
      <w:pPr>
        <w:spacing w:line="360" w:lineRule="auto"/>
        <w:rPr>
          <w:rFonts w:ascii="Times New Roman" w:hAnsi="Times New Roman" w:cs="Times New Roman"/>
          <w:sz w:val="24"/>
          <w:szCs w:val="24"/>
        </w:rPr>
      </w:pPr>
    </w:p>
    <w:p w14:paraId="01FCFD98" w14:textId="77777777" w:rsidR="00021E4F" w:rsidRPr="00E85F03" w:rsidRDefault="00021E4F" w:rsidP="00E85F03">
      <w:pPr>
        <w:pStyle w:val="ListParagraph"/>
        <w:widowControl/>
        <w:numPr>
          <w:ilvl w:val="0"/>
          <w:numId w:val="20"/>
        </w:numPr>
        <w:spacing w:line="360" w:lineRule="auto"/>
        <w:contextualSpacing/>
        <w:rPr>
          <w:rFonts w:ascii="Times New Roman" w:hAnsi="Times New Roman" w:cs="Times New Roman"/>
          <w:sz w:val="24"/>
          <w:szCs w:val="24"/>
        </w:rPr>
      </w:pPr>
      <w:r w:rsidRPr="00E85F03">
        <w:rPr>
          <w:rFonts w:ascii="Times New Roman" w:hAnsi="Times New Roman" w:cs="Times New Roman"/>
          <w:sz w:val="24"/>
          <w:szCs w:val="24"/>
        </w:rPr>
        <w:t>The DA argued that the amendments on transformation in the Insurance Bill have changed the scope of the Bill and necessitate that the Committee seeks the approval of the National Assembly in terms of</w:t>
      </w:r>
      <w:r w:rsidRPr="00E85F03">
        <w:rPr>
          <w:rFonts w:ascii="Times New Roman" w:hAnsi="Times New Roman" w:cs="Times New Roman"/>
          <w:b/>
          <w:sz w:val="24"/>
          <w:szCs w:val="24"/>
        </w:rPr>
        <w:t xml:space="preserve"> </w:t>
      </w:r>
      <w:r w:rsidRPr="00E85F03">
        <w:rPr>
          <w:rFonts w:ascii="Times New Roman" w:hAnsi="Times New Roman" w:cs="Times New Roman"/>
          <w:sz w:val="24"/>
          <w:szCs w:val="24"/>
        </w:rPr>
        <w:t>NA rule 286(4</w:t>
      </w:r>
      <w:proofErr w:type="gramStart"/>
      <w:r w:rsidRPr="00E85F03">
        <w:rPr>
          <w:rFonts w:ascii="Times New Roman" w:hAnsi="Times New Roman" w:cs="Times New Roman"/>
          <w:sz w:val="24"/>
          <w:szCs w:val="24"/>
        </w:rPr>
        <w:t>)(</w:t>
      </w:r>
      <w:proofErr w:type="gramEnd"/>
      <w:r w:rsidRPr="00E85F03">
        <w:rPr>
          <w:rFonts w:ascii="Times New Roman" w:hAnsi="Times New Roman" w:cs="Times New Roman"/>
          <w:sz w:val="24"/>
          <w:szCs w:val="24"/>
        </w:rPr>
        <w:t xml:space="preserve">b) to extend the </w:t>
      </w:r>
      <w:r w:rsidRPr="00E85F03">
        <w:rPr>
          <w:rFonts w:ascii="Times New Roman" w:hAnsi="Times New Roman" w:cs="Times New Roman"/>
          <w:color w:val="000000" w:themeColor="text1"/>
          <w:sz w:val="24"/>
          <w:szCs w:val="24"/>
        </w:rPr>
        <w:t>subject</w:t>
      </w:r>
      <w:r w:rsidRPr="00E85F03">
        <w:rPr>
          <w:rFonts w:ascii="Times New Roman" w:hAnsi="Times New Roman" w:cs="Times New Roman"/>
          <w:color w:val="FF0000"/>
          <w:sz w:val="24"/>
          <w:szCs w:val="24"/>
        </w:rPr>
        <w:t xml:space="preserve"> </w:t>
      </w:r>
      <w:r w:rsidRPr="00E85F03">
        <w:rPr>
          <w:rFonts w:ascii="Times New Roman" w:hAnsi="Times New Roman" w:cs="Times New Roman"/>
          <w:color w:val="000000" w:themeColor="text1"/>
          <w:sz w:val="24"/>
          <w:szCs w:val="24"/>
        </w:rPr>
        <w:t xml:space="preserve">(or scope) </w:t>
      </w:r>
      <w:r w:rsidRPr="00E85F03">
        <w:rPr>
          <w:rFonts w:ascii="Times New Roman" w:hAnsi="Times New Roman" w:cs="Times New Roman"/>
          <w:sz w:val="24"/>
          <w:szCs w:val="24"/>
        </w:rPr>
        <w:t xml:space="preserve">of the Bill before proceeding, and the Committee also needs to have further public hearings on these amendments as they did not emerge in the Insurance Bills hearings. The DA also argued that the amendments expanded the role of the Prudential Authority (PA) and the South African Reserve Bank (SARB) to deal with non-prudential criteria, such as transformation, beyond what is provided for in the Financial Sector Regulation Act and serve to undermine the independence of the PA and SARB. </w:t>
      </w:r>
    </w:p>
    <w:p w14:paraId="6199712E" w14:textId="77777777" w:rsidR="00021E4F" w:rsidRPr="00E85F03" w:rsidRDefault="00021E4F" w:rsidP="00E85F03">
      <w:pPr>
        <w:pStyle w:val="ListParagraph"/>
        <w:spacing w:line="360" w:lineRule="auto"/>
        <w:ind w:left="720"/>
        <w:rPr>
          <w:rFonts w:ascii="Times New Roman" w:hAnsi="Times New Roman" w:cs="Times New Roman"/>
          <w:sz w:val="24"/>
          <w:szCs w:val="24"/>
        </w:rPr>
      </w:pPr>
      <w:r w:rsidRPr="00E85F03">
        <w:rPr>
          <w:rFonts w:ascii="Times New Roman" w:hAnsi="Times New Roman" w:cs="Times New Roman"/>
          <w:sz w:val="24"/>
          <w:szCs w:val="24"/>
        </w:rPr>
        <w:t xml:space="preserve"> </w:t>
      </w:r>
    </w:p>
    <w:p w14:paraId="5697DE0F" w14:textId="77777777" w:rsidR="00021E4F" w:rsidRPr="00E85F03" w:rsidRDefault="00021E4F" w:rsidP="00E85F03">
      <w:pPr>
        <w:pStyle w:val="ListParagraph"/>
        <w:widowControl/>
        <w:numPr>
          <w:ilvl w:val="0"/>
          <w:numId w:val="20"/>
        </w:numPr>
        <w:spacing w:line="360" w:lineRule="auto"/>
        <w:contextualSpacing/>
        <w:rPr>
          <w:rFonts w:ascii="Times New Roman" w:hAnsi="Times New Roman" w:cs="Times New Roman"/>
          <w:sz w:val="24"/>
          <w:szCs w:val="24"/>
        </w:rPr>
      </w:pPr>
      <w:r w:rsidRPr="00E85F03">
        <w:rPr>
          <w:rFonts w:ascii="Times New Roman" w:hAnsi="Times New Roman" w:cs="Times New Roman"/>
          <w:sz w:val="24"/>
          <w:szCs w:val="24"/>
        </w:rPr>
        <w:t>Parliament’s Legal Services Unit explained that NA rule 286(4</w:t>
      </w:r>
      <w:proofErr w:type="gramStart"/>
      <w:r w:rsidRPr="00E85F03">
        <w:rPr>
          <w:rFonts w:ascii="Times New Roman" w:hAnsi="Times New Roman" w:cs="Times New Roman"/>
          <w:sz w:val="24"/>
          <w:szCs w:val="24"/>
        </w:rPr>
        <w:t>)(</w:t>
      </w:r>
      <w:proofErr w:type="gramEnd"/>
      <w:r w:rsidRPr="00E85F03">
        <w:rPr>
          <w:rFonts w:ascii="Times New Roman" w:hAnsi="Times New Roman" w:cs="Times New Roman"/>
          <w:sz w:val="24"/>
          <w:szCs w:val="24"/>
        </w:rPr>
        <w:t xml:space="preserve">b) provides that a Committee </w:t>
      </w:r>
      <w:r w:rsidRPr="00E85F03">
        <w:rPr>
          <w:rFonts w:ascii="Times New Roman" w:hAnsi="Times New Roman" w:cs="Times New Roman"/>
          <w:sz w:val="24"/>
          <w:szCs w:val="24"/>
          <w:u w:val="single"/>
        </w:rPr>
        <w:t>may</w:t>
      </w:r>
      <w:r w:rsidRPr="00E85F03">
        <w:rPr>
          <w:rFonts w:ascii="Times New Roman" w:hAnsi="Times New Roman" w:cs="Times New Roman"/>
          <w:sz w:val="24"/>
          <w:szCs w:val="24"/>
        </w:rPr>
        <w:t xml:space="preserve"> seek permission from the House to extend the subject of the Bill.  </w:t>
      </w:r>
      <w:r w:rsidRPr="00E85F03">
        <w:rPr>
          <w:rFonts w:ascii="Times New Roman" w:hAnsi="Times New Roman" w:cs="Times New Roman"/>
          <w:sz w:val="24"/>
          <w:szCs w:val="24"/>
        </w:rPr>
        <w:lastRenderedPageBreak/>
        <w:t xml:space="preserve">The term “subject of a Bill” means, as defined, “the objects of the Bill as introduced in the Assembly and the substance of the Bill to give effect to those objects”. Sub-rule 4(f) provides that the Committee “may, or if permitted by the Assembly to extend the subject of a Bill in accordance with Paragraph (b) or (c) must, consult the person in charge of the Bill”. </w:t>
      </w:r>
    </w:p>
    <w:p w14:paraId="1B2EC8F5" w14:textId="77777777" w:rsidR="00021E4F" w:rsidRPr="00E85F03" w:rsidRDefault="00021E4F" w:rsidP="00E85F03">
      <w:pPr>
        <w:pStyle w:val="ListParagraph"/>
        <w:spacing w:line="360" w:lineRule="auto"/>
        <w:ind w:left="720"/>
        <w:contextualSpacing/>
        <w:rPr>
          <w:rFonts w:ascii="Times New Roman" w:hAnsi="Times New Roman" w:cs="Times New Roman"/>
          <w:sz w:val="24"/>
          <w:szCs w:val="24"/>
        </w:rPr>
      </w:pPr>
    </w:p>
    <w:p w14:paraId="6CE01ADF" w14:textId="77777777" w:rsidR="00021E4F" w:rsidRPr="00E85F03" w:rsidRDefault="00021E4F" w:rsidP="00E85F03">
      <w:pPr>
        <w:pStyle w:val="ListParagraph"/>
        <w:widowControl/>
        <w:numPr>
          <w:ilvl w:val="0"/>
          <w:numId w:val="20"/>
        </w:numPr>
        <w:spacing w:line="360" w:lineRule="auto"/>
        <w:contextualSpacing/>
        <w:rPr>
          <w:rFonts w:ascii="Times New Roman" w:hAnsi="Times New Roman" w:cs="Times New Roman"/>
          <w:sz w:val="24"/>
          <w:szCs w:val="24"/>
        </w:rPr>
      </w:pPr>
      <w:r w:rsidRPr="00E85F03">
        <w:rPr>
          <w:rFonts w:ascii="Times New Roman" w:hAnsi="Times New Roman" w:cs="Times New Roman"/>
          <w:sz w:val="24"/>
          <w:szCs w:val="24"/>
        </w:rPr>
        <w:t>According to Parliament’s Legal Services Unit, the purpose of this rule is to ensure that new policy issues introduced in a Bill in the process before a Committee are done with broad consultation between all stakeholders, including the National Assembly, the relevant Minister and the public. It is not meant to require permission when a Committee makes explicit in the Bill before it what is implicit in the Bill. In this respect, the rule has the same purpose as sub-rule (4</w:t>
      </w:r>
      <w:proofErr w:type="gramStart"/>
      <w:r w:rsidRPr="00E85F03">
        <w:rPr>
          <w:rFonts w:ascii="Times New Roman" w:hAnsi="Times New Roman" w:cs="Times New Roman"/>
          <w:sz w:val="24"/>
          <w:szCs w:val="24"/>
        </w:rPr>
        <w:t>)(</w:t>
      </w:r>
      <w:proofErr w:type="gramEnd"/>
      <w:r w:rsidRPr="00E85F03">
        <w:rPr>
          <w:rFonts w:ascii="Times New Roman" w:hAnsi="Times New Roman" w:cs="Times New Roman"/>
          <w:sz w:val="24"/>
          <w:szCs w:val="24"/>
        </w:rPr>
        <w:t xml:space="preserve">c) that requires permission from the House when a Committee considers an amendment Bill and intends to amend additional provisions in the principal Act. Practically, neither of these rules is meant to require permission from the House when the amendments by the Committee fall into the same policy area that is before the Committee. This is in line with the general purpose and context of NA rule 286(4). </w:t>
      </w:r>
    </w:p>
    <w:p w14:paraId="6C73BBDE" w14:textId="77777777" w:rsidR="00021E4F" w:rsidRPr="00E85F03" w:rsidRDefault="00021E4F" w:rsidP="00E85F03">
      <w:pPr>
        <w:spacing w:line="360" w:lineRule="auto"/>
        <w:rPr>
          <w:rFonts w:ascii="Times New Roman" w:hAnsi="Times New Roman" w:cs="Times New Roman"/>
          <w:sz w:val="24"/>
          <w:szCs w:val="24"/>
        </w:rPr>
      </w:pPr>
    </w:p>
    <w:p w14:paraId="2EFB325B" w14:textId="77777777" w:rsidR="00021E4F" w:rsidRPr="00E85F03" w:rsidRDefault="00021E4F" w:rsidP="00E85F03">
      <w:pPr>
        <w:pStyle w:val="ListParagraph"/>
        <w:widowControl/>
        <w:numPr>
          <w:ilvl w:val="0"/>
          <w:numId w:val="20"/>
        </w:numPr>
        <w:spacing w:line="360" w:lineRule="auto"/>
        <w:contextualSpacing/>
        <w:rPr>
          <w:rFonts w:ascii="Times New Roman" w:hAnsi="Times New Roman" w:cs="Times New Roman"/>
          <w:sz w:val="24"/>
          <w:szCs w:val="24"/>
        </w:rPr>
      </w:pPr>
      <w:r w:rsidRPr="00E85F03">
        <w:rPr>
          <w:rFonts w:ascii="Times New Roman" w:hAnsi="Times New Roman" w:cs="Times New Roman"/>
          <w:sz w:val="24"/>
          <w:szCs w:val="24"/>
        </w:rPr>
        <w:t xml:space="preserve">Parliament’s Legal Services Unit pointed out that in the same vein, public participation might focus the attention of the Committee on such additional areas within the broad policy of the Bill, in which case the Committee does not have to conduct additional public participation. </w:t>
      </w:r>
    </w:p>
    <w:p w14:paraId="75C78687" w14:textId="77777777" w:rsidR="00021E4F" w:rsidRPr="00E85F03" w:rsidRDefault="00021E4F" w:rsidP="00E85F03">
      <w:pPr>
        <w:pStyle w:val="ListParagraph"/>
        <w:spacing w:line="360" w:lineRule="auto"/>
        <w:ind w:left="720"/>
        <w:contextualSpacing/>
        <w:rPr>
          <w:rFonts w:ascii="Times New Roman" w:hAnsi="Times New Roman" w:cs="Times New Roman"/>
          <w:sz w:val="24"/>
          <w:szCs w:val="24"/>
        </w:rPr>
      </w:pPr>
    </w:p>
    <w:p w14:paraId="0280CF19" w14:textId="77777777" w:rsidR="00021E4F" w:rsidRPr="00E85F03" w:rsidRDefault="00021E4F" w:rsidP="00E85F03">
      <w:pPr>
        <w:pStyle w:val="ListParagraph"/>
        <w:widowControl/>
        <w:numPr>
          <w:ilvl w:val="0"/>
          <w:numId w:val="20"/>
        </w:numPr>
        <w:spacing w:line="360" w:lineRule="auto"/>
        <w:contextualSpacing/>
        <w:rPr>
          <w:rFonts w:ascii="Times New Roman" w:hAnsi="Times New Roman" w:cs="Times New Roman"/>
          <w:sz w:val="24"/>
          <w:szCs w:val="24"/>
        </w:rPr>
      </w:pPr>
      <w:r w:rsidRPr="00E85F03">
        <w:rPr>
          <w:rFonts w:ascii="Times New Roman" w:hAnsi="Times New Roman" w:cs="Times New Roman"/>
          <w:sz w:val="24"/>
          <w:szCs w:val="24"/>
        </w:rPr>
        <w:t xml:space="preserve">Parliament’s Legal Services Unit also explained that, practically, Committee amendments to Bills that require permission from the House and further public consultation should be substantial and distinguishable from the broad purpose of the Bill.   </w:t>
      </w:r>
    </w:p>
    <w:p w14:paraId="2295B4D8" w14:textId="77777777" w:rsidR="00021E4F" w:rsidRPr="00E85F03" w:rsidRDefault="00021E4F" w:rsidP="00E85F03">
      <w:pPr>
        <w:pStyle w:val="ListParagraph"/>
        <w:spacing w:line="360" w:lineRule="auto"/>
        <w:ind w:left="720"/>
        <w:contextualSpacing/>
        <w:rPr>
          <w:rFonts w:ascii="Times New Roman" w:hAnsi="Times New Roman" w:cs="Times New Roman"/>
          <w:sz w:val="24"/>
          <w:szCs w:val="24"/>
        </w:rPr>
      </w:pPr>
    </w:p>
    <w:p w14:paraId="6447963D" w14:textId="77777777" w:rsidR="00021E4F" w:rsidRPr="00E85F03" w:rsidRDefault="00021E4F" w:rsidP="00E85F03">
      <w:pPr>
        <w:pStyle w:val="ListParagraph"/>
        <w:widowControl/>
        <w:numPr>
          <w:ilvl w:val="0"/>
          <w:numId w:val="20"/>
        </w:numPr>
        <w:spacing w:line="360" w:lineRule="auto"/>
        <w:contextualSpacing/>
        <w:rPr>
          <w:rFonts w:ascii="Times New Roman" w:hAnsi="Times New Roman" w:cs="Times New Roman"/>
          <w:sz w:val="24"/>
          <w:szCs w:val="24"/>
        </w:rPr>
      </w:pPr>
      <w:r w:rsidRPr="00E85F03">
        <w:rPr>
          <w:rFonts w:ascii="Times New Roman" w:hAnsi="Times New Roman" w:cs="Times New Roman"/>
          <w:sz w:val="24"/>
          <w:szCs w:val="24"/>
        </w:rPr>
        <w:t>Parliament’s Legal Services Unit explained that the amendments on transformation in the Bill, in the objective of the Bill, make explicit what is implicit in the Bill and flow from the public hearings. Furthermore, transformation is a constitutional objective linked to public participation (Doctors for Life International v Speaker). “The transformation that our Constitution requires includes economic redress.” (</w:t>
      </w:r>
      <w:proofErr w:type="spellStart"/>
      <w:r w:rsidRPr="00E85F03">
        <w:rPr>
          <w:rFonts w:ascii="Times New Roman" w:hAnsi="Times New Roman" w:cs="Times New Roman"/>
          <w:sz w:val="24"/>
          <w:szCs w:val="24"/>
        </w:rPr>
        <w:t>AllPay</w:t>
      </w:r>
      <w:proofErr w:type="spellEnd"/>
      <w:r w:rsidRPr="00E85F03">
        <w:rPr>
          <w:rFonts w:ascii="Times New Roman" w:hAnsi="Times New Roman" w:cs="Times New Roman"/>
          <w:sz w:val="24"/>
          <w:szCs w:val="24"/>
        </w:rPr>
        <w:t xml:space="preserve"> Consolidated Investments Holdings v SASSA). Parliament’s Legal Services Unit pointed out that National Treasury confirmed that the Insurance Bill aims to give effect to this requirement. According to Parliament’s Legal Services Unit Rule 286(4</w:t>
      </w:r>
      <w:proofErr w:type="gramStart"/>
      <w:r w:rsidRPr="00E85F03">
        <w:rPr>
          <w:rFonts w:ascii="Times New Roman" w:hAnsi="Times New Roman" w:cs="Times New Roman"/>
          <w:sz w:val="24"/>
          <w:szCs w:val="24"/>
        </w:rPr>
        <w:t>)(</w:t>
      </w:r>
      <w:proofErr w:type="gramEnd"/>
      <w:r w:rsidRPr="00E85F03">
        <w:rPr>
          <w:rFonts w:ascii="Times New Roman" w:hAnsi="Times New Roman" w:cs="Times New Roman"/>
          <w:sz w:val="24"/>
          <w:szCs w:val="24"/>
        </w:rPr>
        <w:t>b) does not apply to the processing of the Insurance Bill by the Committee.</w:t>
      </w:r>
    </w:p>
    <w:p w14:paraId="295B95DA" w14:textId="77777777" w:rsidR="00021E4F" w:rsidRPr="00E85F03" w:rsidRDefault="00021E4F" w:rsidP="00E85F03">
      <w:pPr>
        <w:spacing w:line="360" w:lineRule="auto"/>
        <w:rPr>
          <w:rFonts w:ascii="Times New Roman" w:hAnsi="Times New Roman" w:cs="Times New Roman"/>
          <w:sz w:val="24"/>
          <w:szCs w:val="24"/>
        </w:rPr>
      </w:pPr>
    </w:p>
    <w:p w14:paraId="3990910E" w14:textId="77777777" w:rsidR="00021E4F" w:rsidRPr="00E85F03" w:rsidRDefault="00021E4F" w:rsidP="00E85F03">
      <w:pPr>
        <w:pStyle w:val="ListParagraph"/>
        <w:widowControl/>
        <w:numPr>
          <w:ilvl w:val="0"/>
          <w:numId w:val="20"/>
        </w:numPr>
        <w:spacing w:line="360" w:lineRule="auto"/>
        <w:contextualSpacing/>
        <w:rPr>
          <w:rFonts w:ascii="Times New Roman" w:hAnsi="Times New Roman" w:cs="Times New Roman"/>
          <w:sz w:val="24"/>
          <w:szCs w:val="24"/>
        </w:rPr>
      </w:pPr>
      <w:r w:rsidRPr="00E85F03">
        <w:rPr>
          <w:rFonts w:ascii="Times New Roman" w:hAnsi="Times New Roman" w:cs="Times New Roman"/>
          <w:sz w:val="24"/>
          <w:szCs w:val="24"/>
        </w:rPr>
        <w:t xml:space="preserve">The Insurance Bill is part of the tranche of Bills giving effect to the new “Twin Peaks” financial transformation model. As pointed out in the Committee’s Report on the Bill “It seeks to transform the financial sector to reduce the prospects of the negative consequences of the 2008 global financial and economic crisis recurring, especially for financial customers. It is the lower income earners that usually suffer disproportionately when financial institutions fail – and in South Africa these are mainly Black people.”  The Report on the Bill also observes that: “As an important part of the overall transformation of the financial sector, the Bill seeks to encourage new entrants in the highly monopolized insurance industry and contribute towards </w:t>
      </w:r>
      <w:proofErr w:type="spellStart"/>
      <w:r w:rsidRPr="00E85F03">
        <w:rPr>
          <w:rFonts w:ascii="Times New Roman" w:hAnsi="Times New Roman" w:cs="Times New Roman"/>
          <w:sz w:val="24"/>
          <w:szCs w:val="24"/>
        </w:rPr>
        <w:t>deracialisation</w:t>
      </w:r>
      <w:proofErr w:type="spellEnd"/>
      <w:r w:rsidRPr="00E85F03">
        <w:rPr>
          <w:rFonts w:ascii="Times New Roman" w:hAnsi="Times New Roman" w:cs="Times New Roman"/>
          <w:sz w:val="24"/>
          <w:szCs w:val="24"/>
        </w:rPr>
        <w:t xml:space="preserve"> and other aspects of the transformation of the insurance sector.” The Committee’s amendments on transformation make explicit what is implicit in the Bill and strengthen the transformation aspects.</w:t>
      </w:r>
    </w:p>
    <w:p w14:paraId="7A199D26" w14:textId="77777777" w:rsidR="00021E4F" w:rsidRPr="00E85F03" w:rsidRDefault="00021E4F" w:rsidP="00E85F03">
      <w:pPr>
        <w:pStyle w:val="ListParagraph"/>
        <w:spacing w:line="360" w:lineRule="auto"/>
        <w:ind w:left="720"/>
        <w:contextualSpacing/>
        <w:rPr>
          <w:rFonts w:ascii="Times New Roman" w:hAnsi="Times New Roman" w:cs="Times New Roman"/>
          <w:sz w:val="24"/>
          <w:szCs w:val="24"/>
        </w:rPr>
      </w:pPr>
    </w:p>
    <w:p w14:paraId="43AEBD8E" w14:textId="77777777" w:rsidR="00021E4F" w:rsidRPr="00E85F03" w:rsidRDefault="00021E4F" w:rsidP="00E85F03">
      <w:pPr>
        <w:pStyle w:val="ListParagraph"/>
        <w:widowControl/>
        <w:numPr>
          <w:ilvl w:val="0"/>
          <w:numId w:val="20"/>
        </w:numPr>
        <w:spacing w:line="360" w:lineRule="auto"/>
        <w:contextualSpacing/>
        <w:rPr>
          <w:rFonts w:ascii="Times New Roman" w:hAnsi="Times New Roman" w:cs="Times New Roman"/>
          <w:sz w:val="24"/>
          <w:szCs w:val="24"/>
        </w:rPr>
      </w:pPr>
      <w:r w:rsidRPr="00E85F03">
        <w:rPr>
          <w:rFonts w:ascii="Times New Roman" w:hAnsi="Times New Roman" w:cs="Times New Roman"/>
          <w:sz w:val="24"/>
          <w:szCs w:val="24"/>
        </w:rPr>
        <w:t xml:space="preserve">In fact, a major issue that emerged in the Insurance Bill public hearings was that the Bill does not deal adequately with transformation and that this needs to be addressed. Emerging black players in the industry argued that the Bill’s crude conformity to international standards impedes their growth. These views were taken much further in the subsequent extensive public hearings on Financial Sector Transformation (FST) held in the first half of this year. Black entrepreneurs in the insurance sector expressed extreme frustration at the lack of transformation in the sector. The FST Report adopted by the Committee focuses significantly on the need to transform the insurance sector.  As the Committee’s Report on the Insurance Bill notes in respect of the FST process, “all the key stakeholders in the financial sector, including in insurance, participated. An Interim FST Report, dealing also with the insurance sector specifically, was finalized on 6 September 2017 and sent to all the participants in the hearings with a request for their responses. Their responses were subsequently processed through Committee meetings and a final Report adopted on 15 November.  Many of the issues around the need for transformation of the insurance sector raised at the Insurance Bill public hearings were repeated at these hearings and taken further.” National Treasury (NT) also published amendments to Schedules 1 and 3 to the Bill for public comment on 10 October 2017 and responses from stakeholders were discussed in the Committee meeting of 8 November 2017. Comprehensive responses were provided to all public submissions received at each stage of the public consultation process. Moreover, the Committee allows public participation until the very day on which it votes on a Bill. The claim therefore that the amendments on transformation did not emerge in the hearings are patently inaccurate, and the need for </w:t>
      </w:r>
      <w:r w:rsidRPr="00E85F03">
        <w:rPr>
          <w:rFonts w:ascii="Times New Roman" w:hAnsi="Times New Roman" w:cs="Times New Roman"/>
          <w:sz w:val="24"/>
          <w:szCs w:val="24"/>
        </w:rPr>
        <w:lastRenderedPageBreak/>
        <w:t xml:space="preserve">further public hearings in the wake of such extensive public hearings and such ongoing concerted engagement with stakeholders cannot be justified.   As happens usually, participants in hearings  propose changes to Bills, but many of them, lacking legal and other technical skills, do not propose specific wording to amend specific clauses of the Bill – but they are clear about the policy changes they want. The Committee gave concrete effect to the broad proposals on transformation that emerged in all the hearings </w:t>
      </w:r>
      <w:proofErr w:type="gramStart"/>
      <w:r w:rsidRPr="00E85F03">
        <w:rPr>
          <w:rFonts w:ascii="Times New Roman" w:hAnsi="Times New Roman" w:cs="Times New Roman"/>
          <w:sz w:val="24"/>
          <w:szCs w:val="24"/>
        </w:rPr>
        <w:t>from a significant strata</w:t>
      </w:r>
      <w:proofErr w:type="gramEnd"/>
      <w:r w:rsidRPr="00E85F03">
        <w:rPr>
          <w:rFonts w:ascii="Times New Roman" w:hAnsi="Times New Roman" w:cs="Times New Roman"/>
          <w:sz w:val="24"/>
          <w:szCs w:val="24"/>
        </w:rPr>
        <w:t xml:space="preserve"> of the role-players in the sector.   </w:t>
      </w:r>
    </w:p>
    <w:p w14:paraId="21AAC914" w14:textId="77777777" w:rsidR="00021E4F" w:rsidRPr="00E85F03" w:rsidRDefault="00021E4F" w:rsidP="00E85F03">
      <w:pPr>
        <w:spacing w:line="360" w:lineRule="auto"/>
        <w:rPr>
          <w:rFonts w:ascii="Times New Roman" w:hAnsi="Times New Roman" w:cs="Times New Roman"/>
          <w:sz w:val="24"/>
          <w:szCs w:val="24"/>
        </w:rPr>
      </w:pPr>
    </w:p>
    <w:p w14:paraId="2FF0CB99" w14:textId="77777777" w:rsidR="00021E4F" w:rsidRPr="00E85F03" w:rsidRDefault="00021E4F" w:rsidP="00E85F03">
      <w:pPr>
        <w:pStyle w:val="ListParagraph"/>
        <w:widowControl/>
        <w:numPr>
          <w:ilvl w:val="0"/>
          <w:numId w:val="20"/>
        </w:numPr>
        <w:spacing w:line="360" w:lineRule="auto"/>
        <w:contextualSpacing/>
        <w:rPr>
          <w:rFonts w:ascii="Times New Roman" w:hAnsi="Times New Roman" w:cs="Times New Roman"/>
          <w:sz w:val="24"/>
          <w:szCs w:val="24"/>
        </w:rPr>
      </w:pPr>
      <w:r w:rsidRPr="00E85F03">
        <w:rPr>
          <w:rFonts w:ascii="Times New Roman" w:hAnsi="Times New Roman" w:cs="Times New Roman"/>
          <w:sz w:val="24"/>
          <w:szCs w:val="24"/>
        </w:rPr>
        <w:t xml:space="preserve">In respect of issues related to the role of the Prudential Authority (PA), Section 7 of the Financial Sector Regulation Act (FSRA) explicitly highlights transformation as one of the key objectives of the Act.  The mandate and functions of the </w:t>
      </w:r>
      <w:proofErr w:type="gramStart"/>
      <w:r w:rsidRPr="00E85F03">
        <w:rPr>
          <w:rFonts w:ascii="Times New Roman" w:hAnsi="Times New Roman" w:cs="Times New Roman"/>
          <w:sz w:val="24"/>
          <w:szCs w:val="24"/>
        </w:rPr>
        <w:t>PA,</w:t>
      </w:r>
      <w:proofErr w:type="gramEnd"/>
      <w:r w:rsidRPr="00E85F03">
        <w:rPr>
          <w:rFonts w:ascii="Times New Roman" w:hAnsi="Times New Roman" w:cs="Times New Roman"/>
          <w:sz w:val="24"/>
          <w:szCs w:val="24"/>
        </w:rPr>
        <w:t xml:space="preserve"> are set out in (sections 33 and 34) to the FSRA. Financial stability, financial inclusion and transformation are at the core of the PA’s mandate and functions when sections 7, 33 and 34 are read together. Section 34(2) also imposes an obligation on the PA to perform any other functions conferred on it in terms of any other provisions of the FSRA or other legislation. Representatives of both NT and the SARB explained to the Committee that they believed that PA would be best placed to balance both the financial stability and transformation objectives.  NT said that If the PA does not address transformation issues some other regulator will have to do so, and it is better that the PA does this. Both the NT and SARB said that the Insurance Bill does not undermine the independence of the PA.</w:t>
      </w:r>
    </w:p>
    <w:p w14:paraId="43BF836D" w14:textId="77777777" w:rsidR="00021E4F" w:rsidRPr="00E85F03" w:rsidRDefault="00021E4F" w:rsidP="00E85F03">
      <w:pPr>
        <w:spacing w:line="360" w:lineRule="auto"/>
        <w:rPr>
          <w:rFonts w:ascii="Times New Roman" w:hAnsi="Times New Roman" w:cs="Times New Roman"/>
          <w:sz w:val="24"/>
          <w:szCs w:val="24"/>
        </w:rPr>
      </w:pPr>
    </w:p>
    <w:p w14:paraId="2521B415" w14:textId="77777777" w:rsidR="00021E4F" w:rsidRPr="00E85F03" w:rsidRDefault="00021E4F" w:rsidP="00E85F03">
      <w:pPr>
        <w:pStyle w:val="ListParagraph"/>
        <w:spacing w:line="360" w:lineRule="auto"/>
        <w:ind w:left="720"/>
        <w:contextualSpacing/>
        <w:rPr>
          <w:rFonts w:ascii="Times New Roman" w:hAnsi="Times New Roman" w:cs="Times New Roman"/>
          <w:sz w:val="24"/>
          <w:szCs w:val="24"/>
        </w:rPr>
      </w:pPr>
    </w:p>
    <w:p w14:paraId="1906480C" w14:textId="77777777" w:rsidR="00021E4F" w:rsidRPr="00E85F03" w:rsidRDefault="00021E4F" w:rsidP="00E85F03">
      <w:pPr>
        <w:pStyle w:val="ListParagraph"/>
        <w:widowControl/>
        <w:numPr>
          <w:ilvl w:val="0"/>
          <w:numId w:val="20"/>
        </w:numPr>
        <w:spacing w:line="360" w:lineRule="auto"/>
        <w:contextualSpacing/>
        <w:rPr>
          <w:rFonts w:ascii="Times New Roman" w:hAnsi="Times New Roman" w:cs="Times New Roman"/>
          <w:sz w:val="24"/>
          <w:szCs w:val="24"/>
        </w:rPr>
      </w:pPr>
      <w:r w:rsidRPr="00E85F03">
        <w:rPr>
          <w:rFonts w:ascii="Times New Roman" w:hAnsi="Times New Roman" w:cs="Times New Roman"/>
          <w:sz w:val="24"/>
          <w:szCs w:val="24"/>
        </w:rPr>
        <w:t>The Committee accepts that if the subject or scope of a Bill is substantially changed, the Committee needs to abide by NA rule 286(4</w:t>
      </w:r>
      <w:proofErr w:type="gramStart"/>
      <w:r w:rsidRPr="00E85F03">
        <w:rPr>
          <w:rFonts w:ascii="Times New Roman" w:hAnsi="Times New Roman" w:cs="Times New Roman"/>
          <w:sz w:val="24"/>
          <w:szCs w:val="24"/>
        </w:rPr>
        <w:t>)(</w:t>
      </w:r>
      <w:proofErr w:type="gramEnd"/>
      <w:r w:rsidRPr="00E85F03">
        <w:rPr>
          <w:rFonts w:ascii="Times New Roman" w:hAnsi="Times New Roman" w:cs="Times New Roman"/>
          <w:sz w:val="24"/>
          <w:szCs w:val="24"/>
        </w:rPr>
        <w:t>b). Based on Parliament’s Legal Services Unit’s interpretation of the Rule and the Committee’s experience in processing the Bill, the Committee is decisively clear:  NA rule 286(4</w:t>
      </w:r>
      <w:proofErr w:type="gramStart"/>
      <w:r w:rsidRPr="00E85F03">
        <w:rPr>
          <w:rFonts w:ascii="Times New Roman" w:hAnsi="Times New Roman" w:cs="Times New Roman"/>
          <w:sz w:val="24"/>
          <w:szCs w:val="24"/>
        </w:rPr>
        <w:t>)(</w:t>
      </w:r>
      <w:proofErr w:type="gramEnd"/>
      <w:r w:rsidRPr="00E85F03">
        <w:rPr>
          <w:rFonts w:ascii="Times New Roman" w:hAnsi="Times New Roman" w:cs="Times New Roman"/>
          <w:sz w:val="24"/>
          <w:szCs w:val="24"/>
        </w:rPr>
        <w:t xml:space="preserve">b) does not apply in this case.  If it were to do so, then it will mean that most Bills that are significantly amended will have to make use of the Rule. - </w:t>
      </w:r>
      <w:proofErr w:type="gramStart"/>
      <w:r w:rsidRPr="00E85F03">
        <w:rPr>
          <w:rFonts w:ascii="Times New Roman" w:hAnsi="Times New Roman" w:cs="Times New Roman"/>
          <w:sz w:val="24"/>
          <w:szCs w:val="24"/>
        </w:rPr>
        <w:t>and</w:t>
      </w:r>
      <w:proofErr w:type="gramEnd"/>
      <w:r w:rsidRPr="00E85F03">
        <w:rPr>
          <w:rFonts w:ascii="Times New Roman" w:hAnsi="Times New Roman" w:cs="Times New Roman"/>
          <w:sz w:val="24"/>
          <w:szCs w:val="24"/>
        </w:rPr>
        <w:t xml:space="preserve"> it will have the effect of discouraging Committees from making significant amendments to Bills, and seriously diminish the legislative role of Parliament, and subordinate Parliament to the Executive. The Committee believes that it is important that the Rule should not be used in a narrow and sectarian manner to settle policy differences, and urges that the Rules Committee provides greater clarity on in what conditions exactly NA rule 286(4)(b) applies. The rule needs to be amended or the NA Guide to Procedure should provide the necessary clarity.</w:t>
      </w:r>
    </w:p>
    <w:p w14:paraId="2106B39A" w14:textId="77777777" w:rsidR="00021E4F" w:rsidRPr="00E85F03" w:rsidRDefault="00021E4F" w:rsidP="00E85F03">
      <w:pPr>
        <w:pStyle w:val="ListParagraph"/>
        <w:spacing w:line="360" w:lineRule="auto"/>
        <w:ind w:left="720"/>
        <w:contextualSpacing/>
        <w:rPr>
          <w:rFonts w:ascii="Times New Roman" w:hAnsi="Times New Roman" w:cs="Times New Roman"/>
          <w:sz w:val="24"/>
          <w:szCs w:val="24"/>
        </w:rPr>
      </w:pPr>
    </w:p>
    <w:p w14:paraId="1924DA1D" w14:textId="77777777" w:rsidR="00021E4F" w:rsidRPr="00E85F03" w:rsidRDefault="00021E4F" w:rsidP="00E85F03">
      <w:pPr>
        <w:pStyle w:val="ListParagraph"/>
        <w:spacing w:line="360" w:lineRule="auto"/>
        <w:ind w:left="720"/>
        <w:contextualSpacing/>
        <w:rPr>
          <w:rFonts w:ascii="Times New Roman" w:hAnsi="Times New Roman" w:cs="Times New Roman"/>
          <w:sz w:val="24"/>
          <w:szCs w:val="24"/>
        </w:rPr>
      </w:pPr>
    </w:p>
    <w:p w14:paraId="35D042BB" w14:textId="77777777" w:rsidR="00021E4F" w:rsidRPr="00E85F03" w:rsidRDefault="00021E4F" w:rsidP="00E85F03">
      <w:pPr>
        <w:pStyle w:val="ListParagraph"/>
        <w:spacing w:line="360" w:lineRule="auto"/>
        <w:ind w:left="720"/>
        <w:rPr>
          <w:rFonts w:ascii="Times New Roman" w:hAnsi="Times New Roman" w:cs="Times New Roman"/>
          <w:sz w:val="24"/>
          <w:szCs w:val="24"/>
        </w:rPr>
      </w:pPr>
      <w:r w:rsidRPr="00E85F03">
        <w:rPr>
          <w:rFonts w:ascii="Times New Roman" w:hAnsi="Times New Roman" w:cs="Times New Roman"/>
          <w:sz w:val="24"/>
          <w:szCs w:val="24"/>
        </w:rPr>
        <w:t xml:space="preserve">   </w:t>
      </w:r>
    </w:p>
    <w:p w14:paraId="119CE29E" w14:textId="77777777" w:rsidR="00021E4F" w:rsidRPr="00E85F03" w:rsidRDefault="00021E4F" w:rsidP="00E85F03">
      <w:pPr>
        <w:widowControl/>
        <w:spacing w:before="120" w:after="120" w:line="360" w:lineRule="auto"/>
        <w:jc w:val="center"/>
        <w:rPr>
          <w:rFonts w:ascii="Times New Roman" w:hAnsi="Times New Roman" w:cs="Times New Roman"/>
          <w:color w:val="000000" w:themeColor="text1"/>
          <w:sz w:val="24"/>
          <w:szCs w:val="24"/>
        </w:rPr>
      </w:pPr>
    </w:p>
    <w:p w14:paraId="4AAE8357" w14:textId="77777777" w:rsidR="00FE5EFA" w:rsidRPr="00E85F03" w:rsidRDefault="00FE5EFA" w:rsidP="00E85F03">
      <w:pPr>
        <w:pStyle w:val="ListParagraph"/>
        <w:spacing w:line="360" w:lineRule="auto"/>
        <w:rPr>
          <w:rFonts w:ascii="Times New Roman" w:hAnsi="Times New Roman" w:cs="Times New Roman"/>
          <w:color w:val="000000" w:themeColor="text1"/>
          <w:sz w:val="24"/>
          <w:szCs w:val="24"/>
        </w:rPr>
      </w:pPr>
    </w:p>
    <w:p w14:paraId="23F1866F" w14:textId="77777777" w:rsidR="00FE5EFA" w:rsidRPr="00E85F03" w:rsidRDefault="00FE5EFA" w:rsidP="00E85F03">
      <w:pPr>
        <w:widowControl/>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The Democratic Alliance (DA) reserve their position on the report and Bill</w:t>
      </w:r>
    </w:p>
    <w:p w14:paraId="03BF2466" w14:textId="77777777" w:rsidR="00FE5EFA" w:rsidRPr="00E85F03" w:rsidRDefault="00FE5EFA" w:rsidP="00E85F03">
      <w:pPr>
        <w:widowControl/>
        <w:spacing w:before="120" w:after="120" w:line="360" w:lineRule="auto"/>
        <w:jc w:val="both"/>
        <w:rPr>
          <w:rFonts w:ascii="Times New Roman" w:hAnsi="Times New Roman" w:cs="Times New Roman"/>
          <w:color w:val="000000" w:themeColor="text1"/>
          <w:sz w:val="24"/>
          <w:szCs w:val="24"/>
        </w:rPr>
      </w:pPr>
    </w:p>
    <w:p w14:paraId="56E408E3" w14:textId="77777777" w:rsidR="00FE5EFA" w:rsidRPr="00E85F03" w:rsidRDefault="00FE5EFA" w:rsidP="00E85F03">
      <w:pPr>
        <w:widowControl/>
        <w:spacing w:before="120" w:after="120" w:line="360" w:lineRule="auto"/>
        <w:jc w:val="both"/>
        <w:rPr>
          <w:rFonts w:ascii="Times New Roman" w:hAnsi="Times New Roman" w:cs="Times New Roman"/>
          <w:color w:val="000000" w:themeColor="text1"/>
          <w:sz w:val="24"/>
          <w:szCs w:val="24"/>
        </w:rPr>
      </w:pPr>
      <w:r w:rsidRPr="00E85F03">
        <w:rPr>
          <w:rFonts w:ascii="Times New Roman" w:hAnsi="Times New Roman" w:cs="Times New Roman"/>
          <w:color w:val="000000" w:themeColor="text1"/>
          <w:sz w:val="24"/>
          <w:szCs w:val="24"/>
        </w:rPr>
        <w:t xml:space="preserve">Report to be considered </w:t>
      </w:r>
    </w:p>
    <w:p w14:paraId="0535D046" w14:textId="77777777" w:rsidR="00FE5EFA" w:rsidRPr="00E85F03" w:rsidRDefault="00FE5EFA" w:rsidP="00E85F03">
      <w:pPr>
        <w:widowControl/>
        <w:spacing w:before="120" w:after="120" w:line="360" w:lineRule="auto"/>
        <w:jc w:val="both"/>
        <w:rPr>
          <w:rFonts w:ascii="Times New Roman" w:hAnsi="Times New Roman" w:cs="Times New Roman"/>
          <w:color w:val="000000" w:themeColor="text1"/>
          <w:sz w:val="24"/>
          <w:szCs w:val="24"/>
        </w:rPr>
      </w:pPr>
    </w:p>
    <w:sectPr w:rsidR="00FE5EFA" w:rsidRPr="00E85F03" w:rsidSect="00B72968">
      <w:footerReference w:type="default" r:id="rId9"/>
      <w:pgSz w:w="11906" w:h="16838"/>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20951" w14:textId="77777777" w:rsidR="00545F58" w:rsidRDefault="00545F58" w:rsidP="006143EC">
      <w:r>
        <w:separator/>
      </w:r>
    </w:p>
  </w:endnote>
  <w:endnote w:type="continuationSeparator" w:id="0">
    <w:p w14:paraId="5C53344D" w14:textId="77777777" w:rsidR="00545F58" w:rsidRDefault="00545F58" w:rsidP="0061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416786818"/>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14:paraId="47A5B16B" w14:textId="5516A42F" w:rsidR="004A1B5C" w:rsidRPr="00B72968" w:rsidRDefault="00B72968" w:rsidP="00B72968">
            <w:pPr>
              <w:pStyle w:val="Footer"/>
              <w:jc w:val="right"/>
              <w:rPr>
                <w:rFonts w:ascii="Times New Roman" w:hAnsi="Times New Roman" w:cs="Times New Roman"/>
                <w:sz w:val="16"/>
                <w:szCs w:val="16"/>
              </w:rPr>
            </w:pPr>
            <w:r w:rsidRPr="00B72968">
              <w:rPr>
                <w:rFonts w:ascii="Times New Roman" w:hAnsi="Times New Roman" w:cs="Times New Roman"/>
                <w:sz w:val="16"/>
                <w:szCs w:val="16"/>
              </w:rPr>
              <w:t xml:space="preserve">Page </w:t>
            </w:r>
            <w:r w:rsidRPr="00B72968">
              <w:rPr>
                <w:rFonts w:ascii="Times New Roman" w:hAnsi="Times New Roman" w:cs="Times New Roman"/>
                <w:bCs/>
                <w:sz w:val="16"/>
                <w:szCs w:val="16"/>
              </w:rPr>
              <w:fldChar w:fldCharType="begin"/>
            </w:r>
            <w:r w:rsidRPr="00B72968">
              <w:rPr>
                <w:rFonts w:ascii="Times New Roman" w:hAnsi="Times New Roman" w:cs="Times New Roman"/>
                <w:bCs/>
                <w:sz w:val="16"/>
                <w:szCs w:val="16"/>
              </w:rPr>
              <w:instrText xml:space="preserve"> PAGE </w:instrText>
            </w:r>
            <w:r w:rsidRPr="00B72968">
              <w:rPr>
                <w:rFonts w:ascii="Times New Roman" w:hAnsi="Times New Roman" w:cs="Times New Roman"/>
                <w:bCs/>
                <w:sz w:val="16"/>
                <w:szCs w:val="16"/>
              </w:rPr>
              <w:fldChar w:fldCharType="separate"/>
            </w:r>
            <w:r w:rsidR="00987D21">
              <w:rPr>
                <w:rFonts w:ascii="Times New Roman" w:hAnsi="Times New Roman" w:cs="Times New Roman"/>
                <w:bCs/>
                <w:noProof/>
                <w:sz w:val="16"/>
                <w:szCs w:val="16"/>
              </w:rPr>
              <w:t>1</w:t>
            </w:r>
            <w:r w:rsidRPr="00B72968">
              <w:rPr>
                <w:rFonts w:ascii="Times New Roman" w:hAnsi="Times New Roman" w:cs="Times New Roman"/>
                <w:bCs/>
                <w:sz w:val="16"/>
                <w:szCs w:val="16"/>
              </w:rPr>
              <w:fldChar w:fldCharType="end"/>
            </w:r>
            <w:r w:rsidRPr="00B72968">
              <w:rPr>
                <w:rFonts w:ascii="Times New Roman" w:hAnsi="Times New Roman" w:cs="Times New Roman"/>
                <w:sz w:val="16"/>
                <w:szCs w:val="16"/>
              </w:rPr>
              <w:t xml:space="preserve"> of </w:t>
            </w:r>
            <w:r w:rsidRPr="00B72968">
              <w:rPr>
                <w:rFonts w:ascii="Times New Roman" w:hAnsi="Times New Roman" w:cs="Times New Roman"/>
                <w:bCs/>
                <w:sz w:val="16"/>
                <w:szCs w:val="16"/>
              </w:rPr>
              <w:fldChar w:fldCharType="begin"/>
            </w:r>
            <w:r w:rsidRPr="00B72968">
              <w:rPr>
                <w:rFonts w:ascii="Times New Roman" w:hAnsi="Times New Roman" w:cs="Times New Roman"/>
                <w:bCs/>
                <w:sz w:val="16"/>
                <w:szCs w:val="16"/>
              </w:rPr>
              <w:instrText xml:space="preserve"> NUMPAGES  </w:instrText>
            </w:r>
            <w:r w:rsidRPr="00B72968">
              <w:rPr>
                <w:rFonts w:ascii="Times New Roman" w:hAnsi="Times New Roman" w:cs="Times New Roman"/>
                <w:bCs/>
                <w:sz w:val="16"/>
                <w:szCs w:val="16"/>
              </w:rPr>
              <w:fldChar w:fldCharType="separate"/>
            </w:r>
            <w:r w:rsidR="00987D21">
              <w:rPr>
                <w:rFonts w:ascii="Times New Roman" w:hAnsi="Times New Roman" w:cs="Times New Roman"/>
                <w:bCs/>
                <w:noProof/>
                <w:sz w:val="16"/>
                <w:szCs w:val="16"/>
              </w:rPr>
              <w:t>12</w:t>
            </w:r>
            <w:r w:rsidRPr="00B72968">
              <w:rPr>
                <w:rFonts w:ascii="Times New Roman" w:hAnsi="Times New Roman" w:cs="Times New Roman"/>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6B63E" w14:textId="77777777" w:rsidR="00545F58" w:rsidRDefault="00545F58" w:rsidP="006143EC">
      <w:r>
        <w:separator/>
      </w:r>
    </w:p>
  </w:footnote>
  <w:footnote w:type="continuationSeparator" w:id="0">
    <w:p w14:paraId="3E77698E" w14:textId="77777777" w:rsidR="00545F58" w:rsidRDefault="00545F58" w:rsidP="00614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F0A"/>
    <w:multiLevelType w:val="hybridMultilevel"/>
    <w:tmpl w:val="DDE2E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421A13"/>
    <w:multiLevelType w:val="hybridMultilevel"/>
    <w:tmpl w:val="171262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2679D2"/>
    <w:multiLevelType w:val="hybridMultilevel"/>
    <w:tmpl w:val="4BF6830E"/>
    <w:lvl w:ilvl="0" w:tplc="849A6AFC">
      <w:start w:val="1"/>
      <w:numFmt w:val="decimal"/>
      <w:lvlText w:val="%1."/>
      <w:lvlJc w:val="left"/>
      <w:pPr>
        <w:ind w:hanging="207"/>
      </w:pPr>
      <w:rPr>
        <w:rFonts w:ascii="Times New Roman" w:eastAsia="Times New Roman" w:hAnsi="Times New Roman" w:hint="default"/>
        <w:b/>
        <w:bCs/>
        <w:w w:val="99"/>
        <w:sz w:val="20"/>
        <w:szCs w:val="20"/>
      </w:rPr>
    </w:lvl>
    <w:lvl w:ilvl="1" w:tplc="D93A2268">
      <w:start w:val="1"/>
      <w:numFmt w:val="lowerLetter"/>
      <w:lvlText w:val="(%2)"/>
      <w:lvlJc w:val="left"/>
      <w:pPr>
        <w:ind w:hanging="400"/>
      </w:pPr>
      <w:rPr>
        <w:rFonts w:ascii="Times New Roman" w:eastAsia="Times New Roman" w:hAnsi="Times New Roman" w:hint="default"/>
        <w:i/>
        <w:w w:val="99"/>
        <w:sz w:val="20"/>
        <w:szCs w:val="20"/>
      </w:rPr>
    </w:lvl>
    <w:lvl w:ilvl="2" w:tplc="5CD240F2">
      <w:start w:val="1"/>
      <w:numFmt w:val="lowerRoman"/>
      <w:lvlText w:val="(%3)"/>
      <w:lvlJc w:val="left"/>
      <w:pPr>
        <w:ind w:hanging="348"/>
        <w:jc w:val="right"/>
      </w:pPr>
      <w:rPr>
        <w:rFonts w:ascii="Times New Roman" w:eastAsia="Times New Roman" w:hAnsi="Times New Roman" w:hint="default"/>
        <w:w w:val="99"/>
        <w:sz w:val="20"/>
        <w:szCs w:val="20"/>
      </w:rPr>
    </w:lvl>
    <w:lvl w:ilvl="3" w:tplc="E3EECB40">
      <w:start w:val="1"/>
      <w:numFmt w:val="bullet"/>
      <w:lvlText w:val="•"/>
      <w:lvlJc w:val="left"/>
      <w:rPr>
        <w:rFonts w:hint="default"/>
      </w:rPr>
    </w:lvl>
    <w:lvl w:ilvl="4" w:tplc="C960F08C">
      <w:start w:val="1"/>
      <w:numFmt w:val="bullet"/>
      <w:lvlText w:val="•"/>
      <w:lvlJc w:val="left"/>
      <w:rPr>
        <w:rFonts w:hint="default"/>
      </w:rPr>
    </w:lvl>
    <w:lvl w:ilvl="5" w:tplc="D47C231E">
      <w:start w:val="1"/>
      <w:numFmt w:val="bullet"/>
      <w:lvlText w:val="•"/>
      <w:lvlJc w:val="left"/>
      <w:rPr>
        <w:rFonts w:hint="default"/>
      </w:rPr>
    </w:lvl>
    <w:lvl w:ilvl="6" w:tplc="A0462EC4">
      <w:start w:val="1"/>
      <w:numFmt w:val="bullet"/>
      <w:lvlText w:val="•"/>
      <w:lvlJc w:val="left"/>
      <w:rPr>
        <w:rFonts w:hint="default"/>
      </w:rPr>
    </w:lvl>
    <w:lvl w:ilvl="7" w:tplc="62629FF2">
      <w:start w:val="1"/>
      <w:numFmt w:val="bullet"/>
      <w:lvlText w:val="•"/>
      <w:lvlJc w:val="left"/>
      <w:rPr>
        <w:rFonts w:hint="default"/>
      </w:rPr>
    </w:lvl>
    <w:lvl w:ilvl="8" w:tplc="AA2021C0">
      <w:start w:val="1"/>
      <w:numFmt w:val="bullet"/>
      <w:lvlText w:val="•"/>
      <w:lvlJc w:val="left"/>
      <w:rPr>
        <w:rFonts w:hint="default"/>
      </w:rPr>
    </w:lvl>
  </w:abstractNum>
  <w:abstractNum w:abstractNumId="3">
    <w:nsid w:val="12667475"/>
    <w:multiLevelType w:val="hybridMultilevel"/>
    <w:tmpl w:val="FE500A60"/>
    <w:lvl w:ilvl="0" w:tplc="04090001">
      <w:start w:val="1"/>
      <w:numFmt w:val="bullet"/>
      <w:lvlText w:val=""/>
      <w:lvlJc w:val="left"/>
      <w:pPr>
        <w:ind w:left="2008" w:hanging="360"/>
      </w:pPr>
      <w:rPr>
        <w:rFonts w:ascii="Symbol" w:hAnsi="Symbol"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4">
    <w:nsid w:val="16FD0CF6"/>
    <w:multiLevelType w:val="hybridMultilevel"/>
    <w:tmpl w:val="B68A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84C56"/>
    <w:multiLevelType w:val="hybridMultilevel"/>
    <w:tmpl w:val="A2E498FE"/>
    <w:lvl w:ilvl="0" w:tplc="BE1252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DE1CF8"/>
    <w:multiLevelType w:val="hybridMultilevel"/>
    <w:tmpl w:val="2A9C18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A00C98"/>
    <w:multiLevelType w:val="hybridMultilevel"/>
    <w:tmpl w:val="62FE2E36"/>
    <w:lvl w:ilvl="0" w:tplc="51A6A036">
      <w:start w:val="1"/>
      <w:numFmt w:val="bullet"/>
      <w:lvlText w:val=""/>
      <w:lvlJc w:val="left"/>
      <w:pPr>
        <w:ind w:left="222" w:hanging="360"/>
      </w:pPr>
      <w:rPr>
        <w:rFonts w:ascii="Wingdings" w:hAnsi="Wingdings" w:hint="default"/>
        <w:color w:val="auto"/>
      </w:rPr>
    </w:lvl>
    <w:lvl w:ilvl="1" w:tplc="1C090003" w:tentative="1">
      <w:start w:val="1"/>
      <w:numFmt w:val="bullet"/>
      <w:lvlText w:val="o"/>
      <w:lvlJc w:val="left"/>
      <w:pPr>
        <w:ind w:left="942" w:hanging="360"/>
      </w:pPr>
      <w:rPr>
        <w:rFonts w:ascii="Courier New" w:hAnsi="Courier New" w:cs="Courier New" w:hint="default"/>
      </w:rPr>
    </w:lvl>
    <w:lvl w:ilvl="2" w:tplc="1C090005" w:tentative="1">
      <w:start w:val="1"/>
      <w:numFmt w:val="bullet"/>
      <w:lvlText w:val=""/>
      <w:lvlJc w:val="left"/>
      <w:pPr>
        <w:ind w:left="1662" w:hanging="360"/>
      </w:pPr>
      <w:rPr>
        <w:rFonts w:ascii="Wingdings" w:hAnsi="Wingdings" w:hint="default"/>
      </w:rPr>
    </w:lvl>
    <w:lvl w:ilvl="3" w:tplc="1C090001" w:tentative="1">
      <w:start w:val="1"/>
      <w:numFmt w:val="bullet"/>
      <w:lvlText w:val=""/>
      <w:lvlJc w:val="left"/>
      <w:pPr>
        <w:ind w:left="2382" w:hanging="360"/>
      </w:pPr>
      <w:rPr>
        <w:rFonts w:ascii="Symbol" w:hAnsi="Symbol" w:hint="default"/>
      </w:rPr>
    </w:lvl>
    <w:lvl w:ilvl="4" w:tplc="1C090003" w:tentative="1">
      <w:start w:val="1"/>
      <w:numFmt w:val="bullet"/>
      <w:lvlText w:val="o"/>
      <w:lvlJc w:val="left"/>
      <w:pPr>
        <w:ind w:left="3102" w:hanging="360"/>
      </w:pPr>
      <w:rPr>
        <w:rFonts w:ascii="Courier New" w:hAnsi="Courier New" w:cs="Courier New" w:hint="default"/>
      </w:rPr>
    </w:lvl>
    <w:lvl w:ilvl="5" w:tplc="1C090005" w:tentative="1">
      <w:start w:val="1"/>
      <w:numFmt w:val="bullet"/>
      <w:lvlText w:val=""/>
      <w:lvlJc w:val="left"/>
      <w:pPr>
        <w:ind w:left="3822" w:hanging="360"/>
      </w:pPr>
      <w:rPr>
        <w:rFonts w:ascii="Wingdings" w:hAnsi="Wingdings" w:hint="default"/>
      </w:rPr>
    </w:lvl>
    <w:lvl w:ilvl="6" w:tplc="1C090001" w:tentative="1">
      <w:start w:val="1"/>
      <w:numFmt w:val="bullet"/>
      <w:lvlText w:val=""/>
      <w:lvlJc w:val="left"/>
      <w:pPr>
        <w:ind w:left="4542" w:hanging="360"/>
      </w:pPr>
      <w:rPr>
        <w:rFonts w:ascii="Symbol" w:hAnsi="Symbol" w:hint="default"/>
      </w:rPr>
    </w:lvl>
    <w:lvl w:ilvl="7" w:tplc="1C090003" w:tentative="1">
      <w:start w:val="1"/>
      <w:numFmt w:val="bullet"/>
      <w:lvlText w:val="o"/>
      <w:lvlJc w:val="left"/>
      <w:pPr>
        <w:ind w:left="5262" w:hanging="360"/>
      </w:pPr>
      <w:rPr>
        <w:rFonts w:ascii="Courier New" w:hAnsi="Courier New" w:cs="Courier New" w:hint="default"/>
      </w:rPr>
    </w:lvl>
    <w:lvl w:ilvl="8" w:tplc="1C090005" w:tentative="1">
      <w:start w:val="1"/>
      <w:numFmt w:val="bullet"/>
      <w:lvlText w:val=""/>
      <w:lvlJc w:val="left"/>
      <w:pPr>
        <w:ind w:left="5982" w:hanging="360"/>
      </w:pPr>
      <w:rPr>
        <w:rFonts w:ascii="Wingdings" w:hAnsi="Wingdings" w:hint="default"/>
      </w:rPr>
    </w:lvl>
  </w:abstractNum>
  <w:abstractNum w:abstractNumId="8">
    <w:nsid w:val="34CF2CAE"/>
    <w:multiLevelType w:val="hybridMultilevel"/>
    <w:tmpl w:val="4BF6830E"/>
    <w:lvl w:ilvl="0" w:tplc="849A6AFC">
      <w:start w:val="1"/>
      <w:numFmt w:val="decimal"/>
      <w:lvlText w:val="%1."/>
      <w:lvlJc w:val="left"/>
      <w:pPr>
        <w:ind w:hanging="207"/>
      </w:pPr>
      <w:rPr>
        <w:rFonts w:ascii="Times New Roman" w:eastAsia="Times New Roman" w:hAnsi="Times New Roman" w:hint="default"/>
        <w:b/>
        <w:bCs/>
        <w:w w:val="99"/>
        <w:sz w:val="20"/>
        <w:szCs w:val="20"/>
      </w:rPr>
    </w:lvl>
    <w:lvl w:ilvl="1" w:tplc="D93A2268">
      <w:start w:val="1"/>
      <w:numFmt w:val="lowerLetter"/>
      <w:lvlText w:val="(%2)"/>
      <w:lvlJc w:val="left"/>
      <w:pPr>
        <w:ind w:hanging="400"/>
      </w:pPr>
      <w:rPr>
        <w:rFonts w:ascii="Times New Roman" w:eastAsia="Times New Roman" w:hAnsi="Times New Roman" w:hint="default"/>
        <w:i/>
        <w:w w:val="99"/>
        <w:sz w:val="20"/>
        <w:szCs w:val="20"/>
      </w:rPr>
    </w:lvl>
    <w:lvl w:ilvl="2" w:tplc="5CD240F2">
      <w:start w:val="1"/>
      <w:numFmt w:val="lowerRoman"/>
      <w:lvlText w:val="(%3)"/>
      <w:lvlJc w:val="left"/>
      <w:pPr>
        <w:ind w:hanging="348"/>
        <w:jc w:val="right"/>
      </w:pPr>
      <w:rPr>
        <w:rFonts w:ascii="Times New Roman" w:eastAsia="Times New Roman" w:hAnsi="Times New Roman" w:hint="default"/>
        <w:w w:val="99"/>
        <w:sz w:val="20"/>
        <w:szCs w:val="20"/>
      </w:rPr>
    </w:lvl>
    <w:lvl w:ilvl="3" w:tplc="E3EECB40">
      <w:start w:val="1"/>
      <w:numFmt w:val="bullet"/>
      <w:lvlText w:val="•"/>
      <w:lvlJc w:val="left"/>
      <w:rPr>
        <w:rFonts w:hint="default"/>
      </w:rPr>
    </w:lvl>
    <w:lvl w:ilvl="4" w:tplc="C960F08C">
      <w:start w:val="1"/>
      <w:numFmt w:val="bullet"/>
      <w:lvlText w:val="•"/>
      <w:lvlJc w:val="left"/>
      <w:rPr>
        <w:rFonts w:hint="default"/>
      </w:rPr>
    </w:lvl>
    <w:lvl w:ilvl="5" w:tplc="D47C231E">
      <w:start w:val="1"/>
      <w:numFmt w:val="bullet"/>
      <w:lvlText w:val="•"/>
      <w:lvlJc w:val="left"/>
      <w:rPr>
        <w:rFonts w:hint="default"/>
      </w:rPr>
    </w:lvl>
    <w:lvl w:ilvl="6" w:tplc="A0462EC4">
      <w:start w:val="1"/>
      <w:numFmt w:val="bullet"/>
      <w:lvlText w:val="•"/>
      <w:lvlJc w:val="left"/>
      <w:rPr>
        <w:rFonts w:hint="default"/>
      </w:rPr>
    </w:lvl>
    <w:lvl w:ilvl="7" w:tplc="62629FF2">
      <w:start w:val="1"/>
      <w:numFmt w:val="bullet"/>
      <w:lvlText w:val="•"/>
      <w:lvlJc w:val="left"/>
      <w:rPr>
        <w:rFonts w:hint="default"/>
      </w:rPr>
    </w:lvl>
    <w:lvl w:ilvl="8" w:tplc="AA2021C0">
      <w:start w:val="1"/>
      <w:numFmt w:val="bullet"/>
      <w:lvlText w:val="•"/>
      <w:lvlJc w:val="left"/>
      <w:rPr>
        <w:rFonts w:hint="default"/>
      </w:rPr>
    </w:lvl>
  </w:abstractNum>
  <w:abstractNum w:abstractNumId="9">
    <w:nsid w:val="3F852272"/>
    <w:multiLevelType w:val="hybridMultilevel"/>
    <w:tmpl w:val="7B1C3F2E"/>
    <w:lvl w:ilvl="0" w:tplc="679C58E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nsid w:val="46057830"/>
    <w:multiLevelType w:val="hybridMultilevel"/>
    <w:tmpl w:val="3DF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F4C1D"/>
    <w:multiLevelType w:val="hybridMultilevel"/>
    <w:tmpl w:val="6266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92832"/>
    <w:multiLevelType w:val="multilevel"/>
    <w:tmpl w:val="1C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6F16BC"/>
    <w:multiLevelType w:val="hybridMultilevel"/>
    <w:tmpl w:val="9C40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B348E"/>
    <w:multiLevelType w:val="hybridMultilevel"/>
    <w:tmpl w:val="BECC0E02"/>
    <w:lvl w:ilvl="0" w:tplc="B556556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nsid w:val="5D863A6E"/>
    <w:multiLevelType w:val="hybridMultilevel"/>
    <w:tmpl w:val="97C6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11956"/>
    <w:multiLevelType w:val="hybridMultilevel"/>
    <w:tmpl w:val="27123E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A07577B"/>
    <w:multiLevelType w:val="hybridMultilevel"/>
    <w:tmpl w:val="82A09E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D6233E"/>
    <w:multiLevelType w:val="hybridMultilevel"/>
    <w:tmpl w:val="FAFC3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CB4AB3"/>
    <w:multiLevelType w:val="hybridMultilevel"/>
    <w:tmpl w:val="E35274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78F80A39"/>
    <w:multiLevelType w:val="hybridMultilevel"/>
    <w:tmpl w:val="A7CCCFB2"/>
    <w:lvl w:ilvl="0" w:tplc="8050ED58">
      <w:start w:val="2"/>
      <w:numFmt w:val="decimal"/>
      <w:lvlText w:val="(%1)"/>
      <w:lvlJc w:val="left"/>
      <w:pPr>
        <w:ind w:left="0" w:hanging="286"/>
      </w:pPr>
      <w:rPr>
        <w:rFonts w:ascii="Times New Roman" w:eastAsia="Times New Roman" w:hAnsi="Times New Roman" w:cs="Times New Roman" w:hint="default"/>
        <w:w w:val="99"/>
        <w:sz w:val="20"/>
        <w:szCs w:val="20"/>
      </w:rPr>
    </w:lvl>
    <w:lvl w:ilvl="1" w:tplc="D994BC68">
      <w:start w:val="1"/>
      <w:numFmt w:val="lowerLetter"/>
      <w:lvlText w:val="(%2)"/>
      <w:lvlJc w:val="left"/>
      <w:pPr>
        <w:ind w:left="0" w:hanging="400"/>
      </w:pPr>
      <w:rPr>
        <w:rFonts w:ascii="Times New Roman" w:eastAsia="Times New Roman" w:hAnsi="Times New Roman" w:cs="Times New Roman" w:hint="default"/>
        <w:i/>
        <w:w w:val="99"/>
        <w:sz w:val="20"/>
        <w:szCs w:val="20"/>
      </w:rPr>
    </w:lvl>
    <w:lvl w:ilvl="2" w:tplc="514A05D4">
      <w:start w:val="1"/>
      <w:numFmt w:val="lowerRoman"/>
      <w:lvlText w:val="(%3)"/>
      <w:lvlJc w:val="left"/>
      <w:pPr>
        <w:ind w:left="0" w:hanging="348"/>
      </w:pPr>
      <w:rPr>
        <w:rFonts w:ascii="Times New Roman" w:eastAsia="Times New Roman" w:hAnsi="Times New Roman" w:cs="Times New Roman" w:hint="default"/>
        <w:w w:val="99"/>
        <w:sz w:val="20"/>
        <w:szCs w:val="20"/>
      </w:rPr>
    </w:lvl>
    <w:lvl w:ilvl="3" w:tplc="CF6CE148">
      <w:start w:val="1"/>
      <w:numFmt w:val="bullet"/>
      <w:lvlText w:val="•"/>
      <w:lvlJc w:val="left"/>
      <w:pPr>
        <w:ind w:left="0" w:firstLine="0"/>
      </w:pPr>
    </w:lvl>
    <w:lvl w:ilvl="4" w:tplc="26CE2300">
      <w:start w:val="1"/>
      <w:numFmt w:val="bullet"/>
      <w:lvlText w:val="•"/>
      <w:lvlJc w:val="left"/>
      <w:pPr>
        <w:ind w:left="0" w:firstLine="0"/>
      </w:pPr>
    </w:lvl>
    <w:lvl w:ilvl="5" w:tplc="2E4EE7F4">
      <w:start w:val="1"/>
      <w:numFmt w:val="bullet"/>
      <w:lvlText w:val="•"/>
      <w:lvlJc w:val="left"/>
      <w:pPr>
        <w:ind w:left="0" w:firstLine="0"/>
      </w:pPr>
    </w:lvl>
    <w:lvl w:ilvl="6" w:tplc="1BC6D7EA">
      <w:start w:val="1"/>
      <w:numFmt w:val="bullet"/>
      <w:lvlText w:val="•"/>
      <w:lvlJc w:val="left"/>
      <w:pPr>
        <w:ind w:left="0" w:firstLine="0"/>
      </w:pPr>
    </w:lvl>
    <w:lvl w:ilvl="7" w:tplc="A782BDFA">
      <w:start w:val="1"/>
      <w:numFmt w:val="bullet"/>
      <w:lvlText w:val="•"/>
      <w:lvlJc w:val="left"/>
      <w:pPr>
        <w:ind w:left="0" w:firstLine="0"/>
      </w:pPr>
    </w:lvl>
    <w:lvl w:ilvl="8" w:tplc="CAE410E2">
      <w:start w:val="1"/>
      <w:numFmt w:val="bullet"/>
      <w:lvlText w:val="•"/>
      <w:lvlJc w:val="left"/>
      <w:pPr>
        <w:ind w:left="0" w:firstLine="0"/>
      </w:pPr>
    </w:lvl>
  </w:abstractNum>
  <w:num w:numId="1">
    <w:abstractNumId w:val="2"/>
  </w:num>
  <w:num w:numId="2">
    <w:abstractNumId w:val="8"/>
  </w:num>
  <w:num w:numId="3">
    <w:abstractNumId w:val="5"/>
  </w:num>
  <w:num w:numId="4">
    <w:abstractNumId w:val="7"/>
  </w:num>
  <w:num w:numId="5">
    <w:abstractNumId w:val="10"/>
  </w:num>
  <w:num w:numId="6">
    <w:abstractNumId w:val="4"/>
  </w:num>
  <w:num w:numId="7">
    <w:abstractNumId w:val="15"/>
  </w:num>
  <w:num w:numId="8">
    <w:abstractNumId w:val="1"/>
  </w:num>
  <w:num w:numId="9">
    <w:abstractNumId w:val="6"/>
  </w:num>
  <w:num w:numId="10">
    <w:abstractNumId w:val="17"/>
  </w:num>
  <w:num w:numId="11">
    <w:abstractNumId w:val="0"/>
  </w:num>
  <w:num w:numId="12">
    <w:abstractNumId w:val="14"/>
  </w:num>
  <w:num w:numId="13">
    <w:abstractNumId w:val="9"/>
  </w:num>
  <w:num w:numId="14">
    <w:abstractNumId w:val="13"/>
  </w:num>
  <w:num w:numId="15">
    <w:abstractNumId w:val="18"/>
  </w:num>
  <w:num w:numId="16">
    <w:abstractNumId w:val="12"/>
  </w:num>
  <w:num w:numId="17">
    <w:abstractNumId w:val="19"/>
  </w:num>
  <w:num w:numId="18">
    <w:abstractNumId w:val="3"/>
  </w:num>
  <w:num w:numId="19">
    <w:abstractNumId w:val="2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5E"/>
    <w:rsid w:val="000046A9"/>
    <w:rsid w:val="00015813"/>
    <w:rsid w:val="00021E4F"/>
    <w:rsid w:val="000426F7"/>
    <w:rsid w:val="00051834"/>
    <w:rsid w:val="00055D52"/>
    <w:rsid w:val="000A028A"/>
    <w:rsid w:val="000A58E9"/>
    <w:rsid w:val="000C190A"/>
    <w:rsid w:val="000C5E9E"/>
    <w:rsid w:val="000F076C"/>
    <w:rsid w:val="00105AB6"/>
    <w:rsid w:val="00115324"/>
    <w:rsid w:val="001213FC"/>
    <w:rsid w:val="001271BC"/>
    <w:rsid w:val="00151A0C"/>
    <w:rsid w:val="001677B0"/>
    <w:rsid w:val="00174EE6"/>
    <w:rsid w:val="001902F4"/>
    <w:rsid w:val="001C35A1"/>
    <w:rsid w:val="001D4C65"/>
    <w:rsid w:val="001F11B5"/>
    <w:rsid w:val="00212B73"/>
    <w:rsid w:val="00221AC4"/>
    <w:rsid w:val="0022765E"/>
    <w:rsid w:val="00245A0E"/>
    <w:rsid w:val="00260A54"/>
    <w:rsid w:val="002760C5"/>
    <w:rsid w:val="00283874"/>
    <w:rsid w:val="002939E2"/>
    <w:rsid w:val="002B4B32"/>
    <w:rsid w:val="002E00CF"/>
    <w:rsid w:val="002F0056"/>
    <w:rsid w:val="002F5E78"/>
    <w:rsid w:val="00321063"/>
    <w:rsid w:val="003324A8"/>
    <w:rsid w:val="0033285C"/>
    <w:rsid w:val="00337470"/>
    <w:rsid w:val="0034322F"/>
    <w:rsid w:val="00343897"/>
    <w:rsid w:val="00360FF2"/>
    <w:rsid w:val="00371603"/>
    <w:rsid w:val="003B273D"/>
    <w:rsid w:val="003C3667"/>
    <w:rsid w:val="003D1846"/>
    <w:rsid w:val="003E6F45"/>
    <w:rsid w:val="00404941"/>
    <w:rsid w:val="00404EFD"/>
    <w:rsid w:val="0042481B"/>
    <w:rsid w:val="004302D8"/>
    <w:rsid w:val="00437132"/>
    <w:rsid w:val="004406AA"/>
    <w:rsid w:val="004446E6"/>
    <w:rsid w:val="00447CE1"/>
    <w:rsid w:val="00465D0D"/>
    <w:rsid w:val="00471754"/>
    <w:rsid w:val="00492E6B"/>
    <w:rsid w:val="004963D6"/>
    <w:rsid w:val="004A0824"/>
    <w:rsid w:val="004A1B5C"/>
    <w:rsid w:val="004A4208"/>
    <w:rsid w:val="004A4F44"/>
    <w:rsid w:val="004B2124"/>
    <w:rsid w:val="004C4DBA"/>
    <w:rsid w:val="004D4388"/>
    <w:rsid w:val="004E61FE"/>
    <w:rsid w:val="005008C3"/>
    <w:rsid w:val="005031B4"/>
    <w:rsid w:val="0050628A"/>
    <w:rsid w:val="00506FF8"/>
    <w:rsid w:val="005242E3"/>
    <w:rsid w:val="005360F6"/>
    <w:rsid w:val="005429F3"/>
    <w:rsid w:val="00545F58"/>
    <w:rsid w:val="00554305"/>
    <w:rsid w:val="005635E4"/>
    <w:rsid w:val="00580914"/>
    <w:rsid w:val="00581C93"/>
    <w:rsid w:val="00590683"/>
    <w:rsid w:val="00592E13"/>
    <w:rsid w:val="005A384A"/>
    <w:rsid w:val="005B110B"/>
    <w:rsid w:val="005C02BF"/>
    <w:rsid w:val="005C58C4"/>
    <w:rsid w:val="005D317F"/>
    <w:rsid w:val="005E240B"/>
    <w:rsid w:val="006143EC"/>
    <w:rsid w:val="00623915"/>
    <w:rsid w:val="00627C96"/>
    <w:rsid w:val="006329CF"/>
    <w:rsid w:val="006336F2"/>
    <w:rsid w:val="00674B74"/>
    <w:rsid w:val="00684911"/>
    <w:rsid w:val="00694C99"/>
    <w:rsid w:val="006A04C3"/>
    <w:rsid w:val="006A1E20"/>
    <w:rsid w:val="006A518B"/>
    <w:rsid w:val="006A6088"/>
    <w:rsid w:val="006B1FB6"/>
    <w:rsid w:val="006B28D7"/>
    <w:rsid w:val="006B2991"/>
    <w:rsid w:val="006C3CDF"/>
    <w:rsid w:val="006E0E9C"/>
    <w:rsid w:val="006E195E"/>
    <w:rsid w:val="006F02CB"/>
    <w:rsid w:val="006F20C2"/>
    <w:rsid w:val="006F3215"/>
    <w:rsid w:val="00717AD8"/>
    <w:rsid w:val="00751A5F"/>
    <w:rsid w:val="00752FAF"/>
    <w:rsid w:val="00755294"/>
    <w:rsid w:val="0076313C"/>
    <w:rsid w:val="00777047"/>
    <w:rsid w:val="007921D6"/>
    <w:rsid w:val="00796DD0"/>
    <w:rsid w:val="007972F8"/>
    <w:rsid w:val="007A4E19"/>
    <w:rsid w:val="007A72CB"/>
    <w:rsid w:val="007B3430"/>
    <w:rsid w:val="007C05F8"/>
    <w:rsid w:val="007D1983"/>
    <w:rsid w:val="007E6BDC"/>
    <w:rsid w:val="007E6F00"/>
    <w:rsid w:val="007F1C29"/>
    <w:rsid w:val="007F5604"/>
    <w:rsid w:val="008037B3"/>
    <w:rsid w:val="0081601D"/>
    <w:rsid w:val="008216AB"/>
    <w:rsid w:val="0082645F"/>
    <w:rsid w:val="00827A71"/>
    <w:rsid w:val="008420BE"/>
    <w:rsid w:val="008575AB"/>
    <w:rsid w:val="00862FDD"/>
    <w:rsid w:val="008661F0"/>
    <w:rsid w:val="00870A04"/>
    <w:rsid w:val="008861A3"/>
    <w:rsid w:val="008A071A"/>
    <w:rsid w:val="008A6861"/>
    <w:rsid w:val="008C22F7"/>
    <w:rsid w:val="008C4C08"/>
    <w:rsid w:val="008F4332"/>
    <w:rsid w:val="008F6732"/>
    <w:rsid w:val="00931DDF"/>
    <w:rsid w:val="00943F9C"/>
    <w:rsid w:val="00967567"/>
    <w:rsid w:val="009755AE"/>
    <w:rsid w:val="00981202"/>
    <w:rsid w:val="00987D21"/>
    <w:rsid w:val="00992FC1"/>
    <w:rsid w:val="009B36BE"/>
    <w:rsid w:val="009F1D0A"/>
    <w:rsid w:val="009F718E"/>
    <w:rsid w:val="00A374A6"/>
    <w:rsid w:val="00A4179B"/>
    <w:rsid w:val="00A41957"/>
    <w:rsid w:val="00A42918"/>
    <w:rsid w:val="00A62951"/>
    <w:rsid w:val="00AA788D"/>
    <w:rsid w:val="00AE7EAF"/>
    <w:rsid w:val="00AF11D0"/>
    <w:rsid w:val="00B0014F"/>
    <w:rsid w:val="00B26537"/>
    <w:rsid w:val="00B30589"/>
    <w:rsid w:val="00B42FE7"/>
    <w:rsid w:val="00B43D3A"/>
    <w:rsid w:val="00B56DDD"/>
    <w:rsid w:val="00B612AA"/>
    <w:rsid w:val="00B72968"/>
    <w:rsid w:val="00B7554F"/>
    <w:rsid w:val="00B81252"/>
    <w:rsid w:val="00B8524E"/>
    <w:rsid w:val="00B8702C"/>
    <w:rsid w:val="00B96BD0"/>
    <w:rsid w:val="00BD0D9D"/>
    <w:rsid w:val="00BD233F"/>
    <w:rsid w:val="00BE15FB"/>
    <w:rsid w:val="00BE6D96"/>
    <w:rsid w:val="00BF2564"/>
    <w:rsid w:val="00C03BC6"/>
    <w:rsid w:val="00C15D0E"/>
    <w:rsid w:val="00C2190D"/>
    <w:rsid w:val="00C31EC6"/>
    <w:rsid w:val="00C413B5"/>
    <w:rsid w:val="00C47CA2"/>
    <w:rsid w:val="00C64ECE"/>
    <w:rsid w:val="00C674DE"/>
    <w:rsid w:val="00C73DFC"/>
    <w:rsid w:val="00C95770"/>
    <w:rsid w:val="00CA5073"/>
    <w:rsid w:val="00CB5233"/>
    <w:rsid w:val="00CD1753"/>
    <w:rsid w:val="00CD2F77"/>
    <w:rsid w:val="00D061DC"/>
    <w:rsid w:val="00D16463"/>
    <w:rsid w:val="00D3046B"/>
    <w:rsid w:val="00D34317"/>
    <w:rsid w:val="00D507EC"/>
    <w:rsid w:val="00D629CC"/>
    <w:rsid w:val="00D67C01"/>
    <w:rsid w:val="00D827E8"/>
    <w:rsid w:val="00D83F49"/>
    <w:rsid w:val="00DA2D99"/>
    <w:rsid w:val="00DA757A"/>
    <w:rsid w:val="00DA7F40"/>
    <w:rsid w:val="00DB4B4D"/>
    <w:rsid w:val="00DB7336"/>
    <w:rsid w:val="00DC5A1B"/>
    <w:rsid w:val="00DD69E5"/>
    <w:rsid w:val="00E05BBE"/>
    <w:rsid w:val="00E07632"/>
    <w:rsid w:val="00E175E2"/>
    <w:rsid w:val="00E24AD4"/>
    <w:rsid w:val="00E24B44"/>
    <w:rsid w:val="00E43E46"/>
    <w:rsid w:val="00E6720E"/>
    <w:rsid w:val="00E7651D"/>
    <w:rsid w:val="00E852C1"/>
    <w:rsid w:val="00E85F03"/>
    <w:rsid w:val="00E9714C"/>
    <w:rsid w:val="00EA6CBA"/>
    <w:rsid w:val="00EA6D7D"/>
    <w:rsid w:val="00EB6672"/>
    <w:rsid w:val="00EC26B4"/>
    <w:rsid w:val="00EC5E9E"/>
    <w:rsid w:val="00EE5881"/>
    <w:rsid w:val="00EE7DD2"/>
    <w:rsid w:val="00F01CFE"/>
    <w:rsid w:val="00F14AEF"/>
    <w:rsid w:val="00F30D19"/>
    <w:rsid w:val="00F74476"/>
    <w:rsid w:val="00FA662E"/>
    <w:rsid w:val="00FC54B6"/>
    <w:rsid w:val="00FD1219"/>
    <w:rsid w:val="00FD6C1B"/>
    <w:rsid w:val="00FE281E"/>
    <w:rsid w:val="00FE5EFA"/>
    <w:rsid w:val="00FF0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765E"/>
    <w:pPr>
      <w:widowControl w:val="0"/>
      <w:spacing w:after="0" w:line="240" w:lineRule="auto"/>
    </w:pPr>
    <w:rPr>
      <w:lang w:val="en-US"/>
    </w:rPr>
  </w:style>
  <w:style w:type="paragraph" w:styleId="Heading2">
    <w:name w:val="heading 2"/>
    <w:basedOn w:val="Normal"/>
    <w:link w:val="Heading2Char"/>
    <w:uiPriority w:val="1"/>
    <w:qFormat/>
    <w:rsid w:val="00FC54B6"/>
    <w:pPr>
      <w:ind w:left="714"/>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C54B6"/>
    <w:rPr>
      <w:rFonts w:ascii="Times New Roman" w:eastAsia="Times New Roman" w:hAnsi="Times New Roman"/>
      <w:b/>
      <w:bCs/>
      <w:sz w:val="20"/>
      <w:szCs w:val="20"/>
      <w:lang w:val="en-US"/>
    </w:rPr>
  </w:style>
  <w:style w:type="paragraph" w:styleId="BodyText">
    <w:name w:val="Body Text"/>
    <w:basedOn w:val="Normal"/>
    <w:link w:val="BodyTextChar"/>
    <w:uiPriority w:val="99"/>
    <w:qFormat/>
    <w:rsid w:val="00FC54B6"/>
    <w:pPr>
      <w:ind w:left="1512" w:hanging="400"/>
    </w:pPr>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FC54B6"/>
    <w:rPr>
      <w:rFonts w:ascii="Times New Roman" w:eastAsia="Times New Roman" w:hAnsi="Times New Roman"/>
      <w:sz w:val="20"/>
      <w:szCs w:val="20"/>
      <w:lang w:val="en-US"/>
    </w:rPr>
  </w:style>
  <w:style w:type="character" w:styleId="CommentReference">
    <w:name w:val="annotation reference"/>
    <w:basedOn w:val="DefaultParagraphFont"/>
    <w:uiPriority w:val="99"/>
    <w:unhideWhenUsed/>
    <w:rsid w:val="00FC54B6"/>
    <w:rPr>
      <w:sz w:val="16"/>
      <w:szCs w:val="16"/>
    </w:rPr>
  </w:style>
  <w:style w:type="paragraph" w:styleId="CommentText">
    <w:name w:val="annotation text"/>
    <w:basedOn w:val="Normal"/>
    <w:link w:val="CommentTextChar"/>
    <w:uiPriority w:val="99"/>
    <w:unhideWhenUsed/>
    <w:rsid w:val="00FC54B6"/>
    <w:rPr>
      <w:sz w:val="20"/>
      <w:szCs w:val="20"/>
    </w:rPr>
  </w:style>
  <w:style w:type="character" w:customStyle="1" w:styleId="CommentTextChar">
    <w:name w:val="Comment Text Char"/>
    <w:basedOn w:val="DefaultParagraphFont"/>
    <w:link w:val="CommentText"/>
    <w:uiPriority w:val="99"/>
    <w:rsid w:val="00FC54B6"/>
    <w:rPr>
      <w:sz w:val="20"/>
      <w:szCs w:val="20"/>
      <w:lang w:val="en-US"/>
    </w:rPr>
  </w:style>
  <w:style w:type="paragraph" w:styleId="BalloonText">
    <w:name w:val="Balloon Text"/>
    <w:basedOn w:val="Normal"/>
    <w:link w:val="BalloonTextChar"/>
    <w:uiPriority w:val="99"/>
    <w:semiHidden/>
    <w:unhideWhenUsed/>
    <w:rsid w:val="00FC54B6"/>
    <w:rPr>
      <w:rFonts w:ascii="Tahoma" w:hAnsi="Tahoma" w:cs="Tahoma"/>
      <w:sz w:val="16"/>
      <w:szCs w:val="16"/>
    </w:rPr>
  </w:style>
  <w:style w:type="character" w:customStyle="1" w:styleId="BalloonTextChar">
    <w:name w:val="Balloon Text Char"/>
    <w:basedOn w:val="DefaultParagraphFont"/>
    <w:link w:val="BalloonText"/>
    <w:uiPriority w:val="99"/>
    <w:semiHidden/>
    <w:rsid w:val="00FC54B6"/>
    <w:rPr>
      <w:rFonts w:ascii="Tahoma" w:hAnsi="Tahoma" w:cs="Tahoma"/>
      <w:sz w:val="16"/>
      <w:szCs w:val="16"/>
      <w:lang w:val="en-US"/>
    </w:rPr>
  </w:style>
  <w:style w:type="paragraph" w:styleId="ListParagraph">
    <w:name w:val="List Paragraph"/>
    <w:basedOn w:val="Normal"/>
    <w:link w:val="ListParagraphChar"/>
    <w:uiPriority w:val="34"/>
    <w:qFormat/>
    <w:rsid w:val="006A518B"/>
  </w:style>
  <w:style w:type="character" w:customStyle="1" w:styleId="ListParagraphChar">
    <w:name w:val="List Paragraph Char"/>
    <w:basedOn w:val="DefaultParagraphFont"/>
    <w:link w:val="ListParagraph"/>
    <w:uiPriority w:val="34"/>
    <w:locked/>
    <w:rsid w:val="006A518B"/>
    <w:rPr>
      <w:lang w:val="en-US"/>
    </w:rPr>
  </w:style>
  <w:style w:type="paragraph" w:styleId="Header">
    <w:name w:val="header"/>
    <w:basedOn w:val="Normal"/>
    <w:link w:val="HeaderChar"/>
    <w:uiPriority w:val="99"/>
    <w:unhideWhenUsed/>
    <w:rsid w:val="006143EC"/>
    <w:pPr>
      <w:tabs>
        <w:tab w:val="center" w:pos="4513"/>
        <w:tab w:val="right" w:pos="9026"/>
      </w:tabs>
    </w:pPr>
  </w:style>
  <w:style w:type="character" w:customStyle="1" w:styleId="HeaderChar">
    <w:name w:val="Header Char"/>
    <w:basedOn w:val="DefaultParagraphFont"/>
    <w:link w:val="Header"/>
    <w:uiPriority w:val="99"/>
    <w:rsid w:val="006143EC"/>
    <w:rPr>
      <w:lang w:val="en-US"/>
    </w:rPr>
  </w:style>
  <w:style w:type="paragraph" w:styleId="Footer">
    <w:name w:val="footer"/>
    <w:basedOn w:val="Normal"/>
    <w:link w:val="FooterChar"/>
    <w:uiPriority w:val="99"/>
    <w:unhideWhenUsed/>
    <w:rsid w:val="006143EC"/>
    <w:pPr>
      <w:tabs>
        <w:tab w:val="center" w:pos="4513"/>
        <w:tab w:val="right" w:pos="9026"/>
      </w:tabs>
    </w:pPr>
  </w:style>
  <w:style w:type="character" w:customStyle="1" w:styleId="FooterChar">
    <w:name w:val="Footer Char"/>
    <w:basedOn w:val="DefaultParagraphFont"/>
    <w:link w:val="Footer"/>
    <w:uiPriority w:val="99"/>
    <w:rsid w:val="006143EC"/>
    <w:rPr>
      <w:lang w:val="en-US"/>
    </w:rPr>
  </w:style>
  <w:style w:type="paragraph" w:styleId="CommentSubject">
    <w:name w:val="annotation subject"/>
    <w:basedOn w:val="CommentText"/>
    <w:next w:val="CommentText"/>
    <w:link w:val="CommentSubjectChar"/>
    <w:uiPriority w:val="99"/>
    <w:semiHidden/>
    <w:unhideWhenUsed/>
    <w:rsid w:val="00F30D19"/>
    <w:rPr>
      <w:b/>
      <w:bCs/>
    </w:rPr>
  </w:style>
  <w:style w:type="character" w:customStyle="1" w:styleId="CommentSubjectChar">
    <w:name w:val="Comment Subject Char"/>
    <w:basedOn w:val="CommentTextChar"/>
    <w:link w:val="CommentSubject"/>
    <w:uiPriority w:val="99"/>
    <w:semiHidden/>
    <w:rsid w:val="00F30D19"/>
    <w:rPr>
      <w:b/>
      <w:bCs/>
      <w:sz w:val="20"/>
      <w:szCs w:val="20"/>
      <w:lang w:val="en-US"/>
    </w:rPr>
  </w:style>
  <w:style w:type="paragraph" w:customStyle="1" w:styleId="Default">
    <w:name w:val="Default"/>
    <w:rsid w:val="008C4C08"/>
    <w:pPr>
      <w:autoSpaceDE w:val="0"/>
      <w:autoSpaceDN w:val="0"/>
      <w:adjustRightInd w:val="0"/>
      <w:spacing w:after="0" w:line="240" w:lineRule="auto"/>
    </w:pPr>
    <w:rPr>
      <w:rFonts w:ascii="Arial" w:hAnsi="Arial" w:cs="Arial"/>
      <w:color w:val="000000"/>
      <w:sz w:val="24"/>
      <w:szCs w:val="24"/>
      <w:lang w:val="en-US"/>
    </w:rPr>
  </w:style>
  <w:style w:type="paragraph" w:customStyle="1" w:styleId="BodyText1">
    <w:name w:val="Body Text1"/>
    <w:basedOn w:val="Normal"/>
    <w:link w:val="BodytextChar0"/>
    <w:qFormat/>
    <w:rsid w:val="00105AB6"/>
    <w:pPr>
      <w:widowControl/>
      <w:tabs>
        <w:tab w:val="left" w:pos="284"/>
        <w:tab w:val="left" w:pos="7541"/>
      </w:tabs>
      <w:spacing w:after="280" w:line="280" w:lineRule="exact"/>
      <w:jc w:val="both"/>
    </w:pPr>
    <w:rPr>
      <w:rFonts w:ascii="Calibri" w:eastAsia="Times New Roman" w:hAnsi="Calibri" w:cs="Times New Roman"/>
      <w:szCs w:val="24"/>
      <w:lang w:val="en-GB"/>
    </w:rPr>
  </w:style>
  <w:style w:type="character" w:customStyle="1" w:styleId="BodytextChar0">
    <w:name w:val="Body text Char"/>
    <w:basedOn w:val="DefaultParagraphFont"/>
    <w:link w:val="BodyText1"/>
    <w:rsid w:val="00105AB6"/>
    <w:rPr>
      <w:rFonts w:ascii="Calibri" w:eastAsia="Times New Roman"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765E"/>
    <w:pPr>
      <w:widowControl w:val="0"/>
      <w:spacing w:after="0" w:line="240" w:lineRule="auto"/>
    </w:pPr>
    <w:rPr>
      <w:lang w:val="en-US"/>
    </w:rPr>
  </w:style>
  <w:style w:type="paragraph" w:styleId="Heading2">
    <w:name w:val="heading 2"/>
    <w:basedOn w:val="Normal"/>
    <w:link w:val="Heading2Char"/>
    <w:uiPriority w:val="1"/>
    <w:qFormat/>
    <w:rsid w:val="00FC54B6"/>
    <w:pPr>
      <w:ind w:left="714"/>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C54B6"/>
    <w:rPr>
      <w:rFonts w:ascii="Times New Roman" w:eastAsia="Times New Roman" w:hAnsi="Times New Roman"/>
      <w:b/>
      <w:bCs/>
      <w:sz w:val="20"/>
      <w:szCs w:val="20"/>
      <w:lang w:val="en-US"/>
    </w:rPr>
  </w:style>
  <w:style w:type="paragraph" w:styleId="BodyText">
    <w:name w:val="Body Text"/>
    <w:basedOn w:val="Normal"/>
    <w:link w:val="BodyTextChar"/>
    <w:uiPriority w:val="99"/>
    <w:qFormat/>
    <w:rsid w:val="00FC54B6"/>
    <w:pPr>
      <w:ind w:left="1512" w:hanging="400"/>
    </w:pPr>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FC54B6"/>
    <w:rPr>
      <w:rFonts w:ascii="Times New Roman" w:eastAsia="Times New Roman" w:hAnsi="Times New Roman"/>
      <w:sz w:val="20"/>
      <w:szCs w:val="20"/>
      <w:lang w:val="en-US"/>
    </w:rPr>
  </w:style>
  <w:style w:type="character" w:styleId="CommentReference">
    <w:name w:val="annotation reference"/>
    <w:basedOn w:val="DefaultParagraphFont"/>
    <w:uiPriority w:val="99"/>
    <w:unhideWhenUsed/>
    <w:rsid w:val="00FC54B6"/>
    <w:rPr>
      <w:sz w:val="16"/>
      <w:szCs w:val="16"/>
    </w:rPr>
  </w:style>
  <w:style w:type="paragraph" w:styleId="CommentText">
    <w:name w:val="annotation text"/>
    <w:basedOn w:val="Normal"/>
    <w:link w:val="CommentTextChar"/>
    <w:uiPriority w:val="99"/>
    <w:unhideWhenUsed/>
    <w:rsid w:val="00FC54B6"/>
    <w:rPr>
      <w:sz w:val="20"/>
      <w:szCs w:val="20"/>
    </w:rPr>
  </w:style>
  <w:style w:type="character" w:customStyle="1" w:styleId="CommentTextChar">
    <w:name w:val="Comment Text Char"/>
    <w:basedOn w:val="DefaultParagraphFont"/>
    <w:link w:val="CommentText"/>
    <w:uiPriority w:val="99"/>
    <w:rsid w:val="00FC54B6"/>
    <w:rPr>
      <w:sz w:val="20"/>
      <w:szCs w:val="20"/>
      <w:lang w:val="en-US"/>
    </w:rPr>
  </w:style>
  <w:style w:type="paragraph" w:styleId="BalloonText">
    <w:name w:val="Balloon Text"/>
    <w:basedOn w:val="Normal"/>
    <w:link w:val="BalloonTextChar"/>
    <w:uiPriority w:val="99"/>
    <w:semiHidden/>
    <w:unhideWhenUsed/>
    <w:rsid w:val="00FC54B6"/>
    <w:rPr>
      <w:rFonts w:ascii="Tahoma" w:hAnsi="Tahoma" w:cs="Tahoma"/>
      <w:sz w:val="16"/>
      <w:szCs w:val="16"/>
    </w:rPr>
  </w:style>
  <w:style w:type="character" w:customStyle="1" w:styleId="BalloonTextChar">
    <w:name w:val="Balloon Text Char"/>
    <w:basedOn w:val="DefaultParagraphFont"/>
    <w:link w:val="BalloonText"/>
    <w:uiPriority w:val="99"/>
    <w:semiHidden/>
    <w:rsid w:val="00FC54B6"/>
    <w:rPr>
      <w:rFonts w:ascii="Tahoma" w:hAnsi="Tahoma" w:cs="Tahoma"/>
      <w:sz w:val="16"/>
      <w:szCs w:val="16"/>
      <w:lang w:val="en-US"/>
    </w:rPr>
  </w:style>
  <w:style w:type="paragraph" w:styleId="ListParagraph">
    <w:name w:val="List Paragraph"/>
    <w:basedOn w:val="Normal"/>
    <w:link w:val="ListParagraphChar"/>
    <w:uiPriority w:val="34"/>
    <w:qFormat/>
    <w:rsid w:val="006A518B"/>
  </w:style>
  <w:style w:type="character" w:customStyle="1" w:styleId="ListParagraphChar">
    <w:name w:val="List Paragraph Char"/>
    <w:basedOn w:val="DefaultParagraphFont"/>
    <w:link w:val="ListParagraph"/>
    <w:uiPriority w:val="34"/>
    <w:locked/>
    <w:rsid w:val="006A518B"/>
    <w:rPr>
      <w:lang w:val="en-US"/>
    </w:rPr>
  </w:style>
  <w:style w:type="paragraph" w:styleId="Header">
    <w:name w:val="header"/>
    <w:basedOn w:val="Normal"/>
    <w:link w:val="HeaderChar"/>
    <w:uiPriority w:val="99"/>
    <w:unhideWhenUsed/>
    <w:rsid w:val="006143EC"/>
    <w:pPr>
      <w:tabs>
        <w:tab w:val="center" w:pos="4513"/>
        <w:tab w:val="right" w:pos="9026"/>
      </w:tabs>
    </w:pPr>
  </w:style>
  <w:style w:type="character" w:customStyle="1" w:styleId="HeaderChar">
    <w:name w:val="Header Char"/>
    <w:basedOn w:val="DefaultParagraphFont"/>
    <w:link w:val="Header"/>
    <w:uiPriority w:val="99"/>
    <w:rsid w:val="006143EC"/>
    <w:rPr>
      <w:lang w:val="en-US"/>
    </w:rPr>
  </w:style>
  <w:style w:type="paragraph" w:styleId="Footer">
    <w:name w:val="footer"/>
    <w:basedOn w:val="Normal"/>
    <w:link w:val="FooterChar"/>
    <w:uiPriority w:val="99"/>
    <w:unhideWhenUsed/>
    <w:rsid w:val="006143EC"/>
    <w:pPr>
      <w:tabs>
        <w:tab w:val="center" w:pos="4513"/>
        <w:tab w:val="right" w:pos="9026"/>
      </w:tabs>
    </w:pPr>
  </w:style>
  <w:style w:type="character" w:customStyle="1" w:styleId="FooterChar">
    <w:name w:val="Footer Char"/>
    <w:basedOn w:val="DefaultParagraphFont"/>
    <w:link w:val="Footer"/>
    <w:uiPriority w:val="99"/>
    <w:rsid w:val="006143EC"/>
    <w:rPr>
      <w:lang w:val="en-US"/>
    </w:rPr>
  </w:style>
  <w:style w:type="paragraph" w:styleId="CommentSubject">
    <w:name w:val="annotation subject"/>
    <w:basedOn w:val="CommentText"/>
    <w:next w:val="CommentText"/>
    <w:link w:val="CommentSubjectChar"/>
    <w:uiPriority w:val="99"/>
    <w:semiHidden/>
    <w:unhideWhenUsed/>
    <w:rsid w:val="00F30D19"/>
    <w:rPr>
      <w:b/>
      <w:bCs/>
    </w:rPr>
  </w:style>
  <w:style w:type="character" w:customStyle="1" w:styleId="CommentSubjectChar">
    <w:name w:val="Comment Subject Char"/>
    <w:basedOn w:val="CommentTextChar"/>
    <w:link w:val="CommentSubject"/>
    <w:uiPriority w:val="99"/>
    <w:semiHidden/>
    <w:rsid w:val="00F30D19"/>
    <w:rPr>
      <w:b/>
      <w:bCs/>
      <w:sz w:val="20"/>
      <w:szCs w:val="20"/>
      <w:lang w:val="en-US"/>
    </w:rPr>
  </w:style>
  <w:style w:type="paragraph" w:customStyle="1" w:styleId="Default">
    <w:name w:val="Default"/>
    <w:rsid w:val="008C4C08"/>
    <w:pPr>
      <w:autoSpaceDE w:val="0"/>
      <w:autoSpaceDN w:val="0"/>
      <w:adjustRightInd w:val="0"/>
      <w:spacing w:after="0" w:line="240" w:lineRule="auto"/>
    </w:pPr>
    <w:rPr>
      <w:rFonts w:ascii="Arial" w:hAnsi="Arial" w:cs="Arial"/>
      <w:color w:val="000000"/>
      <w:sz w:val="24"/>
      <w:szCs w:val="24"/>
      <w:lang w:val="en-US"/>
    </w:rPr>
  </w:style>
  <w:style w:type="paragraph" w:customStyle="1" w:styleId="BodyText1">
    <w:name w:val="Body Text1"/>
    <w:basedOn w:val="Normal"/>
    <w:link w:val="BodytextChar0"/>
    <w:qFormat/>
    <w:rsid w:val="00105AB6"/>
    <w:pPr>
      <w:widowControl/>
      <w:tabs>
        <w:tab w:val="left" w:pos="284"/>
        <w:tab w:val="left" w:pos="7541"/>
      </w:tabs>
      <w:spacing w:after="280" w:line="280" w:lineRule="exact"/>
      <w:jc w:val="both"/>
    </w:pPr>
    <w:rPr>
      <w:rFonts w:ascii="Calibri" w:eastAsia="Times New Roman" w:hAnsi="Calibri" w:cs="Times New Roman"/>
      <w:szCs w:val="24"/>
      <w:lang w:val="en-GB"/>
    </w:rPr>
  </w:style>
  <w:style w:type="character" w:customStyle="1" w:styleId="BodytextChar0">
    <w:name w:val="Body text Char"/>
    <w:basedOn w:val="DefaultParagraphFont"/>
    <w:link w:val="BodyText1"/>
    <w:rsid w:val="00105AB6"/>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680">
      <w:bodyDiv w:val="1"/>
      <w:marLeft w:val="0"/>
      <w:marRight w:val="0"/>
      <w:marTop w:val="0"/>
      <w:marBottom w:val="0"/>
      <w:divBdr>
        <w:top w:val="none" w:sz="0" w:space="0" w:color="auto"/>
        <w:left w:val="none" w:sz="0" w:space="0" w:color="auto"/>
        <w:bottom w:val="none" w:sz="0" w:space="0" w:color="auto"/>
        <w:right w:val="none" w:sz="0" w:space="0" w:color="auto"/>
      </w:divBdr>
    </w:div>
    <w:div w:id="15072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9772-0518-47C4-B8B3-59A906E7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3969</Words>
  <Characters>22624</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 Lazaridis</dc:creator>
  <cp:lastModifiedBy>Asanda</cp:lastModifiedBy>
  <cp:revision>2</cp:revision>
  <cp:lastPrinted>2017-11-20T11:10:00Z</cp:lastPrinted>
  <dcterms:created xsi:type="dcterms:W3CDTF">2017-11-23T13:16:00Z</dcterms:created>
  <dcterms:modified xsi:type="dcterms:W3CDTF">2017-11-23T13:16:00Z</dcterms:modified>
</cp:coreProperties>
</file>