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FA" w:rsidRPr="00113274" w:rsidRDefault="00F30AFA" w:rsidP="00E75E12">
      <w:pPr>
        <w:spacing w:after="0" w:line="360" w:lineRule="auto"/>
        <w:jc w:val="center"/>
        <w:rPr>
          <w:rFonts w:cs="Arial"/>
          <w:b/>
          <w:sz w:val="28"/>
          <w:szCs w:val="28"/>
          <w:lang w:val="en-ZA"/>
        </w:rPr>
      </w:pPr>
      <w:bookmarkStart w:id="0" w:name="_GoBack"/>
      <w:r w:rsidRPr="00113274">
        <w:rPr>
          <w:rFonts w:cs="Arial"/>
          <w:b/>
          <w:sz w:val="28"/>
          <w:szCs w:val="28"/>
          <w:lang w:val="en-ZA"/>
        </w:rPr>
        <w:t xml:space="preserve">SUMMARY OF WRITTEN SUBMISSIONS: </w:t>
      </w:r>
      <w:r w:rsidR="00E42D6F" w:rsidRPr="00113274">
        <w:rPr>
          <w:rFonts w:cs="Arial"/>
          <w:b/>
          <w:sz w:val="28"/>
          <w:szCs w:val="28"/>
          <w:lang w:val="en-ZA"/>
        </w:rPr>
        <w:t xml:space="preserve">LEGAL PRACTICE </w:t>
      </w:r>
      <w:r w:rsidR="00DB1EB9" w:rsidRPr="00113274">
        <w:rPr>
          <w:rFonts w:cs="Arial"/>
          <w:b/>
          <w:sz w:val="28"/>
          <w:szCs w:val="28"/>
          <w:lang w:val="en-ZA"/>
        </w:rPr>
        <w:t xml:space="preserve">AMENDMENT </w:t>
      </w:r>
      <w:r w:rsidRPr="00113274">
        <w:rPr>
          <w:rFonts w:cs="Arial"/>
          <w:b/>
          <w:sz w:val="28"/>
          <w:szCs w:val="28"/>
          <w:lang w:val="en-ZA"/>
        </w:rPr>
        <w:t xml:space="preserve">BILL [B </w:t>
      </w:r>
      <w:r w:rsidR="00DB1EB9" w:rsidRPr="00113274">
        <w:rPr>
          <w:rFonts w:cs="Arial"/>
          <w:b/>
          <w:sz w:val="28"/>
          <w:szCs w:val="28"/>
          <w:lang w:val="en-ZA"/>
        </w:rPr>
        <w:t>11</w:t>
      </w:r>
      <w:r w:rsidRPr="00113274">
        <w:rPr>
          <w:rFonts w:cs="Arial"/>
          <w:b/>
          <w:sz w:val="28"/>
          <w:szCs w:val="28"/>
          <w:lang w:val="en-ZA"/>
        </w:rPr>
        <w:t xml:space="preserve"> - 201</w:t>
      </w:r>
      <w:r w:rsidR="00DB1EB9" w:rsidRPr="00113274">
        <w:rPr>
          <w:rFonts w:cs="Arial"/>
          <w:b/>
          <w:sz w:val="28"/>
          <w:szCs w:val="28"/>
          <w:lang w:val="en-ZA"/>
        </w:rPr>
        <w:t>7</w:t>
      </w:r>
      <w:r w:rsidRPr="00113274">
        <w:rPr>
          <w:rFonts w:cs="Arial"/>
          <w:b/>
          <w:sz w:val="28"/>
          <w:szCs w:val="28"/>
          <w:lang w:val="en-ZA"/>
        </w:rPr>
        <w:t>]</w:t>
      </w:r>
    </w:p>
    <w:p w:rsidR="00F30AFA" w:rsidRPr="00113274" w:rsidRDefault="00F30AFA" w:rsidP="00113274">
      <w:pPr>
        <w:spacing w:after="0" w:line="360" w:lineRule="auto"/>
        <w:jc w:val="both"/>
        <w:rPr>
          <w:rFonts w:ascii="Arial" w:hAnsi="Arial" w:cs="Arial"/>
          <w:lang w:val="en-ZA"/>
        </w:rPr>
      </w:pPr>
    </w:p>
    <w:p w:rsidR="00F30AFA" w:rsidRPr="00113274" w:rsidRDefault="00F30AFA" w:rsidP="00113274">
      <w:pPr>
        <w:spacing w:after="0" w:line="360" w:lineRule="auto"/>
        <w:jc w:val="both"/>
        <w:rPr>
          <w:rFonts w:ascii="Arial" w:hAnsi="Arial" w:cs="Arial"/>
          <w:b/>
          <w:lang w:val="en-ZA"/>
        </w:rPr>
      </w:pPr>
      <w:r w:rsidRPr="00113274">
        <w:rPr>
          <w:rFonts w:ascii="Arial" w:hAnsi="Arial" w:cs="Arial"/>
          <w:b/>
          <w:lang w:val="en-ZA"/>
        </w:rPr>
        <w:t>Introduction</w:t>
      </w:r>
    </w:p>
    <w:p w:rsidR="00F30AFA" w:rsidRPr="00113274" w:rsidRDefault="00F30AFA" w:rsidP="00113274">
      <w:pPr>
        <w:spacing w:after="0" w:line="360" w:lineRule="auto"/>
        <w:jc w:val="both"/>
        <w:rPr>
          <w:rFonts w:ascii="Arial" w:hAnsi="Arial" w:cs="Arial"/>
          <w:lang w:val="en-ZA"/>
        </w:rPr>
      </w:pPr>
      <w:r w:rsidRPr="00113274">
        <w:rPr>
          <w:rFonts w:ascii="Arial" w:hAnsi="Arial" w:cs="Arial"/>
          <w:lang w:val="en-ZA"/>
        </w:rPr>
        <w:t xml:space="preserve">The </w:t>
      </w:r>
      <w:r w:rsidR="00C41958">
        <w:rPr>
          <w:rFonts w:ascii="Arial" w:hAnsi="Arial" w:cs="Arial"/>
          <w:lang w:val="en-ZA"/>
        </w:rPr>
        <w:t>Select</w:t>
      </w:r>
      <w:r w:rsidRPr="00113274">
        <w:rPr>
          <w:rFonts w:ascii="Arial" w:hAnsi="Arial" w:cs="Arial"/>
          <w:lang w:val="en-ZA"/>
        </w:rPr>
        <w:t xml:space="preserve"> Committee on </w:t>
      </w:r>
      <w:r w:rsidR="00C41958">
        <w:rPr>
          <w:rFonts w:ascii="Arial" w:hAnsi="Arial" w:cs="Arial"/>
          <w:lang w:val="en-ZA"/>
        </w:rPr>
        <w:t xml:space="preserve">Security and </w:t>
      </w:r>
      <w:r w:rsidRPr="00113274">
        <w:rPr>
          <w:rFonts w:ascii="Arial" w:hAnsi="Arial" w:cs="Arial"/>
          <w:lang w:val="en-ZA"/>
        </w:rPr>
        <w:t xml:space="preserve">Justice invited stakeholders and interested persons to make written submissions on the </w:t>
      </w:r>
      <w:r w:rsidR="00E42D6F" w:rsidRPr="00113274">
        <w:rPr>
          <w:rFonts w:ascii="Arial" w:hAnsi="Arial" w:cs="Arial"/>
          <w:lang w:val="en-ZA"/>
        </w:rPr>
        <w:t xml:space="preserve">Legal </w:t>
      </w:r>
      <w:proofErr w:type="spellStart"/>
      <w:r w:rsidR="00E42D6F" w:rsidRPr="00113274">
        <w:rPr>
          <w:rFonts w:ascii="Arial" w:hAnsi="Arial" w:cs="Arial"/>
          <w:lang w:val="en-ZA"/>
        </w:rPr>
        <w:t>Practice</w:t>
      </w:r>
      <w:r w:rsidRPr="00113274">
        <w:rPr>
          <w:rFonts w:ascii="Arial" w:hAnsi="Arial" w:cs="Arial"/>
          <w:lang w:val="en-ZA"/>
        </w:rPr>
        <w:t>Bill</w:t>
      </w:r>
      <w:proofErr w:type="spellEnd"/>
      <w:r w:rsidRPr="00113274">
        <w:rPr>
          <w:rFonts w:ascii="Arial" w:hAnsi="Arial" w:cs="Arial"/>
          <w:lang w:val="en-ZA"/>
        </w:rPr>
        <w:t xml:space="preserve"> [B</w:t>
      </w:r>
      <w:r w:rsidR="00DB1EB9" w:rsidRPr="00113274">
        <w:rPr>
          <w:rFonts w:ascii="Arial" w:hAnsi="Arial" w:cs="Arial"/>
          <w:lang w:val="en-ZA"/>
        </w:rPr>
        <w:t xml:space="preserve"> 11</w:t>
      </w:r>
      <w:r w:rsidR="00E42D6F" w:rsidRPr="00113274">
        <w:rPr>
          <w:rFonts w:ascii="Arial" w:hAnsi="Arial" w:cs="Arial"/>
          <w:lang w:val="en-ZA"/>
        </w:rPr>
        <w:t xml:space="preserve"> - 201</w:t>
      </w:r>
      <w:r w:rsidR="00DB1EB9" w:rsidRPr="00113274">
        <w:rPr>
          <w:rFonts w:ascii="Arial" w:hAnsi="Arial" w:cs="Arial"/>
          <w:lang w:val="en-ZA"/>
        </w:rPr>
        <w:t>7</w:t>
      </w:r>
      <w:r w:rsidRPr="00113274">
        <w:rPr>
          <w:rFonts w:ascii="Arial" w:hAnsi="Arial" w:cs="Arial"/>
          <w:lang w:val="en-ZA"/>
        </w:rPr>
        <w:t xml:space="preserve">]. </w:t>
      </w:r>
      <w:proofErr w:type="gramStart"/>
      <w:r w:rsidR="00142B1A">
        <w:rPr>
          <w:rFonts w:ascii="Arial" w:hAnsi="Arial" w:cs="Arial"/>
          <w:lang w:val="en-ZA"/>
        </w:rPr>
        <w:t>2</w:t>
      </w:r>
      <w:r w:rsidR="00C41958">
        <w:rPr>
          <w:rFonts w:ascii="Arial" w:hAnsi="Arial" w:cs="Arial"/>
          <w:lang w:val="en-ZA"/>
        </w:rPr>
        <w:t>written submission</w:t>
      </w:r>
      <w:r w:rsidR="00142B1A">
        <w:rPr>
          <w:rFonts w:ascii="Arial" w:hAnsi="Arial" w:cs="Arial"/>
          <w:lang w:val="en-ZA"/>
        </w:rPr>
        <w:t>s</w:t>
      </w:r>
      <w:r w:rsidR="00C41958">
        <w:rPr>
          <w:rFonts w:ascii="Arial" w:hAnsi="Arial" w:cs="Arial"/>
          <w:lang w:val="en-ZA"/>
        </w:rPr>
        <w:t xml:space="preserve"> has</w:t>
      </w:r>
      <w:proofErr w:type="gramEnd"/>
      <w:r w:rsidRPr="00113274">
        <w:rPr>
          <w:rFonts w:ascii="Arial" w:hAnsi="Arial" w:cs="Arial"/>
          <w:lang w:val="en-ZA"/>
        </w:rPr>
        <w:t xml:space="preserve"> been received.</w:t>
      </w:r>
    </w:p>
    <w:p w:rsidR="00135379" w:rsidRPr="00113274" w:rsidRDefault="00135379" w:rsidP="00113274">
      <w:pPr>
        <w:spacing w:after="0" w:line="360" w:lineRule="auto"/>
        <w:jc w:val="both"/>
        <w:rPr>
          <w:rFonts w:ascii="Arial" w:hAnsi="Arial" w:cs="Arial"/>
          <w:lang w:val="en-ZA"/>
        </w:rPr>
      </w:pPr>
    </w:p>
    <w:p w:rsidR="00F225D0" w:rsidRDefault="0053737A" w:rsidP="00F225D0">
      <w:pPr>
        <w:numPr>
          <w:ilvl w:val="0"/>
          <w:numId w:val="1"/>
        </w:numPr>
        <w:spacing w:after="0" w:line="360" w:lineRule="auto"/>
        <w:ind w:left="0"/>
        <w:jc w:val="both"/>
        <w:rPr>
          <w:rFonts w:ascii="Arial" w:hAnsi="Arial" w:cs="Arial"/>
          <w:lang w:val="en-ZA"/>
        </w:rPr>
      </w:pPr>
      <w:r>
        <w:rPr>
          <w:rFonts w:ascii="Arial" w:hAnsi="Arial" w:cs="Arial"/>
          <w:lang w:val="en-ZA"/>
        </w:rPr>
        <w:t xml:space="preserve">The </w:t>
      </w:r>
      <w:r w:rsidR="00F30AFA" w:rsidRPr="00F225D0">
        <w:rPr>
          <w:rFonts w:ascii="Arial" w:hAnsi="Arial" w:cs="Arial"/>
          <w:lang w:val="en-ZA"/>
        </w:rPr>
        <w:t>Table provides a clause by clause summary of the submissions</w:t>
      </w:r>
      <w:r w:rsidR="00F225D0" w:rsidRPr="00F225D0">
        <w:rPr>
          <w:rFonts w:ascii="Arial" w:hAnsi="Arial" w:cs="Arial"/>
          <w:lang w:val="en-ZA"/>
        </w:rPr>
        <w:t xml:space="preserve"> and general comments</w:t>
      </w:r>
      <w:r w:rsidR="00E42D6F" w:rsidRPr="00F225D0">
        <w:rPr>
          <w:rFonts w:ascii="Arial" w:hAnsi="Arial" w:cs="Arial"/>
          <w:lang w:val="en-ZA"/>
        </w:rPr>
        <w:t>.</w:t>
      </w:r>
    </w:p>
    <w:p w:rsidR="002D1F5B" w:rsidRPr="00F225D0" w:rsidRDefault="002D1F5B" w:rsidP="002D1F5B">
      <w:pPr>
        <w:spacing w:after="0" w:line="360" w:lineRule="auto"/>
        <w:jc w:val="both"/>
        <w:rPr>
          <w:rFonts w:ascii="Arial" w:hAnsi="Arial" w:cs="Arial"/>
          <w:lang w:val="en-ZA"/>
        </w:rPr>
      </w:pPr>
    </w:p>
    <w:p w:rsidR="00342A99" w:rsidRPr="00113274" w:rsidRDefault="0053737A" w:rsidP="002D1F5B">
      <w:pPr>
        <w:tabs>
          <w:tab w:val="left" w:pos="8853"/>
        </w:tabs>
        <w:spacing w:after="0" w:line="360" w:lineRule="auto"/>
        <w:rPr>
          <w:rFonts w:ascii="Arial" w:hAnsi="Arial" w:cs="Arial"/>
          <w:b/>
          <w:bCs/>
          <w:lang w:val="en-ZA"/>
        </w:rPr>
      </w:pPr>
      <w:r>
        <w:rPr>
          <w:rFonts w:ascii="Arial" w:hAnsi="Arial" w:cs="Arial"/>
          <w:b/>
          <w:bCs/>
          <w:lang w:val="en-ZA"/>
        </w:rPr>
        <w:t>List of commentator</w:t>
      </w:r>
      <w:r w:rsidR="00342A99" w:rsidRPr="00113274">
        <w:rPr>
          <w:rFonts w:ascii="Arial" w:hAnsi="Arial" w:cs="Arial"/>
          <w:b/>
          <w:bCs/>
          <w:lang w:val="en-ZA"/>
        </w:rPr>
        <w:t>:</w:t>
      </w:r>
      <w:r w:rsidR="002D1F5B">
        <w:rPr>
          <w:rFonts w:ascii="Arial" w:hAnsi="Arial" w:cs="Arial"/>
          <w:b/>
          <w:bCs/>
          <w:lang w:val="en-ZA"/>
        </w:rPr>
        <w:tab/>
      </w:r>
    </w:p>
    <w:p w:rsidR="00342A99" w:rsidRDefault="00342A99" w:rsidP="00113274">
      <w:pPr>
        <w:spacing w:after="0" w:line="360" w:lineRule="auto"/>
        <w:rPr>
          <w:rFonts w:ascii="Arial" w:hAnsi="Arial" w:cs="Arial"/>
        </w:rPr>
      </w:pPr>
      <w:r w:rsidRPr="00113274">
        <w:rPr>
          <w:rFonts w:ascii="Arial" w:hAnsi="Arial" w:cs="Arial"/>
        </w:rPr>
        <w:t>National Bar Council of South Africa</w:t>
      </w:r>
    </w:p>
    <w:p w:rsidR="00142B1A" w:rsidRDefault="00142B1A" w:rsidP="00142B1A">
      <w:pPr>
        <w:spacing w:after="0" w:line="360" w:lineRule="auto"/>
        <w:rPr>
          <w:rFonts w:ascii="Arial" w:eastAsia="Calibri" w:hAnsi="Arial" w:cs="Arial"/>
        </w:rPr>
      </w:pPr>
      <w:proofErr w:type="spellStart"/>
      <w:r>
        <w:rPr>
          <w:rFonts w:ascii="Arial" w:eastAsia="Calibri" w:hAnsi="Arial" w:cs="Arial"/>
        </w:rPr>
        <w:t>ClearLaw</w:t>
      </w:r>
      <w:proofErr w:type="spellEnd"/>
      <w:r>
        <w:rPr>
          <w:rFonts w:ascii="Arial" w:eastAsia="Calibri" w:hAnsi="Arial" w:cs="Arial"/>
        </w:rPr>
        <w:t xml:space="preserve"> SA</w:t>
      </w:r>
    </w:p>
    <w:p w:rsidR="00142B1A" w:rsidRPr="00113274" w:rsidRDefault="00142B1A" w:rsidP="00113274">
      <w:pPr>
        <w:spacing w:after="0" w:line="360" w:lineRule="auto"/>
        <w:rPr>
          <w:rFonts w:ascii="Arial" w:hAnsi="Arial" w:cs="Arial"/>
        </w:rPr>
      </w:pPr>
    </w:p>
    <w:p w:rsidR="0053737A" w:rsidRDefault="0053737A" w:rsidP="008D729D">
      <w:pPr>
        <w:spacing w:after="0" w:line="360" w:lineRule="auto"/>
        <w:rPr>
          <w:rFonts w:ascii="Arial" w:hAnsi="Arial" w:cs="Arial"/>
          <w:lang w:val="en-ZA"/>
        </w:rPr>
      </w:pPr>
    </w:p>
    <w:p w:rsidR="002A0AB9" w:rsidRDefault="002A0AB9" w:rsidP="008D729D">
      <w:pPr>
        <w:spacing w:after="0" w:line="360" w:lineRule="auto"/>
        <w:rPr>
          <w:rFonts w:ascii="Arial" w:hAnsi="Arial" w:cs="Arial"/>
          <w:lang w:val="en-ZA"/>
        </w:rPr>
      </w:pPr>
    </w:p>
    <w:p w:rsidR="00B75D85" w:rsidRPr="00113274" w:rsidRDefault="00B75D85" w:rsidP="00113274">
      <w:pPr>
        <w:spacing w:after="0" w:line="360" w:lineRule="auto"/>
        <w:rPr>
          <w:rFonts w:ascii="Arial" w:hAnsi="Arial" w:cs="Arial"/>
          <w:lang w:val="en-ZA"/>
        </w:rPr>
      </w:pPr>
    </w:p>
    <w:p w:rsidR="00F30AFA" w:rsidRPr="00133EC7" w:rsidRDefault="00E42D6F" w:rsidP="00113274">
      <w:pPr>
        <w:spacing w:after="0" w:line="360" w:lineRule="auto"/>
        <w:jc w:val="center"/>
        <w:rPr>
          <w:rFonts w:ascii="Arial" w:hAnsi="Arial" w:cs="Arial"/>
          <w:b/>
          <w:sz w:val="28"/>
          <w:szCs w:val="28"/>
          <w:lang w:val="en-GB"/>
        </w:rPr>
      </w:pPr>
      <w:r w:rsidRPr="00133EC7">
        <w:rPr>
          <w:rFonts w:ascii="Arial" w:hAnsi="Arial" w:cs="Arial"/>
          <w:b/>
          <w:sz w:val="28"/>
          <w:szCs w:val="28"/>
          <w:lang w:val="en-GB"/>
        </w:rPr>
        <w:t xml:space="preserve">TABLE </w:t>
      </w:r>
    </w:p>
    <w:p w:rsidR="00F30AFA" w:rsidRPr="00133EC7" w:rsidRDefault="0016620C" w:rsidP="00113274">
      <w:pPr>
        <w:spacing w:after="0" w:line="360" w:lineRule="auto"/>
        <w:jc w:val="center"/>
        <w:rPr>
          <w:rFonts w:ascii="Arial" w:hAnsi="Arial" w:cs="Arial"/>
          <w:b/>
          <w:sz w:val="28"/>
          <w:szCs w:val="28"/>
          <w:lang w:val="en-GB"/>
        </w:rPr>
      </w:pPr>
      <w:r w:rsidRPr="00133EC7">
        <w:rPr>
          <w:rFonts w:ascii="Arial" w:hAnsi="Arial" w:cs="Arial"/>
          <w:b/>
          <w:sz w:val="28"/>
          <w:szCs w:val="28"/>
          <w:lang w:val="en-GB"/>
        </w:rPr>
        <w:t>SUBMISSIONS/RECOMMENDATIONS BY CLAUSE</w:t>
      </w:r>
    </w:p>
    <w:p w:rsidR="00080B6A" w:rsidRPr="00113274" w:rsidRDefault="00080B6A" w:rsidP="00113274">
      <w:pPr>
        <w:spacing w:after="0" w:line="360" w:lineRule="auto"/>
        <w:jc w:val="both"/>
        <w:rPr>
          <w:rFonts w:ascii="Arial" w:hAnsi="Arial" w:cs="Arial"/>
        </w:rPr>
      </w:pPr>
    </w:p>
    <w:tbl>
      <w:tblPr>
        <w:tblStyle w:val="TableGrid"/>
        <w:tblW w:w="5000" w:type="pct"/>
        <w:tblCellMar>
          <w:left w:w="115" w:type="dxa"/>
          <w:right w:w="115" w:type="dxa"/>
        </w:tblCellMar>
        <w:tblLook w:val="04A0"/>
      </w:tblPr>
      <w:tblGrid>
        <w:gridCol w:w="1295"/>
        <w:gridCol w:w="1525"/>
        <w:gridCol w:w="2593"/>
        <w:gridCol w:w="7777"/>
      </w:tblGrid>
      <w:tr w:rsidR="00176469" w:rsidRPr="003B3B20" w:rsidTr="00C41958">
        <w:trPr>
          <w:tblHeader/>
        </w:trPr>
        <w:tc>
          <w:tcPr>
            <w:tcW w:w="491" w:type="pct"/>
          </w:tcPr>
          <w:p w:rsidR="00E42D6F" w:rsidRPr="001646F1" w:rsidRDefault="00E42D6F" w:rsidP="001646F1">
            <w:pPr>
              <w:jc w:val="center"/>
              <w:rPr>
                <w:rFonts w:ascii="Arial" w:hAnsi="Arial" w:cs="Arial"/>
                <w:b/>
              </w:rPr>
            </w:pPr>
            <w:r w:rsidRPr="001646F1">
              <w:rPr>
                <w:rFonts w:ascii="Arial" w:hAnsi="Arial" w:cs="Arial"/>
                <w:b/>
              </w:rPr>
              <w:t>Clause</w:t>
            </w:r>
          </w:p>
        </w:tc>
        <w:tc>
          <w:tcPr>
            <w:tcW w:w="578" w:type="pct"/>
          </w:tcPr>
          <w:p w:rsidR="00E42D6F" w:rsidRPr="001646F1" w:rsidRDefault="00E42D6F" w:rsidP="001646F1">
            <w:pPr>
              <w:jc w:val="center"/>
              <w:rPr>
                <w:rFonts w:ascii="Arial" w:hAnsi="Arial" w:cs="Arial"/>
                <w:b/>
              </w:rPr>
            </w:pPr>
            <w:r w:rsidRPr="001646F1">
              <w:rPr>
                <w:rFonts w:ascii="Arial" w:hAnsi="Arial" w:cs="Arial"/>
                <w:b/>
              </w:rPr>
              <w:t>Name</w:t>
            </w:r>
          </w:p>
        </w:tc>
        <w:tc>
          <w:tcPr>
            <w:tcW w:w="983" w:type="pct"/>
          </w:tcPr>
          <w:p w:rsidR="00E42D6F" w:rsidRPr="001646F1" w:rsidRDefault="00E42D6F" w:rsidP="001646F1">
            <w:pPr>
              <w:jc w:val="center"/>
              <w:rPr>
                <w:rFonts w:ascii="Arial" w:hAnsi="Arial" w:cs="Arial"/>
                <w:b/>
              </w:rPr>
            </w:pPr>
            <w:r w:rsidRPr="001646F1">
              <w:rPr>
                <w:rFonts w:ascii="Arial" w:hAnsi="Arial" w:cs="Arial"/>
                <w:b/>
              </w:rPr>
              <w:t>Submission / Recommendation</w:t>
            </w:r>
          </w:p>
        </w:tc>
        <w:tc>
          <w:tcPr>
            <w:tcW w:w="2948" w:type="pct"/>
          </w:tcPr>
          <w:p w:rsidR="00E42D6F" w:rsidRPr="001646F1" w:rsidRDefault="000164EC" w:rsidP="001646F1">
            <w:pPr>
              <w:jc w:val="center"/>
              <w:rPr>
                <w:rFonts w:ascii="Arial" w:hAnsi="Arial" w:cs="Arial"/>
                <w:b/>
              </w:rPr>
            </w:pPr>
            <w:r>
              <w:rPr>
                <w:rFonts w:ascii="Arial" w:hAnsi="Arial" w:cs="Arial"/>
                <w:b/>
              </w:rPr>
              <w:t>DOJCD Respons</w:t>
            </w:r>
            <w:r w:rsidR="001646F1">
              <w:rPr>
                <w:rFonts w:ascii="Arial" w:hAnsi="Arial" w:cs="Arial"/>
                <w:b/>
              </w:rPr>
              <w:t>e</w:t>
            </w:r>
          </w:p>
        </w:tc>
      </w:tr>
      <w:tr w:rsidR="00142B1A" w:rsidRPr="003B3B20" w:rsidTr="00C41958">
        <w:tc>
          <w:tcPr>
            <w:tcW w:w="491" w:type="pct"/>
          </w:tcPr>
          <w:p w:rsidR="00142B1A" w:rsidRPr="00113274" w:rsidDel="00C41958" w:rsidRDefault="00142B1A" w:rsidP="00113274">
            <w:pPr>
              <w:rPr>
                <w:rFonts w:ascii="Arial" w:hAnsi="Arial" w:cs="Arial"/>
              </w:rPr>
            </w:pPr>
            <w:r>
              <w:rPr>
                <w:rFonts w:ascii="Arial" w:hAnsi="Arial" w:cs="Arial"/>
              </w:rPr>
              <w:t>3</w:t>
            </w:r>
          </w:p>
        </w:tc>
        <w:tc>
          <w:tcPr>
            <w:tcW w:w="578" w:type="pct"/>
          </w:tcPr>
          <w:p w:rsidR="00142B1A" w:rsidRPr="00113274" w:rsidRDefault="00142B1A" w:rsidP="00DB2206">
            <w:pPr>
              <w:rPr>
                <w:rFonts w:ascii="Arial" w:hAnsi="Arial" w:cs="Arial"/>
              </w:rPr>
            </w:pPr>
            <w:proofErr w:type="spellStart"/>
            <w:r w:rsidRPr="00142B1A">
              <w:rPr>
                <w:rFonts w:ascii="Arial" w:hAnsi="Arial" w:cs="Arial"/>
              </w:rPr>
              <w:t>ClearlawSA</w:t>
            </w:r>
            <w:proofErr w:type="spellEnd"/>
            <w:r w:rsidRPr="00142B1A">
              <w:rPr>
                <w:rFonts w:ascii="Arial" w:hAnsi="Arial" w:cs="Arial"/>
              </w:rPr>
              <w:t xml:space="preserve"> Pty Ltd</w:t>
            </w:r>
          </w:p>
        </w:tc>
        <w:tc>
          <w:tcPr>
            <w:tcW w:w="983" w:type="pct"/>
          </w:tcPr>
          <w:p w:rsidR="00142B1A" w:rsidRPr="00142B1A" w:rsidRDefault="00142B1A" w:rsidP="00142B1A">
            <w:pPr>
              <w:rPr>
                <w:rFonts w:ascii="Arial" w:hAnsi="Arial" w:cs="Arial"/>
              </w:rPr>
            </w:pPr>
            <w:r w:rsidRPr="00142B1A">
              <w:rPr>
                <w:rFonts w:ascii="Arial" w:hAnsi="Arial" w:cs="Arial"/>
              </w:rPr>
              <w:t>They propose a further insertion at the end of the section, to read as follows:</w:t>
            </w:r>
          </w:p>
          <w:p w:rsidR="00142B1A" w:rsidRPr="00113274" w:rsidRDefault="00142B1A" w:rsidP="00142B1A">
            <w:pPr>
              <w:rPr>
                <w:rFonts w:ascii="Arial" w:hAnsi="Arial" w:cs="Arial"/>
              </w:rPr>
            </w:pPr>
            <w:r w:rsidRPr="00142B1A">
              <w:rPr>
                <w:rFonts w:ascii="Arial" w:hAnsi="Arial" w:cs="Arial"/>
              </w:rPr>
              <w:lastRenderedPageBreak/>
              <w:t xml:space="preserve"> “(b) The Minister [must] may, from time to time, prescribe the areas of jurisdiction of the Provincial Councils in consultation with the Council, provided that if the Minister does not define the jurisdiction of the Provincial Councils within 12 months of the commencement of this Act, then the National Council must do so.”</w:t>
            </w:r>
          </w:p>
        </w:tc>
        <w:tc>
          <w:tcPr>
            <w:tcW w:w="2948" w:type="pct"/>
          </w:tcPr>
          <w:p w:rsidR="009603FC" w:rsidRDefault="00142B1A" w:rsidP="00113274">
            <w:pPr>
              <w:rPr>
                <w:rFonts w:ascii="Arial" w:hAnsi="Arial" w:cs="Arial"/>
              </w:rPr>
            </w:pPr>
            <w:r w:rsidRPr="00142B1A">
              <w:rPr>
                <w:rFonts w:ascii="Arial" w:hAnsi="Arial" w:cs="Arial"/>
              </w:rPr>
              <w:lastRenderedPageBreak/>
              <w:t xml:space="preserve">The Department does not support this proposal. </w:t>
            </w:r>
          </w:p>
          <w:p w:rsidR="009603FC" w:rsidRDefault="009603FC" w:rsidP="00113274">
            <w:pPr>
              <w:rPr>
                <w:rFonts w:ascii="Arial" w:hAnsi="Arial" w:cs="Arial"/>
              </w:rPr>
            </w:pPr>
          </w:p>
          <w:p w:rsidR="009603FC" w:rsidRDefault="009603FC" w:rsidP="00113274">
            <w:pPr>
              <w:rPr>
                <w:rFonts w:ascii="Arial" w:hAnsi="Arial" w:cs="Arial"/>
              </w:rPr>
            </w:pPr>
            <w:r>
              <w:rPr>
                <w:rFonts w:ascii="Arial" w:hAnsi="Arial" w:cs="Arial"/>
              </w:rPr>
              <w:t xml:space="preserve">They did not comment on the amended B </w:t>
            </w:r>
            <w:r w:rsidR="00EC3515">
              <w:rPr>
                <w:rFonts w:ascii="Arial" w:hAnsi="Arial" w:cs="Arial"/>
              </w:rPr>
              <w:t xml:space="preserve">- </w:t>
            </w:r>
            <w:r>
              <w:rPr>
                <w:rFonts w:ascii="Arial" w:hAnsi="Arial" w:cs="Arial"/>
              </w:rPr>
              <w:t xml:space="preserve">Bill </w:t>
            </w:r>
            <w:r w:rsidR="00EC3515">
              <w:rPr>
                <w:rFonts w:ascii="Arial" w:hAnsi="Arial" w:cs="Arial"/>
              </w:rPr>
              <w:t>and the matter is now addressed in the new clause 3</w:t>
            </w:r>
          </w:p>
          <w:p w:rsidR="00142B1A" w:rsidRDefault="00142B1A" w:rsidP="00113274">
            <w:pPr>
              <w:rPr>
                <w:rFonts w:ascii="Arial" w:hAnsi="Arial" w:cs="Arial"/>
              </w:rPr>
            </w:pPr>
          </w:p>
        </w:tc>
      </w:tr>
      <w:tr w:rsidR="00B85AEE" w:rsidRPr="003B3B20" w:rsidTr="00C41958">
        <w:tc>
          <w:tcPr>
            <w:tcW w:w="491" w:type="pct"/>
          </w:tcPr>
          <w:p w:rsidR="00B85AEE" w:rsidRPr="00113274" w:rsidRDefault="00C41958" w:rsidP="00113274">
            <w:pPr>
              <w:rPr>
                <w:rFonts w:ascii="Arial" w:hAnsi="Arial" w:cs="Arial"/>
              </w:rPr>
            </w:pPr>
            <w:r>
              <w:rPr>
                <w:rFonts w:ascii="Arial" w:hAnsi="Arial" w:cs="Arial"/>
              </w:rPr>
              <w:lastRenderedPageBreak/>
              <w:t>4</w:t>
            </w:r>
          </w:p>
        </w:tc>
        <w:tc>
          <w:tcPr>
            <w:tcW w:w="578" w:type="pct"/>
          </w:tcPr>
          <w:p w:rsidR="00B85AEE" w:rsidRPr="00113274" w:rsidRDefault="00B85AEE" w:rsidP="00DB2206">
            <w:pPr>
              <w:rPr>
                <w:rFonts w:ascii="Arial" w:hAnsi="Arial" w:cs="Arial"/>
              </w:rPr>
            </w:pPr>
            <w:r w:rsidRPr="00113274">
              <w:rPr>
                <w:rFonts w:ascii="Arial" w:hAnsi="Arial" w:cs="Arial"/>
              </w:rPr>
              <w:t xml:space="preserve">National Bar Council </w:t>
            </w:r>
            <w:r w:rsidR="00DB2206">
              <w:rPr>
                <w:rFonts w:ascii="Arial" w:hAnsi="Arial" w:cs="Arial"/>
              </w:rPr>
              <w:t>o</w:t>
            </w:r>
            <w:r w:rsidRPr="00113274">
              <w:rPr>
                <w:rFonts w:ascii="Arial" w:hAnsi="Arial" w:cs="Arial"/>
              </w:rPr>
              <w:t xml:space="preserve">f South Africa </w:t>
            </w:r>
          </w:p>
        </w:tc>
        <w:tc>
          <w:tcPr>
            <w:tcW w:w="983" w:type="pct"/>
          </w:tcPr>
          <w:p w:rsidR="008F515C" w:rsidRPr="00113274" w:rsidRDefault="008F515C" w:rsidP="00113274">
            <w:pPr>
              <w:rPr>
                <w:rFonts w:ascii="Arial" w:hAnsi="Arial" w:cs="Arial"/>
              </w:rPr>
            </w:pPr>
            <w:r w:rsidRPr="00113274">
              <w:rPr>
                <w:rFonts w:ascii="Arial" w:hAnsi="Arial" w:cs="Arial"/>
              </w:rPr>
              <w:t xml:space="preserve">The </w:t>
            </w:r>
            <w:r w:rsidR="00450AB5">
              <w:rPr>
                <w:rFonts w:ascii="Arial" w:hAnsi="Arial" w:cs="Arial"/>
              </w:rPr>
              <w:t xml:space="preserve">National Bar Council opposes the </w:t>
            </w:r>
            <w:r w:rsidRPr="00113274">
              <w:rPr>
                <w:rFonts w:ascii="Arial" w:hAnsi="Arial" w:cs="Arial"/>
              </w:rPr>
              <w:t xml:space="preserve">proposed amendment </w:t>
            </w:r>
            <w:r w:rsidR="00450AB5">
              <w:rPr>
                <w:rFonts w:ascii="Arial" w:hAnsi="Arial" w:cs="Arial"/>
              </w:rPr>
              <w:t xml:space="preserve">because </w:t>
            </w:r>
          </w:p>
          <w:p w:rsidR="00B85AEE" w:rsidRDefault="00B85AEE" w:rsidP="007E16EA">
            <w:pPr>
              <w:rPr>
                <w:rFonts w:ascii="Arial" w:hAnsi="Arial" w:cs="Arial"/>
              </w:rPr>
            </w:pPr>
            <w:proofErr w:type="gramStart"/>
            <w:r w:rsidRPr="00113274">
              <w:rPr>
                <w:rFonts w:ascii="Arial" w:hAnsi="Arial" w:cs="Arial"/>
              </w:rPr>
              <w:t>there</w:t>
            </w:r>
            <w:proofErr w:type="gramEnd"/>
            <w:r w:rsidRPr="00113274">
              <w:rPr>
                <w:rFonts w:ascii="Arial" w:hAnsi="Arial" w:cs="Arial"/>
              </w:rPr>
              <w:t xml:space="preserve"> is no definition for the term ‘</w:t>
            </w:r>
            <w:proofErr w:type="spellStart"/>
            <w:r w:rsidRPr="00113274">
              <w:rPr>
                <w:rFonts w:ascii="Arial" w:hAnsi="Arial" w:cs="Arial"/>
              </w:rPr>
              <w:t>practising</w:t>
            </w:r>
            <w:proofErr w:type="spellEnd"/>
            <w:r w:rsidRPr="00113274">
              <w:rPr>
                <w:rFonts w:ascii="Arial" w:hAnsi="Arial" w:cs="Arial"/>
              </w:rPr>
              <w:t xml:space="preserve"> legal practitioner’</w:t>
            </w:r>
            <w:r w:rsidR="007E16EA">
              <w:rPr>
                <w:rFonts w:ascii="Arial" w:hAnsi="Arial" w:cs="Arial"/>
              </w:rPr>
              <w:t xml:space="preserve">.  The Council raises the question whether </w:t>
            </w:r>
            <w:r w:rsidRPr="00113274">
              <w:rPr>
                <w:rFonts w:ascii="Arial" w:hAnsi="Arial" w:cs="Arial"/>
              </w:rPr>
              <w:t>the term ‘</w:t>
            </w:r>
            <w:proofErr w:type="spellStart"/>
            <w:r w:rsidRPr="00113274">
              <w:rPr>
                <w:rFonts w:ascii="Arial" w:hAnsi="Arial" w:cs="Arial"/>
              </w:rPr>
              <w:t>practising</w:t>
            </w:r>
            <w:proofErr w:type="spellEnd"/>
            <w:r w:rsidRPr="00113274">
              <w:rPr>
                <w:rFonts w:ascii="Arial" w:hAnsi="Arial" w:cs="Arial"/>
              </w:rPr>
              <w:t xml:space="preserve"> legal practitioner’ suggest</w:t>
            </w:r>
            <w:r w:rsidR="007E16EA">
              <w:rPr>
                <w:rFonts w:ascii="Arial" w:hAnsi="Arial" w:cs="Arial"/>
              </w:rPr>
              <w:t>s</w:t>
            </w:r>
            <w:r w:rsidRPr="00113274">
              <w:rPr>
                <w:rFonts w:ascii="Arial" w:hAnsi="Arial" w:cs="Arial"/>
              </w:rPr>
              <w:t xml:space="preserve"> that this term will apply only to those legal practitioners who attend or appear in court?  </w:t>
            </w:r>
            <w:r w:rsidR="007E16EA">
              <w:rPr>
                <w:rFonts w:ascii="Arial" w:hAnsi="Arial" w:cs="Arial"/>
              </w:rPr>
              <w:t>In other words, d</w:t>
            </w:r>
            <w:r w:rsidRPr="00113274">
              <w:rPr>
                <w:rFonts w:ascii="Arial" w:hAnsi="Arial" w:cs="Arial"/>
              </w:rPr>
              <w:t xml:space="preserve">oes this definition exclude consultants </w:t>
            </w:r>
            <w:proofErr w:type="spellStart"/>
            <w:r w:rsidRPr="00113274">
              <w:rPr>
                <w:rFonts w:ascii="Arial" w:hAnsi="Arial" w:cs="Arial"/>
              </w:rPr>
              <w:t>who</w:t>
            </w:r>
            <w:proofErr w:type="gramStart"/>
            <w:r w:rsidR="007E16EA">
              <w:rPr>
                <w:rFonts w:ascii="Arial" w:hAnsi="Arial" w:cs="Arial"/>
              </w:rPr>
              <w:t>,</w:t>
            </w:r>
            <w:r w:rsidRPr="00113274">
              <w:rPr>
                <w:rFonts w:ascii="Arial" w:hAnsi="Arial" w:cs="Arial"/>
              </w:rPr>
              <w:t>though</w:t>
            </w:r>
            <w:proofErr w:type="spellEnd"/>
            <w:proofErr w:type="gramEnd"/>
            <w:r w:rsidRPr="00113274">
              <w:rPr>
                <w:rFonts w:ascii="Arial" w:hAnsi="Arial" w:cs="Arial"/>
              </w:rPr>
              <w:t xml:space="preserve"> </w:t>
            </w:r>
            <w:r w:rsidR="007E16EA">
              <w:rPr>
                <w:rFonts w:ascii="Arial" w:hAnsi="Arial" w:cs="Arial"/>
              </w:rPr>
              <w:lastRenderedPageBreak/>
              <w:t xml:space="preserve">they </w:t>
            </w:r>
            <w:r w:rsidRPr="00113274">
              <w:rPr>
                <w:rFonts w:ascii="Arial" w:hAnsi="Arial" w:cs="Arial"/>
              </w:rPr>
              <w:t>render or offer various legal services</w:t>
            </w:r>
            <w:r w:rsidR="007E16EA">
              <w:rPr>
                <w:rFonts w:ascii="Arial" w:hAnsi="Arial" w:cs="Arial"/>
              </w:rPr>
              <w:t>,</w:t>
            </w:r>
            <w:r w:rsidRPr="00113274">
              <w:rPr>
                <w:rFonts w:ascii="Arial" w:hAnsi="Arial" w:cs="Arial"/>
              </w:rPr>
              <w:t xml:space="preserve"> do not appear in court? Will consultants</w:t>
            </w:r>
            <w:r w:rsidR="007E16EA">
              <w:rPr>
                <w:rFonts w:ascii="Arial" w:hAnsi="Arial" w:cs="Arial"/>
              </w:rPr>
              <w:t>, as a result,</w:t>
            </w:r>
            <w:r w:rsidRPr="00113274">
              <w:rPr>
                <w:rFonts w:ascii="Arial" w:hAnsi="Arial" w:cs="Arial"/>
              </w:rPr>
              <w:t xml:space="preserve"> not be entitled to receive rewards or commission for rendering legal services?</w:t>
            </w:r>
          </w:p>
          <w:p w:rsidR="00C41958" w:rsidRDefault="00C41958" w:rsidP="007E16EA">
            <w:pPr>
              <w:rPr>
                <w:rFonts w:ascii="Arial" w:hAnsi="Arial" w:cs="Arial"/>
              </w:rPr>
            </w:pPr>
          </w:p>
          <w:p w:rsidR="005B5E7E" w:rsidRDefault="005B5E7E" w:rsidP="005B5E7E">
            <w:pPr>
              <w:rPr>
                <w:rFonts w:ascii="Arial" w:hAnsi="Arial" w:cs="Arial"/>
              </w:rPr>
            </w:pPr>
            <w:r>
              <w:rPr>
                <w:rFonts w:ascii="Arial" w:hAnsi="Arial" w:cs="Arial"/>
              </w:rPr>
              <w:t xml:space="preserve">The amendment will create a </w:t>
            </w:r>
            <w:r w:rsidR="006F6E51">
              <w:rPr>
                <w:rFonts w:ascii="Arial" w:hAnsi="Arial" w:cs="Arial"/>
              </w:rPr>
              <w:t>monopoly</w:t>
            </w:r>
            <w:r>
              <w:rPr>
                <w:rFonts w:ascii="Arial" w:hAnsi="Arial" w:cs="Arial"/>
              </w:rPr>
              <w:t xml:space="preserve"> and frustrate the existence of paralegals.</w:t>
            </w:r>
          </w:p>
          <w:p w:rsidR="005B5E7E" w:rsidRDefault="005B5E7E" w:rsidP="005B5E7E">
            <w:pPr>
              <w:rPr>
                <w:rFonts w:ascii="Arial" w:hAnsi="Arial" w:cs="Arial"/>
              </w:rPr>
            </w:pPr>
          </w:p>
          <w:p w:rsidR="00C41958" w:rsidRDefault="005B5E7E" w:rsidP="005B5E7E">
            <w:pPr>
              <w:rPr>
                <w:rFonts w:ascii="Arial" w:hAnsi="Arial" w:cs="Arial"/>
              </w:rPr>
            </w:pPr>
            <w:r>
              <w:rPr>
                <w:rFonts w:ascii="Arial" w:hAnsi="Arial" w:cs="Arial"/>
              </w:rPr>
              <w:t>It will hamper access to legal services by the poor.</w:t>
            </w:r>
          </w:p>
          <w:p w:rsidR="006F6E51" w:rsidRDefault="006F6E51" w:rsidP="005B5E7E">
            <w:pPr>
              <w:rPr>
                <w:rFonts w:ascii="Arial" w:hAnsi="Arial" w:cs="Arial"/>
              </w:rPr>
            </w:pPr>
          </w:p>
          <w:p w:rsidR="006F6E51" w:rsidRPr="00113274" w:rsidRDefault="006F6E51" w:rsidP="005B5E7E">
            <w:pPr>
              <w:rPr>
                <w:rFonts w:ascii="Arial" w:hAnsi="Arial" w:cs="Arial"/>
              </w:rPr>
            </w:pPr>
          </w:p>
        </w:tc>
        <w:tc>
          <w:tcPr>
            <w:tcW w:w="2948" w:type="pct"/>
          </w:tcPr>
          <w:p w:rsidR="00273647" w:rsidRDefault="00273647" w:rsidP="00113274">
            <w:pPr>
              <w:rPr>
                <w:rFonts w:ascii="Arial" w:hAnsi="Arial" w:cs="Arial"/>
              </w:rPr>
            </w:pPr>
            <w:r>
              <w:rPr>
                <w:rFonts w:ascii="Arial" w:hAnsi="Arial" w:cs="Arial"/>
              </w:rPr>
              <w:lastRenderedPageBreak/>
              <w:t>With reference to the comments made by the National Bar Council of South Africa regarding the proposed amendment to section 33 the following background information is relevant:</w:t>
            </w:r>
          </w:p>
          <w:p w:rsidR="002D1F5B" w:rsidRDefault="002D1F5B" w:rsidP="00113274">
            <w:pPr>
              <w:rPr>
                <w:rFonts w:ascii="Arial" w:hAnsi="Arial" w:cs="Arial"/>
              </w:rPr>
            </w:pPr>
          </w:p>
          <w:p w:rsidR="0091310D" w:rsidRDefault="0091310D" w:rsidP="00113274">
            <w:pPr>
              <w:rPr>
                <w:rFonts w:ascii="Arial" w:hAnsi="Arial" w:cs="Arial"/>
              </w:rPr>
            </w:pPr>
            <w:r>
              <w:rPr>
                <w:rFonts w:ascii="Arial" w:hAnsi="Arial" w:cs="Arial"/>
              </w:rPr>
              <w:t>(a)</w:t>
            </w:r>
            <w:r>
              <w:rPr>
                <w:rFonts w:ascii="Arial" w:hAnsi="Arial" w:cs="Arial"/>
              </w:rPr>
              <w:tab/>
              <w:t xml:space="preserve">Section 3 of the Act, dealing with the purpose of the Act, provides that the purpose of the Act is, among others, to create “a single unified statutory body to regulate the affairs of all legal practitioners </w:t>
            </w:r>
            <w:r w:rsidR="00EE61EC">
              <w:rPr>
                <w:rFonts w:ascii="Arial" w:hAnsi="Arial" w:cs="Arial"/>
              </w:rPr>
              <w:t>and all candidate legal practitioners in pursuit of the goal of an accountable, efficient and independent legal profession”.</w:t>
            </w:r>
          </w:p>
          <w:p w:rsidR="002D1F5B" w:rsidRDefault="002D1F5B" w:rsidP="00113274">
            <w:pPr>
              <w:rPr>
                <w:rFonts w:ascii="Arial" w:hAnsi="Arial" w:cs="Arial"/>
              </w:rPr>
            </w:pPr>
          </w:p>
          <w:p w:rsidR="00273647" w:rsidRDefault="00EE61EC" w:rsidP="00113274">
            <w:pPr>
              <w:rPr>
                <w:rFonts w:ascii="Arial" w:hAnsi="Arial" w:cs="Arial"/>
              </w:rPr>
            </w:pPr>
            <w:r>
              <w:rPr>
                <w:rFonts w:ascii="Arial" w:hAnsi="Arial" w:cs="Arial"/>
              </w:rPr>
              <w:t>(b)</w:t>
            </w:r>
            <w:r>
              <w:rPr>
                <w:rFonts w:ascii="Arial" w:hAnsi="Arial" w:cs="Arial"/>
              </w:rPr>
              <w:tab/>
              <w:t>In similar vein, section 5 of the Act, dealing with the objects of the SA Legal Practice Council (the Council), provides that the objects of the Council are, among others, to regulate all legal practitioners and all candidate legal practitioners.</w:t>
            </w:r>
          </w:p>
          <w:p w:rsidR="002D1F5B" w:rsidRDefault="002D1F5B" w:rsidP="00113274">
            <w:pPr>
              <w:rPr>
                <w:rFonts w:ascii="Arial" w:hAnsi="Arial" w:cs="Arial"/>
              </w:rPr>
            </w:pPr>
          </w:p>
          <w:p w:rsidR="00EE61EC" w:rsidRDefault="00EE61EC" w:rsidP="00113274">
            <w:pPr>
              <w:rPr>
                <w:rFonts w:ascii="Arial" w:hAnsi="Arial" w:cs="Arial"/>
              </w:rPr>
            </w:pPr>
            <w:r>
              <w:rPr>
                <w:rFonts w:ascii="Arial" w:hAnsi="Arial" w:cs="Arial"/>
              </w:rPr>
              <w:t>(c)</w:t>
            </w:r>
            <w:r>
              <w:rPr>
                <w:rFonts w:ascii="Arial" w:hAnsi="Arial" w:cs="Arial"/>
              </w:rPr>
              <w:tab/>
              <w:t xml:space="preserve">What is a legal practitioner?  Section 1 </w:t>
            </w:r>
            <w:r w:rsidR="00FE3F47">
              <w:rPr>
                <w:rFonts w:ascii="Arial" w:hAnsi="Arial" w:cs="Arial"/>
              </w:rPr>
              <w:t xml:space="preserve">of the Act </w:t>
            </w:r>
            <w:r>
              <w:rPr>
                <w:rFonts w:ascii="Arial" w:hAnsi="Arial" w:cs="Arial"/>
              </w:rPr>
              <w:t xml:space="preserve">defines “legal practitioner” as an advocate or an attorney who is admitted and enrolled as such in terms of sections 23 and 30, respectively.  A legal practitioner is </w:t>
            </w:r>
            <w:r>
              <w:rPr>
                <w:rFonts w:ascii="Arial" w:hAnsi="Arial" w:cs="Arial"/>
              </w:rPr>
              <w:lastRenderedPageBreak/>
              <w:t xml:space="preserve">admitted in terms of section 23 as such by a Division of the High Court and that legal practitioner becomes as officer of the court.  After admission by a court, the person must enroll as a legal practitioner in terms of section 30.  This entails an application in terms of section 30(1) to the Council for the enrolment of his or her name on the Roll of Legal Practitioners.  The application for enrolment must indicate whether the legal practitioner intends to </w:t>
            </w:r>
            <w:proofErr w:type="spellStart"/>
            <w:r>
              <w:rPr>
                <w:rFonts w:ascii="Arial" w:hAnsi="Arial" w:cs="Arial"/>
              </w:rPr>
              <w:t>practise</w:t>
            </w:r>
            <w:proofErr w:type="spellEnd"/>
            <w:r>
              <w:rPr>
                <w:rFonts w:ascii="Arial" w:hAnsi="Arial" w:cs="Arial"/>
              </w:rPr>
              <w:t xml:space="preserve"> as an attorney or an advocate.  In terms of section 30(3) the Council must keep a Roll of Legal Practitioners which must reflect the particulars of “</w:t>
            </w:r>
            <w:proofErr w:type="spellStart"/>
            <w:r>
              <w:rPr>
                <w:rFonts w:ascii="Arial" w:hAnsi="Arial" w:cs="Arial"/>
              </w:rPr>
              <w:t>practising</w:t>
            </w:r>
            <w:proofErr w:type="spellEnd"/>
            <w:r>
              <w:rPr>
                <w:rFonts w:ascii="Arial" w:hAnsi="Arial" w:cs="Arial"/>
              </w:rPr>
              <w:t xml:space="preserve"> and non-</w:t>
            </w:r>
            <w:proofErr w:type="spellStart"/>
            <w:r>
              <w:rPr>
                <w:rFonts w:ascii="Arial" w:hAnsi="Arial" w:cs="Arial"/>
              </w:rPr>
              <w:t>practising</w:t>
            </w:r>
            <w:proofErr w:type="spellEnd"/>
            <w:r>
              <w:rPr>
                <w:rFonts w:ascii="Arial" w:hAnsi="Arial" w:cs="Arial"/>
              </w:rPr>
              <w:t xml:space="preserve"> legal practitioners”.</w:t>
            </w:r>
            <w:r w:rsidR="00FF7E12">
              <w:rPr>
                <w:rFonts w:ascii="Arial" w:hAnsi="Arial" w:cs="Arial"/>
              </w:rPr>
              <w:t xml:space="preserve">  In other words there is a roll for </w:t>
            </w:r>
            <w:proofErr w:type="spellStart"/>
            <w:r w:rsidR="00FF7E12">
              <w:rPr>
                <w:rFonts w:ascii="Arial" w:hAnsi="Arial" w:cs="Arial"/>
              </w:rPr>
              <w:t>practising</w:t>
            </w:r>
            <w:proofErr w:type="spellEnd"/>
            <w:r w:rsidR="00FF7E12">
              <w:rPr>
                <w:rFonts w:ascii="Arial" w:hAnsi="Arial" w:cs="Arial"/>
              </w:rPr>
              <w:t xml:space="preserve"> legal practitioners and a roll for non-</w:t>
            </w:r>
            <w:proofErr w:type="spellStart"/>
            <w:r w:rsidR="00FF7E12">
              <w:rPr>
                <w:rFonts w:ascii="Arial" w:hAnsi="Arial" w:cs="Arial"/>
              </w:rPr>
              <w:t>practising</w:t>
            </w:r>
            <w:proofErr w:type="spellEnd"/>
            <w:r w:rsidR="00FF7E12">
              <w:rPr>
                <w:rFonts w:ascii="Arial" w:hAnsi="Arial" w:cs="Arial"/>
              </w:rPr>
              <w:t xml:space="preserve"> legal practitioners.  A similar situation pertains today in terms of the Attorneys Act, 1979 where there is a roll for </w:t>
            </w:r>
            <w:proofErr w:type="spellStart"/>
            <w:r w:rsidR="00FF7E12">
              <w:rPr>
                <w:rFonts w:ascii="Arial" w:hAnsi="Arial" w:cs="Arial"/>
              </w:rPr>
              <w:t>practising</w:t>
            </w:r>
            <w:proofErr w:type="spellEnd"/>
            <w:r w:rsidR="00FF7E12">
              <w:rPr>
                <w:rFonts w:ascii="Arial" w:hAnsi="Arial" w:cs="Arial"/>
              </w:rPr>
              <w:t xml:space="preserve"> attorneys who actively </w:t>
            </w:r>
            <w:proofErr w:type="spellStart"/>
            <w:r w:rsidR="00FF7E12">
              <w:rPr>
                <w:rFonts w:ascii="Arial" w:hAnsi="Arial" w:cs="Arial"/>
              </w:rPr>
              <w:t>practise</w:t>
            </w:r>
            <w:proofErr w:type="spellEnd"/>
            <w:r w:rsidR="00FF7E12">
              <w:rPr>
                <w:rFonts w:ascii="Arial" w:hAnsi="Arial" w:cs="Arial"/>
              </w:rPr>
              <w:t xml:space="preserve"> as attorneys and are required to have a Fidelity Fund certificate and a roll for non-</w:t>
            </w:r>
            <w:proofErr w:type="spellStart"/>
            <w:r w:rsidR="00FF7E12">
              <w:rPr>
                <w:rFonts w:ascii="Arial" w:hAnsi="Arial" w:cs="Arial"/>
              </w:rPr>
              <w:t>practising</w:t>
            </w:r>
            <w:proofErr w:type="spellEnd"/>
            <w:r w:rsidR="00FF7E12">
              <w:rPr>
                <w:rFonts w:ascii="Arial" w:hAnsi="Arial" w:cs="Arial"/>
              </w:rPr>
              <w:t xml:space="preserve"> attorneys, that is attorneys who have been admitted by the court as such and whose names have been enrolled on the roll of non-</w:t>
            </w:r>
            <w:proofErr w:type="spellStart"/>
            <w:r w:rsidR="00FF7E12">
              <w:rPr>
                <w:rFonts w:ascii="Arial" w:hAnsi="Arial" w:cs="Arial"/>
              </w:rPr>
              <w:t>practising</w:t>
            </w:r>
            <w:proofErr w:type="spellEnd"/>
            <w:r w:rsidR="00FF7E12">
              <w:rPr>
                <w:rFonts w:ascii="Arial" w:hAnsi="Arial" w:cs="Arial"/>
              </w:rPr>
              <w:t xml:space="preserve"> attorneys for the simple reason that they are not actively </w:t>
            </w:r>
            <w:proofErr w:type="spellStart"/>
            <w:r w:rsidR="00FF7E12">
              <w:rPr>
                <w:rFonts w:ascii="Arial" w:hAnsi="Arial" w:cs="Arial"/>
              </w:rPr>
              <w:t>practising</w:t>
            </w:r>
            <w:proofErr w:type="spellEnd"/>
            <w:r w:rsidR="00FF7E12">
              <w:rPr>
                <w:rFonts w:ascii="Arial" w:hAnsi="Arial" w:cs="Arial"/>
              </w:rPr>
              <w:t xml:space="preserve"> as attorneys and do not have Fidelity Fund certificates.  They, however, remain officers of the court </w:t>
            </w:r>
            <w:r w:rsidR="00B64B52">
              <w:rPr>
                <w:rFonts w:ascii="Arial" w:hAnsi="Arial" w:cs="Arial"/>
              </w:rPr>
              <w:t xml:space="preserve">and members of the legal profession </w:t>
            </w:r>
            <w:r w:rsidR="00FF7E12">
              <w:rPr>
                <w:rFonts w:ascii="Arial" w:hAnsi="Arial" w:cs="Arial"/>
              </w:rPr>
              <w:t xml:space="preserve">and </w:t>
            </w:r>
            <w:r w:rsidR="00B64B52">
              <w:rPr>
                <w:rFonts w:ascii="Arial" w:hAnsi="Arial" w:cs="Arial"/>
              </w:rPr>
              <w:t>a</w:t>
            </w:r>
            <w:r w:rsidR="00FF7E12">
              <w:rPr>
                <w:rFonts w:ascii="Arial" w:hAnsi="Arial" w:cs="Arial"/>
              </w:rPr>
              <w:t xml:space="preserve"> court can, on application </w:t>
            </w:r>
            <w:r w:rsidR="00FE3F47">
              <w:rPr>
                <w:rFonts w:ascii="Arial" w:hAnsi="Arial" w:cs="Arial"/>
              </w:rPr>
              <w:t>by</w:t>
            </w:r>
            <w:r w:rsidR="00FF7E12">
              <w:rPr>
                <w:rFonts w:ascii="Arial" w:hAnsi="Arial" w:cs="Arial"/>
              </w:rPr>
              <w:t xml:space="preserve"> an interested person, strike the name of a non-</w:t>
            </w:r>
            <w:proofErr w:type="spellStart"/>
            <w:r w:rsidR="00FF7E12">
              <w:rPr>
                <w:rFonts w:ascii="Arial" w:hAnsi="Arial" w:cs="Arial"/>
              </w:rPr>
              <w:t>practising</w:t>
            </w:r>
            <w:proofErr w:type="spellEnd"/>
            <w:r w:rsidR="00FF7E12">
              <w:rPr>
                <w:rFonts w:ascii="Arial" w:hAnsi="Arial" w:cs="Arial"/>
              </w:rPr>
              <w:t xml:space="preserve"> attorney from the roll in the event of any serious misconduct, unbecoming of an officer of the court</w:t>
            </w:r>
            <w:r w:rsidR="00B64B52">
              <w:rPr>
                <w:rFonts w:ascii="Arial" w:hAnsi="Arial" w:cs="Arial"/>
              </w:rPr>
              <w:t xml:space="preserve"> and member of the legal profession</w:t>
            </w:r>
            <w:r w:rsidR="00FF7E12">
              <w:rPr>
                <w:rFonts w:ascii="Arial" w:hAnsi="Arial" w:cs="Arial"/>
              </w:rPr>
              <w:t>.</w:t>
            </w:r>
          </w:p>
          <w:p w:rsidR="002D1F5B" w:rsidRDefault="002D1F5B" w:rsidP="00113274">
            <w:pPr>
              <w:rPr>
                <w:rFonts w:ascii="Arial" w:hAnsi="Arial" w:cs="Arial"/>
              </w:rPr>
            </w:pPr>
          </w:p>
          <w:p w:rsidR="00FF7E12" w:rsidRDefault="00FF7E12" w:rsidP="00FF7E12">
            <w:pPr>
              <w:rPr>
                <w:rFonts w:ascii="Arial" w:hAnsi="Arial" w:cs="Arial"/>
              </w:rPr>
            </w:pPr>
            <w:r>
              <w:rPr>
                <w:rFonts w:ascii="Arial" w:hAnsi="Arial" w:cs="Arial"/>
              </w:rPr>
              <w:t>(d)</w:t>
            </w:r>
            <w:r>
              <w:rPr>
                <w:rFonts w:ascii="Arial" w:hAnsi="Arial" w:cs="Arial"/>
              </w:rPr>
              <w:tab/>
              <w:t>The term “</w:t>
            </w:r>
            <w:proofErr w:type="spellStart"/>
            <w:r w:rsidRPr="00113274">
              <w:rPr>
                <w:rFonts w:ascii="Arial" w:hAnsi="Arial" w:cs="Arial"/>
              </w:rPr>
              <w:t>practising</w:t>
            </w:r>
            <w:proofErr w:type="spellEnd"/>
            <w:r>
              <w:rPr>
                <w:rFonts w:ascii="Arial" w:hAnsi="Arial" w:cs="Arial"/>
              </w:rPr>
              <w:t xml:space="preserve"> legal practitioner”</w:t>
            </w:r>
            <w:r w:rsidRPr="00113274">
              <w:rPr>
                <w:rFonts w:ascii="Arial" w:hAnsi="Arial" w:cs="Arial"/>
              </w:rPr>
              <w:t xml:space="preserve"> is used in numerous </w:t>
            </w:r>
            <w:r w:rsidR="00B537C4">
              <w:rPr>
                <w:rFonts w:ascii="Arial" w:hAnsi="Arial" w:cs="Arial"/>
              </w:rPr>
              <w:t>places</w:t>
            </w:r>
            <w:r w:rsidRPr="00113274">
              <w:rPr>
                <w:rFonts w:ascii="Arial" w:hAnsi="Arial" w:cs="Arial"/>
              </w:rPr>
              <w:t xml:space="preserve"> in the Act </w:t>
            </w:r>
            <w:r w:rsidR="00B537C4">
              <w:rPr>
                <w:rFonts w:ascii="Arial" w:hAnsi="Arial" w:cs="Arial"/>
              </w:rPr>
              <w:t xml:space="preserve">where it is necessary to distinguish between </w:t>
            </w:r>
            <w:proofErr w:type="spellStart"/>
            <w:r w:rsidR="00B537C4">
              <w:rPr>
                <w:rFonts w:ascii="Arial" w:hAnsi="Arial" w:cs="Arial"/>
              </w:rPr>
              <w:t>practising</w:t>
            </w:r>
            <w:proofErr w:type="spellEnd"/>
            <w:r w:rsidR="00B537C4">
              <w:rPr>
                <w:rFonts w:ascii="Arial" w:hAnsi="Arial" w:cs="Arial"/>
              </w:rPr>
              <w:t xml:space="preserve"> and non-</w:t>
            </w:r>
            <w:proofErr w:type="spellStart"/>
            <w:r w:rsidR="00B537C4">
              <w:rPr>
                <w:rFonts w:ascii="Arial" w:hAnsi="Arial" w:cs="Arial"/>
              </w:rPr>
              <w:t>practising</w:t>
            </w:r>
            <w:proofErr w:type="spellEnd"/>
            <w:r w:rsidR="00B537C4">
              <w:rPr>
                <w:rFonts w:ascii="Arial" w:hAnsi="Arial" w:cs="Arial"/>
              </w:rPr>
              <w:t xml:space="preserve"> legal practitioners, for instance in sections 1 (definitions of </w:t>
            </w:r>
            <w:proofErr w:type="spellStart"/>
            <w:r w:rsidR="00B537C4">
              <w:rPr>
                <w:rFonts w:ascii="Arial" w:hAnsi="Arial" w:cs="Arial"/>
              </w:rPr>
              <w:t>conveyancer</w:t>
            </w:r>
            <w:proofErr w:type="spellEnd"/>
            <w:r w:rsidR="00B537C4">
              <w:rPr>
                <w:rFonts w:ascii="Arial" w:hAnsi="Arial" w:cs="Arial"/>
              </w:rPr>
              <w:t xml:space="preserve"> and notary), 3(b)(ii), 6(4)(c), 7(1)(a), 11(1)(d), 29(1)(b), 30(1)(b)(ii), 30(3)(a), 31(4), 68(1)(d), 74(1)(a), 102(1)(d) and 114(3).  I</w:t>
            </w:r>
            <w:r w:rsidRPr="00113274">
              <w:rPr>
                <w:rFonts w:ascii="Arial" w:hAnsi="Arial" w:cs="Arial"/>
              </w:rPr>
              <w:t>t has its ordinary meaning, namely to pursue a profession actively</w:t>
            </w:r>
            <w:r w:rsidR="00B537C4">
              <w:rPr>
                <w:rFonts w:ascii="Arial" w:hAnsi="Arial" w:cs="Arial"/>
              </w:rPr>
              <w:t>.  (There are likewise similar numerous references to “</w:t>
            </w:r>
            <w:proofErr w:type="spellStart"/>
            <w:r w:rsidR="00B537C4">
              <w:rPr>
                <w:rFonts w:ascii="Arial" w:hAnsi="Arial" w:cs="Arial"/>
              </w:rPr>
              <w:t>practising</w:t>
            </w:r>
            <w:proofErr w:type="spellEnd"/>
            <w:r w:rsidR="00B537C4">
              <w:rPr>
                <w:rFonts w:ascii="Arial" w:hAnsi="Arial" w:cs="Arial"/>
              </w:rPr>
              <w:t xml:space="preserve"> attorneys” in the Attorneys Act, 1979).  </w:t>
            </w:r>
          </w:p>
          <w:p w:rsidR="002D1F5B" w:rsidRDefault="002D1F5B" w:rsidP="00FF7E12">
            <w:pPr>
              <w:rPr>
                <w:rFonts w:ascii="Arial" w:hAnsi="Arial" w:cs="Arial"/>
              </w:rPr>
            </w:pPr>
          </w:p>
          <w:p w:rsidR="00B537C4" w:rsidRDefault="00B537C4" w:rsidP="00FF7E12">
            <w:pPr>
              <w:rPr>
                <w:rFonts w:ascii="Arial" w:hAnsi="Arial" w:cs="Arial"/>
              </w:rPr>
            </w:pPr>
            <w:r>
              <w:rPr>
                <w:rFonts w:ascii="Arial" w:hAnsi="Arial" w:cs="Arial"/>
              </w:rPr>
              <w:t>(e)</w:t>
            </w:r>
            <w:r>
              <w:rPr>
                <w:rFonts w:ascii="Arial" w:hAnsi="Arial" w:cs="Arial"/>
              </w:rPr>
              <w:tab/>
              <w:t xml:space="preserve">The National Bar Council of South Africa </w:t>
            </w:r>
            <w:r w:rsidR="00442C6E">
              <w:rPr>
                <w:rFonts w:ascii="Arial" w:hAnsi="Arial" w:cs="Arial"/>
              </w:rPr>
              <w:t xml:space="preserve">refers to “consultants”.  It is </w:t>
            </w:r>
            <w:r w:rsidR="00442C6E">
              <w:rPr>
                <w:rFonts w:ascii="Arial" w:hAnsi="Arial" w:cs="Arial"/>
              </w:rPr>
              <w:lastRenderedPageBreak/>
              <w:t xml:space="preserve">important at the outset to state that the Act is </w:t>
            </w:r>
            <w:r w:rsidR="004F5E97">
              <w:rPr>
                <w:rFonts w:ascii="Arial" w:hAnsi="Arial" w:cs="Arial"/>
              </w:rPr>
              <w:t xml:space="preserve">intended to regulate the affairs of legal practitioners with the focus on </w:t>
            </w:r>
            <w:proofErr w:type="spellStart"/>
            <w:r w:rsidR="004F5E97">
              <w:rPr>
                <w:rFonts w:ascii="Arial" w:hAnsi="Arial" w:cs="Arial"/>
              </w:rPr>
              <w:t>practising</w:t>
            </w:r>
            <w:proofErr w:type="spellEnd"/>
            <w:r w:rsidR="004F5E97">
              <w:rPr>
                <w:rFonts w:ascii="Arial" w:hAnsi="Arial" w:cs="Arial"/>
              </w:rPr>
              <w:t xml:space="preserve"> legal practitioners.  </w:t>
            </w:r>
            <w:r w:rsidR="005B5E7E">
              <w:rPr>
                <w:rFonts w:ascii="Arial" w:hAnsi="Arial" w:cs="Arial"/>
              </w:rPr>
              <w:t xml:space="preserve">Its focus is </w:t>
            </w:r>
            <w:r w:rsidR="00442C6E">
              <w:rPr>
                <w:rFonts w:ascii="Arial" w:hAnsi="Arial" w:cs="Arial"/>
              </w:rPr>
              <w:t xml:space="preserve">not </w:t>
            </w:r>
            <w:r w:rsidR="004F5E97">
              <w:rPr>
                <w:rFonts w:ascii="Arial" w:hAnsi="Arial" w:cs="Arial"/>
              </w:rPr>
              <w:t>on</w:t>
            </w:r>
            <w:r w:rsidR="00442C6E">
              <w:rPr>
                <w:rFonts w:ascii="Arial" w:hAnsi="Arial" w:cs="Arial"/>
              </w:rPr>
              <w:t xml:space="preserve"> consultants or </w:t>
            </w:r>
            <w:r w:rsidR="005B5E7E">
              <w:rPr>
                <w:rFonts w:ascii="Arial" w:hAnsi="Arial" w:cs="Arial"/>
              </w:rPr>
              <w:t>corporate</w:t>
            </w:r>
            <w:r w:rsidR="00442C6E">
              <w:rPr>
                <w:rFonts w:ascii="Arial" w:hAnsi="Arial" w:cs="Arial"/>
              </w:rPr>
              <w:t xml:space="preserve"> counsel, otherwise also known as law or legal</w:t>
            </w:r>
            <w:r w:rsidR="004F5E97">
              <w:rPr>
                <w:rFonts w:ascii="Arial" w:hAnsi="Arial" w:cs="Arial"/>
              </w:rPr>
              <w:t xml:space="preserve"> advisers in the private sector</w:t>
            </w:r>
            <w:r w:rsidR="00FE3F47">
              <w:rPr>
                <w:rFonts w:ascii="Arial" w:hAnsi="Arial" w:cs="Arial"/>
              </w:rPr>
              <w:t>.  However, there may be</w:t>
            </w:r>
            <w:r w:rsidR="004F5E97">
              <w:rPr>
                <w:rFonts w:ascii="Arial" w:hAnsi="Arial" w:cs="Arial"/>
              </w:rPr>
              <w:t xml:space="preserve"> some limited instances </w:t>
            </w:r>
            <w:r w:rsidR="00FE3F47">
              <w:rPr>
                <w:rFonts w:ascii="Arial" w:hAnsi="Arial" w:cs="Arial"/>
              </w:rPr>
              <w:t xml:space="preserve">in which the Act </w:t>
            </w:r>
            <w:r w:rsidR="004F5E97">
              <w:rPr>
                <w:rFonts w:ascii="Arial" w:hAnsi="Arial" w:cs="Arial"/>
              </w:rPr>
              <w:t>may have a bearing on corporate counsel</w:t>
            </w:r>
            <w:r w:rsidR="00FE3F47">
              <w:rPr>
                <w:rFonts w:ascii="Arial" w:hAnsi="Arial" w:cs="Arial"/>
              </w:rPr>
              <w:t>, for instance legal advisers</w:t>
            </w:r>
            <w:r w:rsidR="004F5E97">
              <w:rPr>
                <w:rFonts w:ascii="Arial" w:hAnsi="Arial" w:cs="Arial"/>
              </w:rPr>
              <w:t xml:space="preserve"> who are admitted and enrolled </w:t>
            </w:r>
            <w:r w:rsidR="00FE3F47">
              <w:rPr>
                <w:rFonts w:ascii="Arial" w:hAnsi="Arial" w:cs="Arial"/>
              </w:rPr>
              <w:t xml:space="preserve">as </w:t>
            </w:r>
            <w:r w:rsidR="004F5E97">
              <w:rPr>
                <w:rFonts w:ascii="Arial" w:hAnsi="Arial" w:cs="Arial"/>
              </w:rPr>
              <w:t>legal practitioners on the roll of non-</w:t>
            </w:r>
            <w:proofErr w:type="spellStart"/>
            <w:r w:rsidR="004F5E97">
              <w:rPr>
                <w:rFonts w:ascii="Arial" w:hAnsi="Arial" w:cs="Arial"/>
              </w:rPr>
              <w:t>practising</w:t>
            </w:r>
            <w:proofErr w:type="spellEnd"/>
            <w:r w:rsidR="004F5E97">
              <w:rPr>
                <w:rFonts w:ascii="Arial" w:hAnsi="Arial" w:cs="Arial"/>
              </w:rPr>
              <w:t xml:space="preserve"> legal practitioners, </w:t>
            </w:r>
            <w:r w:rsidR="00FE3F47">
              <w:rPr>
                <w:rFonts w:ascii="Arial" w:hAnsi="Arial" w:cs="Arial"/>
              </w:rPr>
              <w:t>and who</w:t>
            </w:r>
            <w:r w:rsidR="004F5E97">
              <w:rPr>
                <w:rFonts w:ascii="Arial" w:hAnsi="Arial" w:cs="Arial"/>
              </w:rPr>
              <w:t xml:space="preserve"> are found to be guilty of serious misconduct</w:t>
            </w:r>
            <w:r w:rsidR="00FE3F47">
              <w:rPr>
                <w:rFonts w:ascii="Arial" w:hAnsi="Arial" w:cs="Arial"/>
              </w:rPr>
              <w:t>,</w:t>
            </w:r>
            <w:r w:rsidR="004F5E97">
              <w:rPr>
                <w:rFonts w:ascii="Arial" w:hAnsi="Arial" w:cs="Arial"/>
              </w:rPr>
              <w:t xml:space="preserve"> unbecoming of an officer of the court.  If non-</w:t>
            </w:r>
            <w:proofErr w:type="spellStart"/>
            <w:r w:rsidR="004F5E97">
              <w:rPr>
                <w:rFonts w:ascii="Arial" w:hAnsi="Arial" w:cs="Arial"/>
              </w:rPr>
              <w:t>practising</w:t>
            </w:r>
            <w:proofErr w:type="spellEnd"/>
            <w:r w:rsidR="004F5E97">
              <w:rPr>
                <w:rFonts w:ascii="Arial" w:hAnsi="Arial" w:cs="Arial"/>
              </w:rPr>
              <w:t xml:space="preserve"> legal practitioners who are private sector legal advisers do not wish to fall under the jurisdiction of the Act, they will have to remove their names from the roll.  There are also private sector legal advisers who have legal qualifications but who have never been admitted and enrolled as legal practitioners.  They do not fall under the jurisdiction of the Act at all.  </w:t>
            </w:r>
          </w:p>
          <w:p w:rsidR="00305214" w:rsidRDefault="00305214" w:rsidP="00FF7E12">
            <w:pPr>
              <w:rPr>
                <w:rFonts w:ascii="Arial" w:hAnsi="Arial" w:cs="Arial"/>
              </w:rPr>
            </w:pPr>
          </w:p>
          <w:p w:rsidR="00305214" w:rsidRPr="00113274" w:rsidRDefault="00305214" w:rsidP="00FF7E12">
            <w:pPr>
              <w:rPr>
                <w:rFonts w:ascii="Arial" w:hAnsi="Arial" w:cs="Arial"/>
              </w:rPr>
            </w:pPr>
            <w:r>
              <w:rPr>
                <w:rFonts w:ascii="Arial" w:hAnsi="Arial" w:cs="Arial"/>
              </w:rPr>
              <w:t>With the above as background, the Department is of the view that there is no need to define “</w:t>
            </w:r>
            <w:proofErr w:type="spellStart"/>
            <w:r>
              <w:rPr>
                <w:rFonts w:ascii="Arial" w:hAnsi="Arial" w:cs="Arial"/>
              </w:rPr>
              <w:t>practising</w:t>
            </w:r>
            <w:proofErr w:type="spellEnd"/>
            <w:r>
              <w:rPr>
                <w:rFonts w:ascii="Arial" w:hAnsi="Arial" w:cs="Arial"/>
              </w:rPr>
              <w:t xml:space="preserve"> legal practitioner”.</w:t>
            </w:r>
          </w:p>
          <w:p w:rsidR="00FF7E12" w:rsidRDefault="00FF7E12" w:rsidP="00113274">
            <w:pPr>
              <w:rPr>
                <w:rFonts w:ascii="Arial" w:hAnsi="Arial" w:cs="Arial"/>
              </w:rPr>
            </w:pPr>
          </w:p>
          <w:p w:rsidR="008F515C" w:rsidRDefault="00A36059" w:rsidP="00F11FE4">
            <w:pPr>
              <w:rPr>
                <w:rFonts w:ascii="Arial" w:hAnsi="Arial" w:cs="Arial"/>
              </w:rPr>
            </w:pPr>
            <w:r>
              <w:rPr>
                <w:rFonts w:ascii="Arial" w:hAnsi="Arial" w:cs="Arial"/>
              </w:rPr>
              <w:t xml:space="preserve">Section 33 of the Act deals with the authority to render legal services.  It </w:t>
            </w:r>
            <w:proofErr w:type="spellStart"/>
            <w:r w:rsidR="00305214">
              <w:rPr>
                <w:rFonts w:ascii="Arial" w:hAnsi="Arial" w:cs="Arial"/>
              </w:rPr>
              <w:t>setsout</w:t>
            </w:r>
            <w:proofErr w:type="spellEnd"/>
            <w:r w:rsidR="00305214">
              <w:rPr>
                <w:rFonts w:ascii="Arial" w:hAnsi="Arial" w:cs="Arial"/>
              </w:rPr>
              <w:t xml:space="preserve"> the small list of work that is </w:t>
            </w:r>
            <w:r>
              <w:rPr>
                <w:rFonts w:ascii="Arial" w:hAnsi="Arial" w:cs="Arial"/>
              </w:rPr>
              <w:t xml:space="preserve">specifically reserved for </w:t>
            </w:r>
            <w:proofErr w:type="spellStart"/>
            <w:r w:rsidR="00F11FE4">
              <w:rPr>
                <w:rFonts w:ascii="Arial" w:hAnsi="Arial" w:cs="Arial"/>
              </w:rPr>
              <w:t>practising</w:t>
            </w:r>
            <w:proofErr w:type="spellEnd"/>
            <w:r w:rsidR="00F11FE4">
              <w:rPr>
                <w:rFonts w:ascii="Arial" w:hAnsi="Arial" w:cs="Arial"/>
              </w:rPr>
              <w:t xml:space="preserve"> </w:t>
            </w:r>
            <w:r>
              <w:rPr>
                <w:rFonts w:ascii="Arial" w:hAnsi="Arial" w:cs="Arial"/>
              </w:rPr>
              <w:t>legal practitioners</w:t>
            </w:r>
            <w:r w:rsidR="00305214">
              <w:rPr>
                <w:rFonts w:ascii="Arial" w:hAnsi="Arial" w:cs="Arial"/>
              </w:rPr>
              <w:t xml:space="preserve"> only, namely appearing in courts and drawing up court documents</w:t>
            </w:r>
            <w:r>
              <w:rPr>
                <w:rFonts w:ascii="Arial" w:hAnsi="Arial" w:cs="Arial"/>
              </w:rPr>
              <w:t>.</w:t>
            </w:r>
            <w:r w:rsidR="00F11FE4">
              <w:rPr>
                <w:rFonts w:ascii="Arial" w:hAnsi="Arial" w:cs="Arial"/>
              </w:rPr>
              <w:t xml:space="preserve">  Non-</w:t>
            </w:r>
            <w:proofErr w:type="spellStart"/>
            <w:r w:rsidR="00F11FE4">
              <w:rPr>
                <w:rFonts w:ascii="Arial" w:hAnsi="Arial" w:cs="Arial"/>
              </w:rPr>
              <w:t>practising</w:t>
            </w:r>
            <w:proofErr w:type="spellEnd"/>
            <w:r w:rsidR="00F11FE4">
              <w:rPr>
                <w:rFonts w:ascii="Arial" w:hAnsi="Arial" w:cs="Arial"/>
              </w:rPr>
              <w:t xml:space="preserve"> legal practitioners are not allowed to carry out these functions because they do not have </w:t>
            </w:r>
            <w:proofErr w:type="gramStart"/>
            <w:r w:rsidR="00F11FE4">
              <w:rPr>
                <w:rFonts w:ascii="Arial" w:hAnsi="Arial" w:cs="Arial"/>
              </w:rPr>
              <w:t>Fidelity Fund certificates which is</w:t>
            </w:r>
            <w:proofErr w:type="gramEnd"/>
            <w:r w:rsidR="00F11FE4">
              <w:rPr>
                <w:rFonts w:ascii="Arial" w:hAnsi="Arial" w:cs="Arial"/>
              </w:rPr>
              <w:t xml:space="preserve"> there for the public protection.</w:t>
            </w:r>
            <w:r w:rsidR="00305214">
              <w:rPr>
                <w:rFonts w:ascii="Arial" w:hAnsi="Arial" w:cs="Arial"/>
              </w:rPr>
              <w:t xml:space="preserve">  The proposed amendment will not preclude corporate counsel from </w:t>
            </w:r>
            <w:r w:rsidR="00F11FE4">
              <w:rPr>
                <w:rFonts w:ascii="Arial" w:hAnsi="Arial" w:cs="Arial"/>
              </w:rPr>
              <w:t>continuing to offer legal services for remuneration so long as those services do not amount to the reserved work set out above.  In conclusion, the insertion of the word “</w:t>
            </w:r>
            <w:proofErr w:type="spellStart"/>
            <w:r w:rsidR="00F11FE4">
              <w:rPr>
                <w:rFonts w:ascii="Arial" w:hAnsi="Arial" w:cs="Arial"/>
              </w:rPr>
              <w:t>practising</w:t>
            </w:r>
            <w:proofErr w:type="spellEnd"/>
            <w:r w:rsidR="00F11FE4">
              <w:rPr>
                <w:rFonts w:ascii="Arial" w:hAnsi="Arial" w:cs="Arial"/>
              </w:rPr>
              <w:t xml:space="preserve">” is for the public good in that legal practitioners who carry out reserved work will do so with the backing that comes with having a Fidelity Fund certificate. </w:t>
            </w:r>
          </w:p>
          <w:p w:rsidR="005B5E7E" w:rsidRDefault="005B5E7E" w:rsidP="005B5E7E">
            <w:pPr>
              <w:rPr>
                <w:rFonts w:ascii="Arial" w:hAnsi="Arial" w:cs="Arial"/>
              </w:rPr>
            </w:pPr>
            <w:r>
              <w:rPr>
                <w:rFonts w:ascii="Arial" w:hAnsi="Arial" w:cs="Arial"/>
              </w:rPr>
              <w:t xml:space="preserve">The reference to paralegals in this context is inappropriate as paralegals cannot render the services referred to in section 33. </w:t>
            </w:r>
            <w:r w:rsidR="00972F6B">
              <w:rPr>
                <w:rFonts w:ascii="Arial" w:hAnsi="Arial" w:cs="Arial"/>
              </w:rPr>
              <w:t xml:space="preserve">Paralegals are not included in the definition of legal practitioner. </w:t>
            </w:r>
          </w:p>
          <w:p w:rsidR="005B5E7E" w:rsidRDefault="005B5E7E" w:rsidP="005B5E7E">
            <w:pPr>
              <w:rPr>
                <w:rFonts w:ascii="Arial" w:hAnsi="Arial" w:cs="Arial"/>
              </w:rPr>
            </w:pPr>
          </w:p>
          <w:p w:rsidR="005B5E7E" w:rsidRDefault="005B5E7E" w:rsidP="005B5E7E">
            <w:pPr>
              <w:rPr>
                <w:rFonts w:ascii="Arial" w:hAnsi="Arial" w:cs="Arial"/>
              </w:rPr>
            </w:pPr>
            <w:r>
              <w:rPr>
                <w:rFonts w:ascii="Arial" w:hAnsi="Arial" w:cs="Arial"/>
              </w:rPr>
              <w:lastRenderedPageBreak/>
              <w:t>The insertion of the word ‘</w:t>
            </w:r>
            <w:proofErr w:type="spellStart"/>
            <w:r>
              <w:rPr>
                <w:rFonts w:ascii="Arial" w:hAnsi="Arial" w:cs="Arial"/>
              </w:rPr>
              <w:t>practising</w:t>
            </w:r>
            <w:proofErr w:type="spellEnd"/>
            <w:r>
              <w:rPr>
                <w:rFonts w:ascii="Arial" w:hAnsi="Arial" w:cs="Arial"/>
              </w:rPr>
              <w:t>’ is for the protection of the public and not the legal fraternity.</w:t>
            </w:r>
          </w:p>
          <w:p w:rsidR="005B5E7E" w:rsidRDefault="005B5E7E" w:rsidP="005B5E7E">
            <w:pPr>
              <w:rPr>
                <w:rFonts w:ascii="Arial" w:hAnsi="Arial" w:cs="Arial"/>
              </w:rPr>
            </w:pPr>
          </w:p>
          <w:p w:rsidR="005B5E7E" w:rsidRPr="00113274" w:rsidRDefault="005B5E7E" w:rsidP="005B5E7E">
            <w:pPr>
              <w:rPr>
                <w:rFonts w:ascii="Arial" w:hAnsi="Arial" w:cs="Arial"/>
              </w:rPr>
            </w:pPr>
          </w:p>
        </w:tc>
      </w:tr>
      <w:tr w:rsidR="00142B1A" w:rsidRPr="003B3B20" w:rsidTr="00C41958">
        <w:tc>
          <w:tcPr>
            <w:tcW w:w="491" w:type="pct"/>
          </w:tcPr>
          <w:p w:rsidR="00142B1A" w:rsidRDefault="00142B1A" w:rsidP="00113274">
            <w:pPr>
              <w:rPr>
                <w:rFonts w:ascii="Arial" w:hAnsi="Arial" w:cs="Arial"/>
              </w:rPr>
            </w:pPr>
            <w:r>
              <w:rPr>
                <w:rFonts w:ascii="Arial" w:hAnsi="Arial" w:cs="Arial"/>
              </w:rPr>
              <w:lastRenderedPageBreak/>
              <w:t>8</w:t>
            </w:r>
          </w:p>
        </w:tc>
        <w:tc>
          <w:tcPr>
            <w:tcW w:w="578" w:type="pct"/>
          </w:tcPr>
          <w:p w:rsidR="00142B1A" w:rsidRPr="00113274" w:rsidRDefault="00142B1A" w:rsidP="00113274">
            <w:pPr>
              <w:rPr>
                <w:rFonts w:ascii="Arial" w:hAnsi="Arial" w:cs="Arial"/>
              </w:rPr>
            </w:pPr>
            <w:proofErr w:type="spellStart"/>
            <w:r w:rsidRPr="00142B1A">
              <w:rPr>
                <w:rFonts w:ascii="Arial" w:hAnsi="Arial" w:cs="Arial"/>
              </w:rPr>
              <w:t>ClearlawSA</w:t>
            </w:r>
            <w:proofErr w:type="spellEnd"/>
            <w:r w:rsidRPr="00142B1A">
              <w:rPr>
                <w:rFonts w:ascii="Arial" w:hAnsi="Arial" w:cs="Arial"/>
              </w:rPr>
              <w:t xml:space="preserve"> Pty Ltd</w:t>
            </w:r>
          </w:p>
        </w:tc>
        <w:tc>
          <w:tcPr>
            <w:tcW w:w="983" w:type="pct"/>
          </w:tcPr>
          <w:p w:rsidR="00142B1A" w:rsidRPr="00113274" w:rsidRDefault="00142B1A" w:rsidP="00142B1A">
            <w:pPr>
              <w:pStyle w:val="ListParagraph"/>
              <w:ind w:left="0"/>
              <w:rPr>
                <w:rFonts w:ascii="Arial" w:hAnsi="Arial" w:cs="Arial"/>
              </w:rPr>
            </w:pPr>
            <w:r>
              <w:rPr>
                <w:rFonts w:ascii="Arial" w:hAnsi="Arial" w:cs="Arial"/>
              </w:rPr>
              <w:t>T</w:t>
            </w:r>
            <w:r w:rsidRPr="00113274">
              <w:rPr>
                <w:rFonts w:ascii="Arial" w:hAnsi="Arial" w:cs="Arial"/>
              </w:rPr>
              <w:t>he proposed amendment renders the date on which the National Forum will need to hand over to the Council and the date on which that Forum will cease to exist</w:t>
            </w:r>
            <w:r>
              <w:rPr>
                <w:rFonts w:ascii="Arial" w:hAnsi="Arial" w:cs="Arial"/>
              </w:rPr>
              <w:t>,</w:t>
            </w:r>
            <w:r w:rsidRPr="00113274">
              <w:rPr>
                <w:rFonts w:ascii="Arial" w:hAnsi="Arial" w:cs="Arial"/>
              </w:rPr>
              <w:t xml:space="preserve"> vague. They propose the inclusion of the words: “which should not be later than 1 February 2018.</w:t>
            </w:r>
            <w:proofErr w:type="gramStart"/>
            <w:r w:rsidRPr="00113274">
              <w:rPr>
                <w:rFonts w:ascii="Arial" w:hAnsi="Arial" w:cs="Arial"/>
              </w:rPr>
              <w:t>”.</w:t>
            </w:r>
            <w:proofErr w:type="gramEnd"/>
          </w:p>
          <w:p w:rsidR="00142B1A" w:rsidRPr="00113274" w:rsidRDefault="00142B1A" w:rsidP="00142B1A">
            <w:pPr>
              <w:pStyle w:val="ListParagraph"/>
              <w:ind w:left="0"/>
              <w:rPr>
                <w:rFonts w:ascii="Arial" w:hAnsi="Arial" w:cs="Arial"/>
              </w:rPr>
            </w:pPr>
          </w:p>
          <w:p w:rsidR="00142B1A" w:rsidRPr="00113274" w:rsidRDefault="00142B1A" w:rsidP="00142B1A">
            <w:pPr>
              <w:rPr>
                <w:rFonts w:ascii="Arial" w:eastAsia="Calibri" w:hAnsi="Arial" w:cs="Arial"/>
              </w:rPr>
            </w:pPr>
            <w:r w:rsidRPr="00113274">
              <w:rPr>
                <w:rFonts w:ascii="Arial" w:hAnsi="Arial" w:cs="Arial"/>
              </w:rPr>
              <w:t>The proposed amendment does not go far enough because it fails to indicate that membership of the Forum should also terminate on the date that the Forum terminates.</w:t>
            </w:r>
          </w:p>
        </w:tc>
        <w:tc>
          <w:tcPr>
            <w:tcW w:w="2948" w:type="pct"/>
          </w:tcPr>
          <w:p w:rsidR="00EC3515" w:rsidRDefault="00EC3515" w:rsidP="00142B1A">
            <w:pPr>
              <w:pStyle w:val="ListParagraph"/>
              <w:ind w:left="0"/>
              <w:rPr>
                <w:rFonts w:ascii="Arial" w:hAnsi="Arial" w:cs="Arial"/>
              </w:rPr>
            </w:pPr>
            <w:r>
              <w:rPr>
                <w:rFonts w:ascii="Arial" w:hAnsi="Arial" w:cs="Arial"/>
              </w:rPr>
              <w:t xml:space="preserve">They did not comment on the amended clause 8 where a final date of 31/10/2018 is inserted. </w:t>
            </w:r>
          </w:p>
          <w:p w:rsidR="00EC3515" w:rsidRDefault="00EC3515" w:rsidP="00142B1A">
            <w:pPr>
              <w:pStyle w:val="ListParagraph"/>
              <w:ind w:left="0"/>
              <w:rPr>
                <w:rFonts w:ascii="Arial" w:hAnsi="Arial" w:cs="Arial"/>
              </w:rPr>
            </w:pPr>
          </w:p>
          <w:p w:rsidR="00142B1A" w:rsidRDefault="00142B1A" w:rsidP="00142B1A">
            <w:pPr>
              <w:rPr>
                <w:rFonts w:ascii="Arial" w:eastAsia="Calibri" w:hAnsi="Arial" w:cs="Arial"/>
              </w:rPr>
            </w:pPr>
          </w:p>
        </w:tc>
      </w:tr>
      <w:tr w:rsidR="008708F4" w:rsidRPr="003B3B20" w:rsidTr="00C41958">
        <w:tc>
          <w:tcPr>
            <w:tcW w:w="491" w:type="pct"/>
          </w:tcPr>
          <w:p w:rsidR="008708F4" w:rsidRDefault="008708F4" w:rsidP="00113274">
            <w:pPr>
              <w:rPr>
                <w:rFonts w:ascii="Arial" w:hAnsi="Arial" w:cs="Arial"/>
              </w:rPr>
            </w:pPr>
            <w:r>
              <w:rPr>
                <w:rFonts w:ascii="Arial" w:hAnsi="Arial" w:cs="Arial"/>
              </w:rPr>
              <w:t>9</w:t>
            </w:r>
          </w:p>
        </w:tc>
        <w:tc>
          <w:tcPr>
            <w:tcW w:w="578" w:type="pct"/>
          </w:tcPr>
          <w:p w:rsidR="008708F4" w:rsidRPr="00113274" w:rsidRDefault="008708F4" w:rsidP="00113274">
            <w:pPr>
              <w:rPr>
                <w:rFonts w:ascii="Arial" w:hAnsi="Arial" w:cs="Arial"/>
              </w:rPr>
            </w:pPr>
            <w:proofErr w:type="spellStart"/>
            <w:r w:rsidRPr="00142B1A">
              <w:rPr>
                <w:rFonts w:ascii="Arial" w:hAnsi="Arial" w:cs="Arial"/>
              </w:rPr>
              <w:t>ClearlawSA</w:t>
            </w:r>
            <w:proofErr w:type="spellEnd"/>
            <w:r w:rsidRPr="00142B1A">
              <w:rPr>
                <w:rFonts w:ascii="Arial" w:hAnsi="Arial" w:cs="Arial"/>
              </w:rPr>
              <w:t xml:space="preserve"> Pty Ltd</w:t>
            </w:r>
          </w:p>
        </w:tc>
        <w:tc>
          <w:tcPr>
            <w:tcW w:w="983" w:type="pct"/>
          </w:tcPr>
          <w:p w:rsidR="008708F4" w:rsidRDefault="008708F4" w:rsidP="008708F4">
            <w:pPr>
              <w:pStyle w:val="ListParagraph"/>
              <w:ind w:left="0"/>
              <w:rPr>
                <w:rFonts w:ascii="Arial" w:hAnsi="Arial" w:cs="Arial"/>
              </w:rPr>
            </w:pPr>
            <w:r>
              <w:rPr>
                <w:rFonts w:ascii="Arial" w:hAnsi="Arial" w:cs="Arial"/>
              </w:rPr>
              <w:t>Clause 6(d)</w:t>
            </w:r>
            <w:r w:rsidR="00EC3515">
              <w:rPr>
                <w:rFonts w:ascii="Arial" w:hAnsi="Arial" w:cs="Arial"/>
              </w:rPr>
              <w:t xml:space="preserve"> (now </w:t>
            </w:r>
            <w:proofErr w:type="spellStart"/>
            <w:r w:rsidR="00EC3515">
              <w:rPr>
                <w:rFonts w:ascii="Arial" w:hAnsi="Arial" w:cs="Arial"/>
              </w:rPr>
              <w:t>clasue</w:t>
            </w:r>
            <w:proofErr w:type="spellEnd"/>
            <w:r w:rsidR="00EC3515">
              <w:rPr>
                <w:rFonts w:ascii="Arial" w:hAnsi="Arial" w:cs="Arial"/>
              </w:rPr>
              <w:t xml:space="preserve"> 9(e))</w:t>
            </w:r>
            <w:r>
              <w:rPr>
                <w:rFonts w:ascii="Arial" w:hAnsi="Arial" w:cs="Arial"/>
              </w:rPr>
              <w:t xml:space="preserve"> of the Bill amends section 97(2</w:t>
            </w:r>
            <w:proofErr w:type="gramStart"/>
            <w:r>
              <w:rPr>
                <w:rFonts w:ascii="Arial" w:hAnsi="Arial" w:cs="Arial"/>
              </w:rPr>
              <w:t>)(</w:t>
            </w:r>
            <w:proofErr w:type="gramEnd"/>
            <w:r>
              <w:rPr>
                <w:rFonts w:ascii="Arial" w:hAnsi="Arial" w:cs="Arial"/>
              </w:rPr>
              <w:t xml:space="preserve">a) of the Act.  Section 97 deals with </w:t>
            </w:r>
            <w:r>
              <w:rPr>
                <w:rFonts w:ascii="Arial" w:hAnsi="Arial" w:cs="Arial"/>
              </w:rPr>
              <w:lastRenderedPageBreak/>
              <w:t xml:space="preserve">the terms of reference of the National Forum and section 97(2)(a) provides that the National Forum must, within 24 months of the commencement of Chapter 10, negotiate and reach agreement with the law societies in respect of the transfer of their assets, rights, liabilities, obligations and staff, to the Council and provincial councils.  The amendment adds that the National Forum must also reach agreement on the date on which the law societies will be dissolved, which date may not be later than 6 months after the date of commencement of Chapter 2. </w:t>
            </w:r>
          </w:p>
          <w:p w:rsidR="008708F4" w:rsidRDefault="008708F4" w:rsidP="008D729D">
            <w:pPr>
              <w:rPr>
                <w:rFonts w:ascii="Arial" w:eastAsia="Calibri" w:hAnsi="Arial" w:cs="Arial"/>
              </w:rPr>
            </w:pPr>
          </w:p>
          <w:p w:rsidR="008708F4" w:rsidRPr="00113274" w:rsidRDefault="008708F4" w:rsidP="008708F4">
            <w:pPr>
              <w:pStyle w:val="ListParagraph"/>
              <w:ind w:left="0"/>
              <w:rPr>
                <w:rFonts w:ascii="Arial" w:hAnsi="Arial" w:cs="Arial"/>
              </w:rPr>
            </w:pPr>
            <w:proofErr w:type="spellStart"/>
            <w:r>
              <w:rPr>
                <w:rFonts w:ascii="Arial" w:hAnsi="Arial" w:cs="Arial"/>
              </w:rPr>
              <w:t>ClearlawSA</w:t>
            </w:r>
            <w:proofErr w:type="spellEnd"/>
            <w:r>
              <w:rPr>
                <w:rFonts w:ascii="Arial" w:hAnsi="Arial" w:cs="Arial"/>
              </w:rPr>
              <w:t xml:space="preserve"> suggests the insertion</w:t>
            </w:r>
            <w:r w:rsidRPr="00113274">
              <w:rPr>
                <w:rFonts w:ascii="Arial" w:hAnsi="Arial" w:cs="Arial"/>
              </w:rPr>
              <w:t xml:space="preserve"> of the following </w:t>
            </w:r>
            <w:proofErr w:type="spellStart"/>
            <w:r w:rsidRPr="00113274">
              <w:rPr>
                <w:rFonts w:ascii="Arial" w:hAnsi="Arial" w:cs="Arial"/>
              </w:rPr>
              <w:t>wording</w:t>
            </w:r>
            <w:r>
              <w:rPr>
                <w:rFonts w:ascii="Arial" w:hAnsi="Arial" w:cs="Arial"/>
              </w:rPr>
              <w:t>should</w:t>
            </w:r>
            <w:proofErr w:type="spellEnd"/>
            <w:r>
              <w:rPr>
                <w:rFonts w:ascii="Arial" w:hAnsi="Arial" w:cs="Arial"/>
              </w:rPr>
              <w:t xml:space="preserve"> agreement not be reached</w:t>
            </w:r>
            <w:r w:rsidRPr="00113274">
              <w:rPr>
                <w:rFonts w:ascii="Arial" w:hAnsi="Arial" w:cs="Arial"/>
              </w:rPr>
              <w:t>:</w:t>
            </w:r>
          </w:p>
          <w:p w:rsidR="008708F4" w:rsidRPr="00113274" w:rsidRDefault="008708F4" w:rsidP="008708F4">
            <w:pPr>
              <w:rPr>
                <w:rFonts w:ascii="Arial" w:eastAsia="Calibri" w:hAnsi="Arial" w:cs="Arial"/>
              </w:rPr>
            </w:pPr>
            <w:r w:rsidRPr="00113274">
              <w:rPr>
                <w:rFonts w:ascii="Arial" w:hAnsi="Arial" w:cs="Arial"/>
              </w:rPr>
              <w:lastRenderedPageBreak/>
              <w:t>“provided further that in the absence of an agreement, the law societies shall transfer their assets, rights, liabilities, obligations and staff to the Council with effect from 1 February 2018.’’</w:t>
            </w:r>
          </w:p>
        </w:tc>
        <w:tc>
          <w:tcPr>
            <w:tcW w:w="2948" w:type="pct"/>
          </w:tcPr>
          <w:p w:rsidR="008708F4" w:rsidRPr="00545063" w:rsidRDefault="008708F4" w:rsidP="008708F4">
            <w:pPr>
              <w:rPr>
                <w:rFonts w:ascii="Arial" w:hAnsi="Arial" w:cs="Arial"/>
              </w:rPr>
            </w:pPr>
            <w:r w:rsidRPr="00545063">
              <w:rPr>
                <w:rFonts w:ascii="Arial" w:hAnsi="Arial" w:cs="Arial"/>
              </w:rPr>
              <w:lastRenderedPageBreak/>
              <w:t xml:space="preserve">The Department does not support this insertion.  Law societies, with their assets and liabilities and staff, exist as entities in their own right.  Their assets cannot simply be transferred.  There has to be agreement.  </w:t>
            </w:r>
            <w:r>
              <w:rPr>
                <w:rFonts w:ascii="Arial" w:hAnsi="Arial" w:cs="Arial"/>
              </w:rPr>
              <w:t>(See section 60(1) of the Attorneys Act, 1979 which provides that</w:t>
            </w:r>
            <w:r w:rsidRPr="00545063">
              <w:rPr>
                <w:rFonts w:ascii="Arial" w:hAnsi="Arial" w:cs="Arial"/>
              </w:rPr>
              <w:t> </w:t>
            </w:r>
            <w:r>
              <w:rPr>
                <w:rFonts w:ascii="Arial" w:hAnsi="Arial" w:cs="Arial"/>
              </w:rPr>
              <w:t>t</w:t>
            </w:r>
            <w:r w:rsidRPr="00545063">
              <w:rPr>
                <w:rFonts w:ascii="Arial" w:hAnsi="Arial" w:cs="Arial"/>
              </w:rPr>
              <w:t xml:space="preserve">he affairs of a </w:t>
            </w:r>
            <w:r>
              <w:rPr>
                <w:rFonts w:ascii="Arial" w:hAnsi="Arial" w:cs="Arial"/>
              </w:rPr>
              <w:t xml:space="preserve">law </w:t>
            </w:r>
            <w:r w:rsidRPr="00545063">
              <w:rPr>
                <w:rFonts w:ascii="Arial" w:hAnsi="Arial" w:cs="Arial"/>
              </w:rPr>
              <w:t>society shall be managed and controlled by a council, which may,</w:t>
            </w:r>
            <w:r>
              <w:rPr>
                <w:rFonts w:ascii="Arial" w:hAnsi="Arial" w:cs="Arial"/>
              </w:rPr>
              <w:t xml:space="preserve"> subject to </w:t>
            </w:r>
            <w:r>
              <w:rPr>
                <w:rFonts w:ascii="Arial" w:hAnsi="Arial" w:cs="Arial"/>
              </w:rPr>
              <w:lastRenderedPageBreak/>
              <w:t>th</w:t>
            </w:r>
            <w:r w:rsidRPr="00545063">
              <w:rPr>
                <w:rFonts w:ascii="Arial" w:hAnsi="Arial" w:cs="Arial"/>
              </w:rPr>
              <w:t xml:space="preserve">e provisions </w:t>
            </w:r>
            <w:r w:rsidRPr="003548D0">
              <w:rPr>
                <w:rFonts w:ascii="Arial" w:hAnsi="Arial" w:cs="Arial"/>
              </w:rPr>
              <w:t xml:space="preserve">of </w:t>
            </w:r>
            <w:hyperlink r:id="rId8" w:anchor="g2" w:history="1">
              <w:r w:rsidRPr="003548D0">
                <w:rPr>
                  <w:rStyle w:val="Hyperlink"/>
                  <w:rFonts w:ascii="Arial" w:hAnsi="Arial" w:cs="Arial"/>
                  <w:color w:val="auto"/>
                  <w:u w:val="none"/>
                </w:rPr>
                <w:t>subsection (2)</w:t>
              </w:r>
            </w:hyperlink>
            <w:r w:rsidRPr="003548D0">
              <w:rPr>
                <w:rFonts w:ascii="Arial" w:hAnsi="Arial" w:cs="Arial"/>
              </w:rPr>
              <w:t>, exerci</w:t>
            </w:r>
            <w:r w:rsidRPr="00545063">
              <w:rPr>
                <w:rFonts w:ascii="Arial" w:hAnsi="Arial" w:cs="Arial"/>
              </w:rPr>
              <w:t>se the powers of the society.</w:t>
            </w:r>
            <w:r>
              <w:rPr>
                <w:rFonts w:ascii="Arial" w:hAnsi="Arial" w:cs="Arial"/>
              </w:rPr>
              <w:t xml:space="preserve">  Section 60(2) provides that t</w:t>
            </w:r>
            <w:r w:rsidRPr="00545063">
              <w:rPr>
                <w:rFonts w:ascii="Arial" w:hAnsi="Arial" w:cs="Arial"/>
              </w:rPr>
              <w:t xml:space="preserve">he alienation or mortgaging of any immovable property of a </w:t>
            </w:r>
            <w:r>
              <w:rPr>
                <w:rFonts w:ascii="Arial" w:hAnsi="Arial" w:cs="Arial"/>
              </w:rPr>
              <w:t xml:space="preserve">law </w:t>
            </w:r>
            <w:r w:rsidRPr="00545063">
              <w:rPr>
                <w:rFonts w:ascii="Arial" w:hAnsi="Arial" w:cs="Arial"/>
              </w:rPr>
              <w:t xml:space="preserve">society, the appointment of the auditors of a </w:t>
            </w:r>
            <w:r>
              <w:rPr>
                <w:rFonts w:ascii="Arial" w:hAnsi="Arial" w:cs="Arial"/>
              </w:rPr>
              <w:t xml:space="preserve">law </w:t>
            </w:r>
            <w:r w:rsidRPr="00545063">
              <w:rPr>
                <w:rFonts w:ascii="Arial" w:hAnsi="Arial" w:cs="Arial"/>
              </w:rPr>
              <w:t xml:space="preserve">society and the fixing of any subscription, fees, levies or other charges payable to a society by its members, shall be subject to the approval of such majority of the members of that </w:t>
            </w:r>
            <w:r>
              <w:rPr>
                <w:rFonts w:ascii="Arial" w:hAnsi="Arial" w:cs="Arial"/>
              </w:rPr>
              <w:t xml:space="preserve">law </w:t>
            </w:r>
            <w:r w:rsidRPr="00545063">
              <w:rPr>
                <w:rFonts w:ascii="Arial" w:hAnsi="Arial" w:cs="Arial"/>
              </w:rPr>
              <w:t>society who are present or represented at a general meeting or at a meeting specially convened for that purpose, as may be prescribed</w:t>
            </w:r>
            <w:r>
              <w:rPr>
                <w:rFonts w:ascii="Arial" w:hAnsi="Arial" w:cs="Arial"/>
              </w:rPr>
              <w:t>)</w:t>
            </w:r>
            <w:r w:rsidRPr="00545063">
              <w:rPr>
                <w:rFonts w:ascii="Arial" w:hAnsi="Arial" w:cs="Arial"/>
              </w:rPr>
              <w:t>.</w:t>
            </w:r>
            <w:r>
              <w:rPr>
                <w:rFonts w:ascii="Arial" w:hAnsi="Arial" w:cs="Arial"/>
              </w:rPr>
              <w:t xml:space="preserve">  Failure to reach agreement is catered for in section 97(4) of the Act, which provides that if an agreement cannot be reached between the National Forum and the law societies, the parties may agree to refer the matter to arbitration.</w:t>
            </w:r>
          </w:p>
          <w:p w:rsidR="008708F4" w:rsidRDefault="008708F4" w:rsidP="00852B8F">
            <w:pPr>
              <w:rPr>
                <w:rFonts w:ascii="Arial" w:eastAsia="Calibri" w:hAnsi="Arial" w:cs="Arial"/>
              </w:rPr>
            </w:pPr>
          </w:p>
        </w:tc>
      </w:tr>
      <w:tr w:rsidR="008D729D" w:rsidRPr="003B3B20" w:rsidTr="00C41958">
        <w:tc>
          <w:tcPr>
            <w:tcW w:w="491" w:type="pct"/>
          </w:tcPr>
          <w:p w:rsidR="008D729D" w:rsidRDefault="008D729D" w:rsidP="00113274">
            <w:pPr>
              <w:rPr>
                <w:rFonts w:ascii="Arial" w:hAnsi="Arial" w:cs="Arial"/>
              </w:rPr>
            </w:pPr>
            <w:r>
              <w:rPr>
                <w:rFonts w:ascii="Arial" w:hAnsi="Arial" w:cs="Arial"/>
              </w:rPr>
              <w:lastRenderedPageBreak/>
              <w:t>General comment</w:t>
            </w:r>
            <w:r w:rsidR="00852B8F">
              <w:rPr>
                <w:rFonts w:ascii="Arial" w:hAnsi="Arial" w:cs="Arial"/>
              </w:rPr>
              <w:t>s</w:t>
            </w:r>
          </w:p>
        </w:tc>
        <w:tc>
          <w:tcPr>
            <w:tcW w:w="578" w:type="pct"/>
          </w:tcPr>
          <w:p w:rsidR="008D729D" w:rsidRDefault="008D729D" w:rsidP="00113274">
            <w:pPr>
              <w:rPr>
                <w:rFonts w:ascii="Arial" w:hAnsi="Arial" w:cs="Arial"/>
              </w:rPr>
            </w:pPr>
            <w:r w:rsidRPr="00113274">
              <w:rPr>
                <w:rFonts w:ascii="Arial" w:hAnsi="Arial" w:cs="Arial"/>
              </w:rPr>
              <w:t xml:space="preserve">National Bar Council </w:t>
            </w:r>
            <w:r>
              <w:rPr>
                <w:rFonts w:ascii="Arial" w:hAnsi="Arial" w:cs="Arial"/>
              </w:rPr>
              <w:t>o</w:t>
            </w:r>
            <w:r w:rsidRPr="00113274">
              <w:rPr>
                <w:rFonts w:ascii="Arial" w:hAnsi="Arial" w:cs="Arial"/>
              </w:rPr>
              <w:t>f South Africa</w:t>
            </w:r>
          </w:p>
        </w:tc>
        <w:tc>
          <w:tcPr>
            <w:tcW w:w="983" w:type="pct"/>
          </w:tcPr>
          <w:p w:rsidR="008D729D" w:rsidRDefault="008D729D" w:rsidP="008D729D">
            <w:pPr>
              <w:rPr>
                <w:rFonts w:ascii="Arial" w:eastAsia="Calibri" w:hAnsi="Arial" w:cs="Arial"/>
              </w:rPr>
            </w:pPr>
            <w:r w:rsidRPr="00113274">
              <w:rPr>
                <w:rFonts w:ascii="Arial" w:eastAsia="Calibri" w:hAnsi="Arial" w:cs="Arial"/>
              </w:rPr>
              <w:t>Proposes an amendment to section 34(2</w:t>
            </w:r>
            <w:proofErr w:type="gramStart"/>
            <w:r w:rsidRPr="00113274">
              <w:rPr>
                <w:rFonts w:ascii="Arial" w:eastAsia="Calibri" w:hAnsi="Arial" w:cs="Arial"/>
              </w:rPr>
              <w:t>)(</w:t>
            </w:r>
            <w:proofErr w:type="gramEnd"/>
            <w:r w:rsidRPr="00113274">
              <w:rPr>
                <w:rFonts w:ascii="Arial" w:eastAsia="Calibri" w:hAnsi="Arial" w:cs="Arial"/>
              </w:rPr>
              <w:t>b)</w:t>
            </w:r>
            <w:r>
              <w:rPr>
                <w:rFonts w:ascii="Arial" w:eastAsia="Calibri" w:hAnsi="Arial" w:cs="Arial"/>
              </w:rPr>
              <w:t>.  Section 34(2)(b) reads as follows:</w:t>
            </w:r>
          </w:p>
          <w:p w:rsidR="008D729D" w:rsidRDefault="008D729D" w:rsidP="008D729D">
            <w:pPr>
              <w:rPr>
                <w:rFonts w:ascii="Arial" w:eastAsia="Calibri" w:hAnsi="Arial" w:cs="Arial"/>
              </w:rPr>
            </w:pPr>
            <w:r>
              <w:rPr>
                <w:rFonts w:ascii="Arial" w:eastAsia="Calibri" w:hAnsi="Arial" w:cs="Arial"/>
              </w:rPr>
              <w:t>“An advocate contemplated in paragraph (a</w:t>
            </w:r>
            <w:proofErr w:type="gramStart"/>
            <w:r>
              <w:rPr>
                <w:rFonts w:ascii="Arial" w:eastAsia="Calibri" w:hAnsi="Arial" w:cs="Arial"/>
              </w:rPr>
              <w:t>)(</w:t>
            </w:r>
            <w:proofErr w:type="gramEnd"/>
            <w:r>
              <w:rPr>
                <w:rFonts w:ascii="Arial" w:eastAsia="Calibri" w:hAnsi="Arial" w:cs="Arial"/>
              </w:rPr>
              <w:t>ii) may only render those legal services rendered by advocates before the commencement of this Act, as determined by the Council in the rules, if …..”.</w:t>
            </w:r>
          </w:p>
          <w:p w:rsidR="002D1F5B" w:rsidRPr="00113274" w:rsidRDefault="002D1F5B" w:rsidP="008D729D">
            <w:pPr>
              <w:rPr>
                <w:rFonts w:ascii="Arial" w:eastAsia="Calibri" w:hAnsi="Arial" w:cs="Arial"/>
              </w:rPr>
            </w:pPr>
          </w:p>
          <w:p w:rsidR="008D729D" w:rsidRDefault="008D729D" w:rsidP="008D729D">
            <w:pPr>
              <w:pStyle w:val="ListParagraph"/>
              <w:ind w:left="0"/>
              <w:rPr>
                <w:rFonts w:ascii="Arial" w:eastAsia="Calibri" w:hAnsi="Arial" w:cs="Arial"/>
              </w:rPr>
            </w:pPr>
            <w:r w:rsidRPr="00113274">
              <w:rPr>
                <w:rFonts w:ascii="Arial" w:eastAsia="Calibri" w:hAnsi="Arial" w:cs="Arial"/>
              </w:rPr>
              <w:t xml:space="preserve">The question </w:t>
            </w:r>
            <w:r>
              <w:rPr>
                <w:rFonts w:ascii="Arial" w:eastAsia="Calibri" w:hAnsi="Arial" w:cs="Arial"/>
              </w:rPr>
              <w:t>raised by the National Bar Council is whether</w:t>
            </w:r>
            <w:r w:rsidRPr="00113274">
              <w:rPr>
                <w:rFonts w:ascii="Arial" w:eastAsia="Calibri" w:hAnsi="Arial" w:cs="Arial"/>
              </w:rPr>
              <w:t xml:space="preserve"> advocates who possess a Fidelity </w:t>
            </w:r>
            <w:r>
              <w:rPr>
                <w:rFonts w:ascii="Arial" w:eastAsia="Calibri" w:hAnsi="Arial" w:cs="Arial"/>
              </w:rPr>
              <w:t>Fund certificate are</w:t>
            </w:r>
            <w:r w:rsidRPr="00113274">
              <w:rPr>
                <w:rFonts w:ascii="Arial" w:eastAsia="Calibri" w:hAnsi="Arial" w:cs="Arial"/>
              </w:rPr>
              <w:t xml:space="preserve"> permitted to perform those </w:t>
            </w:r>
            <w:r w:rsidRPr="00113274">
              <w:rPr>
                <w:rFonts w:ascii="Arial" w:eastAsia="Calibri" w:hAnsi="Arial" w:cs="Arial"/>
              </w:rPr>
              <w:lastRenderedPageBreak/>
              <w:t xml:space="preserve">functions which are </w:t>
            </w:r>
            <w:r>
              <w:rPr>
                <w:rFonts w:ascii="Arial" w:eastAsia="Calibri" w:hAnsi="Arial" w:cs="Arial"/>
              </w:rPr>
              <w:t xml:space="preserve">traditionally </w:t>
            </w:r>
            <w:r w:rsidRPr="00113274">
              <w:rPr>
                <w:rFonts w:ascii="Arial" w:eastAsia="Calibri" w:hAnsi="Arial" w:cs="Arial"/>
              </w:rPr>
              <w:t xml:space="preserve">performed by attorneys? Advocates do not sign notices and or pleadings etc. Must litigants who approach Fidelity Fund </w:t>
            </w:r>
            <w:r>
              <w:rPr>
                <w:rFonts w:ascii="Arial" w:eastAsia="Calibri" w:hAnsi="Arial" w:cs="Arial"/>
              </w:rPr>
              <w:t>a</w:t>
            </w:r>
            <w:r w:rsidRPr="00113274">
              <w:rPr>
                <w:rFonts w:ascii="Arial" w:eastAsia="Calibri" w:hAnsi="Arial" w:cs="Arial"/>
              </w:rPr>
              <w:t xml:space="preserve">dvocates be required to have notices and or pleadings drafted and settled by the Fidelity Fund </w:t>
            </w:r>
            <w:r>
              <w:rPr>
                <w:rFonts w:ascii="Arial" w:eastAsia="Calibri" w:hAnsi="Arial" w:cs="Arial"/>
              </w:rPr>
              <w:t>a</w:t>
            </w:r>
            <w:r w:rsidRPr="00113274">
              <w:rPr>
                <w:rFonts w:ascii="Arial" w:eastAsia="Calibri" w:hAnsi="Arial" w:cs="Arial"/>
              </w:rPr>
              <w:t xml:space="preserve">dvocate </w:t>
            </w:r>
            <w:r>
              <w:rPr>
                <w:rFonts w:ascii="Arial" w:eastAsia="Calibri" w:hAnsi="Arial" w:cs="Arial"/>
              </w:rPr>
              <w:t xml:space="preserve">to be signed by an attorney </w:t>
            </w:r>
            <w:proofErr w:type="gramStart"/>
            <w:r>
              <w:rPr>
                <w:rFonts w:ascii="Arial" w:eastAsia="Calibri" w:hAnsi="Arial" w:cs="Arial"/>
              </w:rPr>
              <w:t>too</w:t>
            </w:r>
            <w:r w:rsidRPr="00113274">
              <w:rPr>
                <w:rFonts w:ascii="Arial" w:eastAsia="Calibri" w:hAnsi="Arial" w:cs="Arial"/>
              </w:rPr>
              <w:t>.</w:t>
            </w:r>
            <w:proofErr w:type="gramEnd"/>
          </w:p>
          <w:p w:rsidR="002D1F5B" w:rsidRDefault="002D1F5B" w:rsidP="008D729D">
            <w:pPr>
              <w:pStyle w:val="ListParagraph"/>
              <w:ind w:left="0"/>
              <w:rPr>
                <w:rFonts w:ascii="Arial" w:eastAsia="Calibri" w:hAnsi="Arial" w:cs="Arial"/>
              </w:rPr>
            </w:pPr>
          </w:p>
          <w:p w:rsidR="008D729D" w:rsidRPr="00113274" w:rsidRDefault="008D729D" w:rsidP="008D729D">
            <w:pPr>
              <w:rPr>
                <w:rFonts w:ascii="Arial" w:eastAsia="Calibri" w:hAnsi="Arial" w:cs="Arial"/>
              </w:rPr>
            </w:pPr>
            <w:r>
              <w:rPr>
                <w:rFonts w:ascii="Arial" w:eastAsia="Calibri" w:hAnsi="Arial" w:cs="Arial"/>
              </w:rPr>
              <w:t>Advocates with Fidelity Fund certificates should be recognized by the Act in the same manner as attorneys who possess the same Fidelity Fund certificate.</w:t>
            </w:r>
          </w:p>
          <w:p w:rsidR="008D729D" w:rsidRDefault="008D729D" w:rsidP="008D729D">
            <w:pPr>
              <w:rPr>
                <w:rFonts w:ascii="Arial" w:eastAsia="Calibri" w:hAnsi="Arial" w:cs="Arial"/>
              </w:rPr>
            </w:pPr>
          </w:p>
          <w:p w:rsidR="008D729D" w:rsidRPr="00113274" w:rsidRDefault="008D729D" w:rsidP="008D729D">
            <w:pPr>
              <w:rPr>
                <w:rFonts w:ascii="Arial" w:eastAsia="Calibri" w:hAnsi="Arial" w:cs="Arial"/>
              </w:rPr>
            </w:pPr>
            <w:r w:rsidRPr="00113274">
              <w:rPr>
                <w:rFonts w:ascii="Arial" w:eastAsia="Calibri" w:hAnsi="Arial" w:cs="Arial"/>
              </w:rPr>
              <w:t>The following amendment is proposed, that would have the effect that the Council determines what work these legal practitioners may render:</w:t>
            </w:r>
          </w:p>
          <w:p w:rsidR="008D729D" w:rsidRDefault="008D729D" w:rsidP="008D729D">
            <w:pPr>
              <w:pStyle w:val="ListParagraph"/>
              <w:ind w:left="0"/>
              <w:rPr>
                <w:rFonts w:ascii="Arial" w:hAnsi="Arial" w:cs="Arial"/>
              </w:rPr>
            </w:pPr>
            <w:r w:rsidRPr="00113274">
              <w:rPr>
                <w:rFonts w:ascii="Arial" w:eastAsia="Calibri" w:hAnsi="Arial" w:cs="Arial"/>
              </w:rPr>
              <w:lastRenderedPageBreak/>
              <w:t xml:space="preserve">“34(2)(b) An advocate contemplated in paragraph (a)(ii) may only render those legal services </w:t>
            </w:r>
            <w:r w:rsidRPr="00113274">
              <w:rPr>
                <w:rFonts w:ascii="Arial" w:eastAsia="Calibri" w:hAnsi="Arial" w:cs="Arial"/>
                <w:b/>
              </w:rPr>
              <w:t>[rendered by advocates before the commencement of this Act]</w:t>
            </w:r>
            <w:r w:rsidRPr="00113274">
              <w:rPr>
                <w:rFonts w:ascii="Arial" w:eastAsia="Calibri" w:hAnsi="Arial" w:cs="Arial"/>
              </w:rPr>
              <w:t xml:space="preserve"> as determined by the Council in the Rules,…”.</w:t>
            </w:r>
          </w:p>
        </w:tc>
        <w:tc>
          <w:tcPr>
            <w:tcW w:w="2948" w:type="pct"/>
          </w:tcPr>
          <w:p w:rsidR="008D729D" w:rsidRDefault="008D729D" w:rsidP="00852B8F">
            <w:pPr>
              <w:rPr>
                <w:rFonts w:ascii="Arial" w:eastAsia="Calibri" w:hAnsi="Arial" w:cs="Arial"/>
              </w:rPr>
            </w:pPr>
            <w:r>
              <w:rPr>
                <w:rFonts w:ascii="Arial" w:eastAsia="Calibri" w:hAnsi="Arial" w:cs="Arial"/>
              </w:rPr>
              <w:lastRenderedPageBreak/>
              <w:t>The wording i</w:t>
            </w:r>
            <w:r w:rsidR="00852B8F">
              <w:rPr>
                <w:rFonts w:ascii="Arial" w:eastAsia="Calibri" w:hAnsi="Arial" w:cs="Arial"/>
              </w:rPr>
              <w:t>n</w:t>
            </w:r>
            <w:r>
              <w:rPr>
                <w:rFonts w:ascii="Arial" w:eastAsia="Calibri" w:hAnsi="Arial" w:cs="Arial"/>
              </w:rPr>
              <w:t xml:space="preserve"> the provision is clear.  Advocates with Fidelity Fund certificates may not render legal services </w:t>
            </w:r>
            <w:r w:rsidR="00852B8F">
              <w:rPr>
                <w:rFonts w:ascii="Arial" w:eastAsia="Calibri" w:hAnsi="Arial" w:cs="Arial"/>
              </w:rPr>
              <w:t xml:space="preserve">that </w:t>
            </w:r>
            <w:r>
              <w:rPr>
                <w:rFonts w:ascii="Arial" w:eastAsia="Calibri" w:hAnsi="Arial" w:cs="Arial"/>
              </w:rPr>
              <w:t xml:space="preserve">traditionally </w:t>
            </w:r>
            <w:r w:rsidR="00852B8F">
              <w:rPr>
                <w:rFonts w:ascii="Arial" w:eastAsia="Calibri" w:hAnsi="Arial" w:cs="Arial"/>
              </w:rPr>
              <w:t xml:space="preserve">were </w:t>
            </w:r>
            <w:r>
              <w:rPr>
                <w:rFonts w:ascii="Arial" w:eastAsia="Calibri" w:hAnsi="Arial" w:cs="Arial"/>
              </w:rPr>
              <w:t>the preserve of attorneys.  That was the intention. The proposed amendment is therefore not supported.</w:t>
            </w:r>
          </w:p>
          <w:p w:rsidR="005B1A92" w:rsidRDefault="005B1A92" w:rsidP="00852B8F">
            <w:pPr>
              <w:rPr>
                <w:rFonts w:ascii="Arial" w:eastAsia="Calibri" w:hAnsi="Arial" w:cs="Arial"/>
              </w:rPr>
            </w:pPr>
          </w:p>
          <w:p w:rsidR="005B1A92" w:rsidRDefault="005B1A92" w:rsidP="007B2063">
            <w:pPr>
              <w:rPr>
                <w:rFonts w:ascii="Arial" w:hAnsi="Arial" w:cs="Arial"/>
              </w:rPr>
            </w:pPr>
            <w:r>
              <w:rPr>
                <w:rFonts w:ascii="Arial" w:eastAsia="Calibri" w:hAnsi="Arial" w:cs="Arial"/>
              </w:rPr>
              <w:t xml:space="preserve">During the enactment of the principal Act Parliament deliberated on aspects relating </w:t>
            </w:r>
            <w:r w:rsidR="006F6E51">
              <w:rPr>
                <w:rFonts w:ascii="Arial" w:eastAsia="Calibri" w:hAnsi="Arial" w:cs="Arial"/>
              </w:rPr>
              <w:t xml:space="preserve">to the new option of advocates with fidelity fund certificates. The intention was that access to legal services by the public should be enhanced but that the different professions of attorneys and advocates </w:t>
            </w:r>
            <w:proofErr w:type="gramStart"/>
            <w:r w:rsidR="006F6E51">
              <w:rPr>
                <w:rFonts w:ascii="Arial" w:eastAsia="Calibri" w:hAnsi="Arial" w:cs="Arial"/>
              </w:rPr>
              <w:t>be</w:t>
            </w:r>
            <w:proofErr w:type="gramEnd"/>
            <w:r w:rsidR="006F6E51">
              <w:rPr>
                <w:rFonts w:ascii="Arial" w:eastAsia="Calibri" w:hAnsi="Arial" w:cs="Arial"/>
              </w:rPr>
              <w:t xml:space="preserve"> perpetuated.</w:t>
            </w:r>
            <w:r w:rsidR="007B2063">
              <w:rPr>
                <w:rFonts w:ascii="Arial" w:eastAsia="Calibri" w:hAnsi="Arial" w:cs="Arial"/>
              </w:rPr>
              <w:t xml:space="preserve"> If the legislator wishes to fuse the professions it should form part of in depth discussions and consultations and it is submitted that the Amendment Bill is not the </w:t>
            </w:r>
            <w:proofErr w:type="spellStart"/>
            <w:r w:rsidR="007B2063">
              <w:rPr>
                <w:rFonts w:ascii="Arial" w:eastAsia="Calibri" w:hAnsi="Arial" w:cs="Arial"/>
              </w:rPr>
              <w:t>mechanismto</w:t>
            </w:r>
            <w:proofErr w:type="spellEnd"/>
            <w:r w:rsidR="007B2063">
              <w:rPr>
                <w:rFonts w:ascii="Arial" w:eastAsia="Calibri" w:hAnsi="Arial" w:cs="Arial"/>
              </w:rPr>
              <w:t xml:space="preserve"> achieve this. </w:t>
            </w:r>
          </w:p>
        </w:tc>
      </w:tr>
      <w:tr w:rsidR="008708F4" w:rsidRPr="003B3B20" w:rsidTr="00C41958">
        <w:tc>
          <w:tcPr>
            <w:tcW w:w="491" w:type="pct"/>
          </w:tcPr>
          <w:p w:rsidR="008708F4" w:rsidRDefault="008708F4" w:rsidP="00384A85">
            <w:pPr>
              <w:rPr>
                <w:rFonts w:ascii="Arial" w:hAnsi="Arial" w:cs="Arial"/>
              </w:rPr>
            </w:pPr>
            <w:r>
              <w:rPr>
                <w:rFonts w:ascii="Arial" w:hAnsi="Arial" w:cs="Arial"/>
              </w:rPr>
              <w:lastRenderedPageBreak/>
              <w:t>General comments</w:t>
            </w:r>
          </w:p>
        </w:tc>
        <w:tc>
          <w:tcPr>
            <w:tcW w:w="578" w:type="pct"/>
          </w:tcPr>
          <w:p w:rsidR="008708F4" w:rsidRDefault="008708F4" w:rsidP="00384A85">
            <w:pPr>
              <w:rPr>
                <w:rFonts w:ascii="Arial" w:hAnsi="Arial" w:cs="Arial"/>
              </w:rPr>
            </w:pPr>
            <w:proofErr w:type="spellStart"/>
            <w:r w:rsidRPr="00113274">
              <w:rPr>
                <w:rFonts w:ascii="Arial" w:eastAsia="Calibri" w:hAnsi="Arial" w:cs="Arial"/>
              </w:rPr>
              <w:t>ClearlawSA</w:t>
            </w:r>
            <w:proofErr w:type="spellEnd"/>
            <w:r w:rsidRPr="00113274">
              <w:rPr>
                <w:rFonts w:ascii="Arial" w:eastAsia="Calibri" w:hAnsi="Arial" w:cs="Arial"/>
              </w:rPr>
              <w:t xml:space="preserve"> Pty Ltd</w:t>
            </w:r>
          </w:p>
        </w:tc>
        <w:tc>
          <w:tcPr>
            <w:tcW w:w="983" w:type="pct"/>
          </w:tcPr>
          <w:p w:rsidR="008708F4" w:rsidRDefault="008708F4" w:rsidP="00384A85">
            <w:pPr>
              <w:pStyle w:val="ListParagraph"/>
              <w:ind w:left="0"/>
              <w:rPr>
                <w:rFonts w:ascii="Arial" w:hAnsi="Arial" w:cs="Arial"/>
              </w:rPr>
            </w:pPr>
            <w:r w:rsidRPr="00113274">
              <w:rPr>
                <w:rFonts w:ascii="Arial" w:eastAsia="Calibri" w:hAnsi="Arial" w:cs="Arial"/>
              </w:rPr>
              <w:t xml:space="preserve">Proposes an amendment to sections 25(1), 31 and 95(1) of the Act to insert the concept of an annual </w:t>
            </w:r>
            <w:proofErr w:type="spellStart"/>
            <w:r w:rsidRPr="00113274">
              <w:rPr>
                <w:rFonts w:ascii="Arial" w:eastAsia="Calibri" w:hAnsi="Arial" w:cs="Arial"/>
              </w:rPr>
              <w:t>practising</w:t>
            </w:r>
            <w:proofErr w:type="spellEnd"/>
            <w:r w:rsidRPr="00113274">
              <w:rPr>
                <w:rFonts w:ascii="Arial" w:eastAsia="Calibri" w:hAnsi="Arial" w:cs="Arial"/>
              </w:rPr>
              <w:t xml:space="preserve"> certificate </w:t>
            </w:r>
            <w:r>
              <w:rPr>
                <w:rFonts w:ascii="Arial" w:eastAsia="Calibri" w:hAnsi="Arial" w:cs="Arial"/>
              </w:rPr>
              <w:t xml:space="preserve">which is issued by the Council confirming that the legal practitioner has complied with the requirements relating to </w:t>
            </w:r>
            <w:r w:rsidRPr="00113274">
              <w:rPr>
                <w:rFonts w:ascii="Arial" w:eastAsia="Calibri" w:hAnsi="Arial" w:cs="Arial"/>
              </w:rPr>
              <w:t xml:space="preserve">continued </w:t>
            </w:r>
            <w:r>
              <w:rPr>
                <w:rFonts w:ascii="Arial" w:eastAsia="Calibri" w:hAnsi="Arial" w:cs="Arial"/>
              </w:rPr>
              <w:t xml:space="preserve">legal </w:t>
            </w:r>
            <w:r w:rsidRPr="00113274">
              <w:rPr>
                <w:rFonts w:ascii="Arial" w:eastAsia="Calibri" w:hAnsi="Arial" w:cs="Arial"/>
              </w:rPr>
              <w:t xml:space="preserve">education. </w:t>
            </w:r>
          </w:p>
        </w:tc>
        <w:tc>
          <w:tcPr>
            <w:tcW w:w="2948" w:type="pct"/>
          </w:tcPr>
          <w:p w:rsidR="008708F4" w:rsidRDefault="008708F4" w:rsidP="00384A85">
            <w:pPr>
              <w:rPr>
                <w:rFonts w:ascii="Arial" w:hAnsi="Arial" w:cs="Arial"/>
              </w:rPr>
            </w:pPr>
            <w:r w:rsidRPr="00113274">
              <w:rPr>
                <w:rFonts w:ascii="Arial" w:hAnsi="Arial" w:cs="Arial"/>
              </w:rPr>
              <w:t xml:space="preserve">Section 6 provides for the powers and functions of Council and </w:t>
            </w:r>
            <w:r>
              <w:rPr>
                <w:rFonts w:ascii="Arial" w:hAnsi="Arial" w:cs="Arial"/>
              </w:rPr>
              <w:t>provides that the Council may determine conditions relating to the nature and extent of continuing education and training, including compulsory post-qualification professional development.</w:t>
            </w:r>
          </w:p>
        </w:tc>
      </w:tr>
      <w:tr w:rsidR="008708F4" w:rsidRPr="003B3B20" w:rsidTr="00C41958">
        <w:tc>
          <w:tcPr>
            <w:tcW w:w="491" w:type="pct"/>
          </w:tcPr>
          <w:p w:rsidR="008708F4" w:rsidRDefault="008708F4" w:rsidP="00384A85">
            <w:pPr>
              <w:rPr>
                <w:rFonts w:ascii="Arial" w:hAnsi="Arial" w:cs="Arial"/>
              </w:rPr>
            </w:pPr>
            <w:r>
              <w:rPr>
                <w:rFonts w:ascii="Arial" w:hAnsi="Arial" w:cs="Arial"/>
              </w:rPr>
              <w:t>General comments</w:t>
            </w:r>
          </w:p>
        </w:tc>
        <w:tc>
          <w:tcPr>
            <w:tcW w:w="578" w:type="pct"/>
          </w:tcPr>
          <w:p w:rsidR="008708F4" w:rsidRDefault="008708F4" w:rsidP="00384A85">
            <w:pPr>
              <w:rPr>
                <w:rFonts w:ascii="Arial" w:hAnsi="Arial" w:cs="Arial"/>
              </w:rPr>
            </w:pPr>
            <w:proofErr w:type="spellStart"/>
            <w:r w:rsidRPr="00113274">
              <w:rPr>
                <w:rFonts w:ascii="Arial" w:eastAsia="Calibri" w:hAnsi="Arial" w:cs="Arial"/>
              </w:rPr>
              <w:t>ClearlawSA</w:t>
            </w:r>
            <w:proofErr w:type="spellEnd"/>
            <w:r w:rsidRPr="00113274">
              <w:rPr>
                <w:rFonts w:ascii="Arial" w:eastAsia="Calibri" w:hAnsi="Arial" w:cs="Arial"/>
              </w:rPr>
              <w:t xml:space="preserve"> Pty Ltd</w:t>
            </w:r>
          </w:p>
        </w:tc>
        <w:tc>
          <w:tcPr>
            <w:tcW w:w="983" w:type="pct"/>
          </w:tcPr>
          <w:p w:rsidR="008708F4" w:rsidRDefault="008708F4" w:rsidP="00384A85">
            <w:pPr>
              <w:pStyle w:val="ListParagraph"/>
              <w:ind w:left="0"/>
              <w:rPr>
                <w:rFonts w:ascii="Arial" w:hAnsi="Arial" w:cs="Arial"/>
              </w:rPr>
            </w:pPr>
            <w:r w:rsidRPr="00113274">
              <w:rPr>
                <w:rFonts w:ascii="Arial" w:eastAsia="Calibri" w:hAnsi="Arial" w:cs="Arial"/>
              </w:rPr>
              <w:t>Proposes an amendment to sections 1 and 30 to provide for defin</w:t>
            </w:r>
            <w:r>
              <w:rPr>
                <w:rFonts w:ascii="Arial" w:eastAsia="Calibri" w:hAnsi="Arial" w:cs="Arial"/>
              </w:rPr>
              <w:t>i</w:t>
            </w:r>
            <w:r w:rsidRPr="00113274">
              <w:rPr>
                <w:rFonts w:ascii="Arial" w:eastAsia="Calibri" w:hAnsi="Arial" w:cs="Arial"/>
              </w:rPr>
              <w:t>tions of “non-</w:t>
            </w:r>
            <w:proofErr w:type="spellStart"/>
            <w:r w:rsidRPr="00113274">
              <w:rPr>
                <w:rFonts w:ascii="Arial" w:eastAsia="Calibri" w:hAnsi="Arial" w:cs="Arial"/>
              </w:rPr>
              <w:t>practis</w:t>
            </w:r>
            <w:r>
              <w:rPr>
                <w:rFonts w:ascii="Arial" w:eastAsia="Calibri" w:hAnsi="Arial" w:cs="Arial"/>
              </w:rPr>
              <w:t>ing</w:t>
            </w:r>
            <w:proofErr w:type="spellEnd"/>
            <w:r>
              <w:rPr>
                <w:rFonts w:ascii="Arial" w:eastAsia="Calibri" w:hAnsi="Arial" w:cs="Arial"/>
              </w:rPr>
              <w:t xml:space="preserve"> Roll” and “</w:t>
            </w:r>
            <w:proofErr w:type="spellStart"/>
            <w:r>
              <w:rPr>
                <w:rFonts w:ascii="Arial" w:eastAsia="Calibri" w:hAnsi="Arial" w:cs="Arial"/>
              </w:rPr>
              <w:t>practising</w:t>
            </w:r>
            <w:proofErr w:type="spellEnd"/>
            <w:r>
              <w:rPr>
                <w:rFonts w:ascii="Arial" w:eastAsia="Calibri" w:hAnsi="Arial" w:cs="Arial"/>
              </w:rPr>
              <w:t xml:space="preserve"> Roll” of legal practitioners.</w:t>
            </w:r>
          </w:p>
        </w:tc>
        <w:tc>
          <w:tcPr>
            <w:tcW w:w="2948" w:type="pct"/>
          </w:tcPr>
          <w:p w:rsidR="008708F4" w:rsidRDefault="008708F4" w:rsidP="00384A85">
            <w:pPr>
              <w:rPr>
                <w:rFonts w:ascii="Arial" w:hAnsi="Arial" w:cs="Arial"/>
              </w:rPr>
            </w:pPr>
            <w:r>
              <w:rPr>
                <w:rFonts w:ascii="Arial" w:eastAsia="Calibri" w:hAnsi="Arial" w:cs="Arial"/>
              </w:rPr>
              <w:t xml:space="preserve">Existing legislation differentiates between </w:t>
            </w:r>
            <w:proofErr w:type="spellStart"/>
            <w:r>
              <w:rPr>
                <w:rFonts w:ascii="Arial" w:eastAsia="Calibri" w:hAnsi="Arial" w:cs="Arial"/>
              </w:rPr>
              <w:t>practising</w:t>
            </w:r>
            <w:proofErr w:type="spellEnd"/>
            <w:r>
              <w:rPr>
                <w:rFonts w:ascii="Arial" w:eastAsia="Calibri" w:hAnsi="Arial" w:cs="Arial"/>
              </w:rPr>
              <w:t xml:space="preserve"> and non-</w:t>
            </w:r>
            <w:proofErr w:type="spellStart"/>
            <w:r>
              <w:rPr>
                <w:rFonts w:ascii="Arial" w:eastAsia="Calibri" w:hAnsi="Arial" w:cs="Arial"/>
              </w:rPr>
              <w:t>practising</w:t>
            </w:r>
            <w:proofErr w:type="spellEnd"/>
            <w:r>
              <w:rPr>
                <w:rFonts w:ascii="Arial" w:eastAsia="Calibri" w:hAnsi="Arial" w:cs="Arial"/>
              </w:rPr>
              <w:t xml:space="preserve"> practitioners.  </w:t>
            </w:r>
            <w:r w:rsidRPr="00113274">
              <w:rPr>
                <w:rFonts w:ascii="Arial" w:eastAsia="Calibri" w:hAnsi="Arial" w:cs="Arial"/>
              </w:rPr>
              <w:t xml:space="preserve">The </w:t>
            </w:r>
            <w:r>
              <w:rPr>
                <w:rFonts w:ascii="Arial" w:eastAsia="Calibri" w:hAnsi="Arial" w:cs="Arial"/>
              </w:rPr>
              <w:t>opinion is held that the Act is clear as it is.</w:t>
            </w:r>
          </w:p>
        </w:tc>
      </w:tr>
      <w:bookmarkEnd w:id="0"/>
    </w:tbl>
    <w:p w:rsidR="002D1F5B" w:rsidRDefault="002D1F5B" w:rsidP="00F25059"/>
    <w:sectPr w:rsidR="002D1F5B" w:rsidSect="002A0AB9">
      <w:headerReference w:type="default" r:id="rId9"/>
      <w:pgSz w:w="15840" w:h="12240" w:orient="landscape"/>
      <w:pgMar w:top="1440" w:right="1440" w:bottom="204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824" w:rsidRDefault="00422824" w:rsidP="00E42D6F">
      <w:pPr>
        <w:spacing w:after="0" w:line="240" w:lineRule="auto"/>
      </w:pPr>
      <w:r>
        <w:separator/>
      </w:r>
    </w:p>
  </w:endnote>
  <w:endnote w:type="continuationSeparator" w:id="1">
    <w:p w:rsidR="00422824" w:rsidRDefault="00422824" w:rsidP="00E42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824" w:rsidRDefault="00422824" w:rsidP="00E42D6F">
      <w:pPr>
        <w:spacing w:after="0" w:line="240" w:lineRule="auto"/>
      </w:pPr>
      <w:r>
        <w:separator/>
      </w:r>
    </w:p>
  </w:footnote>
  <w:footnote w:type="continuationSeparator" w:id="1">
    <w:p w:rsidR="00422824" w:rsidRDefault="00422824" w:rsidP="00E42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367134"/>
      <w:docPartObj>
        <w:docPartGallery w:val="Page Numbers (Top of Page)"/>
        <w:docPartUnique/>
      </w:docPartObj>
    </w:sdtPr>
    <w:sdtEndPr>
      <w:rPr>
        <w:noProof/>
      </w:rPr>
    </w:sdtEndPr>
    <w:sdtContent>
      <w:p w:rsidR="002D1F5B" w:rsidRDefault="00B1037A">
        <w:pPr>
          <w:pStyle w:val="Header"/>
          <w:jc w:val="center"/>
        </w:pPr>
        <w:r>
          <w:fldChar w:fldCharType="begin"/>
        </w:r>
        <w:r w:rsidR="002D1F5B">
          <w:instrText xml:space="preserve"> PAGE   \* MERGEFORMAT </w:instrText>
        </w:r>
        <w:r>
          <w:fldChar w:fldCharType="separate"/>
        </w:r>
        <w:r w:rsidR="00425452">
          <w:rPr>
            <w:noProof/>
          </w:rPr>
          <w:t>2</w:t>
        </w:r>
        <w:r>
          <w:rPr>
            <w:noProof/>
          </w:rPr>
          <w:fldChar w:fldCharType="end"/>
        </w:r>
      </w:p>
    </w:sdtContent>
  </w:sdt>
  <w:p w:rsidR="00DA36BE" w:rsidRDefault="00DA36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465"/>
    <w:multiLevelType w:val="hybridMultilevel"/>
    <w:tmpl w:val="34A2B1F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
    <w:nsid w:val="10ED0381"/>
    <w:multiLevelType w:val="hybridMultilevel"/>
    <w:tmpl w:val="0E10FEB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AF354B"/>
    <w:multiLevelType w:val="hybridMultilevel"/>
    <w:tmpl w:val="C22C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76CAA"/>
    <w:multiLevelType w:val="multilevel"/>
    <w:tmpl w:val="EB3011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EA3C6F"/>
    <w:multiLevelType w:val="hybridMultilevel"/>
    <w:tmpl w:val="6EB4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F6373"/>
    <w:multiLevelType w:val="hybridMultilevel"/>
    <w:tmpl w:val="EB2CACBE"/>
    <w:lvl w:ilvl="0" w:tplc="3F38D7D0">
      <w:start w:val="1"/>
      <w:numFmt w:val="lowerRoman"/>
      <w:lvlText w:val="(%1)"/>
      <w:lvlJc w:val="left"/>
      <w:pPr>
        <w:ind w:left="3297" w:hanging="720"/>
      </w:pPr>
      <w:rPr>
        <w:rFonts w:hint="default"/>
      </w:rPr>
    </w:lvl>
    <w:lvl w:ilvl="1" w:tplc="04090019" w:tentative="1">
      <w:start w:val="1"/>
      <w:numFmt w:val="lowerLetter"/>
      <w:lvlText w:val="%2."/>
      <w:lvlJc w:val="left"/>
      <w:pPr>
        <w:ind w:left="3657" w:hanging="360"/>
      </w:pPr>
    </w:lvl>
    <w:lvl w:ilvl="2" w:tplc="0409001B" w:tentative="1">
      <w:start w:val="1"/>
      <w:numFmt w:val="lowerRoman"/>
      <w:lvlText w:val="%3."/>
      <w:lvlJc w:val="right"/>
      <w:pPr>
        <w:ind w:left="4377" w:hanging="180"/>
      </w:pPr>
    </w:lvl>
    <w:lvl w:ilvl="3" w:tplc="0409000F" w:tentative="1">
      <w:start w:val="1"/>
      <w:numFmt w:val="decimal"/>
      <w:lvlText w:val="%4."/>
      <w:lvlJc w:val="left"/>
      <w:pPr>
        <w:ind w:left="5097" w:hanging="360"/>
      </w:pPr>
    </w:lvl>
    <w:lvl w:ilvl="4" w:tplc="04090019" w:tentative="1">
      <w:start w:val="1"/>
      <w:numFmt w:val="lowerLetter"/>
      <w:lvlText w:val="%5."/>
      <w:lvlJc w:val="left"/>
      <w:pPr>
        <w:ind w:left="5817" w:hanging="360"/>
      </w:pPr>
    </w:lvl>
    <w:lvl w:ilvl="5" w:tplc="0409001B" w:tentative="1">
      <w:start w:val="1"/>
      <w:numFmt w:val="lowerRoman"/>
      <w:lvlText w:val="%6."/>
      <w:lvlJc w:val="right"/>
      <w:pPr>
        <w:ind w:left="6537" w:hanging="180"/>
      </w:pPr>
    </w:lvl>
    <w:lvl w:ilvl="6" w:tplc="0409000F" w:tentative="1">
      <w:start w:val="1"/>
      <w:numFmt w:val="decimal"/>
      <w:lvlText w:val="%7."/>
      <w:lvlJc w:val="left"/>
      <w:pPr>
        <w:ind w:left="7257" w:hanging="360"/>
      </w:pPr>
    </w:lvl>
    <w:lvl w:ilvl="7" w:tplc="04090019" w:tentative="1">
      <w:start w:val="1"/>
      <w:numFmt w:val="lowerLetter"/>
      <w:lvlText w:val="%8."/>
      <w:lvlJc w:val="left"/>
      <w:pPr>
        <w:ind w:left="7977" w:hanging="360"/>
      </w:pPr>
    </w:lvl>
    <w:lvl w:ilvl="8" w:tplc="0409001B" w:tentative="1">
      <w:start w:val="1"/>
      <w:numFmt w:val="lowerRoman"/>
      <w:lvlText w:val="%9."/>
      <w:lvlJc w:val="right"/>
      <w:pPr>
        <w:ind w:left="8697" w:hanging="180"/>
      </w:pPr>
    </w:lvl>
  </w:abstractNum>
  <w:abstractNum w:abstractNumId="6">
    <w:nsid w:val="47332F52"/>
    <w:multiLevelType w:val="hybridMultilevel"/>
    <w:tmpl w:val="4732973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2C046C"/>
    <w:multiLevelType w:val="hybridMultilevel"/>
    <w:tmpl w:val="67F209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AF4671"/>
    <w:multiLevelType w:val="multilevel"/>
    <w:tmpl w:val="C86A10C2"/>
    <w:lvl w:ilvl="0">
      <w:start w:val="4"/>
      <w:numFmt w:val="decimal"/>
      <w:lvlText w:val="%1."/>
      <w:lvlJc w:val="left"/>
      <w:pPr>
        <w:ind w:left="435" w:hanging="435"/>
      </w:pPr>
    </w:lvl>
    <w:lvl w:ilvl="1">
      <w:start w:val="12"/>
      <w:numFmt w:val="decimal"/>
      <w:lvlText w:val="%1.%2."/>
      <w:lvlJc w:val="left"/>
      <w:pPr>
        <w:ind w:left="115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nsid w:val="77E1379D"/>
    <w:multiLevelType w:val="hybridMultilevel"/>
    <w:tmpl w:val="941A0E36"/>
    <w:lvl w:ilvl="0" w:tplc="F84AC20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4"/>
  </w:num>
  <w:num w:numId="7">
    <w:abstractNumId w:val="3"/>
  </w:num>
  <w:num w:numId="8">
    <w:abstractNumId w:val="7"/>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30AFA"/>
    <w:rsid w:val="00001596"/>
    <w:rsid w:val="000028B2"/>
    <w:rsid w:val="000036F1"/>
    <w:rsid w:val="00007DE6"/>
    <w:rsid w:val="000113D1"/>
    <w:rsid w:val="000117E0"/>
    <w:rsid w:val="000124CF"/>
    <w:rsid w:val="000126C5"/>
    <w:rsid w:val="00013145"/>
    <w:rsid w:val="00013172"/>
    <w:rsid w:val="0001521B"/>
    <w:rsid w:val="000164EC"/>
    <w:rsid w:val="000172DA"/>
    <w:rsid w:val="00020FA3"/>
    <w:rsid w:val="00023E64"/>
    <w:rsid w:val="00025595"/>
    <w:rsid w:val="000273E3"/>
    <w:rsid w:val="000309CE"/>
    <w:rsid w:val="00030C22"/>
    <w:rsid w:val="00035C2D"/>
    <w:rsid w:val="000416E7"/>
    <w:rsid w:val="00041CB2"/>
    <w:rsid w:val="000425AE"/>
    <w:rsid w:val="000447AA"/>
    <w:rsid w:val="00044882"/>
    <w:rsid w:val="00051FBA"/>
    <w:rsid w:val="00061F81"/>
    <w:rsid w:val="00062273"/>
    <w:rsid w:val="0006346F"/>
    <w:rsid w:val="000775B7"/>
    <w:rsid w:val="00077ABD"/>
    <w:rsid w:val="00080B6A"/>
    <w:rsid w:val="000820B6"/>
    <w:rsid w:val="00087C5D"/>
    <w:rsid w:val="000927DC"/>
    <w:rsid w:val="000965A3"/>
    <w:rsid w:val="000A0065"/>
    <w:rsid w:val="000A32EA"/>
    <w:rsid w:val="000A410A"/>
    <w:rsid w:val="000B1FA5"/>
    <w:rsid w:val="000B2FCC"/>
    <w:rsid w:val="000B6FF5"/>
    <w:rsid w:val="000B700B"/>
    <w:rsid w:val="000C01A8"/>
    <w:rsid w:val="000C307C"/>
    <w:rsid w:val="000C32AE"/>
    <w:rsid w:val="000D06B5"/>
    <w:rsid w:val="000D37B4"/>
    <w:rsid w:val="000D43C9"/>
    <w:rsid w:val="000D4A31"/>
    <w:rsid w:val="000D4D74"/>
    <w:rsid w:val="000D63CC"/>
    <w:rsid w:val="000E1E3A"/>
    <w:rsid w:val="000E23C9"/>
    <w:rsid w:val="000E3508"/>
    <w:rsid w:val="000F0399"/>
    <w:rsid w:val="000F50D3"/>
    <w:rsid w:val="000F6523"/>
    <w:rsid w:val="000F7405"/>
    <w:rsid w:val="000F7B84"/>
    <w:rsid w:val="00100EE0"/>
    <w:rsid w:val="00102091"/>
    <w:rsid w:val="00106050"/>
    <w:rsid w:val="001069B3"/>
    <w:rsid w:val="00110343"/>
    <w:rsid w:val="0011117F"/>
    <w:rsid w:val="00113274"/>
    <w:rsid w:val="0011588A"/>
    <w:rsid w:val="0011708B"/>
    <w:rsid w:val="0012009C"/>
    <w:rsid w:val="00125EB0"/>
    <w:rsid w:val="00126C83"/>
    <w:rsid w:val="00127F32"/>
    <w:rsid w:val="00130589"/>
    <w:rsid w:val="0013061B"/>
    <w:rsid w:val="00133EC7"/>
    <w:rsid w:val="00135379"/>
    <w:rsid w:val="00136EE5"/>
    <w:rsid w:val="001379CC"/>
    <w:rsid w:val="00142B1A"/>
    <w:rsid w:val="001475BD"/>
    <w:rsid w:val="00152E17"/>
    <w:rsid w:val="00157A32"/>
    <w:rsid w:val="001616DD"/>
    <w:rsid w:val="00163134"/>
    <w:rsid w:val="001646F1"/>
    <w:rsid w:val="0016620C"/>
    <w:rsid w:val="001668C8"/>
    <w:rsid w:val="00166D35"/>
    <w:rsid w:val="00170181"/>
    <w:rsid w:val="00171E5D"/>
    <w:rsid w:val="00172514"/>
    <w:rsid w:val="00173DAF"/>
    <w:rsid w:val="00176469"/>
    <w:rsid w:val="00177568"/>
    <w:rsid w:val="00177A1B"/>
    <w:rsid w:val="00180778"/>
    <w:rsid w:val="00180C42"/>
    <w:rsid w:val="00182250"/>
    <w:rsid w:val="00182AB0"/>
    <w:rsid w:val="00185E71"/>
    <w:rsid w:val="00186830"/>
    <w:rsid w:val="0019095D"/>
    <w:rsid w:val="001A0756"/>
    <w:rsid w:val="001A179A"/>
    <w:rsid w:val="001A204A"/>
    <w:rsid w:val="001A4042"/>
    <w:rsid w:val="001A634C"/>
    <w:rsid w:val="001B3CED"/>
    <w:rsid w:val="001C088D"/>
    <w:rsid w:val="001D109E"/>
    <w:rsid w:val="001D6A20"/>
    <w:rsid w:val="001D6A5C"/>
    <w:rsid w:val="001D78BE"/>
    <w:rsid w:val="001E0C96"/>
    <w:rsid w:val="001E6D0C"/>
    <w:rsid w:val="001E6FC0"/>
    <w:rsid w:val="001F168B"/>
    <w:rsid w:val="001F3F14"/>
    <w:rsid w:val="001F43AC"/>
    <w:rsid w:val="001F570B"/>
    <w:rsid w:val="001F6623"/>
    <w:rsid w:val="001F6E2F"/>
    <w:rsid w:val="00201991"/>
    <w:rsid w:val="0020219E"/>
    <w:rsid w:val="002033DD"/>
    <w:rsid w:val="00212FB8"/>
    <w:rsid w:val="00214B12"/>
    <w:rsid w:val="0022278C"/>
    <w:rsid w:val="00227DA3"/>
    <w:rsid w:val="00233D78"/>
    <w:rsid w:val="00237086"/>
    <w:rsid w:val="00241315"/>
    <w:rsid w:val="00242470"/>
    <w:rsid w:val="00242E9C"/>
    <w:rsid w:val="002441C8"/>
    <w:rsid w:val="002458BF"/>
    <w:rsid w:val="00246572"/>
    <w:rsid w:val="002536DE"/>
    <w:rsid w:val="00253D61"/>
    <w:rsid w:val="002559F2"/>
    <w:rsid w:val="00262EAE"/>
    <w:rsid w:val="0026461A"/>
    <w:rsid w:val="002724BF"/>
    <w:rsid w:val="00273647"/>
    <w:rsid w:val="00274222"/>
    <w:rsid w:val="002745D3"/>
    <w:rsid w:val="002750EC"/>
    <w:rsid w:val="0028062C"/>
    <w:rsid w:val="00285052"/>
    <w:rsid w:val="00286C47"/>
    <w:rsid w:val="00287BA0"/>
    <w:rsid w:val="002956BB"/>
    <w:rsid w:val="002A0AB9"/>
    <w:rsid w:val="002B0258"/>
    <w:rsid w:val="002B1983"/>
    <w:rsid w:val="002B321B"/>
    <w:rsid w:val="002B345C"/>
    <w:rsid w:val="002B3672"/>
    <w:rsid w:val="002B71FD"/>
    <w:rsid w:val="002C0445"/>
    <w:rsid w:val="002C4DCD"/>
    <w:rsid w:val="002C7B20"/>
    <w:rsid w:val="002C7E9F"/>
    <w:rsid w:val="002D08DC"/>
    <w:rsid w:val="002D1013"/>
    <w:rsid w:val="002D1F5B"/>
    <w:rsid w:val="002D2BBE"/>
    <w:rsid w:val="002D61A8"/>
    <w:rsid w:val="002E1DDA"/>
    <w:rsid w:val="002F35D4"/>
    <w:rsid w:val="002F4F10"/>
    <w:rsid w:val="002F5103"/>
    <w:rsid w:val="002F6609"/>
    <w:rsid w:val="00301735"/>
    <w:rsid w:val="003031B5"/>
    <w:rsid w:val="003050DA"/>
    <w:rsid w:val="00305214"/>
    <w:rsid w:val="00317C0C"/>
    <w:rsid w:val="00321A3F"/>
    <w:rsid w:val="00321FF7"/>
    <w:rsid w:val="00323C17"/>
    <w:rsid w:val="00325875"/>
    <w:rsid w:val="00326A6C"/>
    <w:rsid w:val="003273FA"/>
    <w:rsid w:val="003313D4"/>
    <w:rsid w:val="00334925"/>
    <w:rsid w:val="00334E5B"/>
    <w:rsid w:val="003373D6"/>
    <w:rsid w:val="0033771C"/>
    <w:rsid w:val="00342413"/>
    <w:rsid w:val="00342A99"/>
    <w:rsid w:val="00345DCD"/>
    <w:rsid w:val="003509C2"/>
    <w:rsid w:val="00350AA8"/>
    <w:rsid w:val="00350EB8"/>
    <w:rsid w:val="003526D1"/>
    <w:rsid w:val="003538B0"/>
    <w:rsid w:val="003548D0"/>
    <w:rsid w:val="00355014"/>
    <w:rsid w:val="0035794A"/>
    <w:rsid w:val="003579D0"/>
    <w:rsid w:val="00357E98"/>
    <w:rsid w:val="00361CD5"/>
    <w:rsid w:val="00363D93"/>
    <w:rsid w:val="0037240A"/>
    <w:rsid w:val="00383384"/>
    <w:rsid w:val="00383734"/>
    <w:rsid w:val="003859AB"/>
    <w:rsid w:val="003861FA"/>
    <w:rsid w:val="00387663"/>
    <w:rsid w:val="003901B8"/>
    <w:rsid w:val="00392DA4"/>
    <w:rsid w:val="0039508B"/>
    <w:rsid w:val="003A5EC5"/>
    <w:rsid w:val="003B1319"/>
    <w:rsid w:val="003B3B20"/>
    <w:rsid w:val="003B5576"/>
    <w:rsid w:val="003B5E7F"/>
    <w:rsid w:val="003B7D89"/>
    <w:rsid w:val="003C05D6"/>
    <w:rsid w:val="003C12CB"/>
    <w:rsid w:val="003C1BE8"/>
    <w:rsid w:val="003C312B"/>
    <w:rsid w:val="003C52CD"/>
    <w:rsid w:val="003C7944"/>
    <w:rsid w:val="003D02B9"/>
    <w:rsid w:val="003D1E0D"/>
    <w:rsid w:val="003D4721"/>
    <w:rsid w:val="003D7C7E"/>
    <w:rsid w:val="003E3060"/>
    <w:rsid w:val="003E3373"/>
    <w:rsid w:val="003E3456"/>
    <w:rsid w:val="003E5E0B"/>
    <w:rsid w:val="003F6031"/>
    <w:rsid w:val="003F68ED"/>
    <w:rsid w:val="003F6969"/>
    <w:rsid w:val="00402EC4"/>
    <w:rsid w:val="00407AF2"/>
    <w:rsid w:val="00410B68"/>
    <w:rsid w:val="00411F72"/>
    <w:rsid w:val="00413D94"/>
    <w:rsid w:val="004147EC"/>
    <w:rsid w:val="00414F7E"/>
    <w:rsid w:val="00420F69"/>
    <w:rsid w:val="00422824"/>
    <w:rsid w:val="00424BD6"/>
    <w:rsid w:val="00425452"/>
    <w:rsid w:val="00426122"/>
    <w:rsid w:val="004301A4"/>
    <w:rsid w:val="00430741"/>
    <w:rsid w:val="004324F1"/>
    <w:rsid w:val="004343B3"/>
    <w:rsid w:val="00442C6E"/>
    <w:rsid w:val="004472A7"/>
    <w:rsid w:val="004478DD"/>
    <w:rsid w:val="00450AB5"/>
    <w:rsid w:val="00452090"/>
    <w:rsid w:val="00462241"/>
    <w:rsid w:val="00465C03"/>
    <w:rsid w:val="00467812"/>
    <w:rsid w:val="004700FB"/>
    <w:rsid w:val="004704F0"/>
    <w:rsid w:val="00470853"/>
    <w:rsid w:val="0047358D"/>
    <w:rsid w:val="004804E6"/>
    <w:rsid w:val="004830C3"/>
    <w:rsid w:val="004832CC"/>
    <w:rsid w:val="00483DF2"/>
    <w:rsid w:val="00485658"/>
    <w:rsid w:val="00486906"/>
    <w:rsid w:val="00490ADD"/>
    <w:rsid w:val="0049305C"/>
    <w:rsid w:val="004A0527"/>
    <w:rsid w:val="004A09CC"/>
    <w:rsid w:val="004A7A24"/>
    <w:rsid w:val="004B11A3"/>
    <w:rsid w:val="004C03CD"/>
    <w:rsid w:val="004C1EB7"/>
    <w:rsid w:val="004C5B57"/>
    <w:rsid w:val="004D1E91"/>
    <w:rsid w:val="004D4B96"/>
    <w:rsid w:val="004D4C09"/>
    <w:rsid w:val="004D5CE3"/>
    <w:rsid w:val="004D5D7A"/>
    <w:rsid w:val="004D6AEF"/>
    <w:rsid w:val="004E2BFA"/>
    <w:rsid w:val="004E683F"/>
    <w:rsid w:val="004E78E7"/>
    <w:rsid w:val="004F1762"/>
    <w:rsid w:val="004F43D1"/>
    <w:rsid w:val="004F5E97"/>
    <w:rsid w:val="00502419"/>
    <w:rsid w:val="00505553"/>
    <w:rsid w:val="00507F6B"/>
    <w:rsid w:val="00512F3C"/>
    <w:rsid w:val="005136FF"/>
    <w:rsid w:val="00514210"/>
    <w:rsid w:val="00514C29"/>
    <w:rsid w:val="00516919"/>
    <w:rsid w:val="0051730A"/>
    <w:rsid w:val="005202FE"/>
    <w:rsid w:val="0052087F"/>
    <w:rsid w:val="00521843"/>
    <w:rsid w:val="005231EC"/>
    <w:rsid w:val="00525942"/>
    <w:rsid w:val="00531D1D"/>
    <w:rsid w:val="0053384C"/>
    <w:rsid w:val="00536E4F"/>
    <w:rsid w:val="0053737A"/>
    <w:rsid w:val="00537E44"/>
    <w:rsid w:val="00541A68"/>
    <w:rsid w:val="005424B5"/>
    <w:rsid w:val="005446F3"/>
    <w:rsid w:val="00545063"/>
    <w:rsid w:val="0054519E"/>
    <w:rsid w:val="00551F07"/>
    <w:rsid w:val="00570164"/>
    <w:rsid w:val="00573EC7"/>
    <w:rsid w:val="00574997"/>
    <w:rsid w:val="00577ABA"/>
    <w:rsid w:val="0058247F"/>
    <w:rsid w:val="0058297D"/>
    <w:rsid w:val="00585251"/>
    <w:rsid w:val="0058629A"/>
    <w:rsid w:val="00586301"/>
    <w:rsid w:val="00591BC8"/>
    <w:rsid w:val="00594645"/>
    <w:rsid w:val="00597061"/>
    <w:rsid w:val="005A1C8F"/>
    <w:rsid w:val="005A2352"/>
    <w:rsid w:val="005B02DA"/>
    <w:rsid w:val="005B1A92"/>
    <w:rsid w:val="005B2E52"/>
    <w:rsid w:val="005B468E"/>
    <w:rsid w:val="005B4C2C"/>
    <w:rsid w:val="005B5E7E"/>
    <w:rsid w:val="005C3589"/>
    <w:rsid w:val="005D5C46"/>
    <w:rsid w:val="005D6155"/>
    <w:rsid w:val="005E076D"/>
    <w:rsid w:val="005E0A9B"/>
    <w:rsid w:val="005E2110"/>
    <w:rsid w:val="005E4CB5"/>
    <w:rsid w:val="005E59C5"/>
    <w:rsid w:val="005E7E9F"/>
    <w:rsid w:val="005F0204"/>
    <w:rsid w:val="005F19EF"/>
    <w:rsid w:val="005F1AED"/>
    <w:rsid w:val="005F21A5"/>
    <w:rsid w:val="005F220F"/>
    <w:rsid w:val="005F394B"/>
    <w:rsid w:val="005F519E"/>
    <w:rsid w:val="0060174D"/>
    <w:rsid w:val="00607E11"/>
    <w:rsid w:val="0061023D"/>
    <w:rsid w:val="00610B25"/>
    <w:rsid w:val="00610FED"/>
    <w:rsid w:val="00611619"/>
    <w:rsid w:val="0061299D"/>
    <w:rsid w:val="006152ED"/>
    <w:rsid w:val="0061626C"/>
    <w:rsid w:val="00616EBD"/>
    <w:rsid w:val="006175D3"/>
    <w:rsid w:val="006227BF"/>
    <w:rsid w:val="00634C45"/>
    <w:rsid w:val="00634F37"/>
    <w:rsid w:val="0063675D"/>
    <w:rsid w:val="00637E97"/>
    <w:rsid w:val="00640171"/>
    <w:rsid w:val="00641DDF"/>
    <w:rsid w:val="00644675"/>
    <w:rsid w:val="00644F6F"/>
    <w:rsid w:val="006514A9"/>
    <w:rsid w:val="00652F25"/>
    <w:rsid w:val="0065536F"/>
    <w:rsid w:val="00655490"/>
    <w:rsid w:val="00662C0A"/>
    <w:rsid w:val="00667A94"/>
    <w:rsid w:val="00670D04"/>
    <w:rsid w:val="00671540"/>
    <w:rsid w:val="00671B98"/>
    <w:rsid w:val="00673A31"/>
    <w:rsid w:val="00673C08"/>
    <w:rsid w:val="00675E80"/>
    <w:rsid w:val="00676C55"/>
    <w:rsid w:val="00677032"/>
    <w:rsid w:val="0067746B"/>
    <w:rsid w:val="00681362"/>
    <w:rsid w:val="00682703"/>
    <w:rsid w:val="00683DC5"/>
    <w:rsid w:val="00684FDD"/>
    <w:rsid w:val="006857A7"/>
    <w:rsid w:val="00686AF0"/>
    <w:rsid w:val="006921A3"/>
    <w:rsid w:val="006A0D64"/>
    <w:rsid w:val="006A22FC"/>
    <w:rsid w:val="006A5893"/>
    <w:rsid w:val="006B0B9D"/>
    <w:rsid w:val="006B64A7"/>
    <w:rsid w:val="006B75EA"/>
    <w:rsid w:val="006C01AB"/>
    <w:rsid w:val="006C4230"/>
    <w:rsid w:val="006C4B17"/>
    <w:rsid w:val="006C6AAB"/>
    <w:rsid w:val="006D0544"/>
    <w:rsid w:val="006D06CE"/>
    <w:rsid w:val="006D10EC"/>
    <w:rsid w:val="006D15CF"/>
    <w:rsid w:val="006D6EF2"/>
    <w:rsid w:val="006E0B9A"/>
    <w:rsid w:val="006E0FB4"/>
    <w:rsid w:val="006E3BFF"/>
    <w:rsid w:val="006E3CE2"/>
    <w:rsid w:val="006F0AA4"/>
    <w:rsid w:val="006F5300"/>
    <w:rsid w:val="006F61E3"/>
    <w:rsid w:val="006F6E51"/>
    <w:rsid w:val="006F6EC4"/>
    <w:rsid w:val="006F720A"/>
    <w:rsid w:val="006F73B3"/>
    <w:rsid w:val="00705844"/>
    <w:rsid w:val="007100CC"/>
    <w:rsid w:val="00716380"/>
    <w:rsid w:val="00720BFE"/>
    <w:rsid w:val="00723D7A"/>
    <w:rsid w:val="00724748"/>
    <w:rsid w:val="007301CD"/>
    <w:rsid w:val="007352E0"/>
    <w:rsid w:val="0073581B"/>
    <w:rsid w:val="00742FB1"/>
    <w:rsid w:val="00744725"/>
    <w:rsid w:val="007523FF"/>
    <w:rsid w:val="0075367F"/>
    <w:rsid w:val="00753851"/>
    <w:rsid w:val="007543FF"/>
    <w:rsid w:val="0075492B"/>
    <w:rsid w:val="007557A0"/>
    <w:rsid w:val="00757D63"/>
    <w:rsid w:val="00761E5B"/>
    <w:rsid w:val="007634C1"/>
    <w:rsid w:val="00774CA0"/>
    <w:rsid w:val="007764CD"/>
    <w:rsid w:val="00776FE8"/>
    <w:rsid w:val="00781108"/>
    <w:rsid w:val="00781259"/>
    <w:rsid w:val="007819CA"/>
    <w:rsid w:val="007830FB"/>
    <w:rsid w:val="0078419C"/>
    <w:rsid w:val="00784489"/>
    <w:rsid w:val="00785CFD"/>
    <w:rsid w:val="00786065"/>
    <w:rsid w:val="0079075C"/>
    <w:rsid w:val="00794E02"/>
    <w:rsid w:val="007A03F9"/>
    <w:rsid w:val="007A0DF9"/>
    <w:rsid w:val="007A533F"/>
    <w:rsid w:val="007B0776"/>
    <w:rsid w:val="007B0BC1"/>
    <w:rsid w:val="007B2063"/>
    <w:rsid w:val="007B5B52"/>
    <w:rsid w:val="007B6AF2"/>
    <w:rsid w:val="007B7FB7"/>
    <w:rsid w:val="007C0464"/>
    <w:rsid w:val="007C2221"/>
    <w:rsid w:val="007C31E1"/>
    <w:rsid w:val="007C42A6"/>
    <w:rsid w:val="007C7A2C"/>
    <w:rsid w:val="007D09A2"/>
    <w:rsid w:val="007D0C00"/>
    <w:rsid w:val="007D159C"/>
    <w:rsid w:val="007D4C8E"/>
    <w:rsid w:val="007E0EDA"/>
    <w:rsid w:val="007E14F8"/>
    <w:rsid w:val="007E16EA"/>
    <w:rsid w:val="007E5C30"/>
    <w:rsid w:val="007E6217"/>
    <w:rsid w:val="007F45A6"/>
    <w:rsid w:val="007F636B"/>
    <w:rsid w:val="007F7A26"/>
    <w:rsid w:val="00801C81"/>
    <w:rsid w:val="00802718"/>
    <w:rsid w:val="00804DBF"/>
    <w:rsid w:val="0080508D"/>
    <w:rsid w:val="0080746D"/>
    <w:rsid w:val="008107BF"/>
    <w:rsid w:val="00810E1F"/>
    <w:rsid w:val="008127CD"/>
    <w:rsid w:val="00812982"/>
    <w:rsid w:val="00816E2E"/>
    <w:rsid w:val="00821B92"/>
    <w:rsid w:val="008232ED"/>
    <w:rsid w:val="0082625A"/>
    <w:rsid w:val="00826A06"/>
    <w:rsid w:val="00830B44"/>
    <w:rsid w:val="008317EB"/>
    <w:rsid w:val="008332F7"/>
    <w:rsid w:val="00833CA9"/>
    <w:rsid w:val="008354A6"/>
    <w:rsid w:val="00842790"/>
    <w:rsid w:val="00846359"/>
    <w:rsid w:val="008509DB"/>
    <w:rsid w:val="00852B8F"/>
    <w:rsid w:val="00854D69"/>
    <w:rsid w:val="008562B1"/>
    <w:rsid w:val="00867794"/>
    <w:rsid w:val="00867856"/>
    <w:rsid w:val="0086786F"/>
    <w:rsid w:val="00867EF1"/>
    <w:rsid w:val="008708F4"/>
    <w:rsid w:val="00875821"/>
    <w:rsid w:val="0087598B"/>
    <w:rsid w:val="008811F3"/>
    <w:rsid w:val="00882494"/>
    <w:rsid w:val="00885FA9"/>
    <w:rsid w:val="00890C46"/>
    <w:rsid w:val="00892470"/>
    <w:rsid w:val="00892D0C"/>
    <w:rsid w:val="00893242"/>
    <w:rsid w:val="00894E47"/>
    <w:rsid w:val="0089583B"/>
    <w:rsid w:val="008966F7"/>
    <w:rsid w:val="008A1465"/>
    <w:rsid w:val="008A5DE6"/>
    <w:rsid w:val="008A7BA1"/>
    <w:rsid w:val="008B3DE9"/>
    <w:rsid w:val="008B62EC"/>
    <w:rsid w:val="008C09CA"/>
    <w:rsid w:val="008C134D"/>
    <w:rsid w:val="008C3A94"/>
    <w:rsid w:val="008C4018"/>
    <w:rsid w:val="008C557E"/>
    <w:rsid w:val="008D10DE"/>
    <w:rsid w:val="008D312D"/>
    <w:rsid w:val="008D6675"/>
    <w:rsid w:val="008D729D"/>
    <w:rsid w:val="008E198C"/>
    <w:rsid w:val="008E42AB"/>
    <w:rsid w:val="008E7284"/>
    <w:rsid w:val="008F1E21"/>
    <w:rsid w:val="008F27E1"/>
    <w:rsid w:val="008F28F3"/>
    <w:rsid w:val="008F515C"/>
    <w:rsid w:val="009002FB"/>
    <w:rsid w:val="009004C6"/>
    <w:rsid w:val="009035C1"/>
    <w:rsid w:val="00903704"/>
    <w:rsid w:val="00905D2F"/>
    <w:rsid w:val="00906DC5"/>
    <w:rsid w:val="00910E40"/>
    <w:rsid w:val="0091310D"/>
    <w:rsid w:val="009140E8"/>
    <w:rsid w:val="00915A60"/>
    <w:rsid w:val="00917D99"/>
    <w:rsid w:val="009201F1"/>
    <w:rsid w:val="00923E48"/>
    <w:rsid w:val="00925BB5"/>
    <w:rsid w:val="00926362"/>
    <w:rsid w:val="00931EE1"/>
    <w:rsid w:val="009346C6"/>
    <w:rsid w:val="00934E88"/>
    <w:rsid w:val="00941F80"/>
    <w:rsid w:val="00943BDC"/>
    <w:rsid w:val="0095055F"/>
    <w:rsid w:val="00950CEA"/>
    <w:rsid w:val="00952711"/>
    <w:rsid w:val="00952C58"/>
    <w:rsid w:val="0095601E"/>
    <w:rsid w:val="009603FC"/>
    <w:rsid w:val="00961B82"/>
    <w:rsid w:val="009670A7"/>
    <w:rsid w:val="009679BB"/>
    <w:rsid w:val="00967D7D"/>
    <w:rsid w:val="0097157E"/>
    <w:rsid w:val="00971932"/>
    <w:rsid w:val="009719AE"/>
    <w:rsid w:val="00972EB1"/>
    <w:rsid w:val="00972F6B"/>
    <w:rsid w:val="009756A9"/>
    <w:rsid w:val="00976695"/>
    <w:rsid w:val="00976BB4"/>
    <w:rsid w:val="00977119"/>
    <w:rsid w:val="00977B6E"/>
    <w:rsid w:val="00982D20"/>
    <w:rsid w:val="00982F4D"/>
    <w:rsid w:val="009852CD"/>
    <w:rsid w:val="009871C5"/>
    <w:rsid w:val="00987AB2"/>
    <w:rsid w:val="00987B37"/>
    <w:rsid w:val="00990CAA"/>
    <w:rsid w:val="00990EA6"/>
    <w:rsid w:val="00994228"/>
    <w:rsid w:val="009944F1"/>
    <w:rsid w:val="00995C38"/>
    <w:rsid w:val="009A4F59"/>
    <w:rsid w:val="009B6A8A"/>
    <w:rsid w:val="009C090E"/>
    <w:rsid w:val="009D01DE"/>
    <w:rsid w:val="009D0F93"/>
    <w:rsid w:val="009D122B"/>
    <w:rsid w:val="009D3CB6"/>
    <w:rsid w:val="009E2069"/>
    <w:rsid w:val="009E66CF"/>
    <w:rsid w:val="009E678C"/>
    <w:rsid w:val="009E7FF1"/>
    <w:rsid w:val="009F0FFC"/>
    <w:rsid w:val="009F38A8"/>
    <w:rsid w:val="00A00F2F"/>
    <w:rsid w:val="00A017C6"/>
    <w:rsid w:val="00A01914"/>
    <w:rsid w:val="00A01D0A"/>
    <w:rsid w:val="00A03404"/>
    <w:rsid w:val="00A0397D"/>
    <w:rsid w:val="00A0546D"/>
    <w:rsid w:val="00A06742"/>
    <w:rsid w:val="00A075AF"/>
    <w:rsid w:val="00A116A5"/>
    <w:rsid w:val="00A11CCE"/>
    <w:rsid w:val="00A1456B"/>
    <w:rsid w:val="00A14CEF"/>
    <w:rsid w:val="00A15F2F"/>
    <w:rsid w:val="00A15FDE"/>
    <w:rsid w:val="00A302D4"/>
    <w:rsid w:val="00A36059"/>
    <w:rsid w:val="00A37302"/>
    <w:rsid w:val="00A378AA"/>
    <w:rsid w:val="00A40E20"/>
    <w:rsid w:val="00A42775"/>
    <w:rsid w:val="00A450B7"/>
    <w:rsid w:val="00A477E4"/>
    <w:rsid w:val="00A51CD1"/>
    <w:rsid w:val="00A60E97"/>
    <w:rsid w:val="00A62E92"/>
    <w:rsid w:val="00A630DC"/>
    <w:rsid w:val="00A64745"/>
    <w:rsid w:val="00A65C60"/>
    <w:rsid w:val="00A67213"/>
    <w:rsid w:val="00A7368E"/>
    <w:rsid w:val="00A854C1"/>
    <w:rsid w:val="00A85716"/>
    <w:rsid w:val="00A95249"/>
    <w:rsid w:val="00A9607B"/>
    <w:rsid w:val="00AA06A3"/>
    <w:rsid w:val="00AA41EC"/>
    <w:rsid w:val="00AA6B36"/>
    <w:rsid w:val="00AB0A84"/>
    <w:rsid w:val="00AC1F89"/>
    <w:rsid w:val="00AC38A0"/>
    <w:rsid w:val="00AD0E09"/>
    <w:rsid w:val="00AD48A9"/>
    <w:rsid w:val="00AD495C"/>
    <w:rsid w:val="00AD65A5"/>
    <w:rsid w:val="00AD6BB3"/>
    <w:rsid w:val="00AD70CE"/>
    <w:rsid w:val="00AE4811"/>
    <w:rsid w:val="00AE4AAA"/>
    <w:rsid w:val="00AE4FD9"/>
    <w:rsid w:val="00AE6F26"/>
    <w:rsid w:val="00AF2A07"/>
    <w:rsid w:val="00B00757"/>
    <w:rsid w:val="00B011C2"/>
    <w:rsid w:val="00B02E26"/>
    <w:rsid w:val="00B03CB4"/>
    <w:rsid w:val="00B051B2"/>
    <w:rsid w:val="00B1037A"/>
    <w:rsid w:val="00B11F79"/>
    <w:rsid w:val="00B12773"/>
    <w:rsid w:val="00B1795C"/>
    <w:rsid w:val="00B33695"/>
    <w:rsid w:val="00B40205"/>
    <w:rsid w:val="00B41E66"/>
    <w:rsid w:val="00B41F80"/>
    <w:rsid w:val="00B47C63"/>
    <w:rsid w:val="00B510FD"/>
    <w:rsid w:val="00B537C4"/>
    <w:rsid w:val="00B56AF0"/>
    <w:rsid w:val="00B60EAF"/>
    <w:rsid w:val="00B61E4B"/>
    <w:rsid w:val="00B61F4B"/>
    <w:rsid w:val="00B64B52"/>
    <w:rsid w:val="00B71F61"/>
    <w:rsid w:val="00B756E4"/>
    <w:rsid w:val="00B75D85"/>
    <w:rsid w:val="00B848B7"/>
    <w:rsid w:val="00B85846"/>
    <w:rsid w:val="00B85A19"/>
    <w:rsid w:val="00B85AEE"/>
    <w:rsid w:val="00B8698B"/>
    <w:rsid w:val="00B951DA"/>
    <w:rsid w:val="00BA1571"/>
    <w:rsid w:val="00BA2E70"/>
    <w:rsid w:val="00BA4DC2"/>
    <w:rsid w:val="00BA604C"/>
    <w:rsid w:val="00BB03EC"/>
    <w:rsid w:val="00BB2059"/>
    <w:rsid w:val="00BB31E5"/>
    <w:rsid w:val="00BB4E35"/>
    <w:rsid w:val="00BC1481"/>
    <w:rsid w:val="00BC40DE"/>
    <w:rsid w:val="00BD7A43"/>
    <w:rsid w:val="00BE18FF"/>
    <w:rsid w:val="00BE2B48"/>
    <w:rsid w:val="00BE3ED7"/>
    <w:rsid w:val="00BE4224"/>
    <w:rsid w:val="00BE5F00"/>
    <w:rsid w:val="00BF0011"/>
    <w:rsid w:val="00BF0C48"/>
    <w:rsid w:val="00BF2315"/>
    <w:rsid w:val="00BF3901"/>
    <w:rsid w:val="00BF59C0"/>
    <w:rsid w:val="00C02D0A"/>
    <w:rsid w:val="00C0776A"/>
    <w:rsid w:val="00C110A0"/>
    <w:rsid w:val="00C134BE"/>
    <w:rsid w:val="00C14E2E"/>
    <w:rsid w:val="00C17968"/>
    <w:rsid w:val="00C24FF0"/>
    <w:rsid w:val="00C272F4"/>
    <w:rsid w:val="00C30D0E"/>
    <w:rsid w:val="00C3275F"/>
    <w:rsid w:val="00C37630"/>
    <w:rsid w:val="00C41670"/>
    <w:rsid w:val="00C41958"/>
    <w:rsid w:val="00C41C15"/>
    <w:rsid w:val="00C4543D"/>
    <w:rsid w:val="00C456E3"/>
    <w:rsid w:val="00C468F8"/>
    <w:rsid w:val="00C475C5"/>
    <w:rsid w:val="00C549C3"/>
    <w:rsid w:val="00C56F3C"/>
    <w:rsid w:val="00C56FC7"/>
    <w:rsid w:val="00C57F18"/>
    <w:rsid w:val="00C60CA6"/>
    <w:rsid w:val="00C620D4"/>
    <w:rsid w:val="00C65043"/>
    <w:rsid w:val="00C67528"/>
    <w:rsid w:val="00C67A40"/>
    <w:rsid w:val="00C71057"/>
    <w:rsid w:val="00C75046"/>
    <w:rsid w:val="00C82719"/>
    <w:rsid w:val="00C83AA9"/>
    <w:rsid w:val="00C91071"/>
    <w:rsid w:val="00C95952"/>
    <w:rsid w:val="00CA2042"/>
    <w:rsid w:val="00CA51A8"/>
    <w:rsid w:val="00CA6686"/>
    <w:rsid w:val="00CC00C4"/>
    <w:rsid w:val="00CC0596"/>
    <w:rsid w:val="00CC05A7"/>
    <w:rsid w:val="00CC293E"/>
    <w:rsid w:val="00CC4CAF"/>
    <w:rsid w:val="00CC5C12"/>
    <w:rsid w:val="00CC77B7"/>
    <w:rsid w:val="00CD6F0E"/>
    <w:rsid w:val="00CE4FD4"/>
    <w:rsid w:val="00CE79CF"/>
    <w:rsid w:val="00CE7B10"/>
    <w:rsid w:val="00CF0DCC"/>
    <w:rsid w:val="00CF1841"/>
    <w:rsid w:val="00CF2BE2"/>
    <w:rsid w:val="00CF3D76"/>
    <w:rsid w:val="00D01153"/>
    <w:rsid w:val="00D026BF"/>
    <w:rsid w:val="00D0523D"/>
    <w:rsid w:val="00D15809"/>
    <w:rsid w:val="00D2032E"/>
    <w:rsid w:val="00D2141A"/>
    <w:rsid w:val="00D24BC1"/>
    <w:rsid w:val="00D31F2B"/>
    <w:rsid w:val="00D345C3"/>
    <w:rsid w:val="00D34EED"/>
    <w:rsid w:val="00D36DA3"/>
    <w:rsid w:val="00D37064"/>
    <w:rsid w:val="00D4202D"/>
    <w:rsid w:val="00D43E03"/>
    <w:rsid w:val="00D46142"/>
    <w:rsid w:val="00D47735"/>
    <w:rsid w:val="00D523CD"/>
    <w:rsid w:val="00D53979"/>
    <w:rsid w:val="00D54DFD"/>
    <w:rsid w:val="00D552D6"/>
    <w:rsid w:val="00D56255"/>
    <w:rsid w:val="00D5781B"/>
    <w:rsid w:val="00D60C6D"/>
    <w:rsid w:val="00D6378B"/>
    <w:rsid w:val="00D667F6"/>
    <w:rsid w:val="00D72150"/>
    <w:rsid w:val="00D7377D"/>
    <w:rsid w:val="00D73878"/>
    <w:rsid w:val="00D75BE9"/>
    <w:rsid w:val="00D76CEB"/>
    <w:rsid w:val="00D77086"/>
    <w:rsid w:val="00D868C2"/>
    <w:rsid w:val="00D87BE5"/>
    <w:rsid w:val="00D95796"/>
    <w:rsid w:val="00DA0EC1"/>
    <w:rsid w:val="00DA1680"/>
    <w:rsid w:val="00DA36BE"/>
    <w:rsid w:val="00DA575C"/>
    <w:rsid w:val="00DB03D3"/>
    <w:rsid w:val="00DB1EB9"/>
    <w:rsid w:val="00DB2167"/>
    <w:rsid w:val="00DB2206"/>
    <w:rsid w:val="00DB4BFA"/>
    <w:rsid w:val="00DB54BC"/>
    <w:rsid w:val="00DB6193"/>
    <w:rsid w:val="00DC2425"/>
    <w:rsid w:val="00DC2EA4"/>
    <w:rsid w:val="00DC4AB3"/>
    <w:rsid w:val="00DC5FC5"/>
    <w:rsid w:val="00DD0DA5"/>
    <w:rsid w:val="00DD11B5"/>
    <w:rsid w:val="00DD3B15"/>
    <w:rsid w:val="00DD45D3"/>
    <w:rsid w:val="00DD487D"/>
    <w:rsid w:val="00DD4E55"/>
    <w:rsid w:val="00DD51FA"/>
    <w:rsid w:val="00DD6783"/>
    <w:rsid w:val="00DD706E"/>
    <w:rsid w:val="00DE43B9"/>
    <w:rsid w:val="00DE4948"/>
    <w:rsid w:val="00DE5B43"/>
    <w:rsid w:val="00DF07C9"/>
    <w:rsid w:val="00DF3178"/>
    <w:rsid w:val="00DF3F2D"/>
    <w:rsid w:val="00DF4253"/>
    <w:rsid w:val="00DF59D1"/>
    <w:rsid w:val="00E017F9"/>
    <w:rsid w:val="00E04ECA"/>
    <w:rsid w:val="00E05F81"/>
    <w:rsid w:val="00E122B8"/>
    <w:rsid w:val="00E133C9"/>
    <w:rsid w:val="00E150D0"/>
    <w:rsid w:val="00E16BD7"/>
    <w:rsid w:val="00E17B3C"/>
    <w:rsid w:val="00E20267"/>
    <w:rsid w:val="00E23701"/>
    <w:rsid w:val="00E23E06"/>
    <w:rsid w:val="00E30EE0"/>
    <w:rsid w:val="00E32489"/>
    <w:rsid w:val="00E33656"/>
    <w:rsid w:val="00E33966"/>
    <w:rsid w:val="00E3401F"/>
    <w:rsid w:val="00E3571F"/>
    <w:rsid w:val="00E358AA"/>
    <w:rsid w:val="00E4007D"/>
    <w:rsid w:val="00E404DC"/>
    <w:rsid w:val="00E40998"/>
    <w:rsid w:val="00E40C71"/>
    <w:rsid w:val="00E42782"/>
    <w:rsid w:val="00E42D6F"/>
    <w:rsid w:val="00E4456B"/>
    <w:rsid w:val="00E4707A"/>
    <w:rsid w:val="00E5166D"/>
    <w:rsid w:val="00E51AB3"/>
    <w:rsid w:val="00E524EC"/>
    <w:rsid w:val="00E562DC"/>
    <w:rsid w:val="00E60C2E"/>
    <w:rsid w:val="00E61161"/>
    <w:rsid w:val="00E6370F"/>
    <w:rsid w:val="00E66DF6"/>
    <w:rsid w:val="00E670B2"/>
    <w:rsid w:val="00E672C1"/>
    <w:rsid w:val="00E72CA2"/>
    <w:rsid w:val="00E7523A"/>
    <w:rsid w:val="00E75E12"/>
    <w:rsid w:val="00E76D01"/>
    <w:rsid w:val="00E7775A"/>
    <w:rsid w:val="00E83367"/>
    <w:rsid w:val="00E85CF5"/>
    <w:rsid w:val="00E8761E"/>
    <w:rsid w:val="00E920F3"/>
    <w:rsid w:val="00E94546"/>
    <w:rsid w:val="00E9470F"/>
    <w:rsid w:val="00E96662"/>
    <w:rsid w:val="00EA0FC8"/>
    <w:rsid w:val="00EA3233"/>
    <w:rsid w:val="00EA37FD"/>
    <w:rsid w:val="00EA57C0"/>
    <w:rsid w:val="00EA65E6"/>
    <w:rsid w:val="00EB1E3B"/>
    <w:rsid w:val="00EB49BA"/>
    <w:rsid w:val="00EB5E88"/>
    <w:rsid w:val="00EB77EB"/>
    <w:rsid w:val="00EC0A2C"/>
    <w:rsid w:val="00EC300C"/>
    <w:rsid w:val="00EC3515"/>
    <w:rsid w:val="00EC5A5B"/>
    <w:rsid w:val="00EC6442"/>
    <w:rsid w:val="00ED1426"/>
    <w:rsid w:val="00ED74EB"/>
    <w:rsid w:val="00EE0D92"/>
    <w:rsid w:val="00EE0E1B"/>
    <w:rsid w:val="00EE12E4"/>
    <w:rsid w:val="00EE2184"/>
    <w:rsid w:val="00EE2746"/>
    <w:rsid w:val="00EE461F"/>
    <w:rsid w:val="00EE5C44"/>
    <w:rsid w:val="00EE61EC"/>
    <w:rsid w:val="00EE6DA1"/>
    <w:rsid w:val="00EE6FEE"/>
    <w:rsid w:val="00EF0B76"/>
    <w:rsid w:val="00EF4D78"/>
    <w:rsid w:val="00EF56E6"/>
    <w:rsid w:val="00EF64DE"/>
    <w:rsid w:val="00EF6C3A"/>
    <w:rsid w:val="00F01461"/>
    <w:rsid w:val="00F06CD6"/>
    <w:rsid w:val="00F06EBC"/>
    <w:rsid w:val="00F11FE4"/>
    <w:rsid w:val="00F15718"/>
    <w:rsid w:val="00F219EA"/>
    <w:rsid w:val="00F225D0"/>
    <w:rsid w:val="00F25059"/>
    <w:rsid w:val="00F25E14"/>
    <w:rsid w:val="00F30650"/>
    <w:rsid w:val="00F30AFA"/>
    <w:rsid w:val="00F31257"/>
    <w:rsid w:val="00F34A3E"/>
    <w:rsid w:val="00F3724C"/>
    <w:rsid w:val="00F408D3"/>
    <w:rsid w:val="00F4229D"/>
    <w:rsid w:val="00F42F38"/>
    <w:rsid w:val="00F4557C"/>
    <w:rsid w:val="00F47350"/>
    <w:rsid w:val="00F52207"/>
    <w:rsid w:val="00F557FA"/>
    <w:rsid w:val="00F565D5"/>
    <w:rsid w:val="00F61B52"/>
    <w:rsid w:val="00F624A8"/>
    <w:rsid w:val="00F656D3"/>
    <w:rsid w:val="00F65835"/>
    <w:rsid w:val="00F77E2F"/>
    <w:rsid w:val="00F8169E"/>
    <w:rsid w:val="00F86733"/>
    <w:rsid w:val="00F87A13"/>
    <w:rsid w:val="00F907A2"/>
    <w:rsid w:val="00F9360B"/>
    <w:rsid w:val="00F946B9"/>
    <w:rsid w:val="00F9525A"/>
    <w:rsid w:val="00F96550"/>
    <w:rsid w:val="00FA62B0"/>
    <w:rsid w:val="00FA764A"/>
    <w:rsid w:val="00FB037A"/>
    <w:rsid w:val="00FB1B4B"/>
    <w:rsid w:val="00FC04A6"/>
    <w:rsid w:val="00FC365D"/>
    <w:rsid w:val="00FC38E0"/>
    <w:rsid w:val="00FC4A04"/>
    <w:rsid w:val="00FC7979"/>
    <w:rsid w:val="00FD1A7A"/>
    <w:rsid w:val="00FD262D"/>
    <w:rsid w:val="00FD2D11"/>
    <w:rsid w:val="00FD30D5"/>
    <w:rsid w:val="00FD600C"/>
    <w:rsid w:val="00FE2C6C"/>
    <w:rsid w:val="00FE3F47"/>
    <w:rsid w:val="00FE4434"/>
    <w:rsid w:val="00FE586C"/>
    <w:rsid w:val="00FE790A"/>
    <w:rsid w:val="00FF5116"/>
    <w:rsid w:val="00FF60D4"/>
    <w:rsid w:val="00FF7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D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2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6F"/>
  </w:style>
  <w:style w:type="paragraph" w:styleId="Footer">
    <w:name w:val="footer"/>
    <w:basedOn w:val="Normal"/>
    <w:link w:val="FooterChar"/>
    <w:uiPriority w:val="99"/>
    <w:unhideWhenUsed/>
    <w:rsid w:val="00E42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6F"/>
  </w:style>
  <w:style w:type="paragraph" w:customStyle="1" w:styleId="Default">
    <w:name w:val="Default"/>
    <w:rsid w:val="00CE7B1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0D04"/>
    <w:pPr>
      <w:ind w:left="720"/>
      <w:contextualSpacing/>
    </w:pPr>
  </w:style>
  <w:style w:type="paragraph" w:styleId="BalloonText">
    <w:name w:val="Balloon Text"/>
    <w:basedOn w:val="Normal"/>
    <w:link w:val="BalloonTextChar"/>
    <w:uiPriority w:val="99"/>
    <w:semiHidden/>
    <w:unhideWhenUsed/>
    <w:rsid w:val="001F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23"/>
    <w:rPr>
      <w:rFonts w:ascii="Tahoma" w:hAnsi="Tahoma" w:cs="Tahoma"/>
      <w:sz w:val="16"/>
      <w:szCs w:val="16"/>
    </w:rPr>
  </w:style>
  <w:style w:type="character" w:styleId="CommentReference">
    <w:name w:val="annotation reference"/>
    <w:basedOn w:val="DefaultParagraphFont"/>
    <w:uiPriority w:val="99"/>
    <w:semiHidden/>
    <w:unhideWhenUsed/>
    <w:rsid w:val="00F15718"/>
    <w:rPr>
      <w:sz w:val="16"/>
      <w:szCs w:val="16"/>
    </w:rPr>
  </w:style>
  <w:style w:type="paragraph" w:styleId="CommentText">
    <w:name w:val="annotation text"/>
    <w:basedOn w:val="Normal"/>
    <w:link w:val="CommentTextChar"/>
    <w:uiPriority w:val="99"/>
    <w:semiHidden/>
    <w:unhideWhenUsed/>
    <w:rsid w:val="00F15718"/>
    <w:pPr>
      <w:spacing w:line="240" w:lineRule="auto"/>
    </w:pPr>
    <w:rPr>
      <w:sz w:val="20"/>
      <w:szCs w:val="20"/>
    </w:rPr>
  </w:style>
  <w:style w:type="character" w:customStyle="1" w:styleId="CommentTextChar">
    <w:name w:val="Comment Text Char"/>
    <w:basedOn w:val="DefaultParagraphFont"/>
    <w:link w:val="CommentText"/>
    <w:uiPriority w:val="99"/>
    <w:semiHidden/>
    <w:rsid w:val="00F15718"/>
    <w:rPr>
      <w:sz w:val="20"/>
      <w:szCs w:val="20"/>
    </w:rPr>
  </w:style>
  <w:style w:type="paragraph" w:styleId="CommentSubject">
    <w:name w:val="annotation subject"/>
    <w:basedOn w:val="CommentText"/>
    <w:next w:val="CommentText"/>
    <w:link w:val="CommentSubjectChar"/>
    <w:uiPriority w:val="99"/>
    <w:semiHidden/>
    <w:unhideWhenUsed/>
    <w:rsid w:val="00F15718"/>
    <w:rPr>
      <w:b/>
      <w:bCs/>
    </w:rPr>
  </w:style>
  <w:style w:type="character" w:customStyle="1" w:styleId="CommentSubjectChar">
    <w:name w:val="Comment Subject Char"/>
    <w:basedOn w:val="CommentTextChar"/>
    <w:link w:val="CommentSubject"/>
    <w:uiPriority w:val="99"/>
    <w:semiHidden/>
    <w:rsid w:val="00F15718"/>
    <w:rPr>
      <w:b/>
      <w:bCs/>
      <w:sz w:val="20"/>
      <w:szCs w:val="20"/>
    </w:rPr>
  </w:style>
  <w:style w:type="character" w:styleId="Hyperlink">
    <w:name w:val="Hyperlink"/>
    <w:basedOn w:val="DefaultParagraphFont"/>
    <w:uiPriority w:val="99"/>
    <w:unhideWhenUsed/>
    <w:rsid w:val="005450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8439488">
      <w:bodyDiv w:val="1"/>
      <w:marLeft w:val="0"/>
      <w:marRight w:val="0"/>
      <w:marTop w:val="0"/>
      <w:marBottom w:val="0"/>
      <w:divBdr>
        <w:top w:val="none" w:sz="0" w:space="0" w:color="auto"/>
        <w:left w:val="none" w:sz="0" w:space="0" w:color="auto"/>
        <w:bottom w:val="none" w:sz="0" w:space="0" w:color="auto"/>
        <w:right w:val="none" w:sz="0" w:space="0" w:color="auto"/>
      </w:divBdr>
    </w:div>
    <w:div w:id="375660429">
      <w:bodyDiv w:val="1"/>
      <w:marLeft w:val="0"/>
      <w:marRight w:val="0"/>
      <w:marTop w:val="0"/>
      <w:marBottom w:val="75"/>
      <w:divBdr>
        <w:top w:val="none" w:sz="0" w:space="0" w:color="auto"/>
        <w:left w:val="none" w:sz="0" w:space="0" w:color="auto"/>
        <w:bottom w:val="none" w:sz="0" w:space="0" w:color="auto"/>
        <w:right w:val="none" w:sz="0" w:space="0" w:color="auto"/>
      </w:divBdr>
    </w:div>
    <w:div w:id="625935126">
      <w:bodyDiv w:val="1"/>
      <w:marLeft w:val="0"/>
      <w:marRight w:val="0"/>
      <w:marTop w:val="0"/>
      <w:marBottom w:val="0"/>
      <w:divBdr>
        <w:top w:val="none" w:sz="0" w:space="0" w:color="auto"/>
        <w:left w:val="none" w:sz="0" w:space="0" w:color="auto"/>
        <w:bottom w:val="none" w:sz="0" w:space="0" w:color="auto"/>
        <w:right w:val="none" w:sz="0" w:space="0" w:color="auto"/>
      </w:divBdr>
    </w:div>
    <w:div w:id="707874659">
      <w:bodyDiv w:val="1"/>
      <w:marLeft w:val="0"/>
      <w:marRight w:val="0"/>
      <w:marTop w:val="0"/>
      <w:marBottom w:val="0"/>
      <w:divBdr>
        <w:top w:val="none" w:sz="0" w:space="0" w:color="auto"/>
        <w:left w:val="none" w:sz="0" w:space="0" w:color="auto"/>
        <w:bottom w:val="none" w:sz="0" w:space="0" w:color="auto"/>
        <w:right w:val="none" w:sz="0" w:space="0" w:color="auto"/>
      </w:divBdr>
    </w:div>
    <w:div w:id="889458695">
      <w:bodyDiv w:val="1"/>
      <w:marLeft w:val="0"/>
      <w:marRight w:val="0"/>
      <w:marTop w:val="0"/>
      <w:marBottom w:val="0"/>
      <w:divBdr>
        <w:top w:val="none" w:sz="0" w:space="0" w:color="auto"/>
        <w:left w:val="none" w:sz="0" w:space="0" w:color="auto"/>
        <w:bottom w:val="none" w:sz="0" w:space="0" w:color="auto"/>
        <w:right w:val="none" w:sz="0" w:space="0" w:color="auto"/>
      </w:divBdr>
    </w:div>
    <w:div w:id="1209761357">
      <w:bodyDiv w:val="1"/>
      <w:marLeft w:val="0"/>
      <w:marRight w:val="0"/>
      <w:marTop w:val="0"/>
      <w:marBottom w:val="0"/>
      <w:divBdr>
        <w:top w:val="none" w:sz="0" w:space="0" w:color="auto"/>
        <w:left w:val="none" w:sz="0" w:space="0" w:color="auto"/>
        <w:bottom w:val="none" w:sz="0" w:space="0" w:color="auto"/>
        <w:right w:val="none" w:sz="0" w:space="0" w:color="auto"/>
      </w:divBdr>
    </w:div>
    <w:div w:id="1464688920">
      <w:bodyDiv w:val="1"/>
      <w:marLeft w:val="0"/>
      <w:marRight w:val="0"/>
      <w:marTop w:val="0"/>
      <w:marBottom w:val="0"/>
      <w:divBdr>
        <w:top w:val="none" w:sz="0" w:space="0" w:color="auto"/>
        <w:left w:val="none" w:sz="0" w:space="0" w:color="auto"/>
        <w:bottom w:val="none" w:sz="0" w:space="0" w:color="auto"/>
        <w:right w:val="none" w:sz="0" w:space="0" w:color="auto"/>
      </w:divBdr>
    </w:div>
    <w:div w:id="1782071236">
      <w:bodyDiv w:val="1"/>
      <w:marLeft w:val="0"/>
      <w:marRight w:val="0"/>
      <w:marTop w:val="0"/>
      <w:marBottom w:val="0"/>
      <w:divBdr>
        <w:top w:val="none" w:sz="0" w:space="0" w:color="auto"/>
        <w:left w:val="none" w:sz="0" w:space="0" w:color="auto"/>
        <w:bottom w:val="none" w:sz="0" w:space="0" w:color="auto"/>
        <w:right w:val="none" w:sz="0" w:space="0" w:color="auto"/>
      </w:divBdr>
    </w:div>
    <w:div w:id="2023125259">
      <w:bodyDiv w:val="1"/>
      <w:marLeft w:val="0"/>
      <w:marRight w:val="0"/>
      <w:marTop w:val="0"/>
      <w:marBottom w:val="100"/>
      <w:divBdr>
        <w:top w:val="none" w:sz="0" w:space="0" w:color="auto"/>
        <w:left w:val="none" w:sz="0" w:space="0" w:color="auto"/>
        <w:bottom w:val="none" w:sz="0" w:space="0" w:color="auto"/>
        <w:right w:val="none" w:sz="0" w:space="0" w:color="auto"/>
      </w:divBdr>
    </w:div>
    <w:div w:id="21052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jcdnoc-ln1/nxt/gateway.dll/jilc/kilc/c0pg/7aqg/8aqg/r22g?f=templates$fn=document-frame.htm$3.0$q=$x=$nc=19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7506-CCC2-4623-B9C4-589C38D6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Louw</dc:creator>
  <cp:lastModifiedBy>PMG User</cp:lastModifiedBy>
  <cp:revision>2</cp:revision>
  <cp:lastPrinted>2017-10-16T11:54:00Z</cp:lastPrinted>
  <dcterms:created xsi:type="dcterms:W3CDTF">2017-11-23T11:11:00Z</dcterms:created>
  <dcterms:modified xsi:type="dcterms:W3CDTF">2017-11-23T11:11:00Z</dcterms:modified>
</cp:coreProperties>
</file>