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226E0F" w:rsidRPr="003D1597" w14:paraId="78B6EF45" w14:textId="77777777" w:rsidTr="009C3B8F">
        <w:trPr>
          <w:trHeight w:val="720"/>
          <w:jc w:val="center"/>
        </w:trPr>
        <w:tc>
          <w:tcPr>
            <w:tcW w:w="5000" w:type="pct"/>
            <w:vAlign w:val="center"/>
          </w:tcPr>
          <w:p w14:paraId="6DA5478D" w14:textId="3D9A0676" w:rsidR="00226E0F" w:rsidRPr="009C3B8F" w:rsidRDefault="00E36364" w:rsidP="009C3B8F">
            <w:pPr>
              <w:pStyle w:val="NoSpacing"/>
              <w:ind w:left="432" w:hanging="450"/>
              <w:jc w:val="both"/>
              <w:rPr>
                <w:rFonts w:ascii="Times New Roman" w:eastAsiaTheme="majorEastAsia" w:hAnsi="Times New Roman" w:cs="Times New Roman"/>
                <w:sz w:val="28"/>
                <w:szCs w:val="28"/>
              </w:rPr>
            </w:pPr>
            <w:bookmarkStart w:id="0" w:name="_GoBack"/>
            <w:bookmarkEnd w:id="0"/>
            <w:r>
              <w:rPr>
                <w:rFonts w:ascii="Times New Roman" w:eastAsiaTheme="majorEastAsia" w:hAnsi="Times New Roman" w:cs="Times New Roman"/>
                <w:b/>
                <w:caps/>
                <w:sz w:val="28"/>
                <w:szCs w:val="28"/>
              </w:rPr>
              <w:t>9</w:t>
            </w:r>
            <w:r w:rsidR="009C3B8F">
              <w:rPr>
                <w:rFonts w:ascii="Times New Roman" w:eastAsiaTheme="majorEastAsia" w:hAnsi="Times New Roman" w:cs="Times New Roman"/>
                <w:b/>
                <w:caps/>
                <w:sz w:val="28"/>
                <w:szCs w:val="28"/>
              </w:rPr>
              <w:t xml:space="preserve">. </w:t>
            </w:r>
            <w:r w:rsidR="009C3B8F" w:rsidRPr="009C3B8F">
              <w:rPr>
                <w:rFonts w:ascii="Times New Roman" w:eastAsiaTheme="majorEastAsia" w:hAnsi="Times New Roman" w:cs="Times New Roman"/>
                <w:b/>
                <w:caps/>
                <w:sz w:val="28"/>
                <w:szCs w:val="28"/>
              </w:rPr>
              <w:t xml:space="preserve">Portfolio Committee on Public Service and Administration as well as Planning Monitoring and Evaluation </w:t>
            </w:r>
            <w:sdt>
              <w:sdtPr>
                <w:rPr>
                  <w:rFonts w:ascii="Times New Roman" w:hAnsi="Times New Roman" w:cs="Times New Roman"/>
                  <w:b/>
                  <w:sz w:val="28"/>
                  <w:szCs w:val="28"/>
                </w:rPr>
                <w:alias w:val="Subtitle"/>
                <w:id w:val="15524255"/>
                <w:placeholder>
                  <w:docPart w:val="2A926DE8FC0446F3B60FDE7614734D34"/>
                </w:placeholder>
                <w:dataBinding w:prefixMappings="xmlns:ns0='http://schemas.openxmlformats.org/package/2006/metadata/core-properties' xmlns:ns1='http://purl.org/dc/elements/1.1/'" w:xpath="/ns0:coreProperties[1]/ns1:subject[1]" w:storeItemID="{6C3C8BC8-F283-45AE-878A-BAB7291924A1}"/>
                <w:text/>
              </w:sdtPr>
              <w:sdtEndPr/>
              <w:sdtContent>
                <w:r w:rsidR="007F57E7" w:rsidRPr="009C3B8F">
                  <w:rPr>
                    <w:rFonts w:ascii="Times New Roman" w:hAnsi="Times New Roman" w:cs="Times New Roman"/>
                    <w:b/>
                    <w:sz w:val="28"/>
                    <w:szCs w:val="28"/>
                  </w:rPr>
                  <w:t>REPORT ON THE SECOND QUARTER</w:t>
                </w:r>
                <w:r w:rsidR="008561F1" w:rsidRPr="009C3B8F">
                  <w:rPr>
                    <w:rFonts w:ascii="Times New Roman" w:hAnsi="Times New Roman" w:cs="Times New Roman"/>
                    <w:b/>
                    <w:sz w:val="28"/>
                    <w:szCs w:val="28"/>
                  </w:rPr>
                  <w:t xml:space="preserve"> PERFORMANCE BUDGET VOTE 8: DEPARTMENT OF PLANNING, MONITORING AND EVALUATION</w:t>
                </w:r>
                <w:r w:rsidR="005D3E2F" w:rsidRPr="009C3B8F">
                  <w:rPr>
                    <w:rFonts w:ascii="Times New Roman" w:hAnsi="Times New Roman" w:cs="Times New Roman"/>
                    <w:b/>
                    <w:sz w:val="28"/>
                    <w:szCs w:val="28"/>
                  </w:rPr>
                  <w:t>,</w:t>
                </w:r>
                <w:r w:rsidR="008561F1" w:rsidRPr="009C3B8F">
                  <w:rPr>
                    <w:rFonts w:ascii="Times New Roman" w:hAnsi="Times New Roman" w:cs="Times New Roman"/>
                    <w:b/>
                    <w:sz w:val="28"/>
                    <w:szCs w:val="28"/>
                  </w:rPr>
                  <w:t xml:space="preserve"> Dated </w:t>
                </w:r>
                <w:r w:rsidR="0025664C" w:rsidRPr="009C3B8F">
                  <w:rPr>
                    <w:rFonts w:ascii="Times New Roman" w:hAnsi="Times New Roman" w:cs="Times New Roman"/>
                    <w:b/>
                    <w:sz w:val="28"/>
                    <w:szCs w:val="28"/>
                  </w:rPr>
                  <w:t>22</w:t>
                </w:r>
                <w:r w:rsidR="008561F1" w:rsidRPr="009C3B8F">
                  <w:rPr>
                    <w:rFonts w:ascii="Times New Roman" w:hAnsi="Times New Roman" w:cs="Times New Roman"/>
                    <w:b/>
                    <w:sz w:val="28"/>
                    <w:szCs w:val="28"/>
                  </w:rPr>
                  <w:t xml:space="preserve"> November 2017</w:t>
                </w:r>
              </w:sdtContent>
            </w:sdt>
          </w:p>
        </w:tc>
      </w:tr>
    </w:tbl>
    <w:p w14:paraId="1D061E6F" w14:textId="77777777" w:rsidR="0027593E" w:rsidRPr="003D1597" w:rsidRDefault="0027593E" w:rsidP="00226E0F">
      <w:pPr>
        <w:rPr>
          <w:rFonts w:ascii="Times New Roman" w:hAnsi="Times New Roman" w:cs="Times New Roman"/>
        </w:rPr>
      </w:pPr>
    </w:p>
    <w:p w14:paraId="0ECA3F40" w14:textId="77777777" w:rsidR="00226E0F" w:rsidRPr="00DA2095" w:rsidRDefault="00226E0F" w:rsidP="00226E0F">
      <w:pPr>
        <w:pStyle w:val="ListParagraph"/>
        <w:numPr>
          <w:ilvl w:val="0"/>
          <w:numId w:val="1"/>
        </w:numPr>
        <w:spacing w:line="360" w:lineRule="auto"/>
        <w:ind w:left="567" w:hanging="567"/>
        <w:rPr>
          <w:rFonts w:ascii="Times New Roman" w:hAnsi="Times New Roman" w:cs="Times New Roman"/>
          <w:b/>
          <w:sz w:val="24"/>
          <w:szCs w:val="24"/>
        </w:rPr>
      </w:pPr>
      <w:r w:rsidRPr="00DA2095">
        <w:rPr>
          <w:rFonts w:ascii="Times New Roman" w:hAnsi="Times New Roman" w:cs="Times New Roman"/>
          <w:b/>
          <w:sz w:val="24"/>
          <w:szCs w:val="24"/>
        </w:rPr>
        <w:t>BACKGROUND</w:t>
      </w:r>
    </w:p>
    <w:p w14:paraId="7FE93331" w14:textId="77777777" w:rsidR="00226E0F" w:rsidRPr="00DA2095" w:rsidRDefault="00226E0F" w:rsidP="00226E0F">
      <w:pPr>
        <w:spacing w:line="360" w:lineRule="auto"/>
        <w:jc w:val="both"/>
        <w:rPr>
          <w:rFonts w:ascii="Times New Roman" w:hAnsi="Times New Roman" w:cs="Times New Roman"/>
          <w:sz w:val="24"/>
          <w:szCs w:val="24"/>
        </w:rPr>
      </w:pPr>
      <w:r w:rsidRPr="00DA2095">
        <w:rPr>
          <w:rFonts w:ascii="Times New Roman" w:hAnsi="Times New Roman" w:cs="Times New Roman"/>
          <w:sz w:val="24"/>
          <w:szCs w:val="24"/>
        </w:rPr>
        <w:t xml:space="preserve">The Portfolio Committee on Public Service and Administration as well as Planning, Monitoring and Evaluation (hereinafter referred to as the Committee) having considered </w:t>
      </w:r>
      <w:r w:rsidR="00B55BCA" w:rsidRPr="00DA2095">
        <w:rPr>
          <w:rFonts w:ascii="Times New Roman" w:hAnsi="Times New Roman" w:cs="Times New Roman"/>
          <w:sz w:val="24"/>
          <w:szCs w:val="24"/>
        </w:rPr>
        <w:t xml:space="preserve">second </w:t>
      </w:r>
      <w:r w:rsidRPr="00DA2095">
        <w:rPr>
          <w:rFonts w:ascii="Times New Roman" w:hAnsi="Times New Roman" w:cs="Times New Roman"/>
          <w:sz w:val="24"/>
          <w:szCs w:val="24"/>
        </w:rPr>
        <w:t>quarter performance of the Department of P</w:t>
      </w:r>
      <w:r w:rsidR="00AE315D" w:rsidRPr="00DA2095">
        <w:rPr>
          <w:rFonts w:ascii="Times New Roman" w:hAnsi="Times New Roman" w:cs="Times New Roman"/>
          <w:sz w:val="24"/>
          <w:szCs w:val="24"/>
        </w:rPr>
        <w:t>lanning, Monitoring</w:t>
      </w:r>
      <w:r w:rsidRPr="00DA2095">
        <w:rPr>
          <w:rFonts w:ascii="Times New Roman" w:hAnsi="Times New Roman" w:cs="Times New Roman"/>
          <w:sz w:val="24"/>
          <w:szCs w:val="24"/>
        </w:rPr>
        <w:t xml:space="preserve"> and </w:t>
      </w:r>
      <w:r w:rsidR="00AE315D" w:rsidRPr="00DA2095">
        <w:rPr>
          <w:rFonts w:ascii="Times New Roman" w:hAnsi="Times New Roman" w:cs="Times New Roman"/>
          <w:sz w:val="24"/>
          <w:szCs w:val="24"/>
        </w:rPr>
        <w:t>Evaluation and Na</w:t>
      </w:r>
      <w:r w:rsidR="007F57E7" w:rsidRPr="00DA2095">
        <w:rPr>
          <w:rFonts w:ascii="Times New Roman" w:hAnsi="Times New Roman" w:cs="Times New Roman"/>
          <w:sz w:val="24"/>
          <w:szCs w:val="24"/>
        </w:rPr>
        <w:t>tional Youth Development Agency,</w:t>
      </w:r>
      <w:r w:rsidR="000D3D51" w:rsidRPr="00DA2095">
        <w:rPr>
          <w:rFonts w:ascii="Times New Roman" w:hAnsi="Times New Roman" w:cs="Times New Roman"/>
          <w:sz w:val="24"/>
          <w:szCs w:val="24"/>
        </w:rPr>
        <w:t xml:space="preserve"> report</w:t>
      </w:r>
      <w:r w:rsidR="006D547E">
        <w:rPr>
          <w:rFonts w:ascii="Times New Roman" w:hAnsi="Times New Roman" w:cs="Times New Roman"/>
          <w:sz w:val="24"/>
          <w:szCs w:val="24"/>
        </w:rPr>
        <w:t>s</w:t>
      </w:r>
      <w:r w:rsidRPr="00DA2095">
        <w:rPr>
          <w:rFonts w:ascii="Times New Roman" w:hAnsi="Times New Roman" w:cs="Times New Roman"/>
          <w:sz w:val="24"/>
          <w:szCs w:val="24"/>
        </w:rPr>
        <w:t xml:space="preserve"> as follows:</w:t>
      </w:r>
    </w:p>
    <w:p w14:paraId="305DE0CD" w14:textId="77777777" w:rsidR="00226E0F" w:rsidRPr="00DA2095" w:rsidRDefault="00226E0F" w:rsidP="00226E0F">
      <w:pPr>
        <w:pStyle w:val="ListParagraph"/>
        <w:numPr>
          <w:ilvl w:val="0"/>
          <w:numId w:val="1"/>
        </w:numPr>
        <w:ind w:left="567" w:hanging="567"/>
        <w:rPr>
          <w:rFonts w:ascii="Times New Roman" w:hAnsi="Times New Roman" w:cs="Times New Roman"/>
          <w:b/>
        </w:rPr>
      </w:pPr>
      <w:r w:rsidRPr="00DA2095">
        <w:rPr>
          <w:rFonts w:ascii="Times New Roman" w:hAnsi="Times New Roman" w:cs="Times New Roman"/>
          <w:b/>
        </w:rPr>
        <w:t xml:space="preserve">INTRODUCTION </w:t>
      </w:r>
    </w:p>
    <w:p w14:paraId="1C85F802" w14:textId="77777777" w:rsidR="007F57E7" w:rsidRPr="007F57E7" w:rsidRDefault="007F57E7" w:rsidP="007F57E7">
      <w:pPr>
        <w:spacing w:line="360" w:lineRule="auto"/>
        <w:jc w:val="both"/>
        <w:rPr>
          <w:rFonts w:ascii="Times New Roman" w:hAnsi="Times New Roman" w:cs="Times New Roman"/>
          <w:sz w:val="24"/>
          <w:szCs w:val="24"/>
        </w:rPr>
      </w:pPr>
      <w:r w:rsidRPr="00DA2095">
        <w:rPr>
          <w:rFonts w:ascii="Times New Roman" w:hAnsi="Times New Roman" w:cs="Times New Roman"/>
          <w:sz w:val="24"/>
          <w:szCs w:val="24"/>
        </w:rPr>
        <w:t xml:space="preserve">Parliament through its Committees has a constitutional responsibility to oversee quarterly programme performance information of the departments </w:t>
      </w:r>
      <w:r w:rsidRPr="00C44CF8">
        <w:rPr>
          <w:rFonts w:ascii="Times New Roman" w:hAnsi="Times New Roman" w:cs="Times New Roman"/>
          <w:sz w:val="24"/>
          <w:szCs w:val="24"/>
        </w:rPr>
        <w:t xml:space="preserve">and </w:t>
      </w:r>
      <w:r w:rsidR="00B35B72" w:rsidRPr="00C44CF8">
        <w:rPr>
          <w:rFonts w:ascii="Times New Roman" w:hAnsi="Times New Roman" w:cs="Times New Roman"/>
          <w:sz w:val="24"/>
          <w:szCs w:val="24"/>
        </w:rPr>
        <w:t>their</w:t>
      </w:r>
      <w:r w:rsidR="00B35B72" w:rsidRPr="00B35B72">
        <w:rPr>
          <w:rFonts w:ascii="Times New Roman" w:hAnsi="Times New Roman" w:cs="Times New Roman"/>
          <w:color w:val="FF0000"/>
          <w:sz w:val="24"/>
          <w:szCs w:val="24"/>
        </w:rPr>
        <w:t xml:space="preserve"> </w:t>
      </w:r>
      <w:r w:rsidRPr="00DA2095">
        <w:rPr>
          <w:rFonts w:ascii="Times New Roman" w:hAnsi="Times New Roman" w:cs="Times New Roman"/>
          <w:sz w:val="24"/>
          <w:szCs w:val="24"/>
        </w:rPr>
        <w:t xml:space="preserve">entities throughout a particular financial year. </w:t>
      </w:r>
      <w:r w:rsidR="00C44CF8">
        <w:rPr>
          <w:rFonts w:ascii="Times New Roman" w:hAnsi="Times New Roman" w:cs="Times New Roman"/>
          <w:sz w:val="24"/>
          <w:szCs w:val="24"/>
        </w:rPr>
        <w:t>Quarterly performance reports are a vital tools used by parliamentary Committees to ensure accountability and transparency to assess both financial and non-financial performance of the departments.</w:t>
      </w:r>
      <w:r w:rsidRPr="00DA2095">
        <w:rPr>
          <w:rFonts w:ascii="Times New Roman" w:hAnsi="Times New Roman" w:cs="Times New Roman"/>
          <w:sz w:val="24"/>
          <w:szCs w:val="24"/>
        </w:rPr>
        <w:t xml:space="preserve"> In terms of the Public Finance Regulations, departments and their entities are expected to prepare quarterly report within 30 days after the end of each quarter.</w:t>
      </w:r>
      <w:r w:rsidRPr="007F57E7">
        <w:rPr>
          <w:rFonts w:ascii="Times New Roman" w:hAnsi="Times New Roman" w:cs="Times New Roman"/>
          <w:sz w:val="24"/>
          <w:szCs w:val="24"/>
        </w:rPr>
        <w:t xml:space="preserve"> </w:t>
      </w:r>
    </w:p>
    <w:p w14:paraId="5A882EE7" w14:textId="77777777" w:rsidR="00226E0F" w:rsidRPr="003D1597" w:rsidRDefault="007F57E7" w:rsidP="00226E0F">
      <w:pPr>
        <w:spacing w:line="360" w:lineRule="auto"/>
        <w:jc w:val="both"/>
        <w:rPr>
          <w:rFonts w:ascii="Times New Roman" w:hAnsi="Times New Roman" w:cs="Times New Roman"/>
          <w:sz w:val="24"/>
          <w:szCs w:val="24"/>
        </w:rPr>
      </w:pPr>
      <w:r w:rsidRPr="00DA2095">
        <w:rPr>
          <w:rFonts w:ascii="Times New Roman" w:hAnsi="Times New Roman" w:cs="Times New Roman"/>
          <w:sz w:val="24"/>
          <w:szCs w:val="24"/>
        </w:rPr>
        <w:t>On the 08 November 2017, t</w:t>
      </w:r>
      <w:r w:rsidR="00226E0F" w:rsidRPr="00DA2095">
        <w:rPr>
          <w:rFonts w:ascii="Times New Roman" w:hAnsi="Times New Roman" w:cs="Times New Roman"/>
          <w:sz w:val="24"/>
          <w:szCs w:val="24"/>
        </w:rPr>
        <w:t xml:space="preserve">he Committee considered the </w:t>
      </w:r>
      <w:r w:rsidR="008561F1" w:rsidRPr="00DA2095">
        <w:rPr>
          <w:rFonts w:ascii="Times New Roman" w:hAnsi="Times New Roman" w:cs="Times New Roman"/>
          <w:sz w:val="24"/>
          <w:szCs w:val="24"/>
        </w:rPr>
        <w:t xml:space="preserve">second </w:t>
      </w:r>
      <w:r w:rsidR="00226E0F" w:rsidRPr="00DA2095">
        <w:rPr>
          <w:rFonts w:ascii="Times New Roman" w:hAnsi="Times New Roman" w:cs="Times New Roman"/>
          <w:sz w:val="24"/>
          <w:szCs w:val="24"/>
        </w:rPr>
        <w:t>quarter performance of the Department of P</w:t>
      </w:r>
      <w:r w:rsidR="00AE315D" w:rsidRPr="00DA2095">
        <w:rPr>
          <w:rFonts w:ascii="Times New Roman" w:hAnsi="Times New Roman" w:cs="Times New Roman"/>
          <w:sz w:val="24"/>
          <w:szCs w:val="24"/>
        </w:rPr>
        <w:t>lanning Monitoring and Evaluation</w:t>
      </w:r>
      <w:r w:rsidR="00226E0F" w:rsidRPr="00DA2095">
        <w:rPr>
          <w:rFonts w:ascii="Times New Roman" w:hAnsi="Times New Roman" w:cs="Times New Roman"/>
          <w:sz w:val="24"/>
          <w:szCs w:val="24"/>
        </w:rPr>
        <w:t xml:space="preserve"> and </w:t>
      </w:r>
      <w:r w:rsidR="00AE315D" w:rsidRPr="00DA2095">
        <w:rPr>
          <w:rFonts w:ascii="Times New Roman" w:hAnsi="Times New Roman" w:cs="Times New Roman"/>
          <w:sz w:val="24"/>
          <w:szCs w:val="24"/>
        </w:rPr>
        <w:t>the National Youth Development Agency</w:t>
      </w:r>
      <w:r w:rsidRPr="00DA2095">
        <w:rPr>
          <w:rFonts w:ascii="Times New Roman" w:hAnsi="Times New Roman" w:cs="Times New Roman"/>
          <w:sz w:val="24"/>
          <w:szCs w:val="24"/>
        </w:rPr>
        <w:t xml:space="preserve"> for 2017/18 financial year</w:t>
      </w:r>
      <w:r w:rsidR="00226E0F" w:rsidRPr="00DA2095">
        <w:rPr>
          <w:rFonts w:ascii="Times New Roman" w:hAnsi="Times New Roman" w:cs="Times New Roman"/>
          <w:sz w:val="24"/>
          <w:szCs w:val="24"/>
        </w:rPr>
        <w:t>. The performance information was in accordance with their Strategic Plans, Annual Performance Plan and Medium Term Strategic Framework. The report provides an overview of the presentations made before the Committee</w:t>
      </w:r>
      <w:r w:rsidR="000D3D51" w:rsidRPr="00DA2095">
        <w:rPr>
          <w:rFonts w:ascii="Times New Roman" w:hAnsi="Times New Roman" w:cs="Times New Roman"/>
          <w:sz w:val="24"/>
          <w:szCs w:val="24"/>
        </w:rPr>
        <w:t>,</w:t>
      </w:r>
      <w:r w:rsidR="00226E0F" w:rsidRPr="00DA2095">
        <w:rPr>
          <w:rFonts w:ascii="Times New Roman" w:hAnsi="Times New Roman" w:cs="Times New Roman"/>
          <w:sz w:val="24"/>
          <w:szCs w:val="24"/>
        </w:rPr>
        <w:t xml:space="preserve"> </w:t>
      </w:r>
      <w:r w:rsidR="000D3D51" w:rsidRPr="00DA2095">
        <w:rPr>
          <w:rFonts w:ascii="Times New Roman" w:hAnsi="Times New Roman" w:cs="Times New Roman"/>
          <w:sz w:val="24"/>
          <w:szCs w:val="24"/>
        </w:rPr>
        <w:t xml:space="preserve">which was </w:t>
      </w:r>
      <w:r w:rsidR="00226E0F" w:rsidRPr="00DA2095">
        <w:rPr>
          <w:rFonts w:ascii="Times New Roman" w:hAnsi="Times New Roman" w:cs="Times New Roman"/>
          <w:sz w:val="24"/>
          <w:szCs w:val="24"/>
        </w:rPr>
        <w:t xml:space="preserve">mainly focusing on their achievements, output in respect of the performance indicators and </w:t>
      </w:r>
      <w:r w:rsidRPr="00DA2095">
        <w:rPr>
          <w:rFonts w:ascii="Times New Roman" w:hAnsi="Times New Roman" w:cs="Times New Roman"/>
          <w:sz w:val="24"/>
          <w:szCs w:val="24"/>
        </w:rPr>
        <w:t xml:space="preserve">set </w:t>
      </w:r>
      <w:r w:rsidR="00226E0F" w:rsidRPr="00DA2095">
        <w:rPr>
          <w:rFonts w:ascii="Times New Roman" w:hAnsi="Times New Roman" w:cs="Times New Roman"/>
          <w:sz w:val="24"/>
          <w:szCs w:val="24"/>
        </w:rPr>
        <w:t xml:space="preserve">targets for </w:t>
      </w:r>
      <w:r w:rsidRPr="00DA2095">
        <w:rPr>
          <w:rFonts w:ascii="Times New Roman" w:hAnsi="Times New Roman" w:cs="Times New Roman"/>
          <w:sz w:val="24"/>
          <w:szCs w:val="24"/>
        </w:rPr>
        <w:t xml:space="preserve">the </w:t>
      </w:r>
      <w:r w:rsidR="00226E0F" w:rsidRPr="00DA2095">
        <w:rPr>
          <w:rFonts w:ascii="Times New Roman" w:hAnsi="Times New Roman" w:cs="Times New Roman"/>
          <w:sz w:val="24"/>
          <w:szCs w:val="24"/>
        </w:rPr>
        <w:t xml:space="preserve">above </w:t>
      </w:r>
      <w:r w:rsidRPr="00DA2095">
        <w:rPr>
          <w:rFonts w:ascii="Times New Roman" w:hAnsi="Times New Roman" w:cs="Times New Roman"/>
          <w:sz w:val="24"/>
          <w:szCs w:val="24"/>
        </w:rPr>
        <w:t>mentioned financial year</w:t>
      </w:r>
      <w:r w:rsidR="00226E0F" w:rsidRPr="00DA2095">
        <w:rPr>
          <w:rFonts w:ascii="Times New Roman" w:hAnsi="Times New Roman" w:cs="Times New Roman"/>
          <w:sz w:val="24"/>
          <w:szCs w:val="24"/>
        </w:rPr>
        <w:t xml:space="preserve">. The report outlines the findings/observations of the Committee </w:t>
      </w:r>
      <w:r w:rsidR="00E002B6" w:rsidRPr="00DA2095">
        <w:rPr>
          <w:rFonts w:ascii="Times New Roman" w:hAnsi="Times New Roman" w:cs="Times New Roman"/>
          <w:sz w:val="24"/>
          <w:szCs w:val="24"/>
        </w:rPr>
        <w:t xml:space="preserve">in </w:t>
      </w:r>
      <w:r w:rsidR="00226E0F" w:rsidRPr="00DA2095">
        <w:rPr>
          <w:rFonts w:ascii="Times New Roman" w:hAnsi="Times New Roman" w:cs="Times New Roman"/>
          <w:sz w:val="24"/>
          <w:szCs w:val="24"/>
        </w:rPr>
        <w:t>relati</w:t>
      </w:r>
      <w:r w:rsidR="00E002B6" w:rsidRPr="00DA2095">
        <w:rPr>
          <w:rFonts w:ascii="Times New Roman" w:hAnsi="Times New Roman" w:cs="Times New Roman"/>
          <w:sz w:val="24"/>
          <w:szCs w:val="24"/>
        </w:rPr>
        <w:t>o</w:t>
      </w:r>
      <w:r w:rsidR="00226E0F" w:rsidRPr="00DA2095">
        <w:rPr>
          <w:rFonts w:ascii="Times New Roman" w:hAnsi="Times New Roman" w:cs="Times New Roman"/>
          <w:sz w:val="24"/>
          <w:szCs w:val="24"/>
        </w:rPr>
        <w:t xml:space="preserve">n to </w:t>
      </w:r>
      <w:r w:rsidR="00AE315D" w:rsidRPr="00DA2095">
        <w:rPr>
          <w:rFonts w:ascii="Times New Roman" w:hAnsi="Times New Roman" w:cs="Times New Roman"/>
          <w:sz w:val="24"/>
          <w:szCs w:val="24"/>
        </w:rPr>
        <w:t>the Department and Agency</w:t>
      </w:r>
      <w:r w:rsidR="00226E0F" w:rsidRPr="00DA2095">
        <w:rPr>
          <w:rFonts w:ascii="Times New Roman" w:hAnsi="Times New Roman" w:cs="Times New Roman"/>
          <w:sz w:val="24"/>
          <w:szCs w:val="24"/>
        </w:rPr>
        <w:t>’</w:t>
      </w:r>
      <w:r w:rsidR="00AE315D" w:rsidRPr="00DA2095">
        <w:rPr>
          <w:rFonts w:ascii="Times New Roman" w:hAnsi="Times New Roman" w:cs="Times New Roman"/>
          <w:sz w:val="24"/>
          <w:szCs w:val="24"/>
        </w:rPr>
        <w:t>s</w:t>
      </w:r>
      <w:r w:rsidR="00226E0F" w:rsidRPr="00DA2095">
        <w:rPr>
          <w:rFonts w:ascii="Times New Roman" w:hAnsi="Times New Roman" w:cs="Times New Roman"/>
          <w:sz w:val="24"/>
          <w:szCs w:val="24"/>
        </w:rPr>
        <w:t xml:space="preserve"> performance.</w:t>
      </w:r>
      <w:r w:rsidR="00226E0F" w:rsidRPr="003D1597">
        <w:rPr>
          <w:rFonts w:ascii="Times New Roman" w:hAnsi="Times New Roman" w:cs="Times New Roman"/>
          <w:sz w:val="24"/>
          <w:szCs w:val="24"/>
        </w:rPr>
        <w:t xml:space="preserve">  </w:t>
      </w:r>
    </w:p>
    <w:p w14:paraId="357C4D61" w14:textId="77777777" w:rsidR="00792807" w:rsidRPr="00792807" w:rsidRDefault="00792807" w:rsidP="00792807">
      <w:pPr>
        <w:pStyle w:val="ListParagraph"/>
        <w:ind w:left="567"/>
        <w:rPr>
          <w:rFonts w:ascii="Times New Roman" w:hAnsi="Times New Roman" w:cs="Times New Roman"/>
        </w:rPr>
      </w:pPr>
    </w:p>
    <w:p w14:paraId="7CB14692" w14:textId="77777777" w:rsidR="00AE315D" w:rsidRPr="00DA2095" w:rsidRDefault="00AE315D" w:rsidP="00AE315D">
      <w:pPr>
        <w:pStyle w:val="ListParagraph"/>
        <w:numPr>
          <w:ilvl w:val="0"/>
          <w:numId w:val="1"/>
        </w:numPr>
        <w:ind w:left="567" w:hanging="567"/>
        <w:rPr>
          <w:rFonts w:ascii="Times New Roman" w:hAnsi="Times New Roman" w:cs="Times New Roman"/>
        </w:rPr>
      </w:pPr>
      <w:r w:rsidRPr="00DA2095">
        <w:rPr>
          <w:rFonts w:ascii="Times New Roman" w:hAnsi="Times New Roman" w:cs="Times New Roman"/>
          <w:b/>
        </w:rPr>
        <w:t>PROGRAMME PEFORMANCE</w:t>
      </w:r>
    </w:p>
    <w:p w14:paraId="37ED420E" w14:textId="77777777" w:rsidR="00E002B6" w:rsidRPr="005D3E2F" w:rsidRDefault="00E002B6" w:rsidP="00E002B6">
      <w:pPr>
        <w:pStyle w:val="ListParagraph"/>
        <w:numPr>
          <w:ilvl w:val="1"/>
          <w:numId w:val="1"/>
        </w:numPr>
        <w:rPr>
          <w:rFonts w:ascii="Times New Roman" w:hAnsi="Times New Roman" w:cs="Times New Roman"/>
          <w:b/>
        </w:rPr>
      </w:pPr>
      <w:r w:rsidRPr="005D3E2F">
        <w:rPr>
          <w:rFonts w:ascii="Times New Roman" w:hAnsi="Times New Roman" w:cs="Times New Roman"/>
          <w:b/>
        </w:rPr>
        <w:t>Overall Performance</w:t>
      </w:r>
    </w:p>
    <w:p w14:paraId="240BE609" w14:textId="77777777" w:rsidR="00E002B6" w:rsidRPr="00E002B6" w:rsidRDefault="00E002B6" w:rsidP="00E002B6">
      <w:pPr>
        <w:spacing w:line="360" w:lineRule="auto"/>
        <w:jc w:val="both"/>
        <w:rPr>
          <w:rFonts w:ascii="Times New Roman" w:hAnsi="Times New Roman" w:cs="Times New Roman"/>
        </w:rPr>
      </w:pPr>
      <w:r w:rsidRPr="00DA2095">
        <w:rPr>
          <w:rFonts w:ascii="Times New Roman" w:hAnsi="Times New Roman" w:cs="Times New Roman"/>
        </w:rPr>
        <w:t xml:space="preserve">The Department was allocated R923.5 million in 2017/18 financial year. The Department spent R447.4 </w:t>
      </w:r>
      <w:r w:rsidR="000D3D51" w:rsidRPr="00DA2095">
        <w:rPr>
          <w:rFonts w:ascii="Times New Roman" w:hAnsi="Times New Roman" w:cs="Times New Roman"/>
        </w:rPr>
        <w:t>million, which</w:t>
      </w:r>
      <w:r w:rsidRPr="00DA2095">
        <w:rPr>
          <w:rFonts w:ascii="Times New Roman" w:hAnsi="Times New Roman" w:cs="Times New Roman"/>
        </w:rPr>
        <w:t xml:space="preserve"> is equivalent to 49.8% of the allocated budget.</w:t>
      </w:r>
      <w:r w:rsidRPr="000D3D51">
        <w:rPr>
          <w:rFonts w:ascii="Times New Roman" w:hAnsi="Times New Roman" w:cs="Times New Roman"/>
        </w:rPr>
        <w:t xml:space="preserve"> The overall performance of the </w:t>
      </w:r>
      <w:r w:rsidRPr="000D3D51">
        <w:rPr>
          <w:rFonts w:ascii="Times New Roman" w:hAnsi="Times New Roman" w:cs="Times New Roman"/>
        </w:rPr>
        <w:lastRenderedPageBreak/>
        <w:t xml:space="preserve">Department in terms of the predetermined targets was 25 achieved, 3 partially achieved and 1 not achieved.  Overall performance </w:t>
      </w:r>
      <w:r w:rsidR="00792807" w:rsidRPr="000D3D51">
        <w:rPr>
          <w:rFonts w:ascii="Times New Roman" w:hAnsi="Times New Roman" w:cs="Times New Roman"/>
        </w:rPr>
        <w:t>in the second quarter of the Department was 86% achievement of targets. Among reasons cited for not achieving 100% targets was d</w:t>
      </w:r>
      <w:r w:rsidR="000D3D51" w:rsidRPr="000D3D51">
        <w:rPr>
          <w:rFonts w:ascii="Times New Roman" w:hAnsi="Times New Roman" w:cs="Times New Roman"/>
        </w:rPr>
        <w:t>elayed in implementing new o</w:t>
      </w:r>
      <w:r w:rsidR="00792807" w:rsidRPr="000D3D51">
        <w:rPr>
          <w:rFonts w:ascii="Times New Roman" w:hAnsi="Times New Roman" w:cs="Times New Roman"/>
        </w:rPr>
        <w:t xml:space="preserve">rganogram structure which is due for approval by the Department of Public Service and Administration. Procurement of </w:t>
      </w:r>
      <w:r w:rsidR="000D3D51">
        <w:rPr>
          <w:rFonts w:ascii="Times New Roman" w:hAnsi="Times New Roman" w:cs="Times New Roman"/>
        </w:rPr>
        <w:t>a new office</w:t>
      </w:r>
      <w:r w:rsidR="00792807" w:rsidRPr="000D3D51">
        <w:rPr>
          <w:rFonts w:ascii="Times New Roman" w:hAnsi="Times New Roman" w:cs="Times New Roman"/>
        </w:rPr>
        <w:t xml:space="preserve"> to accommodate </w:t>
      </w:r>
      <w:r w:rsidR="000D3D51">
        <w:rPr>
          <w:rFonts w:ascii="Times New Roman" w:hAnsi="Times New Roman" w:cs="Times New Roman"/>
        </w:rPr>
        <w:t>the envisaged number</w:t>
      </w:r>
      <w:r w:rsidR="00792807" w:rsidRPr="000D3D51">
        <w:rPr>
          <w:rFonts w:ascii="Times New Roman" w:hAnsi="Times New Roman" w:cs="Times New Roman"/>
        </w:rPr>
        <w:t xml:space="preserve"> of employees it </w:t>
      </w:r>
      <w:r w:rsidR="00B35B72" w:rsidRPr="00C44CF8">
        <w:rPr>
          <w:rFonts w:ascii="Times New Roman" w:hAnsi="Times New Roman" w:cs="Times New Roman"/>
        </w:rPr>
        <w:t>is</w:t>
      </w:r>
      <w:r w:rsidR="00B35B72" w:rsidRPr="00B35B72">
        <w:rPr>
          <w:rFonts w:ascii="Times New Roman" w:hAnsi="Times New Roman" w:cs="Times New Roman"/>
          <w:color w:val="FF0000"/>
        </w:rPr>
        <w:t xml:space="preserve"> </w:t>
      </w:r>
      <w:r w:rsidR="00792807" w:rsidRPr="000D3D51">
        <w:rPr>
          <w:rFonts w:ascii="Times New Roman" w:hAnsi="Times New Roman" w:cs="Times New Roman"/>
        </w:rPr>
        <w:t>still under way. The Department to advertise all vacant posts in November 2017.</w:t>
      </w:r>
      <w:r w:rsidRPr="000D3D51">
        <w:rPr>
          <w:rFonts w:ascii="Times New Roman" w:hAnsi="Times New Roman" w:cs="Times New Roman"/>
        </w:rPr>
        <w:t xml:space="preserve"> </w:t>
      </w:r>
      <w:r w:rsidR="002976B6" w:rsidRPr="000D3D51">
        <w:rPr>
          <w:rFonts w:ascii="Times New Roman" w:hAnsi="Times New Roman" w:cs="Times New Roman"/>
        </w:rPr>
        <w:t>With regard to gender equity, the Department had achieved 50% of women in senior management positions and 2% employment of people with disability.</w:t>
      </w:r>
      <w:r w:rsidR="002976B6">
        <w:rPr>
          <w:rFonts w:ascii="Times New Roman" w:hAnsi="Times New Roman" w:cs="Times New Roman"/>
        </w:rPr>
        <w:t xml:space="preserve"> </w:t>
      </w:r>
    </w:p>
    <w:p w14:paraId="77849DAA" w14:textId="77777777" w:rsidR="00AE315D" w:rsidRPr="000D3D51" w:rsidRDefault="00B66BB8" w:rsidP="00B66BB8">
      <w:pPr>
        <w:pStyle w:val="ListParagraph"/>
        <w:numPr>
          <w:ilvl w:val="0"/>
          <w:numId w:val="2"/>
        </w:numPr>
        <w:spacing w:line="360" w:lineRule="auto"/>
        <w:jc w:val="both"/>
        <w:rPr>
          <w:rFonts w:ascii="Times New Roman" w:hAnsi="Times New Roman" w:cs="Times New Roman"/>
          <w:b/>
          <w:sz w:val="24"/>
          <w:szCs w:val="24"/>
        </w:rPr>
      </w:pPr>
      <w:r w:rsidRPr="000D3D51">
        <w:rPr>
          <w:rFonts w:ascii="Times New Roman" w:hAnsi="Times New Roman" w:cs="Times New Roman"/>
          <w:b/>
          <w:sz w:val="24"/>
          <w:szCs w:val="24"/>
        </w:rPr>
        <w:t xml:space="preserve">Programme 1: Administration </w:t>
      </w:r>
    </w:p>
    <w:p w14:paraId="35A17E04" w14:textId="77777777" w:rsidR="00B66BB8" w:rsidRPr="003D1597" w:rsidRDefault="00B66BB8" w:rsidP="00B66BB8">
      <w:pPr>
        <w:spacing w:line="360" w:lineRule="auto"/>
        <w:jc w:val="both"/>
        <w:rPr>
          <w:rFonts w:ascii="Times New Roman" w:hAnsi="Times New Roman" w:cs="Times New Roman"/>
          <w:sz w:val="24"/>
          <w:szCs w:val="24"/>
          <w:lang w:val="en-GB" w:eastAsia="en-GB"/>
        </w:rPr>
      </w:pPr>
      <w:r w:rsidRPr="000D3D51">
        <w:rPr>
          <w:rFonts w:ascii="Times New Roman" w:hAnsi="Times New Roman" w:cs="Times New Roman"/>
          <w:sz w:val="24"/>
          <w:szCs w:val="24"/>
        </w:rPr>
        <w:t>The main objective of the programme is to provide strategic leadership, management, administrative, financial and human resource services to enable the Department to achieve its strategic and operational goals.</w:t>
      </w:r>
      <w:r w:rsidRPr="003D1597">
        <w:rPr>
          <w:rFonts w:ascii="Times New Roman" w:hAnsi="Times New Roman" w:cs="Times New Roman"/>
          <w:sz w:val="24"/>
          <w:szCs w:val="24"/>
        </w:rPr>
        <w:t xml:space="preserve"> </w:t>
      </w:r>
      <w:r w:rsidRPr="003D1597">
        <w:rPr>
          <w:rFonts w:ascii="Times New Roman" w:hAnsi="Times New Roman" w:cs="Times New Roman"/>
          <w:sz w:val="24"/>
          <w:szCs w:val="24"/>
          <w:lang w:val="en-GB" w:eastAsia="en-GB"/>
        </w:rPr>
        <w:t>The programme’s objective is to co-ordinate planning, monitoring and reporting on the implementation of the Departmental plans, to promote internal and external communication on the work of the department, to achieve an unqualified audit opinion on financial statements, to hire, develop and retain the right people in the right positions for the department throughout the planning period, to successfully implement and realise benefits from ICT solutions in doing the work of the department and to promote good corporate governance practices and management.</w:t>
      </w:r>
    </w:p>
    <w:p w14:paraId="0F6C31A7" w14:textId="77777777" w:rsidR="00B66BB8" w:rsidRPr="003D1597" w:rsidRDefault="00B66BB8" w:rsidP="00B66BB8">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Programme 1 had 1</w:t>
      </w:r>
      <w:r w:rsidR="008561F1" w:rsidRPr="000D3D51">
        <w:rPr>
          <w:rFonts w:ascii="Times New Roman" w:hAnsi="Times New Roman" w:cs="Times New Roman"/>
          <w:sz w:val="24"/>
          <w:szCs w:val="24"/>
        </w:rPr>
        <w:t>1</w:t>
      </w:r>
      <w:r w:rsidRPr="000D3D51">
        <w:rPr>
          <w:rFonts w:ascii="Times New Roman" w:hAnsi="Times New Roman" w:cs="Times New Roman"/>
          <w:sz w:val="24"/>
          <w:szCs w:val="24"/>
        </w:rPr>
        <w:t xml:space="preserve"> predetermined targets in </w:t>
      </w:r>
      <w:r w:rsidR="000D3D51">
        <w:rPr>
          <w:rFonts w:ascii="Times New Roman" w:hAnsi="Times New Roman" w:cs="Times New Roman"/>
          <w:sz w:val="24"/>
          <w:szCs w:val="24"/>
        </w:rPr>
        <w:t>the second quarter</w:t>
      </w:r>
      <w:r w:rsidR="002976B6" w:rsidRPr="000D3D51">
        <w:rPr>
          <w:rFonts w:ascii="Times New Roman" w:hAnsi="Times New Roman" w:cs="Times New Roman"/>
          <w:sz w:val="24"/>
          <w:szCs w:val="24"/>
        </w:rPr>
        <w:t>, 8 (82%</w:t>
      </w:r>
      <w:r w:rsidR="008561F1" w:rsidRPr="000D3D51">
        <w:rPr>
          <w:rFonts w:ascii="Times New Roman" w:hAnsi="Times New Roman" w:cs="Times New Roman"/>
          <w:sz w:val="24"/>
          <w:szCs w:val="24"/>
        </w:rPr>
        <w:t>) targets were</w:t>
      </w:r>
      <w:r w:rsidR="002976B6" w:rsidRPr="000D3D51">
        <w:rPr>
          <w:rFonts w:ascii="Times New Roman" w:hAnsi="Times New Roman" w:cs="Times New Roman"/>
          <w:sz w:val="24"/>
          <w:szCs w:val="24"/>
        </w:rPr>
        <w:t xml:space="preserve"> achieved and only 3 (18%</w:t>
      </w:r>
      <w:r w:rsidR="008561F1" w:rsidRPr="000D3D51">
        <w:rPr>
          <w:rFonts w:ascii="Times New Roman" w:hAnsi="Times New Roman" w:cs="Times New Roman"/>
          <w:sz w:val="24"/>
          <w:szCs w:val="24"/>
        </w:rPr>
        <w:t>) were not achieved</w:t>
      </w:r>
      <w:r w:rsidRPr="000D3D51">
        <w:rPr>
          <w:rFonts w:ascii="Times New Roman" w:hAnsi="Times New Roman" w:cs="Times New Roman"/>
          <w:sz w:val="24"/>
          <w:szCs w:val="24"/>
        </w:rPr>
        <w:t xml:space="preserve">. </w:t>
      </w:r>
      <w:r w:rsidR="00DD2B71" w:rsidRPr="000D3D51">
        <w:rPr>
          <w:rFonts w:ascii="Times New Roman" w:hAnsi="Times New Roman" w:cs="Times New Roman"/>
          <w:sz w:val="24"/>
          <w:szCs w:val="24"/>
        </w:rPr>
        <w:t xml:space="preserve">Some of the </w:t>
      </w:r>
      <w:r w:rsidR="008561F1" w:rsidRPr="000D3D51">
        <w:rPr>
          <w:rFonts w:ascii="Times New Roman" w:hAnsi="Times New Roman" w:cs="Times New Roman"/>
          <w:sz w:val="24"/>
          <w:szCs w:val="24"/>
        </w:rPr>
        <w:t>reasons for targets par</w:t>
      </w:r>
      <w:r w:rsidR="002976B6" w:rsidRPr="000D3D51">
        <w:rPr>
          <w:rFonts w:ascii="Times New Roman" w:hAnsi="Times New Roman" w:cs="Times New Roman"/>
          <w:sz w:val="24"/>
          <w:szCs w:val="24"/>
        </w:rPr>
        <w:t>tially achieved was as a result of</w:t>
      </w:r>
      <w:r w:rsidR="00DD2B71" w:rsidRPr="000D3D51">
        <w:rPr>
          <w:rFonts w:ascii="Times New Roman" w:hAnsi="Times New Roman" w:cs="Times New Roman"/>
          <w:sz w:val="24"/>
          <w:szCs w:val="24"/>
        </w:rPr>
        <w:t xml:space="preserve"> late submission of performance agreements </w:t>
      </w:r>
      <w:r w:rsidR="002976B6" w:rsidRPr="000D3D51">
        <w:rPr>
          <w:rFonts w:ascii="Times New Roman" w:hAnsi="Times New Roman" w:cs="Times New Roman"/>
          <w:sz w:val="24"/>
          <w:szCs w:val="24"/>
        </w:rPr>
        <w:t xml:space="preserve">submitted after required </w:t>
      </w:r>
      <w:r w:rsidR="00DD2B71" w:rsidRPr="000D3D51">
        <w:rPr>
          <w:rFonts w:ascii="Times New Roman" w:hAnsi="Times New Roman" w:cs="Times New Roman"/>
          <w:sz w:val="24"/>
          <w:szCs w:val="24"/>
        </w:rPr>
        <w:t xml:space="preserve">stipulated </w:t>
      </w:r>
      <w:r w:rsidR="002976B6" w:rsidRPr="000D3D51">
        <w:rPr>
          <w:rFonts w:ascii="Times New Roman" w:hAnsi="Times New Roman" w:cs="Times New Roman"/>
          <w:sz w:val="24"/>
          <w:szCs w:val="24"/>
        </w:rPr>
        <w:t xml:space="preserve">period. To </w:t>
      </w:r>
      <w:r w:rsidR="000D3D51">
        <w:rPr>
          <w:rFonts w:ascii="Times New Roman" w:hAnsi="Times New Roman" w:cs="Times New Roman"/>
          <w:sz w:val="24"/>
          <w:szCs w:val="24"/>
        </w:rPr>
        <w:t>date, 39</w:t>
      </w:r>
      <w:r w:rsidR="002976B6" w:rsidRPr="000D3D51">
        <w:rPr>
          <w:rFonts w:ascii="Times New Roman" w:hAnsi="Times New Roman" w:cs="Times New Roman"/>
          <w:sz w:val="24"/>
          <w:szCs w:val="24"/>
        </w:rPr>
        <w:t xml:space="preserve">% (R67.4 million) </w:t>
      </w:r>
      <w:r w:rsidR="00DD2B71" w:rsidRPr="000D3D51">
        <w:rPr>
          <w:rFonts w:ascii="Times New Roman" w:hAnsi="Times New Roman" w:cs="Times New Roman"/>
          <w:sz w:val="24"/>
          <w:szCs w:val="24"/>
        </w:rPr>
        <w:t>of the annual budget has been spent</w:t>
      </w:r>
      <w:r w:rsidR="002976B6" w:rsidRPr="000D3D51">
        <w:rPr>
          <w:rFonts w:ascii="Times New Roman" w:hAnsi="Times New Roman" w:cs="Times New Roman"/>
          <w:sz w:val="24"/>
          <w:szCs w:val="24"/>
        </w:rPr>
        <w:t xml:space="preserve"> under Programme 1</w:t>
      </w:r>
      <w:r w:rsidR="00DD2B71" w:rsidRPr="000D3D51">
        <w:rPr>
          <w:rFonts w:ascii="Times New Roman" w:hAnsi="Times New Roman" w:cs="Times New Roman"/>
          <w:sz w:val="24"/>
          <w:szCs w:val="24"/>
        </w:rPr>
        <w:t>.</w:t>
      </w:r>
      <w:r w:rsidR="00DD2B71" w:rsidRPr="003D1597">
        <w:rPr>
          <w:rFonts w:ascii="Times New Roman" w:hAnsi="Times New Roman" w:cs="Times New Roman"/>
          <w:sz w:val="24"/>
          <w:szCs w:val="24"/>
        </w:rPr>
        <w:t xml:space="preserve"> </w:t>
      </w:r>
      <w:r w:rsidR="00A92244" w:rsidRPr="003D1597">
        <w:rPr>
          <w:rFonts w:ascii="Times New Roman" w:hAnsi="Times New Roman" w:cs="Times New Roman"/>
          <w:sz w:val="24"/>
          <w:szCs w:val="24"/>
        </w:rPr>
        <w:t xml:space="preserve">   </w:t>
      </w:r>
    </w:p>
    <w:p w14:paraId="44B9911C" w14:textId="77777777" w:rsidR="00B66BB8" w:rsidRPr="000D3D51" w:rsidRDefault="00B66BB8" w:rsidP="00B66BB8">
      <w:pPr>
        <w:pStyle w:val="ListParagraph"/>
        <w:numPr>
          <w:ilvl w:val="0"/>
          <w:numId w:val="2"/>
        </w:numPr>
        <w:rPr>
          <w:rFonts w:ascii="Times New Roman" w:hAnsi="Times New Roman" w:cs="Times New Roman"/>
          <w:sz w:val="24"/>
          <w:szCs w:val="24"/>
        </w:rPr>
      </w:pPr>
      <w:r w:rsidRPr="000D3D51">
        <w:rPr>
          <w:rFonts w:ascii="Times New Roman" w:hAnsi="Times New Roman" w:cs="Times New Roman"/>
          <w:b/>
          <w:sz w:val="24"/>
          <w:szCs w:val="24"/>
        </w:rPr>
        <w:t>Programme 2</w:t>
      </w:r>
      <w:r w:rsidRPr="000D3D51">
        <w:rPr>
          <w:rFonts w:ascii="Times New Roman" w:hAnsi="Times New Roman" w:cs="Times New Roman"/>
          <w:sz w:val="24"/>
          <w:szCs w:val="24"/>
        </w:rPr>
        <w:t xml:space="preserve">: </w:t>
      </w:r>
      <w:r w:rsidR="000E172A" w:rsidRPr="000D3D51">
        <w:rPr>
          <w:rFonts w:ascii="Times New Roman" w:hAnsi="Times New Roman" w:cs="Times New Roman"/>
          <w:b/>
          <w:sz w:val="24"/>
          <w:szCs w:val="24"/>
        </w:rPr>
        <w:t>National Planning Coordination</w:t>
      </w:r>
    </w:p>
    <w:p w14:paraId="1E00B6EA" w14:textId="77777777" w:rsidR="00B66BB8" w:rsidRPr="003D1597" w:rsidRDefault="00B66BB8" w:rsidP="00B66BB8">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lang w:val="en-GB" w:eastAsia="en-GB"/>
        </w:rPr>
        <w:t xml:space="preserve">The main purpose of this programme is to advance the strategic priorities of the department by developing and implementing the outcomes system, monitoring and reporting on its progress, and evaluating its impact. The main objectives are to ensure effective outcomes planning, monitoring and evaluation through facilitating the development of plans of the Delivery Agreements for priority outcomes with government departments, monitor and evaluate the implementation of the Delivery Agreements and making recommendations for corrective action on an ongoing basis. In addition, the Department aims to provide advice and </w:t>
      </w:r>
      <w:r w:rsidRPr="000D3D51">
        <w:rPr>
          <w:rFonts w:ascii="Times New Roman" w:hAnsi="Times New Roman" w:cs="Times New Roman"/>
          <w:sz w:val="24"/>
          <w:szCs w:val="24"/>
          <w:lang w:val="en-GB" w:eastAsia="en-GB"/>
        </w:rPr>
        <w:lastRenderedPageBreak/>
        <w:t xml:space="preserve">technical support to the Presidency, establish and support an effective national evaluation system to inform </w:t>
      </w:r>
      <w:r w:rsidR="003E01D2" w:rsidRPr="000D3D51">
        <w:rPr>
          <w:rFonts w:ascii="Times New Roman" w:hAnsi="Times New Roman" w:cs="Times New Roman"/>
          <w:sz w:val="24"/>
          <w:szCs w:val="24"/>
          <w:lang w:val="en-GB" w:eastAsia="en-GB"/>
        </w:rPr>
        <w:t xml:space="preserve">the </w:t>
      </w:r>
      <w:r w:rsidRPr="000D3D51">
        <w:rPr>
          <w:rFonts w:ascii="Times New Roman" w:hAnsi="Times New Roman" w:cs="Times New Roman"/>
          <w:sz w:val="24"/>
          <w:szCs w:val="24"/>
          <w:lang w:val="en-GB" w:eastAsia="en-GB"/>
        </w:rPr>
        <w:t>government’s work on a continuous basis.</w:t>
      </w:r>
      <w:r w:rsidRPr="003D1597">
        <w:rPr>
          <w:rFonts w:ascii="Times New Roman" w:hAnsi="Times New Roman" w:cs="Times New Roman"/>
          <w:sz w:val="24"/>
          <w:szCs w:val="24"/>
          <w:lang w:val="en-GB" w:eastAsia="en-GB"/>
        </w:rPr>
        <w:t xml:space="preserve"> </w:t>
      </w:r>
    </w:p>
    <w:p w14:paraId="1C75FD63" w14:textId="77777777" w:rsidR="00B66BB8" w:rsidRPr="003D1597" w:rsidRDefault="00A374C0" w:rsidP="00A92244">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p</w:t>
      </w:r>
      <w:r w:rsidR="002976B6" w:rsidRPr="000D3D51">
        <w:rPr>
          <w:rFonts w:ascii="Times New Roman" w:hAnsi="Times New Roman" w:cs="Times New Roman"/>
          <w:sz w:val="24"/>
          <w:szCs w:val="24"/>
        </w:rPr>
        <w:t xml:space="preserve">rogramme had </w:t>
      </w:r>
      <w:r w:rsidRPr="000D3D51">
        <w:rPr>
          <w:rFonts w:ascii="Times New Roman" w:hAnsi="Times New Roman" w:cs="Times New Roman"/>
          <w:sz w:val="24"/>
          <w:szCs w:val="24"/>
        </w:rPr>
        <w:t>2</w:t>
      </w:r>
      <w:r w:rsidR="00A92244" w:rsidRPr="000D3D51">
        <w:rPr>
          <w:rFonts w:ascii="Times New Roman" w:hAnsi="Times New Roman" w:cs="Times New Roman"/>
          <w:sz w:val="24"/>
          <w:szCs w:val="24"/>
        </w:rPr>
        <w:t xml:space="preserve"> predetermined targets in </w:t>
      </w:r>
      <w:r w:rsidRPr="000D3D51">
        <w:rPr>
          <w:rFonts w:ascii="Times New Roman" w:hAnsi="Times New Roman" w:cs="Times New Roman"/>
          <w:sz w:val="24"/>
          <w:szCs w:val="24"/>
        </w:rPr>
        <w:t xml:space="preserve">the </w:t>
      </w:r>
      <w:r w:rsidR="000E172A" w:rsidRPr="000D3D51">
        <w:rPr>
          <w:rFonts w:ascii="Times New Roman" w:hAnsi="Times New Roman" w:cs="Times New Roman"/>
          <w:sz w:val="24"/>
          <w:szCs w:val="24"/>
        </w:rPr>
        <w:t xml:space="preserve">second quarter, and all </w:t>
      </w:r>
      <w:r w:rsidR="00CD6E2F" w:rsidRPr="000D3D51">
        <w:rPr>
          <w:rFonts w:ascii="Times New Roman" w:hAnsi="Times New Roman" w:cs="Times New Roman"/>
          <w:sz w:val="24"/>
          <w:szCs w:val="24"/>
        </w:rPr>
        <w:t xml:space="preserve">2 </w:t>
      </w:r>
      <w:r w:rsidR="000E172A" w:rsidRPr="000D3D51">
        <w:rPr>
          <w:rFonts w:ascii="Times New Roman" w:hAnsi="Times New Roman" w:cs="Times New Roman"/>
          <w:sz w:val="24"/>
          <w:szCs w:val="24"/>
        </w:rPr>
        <w:t xml:space="preserve">targets were </w:t>
      </w:r>
      <w:r w:rsidRPr="000D3D51">
        <w:rPr>
          <w:rFonts w:ascii="Times New Roman" w:hAnsi="Times New Roman" w:cs="Times New Roman"/>
          <w:sz w:val="24"/>
          <w:szCs w:val="24"/>
        </w:rPr>
        <w:t xml:space="preserve">achieved. To </w:t>
      </w:r>
      <w:r w:rsidR="000D3D51">
        <w:rPr>
          <w:rFonts w:ascii="Times New Roman" w:hAnsi="Times New Roman" w:cs="Times New Roman"/>
          <w:sz w:val="24"/>
          <w:szCs w:val="24"/>
        </w:rPr>
        <w:t>date, 39</w:t>
      </w:r>
      <w:r w:rsidRPr="000D3D51">
        <w:rPr>
          <w:rFonts w:ascii="Times New Roman" w:hAnsi="Times New Roman" w:cs="Times New Roman"/>
          <w:sz w:val="24"/>
          <w:szCs w:val="24"/>
        </w:rPr>
        <w:t xml:space="preserve">% (R18.3 million) </w:t>
      </w:r>
      <w:r w:rsidR="000E172A" w:rsidRPr="000D3D51">
        <w:rPr>
          <w:rFonts w:ascii="Times New Roman" w:hAnsi="Times New Roman" w:cs="Times New Roman"/>
          <w:sz w:val="24"/>
          <w:szCs w:val="24"/>
        </w:rPr>
        <w:t>of the annual budget</w:t>
      </w:r>
      <w:r w:rsidRPr="000D3D51">
        <w:rPr>
          <w:rFonts w:ascii="Times New Roman" w:hAnsi="Times New Roman" w:cs="Times New Roman"/>
          <w:sz w:val="24"/>
          <w:szCs w:val="24"/>
        </w:rPr>
        <w:t xml:space="preserve"> allocated under this programme</w:t>
      </w:r>
      <w:r w:rsidR="000E172A" w:rsidRPr="000D3D51">
        <w:rPr>
          <w:rFonts w:ascii="Times New Roman" w:hAnsi="Times New Roman" w:cs="Times New Roman"/>
          <w:sz w:val="24"/>
          <w:szCs w:val="24"/>
        </w:rPr>
        <w:t xml:space="preserve"> has been spent.</w:t>
      </w:r>
      <w:r w:rsidR="000E172A" w:rsidRPr="003D1597">
        <w:rPr>
          <w:rFonts w:ascii="Times New Roman" w:hAnsi="Times New Roman" w:cs="Times New Roman"/>
          <w:sz w:val="24"/>
          <w:szCs w:val="24"/>
        </w:rPr>
        <w:t xml:space="preserve">     </w:t>
      </w:r>
      <w:r w:rsidR="00A92244" w:rsidRPr="003D1597">
        <w:rPr>
          <w:rFonts w:ascii="Times New Roman" w:hAnsi="Times New Roman" w:cs="Times New Roman"/>
          <w:sz w:val="24"/>
          <w:szCs w:val="24"/>
        </w:rPr>
        <w:t xml:space="preserve"> </w:t>
      </w:r>
    </w:p>
    <w:p w14:paraId="7586724A" w14:textId="77777777" w:rsidR="00B66BB8" w:rsidRPr="000D3D51" w:rsidRDefault="00B66BB8" w:rsidP="00B66BB8">
      <w:pPr>
        <w:pStyle w:val="ListParagraph"/>
        <w:numPr>
          <w:ilvl w:val="0"/>
          <w:numId w:val="2"/>
        </w:numPr>
        <w:rPr>
          <w:rFonts w:ascii="Times New Roman" w:hAnsi="Times New Roman" w:cs="Times New Roman"/>
          <w:sz w:val="24"/>
          <w:szCs w:val="24"/>
        </w:rPr>
      </w:pPr>
      <w:r w:rsidRPr="000D3D51">
        <w:rPr>
          <w:rFonts w:ascii="Times New Roman" w:hAnsi="Times New Roman" w:cs="Times New Roman"/>
          <w:b/>
          <w:sz w:val="24"/>
          <w:szCs w:val="24"/>
        </w:rPr>
        <w:t>Programme 3:</w:t>
      </w:r>
      <w:r w:rsidRPr="000D3D51">
        <w:rPr>
          <w:rFonts w:ascii="Times New Roman" w:hAnsi="Times New Roman" w:cs="Times New Roman"/>
          <w:sz w:val="24"/>
          <w:szCs w:val="24"/>
        </w:rPr>
        <w:t xml:space="preserve"> </w:t>
      </w:r>
      <w:r w:rsidRPr="000D3D51">
        <w:rPr>
          <w:rFonts w:ascii="Times New Roman" w:hAnsi="Times New Roman" w:cs="Times New Roman"/>
          <w:b/>
          <w:sz w:val="24"/>
          <w:szCs w:val="24"/>
          <w:lang w:val="en-GB" w:eastAsia="en-GB"/>
        </w:rPr>
        <w:t xml:space="preserve">Institutional </w:t>
      </w:r>
      <w:r w:rsidR="000E172A" w:rsidRPr="000D3D51">
        <w:rPr>
          <w:rFonts w:ascii="Times New Roman" w:hAnsi="Times New Roman" w:cs="Times New Roman"/>
          <w:b/>
          <w:sz w:val="24"/>
          <w:szCs w:val="24"/>
          <w:lang w:val="en-GB" w:eastAsia="en-GB"/>
        </w:rPr>
        <w:t xml:space="preserve">Sector Monitoring </w:t>
      </w:r>
      <w:r w:rsidRPr="000D3D51">
        <w:rPr>
          <w:rFonts w:ascii="Times New Roman" w:hAnsi="Times New Roman" w:cs="Times New Roman"/>
          <w:b/>
          <w:sz w:val="24"/>
          <w:szCs w:val="24"/>
          <w:lang w:val="en-GB" w:eastAsia="en-GB"/>
        </w:rPr>
        <w:t xml:space="preserve"> </w:t>
      </w:r>
    </w:p>
    <w:p w14:paraId="41DB6AFB" w14:textId="77777777" w:rsidR="00B66BB8" w:rsidRPr="003D1597" w:rsidRDefault="00B66BB8" w:rsidP="00B66BB8">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programme is responsible for promoting good M&amp;E practices in government, conducting management performance assessment and support, frontline service delivery monitoring and support and government-wide planning and M&amp;E capacity development and learning. The branch will also be responsible for the proposed Regional Offices. Whereas the OME Branch’s focus is on the management of the outcomes system and the achievement of government’s priorities, the focus of the IPM&amp;E branch is on what can be done to make the organisation function better.</w:t>
      </w:r>
    </w:p>
    <w:p w14:paraId="19A400D1" w14:textId="77777777" w:rsidR="000E172A" w:rsidRPr="003D1597" w:rsidRDefault="00A374C0" w:rsidP="000E172A">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 xml:space="preserve">The programme had 3 </w:t>
      </w:r>
      <w:r w:rsidR="000E172A" w:rsidRPr="000D3D51">
        <w:rPr>
          <w:rFonts w:ascii="Times New Roman" w:hAnsi="Times New Roman" w:cs="Times New Roman"/>
          <w:sz w:val="24"/>
          <w:szCs w:val="24"/>
        </w:rPr>
        <w:t xml:space="preserve">predetermined targets in </w:t>
      </w:r>
      <w:r w:rsidRPr="000D3D51">
        <w:rPr>
          <w:rFonts w:ascii="Times New Roman" w:hAnsi="Times New Roman" w:cs="Times New Roman"/>
          <w:sz w:val="24"/>
          <w:szCs w:val="24"/>
        </w:rPr>
        <w:t xml:space="preserve">the </w:t>
      </w:r>
      <w:r w:rsidR="000E172A" w:rsidRPr="000D3D51">
        <w:rPr>
          <w:rFonts w:ascii="Times New Roman" w:hAnsi="Times New Roman" w:cs="Times New Roman"/>
          <w:sz w:val="24"/>
          <w:szCs w:val="24"/>
        </w:rPr>
        <w:t>second quar</w:t>
      </w:r>
      <w:r w:rsidRPr="000D3D51">
        <w:rPr>
          <w:rFonts w:ascii="Times New Roman" w:hAnsi="Times New Roman" w:cs="Times New Roman"/>
          <w:sz w:val="24"/>
          <w:szCs w:val="24"/>
        </w:rPr>
        <w:t>ter, and</w:t>
      </w:r>
      <w:r w:rsidR="000E172A" w:rsidRPr="000D3D51">
        <w:rPr>
          <w:rFonts w:ascii="Times New Roman" w:hAnsi="Times New Roman" w:cs="Times New Roman"/>
          <w:sz w:val="24"/>
          <w:szCs w:val="24"/>
        </w:rPr>
        <w:t xml:space="preserve"> </w:t>
      </w:r>
      <w:r w:rsidRPr="000D3D51">
        <w:rPr>
          <w:rFonts w:ascii="Times New Roman" w:hAnsi="Times New Roman" w:cs="Times New Roman"/>
          <w:sz w:val="24"/>
          <w:szCs w:val="24"/>
        </w:rPr>
        <w:t>all</w:t>
      </w:r>
      <w:r w:rsidR="00CD6E2F" w:rsidRPr="000D3D51">
        <w:rPr>
          <w:rFonts w:ascii="Times New Roman" w:hAnsi="Times New Roman" w:cs="Times New Roman"/>
          <w:sz w:val="24"/>
          <w:szCs w:val="24"/>
        </w:rPr>
        <w:t xml:space="preserve"> </w:t>
      </w:r>
      <w:r w:rsidR="000E172A" w:rsidRPr="000D3D51">
        <w:rPr>
          <w:rFonts w:ascii="Times New Roman" w:hAnsi="Times New Roman" w:cs="Times New Roman"/>
          <w:sz w:val="24"/>
          <w:szCs w:val="24"/>
        </w:rPr>
        <w:t xml:space="preserve">were </w:t>
      </w:r>
      <w:r w:rsidR="000D3D51">
        <w:rPr>
          <w:rFonts w:ascii="Times New Roman" w:hAnsi="Times New Roman" w:cs="Times New Roman"/>
          <w:sz w:val="24"/>
          <w:szCs w:val="24"/>
        </w:rPr>
        <w:t xml:space="preserve">achieved. To date, </w:t>
      </w:r>
      <w:r w:rsidRPr="000D3D51">
        <w:rPr>
          <w:rFonts w:ascii="Times New Roman" w:hAnsi="Times New Roman" w:cs="Times New Roman"/>
          <w:sz w:val="24"/>
          <w:szCs w:val="24"/>
        </w:rPr>
        <w:t xml:space="preserve">43% (R19.6 million) </w:t>
      </w:r>
      <w:r w:rsidR="000E172A" w:rsidRPr="000D3D51">
        <w:rPr>
          <w:rFonts w:ascii="Times New Roman" w:hAnsi="Times New Roman" w:cs="Times New Roman"/>
          <w:sz w:val="24"/>
          <w:szCs w:val="24"/>
        </w:rPr>
        <w:t>of the annual budget</w:t>
      </w:r>
      <w:r w:rsidRPr="000D3D51">
        <w:rPr>
          <w:rFonts w:ascii="Times New Roman" w:hAnsi="Times New Roman" w:cs="Times New Roman"/>
          <w:sz w:val="24"/>
          <w:szCs w:val="24"/>
        </w:rPr>
        <w:t xml:space="preserve"> allocated under this programme</w:t>
      </w:r>
      <w:r w:rsidR="000E172A" w:rsidRPr="000D3D51">
        <w:rPr>
          <w:rFonts w:ascii="Times New Roman" w:hAnsi="Times New Roman" w:cs="Times New Roman"/>
          <w:sz w:val="24"/>
          <w:szCs w:val="24"/>
        </w:rPr>
        <w:t xml:space="preserve"> has been spent.</w:t>
      </w:r>
      <w:r w:rsidR="000E172A" w:rsidRPr="003D1597">
        <w:rPr>
          <w:rFonts w:ascii="Times New Roman" w:hAnsi="Times New Roman" w:cs="Times New Roman"/>
          <w:sz w:val="24"/>
          <w:szCs w:val="24"/>
        </w:rPr>
        <w:t xml:space="preserve">     </w:t>
      </w:r>
    </w:p>
    <w:p w14:paraId="43C01F67" w14:textId="77777777" w:rsidR="00B66BB8" w:rsidRPr="003D1597" w:rsidRDefault="00B66BB8" w:rsidP="00B66BB8">
      <w:pPr>
        <w:pStyle w:val="ListParagraph"/>
        <w:numPr>
          <w:ilvl w:val="0"/>
          <w:numId w:val="2"/>
        </w:numPr>
        <w:rPr>
          <w:rFonts w:ascii="Times New Roman" w:hAnsi="Times New Roman" w:cs="Times New Roman"/>
          <w:sz w:val="24"/>
          <w:szCs w:val="24"/>
        </w:rPr>
      </w:pPr>
      <w:r w:rsidRPr="003D1597">
        <w:rPr>
          <w:rFonts w:ascii="Times New Roman" w:hAnsi="Times New Roman" w:cs="Times New Roman"/>
          <w:b/>
          <w:sz w:val="24"/>
          <w:szCs w:val="24"/>
        </w:rPr>
        <w:t>Programme 4:</w:t>
      </w:r>
      <w:r w:rsidRPr="003D1597">
        <w:rPr>
          <w:rFonts w:ascii="Times New Roman" w:hAnsi="Times New Roman" w:cs="Times New Roman"/>
          <w:sz w:val="24"/>
          <w:szCs w:val="24"/>
        </w:rPr>
        <w:t xml:space="preserve"> </w:t>
      </w:r>
      <w:r w:rsidRPr="003D1597">
        <w:rPr>
          <w:rFonts w:ascii="Times New Roman" w:hAnsi="Times New Roman" w:cs="Times New Roman"/>
          <w:b/>
          <w:sz w:val="24"/>
          <w:szCs w:val="24"/>
          <w:lang w:val="en-GB" w:eastAsia="en-GB"/>
        </w:rPr>
        <w:t>P</w:t>
      </w:r>
      <w:r w:rsidR="003B0535" w:rsidRPr="003D1597">
        <w:rPr>
          <w:rFonts w:ascii="Times New Roman" w:hAnsi="Times New Roman" w:cs="Times New Roman"/>
          <w:b/>
          <w:sz w:val="24"/>
          <w:szCs w:val="24"/>
          <w:lang w:val="en-GB" w:eastAsia="en-GB"/>
        </w:rPr>
        <w:t>ublic Sector Monitoring and Capacity</w:t>
      </w:r>
    </w:p>
    <w:p w14:paraId="3C818537" w14:textId="77777777" w:rsidR="00B66BB8" w:rsidRPr="003D1597" w:rsidRDefault="00B66BB8" w:rsidP="00B66BB8">
      <w:pPr>
        <w:spacing w:line="360" w:lineRule="auto"/>
        <w:jc w:val="both"/>
        <w:rPr>
          <w:rFonts w:ascii="Times New Roman" w:hAnsi="Times New Roman" w:cs="Times New Roman"/>
          <w:sz w:val="24"/>
          <w:szCs w:val="24"/>
        </w:rPr>
      </w:pPr>
      <w:r w:rsidRPr="003D1597">
        <w:rPr>
          <w:rFonts w:ascii="Times New Roman" w:hAnsi="Times New Roman" w:cs="Times New Roman"/>
          <w:sz w:val="24"/>
          <w:szCs w:val="24"/>
        </w:rPr>
        <w:t>The purpose of this programme is to develop the country’s long-term vision and national strategic plan</w:t>
      </w:r>
      <w:r w:rsidR="003E01D2" w:rsidRPr="003D1597">
        <w:rPr>
          <w:rFonts w:ascii="Times New Roman" w:hAnsi="Times New Roman" w:cs="Times New Roman"/>
          <w:sz w:val="24"/>
          <w:szCs w:val="24"/>
        </w:rPr>
        <w:t>s</w:t>
      </w:r>
      <w:r w:rsidRPr="003D1597">
        <w:rPr>
          <w:rFonts w:ascii="Times New Roman" w:hAnsi="Times New Roman" w:cs="Times New Roman"/>
          <w:sz w:val="24"/>
          <w:szCs w:val="24"/>
        </w:rPr>
        <w:t xml:space="preserve"> and contribute towards better outcomes in government through better planning, better long term plans, greater policy coherence and a clear articulation of long term aspiration. The main responsibilities of the programme is to institutionalise and strengthen planning in government by facilitating the development of sectoral plans, ensuring coherence between plans, policies and service delivery across government, ensuring high-level priorities are fed through into plans across all spheres of government and engaging stakeholders on the output of the planning process to ensure buy-in. </w:t>
      </w:r>
    </w:p>
    <w:p w14:paraId="4FE05DCE" w14:textId="77777777" w:rsidR="006C4CA4" w:rsidRPr="003D1597" w:rsidRDefault="00A374C0" w:rsidP="006C4CA4">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programme</w:t>
      </w:r>
      <w:r w:rsidR="00104AC7" w:rsidRPr="000D3D51">
        <w:rPr>
          <w:rFonts w:ascii="Times New Roman" w:hAnsi="Times New Roman" w:cs="Times New Roman"/>
          <w:sz w:val="24"/>
          <w:szCs w:val="24"/>
        </w:rPr>
        <w:t xml:space="preserve"> had </w:t>
      </w:r>
      <w:r w:rsidR="003B0535" w:rsidRPr="000D3D51">
        <w:rPr>
          <w:rFonts w:ascii="Times New Roman" w:hAnsi="Times New Roman" w:cs="Times New Roman"/>
          <w:sz w:val="24"/>
          <w:szCs w:val="24"/>
        </w:rPr>
        <w:t xml:space="preserve">4 predetermined targets in </w:t>
      </w:r>
      <w:r w:rsidRPr="000D3D51">
        <w:rPr>
          <w:rFonts w:ascii="Times New Roman" w:hAnsi="Times New Roman" w:cs="Times New Roman"/>
          <w:sz w:val="24"/>
          <w:szCs w:val="24"/>
        </w:rPr>
        <w:t xml:space="preserve">the </w:t>
      </w:r>
      <w:r w:rsidR="003B0535" w:rsidRPr="000D3D51">
        <w:rPr>
          <w:rFonts w:ascii="Times New Roman" w:hAnsi="Times New Roman" w:cs="Times New Roman"/>
          <w:sz w:val="24"/>
          <w:szCs w:val="24"/>
        </w:rPr>
        <w:t xml:space="preserve">second quarter, 2 targets </w:t>
      </w:r>
      <w:r w:rsidRPr="000D3D51">
        <w:rPr>
          <w:rFonts w:ascii="Times New Roman" w:hAnsi="Times New Roman" w:cs="Times New Roman"/>
          <w:sz w:val="24"/>
          <w:szCs w:val="24"/>
        </w:rPr>
        <w:t>(50 %</w:t>
      </w:r>
      <w:r w:rsidR="006C4CA4" w:rsidRPr="000D3D51">
        <w:rPr>
          <w:rFonts w:ascii="Times New Roman" w:hAnsi="Times New Roman" w:cs="Times New Roman"/>
          <w:sz w:val="24"/>
          <w:szCs w:val="24"/>
        </w:rPr>
        <w:t xml:space="preserve">) </w:t>
      </w:r>
      <w:r w:rsidR="003B0535" w:rsidRPr="000D3D51">
        <w:rPr>
          <w:rFonts w:ascii="Times New Roman" w:hAnsi="Times New Roman" w:cs="Times New Roman"/>
          <w:sz w:val="24"/>
          <w:szCs w:val="24"/>
        </w:rPr>
        <w:t>were achieved and 1</w:t>
      </w:r>
      <w:r w:rsidRPr="000D3D51">
        <w:rPr>
          <w:rFonts w:ascii="Times New Roman" w:hAnsi="Times New Roman" w:cs="Times New Roman"/>
          <w:sz w:val="24"/>
          <w:szCs w:val="24"/>
        </w:rPr>
        <w:t xml:space="preserve"> (25%</w:t>
      </w:r>
      <w:r w:rsidR="006C4CA4" w:rsidRPr="000D3D51">
        <w:rPr>
          <w:rFonts w:ascii="Times New Roman" w:hAnsi="Times New Roman" w:cs="Times New Roman"/>
          <w:sz w:val="24"/>
          <w:szCs w:val="24"/>
        </w:rPr>
        <w:t>)</w:t>
      </w:r>
      <w:r w:rsidR="003B0535" w:rsidRPr="000D3D51">
        <w:rPr>
          <w:rFonts w:ascii="Times New Roman" w:hAnsi="Times New Roman" w:cs="Times New Roman"/>
          <w:sz w:val="24"/>
          <w:szCs w:val="24"/>
        </w:rPr>
        <w:t xml:space="preserve"> target </w:t>
      </w:r>
      <w:r w:rsidRPr="000D3D51">
        <w:rPr>
          <w:rFonts w:ascii="Times New Roman" w:hAnsi="Times New Roman" w:cs="Times New Roman"/>
          <w:sz w:val="24"/>
          <w:szCs w:val="24"/>
        </w:rPr>
        <w:t xml:space="preserve">was </w:t>
      </w:r>
      <w:r w:rsidR="003B0535" w:rsidRPr="000D3D51">
        <w:rPr>
          <w:rFonts w:ascii="Times New Roman" w:hAnsi="Times New Roman" w:cs="Times New Roman"/>
          <w:sz w:val="24"/>
          <w:szCs w:val="24"/>
        </w:rPr>
        <w:t xml:space="preserve">not achieved. </w:t>
      </w:r>
      <w:r w:rsidR="00104AC7" w:rsidRPr="000D3D51">
        <w:rPr>
          <w:rFonts w:ascii="Times New Roman" w:hAnsi="Times New Roman" w:cs="Times New Roman"/>
          <w:sz w:val="24"/>
          <w:szCs w:val="24"/>
        </w:rPr>
        <w:t>The target not achieve</w:t>
      </w:r>
      <w:r w:rsidRPr="000D3D51">
        <w:rPr>
          <w:rFonts w:ascii="Times New Roman" w:hAnsi="Times New Roman" w:cs="Times New Roman"/>
          <w:sz w:val="24"/>
          <w:szCs w:val="24"/>
        </w:rPr>
        <w:t>d</w:t>
      </w:r>
      <w:r w:rsidR="00104AC7" w:rsidRPr="000D3D51">
        <w:rPr>
          <w:rFonts w:ascii="Times New Roman" w:hAnsi="Times New Roman" w:cs="Times New Roman"/>
          <w:sz w:val="24"/>
          <w:szCs w:val="24"/>
        </w:rPr>
        <w:t xml:space="preserve"> </w:t>
      </w:r>
      <w:r w:rsidR="006C4CA4" w:rsidRPr="000D3D51">
        <w:rPr>
          <w:rFonts w:ascii="Times New Roman" w:hAnsi="Times New Roman" w:cs="Times New Roman"/>
          <w:sz w:val="24"/>
          <w:szCs w:val="24"/>
        </w:rPr>
        <w:t xml:space="preserve">relates </w:t>
      </w:r>
      <w:r w:rsidRPr="000D3D51">
        <w:rPr>
          <w:rFonts w:ascii="Times New Roman" w:hAnsi="Times New Roman" w:cs="Times New Roman"/>
          <w:sz w:val="24"/>
          <w:szCs w:val="24"/>
        </w:rPr>
        <w:t>to the delay</w:t>
      </w:r>
      <w:r w:rsidR="006C4CA4" w:rsidRPr="000D3D51">
        <w:rPr>
          <w:rFonts w:ascii="Times New Roman" w:hAnsi="Times New Roman" w:cs="Times New Roman"/>
          <w:sz w:val="24"/>
          <w:szCs w:val="24"/>
        </w:rPr>
        <w:t xml:space="preserve"> due to </w:t>
      </w:r>
      <w:r w:rsidR="000D3D51" w:rsidRPr="000D3D51">
        <w:rPr>
          <w:rFonts w:ascii="Times New Roman" w:hAnsi="Times New Roman" w:cs="Times New Roman"/>
          <w:sz w:val="24"/>
          <w:szCs w:val="24"/>
        </w:rPr>
        <w:t xml:space="preserve">the </w:t>
      </w:r>
      <w:r w:rsidR="006C4CA4" w:rsidRPr="000D3D51">
        <w:rPr>
          <w:rFonts w:ascii="Times New Roman" w:hAnsi="Times New Roman" w:cs="Times New Roman"/>
          <w:sz w:val="24"/>
          <w:szCs w:val="24"/>
        </w:rPr>
        <w:t>revision of the MPAT standards</w:t>
      </w:r>
      <w:r w:rsidRPr="000D3D51">
        <w:rPr>
          <w:rFonts w:ascii="Times New Roman" w:hAnsi="Times New Roman" w:cs="Times New Roman"/>
          <w:sz w:val="24"/>
          <w:szCs w:val="24"/>
        </w:rPr>
        <w:t xml:space="preserve"> for both the National and Provincial departments,</w:t>
      </w:r>
      <w:r w:rsidR="006C4CA4" w:rsidRPr="000D3D51">
        <w:rPr>
          <w:rFonts w:ascii="Times New Roman" w:hAnsi="Times New Roman" w:cs="Times New Roman"/>
          <w:sz w:val="24"/>
          <w:szCs w:val="24"/>
        </w:rPr>
        <w:t xml:space="preserve"> To</w:t>
      </w:r>
      <w:r w:rsidR="005D3E2F">
        <w:rPr>
          <w:rFonts w:ascii="Times New Roman" w:hAnsi="Times New Roman" w:cs="Times New Roman"/>
          <w:sz w:val="24"/>
          <w:szCs w:val="24"/>
        </w:rPr>
        <w:t xml:space="preserve"> </w:t>
      </w:r>
      <w:r w:rsidR="006C4CA4" w:rsidRPr="000D3D51">
        <w:rPr>
          <w:rFonts w:ascii="Times New Roman" w:hAnsi="Times New Roman" w:cs="Times New Roman"/>
          <w:sz w:val="24"/>
          <w:szCs w:val="24"/>
        </w:rPr>
        <w:t>date</w:t>
      </w:r>
      <w:r w:rsidR="000D3D51">
        <w:rPr>
          <w:rFonts w:ascii="Times New Roman" w:hAnsi="Times New Roman" w:cs="Times New Roman"/>
          <w:sz w:val="24"/>
          <w:szCs w:val="24"/>
        </w:rPr>
        <w:t>,</w:t>
      </w:r>
      <w:r w:rsidR="006C4CA4" w:rsidRPr="000D3D51">
        <w:rPr>
          <w:rFonts w:ascii="Times New Roman" w:hAnsi="Times New Roman" w:cs="Times New Roman"/>
          <w:sz w:val="24"/>
          <w:szCs w:val="24"/>
        </w:rPr>
        <w:t xml:space="preserve"> 4</w:t>
      </w:r>
      <w:r w:rsidR="00CD6E2F" w:rsidRPr="000D3D51">
        <w:rPr>
          <w:rFonts w:ascii="Times New Roman" w:hAnsi="Times New Roman" w:cs="Times New Roman"/>
          <w:sz w:val="24"/>
          <w:szCs w:val="24"/>
        </w:rPr>
        <w:t>7</w:t>
      </w:r>
      <w:r w:rsidRPr="000D3D51">
        <w:rPr>
          <w:rFonts w:ascii="Times New Roman" w:hAnsi="Times New Roman" w:cs="Times New Roman"/>
          <w:sz w:val="24"/>
          <w:szCs w:val="24"/>
        </w:rPr>
        <w:t xml:space="preserve">% (R15.1 million) </w:t>
      </w:r>
      <w:r w:rsidR="006C4CA4" w:rsidRPr="000D3D51">
        <w:rPr>
          <w:rFonts w:ascii="Times New Roman" w:hAnsi="Times New Roman" w:cs="Times New Roman"/>
          <w:sz w:val="24"/>
          <w:szCs w:val="24"/>
        </w:rPr>
        <w:t>of the annual budget</w:t>
      </w:r>
      <w:r w:rsidRPr="000D3D51">
        <w:rPr>
          <w:rFonts w:ascii="Times New Roman" w:hAnsi="Times New Roman" w:cs="Times New Roman"/>
          <w:sz w:val="24"/>
          <w:szCs w:val="24"/>
        </w:rPr>
        <w:t xml:space="preserve"> allocated under this programme</w:t>
      </w:r>
      <w:r w:rsidR="006C4CA4" w:rsidRPr="000D3D51">
        <w:rPr>
          <w:rFonts w:ascii="Times New Roman" w:hAnsi="Times New Roman" w:cs="Times New Roman"/>
          <w:sz w:val="24"/>
          <w:szCs w:val="24"/>
        </w:rPr>
        <w:t xml:space="preserve"> has been spent.</w:t>
      </w:r>
      <w:r w:rsidR="006C4CA4" w:rsidRPr="003D1597">
        <w:rPr>
          <w:rFonts w:ascii="Times New Roman" w:hAnsi="Times New Roman" w:cs="Times New Roman"/>
          <w:sz w:val="24"/>
          <w:szCs w:val="24"/>
        </w:rPr>
        <w:t xml:space="preserve">     </w:t>
      </w:r>
    </w:p>
    <w:p w14:paraId="6D7B84F8" w14:textId="77777777" w:rsidR="006C4CA4" w:rsidRPr="003D1597" w:rsidRDefault="006C4CA4" w:rsidP="006C4CA4">
      <w:pPr>
        <w:pStyle w:val="ListParagraph"/>
        <w:numPr>
          <w:ilvl w:val="0"/>
          <w:numId w:val="2"/>
        </w:numPr>
        <w:spacing w:line="360" w:lineRule="auto"/>
        <w:jc w:val="both"/>
        <w:rPr>
          <w:rFonts w:ascii="Times New Roman" w:hAnsi="Times New Roman" w:cs="Times New Roman"/>
          <w:b/>
          <w:sz w:val="24"/>
          <w:szCs w:val="24"/>
        </w:rPr>
      </w:pPr>
      <w:r w:rsidRPr="003D1597">
        <w:rPr>
          <w:rFonts w:ascii="Times New Roman" w:hAnsi="Times New Roman" w:cs="Times New Roman"/>
          <w:b/>
          <w:sz w:val="24"/>
          <w:szCs w:val="24"/>
        </w:rPr>
        <w:t xml:space="preserve">Programme 5: Frontline and Citizen Based Service </w:t>
      </w:r>
    </w:p>
    <w:p w14:paraId="36A915D4" w14:textId="77777777" w:rsidR="006C4CA4" w:rsidRPr="003D1597" w:rsidRDefault="006C4CA4" w:rsidP="006C4CA4">
      <w:pPr>
        <w:spacing w:line="360" w:lineRule="auto"/>
        <w:jc w:val="both"/>
        <w:rPr>
          <w:rFonts w:ascii="Times New Roman" w:hAnsi="Times New Roman" w:cs="Times New Roman"/>
          <w:sz w:val="24"/>
          <w:szCs w:val="24"/>
        </w:rPr>
      </w:pPr>
      <w:r w:rsidRPr="003D1597">
        <w:rPr>
          <w:rFonts w:ascii="Times New Roman" w:hAnsi="Times New Roman" w:cs="Times New Roman"/>
          <w:sz w:val="24"/>
          <w:szCs w:val="24"/>
        </w:rPr>
        <w:lastRenderedPageBreak/>
        <w:t xml:space="preserve">The purpose of the programme is to facilitate service delivery improvements through frontline and citizen-based monitoring and effective resolution systems. The programme is made of the following Sub-Programmes: Citizen-Based Monitoring, Executive Support Monitoring and Presidential Hotline.  </w:t>
      </w:r>
    </w:p>
    <w:p w14:paraId="0FB74A0C" w14:textId="77777777" w:rsidR="006C4CA4" w:rsidRPr="003D1597" w:rsidRDefault="006C4CA4" w:rsidP="006C4CA4">
      <w:pPr>
        <w:spacing w:line="360" w:lineRule="auto"/>
        <w:jc w:val="both"/>
        <w:rPr>
          <w:rFonts w:ascii="Times New Roman" w:hAnsi="Times New Roman" w:cs="Times New Roman"/>
          <w:sz w:val="24"/>
          <w:szCs w:val="24"/>
        </w:rPr>
      </w:pPr>
      <w:r w:rsidRPr="003D1597">
        <w:rPr>
          <w:rFonts w:ascii="Times New Roman" w:hAnsi="Times New Roman" w:cs="Times New Roman"/>
          <w:sz w:val="24"/>
          <w:szCs w:val="24"/>
        </w:rPr>
        <w:t xml:space="preserve">Key focus of the department in this financial year is to expand and maintain frontline monitoring system capable of verifying government performance and implementing strategic interventions to improve performance. Furthermore, the Department will facilitate the implementation of strategic interventions to improve service delivery. Establishing, coordinating and enhancing citizen and community monitoring and complaints resolution system will be pursued. </w:t>
      </w:r>
    </w:p>
    <w:p w14:paraId="05A074A5" w14:textId="77777777" w:rsidR="00CD6E2F" w:rsidRPr="003D1597" w:rsidRDefault="00A374C0" w:rsidP="006C4CA4">
      <w:pPr>
        <w:spacing w:line="360" w:lineRule="auto"/>
        <w:jc w:val="both"/>
        <w:rPr>
          <w:rFonts w:ascii="Times New Roman" w:hAnsi="Times New Roman" w:cs="Times New Roman"/>
          <w:sz w:val="24"/>
          <w:szCs w:val="24"/>
        </w:rPr>
      </w:pPr>
      <w:r>
        <w:rPr>
          <w:rFonts w:ascii="Times New Roman" w:hAnsi="Times New Roman" w:cs="Times New Roman"/>
          <w:sz w:val="24"/>
          <w:szCs w:val="24"/>
        </w:rPr>
        <w:t>The programme</w:t>
      </w:r>
      <w:r w:rsidR="006C4CA4" w:rsidRPr="003D1597">
        <w:rPr>
          <w:rFonts w:ascii="Times New Roman" w:hAnsi="Times New Roman" w:cs="Times New Roman"/>
          <w:sz w:val="24"/>
          <w:szCs w:val="24"/>
        </w:rPr>
        <w:t xml:space="preserve"> had 4 predetermined targets in</w:t>
      </w:r>
      <w:r>
        <w:rPr>
          <w:rFonts w:ascii="Times New Roman" w:hAnsi="Times New Roman" w:cs="Times New Roman"/>
          <w:sz w:val="24"/>
          <w:szCs w:val="24"/>
        </w:rPr>
        <w:t xml:space="preserve"> the</w:t>
      </w:r>
      <w:r w:rsidR="006C4CA4" w:rsidRPr="003D1597">
        <w:rPr>
          <w:rFonts w:ascii="Times New Roman" w:hAnsi="Times New Roman" w:cs="Times New Roman"/>
          <w:sz w:val="24"/>
          <w:szCs w:val="24"/>
        </w:rPr>
        <w:t xml:space="preserve"> second quart</w:t>
      </w:r>
      <w:r w:rsidR="00BD3A6E">
        <w:rPr>
          <w:rFonts w:ascii="Times New Roman" w:hAnsi="Times New Roman" w:cs="Times New Roman"/>
          <w:sz w:val="24"/>
          <w:szCs w:val="24"/>
        </w:rPr>
        <w:t>er, and a</w:t>
      </w:r>
      <w:r w:rsidR="006C4CA4" w:rsidRPr="003D1597">
        <w:rPr>
          <w:rFonts w:ascii="Times New Roman" w:hAnsi="Times New Roman" w:cs="Times New Roman"/>
          <w:sz w:val="24"/>
          <w:szCs w:val="24"/>
        </w:rPr>
        <w:t xml:space="preserve">ll </w:t>
      </w:r>
      <w:r w:rsidR="00BD3A6E">
        <w:rPr>
          <w:rFonts w:ascii="Times New Roman" w:hAnsi="Times New Roman" w:cs="Times New Roman"/>
          <w:sz w:val="24"/>
          <w:szCs w:val="24"/>
        </w:rPr>
        <w:t xml:space="preserve">were achieved. </w:t>
      </w:r>
      <w:r w:rsidR="00BD3A6E" w:rsidRPr="000D3D51">
        <w:rPr>
          <w:rFonts w:ascii="Times New Roman" w:hAnsi="Times New Roman" w:cs="Times New Roman"/>
          <w:sz w:val="24"/>
          <w:szCs w:val="24"/>
        </w:rPr>
        <w:t>To date</w:t>
      </w:r>
      <w:r w:rsidR="000D3D51" w:rsidRPr="000D3D51">
        <w:rPr>
          <w:rFonts w:ascii="Times New Roman" w:hAnsi="Times New Roman" w:cs="Times New Roman"/>
          <w:sz w:val="24"/>
          <w:szCs w:val="24"/>
        </w:rPr>
        <w:t>,</w:t>
      </w:r>
      <w:r w:rsidR="00BD3A6E" w:rsidRPr="000D3D51">
        <w:rPr>
          <w:rFonts w:ascii="Times New Roman" w:hAnsi="Times New Roman" w:cs="Times New Roman"/>
          <w:sz w:val="24"/>
          <w:szCs w:val="24"/>
        </w:rPr>
        <w:t xml:space="preserve"> 47% (R24.9 million)</w:t>
      </w:r>
      <w:r w:rsidR="006C4CA4" w:rsidRPr="000D3D51">
        <w:rPr>
          <w:rFonts w:ascii="Times New Roman" w:hAnsi="Times New Roman" w:cs="Times New Roman"/>
          <w:sz w:val="24"/>
          <w:szCs w:val="24"/>
        </w:rPr>
        <w:t xml:space="preserve"> of the annual budget</w:t>
      </w:r>
      <w:r w:rsidR="00BD3A6E" w:rsidRPr="000D3D51">
        <w:rPr>
          <w:rFonts w:ascii="Times New Roman" w:hAnsi="Times New Roman" w:cs="Times New Roman"/>
          <w:sz w:val="24"/>
          <w:szCs w:val="24"/>
        </w:rPr>
        <w:t xml:space="preserve"> allocated under this programme</w:t>
      </w:r>
      <w:r w:rsidR="006C4CA4" w:rsidRPr="000D3D51">
        <w:rPr>
          <w:rFonts w:ascii="Times New Roman" w:hAnsi="Times New Roman" w:cs="Times New Roman"/>
          <w:sz w:val="24"/>
          <w:szCs w:val="24"/>
        </w:rPr>
        <w:t xml:space="preserve"> has been spent.</w:t>
      </w:r>
      <w:r w:rsidR="006C4CA4" w:rsidRPr="003D1597">
        <w:rPr>
          <w:rFonts w:ascii="Times New Roman" w:hAnsi="Times New Roman" w:cs="Times New Roman"/>
          <w:sz w:val="24"/>
          <w:szCs w:val="24"/>
        </w:rPr>
        <w:t xml:space="preserve"> </w:t>
      </w:r>
    </w:p>
    <w:p w14:paraId="77A79FF3" w14:textId="77777777" w:rsidR="006C4CA4" w:rsidRPr="005D3E2F" w:rsidRDefault="00CD6E2F" w:rsidP="005D3E2F">
      <w:pPr>
        <w:pStyle w:val="ListParagraph"/>
        <w:numPr>
          <w:ilvl w:val="0"/>
          <w:numId w:val="2"/>
        </w:numPr>
        <w:spacing w:line="360" w:lineRule="auto"/>
        <w:jc w:val="both"/>
        <w:rPr>
          <w:rFonts w:ascii="Times New Roman" w:hAnsi="Times New Roman" w:cs="Times New Roman"/>
          <w:b/>
          <w:sz w:val="24"/>
          <w:szCs w:val="24"/>
        </w:rPr>
      </w:pPr>
      <w:r w:rsidRPr="005D3E2F">
        <w:rPr>
          <w:rFonts w:ascii="Times New Roman" w:hAnsi="Times New Roman" w:cs="Times New Roman"/>
          <w:b/>
          <w:sz w:val="24"/>
          <w:szCs w:val="24"/>
        </w:rPr>
        <w:t>Programme 6: Evidence Knowledge Systems</w:t>
      </w:r>
    </w:p>
    <w:p w14:paraId="74B02E73" w14:textId="77777777" w:rsidR="00CD6E2F" w:rsidRPr="000D3D51" w:rsidRDefault="00CD6E2F" w:rsidP="00CD6E2F">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 xml:space="preserve">The purpose of the programme is to coordinate and support the generation, collation, accessibility and timely use of quality evidence to support performance monitoring and evaluation across government. </w:t>
      </w:r>
    </w:p>
    <w:p w14:paraId="25F2F7AD" w14:textId="77777777" w:rsidR="006C4CA4" w:rsidRPr="003D1597" w:rsidRDefault="00CD6E2F" w:rsidP="00CD6E2F">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Department will coordinate and support a national evaluation system that ensures the use of evidence from regular and quality evaluations of priority government policies, programmes and systems. Planned is providing centralised research and knowledge management support to develop and maintain an evidence base to inform planning, policy development, implementation, monitoring and review. In addition, providing quality, timely and verified data and analysis of data to support planning, monitoring and evaluation will be the focus</w:t>
      </w:r>
    </w:p>
    <w:p w14:paraId="75147219" w14:textId="77777777" w:rsidR="00CD6E2F" w:rsidRDefault="00CD6E2F" w:rsidP="00CD6E2F">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 xml:space="preserve">Programme 6 had 2 predetermined targets in </w:t>
      </w:r>
      <w:r w:rsidR="000D3D51">
        <w:rPr>
          <w:rFonts w:ascii="Times New Roman" w:hAnsi="Times New Roman" w:cs="Times New Roman"/>
          <w:sz w:val="24"/>
          <w:szCs w:val="24"/>
        </w:rPr>
        <w:t xml:space="preserve">the </w:t>
      </w:r>
      <w:r w:rsidRPr="000D3D51">
        <w:rPr>
          <w:rFonts w:ascii="Times New Roman" w:hAnsi="Times New Roman" w:cs="Times New Roman"/>
          <w:sz w:val="24"/>
          <w:szCs w:val="24"/>
        </w:rPr>
        <w:t xml:space="preserve">second quarter, and all </w:t>
      </w:r>
      <w:r w:rsidR="00BD3A6E" w:rsidRPr="000D3D51">
        <w:rPr>
          <w:rFonts w:ascii="Times New Roman" w:hAnsi="Times New Roman" w:cs="Times New Roman"/>
          <w:sz w:val="24"/>
          <w:szCs w:val="24"/>
        </w:rPr>
        <w:t>were achieved.</w:t>
      </w:r>
      <w:r w:rsidR="00BD3A6E">
        <w:rPr>
          <w:rFonts w:ascii="Times New Roman" w:hAnsi="Times New Roman" w:cs="Times New Roman"/>
          <w:sz w:val="24"/>
          <w:szCs w:val="24"/>
        </w:rPr>
        <w:t xml:space="preserve"> To date 75% (R80.2 million)</w:t>
      </w:r>
      <w:r w:rsidRPr="003D1597">
        <w:rPr>
          <w:rFonts w:ascii="Times New Roman" w:hAnsi="Times New Roman" w:cs="Times New Roman"/>
          <w:sz w:val="24"/>
          <w:szCs w:val="24"/>
        </w:rPr>
        <w:t xml:space="preserve"> of the annual budget</w:t>
      </w:r>
      <w:r w:rsidR="00BD3A6E">
        <w:rPr>
          <w:rFonts w:ascii="Times New Roman" w:hAnsi="Times New Roman" w:cs="Times New Roman"/>
          <w:sz w:val="24"/>
          <w:szCs w:val="24"/>
        </w:rPr>
        <w:t xml:space="preserve"> allocated under this programme</w:t>
      </w:r>
      <w:r w:rsidRPr="003D1597">
        <w:rPr>
          <w:rFonts w:ascii="Times New Roman" w:hAnsi="Times New Roman" w:cs="Times New Roman"/>
          <w:sz w:val="24"/>
          <w:szCs w:val="24"/>
        </w:rPr>
        <w:t xml:space="preserve"> has been spent.      </w:t>
      </w:r>
    </w:p>
    <w:p w14:paraId="2C6A2983" w14:textId="77777777" w:rsidR="000D3D51" w:rsidRDefault="000D3D51" w:rsidP="00CD6E2F">
      <w:pPr>
        <w:spacing w:line="360" w:lineRule="auto"/>
        <w:jc w:val="both"/>
        <w:rPr>
          <w:rFonts w:ascii="Times New Roman" w:hAnsi="Times New Roman" w:cs="Times New Roman"/>
          <w:sz w:val="24"/>
          <w:szCs w:val="24"/>
        </w:rPr>
      </w:pPr>
    </w:p>
    <w:p w14:paraId="7FC746F3" w14:textId="77777777" w:rsidR="003346DF" w:rsidRPr="003D1597" w:rsidRDefault="003346DF" w:rsidP="00CD6E2F">
      <w:pPr>
        <w:spacing w:line="360" w:lineRule="auto"/>
        <w:jc w:val="both"/>
        <w:rPr>
          <w:rFonts w:ascii="Times New Roman" w:hAnsi="Times New Roman" w:cs="Times New Roman"/>
          <w:sz w:val="24"/>
          <w:szCs w:val="24"/>
        </w:rPr>
      </w:pPr>
    </w:p>
    <w:p w14:paraId="1AF9D99B" w14:textId="77777777" w:rsidR="00B66BB8" w:rsidRPr="003D1597" w:rsidRDefault="00B66BB8" w:rsidP="005D3E2F">
      <w:pPr>
        <w:pStyle w:val="ListParagraph"/>
        <w:numPr>
          <w:ilvl w:val="0"/>
          <w:numId w:val="2"/>
        </w:numPr>
        <w:rPr>
          <w:rFonts w:ascii="Times New Roman" w:hAnsi="Times New Roman" w:cs="Times New Roman"/>
          <w:sz w:val="24"/>
          <w:szCs w:val="24"/>
        </w:rPr>
      </w:pPr>
      <w:r w:rsidRPr="003D1597">
        <w:rPr>
          <w:rFonts w:ascii="Times New Roman" w:hAnsi="Times New Roman" w:cs="Times New Roman"/>
          <w:b/>
          <w:sz w:val="24"/>
          <w:szCs w:val="24"/>
        </w:rPr>
        <w:t xml:space="preserve">Programme </w:t>
      </w:r>
      <w:r w:rsidR="00CD6E2F" w:rsidRPr="003D1597">
        <w:rPr>
          <w:rFonts w:ascii="Times New Roman" w:hAnsi="Times New Roman" w:cs="Times New Roman"/>
          <w:b/>
          <w:sz w:val="24"/>
          <w:szCs w:val="24"/>
        </w:rPr>
        <w:t>7</w:t>
      </w:r>
      <w:r w:rsidRPr="003D1597">
        <w:rPr>
          <w:rFonts w:ascii="Times New Roman" w:hAnsi="Times New Roman" w:cs="Times New Roman"/>
          <w:sz w:val="24"/>
          <w:szCs w:val="24"/>
        </w:rPr>
        <w:t xml:space="preserve">: </w:t>
      </w:r>
      <w:r w:rsidR="00BD3A6E">
        <w:rPr>
          <w:rFonts w:ascii="Times New Roman" w:hAnsi="Times New Roman" w:cs="Times New Roman"/>
          <w:b/>
          <w:sz w:val="24"/>
          <w:szCs w:val="24"/>
          <w:lang w:val="en-GB" w:eastAsia="en-GB"/>
        </w:rPr>
        <w:t xml:space="preserve">Youth Development </w:t>
      </w:r>
    </w:p>
    <w:p w14:paraId="7E1DD690" w14:textId="77777777" w:rsidR="00B66BB8" w:rsidRPr="003D1597" w:rsidRDefault="00B66BB8" w:rsidP="00B66BB8">
      <w:pPr>
        <w:spacing w:line="360" w:lineRule="auto"/>
        <w:jc w:val="both"/>
        <w:rPr>
          <w:rFonts w:ascii="Times New Roman" w:hAnsi="Times New Roman" w:cs="Times New Roman"/>
          <w:sz w:val="24"/>
          <w:szCs w:val="24"/>
        </w:rPr>
      </w:pPr>
      <w:r w:rsidRPr="003D1597">
        <w:rPr>
          <w:rFonts w:ascii="Times New Roman" w:hAnsi="Times New Roman" w:cs="Times New Roman"/>
          <w:sz w:val="24"/>
          <w:szCs w:val="24"/>
        </w:rPr>
        <w:lastRenderedPageBreak/>
        <w:t>The purpose of the programme is to develop and implement youth policy and to provide oversight over funds transferred to the National Youth Development Agency. The programme will champion the development and implementation of the youth development policy and integrated planning in government. The programme will be a conduit for the budget of the National Youth Development Agency.</w:t>
      </w:r>
    </w:p>
    <w:p w14:paraId="59BD488C" w14:textId="77777777" w:rsidR="00104AC7" w:rsidRPr="003D1597" w:rsidRDefault="00BD3A6E" w:rsidP="00B66BB8">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programme</w:t>
      </w:r>
      <w:r w:rsidR="00CD6E2F" w:rsidRPr="000D3D51">
        <w:rPr>
          <w:rFonts w:ascii="Times New Roman" w:hAnsi="Times New Roman" w:cs="Times New Roman"/>
          <w:sz w:val="24"/>
          <w:szCs w:val="24"/>
        </w:rPr>
        <w:t xml:space="preserve"> had 3 predetermined targets in </w:t>
      </w:r>
      <w:r w:rsidRPr="000D3D51">
        <w:rPr>
          <w:rFonts w:ascii="Times New Roman" w:hAnsi="Times New Roman" w:cs="Times New Roman"/>
          <w:sz w:val="24"/>
          <w:szCs w:val="24"/>
        </w:rPr>
        <w:t xml:space="preserve">the </w:t>
      </w:r>
      <w:r w:rsidR="00CD6E2F" w:rsidRPr="000D3D51">
        <w:rPr>
          <w:rFonts w:ascii="Times New Roman" w:hAnsi="Times New Roman" w:cs="Times New Roman"/>
          <w:sz w:val="24"/>
          <w:szCs w:val="24"/>
        </w:rPr>
        <w:t xml:space="preserve">second quarter, and all were </w:t>
      </w:r>
      <w:r w:rsidRPr="000D3D51">
        <w:rPr>
          <w:rFonts w:ascii="Times New Roman" w:hAnsi="Times New Roman" w:cs="Times New Roman"/>
          <w:sz w:val="24"/>
          <w:szCs w:val="24"/>
        </w:rPr>
        <w:t>achieved. To date</w:t>
      </w:r>
      <w:r w:rsidR="000D3D51">
        <w:rPr>
          <w:rFonts w:ascii="Times New Roman" w:hAnsi="Times New Roman" w:cs="Times New Roman"/>
          <w:sz w:val="24"/>
          <w:szCs w:val="24"/>
        </w:rPr>
        <w:t>,</w:t>
      </w:r>
      <w:r w:rsidRPr="000D3D51">
        <w:rPr>
          <w:rFonts w:ascii="Times New Roman" w:hAnsi="Times New Roman" w:cs="Times New Roman"/>
          <w:sz w:val="24"/>
          <w:szCs w:val="24"/>
        </w:rPr>
        <w:t xml:space="preserve"> 50% (R221.7 million) </w:t>
      </w:r>
      <w:r w:rsidR="00CD6E2F" w:rsidRPr="000D3D51">
        <w:rPr>
          <w:rFonts w:ascii="Times New Roman" w:hAnsi="Times New Roman" w:cs="Times New Roman"/>
          <w:sz w:val="24"/>
          <w:szCs w:val="24"/>
        </w:rPr>
        <w:t>of the annual budget</w:t>
      </w:r>
      <w:r w:rsidRPr="000D3D51">
        <w:rPr>
          <w:rFonts w:ascii="Times New Roman" w:hAnsi="Times New Roman" w:cs="Times New Roman"/>
          <w:sz w:val="24"/>
          <w:szCs w:val="24"/>
        </w:rPr>
        <w:t xml:space="preserve"> allocated under this programme</w:t>
      </w:r>
      <w:r w:rsidR="00CD6E2F" w:rsidRPr="000D3D51">
        <w:rPr>
          <w:rFonts w:ascii="Times New Roman" w:hAnsi="Times New Roman" w:cs="Times New Roman"/>
          <w:sz w:val="24"/>
          <w:szCs w:val="24"/>
        </w:rPr>
        <w:t xml:space="preserve"> has been spent.</w:t>
      </w:r>
      <w:r w:rsidR="00CD6E2F" w:rsidRPr="003D1597">
        <w:rPr>
          <w:rFonts w:ascii="Times New Roman" w:hAnsi="Times New Roman" w:cs="Times New Roman"/>
          <w:sz w:val="24"/>
          <w:szCs w:val="24"/>
        </w:rPr>
        <w:t xml:space="preserve"> </w:t>
      </w:r>
    </w:p>
    <w:p w14:paraId="4D9514FA" w14:textId="77777777" w:rsidR="00B66BB8" w:rsidRPr="003D1597" w:rsidRDefault="00B66BB8" w:rsidP="00B66BB8">
      <w:pPr>
        <w:rPr>
          <w:rFonts w:ascii="Times New Roman" w:hAnsi="Times New Roman" w:cs="Times New Roman"/>
          <w:sz w:val="24"/>
          <w:szCs w:val="24"/>
        </w:rPr>
      </w:pPr>
    </w:p>
    <w:p w14:paraId="6B5286CC" w14:textId="77777777" w:rsidR="00B66BB8" w:rsidRPr="003D1597" w:rsidRDefault="00B66BB8" w:rsidP="00B66BB8">
      <w:pPr>
        <w:pStyle w:val="ListParagraph"/>
        <w:numPr>
          <w:ilvl w:val="0"/>
          <w:numId w:val="1"/>
        </w:numPr>
        <w:ind w:left="567" w:hanging="567"/>
        <w:rPr>
          <w:rFonts w:ascii="Times New Roman" w:hAnsi="Times New Roman" w:cs="Times New Roman"/>
        </w:rPr>
      </w:pPr>
      <w:r w:rsidRPr="003D1597">
        <w:rPr>
          <w:rFonts w:ascii="Times New Roman" w:hAnsi="Times New Roman" w:cs="Times New Roman"/>
          <w:b/>
          <w:sz w:val="24"/>
          <w:szCs w:val="24"/>
        </w:rPr>
        <w:t xml:space="preserve">NATIONAL YOUTH DEVELOPMENT AGENCY (NYDA) </w:t>
      </w:r>
    </w:p>
    <w:p w14:paraId="580A20FE" w14:textId="77777777" w:rsidR="00B66BB8" w:rsidRPr="003D1597" w:rsidRDefault="00B66BB8" w:rsidP="00B66BB8">
      <w:pPr>
        <w:spacing w:line="360" w:lineRule="auto"/>
        <w:jc w:val="both"/>
        <w:rPr>
          <w:rFonts w:ascii="Times New Roman" w:hAnsi="Times New Roman" w:cs="Times New Roman"/>
          <w:sz w:val="24"/>
          <w:szCs w:val="24"/>
        </w:rPr>
      </w:pPr>
      <w:r w:rsidRPr="003D1597">
        <w:rPr>
          <w:rFonts w:ascii="Times New Roman" w:hAnsi="Times New Roman" w:cs="Times New Roman"/>
          <w:sz w:val="24"/>
          <w:szCs w:val="24"/>
        </w:rPr>
        <w:t xml:space="preserve">The National Youth Development Agency (NYDA) is an agency established primarily to tackle challenges that the nation’s youth are faced with. The Agency was established by an Act of Parliament, act no 54 of 2008. The NYDA Act (2008) mandates the Agency to develop an Integrated Youth Development Strategy for South Africa, and initiate, design, coordinate, evaluate and monitor all programmes that aim to integrate the youth into the economy and society in general. The Act mandates the Agency to promote a uniform approach to youth development by all organs of state, the private sector and non-government organisations (NGO’s). </w:t>
      </w:r>
    </w:p>
    <w:p w14:paraId="17A084DF" w14:textId="77777777" w:rsidR="0002197F" w:rsidRDefault="00BD3A6E" w:rsidP="00940ED4">
      <w:pPr>
        <w:pStyle w:val="ListParagraph"/>
        <w:numPr>
          <w:ilvl w:val="1"/>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Summary and </w:t>
      </w:r>
      <w:r w:rsidR="0002197F" w:rsidRPr="003D1597">
        <w:rPr>
          <w:rFonts w:ascii="Times New Roman" w:hAnsi="Times New Roman" w:cs="Times New Roman"/>
          <w:b/>
          <w:sz w:val="24"/>
          <w:szCs w:val="24"/>
        </w:rPr>
        <w:t>Budget Allocation</w:t>
      </w:r>
    </w:p>
    <w:p w14:paraId="04161544" w14:textId="77777777" w:rsidR="00BD3A6E" w:rsidRDefault="00BD3A6E" w:rsidP="00BD3A6E">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 xml:space="preserve">The Agency had achieved </w:t>
      </w:r>
      <w:r w:rsidR="00777CF1" w:rsidRPr="000D3D51">
        <w:rPr>
          <w:rFonts w:ascii="Times New Roman" w:hAnsi="Times New Roman" w:cs="Times New Roman"/>
          <w:sz w:val="24"/>
          <w:szCs w:val="24"/>
        </w:rPr>
        <w:t>14 predetermined targets and only 5</w:t>
      </w:r>
      <w:r w:rsidRPr="000D3D51">
        <w:rPr>
          <w:rFonts w:ascii="Times New Roman" w:hAnsi="Times New Roman" w:cs="Times New Roman"/>
          <w:sz w:val="24"/>
          <w:szCs w:val="24"/>
        </w:rPr>
        <w:t xml:space="preserve"> </w:t>
      </w:r>
      <w:r w:rsidR="00777CF1" w:rsidRPr="000D3D51">
        <w:rPr>
          <w:rFonts w:ascii="Times New Roman" w:hAnsi="Times New Roman" w:cs="Times New Roman"/>
          <w:sz w:val="24"/>
          <w:szCs w:val="24"/>
        </w:rPr>
        <w:t>were not achieved in the second quarter of 2017/18 financial year. In general, the Agency had achieved 65% of its year targets for the quarter. For targets not achieved, the Agency to implement strict performance measures in line with Agency’s performance management policy. The Agency had spent an estimated 46% of its annual budget with the main areas of underspending on two programmes. The Agency is preparing scenario plans for the establishment of offices to provide universal access to opportunities, that will then be used to negotiate with local and district municipalities for the provision of products and services to young people. The Agency to conduct in the second half of the year deep stick assessments of its entrepreneurship and jobs programmes to influence future planning.</w:t>
      </w:r>
    </w:p>
    <w:p w14:paraId="5E3A724C" w14:textId="77777777" w:rsidR="00777CF1" w:rsidRDefault="00777CF1" w:rsidP="00BD3A6E">
      <w:pPr>
        <w:spacing w:line="360" w:lineRule="auto"/>
        <w:jc w:val="both"/>
        <w:rPr>
          <w:rFonts w:ascii="Times New Roman" w:hAnsi="Times New Roman" w:cs="Times New Roman"/>
          <w:sz w:val="24"/>
          <w:szCs w:val="24"/>
        </w:rPr>
      </w:pPr>
    </w:p>
    <w:p w14:paraId="1C7B590E" w14:textId="77777777" w:rsidR="008873CB" w:rsidRDefault="008873CB">
      <w:pPr>
        <w:rPr>
          <w:rFonts w:ascii="Times New Roman" w:hAnsi="Times New Roman" w:cs="Times New Roman"/>
          <w:sz w:val="24"/>
          <w:szCs w:val="24"/>
        </w:rPr>
      </w:pPr>
      <w:r>
        <w:rPr>
          <w:rFonts w:ascii="Times New Roman" w:hAnsi="Times New Roman" w:cs="Times New Roman"/>
          <w:sz w:val="24"/>
          <w:szCs w:val="24"/>
        </w:rPr>
        <w:br w:type="page"/>
      </w:r>
    </w:p>
    <w:p w14:paraId="033FA7FA" w14:textId="54ECD384" w:rsidR="002A3F1B" w:rsidRDefault="002A3F1B" w:rsidP="00BD3A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below show budget spent per programme:</w:t>
      </w:r>
    </w:p>
    <w:tbl>
      <w:tblPr>
        <w:tblW w:w="9639" w:type="dxa"/>
        <w:tblCellMar>
          <w:left w:w="0" w:type="dxa"/>
          <w:right w:w="0" w:type="dxa"/>
        </w:tblCellMar>
        <w:tblLook w:val="0420" w:firstRow="1" w:lastRow="0" w:firstColumn="0" w:lastColumn="0" w:noHBand="0" w:noVBand="1"/>
      </w:tblPr>
      <w:tblGrid>
        <w:gridCol w:w="2410"/>
        <w:gridCol w:w="1843"/>
        <w:gridCol w:w="2126"/>
        <w:gridCol w:w="1701"/>
        <w:gridCol w:w="1559"/>
      </w:tblGrid>
      <w:tr w:rsidR="002A3F1B" w:rsidRPr="002A3F1B" w14:paraId="29EC41CF" w14:textId="77777777" w:rsidTr="002A3F1B">
        <w:trPr>
          <w:trHeight w:val="921"/>
        </w:trPr>
        <w:tc>
          <w:tcPr>
            <w:tcW w:w="2410" w:type="dxa"/>
            <w:tcBorders>
              <w:top w:val="single" w:sz="18" w:space="0" w:color="000000"/>
              <w:left w:val="nil"/>
              <w:bottom w:val="single" w:sz="18" w:space="0" w:color="000000"/>
              <w:right w:val="nil"/>
            </w:tcBorders>
            <w:shd w:val="clear" w:color="auto" w:fill="7DBA00"/>
            <w:tcMar>
              <w:top w:w="54" w:type="dxa"/>
              <w:left w:w="108" w:type="dxa"/>
              <w:bottom w:w="54" w:type="dxa"/>
              <w:right w:w="108" w:type="dxa"/>
            </w:tcMar>
            <w:hideMark/>
          </w:tcPr>
          <w:p w14:paraId="3C1BD78B" w14:textId="77777777" w:rsidR="002A3F1B" w:rsidRPr="002A3F1B" w:rsidRDefault="002A3F1B" w:rsidP="002A3F1B">
            <w:pPr>
              <w:spacing w:after="0" w:line="240" w:lineRule="auto"/>
              <w:jc w:val="center"/>
              <w:rPr>
                <w:rFonts w:ascii="Arial" w:eastAsia="Times New Roman" w:hAnsi="Arial" w:cs="Arial"/>
                <w:sz w:val="36"/>
                <w:szCs w:val="36"/>
                <w:lang w:eastAsia="en-ZA"/>
              </w:rPr>
            </w:pPr>
            <w:r w:rsidRPr="002A3F1B">
              <w:rPr>
                <w:rFonts w:eastAsia="Times New Roman" w:hAnsi="Tahoma" w:cs="Tahoma"/>
                <w:b/>
                <w:bCs/>
                <w:color w:val="FFFFFF" w:themeColor="light1"/>
                <w:kern w:val="24"/>
                <w:sz w:val="28"/>
                <w:szCs w:val="28"/>
                <w:lang w:val="en-US" w:eastAsia="en-ZA"/>
              </w:rPr>
              <w:t>Key Programmatic Area</w:t>
            </w:r>
          </w:p>
        </w:tc>
        <w:tc>
          <w:tcPr>
            <w:tcW w:w="1843" w:type="dxa"/>
            <w:tcBorders>
              <w:top w:val="single" w:sz="18" w:space="0" w:color="000000"/>
              <w:left w:val="nil"/>
              <w:bottom w:val="single" w:sz="18" w:space="0" w:color="000000"/>
              <w:right w:val="nil"/>
            </w:tcBorders>
            <w:shd w:val="clear" w:color="auto" w:fill="7DBA00"/>
            <w:tcMar>
              <w:top w:w="54" w:type="dxa"/>
              <w:left w:w="108" w:type="dxa"/>
              <w:bottom w:w="54" w:type="dxa"/>
              <w:right w:w="108" w:type="dxa"/>
            </w:tcMar>
            <w:hideMark/>
          </w:tcPr>
          <w:p w14:paraId="1328D268" w14:textId="77777777" w:rsidR="002A3F1B" w:rsidRPr="002A3F1B" w:rsidRDefault="002A3F1B" w:rsidP="002A3F1B">
            <w:pPr>
              <w:spacing w:after="0" w:line="240" w:lineRule="auto"/>
              <w:jc w:val="center"/>
              <w:rPr>
                <w:rFonts w:ascii="Arial" w:eastAsia="Times New Roman" w:hAnsi="Arial" w:cs="Arial"/>
                <w:sz w:val="36"/>
                <w:szCs w:val="36"/>
                <w:lang w:eastAsia="en-ZA"/>
              </w:rPr>
            </w:pPr>
            <w:r w:rsidRPr="002A3F1B">
              <w:rPr>
                <w:rFonts w:eastAsia="Times New Roman" w:hAnsi="Tahoma" w:cs="Tahoma"/>
                <w:b/>
                <w:bCs/>
                <w:color w:val="FFFFFF" w:themeColor="light1"/>
                <w:kern w:val="24"/>
                <w:sz w:val="28"/>
                <w:szCs w:val="28"/>
                <w:lang w:val="en-US" w:eastAsia="en-ZA"/>
              </w:rPr>
              <w:t>Q2 budget</w:t>
            </w:r>
          </w:p>
        </w:tc>
        <w:tc>
          <w:tcPr>
            <w:tcW w:w="2126" w:type="dxa"/>
            <w:tcBorders>
              <w:top w:val="single" w:sz="18" w:space="0" w:color="000000"/>
              <w:left w:val="nil"/>
              <w:bottom w:val="single" w:sz="18" w:space="0" w:color="000000"/>
              <w:right w:val="nil"/>
            </w:tcBorders>
            <w:shd w:val="clear" w:color="auto" w:fill="7DBA00"/>
            <w:tcMar>
              <w:top w:w="54" w:type="dxa"/>
              <w:left w:w="108" w:type="dxa"/>
              <w:bottom w:w="54" w:type="dxa"/>
              <w:right w:w="108" w:type="dxa"/>
            </w:tcMar>
            <w:hideMark/>
          </w:tcPr>
          <w:p w14:paraId="201CA145" w14:textId="77777777" w:rsidR="002A3F1B" w:rsidRPr="002A3F1B" w:rsidRDefault="002A3F1B" w:rsidP="002A3F1B">
            <w:pPr>
              <w:spacing w:after="0" w:line="240" w:lineRule="auto"/>
              <w:jc w:val="center"/>
              <w:rPr>
                <w:rFonts w:ascii="Arial" w:eastAsia="Times New Roman" w:hAnsi="Arial" w:cs="Arial"/>
                <w:sz w:val="36"/>
                <w:szCs w:val="36"/>
                <w:lang w:eastAsia="en-ZA"/>
              </w:rPr>
            </w:pPr>
            <w:r w:rsidRPr="002A3F1B">
              <w:rPr>
                <w:rFonts w:eastAsiaTheme="minorEastAsia" w:hAnsi="Tahoma"/>
                <w:b/>
                <w:bCs/>
                <w:color w:val="FFFFFF" w:themeColor="light1"/>
                <w:kern w:val="24"/>
                <w:sz w:val="28"/>
                <w:szCs w:val="28"/>
                <w:lang w:val="en-US" w:eastAsia="en-ZA"/>
              </w:rPr>
              <w:t>Annual budget</w:t>
            </w:r>
          </w:p>
        </w:tc>
        <w:tc>
          <w:tcPr>
            <w:tcW w:w="1701" w:type="dxa"/>
            <w:tcBorders>
              <w:top w:val="single" w:sz="18" w:space="0" w:color="000000"/>
              <w:left w:val="nil"/>
              <w:bottom w:val="single" w:sz="18" w:space="0" w:color="000000"/>
              <w:right w:val="nil"/>
            </w:tcBorders>
            <w:shd w:val="clear" w:color="auto" w:fill="7DBA00"/>
            <w:tcMar>
              <w:top w:w="54" w:type="dxa"/>
              <w:left w:w="108" w:type="dxa"/>
              <w:bottom w:w="54" w:type="dxa"/>
              <w:right w:w="108" w:type="dxa"/>
            </w:tcMar>
            <w:hideMark/>
          </w:tcPr>
          <w:p w14:paraId="0563A478" w14:textId="77777777" w:rsidR="002A3F1B" w:rsidRPr="002A3F1B" w:rsidRDefault="002A3F1B" w:rsidP="002A3F1B">
            <w:pPr>
              <w:spacing w:after="0" w:line="240" w:lineRule="auto"/>
              <w:jc w:val="center"/>
              <w:rPr>
                <w:rFonts w:ascii="Arial" w:eastAsia="Times New Roman" w:hAnsi="Arial" w:cs="Arial"/>
                <w:sz w:val="36"/>
                <w:szCs w:val="36"/>
                <w:lang w:eastAsia="en-ZA"/>
              </w:rPr>
            </w:pPr>
            <w:r w:rsidRPr="002A3F1B">
              <w:rPr>
                <w:rFonts w:eastAsiaTheme="minorEastAsia" w:hAnsi="Tahoma"/>
                <w:b/>
                <w:bCs/>
                <w:color w:val="FFFFFF" w:themeColor="light1"/>
                <w:kern w:val="24"/>
                <w:sz w:val="28"/>
                <w:szCs w:val="28"/>
                <w:lang w:val="en-US" w:eastAsia="en-ZA"/>
              </w:rPr>
              <w:t>Q2 Actual</w:t>
            </w:r>
          </w:p>
        </w:tc>
        <w:tc>
          <w:tcPr>
            <w:tcW w:w="1559" w:type="dxa"/>
            <w:tcBorders>
              <w:top w:val="single" w:sz="18" w:space="0" w:color="000000"/>
              <w:left w:val="nil"/>
              <w:bottom w:val="single" w:sz="18" w:space="0" w:color="000000"/>
              <w:right w:val="nil"/>
            </w:tcBorders>
            <w:shd w:val="clear" w:color="auto" w:fill="7DBA00"/>
            <w:tcMar>
              <w:top w:w="54" w:type="dxa"/>
              <w:left w:w="108" w:type="dxa"/>
              <w:bottom w:w="54" w:type="dxa"/>
              <w:right w:w="108" w:type="dxa"/>
            </w:tcMar>
            <w:hideMark/>
          </w:tcPr>
          <w:p w14:paraId="5AA93F3F" w14:textId="77777777" w:rsidR="002A3F1B" w:rsidRPr="002A3F1B" w:rsidRDefault="002A3F1B" w:rsidP="002A3F1B">
            <w:pPr>
              <w:spacing w:after="0" w:line="240" w:lineRule="auto"/>
              <w:jc w:val="center"/>
              <w:rPr>
                <w:rFonts w:ascii="Arial" w:eastAsia="Times New Roman" w:hAnsi="Arial" w:cs="Arial"/>
                <w:sz w:val="36"/>
                <w:szCs w:val="36"/>
                <w:lang w:eastAsia="en-ZA"/>
              </w:rPr>
            </w:pPr>
            <w:r w:rsidRPr="002A3F1B">
              <w:rPr>
                <w:rFonts w:eastAsiaTheme="minorEastAsia" w:hAnsi="Tahoma"/>
                <w:b/>
                <w:bCs/>
                <w:color w:val="FFFFFF" w:themeColor="light1"/>
                <w:kern w:val="24"/>
                <w:sz w:val="28"/>
                <w:szCs w:val="28"/>
                <w:lang w:val="en-US" w:eastAsia="en-ZA"/>
              </w:rPr>
              <w:t>Percentage</w:t>
            </w:r>
          </w:p>
        </w:tc>
      </w:tr>
      <w:tr w:rsidR="002A3F1B" w:rsidRPr="002A3F1B" w14:paraId="7C65C8CD" w14:textId="77777777" w:rsidTr="002A3F1B">
        <w:trPr>
          <w:trHeight w:val="682"/>
        </w:trPr>
        <w:tc>
          <w:tcPr>
            <w:tcW w:w="2410" w:type="dxa"/>
            <w:tcBorders>
              <w:top w:val="single" w:sz="18" w:space="0" w:color="000000"/>
              <w:left w:val="nil"/>
              <w:bottom w:val="nil"/>
              <w:right w:val="nil"/>
            </w:tcBorders>
            <w:shd w:val="clear" w:color="auto" w:fill="E7E7E7"/>
            <w:tcMar>
              <w:top w:w="54" w:type="dxa"/>
              <w:left w:w="108" w:type="dxa"/>
              <w:bottom w:w="54" w:type="dxa"/>
              <w:right w:w="108" w:type="dxa"/>
            </w:tcMar>
            <w:vAlign w:val="center"/>
            <w:hideMark/>
          </w:tcPr>
          <w:p w14:paraId="67A56795"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Economic Participation</w:t>
            </w:r>
          </w:p>
        </w:tc>
        <w:tc>
          <w:tcPr>
            <w:tcW w:w="1843" w:type="dxa"/>
            <w:tcBorders>
              <w:top w:val="single" w:sz="18" w:space="0" w:color="000000"/>
              <w:left w:val="nil"/>
              <w:bottom w:val="nil"/>
              <w:right w:val="nil"/>
            </w:tcBorders>
            <w:shd w:val="clear" w:color="auto" w:fill="E7E7E7"/>
            <w:tcMar>
              <w:top w:w="10" w:type="dxa"/>
              <w:left w:w="10" w:type="dxa"/>
              <w:bottom w:w="0" w:type="dxa"/>
              <w:right w:w="10" w:type="dxa"/>
            </w:tcMar>
            <w:vAlign w:val="center"/>
            <w:hideMark/>
          </w:tcPr>
          <w:p w14:paraId="4F83A09C"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31,112,304</w:t>
            </w:r>
          </w:p>
        </w:tc>
        <w:tc>
          <w:tcPr>
            <w:tcW w:w="2126" w:type="dxa"/>
            <w:tcBorders>
              <w:top w:val="single" w:sz="18" w:space="0" w:color="000000"/>
              <w:left w:val="nil"/>
              <w:bottom w:val="nil"/>
              <w:right w:val="nil"/>
            </w:tcBorders>
            <w:shd w:val="clear" w:color="auto" w:fill="E7E7E7"/>
            <w:tcMar>
              <w:top w:w="10" w:type="dxa"/>
              <w:left w:w="10" w:type="dxa"/>
              <w:bottom w:w="0" w:type="dxa"/>
              <w:right w:w="10" w:type="dxa"/>
            </w:tcMar>
            <w:vAlign w:val="center"/>
            <w:hideMark/>
          </w:tcPr>
          <w:p w14:paraId="07B56694"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68,777,015</w:t>
            </w:r>
          </w:p>
        </w:tc>
        <w:tc>
          <w:tcPr>
            <w:tcW w:w="1701" w:type="dxa"/>
            <w:tcBorders>
              <w:top w:val="single" w:sz="18" w:space="0" w:color="000000"/>
              <w:left w:val="nil"/>
              <w:bottom w:val="nil"/>
              <w:right w:val="nil"/>
            </w:tcBorders>
            <w:shd w:val="clear" w:color="auto" w:fill="E7E7E7"/>
            <w:tcMar>
              <w:top w:w="10" w:type="dxa"/>
              <w:left w:w="10" w:type="dxa"/>
              <w:bottom w:w="0" w:type="dxa"/>
              <w:right w:w="10" w:type="dxa"/>
            </w:tcMar>
            <w:vAlign w:val="center"/>
            <w:hideMark/>
          </w:tcPr>
          <w:p w14:paraId="552CF070"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30,226,562</w:t>
            </w:r>
          </w:p>
        </w:tc>
        <w:tc>
          <w:tcPr>
            <w:tcW w:w="1559" w:type="dxa"/>
            <w:tcBorders>
              <w:top w:val="single" w:sz="18" w:space="0" w:color="000000"/>
              <w:left w:val="nil"/>
              <w:bottom w:val="nil"/>
              <w:right w:val="nil"/>
            </w:tcBorders>
            <w:shd w:val="clear" w:color="auto" w:fill="E7E7E7"/>
            <w:tcMar>
              <w:top w:w="10" w:type="dxa"/>
              <w:left w:w="10" w:type="dxa"/>
              <w:bottom w:w="0" w:type="dxa"/>
              <w:right w:w="10" w:type="dxa"/>
            </w:tcMar>
            <w:vAlign w:val="center"/>
            <w:hideMark/>
          </w:tcPr>
          <w:p w14:paraId="3810ED20"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97%</w:t>
            </w:r>
          </w:p>
        </w:tc>
      </w:tr>
      <w:tr w:rsidR="002A3F1B" w:rsidRPr="002A3F1B" w14:paraId="7A12BAF6" w14:textId="77777777" w:rsidTr="002A3F1B">
        <w:trPr>
          <w:trHeight w:val="965"/>
        </w:trPr>
        <w:tc>
          <w:tcPr>
            <w:tcW w:w="2410" w:type="dxa"/>
            <w:tcBorders>
              <w:top w:val="nil"/>
              <w:left w:val="nil"/>
              <w:bottom w:val="nil"/>
              <w:right w:val="nil"/>
            </w:tcBorders>
            <w:shd w:val="clear" w:color="auto" w:fill="auto"/>
            <w:tcMar>
              <w:top w:w="54" w:type="dxa"/>
              <w:left w:w="108" w:type="dxa"/>
              <w:bottom w:w="54" w:type="dxa"/>
              <w:right w:w="108" w:type="dxa"/>
            </w:tcMar>
            <w:vAlign w:val="center"/>
            <w:hideMark/>
          </w:tcPr>
          <w:p w14:paraId="67D55B0E"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Education and skills development</w:t>
            </w:r>
          </w:p>
        </w:tc>
        <w:tc>
          <w:tcPr>
            <w:tcW w:w="1843" w:type="dxa"/>
            <w:tcBorders>
              <w:top w:val="nil"/>
              <w:left w:val="nil"/>
              <w:bottom w:val="nil"/>
              <w:right w:val="nil"/>
            </w:tcBorders>
            <w:shd w:val="clear" w:color="auto" w:fill="auto"/>
            <w:tcMar>
              <w:top w:w="10" w:type="dxa"/>
              <w:left w:w="10" w:type="dxa"/>
              <w:bottom w:w="0" w:type="dxa"/>
              <w:right w:w="10" w:type="dxa"/>
            </w:tcMar>
            <w:vAlign w:val="center"/>
            <w:hideMark/>
          </w:tcPr>
          <w:p w14:paraId="7F130837"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34,917,530</w:t>
            </w:r>
          </w:p>
        </w:tc>
        <w:tc>
          <w:tcPr>
            <w:tcW w:w="2126" w:type="dxa"/>
            <w:tcBorders>
              <w:top w:val="nil"/>
              <w:left w:val="nil"/>
              <w:bottom w:val="nil"/>
              <w:right w:val="nil"/>
            </w:tcBorders>
            <w:shd w:val="clear" w:color="auto" w:fill="auto"/>
            <w:tcMar>
              <w:top w:w="10" w:type="dxa"/>
              <w:left w:w="10" w:type="dxa"/>
              <w:bottom w:w="0" w:type="dxa"/>
              <w:right w:w="10" w:type="dxa"/>
            </w:tcMar>
            <w:vAlign w:val="center"/>
            <w:hideMark/>
          </w:tcPr>
          <w:p w14:paraId="182F27E9"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72,853,169</w:t>
            </w:r>
          </w:p>
        </w:tc>
        <w:tc>
          <w:tcPr>
            <w:tcW w:w="1701" w:type="dxa"/>
            <w:tcBorders>
              <w:top w:val="nil"/>
              <w:left w:val="nil"/>
              <w:bottom w:val="nil"/>
              <w:right w:val="nil"/>
            </w:tcBorders>
            <w:shd w:val="clear" w:color="auto" w:fill="auto"/>
            <w:tcMar>
              <w:top w:w="10" w:type="dxa"/>
              <w:left w:w="10" w:type="dxa"/>
              <w:bottom w:w="0" w:type="dxa"/>
              <w:right w:w="10" w:type="dxa"/>
            </w:tcMar>
            <w:vAlign w:val="center"/>
            <w:hideMark/>
          </w:tcPr>
          <w:p w14:paraId="641AC7EB"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28,779,703</w:t>
            </w:r>
          </w:p>
        </w:tc>
        <w:tc>
          <w:tcPr>
            <w:tcW w:w="1559" w:type="dxa"/>
            <w:tcBorders>
              <w:top w:val="nil"/>
              <w:left w:val="nil"/>
              <w:bottom w:val="nil"/>
              <w:right w:val="nil"/>
            </w:tcBorders>
            <w:shd w:val="clear" w:color="auto" w:fill="auto"/>
            <w:tcMar>
              <w:top w:w="10" w:type="dxa"/>
              <w:left w:w="10" w:type="dxa"/>
              <w:bottom w:w="0" w:type="dxa"/>
              <w:right w:w="10" w:type="dxa"/>
            </w:tcMar>
            <w:vAlign w:val="center"/>
            <w:hideMark/>
          </w:tcPr>
          <w:p w14:paraId="72747E00"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82%</w:t>
            </w:r>
          </w:p>
        </w:tc>
      </w:tr>
      <w:tr w:rsidR="002A3F1B" w:rsidRPr="002A3F1B" w14:paraId="7295266E" w14:textId="77777777" w:rsidTr="002A3F1B">
        <w:trPr>
          <w:trHeight w:val="682"/>
        </w:trPr>
        <w:tc>
          <w:tcPr>
            <w:tcW w:w="2410" w:type="dxa"/>
            <w:tcBorders>
              <w:top w:val="nil"/>
              <w:left w:val="nil"/>
              <w:bottom w:val="nil"/>
              <w:right w:val="nil"/>
            </w:tcBorders>
            <w:shd w:val="clear" w:color="auto" w:fill="E7E7E7"/>
            <w:tcMar>
              <w:top w:w="54" w:type="dxa"/>
              <w:left w:w="108" w:type="dxa"/>
              <w:bottom w:w="54" w:type="dxa"/>
              <w:right w:w="108" w:type="dxa"/>
            </w:tcMar>
            <w:vAlign w:val="center"/>
            <w:hideMark/>
          </w:tcPr>
          <w:p w14:paraId="3B9B5E09"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National Youth Service</w:t>
            </w:r>
          </w:p>
        </w:tc>
        <w:tc>
          <w:tcPr>
            <w:tcW w:w="1843" w:type="dxa"/>
            <w:tcBorders>
              <w:top w:val="nil"/>
              <w:left w:val="nil"/>
              <w:bottom w:val="nil"/>
              <w:right w:val="nil"/>
            </w:tcBorders>
            <w:shd w:val="clear" w:color="auto" w:fill="E7E7E7"/>
            <w:tcMar>
              <w:top w:w="10" w:type="dxa"/>
              <w:left w:w="10" w:type="dxa"/>
              <w:bottom w:w="0" w:type="dxa"/>
              <w:right w:w="10" w:type="dxa"/>
            </w:tcMar>
            <w:vAlign w:val="center"/>
            <w:hideMark/>
          </w:tcPr>
          <w:p w14:paraId="5273640C"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17,640,520</w:t>
            </w:r>
          </w:p>
        </w:tc>
        <w:tc>
          <w:tcPr>
            <w:tcW w:w="2126" w:type="dxa"/>
            <w:tcBorders>
              <w:top w:val="nil"/>
              <w:left w:val="nil"/>
              <w:bottom w:val="nil"/>
              <w:right w:val="nil"/>
            </w:tcBorders>
            <w:shd w:val="clear" w:color="auto" w:fill="E7E7E7"/>
            <w:tcMar>
              <w:top w:w="10" w:type="dxa"/>
              <w:left w:w="10" w:type="dxa"/>
              <w:bottom w:w="0" w:type="dxa"/>
              <w:right w:w="10" w:type="dxa"/>
            </w:tcMar>
            <w:vAlign w:val="center"/>
            <w:hideMark/>
          </w:tcPr>
          <w:p w14:paraId="2FD205F7"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40,043,329</w:t>
            </w:r>
          </w:p>
        </w:tc>
        <w:tc>
          <w:tcPr>
            <w:tcW w:w="1701" w:type="dxa"/>
            <w:tcBorders>
              <w:top w:val="nil"/>
              <w:left w:val="nil"/>
              <w:bottom w:val="nil"/>
              <w:right w:val="nil"/>
            </w:tcBorders>
            <w:shd w:val="clear" w:color="auto" w:fill="E7E7E7"/>
            <w:tcMar>
              <w:top w:w="10" w:type="dxa"/>
              <w:left w:w="10" w:type="dxa"/>
              <w:bottom w:w="0" w:type="dxa"/>
              <w:right w:w="10" w:type="dxa"/>
            </w:tcMar>
            <w:vAlign w:val="center"/>
            <w:hideMark/>
          </w:tcPr>
          <w:p w14:paraId="273B93E6"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15,226,334</w:t>
            </w:r>
          </w:p>
        </w:tc>
        <w:tc>
          <w:tcPr>
            <w:tcW w:w="1559" w:type="dxa"/>
            <w:tcBorders>
              <w:top w:val="nil"/>
              <w:left w:val="nil"/>
              <w:bottom w:val="nil"/>
              <w:right w:val="nil"/>
            </w:tcBorders>
            <w:shd w:val="clear" w:color="auto" w:fill="E7E7E7"/>
            <w:tcMar>
              <w:top w:w="10" w:type="dxa"/>
              <w:left w:w="10" w:type="dxa"/>
              <w:bottom w:w="0" w:type="dxa"/>
              <w:right w:w="10" w:type="dxa"/>
            </w:tcMar>
            <w:vAlign w:val="center"/>
            <w:hideMark/>
          </w:tcPr>
          <w:p w14:paraId="33A596C1"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86%</w:t>
            </w:r>
          </w:p>
        </w:tc>
      </w:tr>
      <w:tr w:rsidR="002A3F1B" w:rsidRPr="002A3F1B" w14:paraId="73712E37" w14:textId="77777777" w:rsidTr="002A3F1B">
        <w:trPr>
          <w:trHeight w:val="965"/>
        </w:trPr>
        <w:tc>
          <w:tcPr>
            <w:tcW w:w="2410" w:type="dxa"/>
            <w:tcBorders>
              <w:top w:val="nil"/>
              <w:left w:val="nil"/>
              <w:bottom w:val="nil"/>
              <w:right w:val="nil"/>
            </w:tcBorders>
            <w:shd w:val="clear" w:color="auto" w:fill="auto"/>
            <w:tcMar>
              <w:top w:w="54" w:type="dxa"/>
              <w:left w:w="108" w:type="dxa"/>
              <w:bottom w:w="54" w:type="dxa"/>
              <w:right w:w="108" w:type="dxa"/>
            </w:tcMar>
            <w:vAlign w:val="center"/>
            <w:hideMark/>
          </w:tcPr>
          <w:p w14:paraId="5EF02C44"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Service Delivery Channel</w:t>
            </w:r>
          </w:p>
        </w:tc>
        <w:tc>
          <w:tcPr>
            <w:tcW w:w="1843" w:type="dxa"/>
            <w:tcBorders>
              <w:top w:val="nil"/>
              <w:left w:val="nil"/>
              <w:bottom w:val="nil"/>
              <w:right w:val="nil"/>
            </w:tcBorders>
            <w:shd w:val="clear" w:color="auto" w:fill="auto"/>
            <w:tcMar>
              <w:top w:w="10" w:type="dxa"/>
              <w:left w:w="10" w:type="dxa"/>
              <w:bottom w:w="0" w:type="dxa"/>
              <w:right w:w="10" w:type="dxa"/>
            </w:tcMar>
            <w:vAlign w:val="center"/>
            <w:hideMark/>
          </w:tcPr>
          <w:p w14:paraId="3EDF1288"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16,640,380</w:t>
            </w:r>
          </w:p>
        </w:tc>
        <w:tc>
          <w:tcPr>
            <w:tcW w:w="2126" w:type="dxa"/>
            <w:tcBorders>
              <w:top w:val="nil"/>
              <w:left w:val="nil"/>
              <w:bottom w:val="nil"/>
              <w:right w:val="nil"/>
            </w:tcBorders>
            <w:shd w:val="clear" w:color="auto" w:fill="auto"/>
            <w:tcMar>
              <w:top w:w="10" w:type="dxa"/>
              <w:left w:w="10" w:type="dxa"/>
              <w:bottom w:w="0" w:type="dxa"/>
              <w:right w:w="10" w:type="dxa"/>
            </w:tcMar>
            <w:vAlign w:val="center"/>
            <w:hideMark/>
          </w:tcPr>
          <w:p w14:paraId="0ED6BF7B"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34,140,983</w:t>
            </w:r>
          </w:p>
        </w:tc>
        <w:tc>
          <w:tcPr>
            <w:tcW w:w="1701" w:type="dxa"/>
            <w:tcBorders>
              <w:top w:val="nil"/>
              <w:left w:val="nil"/>
              <w:bottom w:val="nil"/>
              <w:right w:val="nil"/>
            </w:tcBorders>
            <w:shd w:val="clear" w:color="auto" w:fill="auto"/>
            <w:tcMar>
              <w:top w:w="10" w:type="dxa"/>
              <w:left w:w="10" w:type="dxa"/>
              <w:bottom w:w="0" w:type="dxa"/>
              <w:right w:w="10" w:type="dxa"/>
            </w:tcMar>
            <w:vAlign w:val="center"/>
            <w:hideMark/>
          </w:tcPr>
          <w:p w14:paraId="5F7C7D84"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15,583,783</w:t>
            </w:r>
          </w:p>
        </w:tc>
        <w:tc>
          <w:tcPr>
            <w:tcW w:w="1559" w:type="dxa"/>
            <w:tcBorders>
              <w:top w:val="nil"/>
              <w:left w:val="nil"/>
              <w:bottom w:val="nil"/>
              <w:right w:val="nil"/>
            </w:tcBorders>
            <w:shd w:val="clear" w:color="auto" w:fill="auto"/>
            <w:tcMar>
              <w:top w:w="10" w:type="dxa"/>
              <w:left w:w="10" w:type="dxa"/>
              <w:bottom w:w="0" w:type="dxa"/>
              <w:right w:w="10" w:type="dxa"/>
            </w:tcMar>
            <w:vAlign w:val="center"/>
            <w:hideMark/>
          </w:tcPr>
          <w:p w14:paraId="45E814C2"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94%</w:t>
            </w:r>
          </w:p>
        </w:tc>
      </w:tr>
      <w:tr w:rsidR="002A3F1B" w:rsidRPr="002A3F1B" w14:paraId="26343A92" w14:textId="77777777" w:rsidTr="002A3F1B">
        <w:trPr>
          <w:trHeight w:val="682"/>
        </w:trPr>
        <w:tc>
          <w:tcPr>
            <w:tcW w:w="2410" w:type="dxa"/>
            <w:tcBorders>
              <w:top w:val="nil"/>
              <w:left w:val="nil"/>
              <w:bottom w:val="nil"/>
              <w:right w:val="nil"/>
            </w:tcBorders>
            <w:shd w:val="clear" w:color="auto" w:fill="E7E7E7"/>
            <w:tcMar>
              <w:top w:w="54" w:type="dxa"/>
              <w:left w:w="108" w:type="dxa"/>
              <w:bottom w:w="54" w:type="dxa"/>
              <w:right w:w="108" w:type="dxa"/>
            </w:tcMar>
            <w:vAlign w:val="center"/>
            <w:hideMark/>
          </w:tcPr>
          <w:p w14:paraId="5806E8B8"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Research and Policy</w:t>
            </w:r>
          </w:p>
        </w:tc>
        <w:tc>
          <w:tcPr>
            <w:tcW w:w="1843" w:type="dxa"/>
            <w:tcBorders>
              <w:top w:val="nil"/>
              <w:left w:val="nil"/>
              <w:bottom w:val="nil"/>
              <w:right w:val="nil"/>
            </w:tcBorders>
            <w:shd w:val="clear" w:color="auto" w:fill="E7E7E7"/>
            <w:tcMar>
              <w:top w:w="10" w:type="dxa"/>
              <w:left w:w="10" w:type="dxa"/>
              <w:bottom w:w="0" w:type="dxa"/>
              <w:right w:w="10" w:type="dxa"/>
            </w:tcMar>
            <w:vAlign w:val="center"/>
            <w:hideMark/>
          </w:tcPr>
          <w:p w14:paraId="1C1AB4AF"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2,113,970</w:t>
            </w:r>
          </w:p>
        </w:tc>
        <w:tc>
          <w:tcPr>
            <w:tcW w:w="2126" w:type="dxa"/>
            <w:tcBorders>
              <w:top w:val="nil"/>
              <w:left w:val="nil"/>
              <w:bottom w:val="nil"/>
              <w:right w:val="nil"/>
            </w:tcBorders>
            <w:shd w:val="clear" w:color="auto" w:fill="E7E7E7"/>
            <w:tcMar>
              <w:top w:w="10" w:type="dxa"/>
              <w:left w:w="10" w:type="dxa"/>
              <w:bottom w:w="0" w:type="dxa"/>
              <w:right w:w="10" w:type="dxa"/>
            </w:tcMar>
            <w:vAlign w:val="center"/>
            <w:hideMark/>
          </w:tcPr>
          <w:p w14:paraId="47926F3F"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9,726,600</w:t>
            </w:r>
          </w:p>
        </w:tc>
        <w:tc>
          <w:tcPr>
            <w:tcW w:w="1701" w:type="dxa"/>
            <w:tcBorders>
              <w:top w:val="nil"/>
              <w:left w:val="nil"/>
              <w:bottom w:val="nil"/>
              <w:right w:val="nil"/>
            </w:tcBorders>
            <w:shd w:val="clear" w:color="auto" w:fill="E7E7E7"/>
            <w:tcMar>
              <w:top w:w="10" w:type="dxa"/>
              <w:left w:w="10" w:type="dxa"/>
              <w:bottom w:w="0" w:type="dxa"/>
              <w:right w:w="10" w:type="dxa"/>
            </w:tcMar>
            <w:vAlign w:val="center"/>
            <w:hideMark/>
          </w:tcPr>
          <w:p w14:paraId="57C29D46"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2,103,688</w:t>
            </w:r>
          </w:p>
        </w:tc>
        <w:tc>
          <w:tcPr>
            <w:tcW w:w="1559" w:type="dxa"/>
            <w:tcBorders>
              <w:top w:val="nil"/>
              <w:left w:val="nil"/>
              <w:bottom w:val="nil"/>
              <w:right w:val="nil"/>
            </w:tcBorders>
            <w:shd w:val="clear" w:color="auto" w:fill="E7E7E7"/>
            <w:tcMar>
              <w:top w:w="10" w:type="dxa"/>
              <w:left w:w="10" w:type="dxa"/>
              <w:bottom w:w="0" w:type="dxa"/>
              <w:right w:w="10" w:type="dxa"/>
            </w:tcMar>
            <w:vAlign w:val="center"/>
            <w:hideMark/>
          </w:tcPr>
          <w:p w14:paraId="60187B04"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100%</w:t>
            </w:r>
          </w:p>
        </w:tc>
      </w:tr>
      <w:tr w:rsidR="002A3F1B" w:rsidRPr="002A3F1B" w14:paraId="1E01839E" w14:textId="77777777" w:rsidTr="002A3F1B">
        <w:trPr>
          <w:trHeight w:val="965"/>
        </w:trPr>
        <w:tc>
          <w:tcPr>
            <w:tcW w:w="2410" w:type="dxa"/>
            <w:tcBorders>
              <w:top w:val="nil"/>
              <w:left w:val="nil"/>
              <w:bottom w:val="nil"/>
              <w:right w:val="nil"/>
            </w:tcBorders>
            <w:shd w:val="clear" w:color="auto" w:fill="auto"/>
            <w:tcMar>
              <w:top w:w="54" w:type="dxa"/>
              <w:left w:w="108" w:type="dxa"/>
              <w:bottom w:w="54" w:type="dxa"/>
              <w:right w:w="108" w:type="dxa"/>
            </w:tcMar>
            <w:vAlign w:val="center"/>
            <w:hideMark/>
          </w:tcPr>
          <w:p w14:paraId="3CB7BF04"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Administration</w:t>
            </w:r>
          </w:p>
        </w:tc>
        <w:tc>
          <w:tcPr>
            <w:tcW w:w="1843" w:type="dxa"/>
            <w:tcBorders>
              <w:top w:val="nil"/>
              <w:left w:val="nil"/>
              <w:bottom w:val="nil"/>
              <w:right w:val="nil"/>
            </w:tcBorders>
            <w:shd w:val="clear" w:color="auto" w:fill="auto"/>
            <w:tcMar>
              <w:top w:w="10" w:type="dxa"/>
              <w:left w:w="10" w:type="dxa"/>
              <w:bottom w:w="0" w:type="dxa"/>
              <w:right w:w="10" w:type="dxa"/>
            </w:tcMar>
            <w:vAlign w:val="center"/>
            <w:hideMark/>
          </w:tcPr>
          <w:p w14:paraId="7027DD55"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37,501,302</w:t>
            </w:r>
          </w:p>
        </w:tc>
        <w:tc>
          <w:tcPr>
            <w:tcW w:w="2126" w:type="dxa"/>
            <w:tcBorders>
              <w:top w:val="nil"/>
              <w:left w:val="nil"/>
              <w:bottom w:val="nil"/>
              <w:right w:val="nil"/>
            </w:tcBorders>
            <w:shd w:val="clear" w:color="auto" w:fill="auto"/>
            <w:tcMar>
              <w:top w:w="10" w:type="dxa"/>
              <w:left w:w="10" w:type="dxa"/>
              <w:bottom w:w="0" w:type="dxa"/>
              <w:right w:w="10" w:type="dxa"/>
            </w:tcMar>
            <w:vAlign w:val="center"/>
            <w:hideMark/>
          </w:tcPr>
          <w:p w14:paraId="446300C3"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79,852,400</w:t>
            </w:r>
          </w:p>
        </w:tc>
        <w:tc>
          <w:tcPr>
            <w:tcW w:w="1701" w:type="dxa"/>
            <w:tcBorders>
              <w:top w:val="nil"/>
              <w:left w:val="nil"/>
              <w:bottom w:val="nil"/>
              <w:right w:val="nil"/>
            </w:tcBorders>
            <w:shd w:val="clear" w:color="auto" w:fill="auto"/>
            <w:tcMar>
              <w:top w:w="10" w:type="dxa"/>
              <w:left w:w="10" w:type="dxa"/>
              <w:bottom w:w="0" w:type="dxa"/>
              <w:right w:w="10" w:type="dxa"/>
            </w:tcMar>
            <w:vAlign w:val="center"/>
            <w:hideMark/>
          </w:tcPr>
          <w:p w14:paraId="25210E7C"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36,567,783</w:t>
            </w:r>
          </w:p>
        </w:tc>
        <w:tc>
          <w:tcPr>
            <w:tcW w:w="1559" w:type="dxa"/>
            <w:tcBorders>
              <w:top w:val="nil"/>
              <w:left w:val="nil"/>
              <w:bottom w:val="nil"/>
              <w:right w:val="nil"/>
            </w:tcBorders>
            <w:shd w:val="clear" w:color="auto" w:fill="auto"/>
            <w:tcMar>
              <w:top w:w="10" w:type="dxa"/>
              <w:left w:w="10" w:type="dxa"/>
              <w:bottom w:w="0" w:type="dxa"/>
              <w:right w:w="10" w:type="dxa"/>
            </w:tcMar>
            <w:vAlign w:val="center"/>
            <w:hideMark/>
          </w:tcPr>
          <w:p w14:paraId="00357621"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98%</w:t>
            </w:r>
          </w:p>
        </w:tc>
      </w:tr>
      <w:tr w:rsidR="002A3F1B" w:rsidRPr="002A3F1B" w14:paraId="64679605" w14:textId="77777777" w:rsidTr="002A3F1B">
        <w:trPr>
          <w:trHeight w:val="965"/>
        </w:trPr>
        <w:tc>
          <w:tcPr>
            <w:tcW w:w="2410" w:type="dxa"/>
            <w:tcBorders>
              <w:top w:val="nil"/>
              <w:left w:val="nil"/>
              <w:bottom w:val="nil"/>
              <w:right w:val="nil"/>
            </w:tcBorders>
            <w:shd w:val="clear" w:color="auto" w:fill="E7E7E7"/>
            <w:tcMar>
              <w:top w:w="54" w:type="dxa"/>
              <w:left w:w="108" w:type="dxa"/>
              <w:bottom w:w="54" w:type="dxa"/>
              <w:right w:w="108" w:type="dxa"/>
            </w:tcMar>
            <w:vAlign w:val="center"/>
            <w:hideMark/>
          </w:tcPr>
          <w:p w14:paraId="3B22FDA5"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Employee costs</w:t>
            </w:r>
          </w:p>
        </w:tc>
        <w:tc>
          <w:tcPr>
            <w:tcW w:w="1843" w:type="dxa"/>
            <w:tcBorders>
              <w:top w:val="nil"/>
              <w:left w:val="nil"/>
              <w:bottom w:val="nil"/>
              <w:right w:val="nil"/>
            </w:tcBorders>
            <w:shd w:val="clear" w:color="auto" w:fill="E7E7E7"/>
            <w:tcMar>
              <w:top w:w="10" w:type="dxa"/>
              <w:left w:w="10" w:type="dxa"/>
              <w:bottom w:w="0" w:type="dxa"/>
              <w:right w:w="10" w:type="dxa"/>
            </w:tcMar>
            <w:vAlign w:val="center"/>
            <w:hideMark/>
          </w:tcPr>
          <w:p w14:paraId="4869827A"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81,598,874</w:t>
            </w:r>
          </w:p>
        </w:tc>
        <w:tc>
          <w:tcPr>
            <w:tcW w:w="2126" w:type="dxa"/>
            <w:tcBorders>
              <w:top w:val="nil"/>
              <w:left w:val="nil"/>
              <w:bottom w:val="nil"/>
              <w:right w:val="nil"/>
            </w:tcBorders>
            <w:shd w:val="clear" w:color="auto" w:fill="E7E7E7"/>
            <w:tcMar>
              <w:top w:w="10" w:type="dxa"/>
              <w:left w:w="10" w:type="dxa"/>
              <w:bottom w:w="0" w:type="dxa"/>
              <w:right w:w="10" w:type="dxa"/>
            </w:tcMar>
            <w:vAlign w:val="center"/>
            <w:hideMark/>
          </w:tcPr>
          <w:p w14:paraId="12BF4C81"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152,461,700</w:t>
            </w:r>
          </w:p>
        </w:tc>
        <w:tc>
          <w:tcPr>
            <w:tcW w:w="1701" w:type="dxa"/>
            <w:tcBorders>
              <w:top w:val="nil"/>
              <w:left w:val="nil"/>
              <w:bottom w:val="nil"/>
              <w:right w:val="nil"/>
            </w:tcBorders>
            <w:shd w:val="clear" w:color="auto" w:fill="E7E7E7"/>
            <w:tcMar>
              <w:top w:w="10" w:type="dxa"/>
              <w:left w:w="10" w:type="dxa"/>
              <w:bottom w:w="0" w:type="dxa"/>
              <w:right w:w="10" w:type="dxa"/>
            </w:tcMar>
            <w:vAlign w:val="center"/>
            <w:hideMark/>
          </w:tcPr>
          <w:p w14:paraId="4FE69D98"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R 81,672,736</w:t>
            </w:r>
          </w:p>
        </w:tc>
        <w:tc>
          <w:tcPr>
            <w:tcW w:w="1559" w:type="dxa"/>
            <w:tcBorders>
              <w:top w:val="nil"/>
              <w:left w:val="nil"/>
              <w:bottom w:val="nil"/>
              <w:right w:val="nil"/>
            </w:tcBorders>
            <w:shd w:val="clear" w:color="auto" w:fill="E7E7E7"/>
            <w:tcMar>
              <w:top w:w="10" w:type="dxa"/>
              <w:left w:w="10" w:type="dxa"/>
              <w:bottom w:w="0" w:type="dxa"/>
              <w:right w:w="10" w:type="dxa"/>
            </w:tcMar>
            <w:vAlign w:val="center"/>
            <w:hideMark/>
          </w:tcPr>
          <w:p w14:paraId="5D38BAEA"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color w:val="000000"/>
                <w:kern w:val="24"/>
                <w:sz w:val="28"/>
                <w:szCs w:val="28"/>
                <w:lang w:val="en-US" w:eastAsia="en-ZA"/>
              </w:rPr>
              <w:t>100%</w:t>
            </w:r>
          </w:p>
        </w:tc>
      </w:tr>
      <w:tr w:rsidR="002A3F1B" w:rsidRPr="002A3F1B" w14:paraId="66A40D89" w14:textId="77777777" w:rsidTr="002A3F1B">
        <w:trPr>
          <w:trHeight w:val="682"/>
        </w:trPr>
        <w:tc>
          <w:tcPr>
            <w:tcW w:w="2410" w:type="dxa"/>
            <w:tcBorders>
              <w:top w:val="nil"/>
              <w:left w:val="nil"/>
              <w:bottom w:val="single" w:sz="18" w:space="0" w:color="000000"/>
              <w:right w:val="nil"/>
            </w:tcBorders>
            <w:shd w:val="clear" w:color="auto" w:fill="auto"/>
            <w:tcMar>
              <w:top w:w="54" w:type="dxa"/>
              <w:left w:w="108" w:type="dxa"/>
              <w:bottom w:w="54" w:type="dxa"/>
              <w:right w:w="108" w:type="dxa"/>
            </w:tcMar>
            <w:hideMark/>
          </w:tcPr>
          <w:p w14:paraId="74F3370C" w14:textId="77777777" w:rsidR="002A3F1B" w:rsidRPr="002A3F1B" w:rsidRDefault="002A3F1B" w:rsidP="002A3F1B">
            <w:pPr>
              <w:spacing w:after="0" w:line="240" w:lineRule="auto"/>
              <w:rPr>
                <w:rFonts w:ascii="Arial" w:eastAsia="Times New Roman" w:hAnsi="Arial" w:cs="Arial"/>
                <w:sz w:val="36"/>
                <w:szCs w:val="36"/>
                <w:lang w:eastAsia="en-ZA"/>
              </w:rPr>
            </w:pPr>
            <w:r w:rsidRPr="002A3F1B">
              <w:rPr>
                <w:rFonts w:eastAsia="Times New Roman" w:hAnsi="Tahoma" w:cs="Tahoma"/>
                <w:color w:val="000000" w:themeColor="dark1"/>
                <w:kern w:val="24"/>
                <w:sz w:val="28"/>
                <w:szCs w:val="28"/>
                <w:lang w:val="en-US" w:eastAsia="en-ZA"/>
              </w:rPr>
              <w:t>Total</w:t>
            </w:r>
          </w:p>
        </w:tc>
        <w:tc>
          <w:tcPr>
            <w:tcW w:w="1843" w:type="dxa"/>
            <w:tcBorders>
              <w:top w:val="nil"/>
              <w:left w:val="nil"/>
              <w:bottom w:val="single" w:sz="18" w:space="0" w:color="000000"/>
              <w:right w:val="nil"/>
            </w:tcBorders>
            <w:shd w:val="clear" w:color="auto" w:fill="auto"/>
            <w:tcMar>
              <w:top w:w="10" w:type="dxa"/>
              <w:left w:w="10" w:type="dxa"/>
              <w:bottom w:w="0" w:type="dxa"/>
              <w:right w:w="10" w:type="dxa"/>
            </w:tcMar>
            <w:vAlign w:val="center"/>
            <w:hideMark/>
          </w:tcPr>
          <w:p w14:paraId="3193C384"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b/>
                <w:bCs/>
                <w:color w:val="000000"/>
                <w:kern w:val="24"/>
                <w:sz w:val="28"/>
                <w:szCs w:val="28"/>
                <w:lang w:val="en-US" w:eastAsia="en-ZA"/>
              </w:rPr>
              <w:t>R 221,524,880</w:t>
            </w:r>
          </w:p>
        </w:tc>
        <w:tc>
          <w:tcPr>
            <w:tcW w:w="2126" w:type="dxa"/>
            <w:tcBorders>
              <w:top w:val="nil"/>
              <w:left w:val="nil"/>
              <w:bottom w:val="single" w:sz="18" w:space="0" w:color="000000"/>
              <w:right w:val="nil"/>
            </w:tcBorders>
            <w:shd w:val="clear" w:color="auto" w:fill="auto"/>
            <w:tcMar>
              <w:top w:w="10" w:type="dxa"/>
              <w:left w:w="10" w:type="dxa"/>
              <w:bottom w:w="0" w:type="dxa"/>
              <w:right w:w="10" w:type="dxa"/>
            </w:tcMar>
            <w:vAlign w:val="center"/>
            <w:hideMark/>
          </w:tcPr>
          <w:p w14:paraId="0CC0780C"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b/>
                <w:bCs/>
                <w:color w:val="000000"/>
                <w:kern w:val="24"/>
                <w:sz w:val="28"/>
                <w:szCs w:val="28"/>
                <w:lang w:val="en-US" w:eastAsia="en-ZA"/>
              </w:rPr>
              <w:t>R 457,855,196</w:t>
            </w:r>
          </w:p>
        </w:tc>
        <w:tc>
          <w:tcPr>
            <w:tcW w:w="1701" w:type="dxa"/>
            <w:tcBorders>
              <w:top w:val="nil"/>
              <w:left w:val="nil"/>
              <w:bottom w:val="single" w:sz="18" w:space="0" w:color="000000"/>
              <w:right w:val="nil"/>
            </w:tcBorders>
            <w:shd w:val="clear" w:color="auto" w:fill="auto"/>
            <w:tcMar>
              <w:top w:w="10" w:type="dxa"/>
              <w:left w:w="10" w:type="dxa"/>
              <w:bottom w:w="0" w:type="dxa"/>
              <w:right w:w="10" w:type="dxa"/>
            </w:tcMar>
            <w:vAlign w:val="center"/>
            <w:hideMark/>
          </w:tcPr>
          <w:p w14:paraId="4ECA16B6" w14:textId="77777777" w:rsidR="002A3F1B" w:rsidRPr="002A3F1B" w:rsidRDefault="002A3F1B" w:rsidP="002A3F1B">
            <w:pPr>
              <w:spacing w:after="0" w:line="240" w:lineRule="auto"/>
              <w:jc w:val="right"/>
              <w:textAlignment w:val="bottom"/>
              <w:rPr>
                <w:rFonts w:ascii="Arial" w:eastAsia="Times New Roman" w:hAnsi="Arial" w:cs="Arial"/>
                <w:sz w:val="36"/>
                <w:szCs w:val="36"/>
                <w:lang w:eastAsia="en-ZA"/>
              </w:rPr>
            </w:pPr>
            <w:r w:rsidRPr="002A3F1B">
              <w:rPr>
                <w:rFonts w:eastAsia="Times New Roman" w:hAnsi="Tahoma" w:cs="Tahoma"/>
                <w:b/>
                <w:bCs/>
                <w:color w:val="000000"/>
                <w:kern w:val="24"/>
                <w:sz w:val="28"/>
                <w:szCs w:val="28"/>
                <w:lang w:val="en-US" w:eastAsia="en-ZA"/>
              </w:rPr>
              <w:t>R 210,160,589</w:t>
            </w:r>
          </w:p>
        </w:tc>
        <w:tc>
          <w:tcPr>
            <w:tcW w:w="1559" w:type="dxa"/>
            <w:tcBorders>
              <w:top w:val="nil"/>
              <w:left w:val="nil"/>
              <w:bottom w:val="single" w:sz="18" w:space="0" w:color="000000"/>
              <w:right w:val="nil"/>
            </w:tcBorders>
            <w:shd w:val="clear" w:color="auto" w:fill="auto"/>
            <w:tcMar>
              <w:top w:w="10" w:type="dxa"/>
              <w:left w:w="10" w:type="dxa"/>
              <w:bottom w:w="0" w:type="dxa"/>
              <w:right w:w="10" w:type="dxa"/>
            </w:tcMar>
            <w:vAlign w:val="center"/>
            <w:hideMark/>
          </w:tcPr>
          <w:p w14:paraId="39D6205B" w14:textId="77777777" w:rsidR="002A3F1B" w:rsidRPr="002A3F1B" w:rsidRDefault="002A3F1B" w:rsidP="002A3F1B">
            <w:pPr>
              <w:spacing w:after="0" w:line="240" w:lineRule="auto"/>
              <w:jc w:val="center"/>
              <w:textAlignment w:val="bottom"/>
              <w:rPr>
                <w:rFonts w:ascii="Arial" w:eastAsia="Times New Roman" w:hAnsi="Arial" w:cs="Arial"/>
                <w:sz w:val="36"/>
                <w:szCs w:val="36"/>
                <w:lang w:eastAsia="en-ZA"/>
              </w:rPr>
            </w:pPr>
            <w:r w:rsidRPr="002A3F1B">
              <w:rPr>
                <w:rFonts w:eastAsia="Times New Roman" w:hAnsi="Tahoma" w:cs="Tahoma"/>
                <w:b/>
                <w:bCs/>
                <w:color w:val="000000"/>
                <w:kern w:val="24"/>
                <w:sz w:val="28"/>
                <w:szCs w:val="28"/>
                <w:lang w:val="en-US" w:eastAsia="en-ZA"/>
              </w:rPr>
              <w:t>95%</w:t>
            </w:r>
          </w:p>
        </w:tc>
      </w:tr>
    </w:tbl>
    <w:p w14:paraId="3EA82FBD" w14:textId="77777777" w:rsidR="002A3F1B" w:rsidRDefault="002A3F1B" w:rsidP="00BD3A6E">
      <w:pPr>
        <w:spacing w:line="360" w:lineRule="auto"/>
        <w:jc w:val="both"/>
        <w:rPr>
          <w:rFonts w:ascii="Times New Roman" w:hAnsi="Times New Roman" w:cs="Times New Roman"/>
          <w:sz w:val="24"/>
          <w:szCs w:val="24"/>
        </w:rPr>
      </w:pPr>
    </w:p>
    <w:p w14:paraId="553C3FDF" w14:textId="77777777" w:rsidR="003B5994" w:rsidRPr="003D1597" w:rsidRDefault="003B5994" w:rsidP="003B5994">
      <w:pPr>
        <w:pStyle w:val="ListParagraph"/>
        <w:numPr>
          <w:ilvl w:val="0"/>
          <w:numId w:val="5"/>
        </w:numPr>
        <w:spacing w:line="360" w:lineRule="auto"/>
        <w:jc w:val="both"/>
        <w:rPr>
          <w:rFonts w:ascii="Times New Roman" w:hAnsi="Times New Roman" w:cs="Times New Roman"/>
          <w:b/>
          <w:sz w:val="24"/>
          <w:szCs w:val="24"/>
        </w:rPr>
      </w:pPr>
      <w:r w:rsidRPr="003D1597">
        <w:rPr>
          <w:rFonts w:ascii="Times New Roman" w:hAnsi="Times New Roman" w:cs="Times New Roman"/>
          <w:b/>
          <w:sz w:val="24"/>
          <w:szCs w:val="24"/>
        </w:rPr>
        <w:t>Programme 1: Economic Participation</w:t>
      </w:r>
    </w:p>
    <w:p w14:paraId="036B4287" w14:textId="77777777" w:rsidR="003B5994" w:rsidRPr="003D1597" w:rsidRDefault="003B5994" w:rsidP="003B5994">
      <w:pPr>
        <w:spacing w:line="360" w:lineRule="auto"/>
        <w:jc w:val="both"/>
        <w:rPr>
          <w:rFonts w:ascii="Times New Roman" w:hAnsi="Times New Roman" w:cs="Times New Roman"/>
          <w:sz w:val="24"/>
          <w:szCs w:val="24"/>
        </w:rPr>
      </w:pPr>
      <w:r w:rsidRPr="003D1597">
        <w:rPr>
          <w:rFonts w:ascii="Times New Roman" w:hAnsi="Times New Roman" w:cs="Times New Roman"/>
          <w:sz w:val="24"/>
          <w:szCs w:val="24"/>
        </w:rPr>
        <w:t xml:space="preserve">The main goal of the Economic Participation programme is to enhance the participation of young people in the economy through targeted and integrated programmes. This programme aims to facilitate and provide employment opportunities for young people; to enhance their participation in the economy, aimed at increasing job creation, entrepreneurship and skills development and the provision of business support to young people.  </w:t>
      </w:r>
    </w:p>
    <w:p w14:paraId="44E3F9D4" w14:textId="77777777" w:rsidR="00183620" w:rsidRDefault="00777CF1" w:rsidP="003B5994">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Agency</w:t>
      </w:r>
      <w:r w:rsidR="0002197F" w:rsidRPr="000D3D51">
        <w:rPr>
          <w:rFonts w:ascii="Times New Roman" w:hAnsi="Times New Roman" w:cs="Times New Roman"/>
          <w:sz w:val="24"/>
          <w:szCs w:val="24"/>
        </w:rPr>
        <w:t xml:space="preserve"> </w:t>
      </w:r>
      <w:r w:rsidRPr="000D3D51">
        <w:rPr>
          <w:rFonts w:ascii="Times New Roman" w:hAnsi="Times New Roman" w:cs="Times New Roman"/>
          <w:sz w:val="24"/>
          <w:szCs w:val="24"/>
        </w:rPr>
        <w:t xml:space="preserve">had 5 </w:t>
      </w:r>
      <w:r w:rsidR="00EA7FBC" w:rsidRPr="000D3D51">
        <w:rPr>
          <w:rFonts w:ascii="Times New Roman" w:hAnsi="Times New Roman" w:cs="Times New Roman"/>
          <w:sz w:val="24"/>
          <w:szCs w:val="24"/>
        </w:rPr>
        <w:t>predetermined target</w:t>
      </w:r>
      <w:r w:rsidRPr="000D3D51">
        <w:rPr>
          <w:rFonts w:ascii="Times New Roman" w:hAnsi="Times New Roman" w:cs="Times New Roman"/>
          <w:sz w:val="24"/>
          <w:szCs w:val="24"/>
        </w:rPr>
        <w:t xml:space="preserve">s in the second quarter, 4 were achieved and 1 not achieved. </w:t>
      </w:r>
      <w:r w:rsidR="003D287E" w:rsidRPr="000D3D51">
        <w:rPr>
          <w:rFonts w:ascii="Times New Roman" w:hAnsi="Times New Roman" w:cs="Times New Roman"/>
          <w:sz w:val="24"/>
          <w:szCs w:val="24"/>
        </w:rPr>
        <w:t xml:space="preserve"> </w:t>
      </w:r>
    </w:p>
    <w:p w14:paraId="78F40A1C" w14:textId="77777777" w:rsidR="005D3E2F" w:rsidRPr="000D3D51" w:rsidRDefault="005D3E2F" w:rsidP="003B5994">
      <w:pPr>
        <w:spacing w:line="360" w:lineRule="auto"/>
        <w:jc w:val="both"/>
        <w:rPr>
          <w:rFonts w:ascii="Times New Roman" w:hAnsi="Times New Roman" w:cs="Times New Roman"/>
          <w:sz w:val="24"/>
          <w:szCs w:val="24"/>
        </w:rPr>
      </w:pPr>
    </w:p>
    <w:p w14:paraId="4534DB0B" w14:textId="77777777" w:rsidR="003B5994" w:rsidRPr="000D3D51" w:rsidRDefault="003B5994" w:rsidP="003B5994">
      <w:pPr>
        <w:pStyle w:val="ListParagraph"/>
        <w:numPr>
          <w:ilvl w:val="0"/>
          <w:numId w:val="5"/>
        </w:numPr>
        <w:spacing w:line="360" w:lineRule="auto"/>
        <w:jc w:val="both"/>
        <w:rPr>
          <w:rFonts w:ascii="Times New Roman" w:hAnsi="Times New Roman" w:cs="Times New Roman"/>
          <w:sz w:val="24"/>
          <w:szCs w:val="24"/>
        </w:rPr>
      </w:pPr>
      <w:r w:rsidRPr="000D3D51">
        <w:rPr>
          <w:rFonts w:ascii="Times New Roman" w:hAnsi="Times New Roman" w:cs="Times New Roman"/>
          <w:b/>
          <w:sz w:val="24"/>
          <w:szCs w:val="24"/>
        </w:rPr>
        <w:t>Programme 2:</w:t>
      </w:r>
      <w:r w:rsidRPr="000D3D51">
        <w:rPr>
          <w:rFonts w:ascii="Times New Roman" w:hAnsi="Times New Roman" w:cs="Times New Roman"/>
          <w:sz w:val="24"/>
          <w:szCs w:val="24"/>
        </w:rPr>
        <w:t xml:space="preserve"> </w:t>
      </w:r>
      <w:r w:rsidRPr="000D3D51">
        <w:rPr>
          <w:rFonts w:ascii="Times New Roman" w:hAnsi="Times New Roman" w:cs="Times New Roman"/>
          <w:b/>
          <w:sz w:val="24"/>
          <w:szCs w:val="24"/>
        </w:rPr>
        <w:t>Education and Skills Development</w:t>
      </w:r>
    </w:p>
    <w:p w14:paraId="17C40D0A" w14:textId="77777777" w:rsidR="003B5994" w:rsidRPr="003D1597" w:rsidRDefault="003B5994" w:rsidP="003B5994">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main purpose of the programme is to promote, facilitate, and provide education and skills development opportunities to young people to enhance their socio-economic well-being, with the objective of facilitating education opportunities.</w:t>
      </w:r>
      <w:r w:rsidRPr="003D1597">
        <w:rPr>
          <w:rFonts w:ascii="Times New Roman" w:hAnsi="Times New Roman" w:cs="Times New Roman"/>
          <w:sz w:val="24"/>
          <w:szCs w:val="24"/>
        </w:rPr>
        <w:t xml:space="preserve"> The aim is to improve access to quality education and to facilitate and implement the Youth Build, job-preparedness training, the provision of scholarships and assistance to young people who are rewriting their matric.</w:t>
      </w:r>
    </w:p>
    <w:p w14:paraId="5734FC84" w14:textId="77777777" w:rsidR="002A3F1B" w:rsidRDefault="002A3F1B" w:rsidP="003D287E">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programme</w:t>
      </w:r>
      <w:r w:rsidR="003D287E" w:rsidRPr="000D3D51">
        <w:rPr>
          <w:rFonts w:ascii="Times New Roman" w:hAnsi="Times New Roman" w:cs="Times New Roman"/>
          <w:sz w:val="24"/>
          <w:szCs w:val="24"/>
        </w:rPr>
        <w:t xml:space="preserve"> had </w:t>
      </w:r>
      <w:r w:rsidRPr="000D3D51">
        <w:rPr>
          <w:rFonts w:ascii="Times New Roman" w:hAnsi="Times New Roman" w:cs="Times New Roman"/>
          <w:sz w:val="24"/>
          <w:szCs w:val="24"/>
        </w:rPr>
        <w:t xml:space="preserve">8 </w:t>
      </w:r>
      <w:r w:rsidR="003D287E" w:rsidRPr="000D3D51">
        <w:rPr>
          <w:rFonts w:ascii="Times New Roman" w:hAnsi="Times New Roman" w:cs="Times New Roman"/>
          <w:sz w:val="24"/>
          <w:szCs w:val="24"/>
        </w:rPr>
        <w:t>predetermined target</w:t>
      </w:r>
      <w:r w:rsidRPr="000D3D51">
        <w:rPr>
          <w:rFonts w:ascii="Times New Roman" w:hAnsi="Times New Roman" w:cs="Times New Roman"/>
          <w:sz w:val="24"/>
          <w:szCs w:val="24"/>
        </w:rPr>
        <w:t>s in the second quarter, 6 were achieved and 2 not achieved. Targets not achieved include facilitation and implementation of education opportunities in order to improve the quality education attainment for the youth.</w:t>
      </w:r>
      <w:r>
        <w:rPr>
          <w:rFonts w:ascii="Times New Roman" w:hAnsi="Times New Roman" w:cs="Times New Roman"/>
          <w:sz w:val="24"/>
          <w:szCs w:val="24"/>
        </w:rPr>
        <w:t xml:space="preserve"> </w:t>
      </w:r>
    </w:p>
    <w:p w14:paraId="26C84386" w14:textId="77777777" w:rsidR="003B5994" w:rsidRPr="000D3D51" w:rsidRDefault="00EA7FBC" w:rsidP="003B5994">
      <w:pPr>
        <w:pStyle w:val="ListParagraph"/>
        <w:numPr>
          <w:ilvl w:val="0"/>
          <w:numId w:val="5"/>
        </w:numPr>
        <w:spacing w:line="360" w:lineRule="auto"/>
        <w:jc w:val="both"/>
        <w:rPr>
          <w:rFonts w:ascii="Times New Roman" w:hAnsi="Times New Roman" w:cs="Times New Roman"/>
          <w:sz w:val="24"/>
          <w:szCs w:val="24"/>
        </w:rPr>
      </w:pPr>
      <w:r w:rsidRPr="000D3D51">
        <w:rPr>
          <w:rFonts w:ascii="Times New Roman" w:hAnsi="Times New Roman" w:cs="Times New Roman"/>
          <w:b/>
          <w:sz w:val="24"/>
          <w:szCs w:val="24"/>
        </w:rPr>
        <w:t>Programme 3</w:t>
      </w:r>
      <w:r w:rsidR="003B5994" w:rsidRPr="000D3D51">
        <w:rPr>
          <w:rFonts w:ascii="Times New Roman" w:hAnsi="Times New Roman" w:cs="Times New Roman"/>
          <w:b/>
          <w:sz w:val="24"/>
          <w:szCs w:val="24"/>
        </w:rPr>
        <w:t>:</w:t>
      </w:r>
      <w:r w:rsidR="003B5994" w:rsidRPr="000D3D51">
        <w:rPr>
          <w:rFonts w:ascii="Times New Roman" w:hAnsi="Times New Roman" w:cs="Times New Roman"/>
          <w:sz w:val="24"/>
          <w:szCs w:val="24"/>
        </w:rPr>
        <w:t xml:space="preserve"> </w:t>
      </w:r>
      <w:r w:rsidR="003B5994" w:rsidRPr="000D3D51">
        <w:rPr>
          <w:rFonts w:ascii="Times New Roman" w:hAnsi="Times New Roman" w:cs="Times New Roman"/>
          <w:b/>
          <w:sz w:val="24"/>
          <w:szCs w:val="24"/>
        </w:rPr>
        <w:t>Policy and Research</w:t>
      </w:r>
    </w:p>
    <w:p w14:paraId="6BD330E9" w14:textId="77777777" w:rsidR="003B5994" w:rsidRPr="003D1597" w:rsidRDefault="003B5994" w:rsidP="003B5994">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The main purpose is to create a body of knowledge and best practice in the youth development sector, and to inform and influence policy development, planning and implementation. The fundamental aim of this area is to ensure that policies and frameworks that drive youth development are developed, based on a body of knowledge and facts that are relevant to the developmental needs of the youth of South Africa.</w:t>
      </w:r>
      <w:r w:rsidRPr="003D1597">
        <w:rPr>
          <w:rFonts w:ascii="Times New Roman" w:hAnsi="Times New Roman" w:cs="Times New Roman"/>
          <w:sz w:val="24"/>
          <w:szCs w:val="24"/>
        </w:rPr>
        <w:t xml:space="preserve"> </w:t>
      </w:r>
    </w:p>
    <w:p w14:paraId="2008548E" w14:textId="77777777" w:rsidR="009E74C3" w:rsidRDefault="009E74C3" w:rsidP="00CC536A">
      <w:pPr>
        <w:spacing w:line="360" w:lineRule="auto"/>
        <w:jc w:val="both"/>
        <w:rPr>
          <w:rFonts w:ascii="Times New Roman" w:hAnsi="Times New Roman" w:cs="Times New Roman"/>
          <w:sz w:val="24"/>
          <w:szCs w:val="24"/>
        </w:rPr>
      </w:pPr>
      <w:r w:rsidRPr="000D3D51">
        <w:rPr>
          <w:rFonts w:ascii="Times New Roman" w:hAnsi="Times New Roman" w:cs="Times New Roman"/>
          <w:sz w:val="24"/>
          <w:szCs w:val="24"/>
        </w:rPr>
        <w:t xml:space="preserve">The programme </w:t>
      </w:r>
      <w:r w:rsidR="00CC536A" w:rsidRPr="000D3D51">
        <w:rPr>
          <w:rFonts w:ascii="Times New Roman" w:hAnsi="Times New Roman" w:cs="Times New Roman"/>
          <w:sz w:val="24"/>
          <w:szCs w:val="24"/>
        </w:rPr>
        <w:t>had</w:t>
      </w:r>
      <w:r w:rsidRPr="000D3D51">
        <w:rPr>
          <w:rFonts w:ascii="Times New Roman" w:hAnsi="Times New Roman" w:cs="Times New Roman"/>
          <w:sz w:val="24"/>
          <w:szCs w:val="24"/>
        </w:rPr>
        <w:t xml:space="preserve"> 3 </w:t>
      </w:r>
      <w:r w:rsidR="00CC536A" w:rsidRPr="000D3D51">
        <w:rPr>
          <w:rFonts w:ascii="Times New Roman" w:hAnsi="Times New Roman" w:cs="Times New Roman"/>
          <w:sz w:val="24"/>
          <w:szCs w:val="24"/>
        </w:rPr>
        <w:t>predetermined target</w:t>
      </w:r>
      <w:r w:rsidRPr="000D3D51">
        <w:rPr>
          <w:rFonts w:ascii="Times New Roman" w:hAnsi="Times New Roman" w:cs="Times New Roman"/>
          <w:sz w:val="24"/>
          <w:szCs w:val="24"/>
        </w:rPr>
        <w:t xml:space="preserve">s, 2 were achieved and 1 not achieved. </w:t>
      </w:r>
      <w:r w:rsidRPr="00DA2095">
        <w:rPr>
          <w:rFonts w:ascii="Times New Roman" w:hAnsi="Times New Roman" w:cs="Times New Roman"/>
          <w:sz w:val="24"/>
          <w:szCs w:val="24"/>
        </w:rPr>
        <w:t>Target not achieve</w:t>
      </w:r>
      <w:r w:rsidR="00DA2095" w:rsidRPr="00DA2095">
        <w:rPr>
          <w:rFonts w:ascii="Times New Roman" w:hAnsi="Times New Roman" w:cs="Times New Roman"/>
          <w:sz w:val="24"/>
          <w:szCs w:val="24"/>
        </w:rPr>
        <w:t>d</w:t>
      </w:r>
      <w:r w:rsidRPr="00DA2095">
        <w:rPr>
          <w:rFonts w:ascii="Times New Roman" w:hAnsi="Times New Roman" w:cs="Times New Roman"/>
          <w:sz w:val="24"/>
          <w:szCs w:val="24"/>
        </w:rPr>
        <w:t xml:space="preserve"> was applicable in quarter 3&amp;4, however the Agency managed to conduct two satisfaction surveys during the quarter.</w:t>
      </w:r>
    </w:p>
    <w:p w14:paraId="7AA09370" w14:textId="77777777" w:rsidR="003B5994" w:rsidRPr="00DA2095" w:rsidRDefault="003B5994" w:rsidP="003B5994">
      <w:pPr>
        <w:pStyle w:val="ListParagraph"/>
        <w:numPr>
          <w:ilvl w:val="0"/>
          <w:numId w:val="5"/>
        </w:numPr>
        <w:spacing w:line="360" w:lineRule="auto"/>
        <w:jc w:val="both"/>
        <w:rPr>
          <w:rFonts w:ascii="Times New Roman" w:hAnsi="Times New Roman" w:cs="Times New Roman"/>
          <w:sz w:val="24"/>
          <w:szCs w:val="24"/>
        </w:rPr>
      </w:pPr>
      <w:r w:rsidRPr="00DA2095">
        <w:rPr>
          <w:rFonts w:ascii="Times New Roman" w:hAnsi="Times New Roman" w:cs="Times New Roman"/>
          <w:b/>
          <w:sz w:val="24"/>
          <w:szCs w:val="24"/>
        </w:rPr>
        <w:t xml:space="preserve">Programme </w:t>
      </w:r>
      <w:r w:rsidR="001C2449" w:rsidRPr="00DA2095">
        <w:rPr>
          <w:rFonts w:ascii="Times New Roman" w:hAnsi="Times New Roman" w:cs="Times New Roman"/>
          <w:b/>
          <w:sz w:val="24"/>
          <w:szCs w:val="24"/>
        </w:rPr>
        <w:t>4</w:t>
      </w:r>
      <w:r w:rsidRPr="00DA2095">
        <w:rPr>
          <w:rFonts w:ascii="Times New Roman" w:hAnsi="Times New Roman" w:cs="Times New Roman"/>
          <w:b/>
          <w:sz w:val="24"/>
          <w:szCs w:val="24"/>
        </w:rPr>
        <w:t>:</w:t>
      </w:r>
      <w:r w:rsidRPr="00DA2095">
        <w:rPr>
          <w:rFonts w:ascii="Times New Roman" w:hAnsi="Times New Roman" w:cs="Times New Roman"/>
          <w:sz w:val="24"/>
          <w:szCs w:val="24"/>
        </w:rPr>
        <w:t xml:space="preserve"> </w:t>
      </w:r>
      <w:r w:rsidRPr="00DA2095">
        <w:rPr>
          <w:rFonts w:ascii="Times New Roman" w:hAnsi="Times New Roman" w:cs="Times New Roman"/>
          <w:b/>
          <w:sz w:val="24"/>
          <w:szCs w:val="24"/>
        </w:rPr>
        <w:t>Governance</w:t>
      </w:r>
    </w:p>
    <w:p w14:paraId="7D45374E" w14:textId="77777777" w:rsidR="00B66BB8" w:rsidRPr="00F63E77" w:rsidRDefault="003B5994" w:rsidP="0002197F">
      <w:pPr>
        <w:spacing w:line="360" w:lineRule="auto"/>
        <w:jc w:val="both"/>
        <w:rPr>
          <w:rFonts w:ascii="Times New Roman" w:hAnsi="Times New Roman" w:cs="Times New Roman"/>
          <w:sz w:val="24"/>
          <w:szCs w:val="24"/>
        </w:rPr>
      </w:pPr>
      <w:r w:rsidRPr="00F63E77">
        <w:rPr>
          <w:rFonts w:ascii="Times New Roman" w:hAnsi="Times New Roman" w:cs="Times New Roman"/>
          <w:sz w:val="24"/>
          <w:szCs w:val="24"/>
        </w:rPr>
        <w:t>The purpose of the programme is to achieve efficient and effective utilisation of resources through provision of judicious governance, technology and systems, business operations, human capital, financial management systems that adhere to relevant legislative requirements for public funded entities.</w:t>
      </w:r>
    </w:p>
    <w:p w14:paraId="6367A2D8" w14:textId="77777777" w:rsidR="009E74C3" w:rsidRDefault="009E74C3" w:rsidP="0002197F">
      <w:pPr>
        <w:spacing w:line="360" w:lineRule="auto"/>
        <w:jc w:val="both"/>
        <w:rPr>
          <w:rFonts w:ascii="Times New Roman" w:hAnsi="Times New Roman" w:cs="Times New Roman"/>
          <w:sz w:val="24"/>
          <w:szCs w:val="24"/>
        </w:rPr>
      </w:pPr>
      <w:r w:rsidRPr="00F63E77">
        <w:rPr>
          <w:rFonts w:ascii="Times New Roman" w:hAnsi="Times New Roman" w:cs="Times New Roman"/>
          <w:sz w:val="24"/>
          <w:szCs w:val="24"/>
        </w:rPr>
        <w:t>The p</w:t>
      </w:r>
      <w:r w:rsidR="00250F02" w:rsidRPr="00F63E77">
        <w:rPr>
          <w:rFonts w:ascii="Times New Roman" w:hAnsi="Times New Roman" w:cs="Times New Roman"/>
          <w:sz w:val="24"/>
          <w:szCs w:val="24"/>
        </w:rPr>
        <w:t xml:space="preserve">rogramme </w:t>
      </w:r>
      <w:r w:rsidR="001C2449" w:rsidRPr="00F63E77">
        <w:rPr>
          <w:rFonts w:ascii="Times New Roman" w:hAnsi="Times New Roman" w:cs="Times New Roman"/>
          <w:sz w:val="24"/>
          <w:szCs w:val="24"/>
        </w:rPr>
        <w:t xml:space="preserve">had </w:t>
      </w:r>
      <w:r w:rsidRPr="00F63E77">
        <w:rPr>
          <w:rFonts w:ascii="Times New Roman" w:hAnsi="Times New Roman" w:cs="Times New Roman"/>
          <w:sz w:val="24"/>
          <w:szCs w:val="24"/>
        </w:rPr>
        <w:t>5</w:t>
      </w:r>
      <w:r w:rsidR="001C2449" w:rsidRPr="00F63E77">
        <w:rPr>
          <w:rFonts w:ascii="Times New Roman" w:hAnsi="Times New Roman" w:cs="Times New Roman"/>
          <w:sz w:val="24"/>
          <w:szCs w:val="24"/>
        </w:rPr>
        <w:t xml:space="preserve"> predetermined target</w:t>
      </w:r>
      <w:r w:rsidRPr="00F63E77">
        <w:rPr>
          <w:rFonts w:ascii="Times New Roman" w:hAnsi="Times New Roman" w:cs="Times New Roman"/>
          <w:sz w:val="24"/>
          <w:szCs w:val="24"/>
        </w:rPr>
        <w:t>s, 2 were achieved and 3 not achieved. Among target</w:t>
      </w:r>
      <w:r w:rsidR="00DA2095" w:rsidRPr="00F63E77">
        <w:rPr>
          <w:rFonts w:ascii="Times New Roman" w:hAnsi="Times New Roman" w:cs="Times New Roman"/>
          <w:sz w:val="24"/>
          <w:szCs w:val="24"/>
        </w:rPr>
        <w:t>s not achieved include reviews</w:t>
      </w:r>
      <w:r w:rsidRPr="00F63E77">
        <w:rPr>
          <w:rFonts w:ascii="Times New Roman" w:hAnsi="Times New Roman" w:cs="Times New Roman"/>
          <w:sz w:val="24"/>
          <w:szCs w:val="24"/>
        </w:rPr>
        <w:t xml:space="preserve"> of the Human Resource strategy and roll out of the training plan.</w:t>
      </w:r>
      <w:r>
        <w:rPr>
          <w:rFonts w:ascii="Times New Roman" w:hAnsi="Times New Roman" w:cs="Times New Roman"/>
          <w:sz w:val="24"/>
          <w:szCs w:val="24"/>
        </w:rPr>
        <w:t xml:space="preserve"> </w:t>
      </w:r>
    </w:p>
    <w:p w14:paraId="19DF2DE2" w14:textId="77777777" w:rsidR="009E74C3" w:rsidRDefault="009E74C3" w:rsidP="0002197F">
      <w:pPr>
        <w:spacing w:line="360" w:lineRule="auto"/>
        <w:jc w:val="both"/>
        <w:rPr>
          <w:rFonts w:ascii="Times New Roman" w:hAnsi="Times New Roman" w:cs="Times New Roman"/>
          <w:sz w:val="24"/>
          <w:szCs w:val="24"/>
        </w:rPr>
      </w:pPr>
    </w:p>
    <w:p w14:paraId="21F002C8" w14:textId="77777777" w:rsidR="005D3E2F" w:rsidRDefault="005D3E2F" w:rsidP="0002197F">
      <w:pPr>
        <w:spacing w:line="360" w:lineRule="auto"/>
        <w:jc w:val="both"/>
        <w:rPr>
          <w:rFonts w:ascii="Times New Roman" w:hAnsi="Times New Roman" w:cs="Times New Roman"/>
          <w:sz w:val="24"/>
          <w:szCs w:val="24"/>
        </w:rPr>
      </w:pPr>
    </w:p>
    <w:p w14:paraId="0FA777AB" w14:textId="77777777" w:rsidR="005D3E2F" w:rsidRDefault="005D3E2F" w:rsidP="0002197F">
      <w:pPr>
        <w:spacing w:line="360" w:lineRule="auto"/>
        <w:jc w:val="both"/>
        <w:rPr>
          <w:rFonts w:ascii="Times New Roman" w:hAnsi="Times New Roman" w:cs="Times New Roman"/>
          <w:sz w:val="24"/>
          <w:szCs w:val="24"/>
        </w:rPr>
      </w:pPr>
    </w:p>
    <w:p w14:paraId="26A699C3" w14:textId="77777777" w:rsidR="00AE315D" w:rsidRPr="00F63E77" w:rsidRDefault="00AE315D" w:rsidP="00AE315D">
      <w:pPr>
        <w:pStyle w:val="ListParagraph"/>
        <w:numPr>
          <w:ilvl w:val="0"/>
          <w:numId w:val="1"/>
        </w:numPr>
        <w:ind w:left="567" w:hanging="567"/>
        <w:rPr>
          <w:rFonts w:ascii="Times New Roman" w:hAnsi="Times New Roman" w:cs="Times New Roman"/>
        </w:rPr>
      </w:pPr>
      <w:r w:rsidRPr="00F63E77">
        <w:rPr>
          <w:rFonts w:ascii="Times New Roman" w:hAnsi="Times New Roman" w:cs="Times New Roman"/>
          <w:b/>
        </w:rPr>
        <w:t>FINDINGS AND OBSERVATIONS</w:t>
      </w:r>
    </w:p>
    <w:p w14:paraId="6065A1FC" w14:textId="77777777" w:rsidR="00ED4912" w:rsidRPr="00F63E77" w:rsidRDefault="00ED4912" w:rsidP="00ED4912">
      <w:pPr>
        <w:spacing w:line="360" w:lineRule="auto"/>
        <w:jc w:val="both"/>
        <w:rPr>
          <w:rFonts w:ascii="Times New Roman" w:hAnsi="Times New Roman" w:cs="Times New Roman"/>
          <w:sz w:val="24"/>
          <w:szCs w:val="24"/>
        </w:rPr>
      </w:pPr>
      <w:r w:rsidRPr="00F63E77">
        <w:rPr>
          <w:rFonts w:ascii="Times New Roman" w:hAnsi="Times New Roman" w:cs="Times New Roman"/>
          <w:sz w:val="24"/>
          <w:szCs w:val="24"/>
        </w:rPr>
        <w:t>The Portfolio Committee made the following observations and findings:</w:t>
      </w:r>
    </w:p>
    <w:p w14:paraId="360419B6" w14:textId="77777777" w:rsidR="001F28A5" w:rsidRDefault="006631DC"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Committee commended the Department of Planning, Monitoring and Evaluation and the National Youth Development Agency about their second quarter performance reports. However, the Committee was concerned about the Department and Agency for not achieving 100% of their targets in </w:t>
      </w:r>
      <w:r w:rsidR="00DA2095" w:rsidRPr="00F63E77">
        <w:rPr>
          <w:rFonts w:ascii="Times New Roman" w:hAnsi="Times New Roman" w:cs="Times New Roman"/>
          <w:sz w:val="24"/>
          <w:szCs w:val="24"/>
        </w:rPr>
        <w:t xml:space="preserve">the </w:t>
      </w:r>
      <w:r w:rsidRPr="00F63E77">
        <w:rPr>
          <w:rFonts w:ascii="Times New Roman" w:hAnsi="Times New Roman" w:cs="Times New Roman"/>
          <w:sz w:val="24"/>
          <w:szCs w:val="24"/>
        </w:rPr>
        <w:t>second quarter of 2017/18 financial year.</w:t>
      </w:r>
    </w:p>
    <w:p w14:paraId="565B3ACD" w14:textId="77777777" w:rsidR="001F28A5" w:rsidRDefault="001F28A5" w:rsidP="001F28A5">
      <w:pPr>
        <w:pStyle w:val="ListParagraph"/>
        <w:spacing w:line="360" w:lineRule="auto"/>
        <w:ind w:left="993"/>
        <w:jc w:val="both"/>
        <w:rPr>
          <w:rFonts w:ascii="Times New Roman" w:hAnsi="Times New Roman" w:cs="Times New Roman"/>
          <w:sz w:val="24"/>
          <w:szCs w:val="24"/>
        </w:rPr>
      </w:pPr>
    </w:p>
    <w:p w14:paraId="04EBA298" w14:textId="77777777" w:rsidR="001F28A5" w:rsidRDefault="003954E9"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The Committee once again raised the concern regarding the tabling of the Management Performance</w:t>
      </w:r>
      <w:r w:rsidR="00DA2095" w:rsidRPr="00F63E77">
        <w:rPr>
          <w:rFonts w:ascii="Times New Roman" w:hAnsi="Times New Roman" w:cs="Times New Roman"/>
          <w:sz w:val="24"/>
          <w:szCs w:val="24"/>
        </w:rPr>
        <w:t xml:space="preserve"> Assessment</w:t>
      </w:r>
      <w:r w:rsidRPr="00F63E77">
        <w:rPr>
          <w:rFonts w:ascii="Times New Roman" w:hAnsi="Times New Roman" w:cs="Times New Roman"/>
          <w:sz w:val="24"/>
          <w:szCs w:val="24"/>
        </w:rPr>
        <w:t xml:space="preserve"> Tool </w:t>
      </w:r>
      <w:r w:rsidR="00DA2095" w:rsidRPr="00F63E77">
        <w:rPr>
          <w:rFonts w:ascii="Times New Roman" w:hAnsi="Times New Roman" w:cs="Times New Roman"/>
          <w:sz w:val="24"/>
          <w:szCs w:val="24"/>
        </w:rPr>
        <w:t>in</w:t>
      </w:r>
      <w:r w:rsidRPr="00F63E77">
        <w:rPr>
          <w:rFonts w:ascii="Times New Roman" w:hAnsi="Times New Roman" w:cs="Times New Roman"/>
          <w:sz w:val="24"/>
          <w:szCs w:val="24"/>
        </w:rPr>
        <w:t xml:space="preserve"> Parliament late after the Budgetary Review Reports have been processed. The Committee stressed the importance of tabling such crucial reports prior Parliament Committees process the BRR reports.</w:t>
      </w:r>
    </w:p>
    <w:p w14:paraId="5EC945B5" w14:textId="77777777" w:rsidR="001F28A5" w:rsidRPr="001F28A5" w:rsidRDefault="001F28A5" w:rsidP="001F28A5">
      <w:pPr>
        <w:pStyle w:val="ListParagraph"/>
        <w:rPr>
          <w:rFonts w:ascii="Times New Roman" w:hAnsi="Times New Roman" w:cs="Times New Roman"/>
          <w:sz w:val="24"/>
          <w:szCs w:val="24"/>
        </w:rPr>
      </w:pPr>
    </w:p>
    <w:p w14:paraId="6A841C33" w14:textId="77777777" w:rsidR="001F28A5" w:rsidRPr="00F63E77" w:rsidRDefault="003954E9"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Committee urged the Department to make available the Mandate Paper document on the website for </w:t>
      </w:r>
      <w:r w:rsidR="00DA2095" w:rsidRPr="00F63E77">
        <w:rPr>
          <w:rFonts w:ascii="Times New Roman" w:hAnsi="Times New Roman" w:cs="Times New Roman"/>
          <w:sz w:val="24"/>
          <w:szCs w:val="24"/>
        </w:rPr>
        <w:t xml:space="preserve">the </w:t>
      </w:r>
      <w:r w:rsidRPr="00F63E77">
        <w:rPr>
          <w:rFonts w:ascii="Times New Roman" w:hAnsi="Times New Roman" w:cs="Times New Roman"/>
          <w:sz w:val="24"/>
          <w:szCs w:val="24"/>
        </w:rPr>
        <w:t xml:space="preserve">purpose of ensuring transparency and in the spirit of access to information. </w:t>
      </w:r>
    </w:p>
    <w:p w14:paraId="693ABC7F" w14:textId="77777777" w:rsidR="001F28A5" w:rsidRPr="001F28A5" w:rsidRDefault="001F28A5" w:rsidP="001F28A5">
      <w:pPr>
        <w:pStyle w:val="ListParagraph"/>
        <w:rPr>
          <w:rFonts w:ascii="Times New Roman" w:hAnsi="Times New Roman" w:cs="Times New Roman"/>
          <w:sz w:val="24"/>
          <w:szCs w:val="24"/>
        </w:rPr>
      </w:pPr>
    </w:p>
    <w:p w14:paraId="0D5E4A87" w14:textId="77777777" w:rsidR="001F28A5" w:rsidRPr="00F63E77" w:rsidRDefault="003954E9"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Department was encouraged to collaborate with the Stats SA to develop </w:t>
      </w:r>
      <w:r w:rsidR="00DA2095" w:rsidRPr="00F63E77">
        <w:rPr>
          <w:rFonts w:ascii="Times New Roman" w:hAnsi="Times New Roman" w:cs="Times New Roman"/>
          <w:sz w:val="24"/>
          <w:szCs w:val="24"/>
        </w:rPr>
        <w:t xml:space="preserve">a </w:t>
      </w:r>
      <w:r w:rsidRPr="00F63E77">
        <w:rPr>
          <w:rFonts w:ascii="Times New Roman" w:hAnsi="Times New Roman" w:cs="Times New Roman"/>
          <w:sz w:val="24"/>
          <w:szCs w:val="24"/>
        </w:rPr>
        <w:t>longitudinal tracking system, to track children from crèche till completion of school so that government can be able to measure impact thereof</w:t>
      </w:r>
      <w:r w:rsidR="00DA2095" w:rsidRPr="00F63E77">
        <w:rPr>
          <w:rFonts w:ascii="Times New Roman" w:hAnsi="Times New Roman" w:cs="Times New Roman"/>
          <w:sz w:val="24"/>
          <w:szCs w:val="24"/>
        </w:rPr>
        <w:t xml:space="preserve"> and budget accordingly</w:t>
      </w:r>
      <w:r w:rsidRPr="00F63E77">
        <w:rPr>
          <w:rFonts w:ascii="Times New Roman" w:hAnsi="Times New Roman" w:cs="Times New Roman"/>
          <w:sz w:val="24"/>
          <w:szCs w:val="24"/>
        </w:rPr>
        <w:t>.</w:t>
      </w:r>
    </w:p>
    <w:p w14:paraId="755DD037" w14:textId="77777777" w:rsidR="001F28A5" w:rsidRPr="001F28A5" w:rsidRDefault="001F28A5" w:rsidP="001F28A5">
      <w:pPr>
        <w:pStyle w:val="ListParagraph"/>
        <w:rPr>
          <w:rFonts w:ascii="Times New Roman" w:hAnsi="Times New Roman" w:cs="Times New Roman"/>
          <w:sz w:val="24"/>
          <w:szCs w:val="24"/>
        </w:rPr>
      </w:pPr>
    </w:p>
    <w:p w14:paraId="2B09D082" w14:textId="77777777" w:rsidR="001F28A5" w:rsidRPr="00F63E77" w:rsidRDefault="003954E9"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Committee stressed the importance of the Senior Managers in the Department conducting monitoring </w:t>
      </w:r>
      <w:r w:rsidR="002A02A4" w:rsidRPr="00F63E77">
        <w:rPr>
          <w:rFonts w:ascii="Times New Roman" w:hAnsi="Times New Roman" w:cs="Times New Roman"/>
          <w:sz w:val="24"/>
          <w:szCs w:val="24"/>
        </w:rPr>
        <w:t xml:space="preserve">of frontline services in an effort to strengthen and enhance </w:t>
      </w:r>
      <w:r w:rsidR="00940ED4" w:rsidRPr="00F63E77">
        <w:rPr>
          <w:rFonts w:ascii="Times New Roman" w:hAnsi="Times New Roman" w:cs="Times New Roman"/>
          <w:sz w:val="24"/>
          <w:szCs w:val="24"/>
        </w:rPr>
        <w:t xml:space="preserve">productivity </w:t>
      </w:r>
      <w:r w:rsidR="002A02A4" w:rsidRPr="00F63E77">
        <w:rPr>
          <w:rFonts w:ascii="Times New Roman" w:hAnsi="Times New Roman" w:cs="Times New Roman"/>
          <w:sz w:val="24"/>
          <w:szCs w:val="24"/>
        </w:rPr>
        <w:t xml:space="preserve">in </w:t>
      </w:r>
      <w:r w:rsidR="00DA2095" w:rsidRPr="00F63E77">
        <w:rPr>
          <w:rFonts w:ascii="Times New Roman" w:hAnsi="Times New Roman" w:cs="Times New Roman"/>
          <w:sz w:val="24"/>
          <w:szCs w:val="24"/>
        </w:rPr>
        <w:t>this service</w:t>
      </w:r>
      <w:r w:rsidR="002A02A4" w:rsidRPr="00F63E77">
        <w:rPr>
          <w:rFonts w:ascii="Times New Roman" w:hAnsi="Times New Roman" w:cs="Times New Roman"/>
          <w:sz w:val="24"/>
          <w:szCs w:val="24"/>
        </w:rPr>
        <w:t xml:space="preserve">. </w:t>
      </w:r>
      <w:r w:rsidRPr="00F63E77">
        <w:rPr>
          <w:rFonts w:ascii="Times New Roman" w:hAnsi="Times New Roman" w:cs="Times New Roman"/>
          <w:sz w:val="24"/>
          <w:szCs w:val="24"/>
        </w:rPr>
        <w:t xml:space="preserve">  </w:t>
      </w:r>
      <w:r w:rsidR="006631DC" w:rsidRPr="00F63E77">
        <w:rPr>
          <w:rFonts w:ascii="Times New Roman" w:hAnsi="Times New Roman" w:cs="Times New Roman"/>
          <w:sz w:val="24"/>
          <w:szCs w:val="24"/>
        </w:rPr>
        <w:t xml:space="preserve">  </w:t>
      </w:r>
    </w:p>
    <w:p w14:paraId="3290CEE3" w14:textId="77777777" w:rsidR="001F28A5" w:rsidRPr="001F28A5" w:rsidRDefault="001F28A5" w:rsidP="001F28A5">
      <w:pPr>
        <w:pStyle w:val="ListParagraph"/>
        <w:rPr>
          <w:rFonts w:ascii="Times New Roman" w:hAnsi="Times New Roman" w:cs="Times New Roman"/>
          <w:sz w:val="24"/>
          <w:szCs w:val="24"/>
        </w:rPr>
      </w:pPr>
    </w:p>
    <w:p w14:paraId="785DB520" w14:textId="77777777" w:rsidR="001F28A5" w:rsidRDefault="007529F3"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Committee </w:t>
      </w:r>
      <w:r w:rsidR="00921A25" w:rsidRPr="00F63E77">
        <w:rPr>
          <w:rFonts w:ascii="Times New Roman" w:hAnsi="Times New Roman" w:cs="Times New Roman"/>
          <w:sz w:val="24"/>
          <w:szCs w:val="24"/>
        </w:rPr>
        <w:t xml:space="preserve">was concerned about the NYDA </w:t>
      </w:r>
      <w:r w:rsidR="00940ED4" w:rsidRPr="00F63E77">
        <w:rPr>
          <w:rFonts w:ascii="Times New Roman" w:hAnsi="Times New Roman" w:cs="Times New Roman"/>
          <w:sz w:val="24"/>
          <w:szCs w:val="24"/>
        </w:rPr>
        <w:t xml:space="preserve">lobbying for additional </w:t>
      </w:r>
      <w:r w:rsidR="000948DF" w:rsidRPr="00F63E77">
        <w:rPr>
          <w:rFonts w:ascii="Times New Roman" w:hAnsi="Times New Roman" w:cs="Times New Roman"/>
          <w:sz w:val="24"/>
          <w:szCs w:val="24"/>
        </w:rPr>
        <w:t>funding</w:t>
      </w:r>
      <w:r w:rsidR="00940ED4" w:rsidRPr="00F63E77">
        <w:rPr>
          <w:rFonts w:ascii="Times New Roman" w:hAnsi="Times New Roman" w:cs="Times New Roman"/>
          <w:sz w:val="24"/>
          <w:szCs w:val="24"/>
        </w:rPr>
        <w:t>. The Committee urged the Agency to justify its request for additional funding.</w:t>
      </w:r>
      <w:r w:rsidR="00940ED4" w:rsidRPr="001F28A5">
        <w:rPr>
          <w:rFonts w:ascii="Times New Roman" w:hAnsi="Times New Roman" w:cs="Times New Roman"/>
          <w:sz w:val="24"/>
          <w:szCs w:val="24"/>
        </w:rPr>
        <w:t xml:space="preserve"> </w:t>
      </w:r>
      <w:r w:rsidR="000948DF" w:rsidRPr="001F28A5">
        <w:rPr>
          <w:rFonts w:ascii="Times New Roman" w:hAnsi="Times New Roman" w:cs="Times New Roman"/>
          <w:sz w:val="24"/>
          <w:szCs w:val="24"/>
        </w:rPr>
        <w:t xml:space="preserve"> </w:t>
      </w:r>
    </w:p>
    <w:p w14:paraId="3DFA8496" w14:textId="77777777" w:rsidR="001F28A5" w:rsidRPr="001F28A5" w:rsidRDefault="001F28A5" w:rsidP="001F28A5">
      <w:pPr>
        <w:pStyle w:val="ListParagraph"/>
        <w:rPr>
          <w:rFonts w:ascii="Times New Roman" w:hAnsi="Times New Roman" w:cs="Times New Roman"/>
          <w:sz w:val="24"/>
          <w:szCs w:val="24"/>
        </w:rPr>
      </w:pPr>
    </w:p>
    <w:p w14:paraId="4EBD40FD" w14:textId="77777777" w:rsidR="001F28A5" w:rsidRDefault="00940ED4"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Visibility of the Agency in the rural areas is a major issue that urgently </w:t>
      </w:r>
      <w:r w:rsidR="00DA2095" w:rsidRPr="00F63E77">
        <w:rPr>
          <w:rFonts w:ascii="Times New Roman" w:hAnsi="Times New Roman" w:cs="Times New Roman"/>
          <w:sz w:val="24"/>
          <w:szCs w:val="24"/>
        </w:rPr>
        <w:t>need</w:t>
      </w:r>
      <w:r w:rsidR="00F63E77" w:rsidRPr="00F63E77">
        <w:rPr>
          <w:rFonts w:ascii="Times New Roman" w:hAnsi="Times New Roman" w:cs="Times New Roman"/>
          <w:sz w:val="24"/>
          <w:szCs w:val="24"/>
        </w:rPr>
        <w:t>s</w:t>
      </w:r>
      <w:r w:rsidR="00DA2095" w:rsidRPr="00F63E77">
        <w:rPr>
          <w:rFonts w:ascii="Times New Roman" w:hAnsi="Times New Roman" w:cs="Times New Roman"/>
          <w:sz w:val="24"/>
          <w:szCs w:val="24"/>
        </w:rPr>
        <w:t xml:space="preserve"> </w:t>
      </w:r>
      <w:r w:rsidR="004E4172" w:rsidRPr="00F63E77">
        <w:rPr>
          <w:rFonts w:ascii="Times New Roman" w:hAnsi="Times New Roman" w:cs="Times New Roman"/>
          <w:sz w:val="24"/>
          <w:szCs w:val="24"/>
        </w:rPr>
        <w:t>attention. T</w:t>
      </w:r>
      <w:r w:rsidRPr="00F63E77">
        <w:rPr>
          <w:rFonts w:ascii="Times New Roman" w:hAnsi="Times New Roman" w:cs="Times New Roman"/>
          <w:sz w:val="24"/>
          <w:szCs w:val="24"/>
        </w:rPr>
        <w:t xml:space="preserve">he Agency </w:t>
      </w:r>
      <w:r w:rsidR="004E4172" w:rsidRPr="00F63E77">
        <w:rPr>
          <w:rFonts w:ascii="Times New Roman" w:hAnsi="Times New Roman" w:cs="Times New Roman"/>
          <w:sz w:val="24"/>
          <w:szCs w:val="24"/>
        </w:rPr>
        <w:t>need</w:t>
      </w:r>
      <w:r w:rsidR="00DA2095" w:rsidRPr="00F63E77">
        <w:rPr>
          <w:rFonts w:ascii="Times New Roman" w:hAnsi="Times New Roman" w:cs="Times New Roman"/>
          <w:sz w:val="24"/>
          <w:szCs w:val="24"/>
        </w:rPr>
        <w:t>s</w:t>
      </w:r>
      <w:r w:rsidR="004E4172" w:rsidRPr="00F63E77">
        <w:rPr>
          <w:rFonts w:ascii="Times New Roman" w:hAnsi="Times New Roman" w:cs="Times New Roman"/>
          <w:sz w:val="24"/>
          <w:szCs w:val="24"/>
        </w:rPr>
        <w:t xml:space="preserve"> </w:t>
      </w:r>
      <w:r w:rsidRPr="00F63E77">
        <w:rPr>
          <w:rFonts w:ascii="Times New Roman" w:hAnsi="Times New Roman" w:cs="Times New Roman"/>
          <w:sz w:val="24"/>
          <w:szCs w:val="24"/>
        </w:rPr>
        <w:t>to develop</w:t>
      </w:r>
      <w:r w:rsidR="004E4172" w:rsidRPr="00F63E77">
        <w:rPr>
          <w:rFonts w:ascii="Times New Roman" w:hAnsi="Times New Roman" w:cs="Times New Roman"/>
          <w:sz w:val="24"/>
          <w:szCs w:val="24"/>
        </w:rPr>
        <w:t xml:space="preserve"> a</w:t>
      </w:r>
      <w:r w:rsidRPr="00F63E77">
        <w:rPr>
          <w:rFonts w:ascii="Times New Roman" w:hAnsi="Times New Roman" w:cs="Times New Roman"/>
          <w:sz w:val="24"/>
          <w:szCs w:val="24"/>
        </w:rPr>
        <w:t xml:space="preserve"> strategy </w:t>
      </w:r>
      <w:r w:rsidR="004E4172" w:rsidRPr="00F63E77">
        <w:rPr>
          <w:rFonts w:ascii="Times New Roman" w:hAnsi="Times New Roman" w:cs="Times New Roman"/>
          <w:sz w:val="24"/>
          <w:szCs w:val="24"/>
        </w:rPr>
        <w:t>intended to establish satellite offices in every district municipality in the country.</w:t>
      </w:r>
      <w:r w:rsidR="004E4172" w:rsidRPr="001F28A5">
        <w:rPr>
          <w:rFonts w:ascii="Times New Roman" w:hAnsi="Times New Roman" w:cs="Times New Roman"/>
          <w:sz w:val="24"/>
          <w:szCs w:val="24"/>
        </w:rPr>
        <w:t xml:space="preserve"> </w:t>
      </w:r>
    </w:p>
    <w:p w14:paraId="4D730339" w14:textId="77777777" w:rsidR="001F28A5" w:rsidRPr="001F28A5" w:rsidRDefault="001F28A5" w:rsidP="001F28A5">
      <w:pPr>
        <w:pStyle w:val="ListParagraph"/>
        <w:rPr>
          <w:rFonts w:ascii="Times New Roman" w:hAnsi="Times New Roman" w:cs="Times New Roman"/>
          <w:sz w:val="24"/>
          <w:szCs w:val="24"/>
        </w:rPr>
      </w:pPr>
    </w:p>
    <w:p w14:paraId="504F8F54" w14:textId="77777777" w:rsidR="001F28A5" w:rsidRDefault="004E4172"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Agency should ensure that </w:t>
      </w:r>
      <w:r w:rsidR="00DA2095" w:rsidRPr="00F63E77">
        <w:rPr>
          <w:rFonts w:ascii="Times New Roman" w:hAnsi="Times New Roman" w:cs="Times New Roman"/>
          <w:sz w:val="24"/>
          <w:szCs w:val="24"/>
        </w:rPr>
        <w:t xml:space="preserve">the </w:t>
      </w:r>
      <w:r w:rsidRPr="00F63E77">
        <w:rPr>
          <w:rFonts w:ascii="Times New Roman" w:hAnsi="Times New Roman" w:cs="Times New Roman"/>
          <w:sz w:val="24"/>
          <w:szCs w:val="24"/>
        </w:rPr>
        <w:t>Integrated Youth Devel</w:t>
      </w:r>
      <w:r w:rsidR="00DA2095" w:rsidRPr="00F63E77">
        <w:rPr>
          <w:rFonts w:ascii="Times New Roman" w:hAnsi="Times New Roman" w:cs="Times New Roman"/>
          <w:sz w:val="24"/>
          <w:szCs w:val="24"/>
        </w:rPr>
        <w:t>opment Strategy addresses socio</w:t>
      </w:r>
      <w:r w:rsidRPr="00F63E77">
        <w:rPr>
          <w:rFonts w:ascii="Times New Roman" w:hAnsi="Times New Roman" w:cs="Times New Roman"/>
          <w:sz w:val="24"/>
          <w:szCs w:val="24"/>
        </w:rPr>
        <w:t xml:space="preserve">economic development challenges facing the youth. </w:t>
      </w:r>
      <w:r w:rsidR="00CC44C6" w:rsidRPr="00F63E77">
        <w:rPr>
          <w:rFonts w:ascii="Times New Roman" w:hAnsi="Times New Roman" w:cs="Times New Roman"/>
          <w:sz w:val="24"/>
          <w:szCs w:val="24"/>
        </w:rPr>
        <w:t>The Committ</w:t>
      </w:r>
      <w:r w:rsidR="00DA2095" w:rsidRPr="00F63E77">
        <w:rPr>
          <w:rFonts w:ascii="Times New Roman" w:hAnsi="Times New Roman" w:cs="Times New Roman"/>
          <w:sz w:val="24"/>
          <w:szCs w:val="24"/>
        </w:rPr>
        <w:t xml:space="preserve">ee urged the Agency to lobby </w:t>
      </w:r>
      <w:r w:rsidR="00CC44C6" w:rsidRPr="00F63E77">
        <w:rPr>
          <w:rFonts w:ascii="Times New Roman" w:hAnsi="Times New Roman" w:cs="Times New Roman"/>
          <w:sz w:val="24"/>
          <w:szCs w:val="24"/>
        </w:rPr>
        <w:t xml:space="preserve">key departments </w:t>
      </w:r>
      <w:r w:rsidR="00DA2095" w:rsidRPr="00F63E77">
        <w:rPr>
          <w:rFonts w:ascii="Times New Roman" w:hAnsi="Times New Roman" w:cs="Times New Roman"/>
          <w:sz w:val="24"/>
          <w:szCs w:val="24"/>
        </w:rPr>
        <w:t xml:space="preserve">to </w:t>
      </w:r>
      <w:r w:rsidR="00CC44C6" w:rsidRPr="00F63E77">
        <w:rPr>
          <w:rFonts w:ascii="Times New Roman" w:hAnsi="Times New Roman" w:cs="Times New Roman"/>
          <w:sz w:val="24"/>
          <w:szCs w:val="24"/>
        </w:rPr>
        <w:t xml:space="preserve">prioritise youth development matters </w:t>
      </w:r>
      <w:r w:rsidR="00B424B9" w:rsidRPr="00F63E77">
        <w:rPr>
          <w:rFonts w:ascii="Times New Roman" w:hAnsi="Times New Roman" w:cs="Times New Roman"/>
          <w:sz w:val="24"/>
          <w:szCs w:val="24"/>
        </w:rPr>
        <w:t>and d</w:t>
      </w:r>
      <w:r w:rsidR="00DA2095" w:rsidRPr="00F63E77">
        <w:rPr>
          <w:rFonts w:ascii="Times New Roman" w:hAnsi="Times New Roman" w:cs="Times New Roman"/>
          <w:sz w:val="24"/>
          <w:szCs w:val="24"/>
        </w:rPr>
        <w:t>edicate a particular percent of the</w:t>
      </w:r>
      <w:r w:rsidR="00B424B9" w:rsidRPr="00F63E77">
        <w:rPr>
          <w:rFonts w:ascii="Times New Roman" w:hAnsi="Times New Roman" w:cs="Times New Roman"/>
          <w:sz w:val="24"/>
          <w:szCs w:val="24"/>
        </w:rPr>
        <w:t xml:space="preserve"> budget </w:t>
      </w:r>
      <w:r w:rsidR="00DA2095" w:rsidRPr="00F63E77">
        <w:rPr>
          <w:rFonts w:ascii="Times New Roman" w:hAnsi="Times New Roman" w:cs="Times New Roman"/>
          <w:sz w:val="24"/>
          <w:szCs w:val="24"/>
        </w:rPr>
        <w:t xml:space="preserve">for </w:t>
      </w:r>
      <w:r w:rsidR="00B424B9" w:rsidRPr="00F63E77">
        <w:rPr>
          <w:rFonts w:ascii="Times New Roman" w:hAnsi="Times New Roman" w:cs="Times New Roman"/>
          <w:sz w:val="24"/>
          <w:szCs w:val="24"/>
        </w:rPr>
        <w:t>youth</w:t>
      </w:r>
      <w:r w:rsidR="00DA2095" w:rsidRPr="00F63E77">
        <w:rPr>
          <w:rFonts w:ascii="Times New Roman" w:hAnsi="Times New Roman" w:cs="Times New Roman"/>
          <w:sz w:val="24"/>
          <w:szCs w:val="24"/>
        </w:rPr>
        <w:t xml:space="preserve"> programs</w:t>
      </w:r>
      <w:r w:rsidR="00B424B9" w:rsidRPr="00F63E77">
        <w:rPr>
          <w:rFonts w:ascii="Times New Roman" w:hAnsi="Times New Roman" w:cs="Times New Roman"/>
          <w:sz w:val="24"/>
          <w:szCs w:val="24"/>
        </w:rPr>
        <w:t xml:space="preserve">. </w:t>
      </w:r>
      <w:r w:rsidRPr="00F63E77">
        <w:rPr>
          <w:rFonts w:ascii="Times New Roman" w:hAnsi="Times New Roman" w:cs="Times New Roman"/>
          <w:sz w:val="24"/>
          <w:szCs w:val="24"/>
        </w:rPr>
        <w:t xml:space="preserve">The National Youth Development Agency </w:t>
      </w:r>
      <w:r w:rsidR="005A2D93" w:rsidRPr="00F63E77">
        <w:rPr>
          <w:rFonts w:ascii="Times New Roman" w:hAnsi="Times New Roman" w:cs="Times New Roman"/>
          <w:sz w:val="24"/>
          <w:szCs w:val="24"/>
        </w:rPr>
        <w:t>should present the strategy to the Committee in the fourth quarter of 2017/18 financial year.</w:t>
      </w:r>
    </w:p>
    <w:p w14:paraId="173A5964" w14:textId="77777777" w:rsidR="001F28A5" w:rsidRPr="001F28A5" w:rsidRDefault="001F28A5" w:rsidP="001F28A5">
      <w:pPr>
        <w:pStyle w:val="ListParagraph"/>
        <w:rPr>
          <w:rFonts w:ascii="Times New Roman" w:hAnsi="Times New Roman" w:cs="Times New Roman"/>
          <w:sz w:val="24"/>
          <w:szCs w:val="24"/>
        </w:rPr>
      </w:pPr>
    </w:p>
    <w:p w14:paraId="34841CEF" w14:textId="77777777" w:rsidR="001F28A5" w:rsidRDefault="00940ED4"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 </w:t>
      </w:r>
      <w:r w:rsidR="005A2D93" w:rsidRPr="00F63E77">
        <w:rPr>
          <w:rFonts w:ascii="Times New Roman" w:hAnsi="Times New Roman" w:cs="Times New Roman"/>
          <w:sz w:val="24"/>
          <w:szCs w:val="24"/>
        </w:rPr>
        <w:t xml:space="preserve">The National Youth Development Agency was encouraged to lobby and partner with Skills Education Training Authorities (SETAs) in training </w:t>
      </w:r>
      <w:r w:rsidR="00780055" w:rsidRPr="00F63E77">
        <w:rPr>
          <w:rFonts w:ascii="Times New Roman" w:hAnsi="Times New Roman" w:cs="Times New Roman"/>
          <w:sz w:val="24"/>
          <w:szCs w:val="24"/>
        </w:rPr>
        <w:t xml:space="preserve">both skilled </w:t>
      </w:r>
      <w:r w:rsidR="005A2D93" w:rsidRPr="00F63E77">
        <w:rPr>
          <w:rFonts w:ascii="Times New Roman" w:hAnsi="Times New Roman" w:cs="Times New Roman"/>
          <w:sz w:val="24"/>
          <w:szCs w:val="24"/>
        </w:rPr>
        <w:t>and uns</w:t>
      </w:r>
      <w:r w:rsidR="00CC44C6" w:rsidRPr="00F63E77">
        <w:rPr>
          <w:rFonts w:ascii="Times New Roman" w:hAnsi="Times New Roman" w:cs="Times New Roman"/>
          <w:sz w:val="24"/>
          <w:szCs w:val="24"/>
        </w:rPr>
        <w:t>killed young people. The Agency should increase its targets on skills and training development taking into consideration that 59.4% of young people are without matric.</w:t>
      </w:r>
      <w:r w:rsidR="001115FA" w:rsidRPr="001F28A5">
        <w:rPr>
          <w:rFonts w:ascii="Times New Roman" w:hAnsi="Times New Roman" w:cs="Times New Roman"/>
          <w:sz w:val="24"/>
          <w:szCs w:val="24"/>
        </w:rPr>
        <w:t xml:space="preserve"> </w:t>
      </w:r>
    </w:p>
    <w:p w14:paraId="4B56BADD" w14:textId="77777777" w:rsidR="001F28A5" w:rsidRPr="001F28A5" w:rsidRDefault="001F28A5" w:rsidP="001F28A5">
      <w:pPr>
        <w:pStyle w:val="ListParagraph"/>
        <w:rPr>
          <w:rFonts w:ascii="Times New Roman" w:hAnsi="Times New Roman" w:cs="Times New Roman"/>
          <w:sz w:val="24"/>
          <w:szCs w:val="24"/>
        </w:rPr>
      </w:pPr>
    </w:p>
    <w:p w14:paraId="594B9969" w14:textId="77777777" w:rsidR="001F28A5" w:rsidRDefault="001115FA"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The Agency was encouraged to partner with the National School of Government on the programme called Breaking Barriers to Entry</w:t>
      </w:r>
      <w:r w:rsidR="000D3D51" w:rsidRPr="00F63E77">
        <w:rPr>
          <w:rFonts w:ascii="Times New Roman" w:hAnsi="Times New Roman" w:cs="Times New Roman"/>
          <w:sz w:val="24"/>
          <w:szCs w:val="24"/>
        </w:rPr>
        <w:t>, where it aimed to train</w:t>
      </w:r>
      <w:r w:rsidRPr="00F63E77">
        <w:rPr>
          <w:rFonts w:ascii="Times New Roman" w:hAnsi="Times New Roman" w:cs="Times New Roman"/>
          <w:sz w:val="24"/>
          <w:szCs w:val="24"/>
        </w:rPr>
        <w:t xml:space="preserve"> unemployment graduates to undergo service orientation to prepare them for any jobs in the public service. The Na</w:t>
      </w:r>
      <w:r w:rsidR="00DA2095" w:rsidRPr="00F63E77">
        <w:rPr>
          <w:rFonts w:ascii="Times New Roman" w:hAnsi="Times New Roman" w:cs="Times New Roman"/>
          <w:sz w:val="24"/>
          <w:szCs w:val="24"/>
        </w:rPr>
        <w:t>tional School of Government was</w:t>
      </w:r>
      <w:r w:rsidRPr="00F63E77">
        <w:rPr>
          <w:rFonts w:ascii="Times New Roman" w:hAnsi="Times New Roman" w:cs="Times New Roman"/>
          <w:sz w:val="24"/>
          <w:szCs w:val="24"/>
        </w:rPr>
        <w:t xml:space="preserve"> unable to reach their targets in 2016/17 financial year.</w:t>
      </w:r>
      <w:r w:rsidRPr="001F28A5">
        <w:rPr>
          <w:rFonts w:ascii="Times New Roman" w:hAnsi="Times New Roman" w:cs="Times New Roman"/>
          <w:sz w:val="24"/>
          <w:szCs w:val="24"/>
        </w:rPr>
        <w:t xml:space="preserve">  </w:t>
      </w:r>
      <w:r w:rsidR="00CC44C6" w:rsidRPr="001F28A5">
        <w:rPr>
          <w:rFonts w:ascii="Times New Roman" w:hAnsi="Times New Roman" w:cs="Times New Roman"/>
          <w:sz w:val="24"/>
          <w:szCs w:val="24"/>
        </w:rPr>
        <w:t xml:space="preserve"> </w:t>
      </w:r>
    </w:p>
    <w:p w14:paraId="444924EA" w14:textId="77777777" w:rsidR="001F28A5" w:rsidRPr="001F28A5" w:rsidRDefault="001F28A5" w:rsidP="001F28A5">
      <w:pPr>
        <w:pStyle w:val="ListParagraph"/>
        <w:rPr>
          <w:rFonts w:ascii="Times New Roman" w:hAnsi="Times New Roman" w:cs="Times New Roman"/>
          <w:sz w:val="24"/>
          <w:szCs w:val="24"/>
        </w:rPr>
      </w:pPr>
    </w:p>
    <w:p w14:paraId="451A01B2" w14:textId="77777777" w:rsidR="001F28A5" w:rsidRPr="00F63E77" w:rsidRDefault="00CC44C6"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National Youth Development Agency should intensify its efforts aimed to promote social cohesion among young people. </w:t>
      </w:r>
    </w:p>
    <w:p w14:paraId="11BFD798" w14:textId="77777777" w:rsidR="001F28A5" w:rsidRPr="001F28A5" w:rsidRDefault="001F28A5" w:rsidP="001F28A5">
      <w:pPr>
        <w:pStyle w:val="ListParagraph"/>
        <w:rPr>
          <w:rFonts w:ascii="Times New Roman" w:hAnsi="Times New Roman" w:cs="Times New Roman"/>
          <w:sz w:val="24"/>
          <w:szCs w:val="24"/>
        </w:rPr>
      </w:pPr>
    </w:p>
    <w:p w14:paraId="07BE921A" w14:textId="77777777" w:rsidR="001F28A5" w:rsidRDefault="00CC44C6"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 xml:space="preserve">The Chairperson of the NYDA assured the Committee that despite the resignation of the Chief Executive Officer, the Agency will continue to maintain its clean audits over the medium terms. The Committee will hold the Agency accountable on their performance on </w:t>
      </w:r>
      <w:r w:rsidR="00DA2095" w:rsidRPr="00F63E77">
        <w:rPr>
          <w:rFonts w:ascii="Times New Roman" w:hAnsi="Times New Roman" w:cs="Times New Roman"/>
          <w:sz w:val="24"/>
          <w:szCs w:val="24"/>
        </w:rPr>
        <w:t xml:space="preserve">a </w:t>
      </w:r>
      <w:r w:rsidRPr="00F63E77">
        <w:rPr>
          <w:rFonts w:ascii="Times New Roman" w:hAnsi="Times New Roman" w:cs="Times New Roman"/>
          <w:sz w:val="24"/>
          <w:szCs w:val="24"/>
        </w:rPr>
        <w:t>quarterly basis.</w:t>
      </w:r>
      <w:r w:rsidRPr="001F28A5">
        <w:rPr>
          <w:rFonts w:ascii="Times New Roman" w:hAnsi="Times New Roman" w:cs="Times New Roman"/>
          <w:sz w:val="24"/>
          <w:szCs w:val="24"/>
        </w:rPr>
        <w:t xml:space="preserve">  </w:t>
      </w:r>
    </w:p>
    <w:p w14:paraId="34F7A58B" w14:textId="77777777" w:rsidR="001F28A5" w:rsidRPr="001F28A5" w:rsidRDefault="001F28A5" w:rsidP="001F28A5">
      <w:pPr>
        <w:pStyle w:val="ListParagraph"/>
        <w:rPr>
          <w:rFonts w:ascii="Times New Roman" w:hAnsi="Times New Roman" w:cs="Times New Roman"/>
          <w:sz w:val="24"/>
          <w:szCs w:val="24"/>
        </w:rPr>
      </w:pPr>
    </w:p>
    <w:p w14:paraId="1B96A4E2" w14:textId="77777777" w:rsidR="00124737" w:rsidRPr="001F28A5" w:rsidRDefault="00780055" w:rsidP="001F28A5">
      <w:pPr>
        <w:pStyle w:val="ListParagraph"/>
        <w:numPr>
          <w:ilvl w:val="1"/>
          <w:numId w:val="1"/>
        </w:numPr>
        <w:spacing w:line="360" w:lineRule="auto"/>
        <w:ind w:left="993" w:hanging="633"/>
        <w:jc w:val="both"/>
        <w:rPr>
          <w:rFonts w:ascii="Times New Roman" w:hAnsi="Times New Roman" w:cs="Times New Roman"/>
          <w:sz w:val="24"/>
          <w:szCs w:val="24"/>
        </w:rPr>
      </w:pPr>
      <w:r w:rsidRPr="00F63E77">
        <w:rPr>
          <w:rFonts w:ascii="Times New Roman" w:hAnsi="Times New Roman" w:cs="Times New Roman"/>
          <w:sz w:val="24"/>
          <w:szCs w:val="24"/>
        </w:rPr>
        <w:t>The Committee welcomed the initiative by the National Youth Development Agency to host the Job Creation Indaba to lobby public and private sector in prioritising and employing young people. Among issues to be discussed are 35% of government business should benefit the youth</w:t>
      </w:r>
      <w:r w:rsidR="001115FA" w:rsidRPr="00F63E77">
        <w:rPr>
          <w:rFonts w:ascii="Times New Roman" w:hAnsi="Times New Roman" w:cs="Times New Roman"/>
          <w:sz w:val="24"/>
          <w:szCs w:val="24"/>
        </w:rPr>
        <w:t xml:space="preserve"> and </w:t>
      </w:r>
      <w:r w:rsidRPr="00F63E77">
        <w:rPr>
          <w:rFonts w:ascii="Times New Roman" w:hAnsi="Times New Roman" w:cs="Times New Roman"/>
          <w:sz w:val="24"/>
          <w:szCs w:val="24"/>
        </w:rPr>
        <w:t>relaxation of</w:t>
      </w:r>
      <w:r w:rsidR="001115FA" w:rsidRPr="00F63E77">
        <w:rPr>
          <w:rFonts w:ascii="Times New Roman" w:hAnsi="Times New Roman" w:cs="Times New Roman"/>
          <w:sz w:val="24"/>
          <w:szCs w:val="24"/>
        </w:rPr>
        <w:t xml:space="preserve"> requirement of</w:t>
      </w:r>
      <w:r w:rsidRPr="00F63E77">
        <w:rPr>
          <w:rFonts w:ascii="Times New Roman" w:hAnsi="Times New Roman" w:cs="Times New Roman"/>
          <w:sz w:val="24"/>
          <w:szCs w:val="24"/>
        </w:rPr>
        <w:t xml:space="preserve"> work experience</w:t>
      </w:r>
      <w:r w:rsidR="001115FA" w:rsidRPr="00F63E77">
        <w:rPr>
          <w:rFonts w:ascii="Times New Roman" w:hAnsi="Times New Roman" w:cs="Times New Roman"/>
          <w:sz w:val="24"/>
          <w:szCs w:val="24"/>
        </w:rPr>
        <w:t xml:space="preserve"> for entry job market position.</w:t>
      </w:r>
      <w:r w:rsidR="001115FA" w:rsidRPr="001F28A5">
        <w:rPr>
          <w:rFonts w:ascii="Times New Roman" w:hAnsi="Times New Roman" w:cs="Times New Roman"/>
          <w:sz w:val="24"/>
          <w:szCs w:val="24"/>
        </w:rPr>
        <w:t xml:space="preserve">  </w:t>
      </w:r>
      <w:r w:rsidRPr="001F28A5">
        <w:rPr>
          <w:rFonts w:ascii="Times New Roman" w:hAnsi="Times New Roman" w:cs="Times New Roman"/>
          <w:sz w:val="24"/>
          <w:szCs w:val="24"/>
        </w:rPr>
        <w:t xml:space="preserve">   </w:t>
      </w:r>
      <w:r w:rsidR="00CC44C6" w:rsidRPr="001F28A5">
        <w:rPr>
          <w:rFonts w:ascii="Times New Roman" w:hAnsi="Times New Roman" w:cs="Times New Roman"/>
          <w:sz w:val="24"/>
          <w:szCs w:val="24"/>
        </w:rPr>
        <w:t xml:space="preserve"> </w:t>
      </w:r>
      <w:r w:rsidR="00123D4A" w:rsidRPr="001F28A5">
        <w:rPr>
          <w:rFonts w:ascii="Times New Roman" w:hAnsi="Times New Roman" w:cs="Times New Roman"/>
          <w:sz w:val="24"/>
          <w:szCs w:val="24"/>
        </w:rPr>
        <w:t xml:space="preserve">  </w:t>
      </w:r>
    </w:p>
    <w:p w14:paraId="7D402E57" w14:textId="77777777" w:rsidR="00400551" w:rsidRDefault="00400551" w:rsidP="00400551">
      <w:pPr>
        <w:pStyle w:val="ListParagraph"/>
        <w:rPr>
          <w:rFonts w:ascii="Times New Roman" w:hAnsi="Times New Roman" w:cs="Times New Roman"/>
          <w:sz w:val="24"/>
          <w:szCs w:val="24"/>
        </w:rPr>
      </w:pPr>
    </w:p>
    <w:p w14:paraId="223EC14F" w14:textId="77777777" w:rsidR="005D3E2F" w:rsidRDefault="005D3E2F" w:rsidP="00400551">
      <w:pPr>
        <w:pStyle w:val="ListParagraph"/>
        <w:rPr>
          <w:rFonts w:ascii="Times New Roman" w:hAnsi="Times New Roman" w:cs="Times New Roman"/>
          <w:sz w:val="24"/>
          <w:szCs w:val="24"/>
        </w:rPr>
      </w:pPr>
    </w:p>
    <w:p w14:paraId="5C8AB75C" w14:textId="77777777" w:rsidR="005D3E2F" w:rsidRDefault="005D3E2F" w:rsidP="00400551">
      <w:pPr>
        <w:pStyle w:val="ListParagraph"/>
        <w:rPr>
          <w:rFonts w:ascii="Times New Roman" w:hAnsi="Times New Roman" w:cs="Times New Roman"/>
          <w:sz w:val="24"/>
          <w:szCs w:val="24"/>
        </w:rPr>
      </w:pPr>
    </w:p>
    <w:p w14:paraId="50A91F16" w14:textId="77777777" w:rsidR="005D3E2F" w:rsidRDefault="005D3E2F" w:rsidP="00400551">
      <w:pPr>
        <w:pStyle w:val="ListParagraph"/>
        <w:rPr>
          <w:rFonts w:ascii="Times New Roman" w:hAnsi="Times New Roman" w:cs="Times New Roman"/>
          <w:sz w:val="24"/>
          <w:szCs w:val="24"/>
        </w:rPr>
      </w:pPr>
    </w:p>
    <w:p w14:paraId="031A6098" w14:textId="77777777" w:rsidR="005D3E2F" w:rsidRDefault="005D3E2F" w:rsidP="00400551">
      <w:pPr>
        <w:pStyle w:val="ListParagraph"/>
        <w:rPr>
          <w:rFonts w:ascii="Times New Roman" w:hAnsi="Times New Roman" w:cs="Times New Roman"/>
          <w:sz w:val="24"/>
          <w:szCs w:val="24"/>
        </w:rPr>
      </w:pPr>
    </w:p>
    <w:p w14:paraId="25F85347" w14:textId="77777777" w:rsidR="005D3E2F" w:rsidRPr="003D1597" w:rsidRDefault="005D3E2F" w:rsidP="00400551">
      <w:pPr>
        <w:pStyle w:val="ListParagraph"/>
        <w:rPr>
          <w:rFonts w:ascii="Times New Roman" w:hAnsi="Times New Roman" w:cs="Times New Roman"/>
          <w:sz w:val="24"/>
          <w:szCs w:val="24"/>
        </w:rPr>
      </w:pPr>
    </w:p>
    <w:p w14:paraId="429F9D24" w14:textId="77777777" w:rsidR="00842BCD" w:rsidRPr="00F63E77" w:rsidRDefault="00842BCD" w:rsidP="000D3D51">
      <w:pPr>
        <w:pStyle w:val="ListParagraph"/>
        <w:numPr>
          <w:ilvl w:val="0"/>
          <w:numId w:val="1"/>
        </w:numPr>
        <w:spacing w:line="360" w:lineRule="auto"/>
        <w:ind w:hanging="720"/>
        <w:jc w:val="both"/>
        <w:rPr>
          <w:rFonts w:ascii="Times New Roman" w:hAnsi="Times New Roman" w:cs="Times New Roman"/>
          <w:b/>
          <w:sz w:val="24"/>
          <w:szCs w:val="24"/>
        </w:rPr>
      </w:pPr>
      <w:r w:rsidRPr="00F63E77">
        <w:rPr>
          <w:rFonts w:ascii="Times New Roman" w:hAnsi="Times New Roman" w:cs="Times New Roman"/>
          <w:b/>
          <w:sz w:val="24"/>
          <w:szCs w:val="24"/>
        </w:rPr>
        <w:t>The Portfolio Committee recommends as follows:</w:t>
      </w:r>
    </w:p>
    <w:p w14:paraId="005C5077" w14:textId="77777777" w:rsidR="00842BCD" w:rsidRPr="00F63E77" w:rsidRDefault="003346DF" w:rsidP="0024709B">
      <w:pPr>
        <w:spacing w:line="360" w:lineRule="auto"/>
        <w:ind w:left="709" w:hanging="709"/>
        <w:jc w:val="both"/>
        <w:rPr>
          <w:rFonts w:ascii="Times New Roman" w:hAnsi="Times New Roman" w:cs="Times New Roman"/>
          <w:sz w:val="24"/>
          <w:szCs w:val="24"/>
        </w:rPr>
      </w:pPr>
      <w:r w:rsidRPr="00F63E77">
        <w:rPr>
          <w:rFonts w:ascii="Times New Roman" w:hAnsi="Times New Roman" w:cs="Times New Roman"/>
          <w:b/>
          <w:sz w:val="24"/>
          <w:szCs w:val="24"/>
        </w:rPr>
        <w:t>6</w:t>
      </w:r>
      <w:r w:rsidR="00842BCD" w:rsidRPr="00F63E77">
        <w:rPr>
          <w:rFonts w:ascii="Times New Roman" w:hAnsi="Times New Roman" w:cs="Times New Roman"/>
          <w:b/>
          <w:sz w:val="24"/>
          <w:szCs w:val="24"/>
        </w:rPr>
        <w:t>.</w:t>
      </w:r>
      <w:r w:rsidR="00842BCD" w:rsidRPr="00F63E77">
        <w:rPr>
          <w:rFonts w:ascii="Times New Roman" w:hAnsi="Times New Roman" w:cs="Times New Roman"/>
          <w:sz w:val="24"/>
          <w:szCs w:val="24"/>
        </w:rPr>
        <w:t>1</w:t>
      </w:r>
      <w:r w:rsidR="00842BCD" w:rsidRPr="00F63E77">
        <w:rPr>
          <w:rFonts w:ascii="Times New Roman" w:hAnsi="Times New Roman" w:cs="Times New Roman"/>
          <w:sz w:val="24"/>
          <w:szCs w:val="24"/>
        </w:rPr>
        <w:tab/>
        <w:t xml:space="preserve">That the House adopts and approve </w:t>
      </w:r>
      <w:r w:rsidR="000D3D51" w:rsidRPr="00F63E77">
        <w:rPr>
          <w:rFonts w:ascii="Times New Roman" w:hAnsi="Times New Roman" w:cs="Times New Roman"/>
          <w:sz w:val="24"/>
          <w:szCs w:val="24"/>
        </w:rPr>
        <w:t>the second</w:t>
      </w:r>
      <w:r w:rsidR="00842BCD" w:rsidRPr="00F63E77">
        <w:rPr>
          <w:rFonts w:ascii="Times New Roman" w:hAnsi="Times New Roman" w:cs="Times New Roman"/>
          <w:sz w:val="24"/>
          <w:szCs w:val="24"/>
        </w:rPr>
        <w:t xml:space="preserve"> quarter performance of the Budget Vote 8 of the Department of Planning, Monitoring and Evaluation</w:t>
      </w:r>
      <w:r w:rsidR="000D3D51" w:rsidRPr="00F63E77">
        <w:rPr>
          <w:rFonts w:ascii="Times New Roman" w:hAnsi="Times New Roman" w:cs="Times New Roman"/>
          <w:sz w:val="24"/>
          <w:szCs w:val="24"/>
        </w:rPr>
        <w:t xml:space="preserve"> and the National Youth Development Agency. </w:t>
      </w:r>
    </w:p>
    <w:p w14:paraId="7087854C" w14:textId="77777777" w:rsidR="00842BCD" w:rsidRPr="003D1597" w:rsidRDefault="00842BCD" w:rsidP="00842BCD">
      <w:pPr>
        <w:pStyle w:val="ListParagraph"/>
        <w:spacing w:line="360" w:lineRule="auto"/>
        <w:jc w:val="both"/>
        <w:rPr>
          <w:rFonts w:ascii="Times New Roman" w:hAnsi="Times New Roman" w:cs="Times New Roman"/>
          <w:sz w:val="24"/>
          <w:szCs w:val="24"/>
        </w:rPr>
      </w:pPr>
    </w:p>
    <w:p w14:paraId="1A11AAED" w14:textId="77777777" w:rsidR="00842BCD" w:rsidRPr="00F63E77" w:rsidRDefault="00842BCD" w:rsidP="00842BCD">
      <w:pPr>
        <w:spacing w:line="360" w:lineRule="auto"/>
        <w:jc w:val="both"/>
        <w:rPr>
          <w:rFonts w:ascii="Times New Roman" w:hAnsi="Times New Roman" w:cs="Times New Roman"/>
          <w:sz w:val="24"/>
          <w:szCs w:val="24"/>
        </w:rPr>
      </w:pPr>
      <w:r w:rsidRPr="00F63E77">
        <w:rPr>
          <w:rFonts w:ascii="Times New Roman" w:hAnsi="Times New Roman" w:cs="Times New Roman"/>
          <w:sz w:val="24"/>
          <w:szCs w:val="24"/>
        </w:rPr>
        <w:t xml:space="preserve">Report </w:t>
      </w:r>
      <w:r w:rsidR="00E21AF6" w:rsidRPr="00F63E77">
        <w:rPr>
          <w:rFonts w:ascii="Times New Roman" w:hAnsi="Times New Roman" w:cs="Times New Roman"/>
          <w:sz w:val="24"/>
          <w:szCs w:val="24"/>
        </w:rPr>
        <w:t xml:space="preserve">to be </w:t>
      </w:r>
      <w:r w:rsidRPr="00F63E77">
        <w:rPr>
          <w:rFonts w:ascii="Times New Roman" w:hAnsi="Times New Roman" w:cs="Times New Roman"/>
          <w:sz w:val="24"/>
          <w:szCs w:val="24"/>
        </w:rPr>
        <w:t>considered</w:t>
      </w:r>
    </w:p>
    <w:p w14:paraId="32D700C5" w14:textId="77777777" w:rsidR="00842BCD" w:rsidRPr="003D1597" w:rsidRDefault="00842BCD" w:rsidP="00842BCD">
      <w:pPr>
        <w:spacing w:line="360" w:lineRule="auto"/>
        <w:jc w:val="both"/>
        <w:rPr>
          <w:rFonts w:ascii="Times New Roman" w:hAnsi="Times New Roman" w:cs="Times New Roman"/>
          <w:sz w:val="24"/>
          <w:szCs w:val="24"/>
        </w:rPr>
      </w:pPr>
    </w:p>
    <w:sectPr w:rsidR="00842BCD" w:rsidRPr="003D15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2333" w14:textId="77777777" w:rsidR="00736CBD" w:rsidRDefault="00736CBD" w:rsidP="00345ADF">
      <w:pPr>
        <w:spacing w:after="0" w:line="240" w:lineRule="auto"/>
      </w:pPr>
      <w:r>
        <w:separator/>
      </w:r>
    </w:p>
  </w:endnote>
  <w:endnote w:type="continuationSeparator" w:id="0">
    <w:p w14:paraId="2E040E21" w14:textId="77777777" w:rsidR="00736CBD" w:rsidRDefault="00736CBD" w:rsidP="003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219528"/>
      <w:docPartObj>
        <w:docPartGallery w:val="Page Numbers (Bottom of Page)"/>
        <w:docPartUnique/>
      </w:docPartObj>
    </w:sdtPr>
    <w:sdtEndPr>
      <w:rPr>
        <w:noProof/>
      </w:rPr>
    </w:sdtEndPr>
    <w:sdtContent>
      <w:p w14:paraId="2345167A" w14:textId="5D6A53E2" w:rsidR="001115FA" w:rsidRDefault="001115FA">
        <w:pPr>
          <w:pStyle w:val="Footer"/>
          <w:jc w:val="center"/>
        </w:pPr>
        <w:r>
          <w:fldChar w:fldCharType="begin"/>
        </w:r>
        <w:r>
          <w:instrText xml:space="preserve"> PAGE   \* MERGEFORMAT </w:instrText>
        </w:r>
        <w:r>
          <w:fldChar w:fldCharType="separate"/>
        </w:r>
        <w:r w:rsidR="00D52BB9">
          <w:rPr>
            <w:noProof/>
          </w:rPr>
          <w:t>1</w:t>
        </w:r>
        <w:r>
          <w:rPr>
            <w:noProof/>
          </w:rPr>
          <w:fldChar w:fldCharType="end"/>
        </w:r>
      </w:p>
    </w:sdtContent>
  </w:sdt>
  <w:p w14:paraId="2C7C1BD1" w14:textId="77777777" w:rsidR="001115FA" w:rsidRDefault="0011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51FD" w14:textId="77777777" w:rsidR="00736CBD" w:rsidRDefault="00736CBD" w:rsidP="00345ADF">
      <w:pPr>
        <w:spacing w:after="0" w:line="240" w:lineRule="auto"/>
      </w:pPr>
      <w:r>
        <w:separator/>
      </w:r>
    </w:p>
  </w:footnote>
  <w:footnote w:type="continuationSeparator" w:id="0">
    <w:p w14:paraId="5078A4F7" w14:textId="77777777" w:rsidR="00736CBD" w:rsidRDefault="00736CBD" w:rsidP="00345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56F"/>
    <w:multiLevelType w:val="hybridMultilevel"/>
    <w:tmpl w:val="C650A0F0"/>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B373E3"/>
    <w:multiLevelType w:val="hybridMultilevel"/>
    <w:tmpl w:val="C650A0F0"/>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04106B0"/>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AFC4666"/>
    <w:multiLevelType w:val="hybridMultilevel"/>
    <w:tmpl w:val="3E1E5C1C"/>
    <w:lvl w:ilvl="0" w:tplc="18304B0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0F"/>
    <w:rsid w:val="0002197F"/>
    <w:rsid w:val="00022941"/>
    <w:rsid w:val="000948DF"/>
    <w:rsid w:val="000D3D51"/>
    <w:rsid w:val="000E172A"/>
    <w:rsid w:val="000F0705"/>
    <w:rsid w:val="00104AC7"/>
    <w:rsid w:val="001115FA"/>
    <w:rsid w:val="00123D4A"/>
    <w:rsid w:val="00124737"/>
    <w:rsid w:val="001658E8"/>
    <w:rsid w:val="00183620"/>
    <w:rsid w:val="001C2449"/>
    <w:rsid w:val="001F28A5"/>
    <w:rsid w:val="002232BF"/>
    <w:rsid w:val="00226431"/>
    <w:rsid w:val="00226E0F"/>
    <w:rsid w:val="0024709B"/>
    <w:rsid w:val="00250F02"/>
    <w:rsid w:val="0025664C"/>
    <w:rsid w:val="0027593E"/>
    <w:rsid w:val="002976B6"/>
    <w:rsid w:val="002A02A4"/>
    <w:rsid w:val="002A3F1B"/>
    <w:rsid w:val="003346DF"/>
    <w:rsid w:val="00345ADF"/>
    <w:rsid w:val="003466D1"/>
    <w:rsid w:val="00380FFD"/>
    <w:rsid w:val="003954E9"/>
    <w:rsid w:val="003B0535"/>
    <w:rsid w:val="003B5994"/>
    <w:rsid w:val="003D1597"/>
    <w:rsid w:val="003D287E"/>
    <w:rsid w:val="003E01D2"/>
    <w:rsid w:val="00400551"/>
    <w:rsid w:val="004430AA"/>
    <w:rsid w:val="00487650"/>
    <w:rsid w:val="004C28B6"/>
    <w:rsid w:val="004D2082"/>
    <w:rsid w:val="004E4172"/>
    <w:rsid w:val="005037CF"/>
    <w:rsid w:val="00537E0D"/>
    <w:rsid w:val="00590148"/>
    <w:rsid w:val="005A2D93"/>
    <w:rsid w:val="005D3E2F"/>
    <w:rsid w:val="00637416"/>
    <w:rsid w:val="006631DC"/>
    <w:rsid w:val="006C4CA4"/>
    <w:rsid w:val="006D547E"/>
    <w:rsid w:val="007074F9"/>
    <w:rsid w:val="0073509B"/>
    <w:rsid w:val="00736CBD"/>
    <w:rsid w:val="007529F3"/>
    <w:rsid w:val="00776C67"/>
    <w:rsid w:val="00777CF1"/>
    <w:rsid w:val="00780055"/>
    <w:rsid w:val="00792807"/>
    <w:rsid w:val="007D296B"/>
    <w:rsid w:val="007F57E7"/>
    <w:rsid w:val="00842BCD"/>
    <w:rsid w:val="008561F1"/>
    <w:rsid w:val="008873CB"/>
    <w:rsid w:val="008C3F66"/>
    <w:rsid w:val="00921A25"/>
    <w:rsid w:val="00940ED4"/>
    <w:rsid w:val="00983540"/>
    <w:rsid w:val="009C03D8"/>
    <w:rsid w:val="009C3B8F"/>
    <w:rsid w:val="009E74C3"/>
    <w:rsid w:val="00A027AE"/>
    <w:rsid w:val="00A374C0"/>
    <w:rsid w:val="00A8597D"/>
    <w:rsid w:val="00A92244"/>
    <w:rsid w:val="00A9617A"/>
    <w:rsid w:val="00AB24C0"/>
    <w:rsid w:val="00AE315D"/>
    <w:rsid w:val="00B277E6"/>
    <w:rsid w:val="00B35B72"/>
    <w:rsid w:val="00B424B9"/>
    <w:rsid w:val="00B475D7"/>
    <w:rsid w:val="00B55BCA"/>
    <w:rsid w:val="00B66BB8"/>
    <w:rsid w:val="00BD3A6E"/>
    <w:rsid w:val="00BF52F0"/>
    <w:rsid w:val="00C111FE"/>
    <w:rsid w:val="00C44CF8"/>
    <w:rsid w:val="00C45336"/>
    <w:rsid w:val="00CA0FB5"/>
    <w:rsid w:val="00CC44C6"/>
    <w:rsid w:val="00CC536A"/>
    <w:rsid w:val="00CD6E2F"/>
    <w:rsid w:val="00CE54FF"/>
    <w:rsid w:val="00D52675"/>
    <w:rsid w:val="00D52BB9"/>
    <w:rsid w:val="00D9710E"/>
    <w:rsid w:val="00DA2095"/>
    <w:rsid w:val="00DB6114"/>
    <w:rsid w:val="00DD2B71"/>
    <w:rsid w:val="00E002B6"/>
    <w:rsid w:val="00E21AF6"/>
    <w:rsid w:val="00E36364"/>
    <w:rsid w:val="00EA7FBC"/>
    <w:rsid w:val="00ED2A2B"/>
    <w:rsid w:val="00ED4912"/>
    <w:rsid w:val="00F23007"/>
    <w:rsid w:val="00F63E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E0F"/>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226E0F"/>
    <w:rPr>
      <w:rFonts w:eastAsiaTheme="minorEastAsia"/>
      <w:lang w:val="en-US" w:eastAsia="en-ZA"/>
    </w:rPr>
  </w:style>
  <w:style w:type="paragraph" w:styleId="ListParagraph">
    <w:name w:val="List Paragraph"/>
    <w:aliases w:val="List Paragraph 1"/>
    <w:basedOn w:val="Normal"/>
    <w:link w:val="ListParagraphChar"/>
    <w:uiPriority w:val="34"/>
    <w:qFormat/>
    <w:rsid w:val="00226E0F"/>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226E0F"/>
    <w:rPr>
      <w:rFonts w:eastAsiaTheme="minorEastAsia"/>
      <w:lang w:eastAsia="en-ZA"/>
    </w:rPr>
  </w:style>
  <w:style w:type="paragraph" w:styleId="Header">
    <w:name w:val="header"/>
    <w:basedOn w:val="Normal"/>
    <w:link w:val="HeaderChar"/>
    <w:uiPriority w:val="99"/>
    <w:unhideWhenUsed/>
    <w:rsid w:val="003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F"/>
  </w:style>
  <w:style w:type="paragraph" w:styleId="Footer">
    <w:name w:val="footer"/>
    <w:basedOn w:val="Normal"/>
    <w:link w:val="FooterChar"/>
    <w:uiPriority w:val="99"/>
    <w:unhideWhenUsed/>
    <w:rsid w:val="003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F"/>
  </w:style>
  <w:style w:type="paragraph" w:styleId="NormalWeb">
    <w:name w:val="Normal (Web)"/>
    <w:basedOn w:val="Normal"/>
    <w:uiPriority w:val="99"/>
    <w:semiHidden/>
    <w:unhideWhenUsed/>
    <w:rsid w:val="002A3F1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5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E0F"/>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226E0F"/>
    <w:rPr>
      <w:rFonts w:eastAsiaTheme="minorEastAsia"/>
      <w:lang w:val="en-US" w:eastAsia="en-ZA"/>
    </w:rPr>
  </w:style>
  <w:style w:type="paragraph" w:styleId="ListParagraph">
    <w:name w:val="List Paragraph"/>
    <w:aliases w:val="List Paragraph 1"/>
    <w:basedOn w:val="Normal"/>
    <w:link w:val="ListParagraphChar"/>
    <w:uiPriority w:val="34"/>
    <w:qFormat/>
    <w:rsid w:val="00226E0F"/>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226E0F"/>
    <w:rPr>
      <w:rFonts w:eastAsiaTheme="minorEastAsia"/>
      <w:lang w:eastAsia="en-ZA"/>
    </w:rPr>
  </w:style>
  <w:style w:type="paragraph" w:styleId="Header">
    <w:name w:val="header"/>
    <w:basedOn w:val="Normal"/>
    <w:link w:val="HeaderChar"/>
    <w:uiPriority w:val="99"/>
    <w:unhideWhenUsed/>
    <w:rsid w:val="003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F"/>
  </w:style>
  <w:style w:type="paragraph" w:styleId="Footer">
    <w:name w:val="footer"/>
    <w:basedOn w:val="Normal"/>
    <w:link w:val="FooterChar"/>
    <w:uiPriority w:val="99"/>
    <w:unhideWhenUsed/>
    <w:rsid w:val="003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F"/>
  </w:style>
  <w:style w:type="paragraph" w:styleId="NormalWeb">
    <w:name w:val="Normal (Web)"/>
    <w:basedOn w:val="Normal"/>
    <w:uiPriority w:val="99"/>
    <w:semiHidden/>
    <w:unhideWhenUsed/>
    <w:rsid w:val="002A3F1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5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0811">
      <w:bodyDiv w:val="1"/>
      <w:marLeft w:val="0"/>
      <w:marRight w:val="0"/>
      <w:marTop w:val="0"/>
      <w:marBottom w:val="0"/>
      <w:divBdr>
        <w:top w:val="none" w:sz="0" w:space="0" w:color="auto"/>
        <w:left w:val="none" w:sz="0" w:space="0" w:color="auto"/>
        <w:bottom w:val="none" w:sz="0" w:space="0" w:color="auto"/>
        <w:right w:val="none" w:sz="0" w:space="0" w:color="auto"/>
      </w:divBdr>
    </w:div>
    <w:div w:id="736971775">
      <w:bodyDiv w:val="1"/>
      <w:marLeft w:val="0"/>
      <w:marRight w:val="0"/>
      <w:marTop w:val="0"/>
      <w:marBottom w:val="0"/>
      <w:divBdr>
        <w:top w:val="none" w:sz="0" w:space="0" w:color="auto"/>
        <w:left w:val="none" w:sz="0" w:space="0" w:color="auto"/>
        <w:bottom w:val="none" w:sz="0" w:space="0" w:color="auto"/>
        <w:right w:val="none" w:sz="0" w:space="0" w:color="auto"/>
      </w:divBdr>
    </w:div>
    <w:div w:id="17525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926DE8FC0446F3B60FDE7614734D34"/>
        <w:category>
          <w:name w:val="General"/>
          <w:gallery w:val="placeholder"/>
        </w:category>
        <w:types>
          <w:type w:val="bbPlcHdr"/>
        </w:types>
        <w:behaviors>
          <w:behavior w:val="content"/>
        </w:behaviors>
        <w:guid w:val="{477EDFD1-932A-49FB-9790-BEFF4504D6CD}"/>
      </w:docPartPr>
      <w:docPartBody>
        <w:p w:rsidR="00953414" w:rsidRDefault="00953414" w:rsidP="00953414">
          <w:pPr>
            <w:pStyle w:val="2A926DE8FC0446F3B60FDE7614734D34"/>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14"/>
    <w:rsid w:val="000B77FC"/>
    <w:rsid w:val="00105F27"/>
    <w:rsid w:val="001160A8"/>
    <w:rsid w:val="00181B62"/>
    <w:rsid w:val="00206969"/>
    <w:rsid w:val="003E5737"/>
    <w:rsid w:val="00485541"/>
    <w:rsid w:val="005319B2"/>
    <w:rsid w:val="00747FBD"/>
    <w:rsid w:val="00953414"/>
    <w:rsid w:val="00B52A06"/>
    <w:rsid w:val="00E1074F"/>
    <w:rsid w:val="00E61611"/>
    <w:rsid w:val="00ED4296"/>
    <w:rsid w:val="00FA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26DE8FC0446F3B60FDE7614734D34">
    <w:name w:val="2A926DE8FC0446F3B60FDE7614734D34"/>
    <w:rsid w:val="00953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26DE8FC0446F3B60FDE7614734D34">
    <w:name w:val="2A926DE8FC0446F3B60FDE7614734D34"/>
    <w:rsid w:val="0095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6D2D-3544-4740-BF50-406BD7CC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SECOND QUARTER PERFORMANCE BUDGET VOTE 8: DEPARTMENT OF PLANNING, MONITORING AND EVALUATION, Dated 22 November 2017</dc:subject>
  <dc:creator>Julius Ngoepe</dc:creator>
  <cp:lastModifiedBy>Asanda</cp:lastModifiedBy>
  <cp:revision>2</cp:revision>
  <dcterms:created xsi:type="dcterms:W3CDTF">2017-12-05T09:55:00Z</dcterms:created>
  <dcterms:modified xsi:type="dcterms:W3CDTF">2017-12-05T09:55:00Z</dcterms:modified>
</cp:coreProperties>
</file>