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E9" w:rsidRDefault="005A12E9" w:rsidP="00AD4E37">
      <w:pPr>
        <w:jc w:val="both"/>
        <w:rPr>
          <w:rFonts w:ascii="Arial" w:hAnsi="Arial" w:cs="Arial"/>
          <w:b/>
        </w:rPr>
      </w:pPr>
      <w:r>
        <w:rPr>
          <w:noProof/>
          <w:lang w:eastAsia="en-ZA"/>
        </w:rPr>
        <w:drawing>
          <wp:anchor distT="0" distB="0" distL="114300" distR="114300" simplePos="0" relativeHeight="251661312" behindDoc="1" locked="0" layoutInCell="1" allowOverlap="1" wp14:anchorId="1CDC8F96" wp14:editId="547D3E57">
            <wp:simplePos x="0" y="0"/>
            <wp:positionH relativeFrom="page">
              <wp:posOffset>4648200</wp:posOffset>
            </wp:positionH>
            <wp:positionV relativeFrom="margin">
              <wp:posOffset>152400</wp:posOffset>
            </wp:positionV>
            <wp:extent cx="2279650" cy="611505"/>
            <wp:effectExtent l="0" t="0" r="6350" b="0"/>
            <wp:wrapNone/>
            <wp:docPr id="3" name="Picture 3"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UNIT-RGB-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ZA"/>
        </w:rPr>
        <w:drawing>
          <wp:anchor distT="0" distB="0" distL="114300" distR="114300" simplePos="0" relativeHeight="251659264" behindDoc="0" locked="0" layoutInCell="1" allowOverlap="1" wp14:anchorId="08A52186" wp14:editId="4203BFE9">
            <wp:simplePos x="0" y="0"/>
            <wp:positionH relativeFrom="margin">
              <wp:align>left</wp:align>
            </wp:positionH>
            <wp:positionV relativeFrom="paragraph">
              <wp:posOffset>0</wp:posOffset>
            </wp:positionV>
            <wp:extent cx="2543810" cy="694757"/>
            <wp:effectExtent l="0" t="0" r="889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810" cy="694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2E9" w:rsidRDefault="005A12E9" w:rsidP="00AD4E37">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A12E9" w:rsidRDefault="005A12E9" w:rsidP="00AD4E37">
      <w:pPr>
        <w:jc w:val="both"/>
        <w:rPr>
          <w:rFonts w:ascii="Arial" w:hAnsi="Arial" w:cs="Arial"/>
          <w:b/>
        </w:rPr>
      </w:pPr>
    </w:p>
    <w:p w:rsidR="005A12E9" w:rsidRDefault="00D03FBB" w:rsidP="00AD4E37">
      <w:pPr>
        <w:jc w:val="both"/>
        <w:rPr>
          <w:rFonts w:ascii="Arial" w:hAnsi="Arial" w:cs="Arial"/>
          <w:b/>
        </w:rPr>
      </w:pPr>
      <w:r>
        <w:rPr>
          <w:rFonts w:ascii="Arial" w:hAnsi="Arial" w:cs="Arial"/>
          <w:b/>
        </w:rPr>
        <w:t>22 November 2017</w:t>
      </w:r>
    </w:p>
    <w:p w:rsidR="00D03FBB" w:rsidRDefault="00D03FBB" w:rsidP="00AD4E37">
      <w:pPr>
        <w:jc w:val="both"/>
        <w:rPr>
          <w:rFonts w:ascii="Arial" w:hAnsi="Arial" w:cs="Arial"/>
          <w:b/>
        </w:rPr>
      </w:pPr>
    </w:p>
    <w:p w:rsidR="00D57987" w:rsidRPr="0052746F" w:rsidRDefault="00EF0B27" w:rsidP="00AD4E37">
      <w:pPr>
        <w:jc w:val="both"/>
        <w:rPr>
          <w:rFonts w:ascii="Arial" w:hAnsi="Arial" w:cs="Arial"/>
          <w:b/>
        </w:rPr>
      </w:pPr>
      <w:r w:rsidRPr="0052746F">
        <w:rPr>
          <w:rFonts w:ascii="Arial" w:hAnsi="Arial" w:cs="Arial"/>
          <w:b/>
        </w:rPr>
        <w:t xml:space="preserve">ANALYSIS OF THE ANNUAL REPORT OF THE </w:t>
      </w:r>
      <w:r w:rsidR="00F66FE5">
        <w:rPr>
          <w:rFonts w:ascii="Arial" w:hAnsi="Arial" w:cs="Arial"/>
          <w:b/>
        </w:rPr>
        <w:t>OFFICE OF TAX OMBUD</w:t>
      </w:r>
      <w:r w:rsidRPr="0052746F">
        <w:rPr>
          <w:rFonts w:ascii="Arial" w:hAnsi="Arial" w:cs="Arial"/>
          <w:b/>
        </w:rPr>
        <w:t xml:space="preserve"> </w:t>
      </w:r>
      <w:r w:rsidR="0092480B">
        <w:rPr>
          <w:rFonts w:ascii="Arial" w:hAnsi="Arial" w:cs="Arial"/>
          <w:b/>
        </w:rPr>
        <w:t>(2016/17</w:t>
      </w:r>
      <w:r w:rsidRPr="0052746F">
        <w:rPr>
          <w:rFonts w:ascii="Arial" w:hAnsi="Arial" w:cs="Arial"/>
          <w:b/>
        </w:rPr>
        <w:t>)</w:t>
      </w:r>
    </w:p>
    <w:p w:rsidR="00EF0B27" w:rsidRDefault="00EF0B27" w:rsidP="00AD4E37">
      <w:pPr>
        <w:pStyle w:val="ListParagraph"/>
        <w:numPr>
          <w:ilvl w:val="0"/>
          <w:numId w:val="5"/>
        </w:numPr>
        <w:jc w:val="both"/>
        <w:rPr>
          <w:rFonts w:ascii="Arial" w:hAnsi="Arial" w:cs="Arial"/>
          <w:b/>
        </w:rPr>
      </w:pPr>
      <w:r w:rsidRPr="0052746F">
        <w:rPr>
          <w:rFonts w:ascii="Arial" w:hAnsi="Arial" w:cs="Arial"/>
          <w:b/>
        </w:rPr>
        <w:t>Introduction</w:t>
      </w:r>
    </w:p>
    <w:p w:rsidR="00DF78A9" w:rsidRPr="00997B54" w:rsidRDefault="00F66FE5" w:rsidP="00997B54">
      <w:pPr>
        <w:pStyle w:val="NormalWeb"/>
        <w:shd w:val="clear" w:color="auto" w:fill="FFFFFF"/>
        <w:spacing w:before="0" w:beforeAutospacing="0" w:after="300" w:afterAutospacing="0" w:line="276" w:lineRule="auto"/>
        <w:jc w:val="both"/>
        <w:textAlignment w:val="baseline"/>
        <w:rPr>
          <w:rFonts w:ascii="Arial" w:hAnsi="Arial"/>
          <w:sz w:val="22"/>
          <w:szCs w:val="22"/>
          <w:lang w:val="en-ZA" w:eastAsia="en-US"/>
        </w:rPr>
      </w:pPr>
      <w:r w:rsidRPr="00F66FE5">
        <w:rPr>
          <w:rFonts w:ascii="Arial" w:hAnsi="Arial"/>
          <w:sz w:val="22"/>
          <w:szCs w:val="22"/>
          <w:lang w:val="en-ZA" w:eastAsia="en-US"/>
        </w:rPr>
        <w:t xml:space="preserve">The Office of the Tax Ombud (OTO) was established in terms of section 14 and 15 of the Tax Administration Act, 28 of 2011. The OTO formally began operation in October 2013. The mandate of the OTO is to review and address any complaint by a taxpayer regarding a service matter or procedural or administrative matters arising from the application of the provision of Act. </w:t>
      </w:r>
      <w:r w:rsidR="0046041D">
        <w:rPr>
          <w:rFonts w:ascii="Arial" w:hAnsi="Arial"/>
          <w:sz w:val="22"/>
          <w:szCs w:val="22"/>
          <w:lang w:val="en-ZA" w:eastAsia="en-US"/>
        </w:rPr>
        <w:t>Furthermore, OPO is t</w:t>
      </w:r>
      <w:r w:rsidRPr="00F66FE5">
        <w:rPr>
          <w:rFonts w:ascii="Arial" w:hAnsi="Arial"/>
          <w:sz w:val="22"/>
          <w:szCs w:val="22"/>
          <w:lang w:val="en-ZA" w:eastAsia="en-US"/>
        </w:rPr>
        <w:t>o review at the request of Minister emerging issues related to a service matter or the application, procedural or administrative provisions of the Act.</w:t>
      </w:r>
    </w:p>
    <w:p w:rsidR="00997B54" w:rsidRDefault="00997B54" w:rsidP="002C465C">
      <w:pPr>
        <w:pStyle w:val="ListParagraph"/>
        <w:numPr>
          <w:ilvl w:val="0"/>
          <w:numId w:val="5"/>
        </w:numPr>
        <w:jc w:val="both"/>
        <w:rPr>
          <w:rFonts w:ascii="Arial" w:hAnsi="Arial" w:cs="Arial"/>
          <w:b/>
        </w:rPr>
      </w:pPr>
      <w:r>
        <w:rPr>
          <w:rFonts w:ascii="Arial" w:hAnsi="Arial" w:cs="Arial"/>
          <w:b/>
        </w:rPr>
        <w:t>Highlights of 2016/17</w:t>
      </w:r>
    </w:p>
    <w:p w:rsidR="00A86B00" w:rsidRDefault="00A86B00" w:rsidP="00A86B00">
      <w:pPr>
        <w:pStyle w:val="ListParagraph"/>
        <w:ind w:left="360"/>
        <w:jc w:val="both"/>
        <w:rPr>
          <w:rFonts w:ascii="Arial" w:hAnsi="Arial" w:cs="Arial"/>
          <w:b/>
        </w:rPr>
      </w:pPr>
    </w:p>
    <w:p w:rsidR="00A86B00" w:rsidRPr="00B55BB1" w:rsidRDefault="00A86B00" w:rsidP="00A86B00">
      <w:pPr>
        <w:pStyle w:val="ListParagraph"/>
        <w:numPr>
          <w:ilvl w:val="0"/>
          <w:numId w:val="41"/>
        </w:numPr>
        <w:jc w:val="both"/>
        <w:rPr>
          <w:rFonts w:ascii="Arial" w:hAnsi="Arial" w:cs="Arial"/>
        </w:rPr>
      </w:pPr>
      <w:r w:rsidRPr="00B55BB1">
        <w:rPr>
          <w:rFonts w:ascii="Arial" w:hAnsi="Arial" w:cs="Arial"/>
        </w:rPr>
        <w:t>Legislative amendments included:</w:t>
      </w:r>
    </w:p>
    <w:p w:rsidR="00A86B00" w:rsidRPr="00A86B00" w:rsidRDefault="00A86B00" w:rsidP="00A86B00">
      <w:pPr>
        <w:pStyle w:val="ListParagraph"/>
        <w:numPr>
          <w:ilvl w:val="1"/>
          <w:numId w:val="41"/>
        </w:numPr>
        <w:jc w:val="both"/>
        <w:rPr>
          <w:rFonts w:ascii="Arial" w:hAnsi="Arial" w:cs="Arial"/>
        </w:rPr>
      </w:pPr>
      <w:r w:rsidRPr="00A86B00">
        <w:rPr>
          <w:rFonts w:ascii="Arial" w:hAnsi="Arial" w:cs="Arial"/>
        </w:rPr>
        <w:t>Changing the term of office of the Tax Ombud</w:t>
      </w:r>
      <w:r>
        <w:rPr>
          <w:rFonts w:ascii="Arial" w:hAnsi="Arial" w:cs="Arial"/>
        </w:rPr>
        <w:t xml:space="preserve"> from three</w:t>
      </w:r>
      <w:r w:rsidRPr="00A86B00">
        <w:rPr>
          <w:rFonts w:ascii="Arial" w:hAnsi="Arial" w:cs="Arial"/>
        </w:rPr>
        <w:t xml:space="preserve"> to five years,</w:t>
      </w:r>
    </w:p>
    <w:p w:rsidR="00A86B00" w:rsidRDefault="00A86B00" w:rsidP="00797872">
      <w:pPr>
        <w:pStyle w:val="ListParagraph"/>
        <w:numPr>
          <w:ilvl w:val="1"/>
          <w:numId w:val="41"/>
        </w:numPr>
        <w:jc w:val="both"/>
        <w:rPr>
          <w:rFonts w:ascii="Arial" w:hAnsi="Arial" w:cs="Arial"/>
        </w:rPr>
      </w:pPr>
      <w:r w:rsidRPr="00A86B00">
        <w:rPr>
          <w:rFonts w:ascii="Arial" w:hAnsi="Arial" w:cs="Arial"/>
        </w:rPr>
        <w:t>OTO powers (with approval from the Finance Minister) to initiate investigations into any systemic and emerging issues</w:t>
      </w:r>
      <w:r w:rsidRPr="00A86B00">
        <w:t xml:space="preserve"> </w:t>
      </w:r>
      <w:r>
        <w:rPr>
          <w:rFonts w:ascii="Arial" w:hAnsi="Arial" w:cs="Arial"/>
        </w:rPr>
        <w:t>persistent.</w:t>
      </w:r>
    </w:p>
    <w:p w:rsidR="00A86B00" w:rsidRPr="00A86B00" w:rsidRDefault="00A86B00" w:rsidP="00A86B00">
      <w:pPr>
        <w:pStyle w:val="ListParagraph"/>
        <w:numPr>
          <w:ilvl w:val="2"/>
          <w:numId w:val="41"/>
        </w:numPr>
        <w:jc w:val="both"/>
        <w:rPr>
          <w:rFonts w:ascii="Arial" w:hAnsi="Arial" w:cs="Arial"/>
        </w:rPr>
      </w:pPr>
      <w:r w:rsidRPr="00A86B00">
        <w:rPr>
          <w:rFonts w:ascii="Arial" w:hAnsi="Arial" w:cs="Arial"/>
        </w:rPr>
        <w:t xml:space="preserve">One of the major issues </w:t>
      </w:r>
      <w:r>
        <w:rPr>
          <w:rFonts w:ascii="Arial" w:hAnsi="Arial" w:cs="Arial"/>
        </w:rPr>
        <w:t>dealt</w:t>
      </w:r>
      <w:r w:rsidRPr="00A86B00">
        <w:rPr>
          <w:rFonts w:ascii="Arial" w:hAnsi="Arial" w:cs="Arial"/>
        </w:rPr>
        <w:t xml:space="preserve"> with in this financial year was delays in tax refund payments by SARS</w:t>
      </w:r>
      <w:r>
        <w:rPr>
          <w:rFonts w:ascii="Arial" w:hAnsi="Arial" w:cs="Arial"/>
        </w:rPr>
        <w:t>.</w:t>
      </w:r>
    </w:p>
    <w:p w:rsidR="00A86B00" w:rsidRPr="00A86B00" w:rsidRDefault="00A86B00" w:rsidP="00797872">
      <w:pPr>
        <w:pStyle w:val="ListParagraph"/>
        <w:numPr>
          <w:ilvl w:val="1"/>
          <w:numId w:val="41"/>
        </w:numPr>
        <w:jc w:val="both"/>
        <w:rPr>
          <w:rFonts w:ascii="Arial" w:hAnsi="Arial" w:cs="Arial"/>
        </w:rPr>
      </w:pPr>
      <w:r w:rsidRPr="00A86B00">
        <w:rPr>
          <w:rFonts w:ascii="Arial" w:hAnsi="Arial" w:cs="Arial"/>
        </w:rPr>
        <w:t>Powers to appoint the staff of the Office without c</w:t>
      </w:r>
      <w:r w:rsidR="00014998">
        <w:rPr>
          <w:rFonts w:ascii="Arial" w:hAnsi="Arial" w:cs="Arial"/>
        </w:rPr>
        <w:t>onsulting the SARS Commissioner.</w:t>
      </w:r>
    </w:p>
    <w:p w:rsidR="00997B54" w:rsidRDefault="00A86B00" w:rsidP="00A86B00">
      <w:pPr>
        <w:pStyle w:val="ListParagraph"/>
        <w:numPr>
          <w:ilvl w:val="1"/>
          <w:numId w:val="41"/>
        </w:numPr>
        <w:jc w:val="both"/>
        <w:rPr>
          <w:rFonts w:ascii="Arial" w:hAnsi="Arial" w:cs="Arial"/>
        </w:rPr>
      </w:pPr>
      <w:r w:rsidRPr="00A86B00">
        <w:rPr>
          <w:rFonts w:ascii="Arial" w:hAnsi="Arial" w:cs="Arial"/>
        </w:rPr>
        <w:t xml:space="preserve">Budget </w:t>
      </w:r>
      <w:r w:rsidR="00014998">
        <w:rPr>
          <w:rFonts w:ascii="Arial" w:hAnsi="Arial" w:cs="Arial"/>
        </w:rPr>
        <w:t xml:space="preserve">to be </w:t>
      </w:r>
      <w:r w:rsidRPr="00A86B00">
        <w:rPr>
          <w:rFonts w:ascii="Arial" w:hAnsi="Arial" w:cs="Arial"/>
        </w:rPr>
        <w:t>determined by the Finance Minister instead of the SARS</w:t>
      </w:r>
    </w:p>
    <w:p w:rsidR="00B55BB1" w:rsidRDefault="00B55BB1" w:rsidP="00B55BB1">
      <w:pPr>
        <w:pStyle w:val="ListParagraph"/>
        <w:numPr>
          <w:ilvl w:val="0"/>
          <w:numId w:val="41"/>
        </w:numPr>
        <w:jc w:val="both"/>
        <w:rPr>
          <w:rFonts w:ascii="Arial" w:hAnsi="Arial" w:cs="Arial"/>
        </w:rPr>
      </w:pPr>
      <w:r>
        <w:rPr>
          <w:rFonts w:ascii="Arial" w:hAnsi="Arial" w:cs="Arial"/>
        </w:rPr>
        <w:t>Record tax payer complaints</w:t>
      </w:r>
    </w:p>
    <w:p w:rsidR="00A86B00" w:rsidRPr="00B55BB1" w:rsidRDefault="00B55BB1" w:rsidP="00A86B00">
      <w:pPr>
        <w:pStyle w:val="ListParagraph"/>
        <w:numPr>
          <w:ilvl w:val="1"/>
          <w:numId w:val="41"/>
        </w:numPr>
        <w:jc w:val="both"/>
        <w:rPr>
          <w:rFonts w:ascii="Arial" w:hAnsi="Arial" w:cs="Arial"/>
        </w:rPr>
      </w:pPr>
      <w:r w:rsidRPr="00B55BB1">
        <w:rPr>
          <w:rFonts w:ascii="Arial" w:hAnsi="Arial" w:cs="Arial"/>
        </w:rPr>
        <w:t>This is evident from the increasing number of complaints the Office is receiving, rising from 2 133 in 2015/16 to 3 454 complaints in 2016/17</w:t>
      </w:r>
    </w:p>
    <w:p w:rsidR="00B55BB1" w:rsidRPr="00B55BB1" w:rsidRDefault="00B55BB1" w:rsidP="00B55BB1">
      <w:pPr>
        <w:pStyle w:val="ListParagraph"/>
        <w:ind w:left="1440"/>
        <w:jc w:val="both"/>
        <w:rPr>
          <w:rFonts w:ascii="Arial" w:hAnsi="Arial" w:cs="Arial"/>
        </w:rPr>
      </w:pPr>
    </w:p>
    <w:p w:rsidR="005213BB" w:rsidRPr="00997B54" w:rsidRDefault="00997B54" w:rsidP="002C465C">
      <w:pPr>
        <w:pStyle w:val="ListParagraph"/>
        <w:numPr>
          <w:ilvl w:val="0"/>
          <w:numId w:val="5"/>
        </w:numPr>
        <w:jc w:val="both"/>
        <w:rPr>
          <w:rFonts w:ascii="Arial" w:hAnsi="Arial" w:cs="Arial"/>
          <w:b/>
        </w:rPr>
      </w:pPr>
      <w:r>
        <w:rPr>
          <w:rFonts w:ascii="Arial" w:hAnsi="Arial" w:cs="Arial"/>
          <w:b/>
        </w:rPr>
        <w:t xml:space="preserve">Outcome of </w:t>
      </w:r>
      <w:r w:rsidRPr="00997B54">
        <w:rPr>
          <w:rFonts w:ascii="Arial" w:hAnsi="Arial" w:cs="Arial"/>
          <w:b/>
        </w:rPr>
        <w:t xml:space="preserve">Performance Information </w:t>
      </w:r>
    </w:p>
    <w:p w:rsidR="00B12FF2" w:rsidRDefault="00F66FE5" w:rsidP="00CC1B63">
      <w:pPr>
        <w:jc w:val="both"/>
        <w:rPr>
          <w:rFonts w:ascii="Arial" w:eastAsia="Times New Roman" w:hAnsi="Arial" w:cs="Times New Roman"/>
        </w:rPr>
      </w:pPr>
      <w:r>
        <w:rPr>
          <w:rFonts w:ascii="Arial" w:eastAsia="Times New Roman" w:hAnsi="Arial" w:cs="Times New Roman"/>
        </w:rPr>
        <w:t>The OPO</w:t>
      </w:r>
      <w:r w:rsidR="00CC1B63">
        <w:rPr>
          <w:rFonts w:ascii="Arial" w:eastAsia="Times New Roman" w:hAnsi="Arial" w:cs="Times New Roman"/>
        </w:rPr>
        <w:t xml:space="preserve">’s performance against </w:t>
      </w:r>
      <w:r w:rsidR="00AB7DFA">
        <w:rPr>
          <w:rFonts w:ascii="Arial" w:eastAsia="Times New Roman" w:hAnsi="Arial" w:cs="Times New Roman"/>
        </w:rPr>
        <w:t xml:space="preserve">its strategic objectives are </w:t>
      </w:r>
      <w:r w:rsidR="00CC1B63" w:rsidRPr="00CC1B63">
        <w:rPr>
          <w:rFonts w:ascii="Arial" w:eastAsia="Times New Roman" w:hAnsi="Arial" w:cs="Times New Roman"/>
        </w:rPr>
        <w:t>reported</w:t>
      </w:r>
      <w:r w:rsidR="00CC1B63">
        <w:rPr>
          <w:rFonts w:ascii="Arial" w:eastAsia="Times New Roman" w:hAnsi="Arial" w:cs="Times New Roman"/>
        </w:rPr>
        <w:t xml:space="preserve"> below:</w:t>
      </w:r>
    </w:p>
    <w:p w:rsidR="00F66FE5" w:rsidRPr="00F66FE5" w:rsidRDefault="00F66FE5" w:rsidP="00F66FE5">
      <w:pPr>
        <w:spacing w:after="0" w:line="280" w:lineRule="exact"/>
        <w:jc w:val="both"/>
        <w:rPr>
          <w:rFonts w:ascii="Arial" w:hAnsi="Arial"/>
          <w:b/>
        </w:rPr>
      </w:pPr>
      <w:r w:rsidRPr="00F66FE5">
        <w:rPr>
          <w:rFonts w:ascii="Arial" w:hAnsi="Arial"/>
          <w:b/>
        </w:rPr>
        <w:t>Table 1: Performance Information by Programme:</w:t>
      </w:r>
    </w:p>
    <w:tbl>
      <w:tblPr>
        <w:tblStyle w:val="TableGrid1"/>
        <w:tblW w:w="10773" w:type="dxa"/>
        <w:tblInd w:w="-1139" w:type="dxa"/>
        <w:tblLayout w:type="fixed"/>
        <w:tblLook w:val="04A0" w:firstRow="1" w:lastRow="0" w:firstColumn="1" w:lastColumn="0" w:noHBand="0" w:noVBand="1"/>
      </w:tblPr>
      <w:tblGrid>
        <w:gridCol w:w="1843"/>
        <w:gridCol w:w="3521"/>
        <w:gridCol w:w="2858"/>
        <w:gridCol w:w="2551"/>
      </w:tblGrid>
      <w:tr w:rsidR="00F66FE5" w:rsidRPr="00F66FE5" w:rsidTr="0056364A">
        <w:tc>
          <w:tcPr>
            <w:tcW w:w="1843" w:type="dxa"/>
            <w:shd w:val="clear" w:color="auto" w:fill="5B9BD5" w:themeFill="accent1"/>
          </w:tcPr>
          <w:p w:rsidR="00F66FE5" w:rsidRPr="00F66FE5" w:rsidRDefault="00F66FE5" w:rsidP="00F66FE5">
            <w:pPr>
              <w:spacing w:line="280" w:lineRule="exact"/>
              <w:jc w:val="both"/>
              <w:rPr>
                <w:rFonts w:ascii="Arial" w:hAnsi="Arial" w:cs="Arial"/>
                <w:b/>
                <w:bCs/>
              </w:rPr>
            </w:pPr>
            <w:r w:rsidRPr="00F66FE5">
              <w:rPr>
                <w:rFonts w:ascii="Arial" w:hAnsi="Arial" w:cs="Arial"/>
                <w:b/>
                <w:bCs/>
              </w:rPr>
              <w:t>Programme</w:t>
            </w:r>
          </w:p>
        </w:tc>
        <w:tc>
          <w:tcPr>
            <w:tcW w:w="3521" w:type="dxa"/>
            <w:shd w:val="clear" w:color="auto" w:fill="5B9BD5" w:themeFill="accent1"/>
          </w:tcPr>
          <w:p w:rsidR="00F66FE5" w:rsidRPr="00F66FE5" w:rsidRDefault="00F66FE5" w:rsidP="00F66FE5">
            <w:pPr>
              <w:spacing w:line="280" w:lineRule="exact"/>
              <w:jc w:val="both"/>
              <w:rPr>
                <w:rFonts w:ascii="Arial" w:hAnsi="Arial" w:cs="Arial"/>
                <w:b/>
                <w:bCs/>
              </w:rPr>
            </w:pPr>
            <w:r w:rsidRPr="00F66FE5">
              <w:rPr>
                <w:rFonts w:ascii="Arial" w:hAnsi="Arial" w:cs="Arial"/>
                <w:b/>
                <w:bCs/>
              </w:rPr>
              <w:t>Achievements</w:t>
            </w:r>
          </w:p>
        </w:tc>
        <w:tc>
          <w:tcPr>
            <w:tcW w:w="2858" w:type="dxa"/>
            <w:shd w:val="clear" w:color="auto" w:fill="5B9BD5" w:themeFill="accent1"/>
          </w:tcPr>
          <w:p w:rsidR="00F66FE5" w:rsidRPr="00F66FE5" w:rsidRDefault="00F66FE5" w:rsidP="00F66FE5">
            <w:pPr>
              <w:spacing w:line="280" w:lineRule="exact"/>
              <w:jc w:val="both"/>
              <w:rPr>
                <w:rFonts w:ascii="Arial" w:hAnsi="Arial" w:cs="Arial"/>
                <w:b/>
                <w:bCs/>
              </w:rPr>
            </w:pPr>
            <w:r w:rsidRPr="00F66FE5">
              <w:rPr>
                <w:rFonts w:ascii="Arial" w:hAnsi="Arial" w:cs="Arial"/>
                <w:b/>
                <w:bCs/>
              </w:rPr>
              <w:t>Challenges</w:t>
            </w:r>
          </w:p>
        </w:tc>
        <w:tc>
          <w:tcPr>
            <w:tcW w:w="2551" w:type="dxa"/>
            <w:shd w:val="clear" w:color="auto" w:fill="5B9BD5" w:themeFill="accent1"/>
          </w:tcPr>
          <w:p w:rsidR="00F66FE5" w:rsidRPr="00F66FE5" w:rsidRDefault="00F66FE5" w:rsidP="00F66FE5">
            <w:pPr>
              <w:spacing w:line="280" w:lineRule="exact"/>
              <w:jc w:val="both"/>
              <w:rPr>
                <w:rFonts w:ascii="Arial" w:hAnsi="Arial" w:cs="Arial"/>
                <w:b/>
                <w:bCs/>
              </w:rPr>
            </w:pPr>
            <w:r w:rsidRPr="00F66FE5">
              <w:rPr>
                <w:rFonts w:ascii="Arial" w:hAnsi="Arial" w:cs="Arial"/>
                <w:b/>
                <w:bCs/>
              </w:rPr>
              <w:t>Comments</w:t>
            </w:r>
          </w:p>
        </w:tc>
      </w:tr>
      <w:tr w:rsidR="00F66FE5" w:rsidRPr="00F66FE5" w:rsidTr="0056364A">
        <w:tc>
          <w:tcPr>
            <w:tcW w:w="1843" w:type="dxa"/>
          </w:tcPr>
          <w:p w:rsidR="00F66FE5" w:rsidRPr="00F66FE5" w:rsidRDefault="00F66FE5" w:rsidP="00F66FE5">
            <w:pPr>
              <w:autoSpaceDE w:val="0"/>
              <w:autoSpaceDN w:val="0"/>
              <w:adjustRightInd w:val="0"/>
              <w:jc w:val="center"/>
              <w:rPr>
                <w:rFonts w:ascii="Arial" w:hAnsi="Arial" w:cs="Arial"/>
                <w:lang w:val="en-US"/>
              </w:rPr>
            </w:pPr>
          </w:p>
          <w:p w:rsidR="00F66FE5" w:rsidRPr="00F66FE5" w:rsidRDefault="00F66FE5" w:rsidP="00F66FE5">
            <w:pPr>
              <w:autoSpaceDE w:val="0"/>
              <w:autoSpaceDN w:val="0"/>
              <w:adjustRightInd w:val="0"/>
              <w:jc w:val="center"/>
              <w:rPr>
                <w:rFonts w:ascii="Arial" w:hAnsi="Arial" w:cs="Arial"/>
                <w:lang w:val="en-US"/>
              </w:rPr>
            </w:pPr>
          </w:p>
          <w:p w:rsidR="00F66FE5" w:rsidRPr="00F66FE5" w:rsidRDefault="00F66FE5" w:rsidP="00F66FE5">
            <w:pPr>
              <w:autoSpaceDE w:val="0"/>
              <w:autoSpaceDN w:val="0"/>
              <w:adjustRightInd w:val="0"/>
              <w:jc w:val="center"/>
              <w:rPr>
                <w:rFonts w:ascii="Arial" w:hAnsi="Arial" w:cs="Arial"/>
                <w:lang w:val="en-US"/>
              </w:rPr>
            </w:pPr>
          </w:p>
          <w:p w:rsidR="00F66FE5" w:rsidRPr="00F66FE5" w:rsidRDefault="00F66FE5" w:rsidP="00F66FE5">
            <w:pPr>
              <w:autoSpaceDE w:val="0"/>
              <w:autoSpaceDN w:val="0"/>
              <w:adjustRightInd w:val="0"/>
              <w:jc w:val="center"/>
              <w:rPr>
                <w:rFonts w:ascii="Arial" w:hAnsi="Arial" w:cs="Arial"/>
                <w:lang w:val="en-US"/>
              </w:rPr>
            </w:pPr>
          </w:p>
          <w:p w:rsidR="00F66FE5" w:rsidRPr="00F66FE5" w:rsidRDefault="00F66FE5" w:rsidP="00F66FE5">
            <w:pPr>
              <w:autoSpaceDE w:val="0"/>
              <w:autoSpaceDN w:val="0"/>
              <w:adjustRightInd w:val="0"/>
              <w:jc w:val="both"/>
              <w:rPr>
                <w:rFonts w:ascii="Arial" w:hAnsi="Arial" w:cs="Arial"/>
                <w:lang w:val="en-US"/>
              </w:rPr>
            </w:pPr>
            <w:r w:rsidRPr="00F66FE5">
              <w:rPr>
                <w:rFonts w:ascii="Arial" w:hAnsi="Arial" w:cs="Arial"/>
                <w:lang w:val="en-US"/>
              </w:rPr>
              <w:t>Programme 1: Office of the CEO</w:t>
            </w:r>
          </w:p>
        </w:tc>
        <w:tc>
          <w:tcPr>
            <w:tcW w:w="3521"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Achieved 2 of 4</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Strategic Plan and Performance Plan</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6 bi-monthly and 4 quarterly reports</w:t>
            </w:r>
          </w:p>
          <w:p w:rsidR="00F66FE5" w:rsidRPr="00F66FE5" w:rsidRDefault="00F66FE5" w:rsidP="00F66FE5">
            <w:pPr>
              <w:autoSpaceDE w:val="0"/>
              <w:autoSpaceDN w:val="0"/>
              <w:adjustRightInd w:val="0"/>
              <w:ind w:left="720"/>
              <w:contextualSpacing/>
              <w:rPr>
                <w:rFonts w:ascii="Arial" w:hAnsi="Arial" w:cs="Arial"/>
                <w:lang w:val="en-US"/>
              </w:rPr>
            </w:pPr>
          </w:p>
        </w:tc>
        <w:tc>
          <w:tcPr>
            <w:tcW w:w="2858"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Budgetary constraints</w:t>
            </w:r>
          </w:p>
          <w:p w:rsidR="00F66FE5" w:rsidRPr="00F66FE5" w:rsidRDefault="00F66FE5" w:rsidP="00F66FE5">
            <w:pPr>
              <w:numPr>
                <w:ilvl w:val="0"/>
                <w:numId w:val="40"/>
              </w:numPr>
              <w:autoSpaceDE w:val="0"/>
              <w:autoSpaceDN w:val="0"/>
              <w:adjustRightInd w:val="0"/>
              <w:contextualSpacing/>
              <w:jc w:val="both"/>
              <w:rPr>
                <w:rFonts w:ascii="Arial" w:hAnsi="Arial" w:cs="Arial"/>
                <w:lang w:val="en-US"/>
              </w:rPr>
            </w:pPr>
            <w:r w:rsidRPr="00F66FE5">
              <w:rPr>
                <w:rFonts w:ascii="Arial" w:hAnsi="Arial" w:cs="Arial"/>
                <w:lang w:val="en-US"/>
              </w:rPr>
              <w:t>Research and development of concept document not completed.</w:t>
            </w:r>
          </w:p>
          <w:p w:rsidR="00F66FE5" w:rsidRPr="00F66FE5" w:rsidRDefault="00F66FE5" w:rsidP="00F66FE5">
            <w:pPr>
              <w:numPr>
                <w:ilvl w:val="0"/>
                <w:numId w:val="40"/>
              </w:numPr>
              <w:autoSpaceDE w:val="0"/>
              <w:autoSpaceDN w:val="0"/>
              <w:adjustRightInd w:val="0"/>
              <w:contextualSpacing/>
              <w:jc w:val="both"/>
              <w:rPr>
                <w:rFonts w:ascii="Arial" w:hAnsi="Arial" w:cs="Arial"/>
                <w:lang w:val="en-US"/>
              </w:rPr>
            </w:pPr>
            <w:r w:rsidRPr="00F66FE5">
              <w:rPr>
                <w:rFonts w:ascii="Arial" w:hAnsi="Arial" w:cs="Arial"/>
                <w:lang w:val="en-US"/>
              </w:rPr>
              <w:t>Governance frameworks outstanding</w:t>
            </w:r>
          </w:p>
          <w:p w:rsidR="002C465C" w:rsidRPr="00F66FE5" w:rsidRDefault="002C465C" w:rsidP="00F66FE5">
            <w:pPr>
              <w:autoSpaceDE w:val="0"/>
              <w:autoSpaceDN w:val="0"/>
              <w:adjustRightInd w:val="0"/>
              <w:ind w:left="360"/>
              <w:rPr>
                <w:rFonts w:ascii="Arial" w:hAnsi="Arial" w:cs="Arial"/>
                <w:lang w:val="en-US"/>
              </w:rPr>
            </w:pPr>
          </w:p>
        </w:tc>
        <w:tc>
          <w:tcPr>
            <w:tcW w:w="2551" w:type="dxa"/>
            <w:vMerge w:val="restart"/>
          </w:tcPr>
          <w:p w:rsidR="00F66FE5" w:rsidRPr="00F66FE5" w:rsidRDefault="00F66FE5" w:rsidP="00F66FE5">
            <w:pPr>
              <w:autoSpaceDE w:val="0"/>
              <w:autoSpaceDN w:val="0"/>
              <w:adjustRightInd w:val="0"/>
              <w:rPr>
                <w:rFonts w:ascii="Arial" w:hAnsi="Arial" w:cs="Arial"/>
                <w:lang w:val="en-US"/>
              </w:rPr>
            </w:pPr>
            <w:r w:rsidRPr="00F66FE5">
              <w:rPr>
                <w:rFonts w:ascii="Arial" w:hAnsi="Arial" w:cs="Arial"/>
                <w:lang w:val="en-US"/>
              </w:rPr>
              <w:t>It seems like this government institution is finding it increasingly difficult to fulfil their mandate because of budgetary constraints.</w:t>
            </w:r>
          </w:p>
          <w:p w:rsidR="00F66FE5" w:rsidRPr="00F66FE5" w:rsidRDefault="00F66FE5" w:rsidP="00F66FE5">
            <w:pPr>
              <w:autoSpaceDE w:val="0"/>
              <w:autoSpaceDN w:val="0"/>
              <w:adjustRightInd w:val="0"/>
              <w:rPr>
                <w:rFonts w:ascii="Arial" w:hAnsi="Arial" w:cs="Arial"/>
                <w:lang w:val="en-US"/>
              </w:rPr>
            </w:pPr>
          </w:p>
        </w:tc>
      </w:tr>
      <w:tr w:rsidR="00F66FE5" w:rsidRPr="00F66FE5" w:rsidTr="0056364A">
        <w:tc>
          <w:tcPr>
            <w:tcW w:w="1843" w:type="dxa"/>
          </w:tcPr>
          <w:p w:rsidR="00F66FE5" w:rsidRPr="00F66FE5" w:rsidRDefault="00F66FE5" w:rsidP="00F66FE5">
            <w:pPr>
              <w:autoSpaceDE w:val="0"/>
              <w:autoSpaceDN w:val="0"/>
              <w:adjustRightInd w:val="0"/>
              <w:rPr>
                <w:rFonts w:ascii="Arial" w:hAnsi="Arial" w:cs="Arial"/>
                <w:lang w:val="en-US"/>
              </w:rPr>
            </w:pPr>
          </w:p>
          <w:p w:rsidR="00F66FE5" w:rsidRPr="00F66FE5" w:rsidRDefault="00F66FE5" w:rsidP="00F66FE5">
            <w:pPr>
              <w:autoSpaceDE w:val="0"/>
              <w:autoSpaceDN w:val="0"/>
              <w:adjustRightInd w:val="0"/>
              <w:rPr>
                <w:rFonts w:ascii="Arial" w:hAnsi="Arial" w:cs="Arial"/>
                <w:b/>
                <w:bCs/>
              </w:rPr>
            </w:pPr>
            <w:r w:rsidRPr="00F66FE5">
              <w:rPr>
                <w:rFonts w:ascii="Arial" w:hAnsi="Arial" w:cs="Arial"/>
                <w:lang w:val="en-US"/>
              </w:rPr>
              <w:t>Programme  2</w:t>
            </w:r>
            <w:r w:rsidRPr="00F66FE5">
              <w:rPr>
                <w:rFonts w:ascii="Arial" w:hAnsi="Arial" w:cs="Arial"/>
                <w:b/>
                <w:bCs/>
              </w:rPr>
              <w:t xml:space="preserve"> : </w:t>
            </w:r>
            <w:r w:rsidRPr="00F66FE5">
              <w:rPr>
                <w:rFonts w:ascii="Arial" w:hAnsi="Arial" w:cs="Arial"/>
                <w:bCs/>
              </w:rPr>
              <w:t>Operations</w:t>
            </w:r>
          </w:p>
        </w:tc>
        <w:tc>
          <w:tcPr>
            <w:tcW w:w="3521"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 xml:space="preserve">Achieved 0 of 2  </w:t>
            </w:r>
          </w:p>
        </w:tc>
        <w:tc>
          <w:tcPr>
            <w:tcW w:w="2858"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High volumes of complaints received and no staff growth</w:t>
            </w:r>
          </w:p>
          <w:p w:rsidR="002C465C" w:rsidRPr="00F66FE5" w:rsidRDefault="002C465C" w:rsidP="00F66FE5">
            <w:pPr>
              <w:autoSpaceDE w:val="0"/>
              <w:autoSpaceDN w:val="0"/>
              <w:adjustRightInd w:val="0"/>
              <w:ind w:left="360"/>
              <w:rPr>
                <w:rFonts w:ascii="Arial" w:hAnsi="Arial" w:cs="Arial"/>
                <w:lang w:val="en-US"/>
              </w:rPr>
            </w:pPr>
          </w:p>
        </w:tc>
        <w:tc>
          <w:tcPr>
            <w:tcW w:w="2551" w:type="dxa"/>
            <w:vMerge/>
          </w:tcPr>
          <w:p w:rsidR="00F66FE5" w:rsidRPr="00F66FE5" w:rsidRDefault="00F66FE5" w:rsidP="00F66FE5">
            <w:pPr>
              <w:spacing w:line="280" w:lineRule="exact"/>
              <w:jc w:val="both"/>
              <w:rPr>
                <w:rFonts w:ascii="Arial" w:hAnsi="Arial" w:cs="Arial"/>
                <w:b/>
                <w:bCs/>
              </w:rPr>
            </w:pPr>
          </w:p>
        </w:tc>
      </w:tr>
      <w:tr w:rsidR="00F66FE5" w:rsidRPr="00F66FE5" w:rsidTr="0056364A">
        <w:trPr>
          <w:trHeight w:val="58"/>
        </w:trPr>
        <w:tc>
          <w:tcPr>
            <w:tcW w:w="1843" w:type="dxa"/>
          </w:tcPr>
          <w:p w:rsidR="00F66FE5" w:rsidRPr="00F66FE5" w:rsidRDefault="00F66FE5" w:rsidP="00F66FE5">
            <w:pPr>
              <w:spacing w:line="280" w:lineRule="exact"/>
              <w:jc w:val="both"/>
              <w:rPr>
                <w:rFonts w:ascii="Arial" w:hAnsi="Arial"/>
              </w:rPr>
            </w:pPr>
            <w:r w:rsidRPr="00F66FE5">
              <w:rPr>
                <w:rFonts w:ascii="Arial" w:hAnsi="Arial"/>
              </w:rPr>
              <w:t>Programme 3: Communication and Outreach</w:t>
            </w:r>
          </w:p>
        </w:tc>
        <w:tc>
          <w:tcPr>
            <w:tcW w:w="3521"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Achieved 2 of 2</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Communication and education outreach</w:t>
            </w:r>
          </w:p>
          <w:p w:rsidR="002C465C"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Collaborations with key stakeholders</w:t>
            </w:r>
          </w:p>
        </w:tc>
        <w:tc>
          <w:tcPr>
            <w:tcW w:w="2858" w:type="dxa"/>
          </w:tcPr>
          <w:p w:rsidR="00F66FE5" w:rsidRPr="00F66FE5" w:rsidRDefault="00F66FE5" w:rsidP="00F66FE5">
            <w:pPr>
              <w:autoSpaceDE w:val="0"/>
              <w:autoSpaceDN w:val="0"/>
              <w:adjustRightInd w:val="0"/>
              <w:ind w:left="720"/>
              <w:contextualSpacing/>
              <w:rPr>
                <w:rFonts w:ascii="Arial" w:hAnsi="Arial" w:cs="Arial"/>
                <w:lang w:val="en-US"/>
              </w:rPr>
            </w:pPr>
          </w:p>
        </w:tc>
        <w:tc>
          <w:tcPr>
            <w:tcW w:w="2551" w:type="dxa"/>
          </w:tcPr>
          <w:p w:rsidR="00F66FE5" w:rsidRPr="00F66FE5" w:rsidRDefault="00F66FE5" w:rsidP="00F66FE5">
            <w:pPr>
              <w:spacing w:line="280" w:lineRule="exact"/>
              <w:jc w:val="both"/>
              <w:rPr>
                <w:rFonts w:ascii="Arial" w:hAnsi="Arial" w:cs="Arial"/>
                <w:bCs/>
              </w:rPr>
            </w:pPr>
            <w:r w:rsidRPr="00F66FE5">
              <w:rPr>
                <w:rFonts w:ascii="Arial" w:hAnsi="Arial" w:cs="Arial"/>
                <w:bCs/>
              </w:rPr>
              <w:t xml:space="preserve">Investigation of complaints about delays in tax refund payments by SARS generated significant media attention. </w:t>
            </w:r>
          </w:p>
        </w:tc>
      </w:tr>
      <w:tr w:rsidR="00F66FE5" w:rsidRPr="00F66FE5" w:rsidTr="0056364A">
        <w:trPr>
          <w:trHeight w:val="58"/>
        </w:trPr>
        <w:tc>
          <w:tcPr>
            <w:tcW w:w="1843" w:type="dxa"/>
          </w:tcPr>
          <w:p w:rsidR="00F66FE5" w:rsidRPr="00F66FE5" w:rsidRDefault="00F66FE5" w:rsidP="00F66FE5">
            <w:pPr>
              <w:spacing w:line="280" w:lineRule="exact"/>
              <w:jc w:val="both"/>
              <w:rPr>
                <w:rFonts w:ascii="Arial" w:hAnsi="Arial"/>
              </w:rPr>
            </w:pPr>
            <w:r w:rsidRPr="00F66FE5">
              <w:rPr>
                <w:rFonts w:ascii="Arial" w:hAnsi="Arial"/>
              </w:rPr>
              <w:t>Programme 4: Legal Programme</w:t>
            </w:r>
          </w:p>
        </w:tc>
        <w:tc>
          <w:tcPr>
            <w:tcW w:w="3521"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 xml:space="preserve">Achieved 1 of 1 </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Legal matters referred to legal services completed within standard turnaround times.</w:t>
            </w:r>
          </w:p>
        </w:tc>
        <w:tc>
          <w:tcPr>
            <w:tcW w:w="2858" w:type="dxa"/>
          </w:tcPr>
          <w:p w:rsidR="00F66FE5" w:rsidRPr="00F66FE5" w:rsidRDefault="00F66FE5" w:rsidP="00F66FE5">
            <w:pPr>
              <w:autoSpaceDE w:val="0"/>
              <w:autoSpaceDN w:val="0"/>
              <w:adjustRightInd w:val="0"/>
              <w:ind w:left="720"/>
              <w:contextualSpacing/>
              <w:rPr>
                <w:rFonts w:ascii="Arial" w:hAnsi="Arial" w:cs="Arial"/>
                <w:lang w:val="en-US"/>
              </w:rPr>
            </w:pPr>
          </w:p>
        </w:tc>
        <w:tc>
          <w:tcPr>
            <w:tcW w:w="2551" w:type="dxa"/>
          </w:tcPr>
          <w:p w:rsidR="00F66FE5" w:rsidRPr="00F66FE5" w:rsidRDefault="00F66FE5" w:rsidP="00F66FE5">
            <w:pPr>
              <w:spacing w:line="280" w:lineRule="exact"/>
              <w:jc w:val="both"/>
              <w:rPr>
                <w:rFonts w:ascii="Arial" w:hAnsi="Arial" w:cs="Arial"/>
                <w:bCs/>
              </w:rPr>
            </w:pPr>
            <w:r w:rsidRPr="00F66FE5">
              <w:rPr>
                <w:rFonts w:ascii="Arial" w:hAnsi="Arial" w:cs="Arial"/>
                <w:bCs/>
              </w:rPr>
              <w:t>Can OPO elaborate on the plans in place to give effect to further legislative amendments?</w:t>
            </w:r>
          </w:p>
        </w:tc>
      </w:tr>
      <w:tr w:rsidR="00F66FE5" w:rsidRPr="00F66FE5" w:rsidTr="0056364A">
        <w:trPr>
          <w:trHeight w:val="58"/>
        </w:trPr>
        <w:tc>
          <w:tcPr>
            <w:tcW w:w="1843" w:type="dxa"/>
          </w:tcPr>
          <w:p w:rsidR="00F66FE5" w:rsidRPr="00F66FE5" w:rsidRDefault="00F66FE5" w:rsidP="00F66FE5">
            <w:pPr>
              <w:spacing w:line="280" w:lineRule="exact"/>
              <w:jc w:val="both"/>
              <w:rPr>
                <w:rFonts w:ascii="Arial" w:hAnsi="Arial"/>
              </w:rPr>
            </w:pPr>
            <w:r w:rsidRPr="00F66FE5">
              <w:rPr>
                <w:rFonts w:ascii="Arial" w:hAnsi="Arial"/>
              </w:rPr>
              <w:t>Programme 5: Office Enablement</w:t>
            </w:r>
          </w:p>
        </w:tc>
        <w:tc>
          <w:tcPr>
            <w:tcW w:w="3521" w:type="dxa"/>
          </w:tcPr>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Achieved 4 of  5</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Training programmes</w:t>
            </w:r>
          </w:p>
          <w:p w:rsidR="00F66FE5"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Health risk assessment and awareness reports</w:t>
            </w:r>
          </w:p>
        </w:tc>
        <w:tc>
          <w:tcPr>
            <w:tcW w:w="2858" w:type="dxa"/>
          </w:tcPr>
          <w:p w:rsidR="002C465C" w:rsidRPr="00F66FE5" w:rsidRDefault="00F66FE5" w:rsidP="00F66FE5">
            <w:pPr>
              <w:numPr>
                <w:ilvl w:val="0"/>
                <w:numId w:val="39"/>
              </w:numPr>
              <w:autoSpaceDE w:val="0"/>
              <w:autoSpaceDN w:val="0"/>
              <w:adjustRightInd w:val="0"/>
              <w:contextualSpacing/>
              <w:jc w:val="both"/>
              <w:rPr>
                <w:rFonts w:ascii="Arial" w:hAnsi="Arial" w:cs="Arial"/>
                <w:lang w:val="en-US"/>
              </w:rPr>
            </w:pPr>
            <w:r w:rsidRPr="00F66FE5">
              <w:rPr>
                <w:rFonts w:ascii="Arial" w:hAnsi="Arial" w:cs="Arial"/>
                <w:lang w:val="en-US"/>
              </w:rPr>
              <w:t>Budgetary constraints – HR capability plan was not finalised</w:t>
            </w:r>
          </w:p>
        </w:tc>
        <w:tc>
          <w:tcPr>
            <w:tcW w:w="2551" w:type="dxa"/>
          </w:tcPr>
          <w:p w:rsidR="00F66FE5" w:rsidRPr="00F66FE5" w:rsidRDefault="00F66FE5" w:rsidP="00F66FE5">
            <w:pPr>
              <w:spacing w:line="280" w:lineRule="exact"/>
              <w:jc w:val="both"/>
              <w:rPr>
                <w:rFonts w:ascii="Arial" w:hAnsi="Arial" w:cs="Arial"/>
                <w:bCs/>
              </w:rPr>
            </w:pPr>
          </w:p>
        </w:tc>
      </w:tr>
    </w:tbl>
    <w:p w:rsidR="00F66FE5" w:rsidRDefault="00F66FE5" w:rsidP="00CC1B63">
      <w:pPr>
        <w:jc w:val="both"/>
        <w:rPr>
          <w:rFonts w:ascii="Arial" w:eastAsia="Times New Roman" w:hAnsi="Arial" w:cs="Times New Roman"/>
        </w:rPr>
      </w:pPr>
    </w:p>
    <w:p w:rsidR="005E0C2E" w:rsidRPr="003D7E80" w:rsidRDefault="005E0C2E" w:rsidP="003D7E80">
      <w:pPr>
        <w:pStyle w:val="ListParagraph"/>
        <w:numPr>
          <w:ilvl w:val="0"/>
          <w:numId w:val="5"/>
        </w:numPr>
        <w:jc w:val="both"/>
        <w:rPr>
          <w:rFonts w:ascii="Arial" w:hAnsi="Arial" w:cs="Arial"/>
          <w:b/>
        </w:rPr>
      </w:pPr>
      <w:r w:rsidRPr="003D7E80">
        <w:rPr>
          <w:rFonts w:ascii="Arial" w:hAnsi="Arial" w:cs="Arial"/>
          <w:b/>
        </w:rPr>
        <w:t>Financial Performance Analysis</w:t>
      </w:r>
    </w:p>
    <w:p w:rsidR="006D2C20" w:rsidRPr="006D2C20" w:rsidRDefault="005E0C2E" w:rsidP="006D2C20">
      <w:pPr>
        <w:pStyle w:val="BlockText"/>
        <w:tabs>
          <w:tab w:val="left" w:pos="851"/>
          <w:tab w:val="left" w:pos="8222"/>
          <w:tab w:val="left" w:pos="8310"/>
        </w:tabs>
        <w:spacing w:line="276" w:lineRule="auto"/>
        <w:ind w:left="0" w:right="-96" w:firstLine="0"/>
        <w:rPr>
          <w:sz w:val="22"/>
          <w:szCs w:val="22"/>
          <w:lang w:val="en-ZA"/>
        </w:rPr>
      </w:pPr>
      <w:r>
        <w:rPr>
          <w:sz w:val="22"/>
          <w:szCs w:val="22"/>
          <w:lang w:val="en-ZA"/>
        </w:rPr>
        <w:t xml:space="preserve">For the period </w:t>
      </w:r>
      <w:r w:rsidR="00C21C5C">
        <w:rPr>
          <w:sz w:val="22"/>
          <w:szCs w:val="22"/>
          <w:lang w:val="en-ZA"/>
        </w:rPr>
        <w:t xml:space="preserve">under review, </w:t>
      </w:r>
      <w:r w:rsidR="005A6EA3">
        <w:rPr>
          <w:sz w:val="22"/>
          <w:szCs w:val="22"/>
          <w:lang w:val="en-ZA"/>
        </w:rPr>
        <w:t>r</w:t>
      </w:r>
      <w:bookmarkStart w:id="0" w:name="_GoBack"/>
      <w:bookmarkEnd w:id="0"/>
      <w:r w:rsidRPr="003D7E80">
        <w:rPr>
          <w:sz w:val="22"/>
          <w:szCs w:val="22"/>
          <w:lang w:val="en-ZA"/>
        </w:rPr>
        <w:t>evenue in the form</w:t>
      </w:r>
      <w:r w:rsidR="00264BB9">
        <w:rPr>
          <w:sz w:val="22"/>
          <w:szCs w:val="22"/>
          <w:lang w:val="en-ZA"/>
        </w:rPr>
        <w:t xml:space="preserve"> of</w:t>
      </w:r>
      <w:r w:rsidR="003D7E80" w:rsidRPr="003D7E80">
        <w:rPr>
          <w:sz w:val="22"/>
          <w:szCs w:val="22"/>
          <w:lang w:val="en-ZA"/>
        </w:rPr>
        <w:t xml:space="preserve"> </w:t>
      </w:r>
      <w:r w:rsidR="00264BB9">
        <w:rPr>
          <w:sz w:val="22"/>
          <w:szCs w:val="22"/>
          <w:lang w:val="en-ZA"/>
        </w:rPr>
        <w:t xml:space="preserve">transfer from SARS </w:t>
      </w:r>
      <w:r w:rsidR="00997B54">
        <w:rPr>
          <w:sz w:val="22"/>
          <w:szCs w:val="22"/>
          <w:lang w:val="en-ZA"/>
        </w:rPr>
        <w:t>was R30.9 millio</w:t>
      </w:r>
      <w:r w:rsidR="00014998">
        <w:rPr>
          <w:sz w:val="22"/>
          <w:szCs w:val="22"/>
          <w:lang w:val="en-ZA"/>
        </w:rPr>
        <w:t xml:space="preserve">n. </w:t>
      </w:r>
      <w:r w:rsidR="00014998" w:rsidRPr="00014998">
        <w:rPr>
          <w:sz w:val="22"/>
          <w:szCs w:val="22"/>
          <w:lang w:val="en-ZA"/>
        </w:rPr>
        <w:t>The total expenditure including commitments amounted to R29.7 million, resulting in a surplus of R1.2 million</w:t>
      </w:r>
      <w:r w:rsidR="00014998">
        <w:rPr>
          <w:sz w:val="22"/>
          <w:szCs w:val="22"/>
          <w:lang w:val="en-ZA"/>
        </w:rPr>
        <w:t>. P</w:t>
      </w:r>
      <w:r w:rsidR="00014998" w:rsidRPr="00014998">
        <w:rPr>
          <w:sz w:val="22"/>
          <w:szCs w:val="22"/>
          <w:lang w:val="en-ZA"/>
        </w:rPr>
        <w:t>ersonnel expenditure remains the main cost driver, and represents 80% of the total expenditure for the 2016/17 financial year</w:t>
      </w:r>
      <w:r w:rsidR="00014998">
        <w:rPr>
          <w:sz w:val="22"/>
          <w:szCs w:val="22"/>
          <w:lang w:val="en-ZA"/>
        </w:rPr>
        <w:t xml:space="preserve">. </w:t>
      </w:r>
    </w:p>
    <w:p w:rsidR="0017421D" w:rsidRDefault="0017421D" w:rsidP="0017421D">
      <w:pPr>
        <w:pStyle w:val="BlockText"/>
        <w:tabs>
          <w:tab w:val="left" w:pos="851"/>
          <w:tab w:val="left" w:pos="8222"/>
          <w:tab w:val="left" w:pos="8310"/>
        </w:tabs>
        <w:spacing w:line="276" w:lineRule="auto"/>
        <w:ind w:left="0" w:right="-96" w:firstLine="0"/>
        <w:rPr>
          <w:sz w:val="22"/>
          <w:szCs w:val="22"/>
          <w:lang w:val="en-ZA"/>
        </w:rPr>
      </w:pPr>
    </w:p>
    <w:p w:rsidR="0017421D" w:rsidRPr="0017421D" w:rsidRDefault="0017421D" w:rsidP="0017421D">
      <w:pPr>
        <w:pStyle w:val="BlockText"/>
        <w:tabs>
          <w:tab w:val="left" w:pos="851"/>
          <w:tab w:val="left" w:pos="8222"/>
          <w:tab w:val="left" w:pos="8310"/>
        </w:tabs>
        <w:spacing w:line="276" w:lineRule="auto"/>
        <w:ind w:right="-96"/>
        <w:rPr>
          <w:b/>
          <w:sz w:val="22"/>
          <w:szCs w:val="22"/>
          <w:lang w:val="en-ZA"/>
        </w:rPr>
      </w:pPr>
    </w:p>
    <w:p w:rsidR="0017421D" w:rsidRPr="0017421D" w:rsidRDefault="0017421D" w:rsidP="0017421D">
      <w:pPr>
        <w:pStyle w:val="BlockText"/>
        <w:tabs>
          <w:tab w:val="left" w:pos="851"/>
          <w:tab w:val="left" w:pos="8222"/>
          <w:tab w:val="left" w:pos="8310"/>
        </w:tabs>
        <w:spacing w:line="276" w:lineRule="auto"/>
        <w:ind w:right="-96"/>
        <w:rPr>
          <w:b/>
          <w:sz w:val="22"/>
          <w:szCs w:val="22"/>
          <w:lang w:val="en-ZA"/>
        </w:rPr>
      </w:pPr>
      <w:r w:rsidRPr="0017421D">
        <w:rPr>
          <w:b/>
          <w:sz w:val="22"/>
          <w:szCs w:val="22"/>
          <w:lang w:val="en-ZA"/>
        </w:rPr>
        <w:t>References</w:t>
      </w:r>
    </w:p>
    <w:p w:rsidR="0017421D" w:rsidRDefault="0017421D" w:rsidP="0017421D">
      <w:pPr>
        <w:pStyle w:val="BlockText"/>
        <w:tabs>
          <w:tab w:val="left" w:pos="851"/>
          <w:tab w:val="left" w:pos="8222"/>
          <w:tab w:val="left" w:pos="8310"/>
        </w:tabs>
        <w:spacing w:line="276" w:lineRule="auto"/>
        <w:ind w:right="-96"/>
        <w:rPr>
          <w:sz w:val="22"/>
          <w:szCs w:val="22"/>
          <w:lang w:val="en-ZA"/>
        </w:rPr>
      </w:pPr>
    </w:p>
    <w:p w:rsidR="0017421D" w:rsidRPr="00D35E61" w:rsidRDefault="00F66FE5" w:rsidP="0017421D">
      <w:pPr>
        <w:pStyle w:val="BlockText"/>
        <w:tabs>
          <w:tab w:val="left" w:pos="851"/>
          <w:tab w:val="left" w:pos="8222"/>
          <w:tab w:val="left" w:pos="8310"/>
        </w:tabs>
        <w:spacing w:line="276" w:lineRule="auto"/>
        <w:ind w:right="-96"/>
        <w:rPr>
          <w:sz w:val="22"/>
          <w:szCs w:val="22"/>
          <w:lang w:val="en-ZA"/>
        </w:rPr>
      </w:pPr>
      <w:r>
        <w:rPr>
          <w:sz w:val="22"/>
          <w:szCs w:val="22"/>
          <w:lang w:val="en-ZA"/>
        </w:rPr>
        <w:t xml:space="preserve">Office of the Tax Ombud </w:t>
      </w:r>
      <w:r w:rsidR="0017421D">
        <w:rPr>
          <w:sz w:val="22"/>
          <w:szCs w:val="22"/>
          <w:lang w:val="en-ZA"/>
        </w:rPr>
        <w:t xml:space="preserve">Annual Report 2016/17 </w:t>
      </w:r>
    </w:p>
    <w:sectPr w:rsidR="0017421D" w:rsidRPr="00D35E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5C" w:rsidRDefault="002C465C" w:rsidP="0052746F">
      <w:pPr>
        <w:spacing w:after="0" w:line="240" w:lineRule="auto"/>
      </w:pPr>
      <w:r>
        <w:separator/>
      </w:r>
    </w:p>
  </w:endnote>
  <w:endnote w:type="continuationSeparator" w:id="0">
    <w:p w:rsidR="002C465C" w:rsidRDefault="002C465C" w:rsidP="0052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11624"/>
      <w:docPartObj>
        <w:docPartGallery w:val="Page Numbers (Bottom of Page)"/>
        <w:docPartUnique/>
      </w:docPartObj>
    </w:sdtPr>
    <w:sdtEndPr>
      <w:rPr>
        <w:noProof/>
      </w:rPr>
    </w:sdtEndPr>
    <w:sdtContent>
      <w:p w:rsidR="002C465C" w:rsidRDefault="002C465C">
        <w:pPr>
          <w:pStyle w:val="Footer"/>
          <w:jc w:val="right"/>
        </w:pPr>
        <w:r>
          <w:fldChar w:fldCharType="begin"/>
        </w:r>
        <w:r>
          <w:instrText xml:space="preserve"> PAGE   \* MERGEFORMAT </w:instrText>
        </w:r>
        <w:r>
          <w:fldChar w:fldCharType="separate"/>
        </w:r>
        <w:r w:rsidR="005A6EA3">
          <w:rPr>
            <w:noProof/>
          </w:rPr>
          <w:t>2</w:t>
        </w:r>
        <w:r>
          <w:rPr>
            <w:noProof/>
          </w:rPr>
          <w:fldChar w:fldCharType="end"/>
        </w:r>
      </w:p>
    </w:sdtContent>
  </w:sdt>
  <w:p w:rsidR="002C465C" w:rsidRDefault="002C4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5C" w:rsidRDefault="002C465C" w:rsidP="0052746F">
      <w:pPr>
        <w:spacing w:after="0" w:line="240" w:lineRule="auto"/>
      </w:pPr>
      <w:r>
        <w:separator/>
      </w:r>
    </w:p>
  </w:footnote>
  <w:footnote w:type="continuationSeparator" w:id="0">
    <w:p w:rsidR="002C465C" w:rsidRDefault="002C465C" w:rsidP="00527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A9"/>
    <w:multiLevelType w:val="hybridMultilevel"/>
    <w:tmpl w:val="680609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21C1DC3"/>
    <w:multiLevelType w:val="hybridMultilevel"/>
    <w:tmpl w:val="F9EC76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B2D5F0C"/>
    <w:multiLevelType w:val="hybridMultilevel"/>
    <w:tmpl w:val="3522A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02F01E1"/>
    <w:multiLevelType w:val="hybridMultilevel"/>
    <w:tmpl w:val="A246CE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70319B"/>
    <w:multiLevelType w:val="hybridMultilevel"/>
    <w:tmpl w:val="9AD09126"/>
    <w:lvl w:ilvl="0" w:tplc="646C0DC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607C1F"/>
    <w:multiLevelType w:val="hybridMultilevel"/>
    <w:tmpl w:val="E3140A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5591F3F"/>
    <w:multiLevelType w:val="hybridMultilevel"/>
    <w:tmpl w:val="2AC2D84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921772"/>
    <w:multiLevelType w:val="hybridMultilevel"/>
    <w:tmpl w:val="2FBCAA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AAD1F78"/>
    <w:multiLevelType w:val="hybridMultilevel"/>
    <w:tmpl w:val="073E2694"/>
    <w:lvl w:ilvl="0" w:tplc="21341F7E">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E7B69"/>
    <w:multiLevelType w:val="hybridMultilevel"/>
    <w:tmpl w:val="F35002A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07C7B1F"/>
    <w:multiLevelType w:val="hybridMultilevel"/>
    <w:tmpl w:val="85D0F24A"/>
    <w:lvl w:ilvl="0" w:tplc="DCFC46C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16C5359"/>
    <w:multiLevelType w:val="hybridMultilevel"/>
    <w:tmpl w:val="38E87D8A"/>
    <w:lvl w:ilvl="0" w:tplc="4E78A884">
      <w:start w:val="3"/>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D16B60"/>
    <w:multiLevelType w:val="hybridMultilevel"/>
    <w:tmpl w:val="1DC46748"/>
    <w:lvl w:ilvl="0" w:tplc="21341F7E">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1D59B8"/>
    <w:multiLevelType w:val="hybridMultilevel"/>
    <w:tmpl w:val="5B96EE4A"/>
    <w:lvl w:ilvl="0" w:tplc="646C0DCC">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AEC61E9"/>
    <w:multiLevelType w:val="hybridMultilevel"/>
    <w:tmpl w:val="C4FE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12D4A3E"/>
    <w:multiLevelType w:val="hybridMultilevel"/>
    <w:tmpl w:val="571EACA6"/>
    <w:lvl w:ilvl="0" w:tplc="D4B48EBC">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F347DD"/>
    <w:multiLevelType w:val="hybridMultilevel"/>
    <w:tmpl w:val="62442C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7C958CF"/>
    <w:multiLevelType w:val="hybridMultilevel"/>
    <w:tmpl w:val="6DCCBB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FE33A95"/>
    <w:multiLevelType w:val="hybridMultilevel"/>
    <w:tmpl w:val="5818EB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A450454"/>
    <w:multiLevelType w:val="hybridMultilevel"/>
    <w:tmpl w:val="915AB0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D8D543F"/>
    <w:multiLevelType w:val="hybridMultilevel"/>
    <w:tmpl w:val="64AA52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4B31A59"/>
    <w:multiLevelType w:val="hybridMultilevel"/>
    <w:tmpl w:val="0C5A1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798236D"/>
    <w:multiLevelType w:val="hybridMultilevel"/>
    <w:tmpl w:val="70ACED00"/>
    <w:lvl w:ilvl="0" w:tplc="21341F7E">
      <w:start w:val="3"/>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7F217B5"/>
    <w:multiLevelType w:val="hybridMultilevel"/>
    <w:tmpl w:val="3C7CBDE0"/>
    <w:lvl w:ilvl="0" w:tplc="21341F7E">
      <w:start w:val="3"/>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A692F44"/>
    <w:multiLevelType w:val="hybridMultilevel"/>
    <w:tmpl w:val="05AC02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AA93CED"/>
    <w:multiLevelType w:val="hybridMultilevel"/>
    <w:tmpl w:val="2DB4D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D2A64EF"/>
    <w:multiLevelType w:val="hybridMultilevel"/>
    <w:tmpl w:val="C246AA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E924F22"/>
    <w:multiLevelType w:val="hybridMultilevel"/>
    <w:tmpl w:val="06E023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FFE4E25"/>
    <w:multiLevelType w:val="hybridMultilevel"/>
    <w:tmpl w:val="5D864EB8"/>
    <w:lvl w:ilvl="0" w:tplc="21341F7E">
      <w:start w:val="3"/>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2C162A2"/>
    <w:multiLevelType w:val="hybridMultilevel"/>
    <w:tmpl w:val="85688388"/>
    <w:lvl w:ilvl="0" w:tplc="21341F7E">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8BC47D6"/>
    <w:multiLevelType w:val="hybridMultilevel"/>
    <w:tmpl w:val="20420E7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9193CF5"/>
    <w:multiLevelType w:val="hybridMultilevel"/>
    <w:tmpl w:val="96CEDF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F2F38E3"/>
    <w:multiLevelType w:val="hybridMultilevel"/>
    <w:tmpl w:val="9C421B3A"/>
    <w:lvl w:ilvl="0" w:tplc="1DCA2220">
      <w:start w:val="13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A489B"/>
    <w:multiLevelType w:val="hybridMultilevel"/>
    <w:tmpl w:val="630A07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72101408"/>
    <w:multiLevelType w:val="hybridMultilevel"/>
    <w:tmpl w:val="F4425082"/>
    <w:lvl w:ilvl="0" w:tplc="FA9CF826">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4B05D45"/>
    <w:multiLevelType w:val="hybridMultilevel"/>
    <w:tmpl w:val="D09C78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75225FB0"/>
    <w:multiLevelType w:val="hybridMultilevel"/>
    <w:tmpl w:val="6BA86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8FE6AD2"/>
    <w:multiLevelType w:val="multilevel"/>
    <w:tmpl w:val="6CD2292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900405C"/>
    <w:multiLevelType w:val="hybridMultilevel"/>
    <w:tmpl w:val="817262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93C32ED"/>
    <w:multiLevelType w:val="hybridMultilevel"/>
    <w:tmpl w:val="EE582A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FAA756B"/>
    <w:multiLevelType w:val="hybridMultilevel"/>
    <w:tmpl w:val="C958D26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34"/>
  </w:num>
  <w:num w:numId="5">
    <w:abstractNumId w:val="37"/>
  </w:num>
  <w:num w:numId="6">
    <w:abstractNumId w:val="9"/>
  </w:num>
  <w:num w:numId="7">
    <w:abstractNumId w:val="17"/>
  </w:num>
  <w:num w:numId="8">
    <w:abstractNumId w:val="26"/>
  </w:num>
  <w:num w:numId="9">
    <w:abstractNumId w:val="3"/>
  </w:num>
  <w:num w:numId="10">
    <w:abstractNumId w:val="20"/>
  </w:num>
  <w:num w:numId="11">
    <w:abstractNumId w:val="16"/>
  </w:num>
  <w:num w:numId="12">
    <w:abstractNumId w:val="40"/>
  </w:num>
  <w:num w:numId="13">
    <w:abstractNumId w:val="14"/>
  </w:num>
  <w:num w:numId="14">
    <w:abstractNumId w:val="7"/>
  </w:num>
  <w:num w:numId="15">
    <w:abstractNumId w:val="27"/>
  </w:num>
  <w:num w:numId="16">
    <w:abstractNumId w:val="36"/>
  </w:num>
  <w:num w:numId="17">
    <w:abstractNumId w:val="21"/>
  </w:num>
  <w:num w:numId="18">
    <w:abstractNumId w:val="33"/>
  </w:num>
  <w:num w:numId="19">
    <w:abstractNumId w:val="38"/>
  </w:num>
  <w:num w:numId="20">
    <w:abstractNumId w:val="31"/>
  </w:num>
  <w:num w:numId="21">
    <w:abstractNumId w:val="35"/>
  </w:num>
  <w:num w:numId="22">
    <w:abstractNumId w:val="24"/>
  </w:num>
  <w:num w:numId="23">
    <w:abstractNumId w:val="39"/>
  </w:num>
  <w:num w:numId="24">
    <w:abstractNumId w:val="18"/>
  </w:num>
  <w:num w:numId="25">
    <w:abstractNumId w:val="19"/>
  </w:num>
  <w:num w:numId="26">
    <w:abstractNumId w:val="1"/>
  </w:num>
  <w:num w:numId="27">
    <w:abstractNumId w:val="2"/>
  </w:num>
  <w:num w:numId="28">
    <w:abstractNumId w:val="4"/>
  </w:num>
  <w:num w:numId="29">
    <w:abstractNumId w:val="13"/>
  </w:num>
  <w:num w:numId="30">
    <w:abstractNumId w:val="15"/>
  </w:num>
  <w:num w:numId="31">
    <w:abstractNumId w:val="29"/>
  </w:num>
  <w:num w:numId="32">
    <w:abstractNumId w:val="8"/>
  </w:num>
  <w:num w:numId="33">
    <w:abstractNumId w:val="12"/>
  </w:num>
  <w:num w:numId="34">
    <w:abstractNumId w:val="28"/>
  </w:num>
  <w:num w:numId="35">
    <w:abstractNumId w:val="22"/>
  </w:num>
  <w:num w:numId="36">
    <w:abstractNumId w:val="23"/>
  </w:num>
  <w:num w:numId="37">
    <w:abstractNumId w:val="6"/>
  </w:num>
  <w:num w:numId="38">
    <w:abstractNumId w:val="30"/>
  </w:num>
  <w:num w:numId="39">
    <w:abstractNumId w:val="32"/>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87"/>
    <w:rsid w:val="00014998"/>
    <w:rsid w:val="000657E4"/>
    <w:rsid w:val="000863D4"/>
    <w:rsid w:val="000B3618"/>
    <w:rsid w:val="000C7563"/>
    <w:rsid w:val="00117EF5"/>
    <w:rsid w:val="00126D27"/>
    <w:rsid w:val="0017421D"/>
    <w:rsid w:val="0019516D"/>
    <w:rsid w:val="001A14E4"/>
    <w:rsid w:val="001C4D0C"/>
    <w:rsid w:val="00235117"/>
    <w:rsid w:val="00264BB9"/>
    <w:rsid w:val="002B40FE"/>
    <w:rsid w:val="002C465C"/>
    <w:rsid w:val="00316990"/>
    <w:rsid w:val="0032554E"/>
    <w:rsid w:val="003314FD"/>
    <w:rsid w:val="00331715"/>
    <w:rsid w:val="00356104"/>
    <w:rsid w:val="0037437D"/>
    <w:rsid w:val="00380AFD"/>
    <w:rsid w:val="003831AB"/>
    <w:rsid w:val="003B0A75"/>
    <w:rsid w:val="003D7E80"/>
    <w:rsid w:val="003F329C"/>
    <w:rsid w:val="00401795"/>
    <w:rsid w:val="004505E3"/>
    <w:rsid w:val="004514F9"/>
    <w:rsid w:val="0046041D"/>
    <w:rsid w:val="00481E58"/>
    <w:rsid w:val="00493A07"/>
    <w:rsid w:val="004C117E"/>
    <w:rsid w:val="004C4BEC"/>
    <w:rsid w:val="004D7D52"/>
    <w:rsid w:val="004E5DCC"/>
    <w:rsid w:val="004F1640"/>
    <w:rsid w:val="004F4389"/>
    <w:rsid w:val="004F760E"/>
    <w:rsid w:val="0050450F"/>
    <w:rsid w:val="005213BB"/>
    <w:rsid w:val="00523128"/>
    <w:rsid w:val="00524852"/>
    <w:rsid w:val="0052746F"/>
    <w:rsid w:val="00534433"/>
    <w:rsid w:val="0056364A"/>
    <w:rsid w:val="0056746D"/>
    <w:rsid w:val="00575588"/>
    <w:rsid w:val="00581D2B"/>
    <w:rsid w:val="005856FE"/>
    <w:rsid w:val="00586AC6"/>
    <w:rsid w:val="005A12E9"/>
    <w:rsid w:val="005A1E88"/>
    <w:rsid w:val="005A1F78"/>
    <w:rsid w:val="005A6EA3"/>
    <w:rsid w:val="005E070F"/>
    <w:rsid w:val="005E0C2E"/>
    <w:rsid w:val="005F21F3"/>
    <w:rsid w:val="00606D47"/>
    <w:rsid w:val="00612564"/>
    <w:rsid w:val="00633958"/>
    <w:rsid w:val="006561A3"/>
    <w:rsid w:val="006D2C20"/>
    <w:rsid w:val="006E5561"/>
    <w:rsid w:val="006F0B63"/>
    <w:rsid w:val="00762E01"/>
    <w:rsid w:val="007644F8"/>
    <w:rsid w:val="0079305A"/>
    <w:rsid w:val="007B2670"/>
    <w:rsid w:val="007B672F"/>
    <w:rsid w:val="007C2262"/>
    <w:rsid w:val="007D00BC"/>
    <w:rsid w:val="007D4C79"/>
    <w:rsid w:val="007D606F"/>
    <w:rsid w:val="007E42D9"/>
    <w:rsid w:val="007E56AA"/>
    <w:rsid w:val="007F769B"/>
    <w:rsid w:val="00822CD7"/>
    <w:rsid w:val="00823CDA"/>
    <w:rsid w:val="0082476C"/>
    <w:rsid w:val="008406F9"/>
    <w:rsid w:val="008677CE"/>
    <w:rsid w:val="008728E6"/>
    <w:rsid w:val="0088764A"/>
    <w:rsid w:val="00892E6C"/>
    <w:rsid w:val="00893088"/>
    <w:rsid w:val="008A5B21"/>
    <w:rsid w:val="008B78BB"/>
    <w:rsid w:val="00910932"/>
    <w:rsid w:val="00923FFE"/>
    <w:rsid w:val="0092480B"/>
    <w:rsid w:val="009273E8"/>
    <w:rsid w:val="00935796"/>
    <w:rsid w:val="00936111"/>
    <w:rsid w:val="00942441"/>
    <w:rsid w:val="00947B8A"/>
    <w:rsid w:val="00953F3B"/>
    <w:rsid w:val="0099518D"/>
    <w:rsid w:val="00995249"/>
    <w:rsid w:val="00997B54"/>
    <w:rsid w:val="009A472D"/>
    <w:rsid w:val="009B4663"/>
    <w:rsid w:val="009E31B6"/>
    <w:rsid w:val="009F79C6"/>
    <w:rsid w:val="00A11DF2"/>
    <w:rsid w:val="00A46D90"/>
    <w:rsid w:val="00A65671"/>
    <w:rsid w:val="00A86B00"/>
    <w:rsid w:val="00AA309F"/>
    <w:rsid w:val="00AA42CB"/>
    <w:rsid w:val="00AB5C68"/>
    <w:rsid w:val="00AB7DFA"/>
    <w:rsid w:val="00AD4E37"/>
    <w:rsid w:val="00AF1F5A"/>
    <w:rsid w:val="00AF53E3"/>
    <w:rsid w:val="00B06C16"/>
    <w:rsid w:val="00B114C2"/>
    <w:rsid w:val="00B12FF2"/>
    <w:rsid w:val="00B2748C"/>
    <w:rsid w:val="00B462DF"/>
    <w:rsid w:val="00B55BB1"/>
    <w:rsid w:val="00B72BF0"/>
    <w:rsid w:val="00B94D33"/>
    <w:rsid w:val="00BA23CC"/>
    <w:rsid w:val="00BC0D3C"/>
    <w:rsid w:val="00BC1BC6"/>
    <w:rsid w:val="00BC46BC"/>
    <w:rsid w:val="00BD7644"/>
    <w:rsid w:val="00BE5931"/>
    <w:rsid w:val="00BF2149"/>
    <w:rsid w:val="00C05E87"/>
    <w:rsid w:val="00C1667F"/>
    <w:rsid w:val="00C21C5C"/>
    <w:rsid w:val="00C350FE"/>
    <w:rsid w:val="00C53CA0"/>
    <w:rsid w:val="00C70CFF"/>
    <w:rsid w:val="00C87381"/>
    <w:rsid w:val="00CA39F0"/>
    <w:rsid w:val="00CC1B63"/>
    <w:rsid w:val="00CE326F"/>
    <w:rsid w:val="00D03FBB"/>
    <w:rsid w:val="00D35E61"/>
    <w:rsid w:val="00D46B34"/>
    <w:rsid w:val="00D57987"/>
    <w:rsid w:val="00D60A38"/>
    <w:rsid w:val="00D9173F"/>
    <w:rsid w:val="00DA2AC1"/>
    <w:rsid w:val="00DD1E09"/>
    <w:rsid w:val="00DF245A"/>
    <w:rsid w:val="00DF78A9"/>
    <w:rsid w:val="00DF7F2F"/>
    <w:rsid w:val="00E11F21"/>
    <w:rsid w:val="00E34F81"/>
    <w:rsid w:val="00E6198D"/>
    <w:rsid w:val="00E631B1"/>
    <w:rsid w:val="00E809B6"/>
    <w:rsid w:val="00E94F76"/>
    <w:rsid w:val="00EC2EE1"/>
    <w:rsid w:val="00EC704E"/>
    <w:rsid w:val="00EE5399"/>
    <w:rsid w:val="00EF0B27"/>
    <w:rsid w:val="00EF6D87"/>
    <w:rsid w:val="00F0068C"/>
    <w:rsid w:val="00F05832"/>
    <w:rsid w:val="00F15C23"/>
    <w:rsid w:val="00F20439"/>
    <w:rsid w:val="00F4544D"/>
    <w:rsid w:val="00F548A0"/>
    <w:rsid w:val="00F56229"/>
    <w:rsid w:val="00F66FE5"/>
    <w:rsid w:val="00F9100C"/>
    <w:rsid w:val="00FF2D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7A8D"/>
  <w15:chartTrackingRefBased/>
  <w15:docId w15:val="{A8053431-1CCD-43E2-A9C8-4EC5CC95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E58"/>
    <w:pPr>
      <w:ind w:left="720"/>
      <w:contextualSpacing/>
    </w:pPr>
  </w:style>
  <w:style w:type="paragraph" w:styleId="FootnoteText">
    <w:name w:val="footnote text"/>
    <w:basedOn w:val="Normal"/>
    <w:link w:val="FootnoteTextChar"/>
    <w:uiPriority w:val="99"/>
    <w:semiHidden/>
    <w:unhideWhenUsed/>
    <w:rsid w:val="00527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46F"/>
    <w:rPr>
      <w:sz w:val="20"/>
      <w:szCs w:val="20"/>
    </w:rPr>
  </w:style>
  <w:style w:type="character" w:styleId="FootnoteReference">
    <w:name w:val="footnote reference"/>
    <w:basedOn w:val="DefaultParagraphFont"/>
    <w:uiPriority w:val="99"/>
    <w:semiHidden/>
    <w:unhideWhenUsed/>
    <w:rsid w:val="0052746F"/>
    <w:rPr>
      <w:vertAlign w:val="superscript"/>
    </w:rPr>
  </w:style>
  <w:style w:type="paragraph" w:styleId="Header">
    <w:name w:val="header"/>
    <w:basedOn w:val="Normal"/>
    <w:link w:val="HeaderChar"/>
    <w:uiPriority w:val="99"/>
    <w:unhideWhenUsed/>
    <w:rsid w:val="0035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04"/>
  </w:style>
  <w:style w:type="paragraph" w:styleId="Footer">
    <w:name w:val="footer"/>
    <w:basedOn w:val="Normal"/>
    <w:link w:val="FooterChar"/>
    <w:uiPriority w:val="99"/>
    <w:unhideWhenUsed/>
    <w:rsid w:val="0035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04"/>
  </w:style>
  <w:style w:type="paragraph" w:styleId="BalloonText">
    <w:name w:val="Balloon Text"/>
    <w:basedOn w:val="Normal"/>
    <w:link w:val="BalloonTextChar"/>
    <w:uiPriority w:val="99"/>
    <w:semiHidden/>
    <w:unhideWhenUsed/>
    <w:rsid w:val="0035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04"/>
    <w:rPr>
      <w:rFonts w:ascii="Segoe UI" w:hAnsi="Segoe UI" w:cs="Segoe UI"/>
      <w:sz w:val="18"/>
      <w:szCs w:val="18"/>
    </w:rPr>
  </w:style>
  <w:style w:type="paragraph" w:styleId="BlockText">
    <w:name w:val="Block Text"/>
    <w:basedOn w:val="Normal"/>
    <w:link w:val="BlockTextChar"/>
    <w:rsid w:val="00DF78A9"/>
    <w:pPr>
      <w:spacing w:after="0" w:line="240" w:lineRule="auto"/>
      <w:ind w:left="567" w:right="1538" w:hanging="567"/>
      <w:jc w:val="both"/>
    </w:pPr>
    <w:rPr>
      <w:rFonts w:ascii="Arial" w:eastAsia="Times New Roman" w:hAnsi="Arial" w:cs="Times New Roman"/>
      <w:sz w:val="24"/>
      <w:szCs w:val="20"/>
      <w:lang w:val="en-AU"/>
    </w:rPr>
  </w:style>
  <w:style w:type="character" w:customStyle="1" w:styleId="BlockTextChar">
    <w:name w:val="Block Text Char"/>
    <w:link w:val="BlockText"/>
    <w:rsid w:val="00DF78A9"/>
    <w:rPr>
      <w:rFonts w:ascii="Arial" w:eastAsia="Times New Roman" w:hAnsi="Arial" w:cs="Times New Roman"/>
      <w:sz w:val="24"/>
      <w:szCs w:val="20"/>
      <w:lang w:val="en-AU"/>
    </w:rPr>
  </w:style>
  <w:style w:type="table" w:styleId="TableGrid">
    <w:name w:val="Table Grid"/>
    <w:basedOn w:val="TableNormal"/>
    <w:uiPriority w:val="39"/>
    <w:rsid w:val="00CC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6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6FE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DAAE7-332A-4624-92B4-BC1168FC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Diutlwileng</dc:creator>
  <cp:keywords/>
  <dc:description/>
  <cp:lastModifiedBy>Antonia Manamela</cp:lastModifiedBy>
  <cp:revision>2</cp:revision>
  <cp:lastPrinted>2015-08-19T07:35:00Z</cp:lastPrinted>
  <dcterms:created xsi:type="dcterms:W3CDTF">2017-11-22T04:11:00Z</dcterms:created>
  <dcterms:modified xsi:type="dcterms:W3CDTF">2017-11-22T04:11:00Z</dcterms:modified>
</cp:coreProperties>
</file>