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54" w:rsidRPr="00165638" w:rsidRDefault="00C81515" w:rsidP="00E24696">
      <w:pPr>
        <w:spacing w:line="360" w:lineRule="auto"/>
        <w:contextualSpacing/>
        <w:rPr>
          <w:rFonts w:ascii="Arial Narrow" w:hAnsi="Arial Narrow" w:cs="Arial"/>
          <w:b/>
        </w:rPr>
      </w:pPr>
      <w:bookmarkStart w:id="0" w:name="_GoBack"/>
      <w:bookmarkEnd w:id="0"/>
      <w:r w:rsidRPr="00E24696">
        <w:rPr>
          <w:rFonts w:ascii="Arial Narrow" w:hAnsi="Arial Narrow"/>
          <w:noProof/>
          <w:lang w:val="en-ZA" w:eastAsia="en-ZA"/>
        </w:rPr>
        <w:drawing>
          <wp:inline distT="0" distB="0" distL="0" distR="0">
            <wp:extent cx="32004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00400" cy="1066800"/>
                    </a:xfrm>
                    <a:prstGeom prst="rect">
                      <a:avLst/>
                    </a:prstGeom>
                    <a:noFill/>
                    <a:ln w="9525">
                      <a:noFill/>
                      <a:miter lim="800000"/>
                      <a:headEnd/>
                      <a:tailEnd/>
                    </a:ln>
                  </pic:spPr>
                </pic:pic>
              </a:graphicData>
            </a:graphic>
          </wp:inline>
        </w:drawing>
      </w:r>
    </w:p>
    <w:p w:rsidR="0059203A" w:rsidRDefault="0059203A" w:rsidP="00165638">
      <w:pPr>
        <w:pStyle w:val="Heading2"/>
        <w:spacing w:line="360" w:lineRule="auto"/>
        <w:ind w:left="6480" w:firstLine="0"/>
        <w:contextualSpacing/>
        <w:jc w:val="left"/>
        <w:rPr>
          <w:rFonts w:cs="Arial"/>
          <w:bCs/>
          <w:sz w:val="22"/>
          <w:szCs w:val="22"/>
          <w:lang w:val="en-US"/>
        </w:rPr>
      </w:pPr>
    </w:p>
    <w:p w:rsidR="00165638" w:rsidRPr="00165638" w:rsidRDefault="0059203A" w:rsidP="00165638">
      <w:pPr>
        <w:pStyle w:val="Heading2"/>
        <w:spacing w:line="360" w:lineRule="auto"/>
        <w:ind w:left="6480" w:firstLine="0"/>
        <w:contextualSpacing/>
        <w:jc w:val="left"/>
        <w:rPr>
          <w:rFonts w:cs="Arial"/>
          <w:sz w:val="22"/>
          <w:szCs w:val="22"/>
        </w:rPr>
      </w:pPr>
      <w:r w:rsidRPr="0059203A">
        <w:rPr>
          <w:rFonts w:cs="Arial"/>
          <w:bCs/>
          <w:sz w:val="22"/>
          <w:szCs w:val="22"/>
          <w:lang w:val="en-US"/>
        </w:rPr>
        <w:t>Reference: PC</w:t>
      </w:r>
      <w:r w:rsidR="004F47DB">
        <w:rPr>
          <w:rFonts w:cs="Arial"/>
          <w:bCs/>
          <w:sz w:val="22"/>
          <w:szCs w:val="22"/>
          <w:lang w:val="en-US"/>
        </w:rPr>
        <w:t>EA</w:t>
      </w:r>
      <w:r w:rsidRPr="0059203A">
        <w:rPr>
          <w:rFonts w:cs="Arial"/>
          <w:bCs/>
          <w:sz w:val="22"/>
          <w:szCs w:val="22"/>
          <w:lang w:val="en-US"/>
        </w:rPr>
        <w:t xml:space="preserve"> – AQM</w:t>
      </w:r>
      <w:r w:rsidR="00230752">
        <w:rPr>
          <w:rFonts w:cs="Arial"/>
          <w:sz w:val="22"/>
          <w:szCs w:val="22"/>
        </w:rPr>
        <w:tab/>
      </w:r>
    </w:p>
    <w:p w:rsidR="00DD05B3" w:rsidRPr="00E24696" w:rsidRDefault="00DD05B3" w:rsidP="00165638">
      <w:pPr>
        <w:pStyle w:val="Heading3"/>
        <w:spacing w:line="360" w:lineRule="auto"/>
        <w:ind w:right="180"/>
        <w:contextualSpacing/>
        <w:rPr>
          <w:rFonts w:ascii="Arial Narrow" w:hAnsi="Arial Narrow" w:cs="Arial"/>
          <w:szCs w:val="24"/>
        </w:rPr>
      </w:pPr>
    </w:p>
    <w:p w:rsidR="0059203A" w:rsidRPr="0059203A" w:rsidRDefault="0059203A" w:rsidP="0059203A">
      <w:pPr>
        <w:widowControl w:val="0"/>
        <w:snapToGrid w:val="0"/>
        <w:spacing w:line="360" w:lineRule="auto"/>
        <w:contextualSpacing/>
        <w:jc w:val="both"/>
        <w:rPr>
          <w:rFonts w:ascii="Arial Narrow" w:hAnsi="Arial Narrow" w:cs="Arial"/>
          <w:b/>
          <w:lang w:val="en-GB"/>
        </w:rPr>
      </w:pPr>
      <w:r w:rsidRPr="0059203A">
        <w:rPr>
          <w:rFonts w:ascii="Arial Narrow" w:hAnsi="Arial Narrow" w:cs="Arial"/>
          <w:b/>
          <w:lang w:val="en-GB"/>
        </w:rPr>
        <w:t>PORTFOLIO COMMITTEE MEMO</w:t>
      </w:r>
    </w:p>
    <w:p w:rsidR="0059203A" w:rsidRPr="0059203A" w:rsidRDefault="0059203A" w:rsidP="0059203A">
      <w:pPr>
        <w:widowControl w:val="0"/>
        <w:snapToGrid w:val="0"/>
        <w:spacing w:line="360" w:lineRule="auto"/>
        <w:contextualSpacing/>
        <w:jc w:val="both"/>
        <w:rPr>
          <w:rFonts w:ascii="Arial Narrow" w:hAnsi="Arial Narrow" w:cs="Arial"/>
          <w:b/>
          <w:lang w:val="en-GB"/>
        </w:rPr>
      </w:pPr>
    </w:p>
    <w:p w:rsidR="0059203A" w:rsidRPr="0059203A" w:rsidRDefault="0059203A" w:rsidP="0059203A">
      <w:pPr>
        <w:widowControl w:val="0"/>
        <w:snapToGrid w:val="0"/>
        <w:spacing w:line="360" w:lineRule="auto"/>
        <w:contextualSpacing/>
        <w:jc w:val="both"/>
        <w:rPr>
          <w:rFonts w:ascii="Arial Narrow" w:hAnsi="Arial Narrow" w:cs="Arial"/>
          <w:b/>
          <w:lang w:val="en-GB"/>
        </w:rPr>
      </w:pPr>
      <w:r w:rsidRPr="0059203A">
        <w:rPr>
          <w:rFonts w:ascii="Arial Narrow" w:hAnsi="Arial Narrow" w:cs="Arial"/>
          <w:b/>
          <w:lang w:val="en-GB"/>
        </w:rPr>
        <w:t xml:space="preserve">BRIEFING BY THE DEPARTMENT OF ENVIRONMENTAL AFFAIRS – APPLICATIONS FOR POSTPONEMENT TO COMPLY WITH MINIMUM EMISSIONS STANDARDS BY INDUSTRY </w:t>
      </w:r>
    </w:p>
    <w:p w:rsidR="00DD05B3" w:rsidRPr="00E24696" w:rsidRDefault="00DD05B3" w:rsidP="00E24696">
      <w:pPr>
        <w:widowControl w:val="0"/>
        <w:snapToGrid w:val="0"/>
        <w:spacing w:line="360" w:lineRule="auto"/>
        <w:contextualSpacing/>
        <w:jc w:val="both"/>
        <w:rPr>
          <w:rFonts w:ascii="Arial Narrow" w:hAnsi="Arial Narrow" w:cs="Arial"/>
          <w:b/>
        </w:rPr>
      </w:pPr>
    </w:p>
    <w:p w:rsidR="00DD05B3" w:rsidRPr="00E24696" w:rsidRDefault="00DD05B3" w:rsidP="00E24696">
      <w:pPr>
        <w:widowControl w:val="0"/>
        <w:snapToGrid w:val="0"/>
        <w:spacing w:line="360" w:lineRule="auto"/>
        <w:contextualSpacing/>
        <w:jc w:val="both"/>
        <w:rPr>
          <w:rFonts w:ascii="Arial Narrow" w:hAnsi="Arial Narrow" w:cs="Arial"/>
          <w:b/>
        </w:rPr>
      </w:pPr>
      <w:r w:rsidRPr="00E24696">
        <w:rPr>
          <w:rFonts w:ascii="Arial Narrow" w:hAnsi="Arial Narrow" w:cs="Arial"/>
          <w:b/>
        </w:rPr>
        <w:t>1.</w:t>
      </w:r>
      <w:r w:rsidRPr="00E24696">
        <w:rPr>
          <w:rFonts w:ascii="Arial Narrow" w:hAnsi="Arial Narrow" w:cs="Arial"/>
          <w:b/>
        </w:rPr>
        <w:tab/>
        <w:t>PURPOSE</w:t>
      </w:r>
    </w:p>
    <w:p w:rsidR="00DD05B3" w:rsidRDefault="00C435DD" w:rsidP="00E24696">
      <w:pPr>
        <w:widowControl w:val="0"/>
        <w:snapToGrid w:val="0"/>
        <w:spacing w:line="360" w:lineRule="auto"/>
        <w:ind w:left="720" w:hanging="11"/>
        <w:contextualSpacing/>
        <w:jc w:val="both"/>
        <w:rPr>
          <w:rFonts w:ascii="Arial Narrow" w:hAnsi="Arial Narrow" w:cs="Arial"/>
        </w:rPr>
      </w:pPr>
      <w:r>
        <w:rPr>
          <w:rFonts w:ascii="Arial Narrow" w:hAnsi="Arial Narrow" w:cs="Arial"/>
        </w:rPr>
        <w:t xml:space="preserve">The </w:t>
      </w:r>
      <w:r w:rsidR="0077430D">
        <w:rPr>
          <w:rFonts w:ascii="Arial Narrow" w:hAnsi="Arial Narrow" w:cs="Arial"/>
        </w:rPr>
        <w:t>purpose of this submission is</w:t>
      </w:r>
      <w:r w:rsidR="00EC1D98">
        <w:rPr>
          <w:rFonts w:ascii="Arial Narrow" w:hAnsi="Arial Narrow" w:cs="Arial"/>
        </w:rPr>
        <w:t xml:space="preserve"> to</w:t>
      </w:r>
      <w:r w:rsidR="00916296">
        <w:rPr>
          <w:rFonts w:ascii="Arial Narrow" w:hAnsi="Arial Narrow" w:cs="Arial"/>
        </w:rPr>
        <w:t xml:space="preserve"> brief </w:t>
      </w:r>
      <w:r w:rsidR="001D0EB2">
        <w:rPr>
          <w:rFonts w:ascii="Arial Narrow" w:hAnsi="Arial Narrow" w:cs="Arial"/>
        </w:rPr>
        <w:t>and update</w:t>
      </w:r>
      <w:r w:rsidR="0077430D">
        <w:rPr>
          <w:rFonts w:ascii="Arial Narrow" w:hAnsi="Arial Narrow" w:cs="Arial"/>
        </w:rPr>
        <w:t xml:space="preserve"> the </w:t>
      </w:r>
      <w:r w:rsidR="0059203A">
        <w:rPr>
          <w:rFonts w:ascii="Arial Narrow" w:hAnsi="Arial Narrow" w:cs="Arial"/>
        </w:rPr>
        <w:t xml:space="preserve">Portfolio Committee </w:t>
      </w:r>
      <w:r w:rsidR="00AF2B46">
        <w:rPr>
          <w:rFonts w:ascii="Arial Narrow" w:hAnsi="Arial Narrow" w:cs="Arial"/>
        </w:rPr>
        <w:t>regarding</w:t>
      </w:r>
      <w:r w:rsidR="0077430D">
        <w:rPr>
          <w:rFonts w:ascii="Arial Narrow" w:hAnsi="Arial Narrow" w:cs="Arial"/>
        </w:rPr>
        <w:t xml:space="preserve"> the status of the </w:t>
      </w:r>
      <w:r w:rsidR="001D0EB2">
        <w:rPr>
          <w:rFonts w:ascii="Arial Narrow" w:hAnsi="Arial Narrow" w:cs="Arial"/>
        </w:rPr>
        <w:t xml:space="preserve">applications for </w:t>
      </w:r>
      <w:r w:rsidR="0077430D">
        <w:rPr>
          <w:rFonts w:ascii="Arial Narrow" w:hAnsi="Arial Narrow" w:cs="Arial"/>
        </w:rPr>
        <w:t xml:space="preserve">postponement </w:t>
      </w:r>
      <w:r w:rsidR="001D0EB2">
        <w:rPr>
          <w:rFonts w:ascii="Arial Narrow" w:hAnsi="Arial Narrow" w:cs="Arial"/>
        </w:rPr>
        <w:t xml:space="preserve">of compliance </w:t>
      </w:r>
      <w:r w:rsidR="0077430D">
        <w:rPr>
          <w:rFonts w:ascii="Arial Narrow" w:hAnsi="Arial Narrow" w:cs="Arial"/>
        </w:rPr>
        <w:t>timeframes</w:t>
      </w:r>
      <w:r w:rsidR="001D0EB2">
        <w:rPr>
          <w:rFonts w:ascii="Arial Narrow" w:hAnsi="Arial Narrow" w:cs="Arial"/>
        </w:rPr>
        <w:t xml:space="preserve"> </w:t>
      </w:r>
      <w:r w:rsidR="0077430D">
        <w:rPr>
          <w:rFonts w:ascii="Arial Narrow" w:hAnsi="Arial Narrow" w:cs="Arial"/>
        </w:rPr>
        <w:t>for</w:t>
      </w:r>
      <w:r w:rsidR="000E453A">
        <w:rPr>
          <w:rFonts w:ascii="Arial Narrow" w:hAnsi="Arial Narrow" w:cs="Arial"/>
        </w:rPr>
        <w:t xml:space="preserve"> all f</w:t>
      </w:r>
      <w:r w:rsidR="00DA6BB1">
        <w:rPr>
          <w:rFonts w:ascii="Arial Narrow" w:hAnsi="Arial Narrow" w:cs="Arial"/>
        </w:rPr>
        <w:t xml:space="preserve">acilities whose applications have been </w:t>
      </w:r>
      <w:r w:rsidR="001D0EB2">
        <w:rPr>
          <w:rFonts w:ascii="Arial Narrow" w:hAnsi="Arial Narrow" w:cs="Arial"/>
        </w:rPr>
        <w:t>considered and finalized</w:t>
      </w:r>
      <w:r w:rsidR="00DA6BB1">
        <w:rPr>
          <w:rFonts w:ascii="Arial Narrow" w:hAnsi="Arial Narrow" w:cs="Arial"/>
        </w:rPr>
        <w:t xml:space="preserve"> by the National Air Quality Officer (NAQ</w:t>
      </w:r>
      <w:r w:rsidR="001D0EB2">
        <w:rPr>
          <w:rFonts w:ascii="Arial Narrow" w:hAnsi="Arial Narrow" w:cs="Arial"/>
        </w:rPr>
        <w:t>O</w:t>
      </w:r>
      <w:r w:rsidR="00DA6BB1">
        <w:rPr>
          <w:rFonts w:ascii="Arial Narrow" w:hAnsi="Arial Narrow" w:cs="Arial"/>
        </w:rPr>
        <w:t>)</w:t>
      </w:r>
      <w:r w:rsidR="001D0EB2">
        <w:rPr>
          <w:rFonts w:ascii="Arial Narrow" w:hAnsi="Arial Narrow" w:cs="Arial"/>
        </w:rPr>
        <w:t xml:space="preserve"> – with the concurrence of Atmospheric Emission Licensing Authorities –</w:t>
      </w:r>
      <w:r w:rsidR="00EC1D98">
        <w:rPr>
          <w:rFonts w:ascii="Arial Narrow" w:hAnsi="Arial Narrow" w:cs="Arial"/>
        </w:rPr>
        <w:t xml:space="preserve"> between</w:t>
      </w:r>
      <w:r w:rsidR="001D0EB2">
        <w:rPr>
          <w:rFonts w:ascii="Arial Narrow" w:hAnsi="Arial Narrow" w:cs="Arial"/>
        </w:rPr>
        <w:t xml:space="preserve"> </w:t>
      </w:r>
      <w:r w:rsidR="0059203A">
        <w:rPr>
          <w:rFonts w:ascii="Arial Narrow" w:hAnsi="Arial Narrow" w:cs="Arial"/>
        </w:rPr>
        <w:t>1 April 2014 and 31 March 2015</w:t>
      </w:r>
      <w:r w:rsidR="00AF2B46">
        <w:rPr>
          <w:rFonts w:ascii="Arial Narrow" w:hAnsi="Arial Narrow" w:cs="Arial"/>
        </w:rPr>
        <w:t>;</w:t>
      </w:r>
      <w:r w:rsidR="0059203A">
        <w:rPr>
          <w:rFonts w:ascii="Arial Narrow" w:hAnsi="Arial Narrow" w:cs="Arial"/>
        </w:rPr>
        <w:t xml:space="preserve"> and the status of applications received thereafter (new applications). Thus, this memo addresses the following:</w:t>
      </w:r>
    </w:p>
    <w:p w:rsidR="0059203A" w:rsidRPr="0059203A" w:rsidRDefault="0059203A" w:rsidP="00B72FA2">
      <w:pPr>
        <w:widowControl w:val="0"/>
        <w:numPr>
          <w:ilvl w:val="0"/>
          <w:numId w:val="7"/>
        </w:numPr>
        <w:snapToGrid w:val="0"/>
        <w:spacing w:line="360" w:lineRule="auto"/>
        <w:ind w:left="1418"/>
        <w:contextualSpacing/>
        <w:jc w:val="both"/>
        <w:rPr>
          <w:rFonts w:ascii="Arial Narrow" w:hAnsi="Arial Narrow" w:cs="Arial"/>
          <w:lang w:val="en-GB"/>
        </w:rPr>
      </w:pPr>
      <w:r w:rsidRPr="0059203A">
        <w:rPr>
          <w:rFonts w:ascii="Arial Narrow" w:hAnsi="Arial Narrow" w:cs="Arial"/>
          <w:lang w:val="en-GB"/>
        </w:rPr>
        <w:t>The Status of postponement decisions and reasons for granting decisions</w:t>
      </w:r>
    </w:p>
    <w:p w:rsidR="0059203A" w:rsidRPr="0059203A" w:rsidRDefault="0059203A" w:rsidP="00B72FA2">
      <w:pPr>
        <w:widowControl w:val="0"/>
        <w:numPr>
          <w:ilvl w:val="0"/>
          <w:numId w:val="7"/>
        </w:numPr>
        <w:snapToGrid w:val="0"/>
        <w:spacing w:line="360" w:lineRule="auto"/>
        <w:ind w:left="1418"/>
        <w:contextualSpacing/>
        <w:jc w:val="both"/>
        <w:rPr>
          <w:rFonts w:ascii="Arial Narrow" w:hAnsi="Arial Narrow" w:cs="Arial"/>
          <w:lang w:val="en-GB"/>
        </w:rPr>
      </w:pPr>
      <w:r w:rsidRPr="0059203A">
        <w:rPr>
          <w:rFonts w:ascii="Arial Narrow" w:hAnsi="Arial Narrow" w:cs="Arial"/>
          <w:lang w:val="en-GB"/>
        </w:rPr>
        <w:t>Compliance status of postponement holders</w:t>
      </w:r>
    </w:p>
    <w:p w:rsidR="0059203A" w:rsidRPr="0059203A" w:rsidRDefault="0059203A" w:rsidP="00B72FA2">
      <w:pPr>
        <w:widowControl w:val="0"/>
        <w:numPr>
          <w:ilvl w:val="0"/>
          <w:numId w:val="7"/>
        </w:numPr>
        <w:snapToGrid w:val="0"/>
        <w:spacing w:line="360" w:lineRule="auto"/>
        <w:ind w:left="1418"/>
        <w:contextualSpacing/>
        <w:jc w:val="both"/>
        <w:rPr>
          <w:rFonts w:ascii="Arial Narrow" w:hAnsi="Arial Narrow" w:cs="Arial"/>
          <w:lang w:val="en-GB"/>
        </w:rPr>
      </w:pPr>
      <w:r w:rsidRPr="0059203A">
        <w:rPr>
          <w:rFonts w:ascii="Arial Narrow" w:hAnsi="Arial Narrow" w:cs="Arial"/>
          <w:lang w:val="en-GB"/>
        </w:rPr>
        <w:t>Current postponement applications</w:t>
      </w:r>
    </w:p>
    <w:p w:rsidR="00143E27" w:rsidRPr="00E24696" w:rsidRDefault="00143E27" w:rsidP="00E24696">
      <w:pPr>
        <w:widowControl w:val="0"/>
        <w:snapToGrid w:val="0"/>
        <w:spacing w:line="360" w:lineRule="auto"/>
        <w:contextualSpacing/>
        <w:jc w:val="both"/>
        <w:rPr>
          <w:rFonts w:ascii="Arial Narrow" w:hAnsi="Arial Narrow" w:cs="Arial"/>
        </w:rPr>
      </w:pPr>
    </w:p>
    <w:p w:rsidR="00DD05B3" w:rsidRPr="00E24696" w:rsidRDefault="004C3CDC" w:rsidP="00B72FA2">
      <w:pPr>
        <w:pStyle w:val="Heading3"/>
        <w:numPr>
          <w:ilvl w:val="0"/>
          <w:numId w:val="2"/>
        </w:numPr>
        <w:tabs>
          <w:tab w:val="clear" w:pos="1080"/>
          <w:tab w:val="num" w:pos="720"/>
        </w:tabs>
        <w:spacing w:line="360" w:lineRule="auto"/>
        <w:ind w:left="709" w:hanging="709"/>
        <w:contextualSpacing/>
        <w:jc w:val="both"/>
        <w:rPr>
          <w:rFonts w:ascii="Arial Narrow" w:hAnsi="Arial Narrow" w:cs="Arial"/>
          <w:szCs w:val="24"/>
        </w:rPr>
      </w:pPr>
      <w:r w:rsidRPr="00E24696">
        <w:rPr>
          <w:rFonts w:ascii="Arial Narrow" w:hAnsi="Arial Narrow" w:cs="Arial"/>
          <w:szCs w:val="24"/>
        </w:rPr>
        <w:t xml:space="preserve">BACKGROUND AND </w:t>
      </w:r>
      <w:r w:rsidR="00DD05B3" w:rsidRPr="00E24696">
        <w:rPr>
          <w:rFonts w:ascii="Arial Narrow" w:hAnsi="Arial Narrow" w:cs="Arial"/>
          <w:szCs w:val="24"/>
        </w:rPr>
        <w:t>DISCUSSION</w:t>
      </w:r>
    </w:p>
    <w:p w:rsidR="0051637E" w:rsidRPr="0051637E" w:rsidRDefault="006F57D4" w:rsidP="0051637E">
      <w:pPr>
        <w:widowControl w:val="0"/>
        <w:snapToGrid w:val="0"/>
        <w:spacing w:line="360" w:lineRule="auto"/>
        <w:ind w:left="720" w:hanging="720"/>
        <w:contextualSpacing/>
        <w:jc w:val="both"/>
        <w:rPr>
          <w:rFonts w:ascii="Arial Narrow" w:hAnsi="Arial Narrow" w:cs="Arial"/>
        </w:rPr>
      </w:pPr>
      <w:r>
        <w:rPr>
          <w:rFonts w:ascii="Arial Narrow" w:hAnsi="Arial Narrow" w:cs="Arial"/>
        </w:rPr>
        <w:t>2</w:t>
      </w:r>
      <w:r w:rsidR="00DB5A37">
        <w:rPr>
          <w:rFonts w:ascii="Arial Narrow" w:hAnsi="Arial Narrow" w:cs="Arial"/>
        </w:rPr>
        <w:t>.1</w:t>
      </w:r>
      <w:r w:rsidR="004C3CDC" w:rsidRPr="00E24696">
        <w:rPr>
          <w:rFonts w:ascii="Arial Narrow" w:hAnsi="Arial Narrow" w:cs="Arial"/>
        </w:rPr>
        <w:tab/>
      </w:r>
      <w:r w:rsidR="0051637E" w:rsidRPr="0051637E">
        <w:rPr>
          <w:rFonts w:ascii="Arial Narrow" w:hAnsi="Arial Narrow" w:cs="Arial"/>
        </w:rPr>
        <w:t>The legal provisions for applications for postponement of compliance timeframes with the Minimum Emissions Standards (MES) are provided for in terms of a Section 21 Notice</w:t>
      </w:r>
      <w:r w:rsidR="0051637E">
        <w:rPr>
          <w:rFonts w:ascii="Arial Narrow" w:hAnsi="Arial Narrow" w:cs="Arial"/>
        </w:rPr>
        <w:t xml:space="preserve"> of the 31 March 2010 and its amendment version</w:t>
      </w:r>
      <w:r w:rsidR="0051637E" w:rsidRPr="0051637E">
        <w:rPr>
          <w:rFonts w:ascii="Arial Narrow" w:hAnsi="Arial Narrow" w:cs="Arial"/>
        </w:rPr>
        <w:t xml:space="preserve"> of 22 November 2013 published in terms of the National Environmental Management: Air Quality Act, 39 of 2004. </w:t>
      </w:r>
    </w:p>
    <w:p w:rsidR="0051637E" w:rsidRPr="0051637E" w:rsidRDefault="0051637E" w:rsidP="0051637E">
      <w:pPr>
        <w:widowControl w:val="0"/>
        <w:snapToGrid w:val="0"/>
        <w:spacing w:line="360" w:lineRule="auto"/>
        <w:ind w:left="720" w:hanging="720"/>
        <w:contextualSpacing/>
        <w:jc w:val="both"/>
        <w:rPr>
          <w:rFonts w:ascii="Arial Narrow" w:hAnsi="Arial Narrow" w:cs="Arial"/>
          <w:lang w:val="en-GB"/>
        </w:rPr>
      </w:pPr>
      <w:r w:rsidRPr="0051637E">
        <w:rPr>
          <w:rFonts w:ascii="Arial Narrow" w:hAnsi="Arial Narrow" w:cs="Arial"/>
          <w:lang w:val="en-GB"/>
        </w:rPr>
        <w:t>2.2</w:t>
      </w:r>
      <w:r w:rsidRPr="0051637E">
        <w:rPr>
          <w:rFonts w:ascii="Arial Narrow" w:hAnsi="Arial Narrow" w:cs="Arial"/>
          <w:lang w:val="en-GB"/>
        </w:rPr>
        <w:tab/>
        <w:t xml:space="preserve">With regard to compliance timeframes with MES, Section 21 Notice stipulates that: </w:t>
      </w:r>
    </w:p>
    <w:p w:rsidR="0051637E" w:rsidRPr="0051637E" w:rsidRDefault="0051637E" w:rsidP="00B72FA2">
      <w:pPr>
        <w:widowControl w:val="0"/>
        <w:numPr>
          <w:ilvl w:val="0"/>
          <w:numId w:val="5"/>
        </w:numPr>
        <w:snapToGrid w:val="0"/>
        <w:spacing w:line="360" w:lineRule="auto"/>
        <w:ind w:firstLine="131"/>
        <w:contextualSpacing/>
        <w:jc w:val="both"/>
        <w:rPr>
          <w:rFonts w:ascii="Arial Narrow" w:hAnsi="Arial Narrow" w:cs="Arial"/>
          <w:lang w:val="en-GB"/>
        </w:rPr>
      </w:pPr>
      <w:r w:rsidRPr="0051637E">
        <w:rPr>
          <w:rFonts w:ascii="Arial Narrow" w:hAnsi="Arial Narrow" w:cs="Arial"/>
          <w:lang w:val="en-GB"/>
        </w:rPr>
        <w:t>New plants must comply with new plant emission standards immediately;</w:t>
      </w:r>
    </w:p>
    <w:p w:rsidR="0051637E" w:rsidRPr="0051637E" w:rsidRDefault="0051637E" w:rsidP="00B72FA2">
      <w:pPr>
        <w:widowControl w:val="0"/>
        <w:numPr>
          <w:ilvl w:val="0"/>
          <w:numId w:val="4"/>
        </w:numPr>
        <w:snapToGrid w:val="0"/>
        <w:spacing w:line="360" w:lineRule="auto"/>
        <w:ind w:firstLine="131"/>
        <w:contextualSpacing/>
        <w:jc w:val="both"/>
        <w:rPr>
          <w:rFonts w:ascii="Arial Narrow" w:hAnsi="Arial Narrow" w:cs="Arial"/>
          <w:lang w:val="en-GB"/>
        </w:rPr>
      </w:pPr>
      <w:r w:rsidRPr="0051637E">
        <w:rPr>
          <w:rFonts w:ascii="Arial Narrow" w:hAnsi="Arial Narrow" w:cs="Arial"/>
          <w:lang w:val="en-GB"/>
        </w:rPr>
        <w:t xml:space="preserve">Existing plants must comply with existing plant standards on 01 April 2015; and </w:t>
      </w:r>
    </w:p>
    <w:p w:rsidR="0051637E" w:rsidRPr="0051637E" w:rsidRDefault="0051637E" w:rsidP="00B72FA2">
      <w:pPr>
        <w:widowControl w:val="0"/>
        <w:numPr>
          <w:ilvl w:val="0"/>
          <w:numId w:val="4"/>
        </w:numPr>
        <w:snapToGrid w:val="0"/>
        <w:spacing w:line="360" w:lineRule="auto"/>
        <w:ind w:firstLine="131"/>
        <w:contextualSpacing/>
        <w:jc w:val="both"/>
        <w:rPr>
          <w:rFonts w:ascii="Arial Narrow" w:hAnsi="Arial Narrow" w:cs="Arial"/>
          <w:lang w:val="en-GB"/>
        </w:rPr>
      </w:pPr>
      <w:r w:rsidRPr="0051637E">
        <w:rPr>
          <w:rFonts w:ascii="Arial Narrow" w:hAnsi="Arial Narrow" w:cs="Arial"/>
          <w:lang w:val="en-GB"/>
        </w:rPr>
        <w:t>Existing plants must comply with new plant standards on 01 April 2020.</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lang w:val="en-GB"/>
        </w:rPr>
        <w:t>2.3</w:t>
      </w:r>
      <w:r w:rsidRPr="0051637E">
        <w:rPr>
          <w:rFonts w:ascii="Arial Narrow" w:hAnsi="Arial Narrow" w:cs="Arial"/>
          <w:lang w:val="en-GB"/>
        </w:rPr>
        <w:tab/>
      </w:r>
      <w:r w:rsidRPr="0051637E">
        <w:rPr>
          <w:rFonts w:ascii="Arial Narrow" w:hAnsi="Arial Narrow" w:cs="Arial"/>
        </w:rPr>
        <w:t xml:space="preserve">Similarly, as contemplated in the National Framework for Air Quality for Air Quality Management in the </w:t>
      </w:r>
      <w:r w:rsidRPr="0051637E">
        <w:rPr>
          <w:rFonts w:ascii="Arial Narrow" w:hAnsi="Arial Narrow" w:cs="Arial"/>
        </w:rPr>
        <w:lastRenderedPageBreak/>
        <w:t>Republic of South Africa, published in terms of the Air Quality Act, applications for postponement of compliance timeframes may be made with the National Air Quality Officer.</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rPr>
        <w:t xml:space="preserve">2.4  </w:t>
      </w:r>
      <w:r w:rsidRPr="0051637E">
        <w:rPr>
          <w:rFonts w:ascii="Arial Narrow" w:hAnsi="Arial Narrow" w:cs="Arial"/>
        </w:rPr>
        <w:tab/>
        <w:t>Following the publications of the Section 21 Notice of 22 November 2013, facilities meeting the requirements for postponement submitted applications for consideration by the National Air Quality Officer from 1 April 2014.</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rPr>
        <w:t>2.5</w:t>
      </w:r>
      <w:r w:rsidRPr="0051637E">
        <w:rPr>
          <w:rFonts w:ascii="Arial Narrow" w:hAnsi="Arial Narrow" w:cs="Arial"/>
        </w:rPr>
        <w:tab/>
        <w:t>A first batch of postponement applications totaling 33 applications was received between 1 April 2014 and 31 March 2015 and a second batch totaling 20 applications was received thereafter (that is from 1 April 2015 and now). Annexure A provides a consolidated status on all the applications received thus far. Annexure B provides a detailed status quo for the 33 applications (1</w:t>
      </w:r>
      <w:r w:rsidRPr="0051637E">
        <w:rPr>
          <w:rFonts w:ascii="Arial Narrow" w:hAnsi="Arial Narrow" w:cs="Arial"/>
          <w:vertAlign w:val="superscript"/>
        </w:rPr>
        <w:t>st</w:t>
      </w:r>
      <w:r w:rsidR="0084756F">
        <w:rPr>
          <w:rFonts w:ascii="Arial Narrow" w:hAnsi="Arial Narrow" w:cs="Arial"/>
        </w:rPr>
        <w:t xml:space="preserve"> batch), while Annexure C provides reasons why postponement decisions were granted for the 1</w:t>
      </w:r>
      <w:r w:rsidR="0084756F" w:rsidRPr="0084756F">
        <w:rPr>
          <w:rFonts w:ascii="Arial Narrow" w:hAnsi="Arial Narrow" w:cs="Arial"/>
          <w:vertAlign w:val="superscript"/>
        </w:rPr>
        <w:t>st</w:t>
      </w:r>
      <w:r w:rsidR="0084756F">
        <w:rPr>
          <w:rFonts w:ascii="Arial Narrow" w:hAnsi="Arial Narrow" w:cs="Arial"/>
        </w:rPr>
        <w:t xml:space="preserve"> batch.</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rPr>
        <w:t xml:space="preserve">2.6 </w:t>
      </w:r>
      <w:r w:rsidRPr="0051637E">
        <w:rPr>
          <w:rFonts w:ascii="Arial Narrow" w:hAnsi="Arial Narrow" w:cs="Arial"/>
        </w:rPr>
        <w:tab/>
        <w:t>As part of the approval conditions all the facilities were required to make commitments towards meeting the emission standards. In addition to this requirement all the 33 applications comprising the 1</w:t>
      </w:r>
      <w:r w:rsidRPr="0051637E">
        <w:rPr>
          <w:rFonts w:ascii="Arial Narrow" w:hAnsi="Arial Narrow" w:cs="Arial"/>
          <w:vertAlign w:val="superscript"/>
        </w:rPr>
        <w:t>st</w:t>
      </w:r>
      <w:r w:rsidRPr="0051637E">
        <w:rPr>
          <w:rFonts w:ascii="Arial Narrow" w:hAnsi="Arial Narrow" w:cs="Arial"/>
        </w:rPr>
        <w:t xml:space="preserve"> batch were required to develop and submit compliance road maps on a quarterly basis, indicating progress towards implementing commitments towards meeting compliance targets as required in the approval decisions. The reporting requirements for the new applications (2</w:t>
      </w:r>
      <w:r w:rsidRPr="0051637E">
        <w:rPr>
          <w:rFonts w:ascii="Arial Narrow" w:hAnsi="Arial Narrow" w:cs="Arial"/>
          <w:vertAlign w:val="superscript"/>
        </w:rPr>
        <w:t>nd</w:t>
      </w:r>
      <w:r w:rsidRPr="0051637E">
        <w:rPr>
          <w:rFonts w:ascii="Arial Narrow" w:hAnsi="Arial Narrow" w:cs="Arial"/>
        </w:rPr>
        <w:t xml:space="preserve"> batch) will start 12months from the date of the decision and will vary from application to application. </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rPr>
        <w:t xml:space="preserve"> 2.7</w:t>
      </w:r>
      <w:r w:rsidRPr="0051637E">
        <w:rPr>
          <w:rFonts w:ascii="Arial Narrow" w:hAnsi="Arial Narrow" w:cs="Arial"/>
        </w:rPr>
        <w:tab/>
        <w:t xml:space="preserve">From the status quo report, it is evident that some of the facilities will not be able to meet their postponement commitments. The facilities of concern remain the Eskom power stations to a large extent, Sasol, to a less extent. </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rPr>
        <w:t>2.8</w:t>
      </w:r>
      <w:r w:rsidRPr="0051637E">
        <w:rPr>
          <w:rFonts w:ascii="Arial Narrow" w:hAnsi="Arial Narrow" w:cs="Arial"/>
        </w:rPr>
        <w:tab/>
        <w:t>With regard to Eskom power stations, there is clear evidence that some of the Utility’s power stations will not be able to meet some of the postponement targets. In summary, the following are the list of challenges faced by the Utility:</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 xml:space="preserve">2.8.1 </w:t>
      </w:r>
      <w:r>
        <w:rPr>
          <w:rFonts w:ascii="Arial Narrow" w:hAnsi="Arial Narrow" w:cs="Arial"/>
        </w:rPr>
        <w:tab/>
      </w:r>
      <w:r w:rsidRPr="0051637E">
        <w:rPr>
          <w:rFonts w:ascii="Arial Narrow" w:hAnsi="Arial Narrow" w:cs="Arial"/>
        </w:rPr>
        <w:t>Delays in the procurement of abatement technology and equipment will lead to delays in the implementation of some of the planned project activities</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2.8.2</w:t>
      </w:r>
      <w:r w:rsidRPr="0051637E">
        <w:rPr>
          <w:rFonts w:ascii="Arial Narrow" w:hAnsi="Arial Narrow" w:cs="Arial"/>
        </w:rPr>
        <w:tab/>
        <w:t>Inadequate engineering and technical design capacity was cited as a contributing factor to potential project delays</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 xml:space="preserve">2.8.3 </w:t>
      </w:r>
      <w:r w:rsidRPr="0051637E">
        <w:rPr>
          <w:rFonts w:ascii="Arial Narrow" w:hAnsi="Arial Narrow" w:cs="Arial"/>
        </w:rPr>
        <w:tab/>
        <w:t>Changes in some of the abatement technologies committed to was cited as a contributing factor in delays. High cost was cited as the contributing factor for the consideration of alternative technologies.</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 xml:space="preserve">2.8.4  </w:t>
      </w:r>
      <w:r>
        <w:rPr>
          <w:rFonts w:ascii="Arial Narrow" w:hAnsi="Arial Narrow" w:cs="Arial"/>
        </w:rPr>
        <w:tab/>
      </w:r>
      <w:r w:rsidRPr="0051637E">
        <w:rPr>
          <w:rFonts w:ascii="Arial Narrow" w:hAnsi="Arial Narrow" w:cs="Arial"/>
        </w:rPr>
        <w:t xml:space="preserve">Due to the short remaining life span of some of the power stations, there were no commitments towards bringing these to compliance with the emission standards, some of which may have their </w:t>
      </w:r>
      <w:r w:rsidRPr="0051637E">
        <w:rPr>
          <w:rFonts w:ascii="Arial Narrow" w:hAnsi="Arial Narrow" w:cs="Arial"/>
        </w:rPr>
        <w:lastRenderedPageBreak/>
        <w:t>lifespan extended by a further 10 years – an undertaking that was not raised during the postponement application and which Eskom claims no decision has been raised yet.</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2.8.5</w:t>
      </w:r>
      <w:r w:rsidRPr="0051637E">
        <w:rPr>
          <w:rFonts w:ascii="Arial Narrow" w:hAnsi="Arial Narrow" w:cs="Arial"/>
        </w:rPr>
        <w:tab/>
        <w:t xml:space="preserve"> Poor project planning, management and execution utility.</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2.8.6   Though some interventions have been proposed to deal with the above challenges such as bringing adequate or additional engineering capacity, in all likelihood some of the challenges would persist and thus leading to noncompliance with the postponement decision – a risk that the utility acknowledged existed</w:t>
      </w:r>
    </w:p>
    <w:p w:rsidR="0051637E" w:rsidRPr="0051637E" w:rsidRDefault="0051637E" w:rsidP="0084756F">
      <w:pPr>
        <w:widowControl w:val="0"/>
        <w:snapToGrid w:val="0"/>
        <w:spacing w:line="360" w:lineRule="auto"/>
        <w:ind w:left="1440" w:hanging="720"/>
        <w:contextualSpacing/>
        <w:jc w:val="both"/>
        <w:rPr>
          <w:rFonts w:ascii="Arial Narrow" w:hAnsi="Arial Narrow" w:cs="Arial"/>
        </w:rPr>
      </w:pPr>
      <w:r w:rsidRPr="0051637E">
        <w:rPr>
          <w:rFonts w:ascii="Arial Narrow" w:hAnsi="Arial Narrow" w:cs="Arial"/>
        </w:rPr>
        <w:t>2.8.7   However, it is important to acknowledge some good progress that the Utility has made in relation to meeting some of the postponement targets. This relates to the development and implementation of Air quality Offsets Plan for Lethabo power station which is aimed at improving indoor air quality in the communities surrounding the power station.</w:t>
      </w:r>
    </w:p>
    <w:p w:rsidR="0051637E" w:rsidRPr="0051637E" w:rsidRDefault="0051637E" w:rsidP="0051637E">
      <w:pPr>
        <w:widowControl w:val="0"/>
        <w:snapToGrid w:val="0"/>
        <w:spacing w:line="360" w:lineRule="auto"/>
        <w:ind w:left="720" w:hanging="720"/>
        <w:contextualSpacing/>
        <w:jc w:val="both"/>
        <w:rPr>
          <w:rFonts w:ascii="Arial Narrow" w:hAnsi="Arial Narrow" w:cs="Arial"/>
        </w:rPr>
      </w:pPr>
      <w:r w:rsidRPr="0051637E">
        <w:rPr>
          <w:rFonts w:ascii="Arial Narrow" w:hAnsi="Arial Narrow" w:cs="Arial"/>
        </w:rPr>
        <w:t>2.9</w:t>
      </w:r>
      <w:r w:rsidRPr="0051637E">
        <w:rPr>
          <w:rFonts w:ascii="Arial Narrow" w:hAnsi="Arial Narrow" w:cs="Arial"/>
        </w:rPr>
        <w:tab/>
        <w:t>With regard to Sasol the main issues of concern are as follows:</w:t>
      </w:r>
    </w:p>
    <w:p w:rsidR="0051637E" w:rsidRPr="0051637E" w:rsidRDefault="0051637E" w:rsidP="0051637E">
      <w:pPr>
        <w:widowControl w:val="0"/>
        <w:snapToGrid w:val="0"/>
        <w:spacing w:line="360" w:lineRule="auto"/>
        <w:ind w:left="720" w:hanging="720"/>
        <w:contextualSpacing/>
        <w:jc w:val="both"/>
        <w:rPr>
          <w:rFonts w:ascii="Arial Narrow" w:hAnsi="Arial Narrow" w:cs="Arial"/>
          <w:lang w:val="en-ZA"/>
        </w:rPr>
      </w:pPr>
      <w:r w:rsidRPr="0051637E">
        <w:rPr>
          <w:rFonts w:ascii="Arial Narrow" w:hAnsi="Arial Narrow" w:cs="Arial"/>
          <w:lang w:val="en-ZA"/>
        </w:rPr>
        <w:t>2.9.1</w:t>
      </w:r>
      <w:r w:rsidRPr="0051637E">
        <w:rPr>
          <w:rFonts w:ascii="Arial Narrow" w:hAnsi="Arial Narrow" w:cs="Arial"/>
          <w:lang w:val="en-ZA"/>
        </w:rPr>
        <w:tab/>
        <w:t>Undertaking a lot of studies to identify possible abatement technologies that will help some of the facilities to meet emission standards and possible saving on capital cost. These further investigations will extend beyond the initial timeframe applied for in the postponement applications. Therefore, the company is applying for further postponement on some of the facilities on which postponement has been already granted.</w:t>
      </w:r>
    </w:p>
    <w:p w:rsidR="00B43B36" w:rsidRPr="00E24696" w:rsidRDefault="00C10B1B" w:rsidP="00B72FA2">
      <w:pPr>
        <w:pStyle w:val="ListParagraph"/>
        <w:widowControl w:val="0"/>
        <w:numPr>
          <w:ilvl w:val="0"/>
          <w:numId w:val="1"/>
        </w:numPr>
        <w:snapToGrid w:val="0"/>
        <w:spacing w:line="360" w:lineRule="auto"/>
        <w:ind w:hanging="720"/>
        <w:jc w:val="both"/>
        <w:rPr>
          <w:rFonts w:ascii="Arial Narrow" w:hAnsi="Arial Narrow" w:cs="Arial"/>
          <w:b/>
        </w:rPr>
      </w:pPr>
      <w:r w:rsidRPr="00E24696">
        <w:rPr>
          <w:rFonts w:ascii="Arial Narrow" w:hAnsi="Arial Narrow" w:cs="Arial"/>
          <w:b/>
        </w:rPr>
        <w:t>RECOMMENDATIONS</w:t>
      </w:r>
    </w:p>
    <w:p w:rsidR="0084756F" w:rsidRPr="0084756F" w:rsidRDefault="0084756F" w:rsidP="0084756F">
      <w:pPr>
        <w:pStyle w:val="ListParagraph"/>
        <w:widowControl w:val="0"/>
        <w:spacing w:line="360" w:lineRule="auto"/>
        <w:jc w:val="both"/>
        <w:rPr>
          <w:rFonts w:ascii="Arial Narrow" w:hAnsi="Arial Narrow" w:cs="Arial"/>
          <w:lang w:val="en-ZA"/>
        </w:rPr>
      </w:pPr>
      <w:r w:rsidRPr="0084756F">
        <w:rPr>
          <w:rFonts w:ascii="Arial Narrow" w:hAnsi="Arial Narrow" w:cs="Arial"/>
          <w:lang w:val="en-ZA"/>
        </w:rPr>
        <w:t>It is recommended that the Portfolio Committee notes:</w:t>
      </w:r>
    </w:p>
    <w:p w:rsidR="00ED39BD" w:rsidRPr="00ED39BD" w:rsidRDefault="00ED39BD" w:rsidP="00B72FA2">
      <w:pPr>
        <w:pStyle w:val="ListParagraph"/>
        <w:widowControl w:val="0"/>
        <w:numPr>
          <w:ilvl w:val="0"/>
          <w:numId w:val="8"/>
        </w:numPr>
        <w:snapToGrid w:val="0"/>
        <w:spacing w:line="360" w:lineRule="auto"/>
        <w:ind w:firstLine="556"/>
        <w:jc w:val="both"/>
        <w:rPr>
          <w:rFonts w:ascii="Arial Narrow" w:hAnsi="Arial Narrow" w:cs="Arial"/>
          <w:lang w:val="en-ZA"/>
        </w:rPr>
      </w:pPr>
      <w:r w:rsidRPr="00ED39BD">
        <w:rPr>
          <w:rFonts w:ascii="Arial Narrow" w:hAnsi="Arial Narrow" w:cs="Arial"/>
          <w:lang w:val="en-ZA"/>
        </w:rPr>
        <w:t>The Status of postponement decisions and reasons for granting decisions</w:t>
      </w:r>
    </w:p>
    <w:p w:rsidR="00ED39BD" w:rsidRPr="00ED39BD" w:rsidRDefault="00ED39BD" w:rsidP="00B72FA2">
      <w:pPr>
        <w:pStyle w:val="ListParagraph"/>
        <w:widowControl w:val="0"/>
        <w:numPr>
          <w:ilvl w:val="0"/>
          <w:numId w:val="8"/>
        </w:numPr>
        <w:snapToGrid w:val="0"/>
        <w:spacing w:line="360" w:lineRule="auto"/>
        <w:ind w:firstLine="556"/>
        <w:jc w:val="both"/>
        <w:rPr>
          <w:rFonts w:ascii="Arial Narrow" w:hAnsi="Arial Narrow" w:cs="Arial"/>
          <w:lang w:val="en-ZA"/>
        </w:rPr>
      </w:pPr>
      <w:r w:rsidRPr="00ED39BD">
        <w:rPr>
          <w:rFonts w:ascii="Arial Narrow" w:hAnsi="Arial Narrow" w:cs="Arial"/>
          <w:lang w:val="en-ZA"/>
        </w:rPr>
        <w:t>Compliance status of postponement holders</w:t>
      </w:r>
    </w:p>
    <w:p w:rsidR="002E240C" w:rsidRPr="00ED39BD" w:rsidRDefault="00ED39BD" w:rsidP="00B72FA2">
      <w:pPr>
        <w:pStyle w:val="ListParagraph"/>
        <w:widowControl w:val="0"/>
        <w:numPr>
          <w:ilvl w:val="0"/>
          <w:numId w:val="8"/>
        </w:numPr>
        <w:snapToGrid w:val="0"/>
        <w:spacing w:line="360" w:lineRule="auto"/>
        <w:ind w:firstLine="556"/>
        <w:jc w:val="both"/>
        <w:rPr>
          <w:rFonts w:ascii="Arial Narrow" w:hAnsi="Arial Narrow" w:cs="Arial"/>
        </w:rPr>
      </w:pPr>
      <w:r w:rsidRPr="00ED39BD">
        <w:rPr>
          <w:rFonts w:ascii="Arial Narrow" w:hAnsi="Arial Narrow" w:cs="Arial"/>
          <w:lang w:val="en-ZA"/>
        </w:rPr>
        <w:t>Current postponement applications</w:t>
      </w:r>
    </w:p>
    <w:p w:rsidR="002E240C" w:rsidRDefault="002E240C" w:rsidP="00BD2591">
      <w:pPr>
        <w:widowControl w:val="0"/>
        <w:snapToGrid w:val="0"/>
        <w:spacing w:line="360" w:lineRule="auto"/>
        <w:contextualSpacing/>
        <w:jc w:val="both"/>
        <w:rPr>
          <w:rFonts w:ascii="Arial Narrow" w:hAnsi="Arial Narrow" w:cs="Arial"/>
        </w:rPr>
      </w:pPr>
    </w:p>
    <w:p w:rsidR="00ED7D6D" w:rsidRPr="00E24696" w:rsidRDefault="00ED7D6D" w:rsidP="00E24696">
      <w:pPr>
        <w:spacing w:line="360" w:lineRule="auto"/>
        <w:contextualSpacing/>
        <w:jc w:val="both"/>
        <w:rPr>
          <w:rFonts w:ascii="Arial Narrow" w:hAnsi="Arial Narrow"/>
          <w:b/>
        </w:rPr>
      </w:pPr>
    </w:p>
    <w:p w:rsidR="00ED7D6D" w:rsidRDefault="00ED7D6D" w:rsidP="00E24696">
      <w:pPr>
        <w:spacing w:line="360" w:lineRule="auto"/>
        <w:contextualSpacing/>
        <w:jc w:val="both"/>
        <w:rPr>
          <w:rFonts w:ascii="Arial Narrow" w:hAnsi="Arial Narrow"/>
          <w:b/>
        </w:rPr>
      </w:pPr>
    </w:p>
    <w:p w:rsidR="000B7092" w:rsidRPr="00E24696" w:rsidRDefault="000B7092" w:rsidP="00E24696">
      <w:pPr>
        <w:spacing w:line="360" w:lineRule="auto"/>
        <w:contextualSpacing/>
        <w:jc w:val="both"/>
        <w:rPr>
          <w:rFonts w:ascii="Arial Narrow" w:hAnsi="Arial Narrow"/>
          <w:b/>
        </w:rPr>
      </w:pPr>
    </w:p>
    <w:p w:rsidR="00ED7D6D" w:rsidRPr="00E24696" w:rsidRDefault="00ED7D6D" w:rsidP="00E24696">
      <w:pPr>
        <w:spacing w:line="360" w:lineRule="auto"/>
        <w:contextualSpacing/>
        <w:jc w:val="both"/>
        <w:rPr>
          <w:rFonts w:ascii="Arial Narrow" w:hAnsi="Arial Narrow"/>
          <w:b/>
        </w:rPr>
      </w:pPr>
    </w:p>
    <w:p w:rsidR="00ED7D6D" w:rsidRPr="00E24696" w:rsidRDefault="00ED7D6D" w:rsidP="00E24696">
      <w:pPr>
        <w:spacing w:line="360" w:lineRule="auto"/>
        <w:contextualSpacing/>
        <w:jc w:val="both"/>
        <w:rPr>
          <w:rFonts w:ascii="Arial Narrow" w:hAnsi="Arial Narrow"/>
          <w:b/>
        </w:rPr>
      </w:pPr>
    </w:p>
    <w:p w:rsidR="0023409C" w:rsidRDefault="0023409C" w:rsidP="000B7092">
      <w:pPr>
        <w:spacing w:line="360" w:lineRule="auto"/>
        <w:contextualSpacing/>
        <w:jc w:val="both"/>
        <w:rPr>
          <w:rFonts w:ascii="Arial Narrow" w:hAnsi="Arial Narrow" w:cs="Arial"/>
          <w:b/>
        </w:rPr>
        <w:sectPr w:rsidR="0023409C" w:rsidSect="00725021">
          <w:headerReference w:type="default" r:id="rId8"/>
          <w:footerReference w:type="even" r:id="rId9"/>
          <w:footerReference w:type="default" r:id="rId10"/>
          <w:footerReference w:type="first" r:id="rId11"/>
          <w:pgSz w:w="12240" w:h="15840"/>
          <w:pgMar w:top="1109" w:right="1080" w:bottom="540" w:left="1260" w:header="720" w:footer="720" w:gutter="0"/>
          <w:cols w:space="720"/>
          <w:titlePg/>
          <w:docGrid w:linePitch="360"/>
        </w:sectPr>
      </w:pPr>
    </w:p>
    <w:p w:rsidR="00837C7A" w:rsidRDefault="00837C7A" w:rsidP="00EC1D98">
      <w:pPr>
        <w:spacing w:line="360" w:lineRule="auto"/>
        <w:contextualSpacing/>
        <w:jc w:val="both"/>
        <w:rPr>
          <w:rFonts w:ascii="Arial Narrow" w:hAnsi="Arial Narrow" w:cs="Arial"/>
          <w:b/>
        </w:rPr>
      </w:pPr>
    </w:p>
    <w:p w:rsidR="002C647A" w:rsidRDefault="00FA5FF7" w:rsidP="00EC1D98">
      <w:pPr>
        <w:spacing w:line="360" w:lineRule="auto"/>
        <w:contextualSpacing/>
        <w:jc w:val="both"/>
        <w:rPr>
          <w:rFonts w:ascii="Arial Narrow" w:hAnsi="Arial Narrow" w:cs="Arial"/>
          <w:b/>
        </w:rPr>
      </w:pPr>
      <w:r>
        <w:rPr>
          <w:rFonts w:ascii="Arial Narrow" w:hAnsi="Arial Narrow" w:cs="Arial"/>
          <w:b/>
        </w:rPr>
        <w:t xml:space="preserve">ANNEXURE A: </w:t>
      </w:r>
      <w:r w:rsidRPr="00FA5FF7">
        <w:rPr>
          <w:rFonts w:ascii="Arial Narrow" w:hAnsi="Arial Narrow" w:cs="Arial"/>
          <w:b/>
        </w:rPr>
        <w:t>Consolidated status on all th</w:t>
      </w:r>
      <w:r>
        <w:rPr>
          <w:rFonts w:ascii="Arial Narrow" w:hAnsi="Arial Narrow" w:cs="Arial"/>
          <w:b/>
        </w:rPr>
        <w:t>e applications received</w:t>
      </w:r>
    </w:p>
    <w:tbl>
      <w:tblPr>
        <w:tblW w:w="14029" w:type="dxa"/>
        <w:tblLook w:val="04A0"/>
      </w:tblPr>
      <w:tblGrid>
        <w:gridCol w:w="1855"/>
        <w:gridCol w:w="1551"/>
        <w:gridCol w:w="1502"/>
        <w:gridCol w:w="377"/>
        <w:gridCol w:w="1767"/>
        <w:gridCol w:w="1261"/>
        <w:gridCol w:w="1321"/>
        <w:gridCol w:w="1985"/>
        <w:gridCol w:w="2410"/>
      </w:tblGrid>
      <w:tr w:rsidR="002C647A" w:rsidRPr="002C647A" w:rsidTr="00AC4EF2">
        <w:trPr>
          <w:trHeight w:val="866"/>
          <w:tblHeader/>
        </w:trPr>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lang w:val="en-ZA" w:eastAsia="en-ZA"/>
              </w:rPr>
            </w:pPr>
            <w:r w:rsidRPr="002C647A">
              <w:rPr>
                <w:rFonts w:ascii="Arial Narrow" w:hAnsi="Arial Narrow"/>
                <w:b/>
                <w:bCs/>
                <w:color w:val="000000"/>
                <w:sz w:val="20"/>
                <w:szCs w:val="20"/>
              </w:rPr>
              <w:t>FIRST BATCH POSTPONEMENT DECISION</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rsidP="002C647A">
            <w:pPr>
              <w:rPr>
                <w:rFonts w:ascii="Arial Narrow" w:hAnsi="Arial Narrow"/>
                <w:b/>
                <w:bCs/>
                <w:color w:val="000000"/>
                <w:sz w:val="20"/>
                <w:szCs w:val="20"/>
              </w:rPr>
            </w:pPr>
            <w:r w:rsidRPr="002C647A">
              <w:rPr>
                <w:rFonts w:ascii="Arial Narrow" w:hAnsi="Arial Narrow"/>
                <w:b/>
                <w:bCs/>
                <w:color w:val="000000"/>
                <w:sz w:val="20"/>
                <w:szCs w:val="20"/>
              </w:rPr>
              <w:t>NUMBER OF APPLICATIONS</w:t>
            </w:r>
          </w:p>
        </w:tc>
        <w:tc>
          <w:tcPr>
            <w:tcW w:w="1502"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rPr>
            </w:pPr>
            <w:r w:rsidRPr="002C647A">
              <w:rPr>
                <w:rFonts w:ascii="Arial Narrow" w:hAnsi="Arial Narrow"/>
                <w:b/>
                <w:bCs/>
                <w:color w:val="000000"/>
                <w:sz w:val="20"/>
                <w:szCs w:val="20"/>
              </w:rPr>
              <w:t>COMPLIANCE STATUS</w:t>
            </w:r>
          </w:p>
        </w:tc>
        <w:tc>
          <w:tcPr>
            <w:tcW w:w="3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647A" w:rsidRPr="002C647A" w:rsidRDefault="002C647A">
            <w:pPr>
              <w:jc w:val="center"/>
              <w:rPr>
                <w:rFonts w:ascii="Arial Narrow" w:hAnsi="Arial Narrow"/>
                <w:color w:val="000000"/>
                <w:sz w:val="20"/>
                <w:szCs w:val="20"/>
              </w:rPr>
            </w:pPr>
            <w:r w:rsidRPr="002C647A">
              <w:rPr>
                <w:rFonts w:ascii="Arial Narrow" w:hAnsi="Arial Narrow"/>
                <w:color w:val="000000"/>
                <w:sz w:val="20"/>
                <w:szCs w:val="20"/>
              </w:rPr>
              <w:t> </w:t>
            </w:r>
          </w:p>
        </w:tc>
        <w:tc>
          <w:tcPr>
            <w:tcW w:w="1767"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rPr>
            </w:pPr>
            <w:r w:rsidRPr="002C647A">
              <w:rPr>
                <w:rFonts w:ascii="Arial Narrow" w:hAnsi="Arial Narrow"/>
                <w:b/>
                <w:bCs/>
                <w:color w:val="000000"/>
                <w:sz w:val="20"/>
                <w:szCs w:val="20"/>
              </w:rPr>
              <w:t>SECOND BATCH POSTPONEMENT DECISION</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rPr>
            </w:pPr>
            <w:r w:rsidRPr="002C647A">
              <w:rPr>
                <w:rFonts w:ascii="Arial Narrow" w:hAnsi="Arial Narrow"/>
                <w:b/>
                <w:bCs/>
                <w:color w:val="000000"/>
                <w:sz w:val="20"/>
                <w:szCs w:val="20"/>
              </w:rPr>
              <w:t>Number of Application</w:t>
            </w:r>
          </w:p>
        </w:tc>
        <w:tc>
          <w:tcPr>
            <w:tcW w:w="1321"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rPr>
            </w:pPr>
            <w:r w:rsidRPr="002C647A">
              <w:rPr>
                <w:rFonts w:ascii="Arial Narrow" w:hAnsi="Arial Narrow"/>
                <w:b/>
                <w:bCs/>
                <w:color w:val="000000"/>
                <w:sz w:val="20"/>
                <w:szCs w:val="20"/>
              </w:rPr>
              <w:t>Date Issued</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rPr>
            </w:pPr>
            <w:r w:rsidRPr="002C647A">
              <w:rPr>
                <w:rFonts w:ascii="Arial Narrow" w:hAnsi="Arial Narrow"/>
                <w:b/>
                <w:bCs/>
                <w:color w:val="000000"/>
                <w:sz w:val="20"/>
                <w:szCs w:val="20"/>
              </w:rPr>
              <w:t>Compliance Date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hideMark/>
          </w:tcPr>
          <w:p w:rsidR="002C647A" w:rsidRPr="002C647A" w:rsidRDefault="002C647A">
            <w:pPr>
              <w:rPr>
                <w:rFonts w:ascii="Arial Narrow" w:hAnsi="Arial Narrow"/>
                <w:b/>
                <w:bCs/>
                <w:color w:val="000000"/>
                <w:sz w:val="20"/>
                <w:szCs w:val="20"/>
              </w:rPr>
            </w:pPr>
            <w:r w:rsidRPr="002C647A">
              <w:rPr>
                <w:rFonts w:ascii="Arial Narrow" w:hAnsi="Arial Narrow"/>
                <w:b/>
                <w:bCs/>
                <w:color w:val="000000"/>
                <w:sz w:val="20"/>
                <w:szCs w:val="20"/>
              </w:rPr>
              <w:t>COMPLIANCE STATUS</w:t>
            </w:r>
          </w:p>
        </w:tc>
      </w:tr>
      <w:tr w:rsidR="002C647A" w:rsidRPr="002C647A" w:rsidTr="00FA5FF7">
        <w:trPr>
          <w:trHeight w:val="410"/>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Total Limited (Bethlehem depot)</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FA5FF7">
            <w:pPr>
              <w:rPr>
                <w:rFonts w:ascii="Arial Narrow" w:hAnsi="Arial Narrow"/>
                <w:color w:val="000000"/>
                <w:sz w:val="20"/>
                <w:szCs w:val="20"/>
              </w:rPr>
            </w:pPr>
            <w:r>
              <w:rPr>
                <w:rFonts w:ascii="Arial Narrow" w:hAnsi="Arial Narrow"/>
                <w:color w:val="000000"/>
                <w:sz w:val="20"/>
                <w:szCs w:val="20"/>
              </w:rPr>
              <w:t>P</w:t>
            </w:r>
            <w:r w:rsidR="002C647A" w:rsidRPr="002C647A">
              <w:rPr>
                <w:rFonts w:ascii="Arial Narrow" w:hAnsi="Arial Narrow"/>
                <w:color w:val="000000"/>
                <w:sz w:val="20"/>
                <w:szCs w:val="20"/>
              </w:rPr>
              <w:t>roject completed</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BPSA (Cape Town depot)</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Oct-16</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Sep-16</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Pr>
                <w:rFonts w:ascii="Arial Narrow" w:hAnsi="Arial Narrow"/>
                <w:color w:val="000000"/>
                <w:sz w:val="20"/>
                <w:szCs w:val="20"/>
              </w:rPr>
              <w:t>P</w:t>
            </w:r>
            <w:r w:rsidRPr="002C647A">
              <w:rPr>
                <w:rFonts w:ascii="Arial Narrow" w:hAnsi="Arial Narrow"/>
                <w:color w:val="000000"/>
                <w:sz w:val="20"/>
                <w:szCs w:val="20"/>
              </w:rPr>
              <w:t>roject completed</w:t>
            </w:r>
          </w:p>
        </w:tc>
      </w:tr>
      <w:tr w:rsidR="002C647A" w:rsidRPr="002C647A" w:rsidTr="00FA5FF7">
        <w:trPr>
          <w:trHeight w:val="516"/>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Total Limited (Polokwane depot)</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FA5FF7">
            <w:pPr>
              <w:rPr>
                <w:rFonts w:ascii="Arial Narrow" w:hAnsi="Arial Narrow"/>
                <w:color w:val="000000"/>
                <w:sz w:val="20"/>
                <w:szCs w:val="20"/>
              </w:rPr>
            </w:pPr>
            <w:r>
              <w:rPr>
                <w:rFonts w:ascii="Arial Narrow" w:hAnsi="Arial Narrow"/>
                <w:color w:val="000000"/>
                <w:sz w:val="20"/>
                <w:szCs w:val="20"/>
              </w:rPr>
              <w:t>P</w:t>
            </w:r>
            <w:r w:rsidR="002C647A" w:rsidRPr="002C647A">
              <w:rPr>
                <w:rFonts w:ascii="Arial Narrow" w:hAnsi="Arial Narrow"/>
                <w:color w:val="000000"/>
                <w:sz w:val="20"/>
                <w:szCs w:val="20"/>
              </w:rPr>
              <w:t>roject completed</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BPSA (East London depot)</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Oct-16</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Sep-16</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Pr>
                <w:rFonts w:ascii="Arial Narrow" w:hAnsi="Arial Narrow"/>
                <w:color w:val="000000"/>
                <w:sz w:val="20"/>
                <w:szCs w:val="20"/>
              </w:rPr>
              <w:t>P</w:t>
            </w:r>
            <w:r w:rsidRPr="002C647A">
              <w:rPr>
                <w:rFonts w:ascii="Arial Narrow" w:hAnsi="Arial Narrow"/>
                <w:color w:val="000000"/>
                <w:sz w:val="20"/>
                <w:szCs w:val="20"/>
              </w:rPr>
              <w:t>roject completed</w:t>
            </w:r>
          </w:p>
        </w:tc>
      </w:tr>
      <w:tr w:rsidR="002C647A" w:rsidRPr="002C647A" w:rsidTr="002C647A">
        <w:trPr>
          <w:trHeight w:val="900"/>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Shell Limited (Ladysmith fuel storage)</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FA5FF7">
            <w:pPr>
              <w:rPr>
                <w:rFonts w:ascii="Arial Narrow" w:hAnsi="Arial Narrow"/>
                <w:color w:val="000000"/>
                <w:sz w:val="20"/>
                <w:szCs w:val="20"/>
              </w:rPr>
            </w:pPr>
            <w:r>
              <w:rPr>
                <w:rFonts w:ascii="Arial Narrow" w:hAnsi="Arial Narrow"/>
                <w:color w:val="000000"/>
                <w:sz w:val="20"/>
                <w:szCs w:val="20"/>
              </w:rPr>
              <w:t>P</w:t>
            </w:r>
            <w:r w:rsidR="002C647A" w:rsidRPr="002C647A">
              <w:rPr>
                <w:rFonts w:ascii="Arial Narrow" w:hAnsi="Arial Narrow"/>
                <w:color w:val="000000"/>
                <w:sz w:val="20"/>
                <w:szCs w:val="20"/>
              </w:rPr>
              <w:t>roject completed</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BPSA (Watloo depot)</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Oct-16</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Sep-16</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Pr>
                <w:rFonts w:ascii="Arial Narrow" w:hAnsi="Arial Narrow"/>
                <w:color w:val="000000"/>
                <w:sz w:val="20"/>
                <w:szCs w:val="20"/>
              </w:rPr>
              <w:t>P</w:t>
            </w:r>
            <w:r w:rsidRPr="002C647A">
              <w:rPr>
                <w:rFonts w:ascii="Arial Narrow" w:hAnsi="Arial Narrow"/>
                <w:color w:val="000000"/>
                <w:sz w:val="20"/>
                <w:szCs w:val="20"/>
              </w:rPr>
              <w:t>roject completed</w:t>
            </w:r>
          </w:p>
        </w:tc>
      </w:tr>
      <w:tr w:rsidR="002C647A" w:rsidRPr="002C647A" w:rsidTr="00FA5FF7">
        <w:trPr>
          <w:trHeight w:val="803"/>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Shell Limited (Polokwane fuel storage)</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FA5FF7">
            <w:pPr>
              <w:rPr>
                <w:rFonts w:ascii="Arial Narrow" w:hAnsi="Arial Narrow"/>
                <w:color w:val="000000"/>
                <w:sz w:val="20"/>
                <w:szCs w:val="20"/>
              </w:rPr>
            </w:pPr>
            <w:r>
              <w:rPr>
                <w:rFonts w:ascii="Arial Narrow" w:hAnsi="Arial Narrow"/>
                <w:color w:val="000000"/>
                <w:sz w:val="20"/>
                <w:szCs w:val="20"/>
              </w:rPr>
              <w:t>P</w:t>
            </w:r>
            <w:r w:rsidR="002C647A" w:rsidRPr="002C647A">
              <w:rPr>
                <w:rFonts w:ascii="Arial Narrow" w:hAnsi="Arial Narrow"/>
                <w:color w:val="000000"/>
                <w:sz w:val="20"/>
                <w:szCs w:val="20"/>
              </w:rPr>
              <w:t>roject completed</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Chevron SA Pty Ltd (Cape Town refinery)</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Mar-16</w:t>
            </w:r>
          </w:p>
        </w:tc>
        <w:tc>
          <w:tcPr>
            <w:tcW w:w="1985" w:type="dxa"/>
            <w:tcBorders>
              <w:top w:val="nil"/>
              <w:left w:val="nil"/>
              <w:bottom w:val="single" w:sz="4" w:space="0" w:color="auto"/>
              <w:right w:val="single" w:sz="4" w:space="0" w:color="auto"/>
            </w:tcBorders>
            <w:shd w:val="clear" w:color="auto" w:fill="auto"/>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SO2 (1 April 2016 -31 July 2017) &amp; TVOCs (1 April 2016 - 31 Mar 2020)</w:t>
            </w:r>
          </w:p>
        </w:tc>
        <w:tc>
          <w:tcPr>
            <w:tcW w:w="2410" w:type="dxa"/>
            <w:tcBorders>
              <w:top w:val="nil"/>
              <w:left w:val="nil"/>
              <w:bottom w:val="single" w:sz="4" w:space="0" w:color="auto"/>
              <w:right w:val="single" w:sz="4" w:space="0" w:color="auto"/>
            </w:tcBorders>
            <w:shd w:val="clear" w:color="auto" w:fill="auto"/>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Decision is currently undergoing appeal process</w:t>
            </w:r>
          </w:p>
        </w:tc>
      </w:tr>
      <w:tr w:rsidR="002C647A" w:rsidRPr="002C647A" w:rsidTr="002C647A">
        <w:trPr>
          <w:trHeight w:val="879"/>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Shell Limited (Kimberley fuel storage)</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Chevron SA Pty Ltd (Port Elizabeth terminal)</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Dec-16</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TVOCs (1 Dec 2016 - 31 March 2020)</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2C647A">
        <w:trPr>
          <w:trHeight w:val="694"/>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Shell Limited (Port Elizabeth fuel storage)</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Shell (Port Elizabeth terminal)</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Feb-17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TVOCs (1 Apr 2017 - 31 March 2020)</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2C647A">
        <w:trPr>
          <w:trHeight w:val="375"/>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sz w:val="20"/>
                <w:szCs w:val="20"/>
              </w:rPr>
            </w:pPr>
            <w:r w:rsidRPr="002C647A">
              <w:rPr>
                <w:rFonts w:ascii="Arial Narrow" w:hAnsi="Arial Narrow"/>
                <w:sz w:val="20"/>
                <w:szCs w:val="20"/>
              </w:rPr>
              <w:t>Anglo American Platinum Ltd (Polokwane Smelter)</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sz w:val="20"/>
                <w:szCs w:val="20"/>
              </w:rPr>
            </w:pPr>
            <w:r w:rsidRPr="002C647A">
              <w:rPr>
                <w:rFonts w:ascii="Arial Narrow" w:hAnsi="Arial Narrow"/>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Appeal process is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Silicon Smelters Pty Ltd (Rand Carbide)</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Mar-17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PM&amp;SO2 (1 Mar 2017 -1 May 2019)</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FA5FF7">
        <w:trPr>
          <w:trHeight w:val="694"/>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Anglo American Platinum Ltd (Mortimer Smelter)</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Gledhow sugar mills</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Mar-17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PM (23 Mar 2017 -1 Nov 2019)</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2C647A">
        <w:trPr>
          <w:trHeight w:val="122"/>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Engen Petroleum Ltd</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Noodsberg sugar mills</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Mar-17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PM (23 Mar 2017 -28 Feb 2020)</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FA5FF7">
        <w:trPr>
          <w:trHeight w:val="1500"/>
        </w:trPr>
        <w:tc>
          <w:tcPr>
            <w:tcW w:w="1855" w:type="dxa"/>
            <w:tcBorders>
              <w:top w:val="nil"/>
              <w:left w:val="single" w:sz="4" w:space="0" w:color="auto"/>
              <w:bottom w:val="single" w:sz="4" w:space="0" w:color="auto"/>
              <w:right w:val="single" w:sz="4" w:space="0" w:color="auto"/>
            </w:tcBorders>
            <w:shd w:val="clear" w:color="auto" w:fill="auto"/>
            <w:hideMark/>
          </w:tcPr>
          <w:p w:rsidR="002C647A" w:rsidRPr="002C647A" w:rsidRDefault="002C647A" w:rsidP="00FA5FF7">
            <w:pPr>
              <w:rPr>
                <w:rFonts w:ascii="Arial Narrow" w:hAnsi="Arial Narrow"/>
                <w:color w:val="000000"/>
                <w:sz w:val="20"/>
                <w:szCs w:val="20"/>
              </w:rPr>
            </w:pPr>
            <w:r w:rsidRPr="002C647A">
              <w:rPr>
                <w:rFonts w:ascii="Arial Narrow" w:hAnsi="Arial Narrow"/>
                <w:color w:val="000000"/>
                <w:sz w:val="20"/>
                <w:szCs w:val="20"/>
              </w:rPr>
              <w:lastRenderedPageBreak/>
              <w:t>PPC Limited (De Hoek plant)</w:t>
            </w:r>
          </w:p>
        </w:tc>
        <w:tc>
          <w:tcPr>
            <w:tcW w:w="1551" w:type="dxa"/>
            <w:tcBorders>
              <w:top w:val="nil"/>
              <w:left w:val="nil"/>
              <w:bottom w:val="single" w:sz="4" w:space="0" w:color="auto"/>
              <w:right w:val="single" w:sz="4" w:space="0" w:color="auto"/>
            </w:tcBorders>
            <w:shd w:val="clear" w:color="auto" w:fill="auto"/>
            <w:hideMark/>
          </w:tcPr>
          <w:p w:rsidR="002C647A" w:rsidRPr="002C647A" w:rsidRDefault="002F4003" w:rsidP="00FA5FF7">
            <w:pPr>
              <w:rPr>
                <w:rFonts w:ascii="Arial Narrow" w:hAnsi="Arial Narrow"/>
                <w:color w:val="000000"/>
                <w:sz w:val="20"/>
                <w:szCs w:val="20"/>
              </w:rPr>
            </w:pPr>
            <w:r>
              <w:rPr>
                <w:rFonts w:ascii="Arial Narrow" w:hAnsi="Arial Narrow"/>
                <w:color w:val="000000"/>
                <w:sz w:val="20"/>
                <w:szCs w:val="20"/>
              </w:rPr>
              <w:t xml:space="preserve">                          </w:t>
            </w:r>
            <w:r w:rsidR="002C647A"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hideMark/>
          </w:tcPr>
          <w:p w:rsidR="002C647A" w:rsidRPr="002C647A" w:rsidRDefault="002C647A" w:rsidP="00FA5FF7">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hideMark/>
          </w:tcPr>
          <w:p w:rsidR="002C647A" w:rsidRPr="002C647A" w:rsidRDefault="002C647A" w:rsidP="00FA5FF7">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hideMark/>
          </w:tcPr>
          <w:p w:rsidR="002C647A" w:rsidRPr="002C647A" w:rsidRDefault="002C647A" w:rsidP="00FA5FF7">
            <w:pPr>
              <w:rPr>
                <w:rFonts w:ascii="Arial Narrow" w:hAnsi="Arial Narrow"/>
                <w:color w:val="000000"/>
                <w:sz w:val="20"/>
                <w:szCs w:val="20"/>
              </w:rPr>
            </w:pPr>
            <w:r w:rsidRPr="002C647A">
              <w:rPr>
                <w:rFonts w:ascii="Arial Narrow" w:hAnsi="Arial Narrow"/>
                <w:color w:val="000000"/>
                <w:sz w:val="20"/>
                <w:szCs w:val="20"/>
              </w:rPr>
              <w:t>Sezela sugar mills</w:t>
            </w:r>
          </w:p>
        </w:tc>
        <w:tc>
          <w:tcPr>
            <w:tcW w:w="1261" w:type="dxa"/>
            <w:tcBorders>
              <w:top w:val="nil"/>
              <w:left w:val="nil"/>
              <w:bottom w:val="single" w:sz="4" w:space="0" w:color="auto"/>
              <w:right w:val="single" w:sz="4" w:space="0" w:color="auto"/>
            </w:tcBorders>
            <w:shd w:val="clear" w:color="auto" w:fill="auto"/>
            <w:hideMark/>
          </w:tcPr>
          <w:p w:rsidR="002C647A" w:rsidRPr="002C647A" w:rsidRDefault="002C647A" w:rsidP="00FA5FF7">
            <w:pPr>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hideMark/>
          </w:tcPr>
          <w:p w:rsidR="002C647A" w:rsidRPr="002C647A" w:rsidRDefault="00FA5FF7" w:rsidP="00FA5FF7">
            <w:pPr>
              <w:rPr>
                <w:rFonts w:ascii="Arial Narrow" w:hAnsi="Arial Narrow"/>
                <w:color w:val="000000"/>
                <w:sz w:val="20"/>
                <w:szCs w:val="20"/>
              </w:rPr>
            </w:pPr>
            <w:r>
              <w:rPr>
                <w:rFonts w:ascii="Arial Narrow" w:hAnsi="Arial Narrow"/>
                <w:color w:val="000000"/>
                <w:sz w:val="20"/>
                <w:szCs w:val="20"/>
              </w:rPr>
              <w:t xml:space="preserve">            </w:t>
            </w:r>
            <w:r w:rsidR="002C647A" w:rsidRPr="002C647A">
              <w:rPr>
                <w:rFonts w:ascii="Arial Narrow" w:hAnsi="Arial Narrow"/>
                <w:color w:val="000000"/>
                <w:sz w:val="20"/>
                <w:szCs w:val="20"/>
              </w:rPr>
              <w:t>Mar-17</w:t>
            </w:r>
          </w:p>
        </w:tc>
        <w:tc>
          <w:tcPr>
            <w:tcW w:w="1985" w:type="dxa"/>
            <w:tcBorders>
              <w:top w:val="nil"/>
              <w:left w:val="nil"/>
              <w:bottom w:val="single" w:sz="4" w:space="0" w:color="auto"/>
              <w:right w:val="single" w:sz="4" w:space="0" w:color="auto"/>
            </w:tcBorders>
            <w:shd w:val="clear" w:color="auto" w:fill="auto"/>
            <w:hideMark/>
          </w:tcPr>
          <w:p w:rsidR="002C647A" w:rsidRPr="002C647A" w:rsidRDefault="002C647A" w:rsidP="00FA5FF7">
            <w:pPr>
              <w:rPr>
                <w:rFonts w:ascii="Arial Narrow" w:hAnsi="Arial Narrow"/>
                <w:color w:val="000000"/>
                <w:sz w:val="20"/>
                <w:szCs w:val="20"/>
              </w:rPr>
            </w:pPr>
            <w:r w:rsidRPr="002C647A">
              <w:rPr>
                <w:rFonts w:ascii="Arial Narrow" w:hAnsi="Arial Narrow"/>
                <w:color w:val="000000"/>
                <w:sz w:val="20"/>
                <w:szCs w:val="20"/>
              </w:rPr>
              <w:t>PM (23 Mar 2017 -21 Dec 2019)</w:t>
            </w:r>
          </w:p>
        </w:tc>
        <w:tc>
          <w:tcPr>
            <w:tcW w:w="2410" w:type="dxa"/>
            <w:tcBorders>
              <w:top w:val="nil"/>
              <w:left w:val="nil"/>
              <w:bottom w:val="single" w:sz="4" w:space="0" w:color="auto"/>
              <w:right w:val="single" w:sz="4" w:space="0" w:color="auto"/>
            </w:tcBorders>
            <w:shd w:val="clear" w:color="auto" w:fill="auto"/>
            <w:hideMark/>
          </w:tcPr>
          <w:p w:rsidR="002C647A" w:rsidRPr="002C647A" w:rsidRDefault="002C647A" w:rsidP="00FA5FF7">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FA5FF7">
        <w:trPr>
          <w:trHeight w:val="879"/>
        </w:trPr>
        <w:tc>
          <w:tcPr>
            <w:tcW w:w="1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PPC Limited (Dwaalboom plant)</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Sasol Limited (Secunda Synfuels Operations - Tar Value Chain)</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Mar-17</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TVOCS (1 Apr 2017 -31 Mar 2020)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2C647A">
        <w:trPr>
          <w:trHeight w:val="270"/>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PPC Limited (Port Elizabeth plant)</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AEL Mining Services Limited</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May-17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PETN/STILLS plant: NOx (24 Apr 2017 -30 Mar 2020), ANS 1 &amp; 2: NH3 (24 Apr 2017 - 30 Mar 2020), NO.3 AN plant: NH3&amp;PM (24 Apr 2017 - 30 Mar 2020)</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FA5FF7">
        <w:trPr>
          <w:trHeight w:val="604"/>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PPC Limited (Slurry plant)</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Quantum Crushing &amp; Screening Pty Ltd</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May-17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PM (31 May 2017 -31 March 2019)</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FA5FF7">
        <w:trPr>
          <w:trHeight w:val="697"/>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Sasol Limited (Sasol Secunda)</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Vanchem Vanadium Products Pty Ltd</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May-17</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SO2 (31 May 2017 -31 March 2022)</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Reporting requirement pending</w:t>
            </w:r>
          </w:p>
        </w:tc>
      </w:tr>
      <w:tr w:rsidR="002C647A" w:rsidRPr="002C647A" w:rsidTr="00FA5FF7">
        <w:trPr>
          <w:trHeight w:val="630"/>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Sasol Limited (Sasol Infrachem)</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tcPr>
          <w:p w:rsidR="002C647A" w:rsidRPr="002C647A" w:rsidRDefault="00ED39BD">
            <w:pPr>
              <w:rPr>
                <w:rFonts w:ascii="Arial Narrow" w:hAnsi="Arial Narrow"/>
                <w:b/>
                <w:bCs/>
                <w:color w:val="000000"/>
                <w:sz w:val="20"/>
                <w:szCs w:val="20"/>
              </w:rPr>
            </w:pPr>
            <w:r>
              <w:rPr>
                <w:rFonts w:ascii="Arial Narrow" w:hAnsi="Arial Narrow"/>
                <w:b/>
                <w:bCs/>
                <w:color w:val="000000"/>
                <w:sz w:val="20"/>
                <w:szCs w:val="20"/>
              </w:rPr>
              <w:t>PPC De Hoek</w:t>
            </w:r>
          </w:p>
        </w:tc>
        <w:tc>
          <w:tcPr>
            <w:tcW w:w="1261" w:type="dxa"/>
            <w:tcBorders>
              <w:top w:val="nil"/>
              <w:left w:val="nil"/>
              <w:bottom w:val="single" w:sz="4" w:space="0" w:color="auto"/>
              <w:right w:val="single" w:sz="4" w:space="0" w:color="auto"/>
            </w:tcBorders>
            <w:shd w:val="clear" w:color="auto" w:fill="auto"/>
            <w:vAlign w:val="bottom"/>
          </w:tcPr>
          <w:p w:rsidR="002C647A" w:rsidRPr="002C647A" w:rsidRDefault="00ED39BD">
            <w:pPr>
              <w:jc w:val="right"/>
              <w:rPr>
                <w:rFonts w:ascii="Arial Narrow" w:hAnsi="Arial Narrow"/>
                <w:b/>
                <w:bCs/>
                <w:color w:val="000000"/>
                <w:sz w:val="20"/>
                <w:szCs w:val="20"/>
              </w:rPr>
            </w:pPr>
            <w:r>
              <w:rPr>
                <w:rFonts w:ascii="Arial Narrow" w:hAnsi="Arial Narrow"/>
                <w:b/>
                <w:bCs/>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r>
      <w:tr w:rsidR="002C647A"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Sasol Limited (Sasol Nitro)</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Palaborwa Copper</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r w:rsidR="00ED39BD">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r>
      <w:tr w:rsidR="002C647A"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NATREF</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PPC Riebeeck</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r w:rsidR="00ED39BD">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r>
      <w:tr w:rsidR="002C647A"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Eskom Power Stations</w:t>
            </w:r>
          </w:p>
        </w:tc>
        <w:tc>
          <w:tcPr>
            <w:tcW w:w="1551" w:type="dxa"/>
            <w:tcBorders>
              <w:top w:val="nil"/>
              <w:left w:val="nil"/>
              <w:bottom w:val="single" w:sz="4" w:space="0" w:color="auto"/>
              <w:right w:val="single" w:sz="4" w:space="0" w:color="auto"/>
            </w:tcBorders>
            <w:shd w:val="clear" w:color="auto" w:fill="auto"/>
            <w:vAlign w:val="bottom"/>
            <w:hideMark/>
          </w:tcPr>
          <w:p w:rsidR="002C647A" w:rsidRPr="002C647A" w:rsidRDefault="002C647A">
            <w:pPr>
              <w:jc w:val="right"/>
              <w:rPr>
                <w:rFonts w:ascii="Arial Narrow" w:hAnsi="Arial Narrow"/>
                <w:color w:val="000000"/>
                <w:sz w:val="20"/>
                <w:szCs w:val="20"/>
              </w:rPr>
            </w:pPr>
            <w:r w:rsidRPr="002C647A">
              <w:rPr>
                <w:rFonts w:ascii="Arial Narrow" w:hAnsi="Arial Narrow"/>
                <w:color w:val="000000"/>
                <w:sz w:val="20"/>
                <w:szCs w:val="20"/>
              </w:rPr>
              <w:t>16</w:t>
            </w:r>
          </w:p>
        </w:tc>
        <w:tc>
          <w:tcPr>
            <w:tcW w:w="1502"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Updates ongoing</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2C647A" w:rsidRPr="002C647A" w:rsidRDefault="002C647A">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Natref</w:t>
            </w:r>
          </w:p>
        </w:tc>
        <w:tc>
          <w:tcPr>
            <w:tcW w:w="1261"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r w:rsidR="00ED39BD">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hideMark/>
          </w:tcPr>
          <w:p w:rsidR="002C647A" w:rsidRPr="002C647A"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2C647A" w:rsidRPr="002C647A" w:rsidRDefault="002C647A">
            <w:pPr>
              <w:rPr>
                <w:rFonts w:ascii="Arial Narrow" w:hAnsi="Arial Narrow"/>
                <w:color w:val="000000"/>
                <w:sz w:val="20"/>
                <w:szCs w:val="20"/>
              </w:rPr>
            </w:pPr>
            <w:r w:rsidRPr="002C647A">
              <w:rPr>
                <w:rFonts w:ascii="Arial Narrow" w:hAnsi="Arial Narrow"/>
                <w:color w:val="000000"/>
                <w:sz w:val="20"/>
                <w:szCs w:val="20"/>
              </w:rPr>
              <w:t> </w:t>
            </w:r>
          </w:p>
        </w:tc>
      </w:tr>
      <w:tr w:rsidR="00ED39BD"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1551" w:type="dxa"/>
            <w:tcBorders>
              <w:top w:val="nil"/>
              <w:left w:val="nil"/>
              <w:bottom w:val="single" w:sz="4" w:space="0" w:color="auto"/>
              <w:right w:val="single" w:sz="4" w:space="0" w:color="auto"/>
            </w:tcBorders>
            <w:shd w:val="clear" w:color="auto" w:fill="auto"/>
            <w:vAlign w:val="bottom"/>
          </w:tcPr>
          <w:p w:rsidR="00ED39BD" w:rsidRPr="002C647A" w:rsidRDefault="00ED39BD">
            <w:pPr>
              <w:jc w:val="right"/>
              <w:rPr>
                <w:rFonts w:ascii="Arial Narrow" w:hAnsi="Arial Narrow"/>
                <w:color w:val="000000"/>
                <w:sz w:val="20"/>
                <w:szCs w:val="20"/>
              </w:rPr>
            </w:pPr>
          </w:p>
        </w:tc>
        <w:tc>
          <w:tcPr>
            <w:tcW w:w="1502"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377" w:type="dxa"/>
            <w:vMerge/>
            <w:tcBorders>
              <w:top w:val="single" w:sz="4" w:space="0" w:color="auto"/>
              <w:left w:val="single" w:sz="4" w:space="0" w:color="auto"/>
              <w:bottom w:val="single" w:sz="4" w:space="0" w:color="auto"/>
              <w:right w:val="single" w:sz="4" w:space="0" w:color="auto"/>
            </w:tcBorders>
            <w:vAlign w:val="center"/>
          </w:tcPr>
          <w:p w:rsidR="00ED39BD" w:rsidRPr="002C647A" w:rsidRDefault="00ED39BD">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r>
              <w:rPr>
                <w:rFonts w:ascii="Arial Narrow" w:hAnsi="Arial Narrow"/>
                <w:color w:val="000000"/>
                <w:sz w:val="20"/>
                <w:szCs w:val="20"/>
              </w:rPr>
              <w:t>Sasol Sasoburg</w:t>
            </w:r>
          </w:p>
        </w:tc>
        <w:tc>
          <w:tcPr>
            <w:tcW w:w="1261"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r>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2410"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r>
      <w:tr w:rsidR="00ED39BD"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1551" w:type="dxa"/>
            <w:tcBorders>
              <w:top w:val="nil"/>
              <w:left w:val="nil"/>
              <w:bottom w:val="single" w:sz="4" w:space="0" w:color="auto"/>
              <w:right w:val="single" w:sz="4" w:space="0" w:color="auto"/>
            </w:tcBorders>
            <w:shd w:val="clear" w:color="auto" w:fill="auto"/>
            <w:vAlign w:val="bottom"/>
          </w:tcPr>
          <w:p w:rsidR="00ED39BD" w:rsidRPr="002C647A" w:rsidRDefault="00ED39BD">
            <w:pPr>
              <w:jc w:val="right"/>
              <w:rPr>
                <w:rFonts w:ascii="Arial Narrow" w:hAnsi="Arial Narrow"/>
                <w:color w:val="000000"/>
                <w:sz w:val="20"/>
                <w:szCs w:val="20"/>
              </w:rPr>
            </w:pPr>
          </w:p>
        </w:tc>
        <w:tc>
          <w:tcPr>
            <w:tcW w:w="1502"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377" w:type="dxa"/>
            <w:vMerge/>
            <w:tcBorders>
              <w:top w:val="single" w:sz="4" w:space="0" w:color="auto"/>
              <w:left w:val="single" w:sz="4" w:space="0" w:color="auto"/>
              <w:bottom w:val="single" w:sz="4" w:space="0" w:color="auto"/>
              <w:right w:val="single" w:sz="4" w:space="0" w:color="auto"/>
            </w:tcBorders>
            <w:vAlign w:val="center"/>
          </w:tcPr>
          <w:p w:rsidR="00ED39BD" w:rsidRPr="002C647A" w:rsidRDefault="00ED39BD">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Sasol Secunda</w:t>
            </w:r>
          </w:p>
        </w:tc>
        <w:tc>
          <w:tcPr>
            <w:tcW w:w="1261"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2410"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r>
      <w:tr w:rsidR="00ED39BD"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1551" w:type="dxa"/>
            <w:tcBorders>
              <w:top w:val="nil"/>
              <w:left w:val="nil"/>
              <w:bottom w:val="single" w:sz="4" w:space="0" w:color="auto"/>
              <w:right w:val="single" w:sz="4" w:space="0" w:color="auto"/>
            </w:tcBorders>
            <w:shd w:val="clear" w:color="auto" w:fill="auto"/>
            <w:vAlign w:val="bottom"/>
          </w:tcPr>
          <w:p w:rsidR="00ED39BD" w:rsidRPr="002C647A" w:rsidRDefault="00ED39BD">
            <w:pPr>
              <w:jc w:val="right"/>
              <w:rPr>
                <w:rFonts w:ascii="Arial Narrow" w:hAnsi="Arial Narrow"/>
                <w:color w:val="000000"/>
                <w:sz w:val="20"/>
                <w:szCs w:val="20"/>
              </w:rPr>
            </w:pPr>
          </w:p>
        </w:tc>
        <w:tc>
          <w:tcPr>
            <w:tcW w:w="1502"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377" w:type="dxa"/>
            <w:vMerge/>
            <w:tcBorders>
              <w:top w:val="single" w:sz="4" w:space="0" w:color="auto"/>
              <w:left w:val="single" w:sz="4" w:space="0" w:color="auto"/>
              <w:bottom w:val="single" w:sz="4" w:space="0" w:color="auto"/>
              <w:right w:val="single" w:sz="4" w:space="0" w:color="auto"/>
            </w:tcBorders>
            <w:vAlign w:val="center"/>
          </w:tcPr>
          <w:p w:rsidR="00ED39BD" w:rsidRPr="002C647A" w:rsidRDefault="00ED39BD">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Eskom Matimba</w:t>
            </w:r>
          </w:p>
        </w:tc>
        <w:tc>
          <w:tcPr>
            <w:tcW w:w="1261"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2410"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r>
      <w:tr w:rsidR="00ED39BD"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1551" w:type="dxa"/>
            <w:tcBorders>
              <w:top w:val="nil"/>
              <w:left w:val="nil"/>
              <w:bottom w:val="single" w:sz="4" w:space="0" w:color="auto"/>
              <w:right w:val="single" w:sz="4" w:space="0" w:color="auto"/>
            </w:tcBorders>
            <w:shd w:val="clear" w:color="auto" w:fill="auto"/>
            <w:vAlign w:val="bottom"/>
          </w:tcPr>
          <w:p w:rsidR="00ED39BD" w:rsidRPr="002C647A" w:rsidRDefault="00ED39BD">
            <w:pPr>
              <w:jc w:val="right"/>
              <w:rPr>
                <w:rFonts w:ascii="Arial Narrow" w:hAnsi="Arial Narrow"/>
                <w:color w:val="000000"/>
                <w:sz w:val="20"/>
                <w:szCs w:val="20"/>
              </w:rPr>
            </w:pPr>
          </w:p>
        </w:tc>
        <w:tc>
          <w:tcPr>
            <w:tcW w:w="1502"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377" w:type="dxa"/>
            <w:vMerge/>
            <w:tcBorders>
              <w:top w:val="single" w:sz="4" w:space="0" w:color="auto"/>
              <w:left w:val="single" w:sz="4" w:space="0" w:color="auto"/>
              <w:bottom w:val="single" w:sz="4" w:space="0" w:color="auto"/>
              <w:right w:val="single" w:sz="4" w:space="0" w:color="auto"/>
            </w:tcBorders>
            <w:vAlign w:val="center"/>
          </w:tcPr>
          <w:p w:rsidR="00ED39BD" w:rsidRPr="002C647A" w:rsidRDefault="00ED39BD">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Eskom Medupi</w:t>
            </w:r>
          </w:p>
        </w:tc>
        <w:tc>
          <w:tcPr>
            <w:tcW w:w="1261"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1</w:t>
            </w:r>
          </w:p>
        </w:tc>
        <w:tc>
          <w:tcPr>
            <w:tcW w:w="1321" w:type="dxa"/>
            <w:tcBorders>
              <w:top w:val="nil"/>
              <w:left w:val="nil"/>
              <w:bottom w:val="single" w:sz="4" w:space="0" w:color="auto"/>
              <w:right w:val="single" w:sz="4" w:space="0" w:color="auto"/>
            </w:tcBorders>
            <w:shd w:val="clear" w:color="auto" w:fill="auto"/>
            <w:vAlign w:val="bottom"/>
          </w:tcPr>
          <w:p w:rsidR="00ED39BD" w:rsidRDefault="00ED39BD">
            <w:pPr>
              <w:rPr>
                <w:rFonts w:ascii="Arial Narrow" w:hAnsi="Arial Narrow"/>
                <w:color w:val="000000"/>
                <w:sz w:val="20"/>
                <w:szCs w:val="20"/>
              </w:rPr>
            </w:pPr>
            <w:r>
              <w:rPr>
                <w:rFonts w:ascii="Arial Narrow" w:hAnsi="Arial Narrow"/>
                <w:color w:val="000000"/>
                <w:sz w:val="20"/>
                <w:szCs w:val="20"/>
              </w:rPr>
              <w:t>Pending</w:t>
            </w:r>
          </w:p>
        </w:tc>
        <w:tc>
          <w:tcPr>
            <w:tcW w:w="1985"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c>
          <w:tcPr>
            <w:tcW w:w="2410" w:type="dxa"/>
            <w:tcBorders>
              <w:top w:val="nil"/>
              <w:left w:val="nil"/>
              <w:bottom w:val="single" w:sz="4" w:space="0" w:color="auto"/>
              <w:right w:val="single" w:sz="4" w:space="0" w:color="auto"/>
            </w:tcBorders>
            <w:shd w:val="clear" w:color="auto" w:fill="auto"/>
            <w:vAlign w:val="bottom"/>
          </w:tcPr>
          <w:p w:rsidR="00ED39BD" w:rsidRPr="002C647A" w:rsidRDefault="00ED39BD">
            <w:pPr>
              <w:rPr>
                <w:rFonts w:ascii="Arial Narrow" w:hAnsi="Arial Narrow"/>
                <w:color w:val="000000"/>
                <w:sz w:val="20"/>
                <w:szCs w:val="20"/>
              </w:rPr>
            </w:pPr>
          </w:p>
        </w:tc>
      </w:tr>
      <w:tr w:rsidR="00FA5FF7"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b/>
                <w:bCs/>
                <w:color w:val="000000"/>
                <w:sz w:val="20"/>
                <w:szCs w:val="20"/>
              </w:rPr>
            </w:pPr>
            <w:r w:rsidRPr="002C647A">
              <w:rPr>
                <w:rFonts w:ascii="Arial Narrow" w:hAnsi="Arial Narrow"/>
                <w:b/>
                <w:bCs/>
                <w:color w:val="000000"/>
                <w:sz w:val="20"/>
                <w:szCs w:val="20"/>
              </w:rPr>
              <w:t>Total</w:t>
            </w:r>
          </w:p>
        </w:tc>
        <w:tc>
          <w:tcPr>
            <w:tcW w:w="1551"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jc w:val="right"/>
              <w:rPr>
                <w:rFonts w:ascii="Arial Narrow" w:hAnsi="Arial Narrow"/>
                <w:b/>
                <w:bCs/>
                <w:color w:val="000000"/>
                <w:sz w:val="20"/>
                <w:szCs w:val="20"/>
              </w:rPr>
            </w:pPr>
            <w:r w:rsidRPr="002C647A">
              <w:rPr>
                <w:rFonts w:ascii="Arial Narrow" w:hAnsi="Arial Narrow"/>
                <w:b/>
                <w:bCs/>
                <w:color w:val="000000"/>
                <w:sz w:val="20"/>
                <w:szCs w:val="20"/>
              </w:rPr>
              <w:t>33</w:t>
            </w:r>
          </w:p>
        </w:tc>
        <w:tc>
          <w:tcPr>
            <w:tcW w:w="1502"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FA5FF7" w:rsidRPr="002C647A" w:rsidRDefault="00FA5FF7" w:rsidP="00FA5FF7">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b/>
                <w:bCs/>
                <w:color w:val="000000"/>
                <w:sz w:val="20"/>
                <w:szCs w:val="20"/>
              </w:rPr>
            </w:pPr>
            <w:r w:rsidRPr="002C647A">
              <w:rPr>
                <w:rFonts w:ascii="Arial Narrow" w:hAnsi="Arial Narrow"/>
                <w:b/>
                <w:bCs/>
                <w:color w:val="000000"/>
                <w:sz w:val="20"/>
                <w:szCs w:val="20"/>
              </w:rPr>
              <w:t>Total</w:t>
            </w:r>
          </w:p>
        </w:tc>
        <w:tc>
          <w:tcPr>
            <w:tcW w:w="1261"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jc w:val="right"/>
              <w:rPr>
                <w:rFonts w:ascii="Arial Narrow" w:hAnsi="Arial Narrow"/>
                <w:b/>
                <w:bCs/>
                <w:color w:val="000000"/>
                <w:sz w:val="20"/>
                <w:szCs w:val="20"/>
              </w:rPr>
            </w:pPr>
            <w:r w:rsidRPr="002C647A">
              <w:rPr>
                <w:rFonts w:ascii="Arial Narrow" w:hAnsi="Arial Narrow"/>
                <w:b/>
                <w:bCs/>
                <w:color w:val="000000"/>
                <w:sz w:val="20"/>
                <w:szCs w:val="20"/>
              </w:rPr>
              <w:t>14</w:t>
            </w:r>
            <w:r w:rsidR="00ED39BD">
              <w:rPr>
                <w:rFonts w:ascii="Arial Narrow" w:hAnsi="Arial Narrow"/>
                <w:b/>
                <w:bCs/>
                <w:color w:val="000000"/>
                <w:sz w:val="20"/>
                <w:szCs w:val="20"/>
              </w:rPr>
              <w:t>/21</w:t>
            </w:r>
          </w:p>
        </w:tc>
        <w:tc>
          <w:tcPr>
            <w:tcW w:w="1321"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r>
      <w:tr w:rsidR="00FA5FF7" w:rsidRPr="002C647A" w:rsidTr="002C647A">
        <w:trPr>
          <w:trHeight w:val="315"/>
        </w:trPr>
        <w:tc>
          <w:tcPr>
            <w:tcW w:w="1855" w:type="dxa"/>
            <w:tcBorders>
              <w:top w:val="nil"/>
              <w:left w:val="single" w:sz="4" w:space="0" w:color="auto"/>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1551"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1502"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FA5FF7" w:rsidRPr="002C647A" w:rsidRDefault="00FA5FF7" w:rsidP="00FA5FF7">
            <w:pPr>
              <w:rPr>
                <w:rFonts w:ascii="Arial Narrow" w:hAnsi="Arial Narrow"/>
                <w:color w:val="000000"/>
                <w:sz w:val="20"/>
                <w:szCs w:val="20"/>
              </w:rPr>
            </w:pPr>
          </w:p>
        </w:tc>
        <w:tc>
          <w:tcPr>
            <w:tcW w:w="1767"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1321"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r>
      <w:tr w:rsidR="00FA5FF7" w:rsidRPr="002C647A" w:rsidTr="00FA5FF7">
        <w:trPr>
          <w:trHeight w:val="990"/>
        </w:trPr>
        <w:tc>
          <w:tcPr>
            <w:tcW w:w="4908" w:type="dxa"/>
            <w:gridSpan w:val="3"/>
            <w:tcBorders>
              <w:top w:val="single" w:sz="4" w:space="0" w:color="auto"/>
              <w:left w:val="single" w:sz="4" w:space="0" w:color="auto"/>
              <w:bottom w:val="single" w:sz="4" w:space="0" w:color="auto"/>
              <w:right w:val="single" w:sz="4" w:space="0" w:color="auto"/>
            </w:tcBorders>
            <w:shd w:val="clear" w:color="auto" w:fill="auto"/>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Note: Total applications received for the first batch is 33 and postponement decision issued is 33</w:t>
            </w:r>
          </w:p>
        </w:tc>
        <w:tc>
          <w:tcPr>
            <w:tcW w:w="377" w:type="dxa"/>
            <w:tcBorders>
              <w:top w:val="nil"/>
              <w:left w:val="nil"/>
              <w:bottom w:val="single" w:sz="4" w:space="0" w:color="auto"/>
              <w:right w:val="single" w:sz="4" w:space="0" w:color="auto"/>
            </w:tcBorders>
            <w:shd w:val="clear" w:color="000000" w:fill="D9D9D9"/>
            <w:noWrap/>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 </w:t>
            </w:r>
          </w:p>
        </w:tc>
        <w:tc>
          <w:tcPr>
            <w:tcW w:w="8744" w:type="dxa"/>
            <w:gridSpan w:val="5"/>
            <w:tcBorders>
              <w:top w:val="single" w:sz="4" w:space="0" w:color="auto"/>
              <w:left w:val="nil"/>
              <w:bottom w:val="single" w:sz="4" w:space="0" w:color="auto"/>
              <w:right w:val="single" w:sz="4" w:space="0" w:color="000000"/>
            </w:tcBorders>
            <w:shd w:val="clear" w:color="auto" w:fill="auto"/>
            <w:hideMark/>
          </w:tcPr>
          <w:p w:rsidR="00FA5FF7" w:rsidRPr="002C647A" w:rsidRDefault="00FA5FF7" w:rsidP="00FA5FF7">
            <w:pPr>
              <w:rPr>
                <w:rFonts w:ascii="Arial Narrow" w:hAnsi="Arial Narrow"/>
                <w:color w:val="000000"/>
                <w:sz w:val="20"/>
                <w:szCs w:val="20"/>
              </w:rPr>
            </w:pPr>
            <w:r w:rsidRPr="002C647A">
              <w:rPr>
                <w:rFonts w:ascii="Arial Narrow" w:hAnsi="Arial Narrow"/>
                <w:color w:val="000000"/>
                <w:sz w:val="20"/>
                <w:szCs w:val="20"/>
              </w:rPr>
              <w:t>Note: Total applications received thu</w:t>
            </w:r>
            <w:r w:rsidR="00200BBF">
              <w:rPr>
                <w:rFonts w:ascii="Arial Narrow" w:hAnsi="Arial Narrow"/>
                <w:color w:val="000000"/>
                <w:sz w:val="20"/>
                <w:szCs w:val="20"/>
              </w:rPr>
              <w:t>s far for the second batch is 21</w:t>
            </w:r>
            <w:r w:rsidRPr="002C647A">
              <w:rPr>
                <w:rFonts w:ascii="Arial Narrow" w:hAnsi="Arial Narrow"/>
                <w:color w:val="000000"/>
                <w:sz w:val="20"/>
                <w:szCs w:val="20"/>
              </w:rPr>
              <w:t xml:space="preserve"> and postponement decision issued is 14</w:t>
            </w:r>
          </w:p>
        </w:tc>
      </w:tr>
    </w:tbl>
    <w:p w:rsidR="00FA5FF7" w:rsidRDefault="00FA5FF7" w:rsidP="00EC1D98">
      <w:pPr>
        <w:spacing w:line="360" w:lineRule="auto"/>
        <w:contextualSpacing/>
        <w:jc w:val="both"/>
        <w:rPr>
          <w:rFonts w:ascii="Arial Narrow" w:hAnsi="Arial Narrow" w:cs="Arial"/>
          <w:b/>
        </w:rPr>
      </w:pPr>
    </w:p>
    <w:tbl>
      <w:tblPr>
        <w:tblW w:w="0" w:type="auto"/>
        <w:tblInd w:w="87" w:type="dxa"/>
        <w:tblBorders>
          <w:top w:val="single" w:sz="4" w:space="0" w:color="auto"/>
        </w:tblBorders>
        <w:tblLook w:val="0000"/>
      </w:tblPr>
      <w:tblGrid>
        <w:gridCol w:w="13912"/>
      </w:tblGrid>
      <w:tr w:rsidR="00FA5FF7" w:rsidTr="00FA5FF7">
        <w:trPr>
          <w:trHeight w:val="100"/>
        </w:trPr>
        <w:tc>
          <w:tcPr>
            <w:tcW w:w="13912" w:type="dxa"/>
          </w:tcPr>
          <w:p w:rsidR="00FA5FF7" w:rsidRDefault="00FA5FF7" w:rsidP="00EC1D98">
            <w:pPr>
              <w:spacing w:line="360" w:lineRule="auto"/>
              <w:contextualSpacing/>
              <w:jc w:val="both"/>
              <w:rPr>
                <w:rFonts w:ascii="Arial Narrow" w:hAnsi="Arial Narrow" w:cs="Arial"/>
                <w:b/>
              </w:rPr>
            </w:pPr>
          </w:p>
        </w:tc>
      </w:tr>
    </w:tbl>
    <w:p w:rsidR="002C647A" w:rsidRDefault="002C647A" w:rsidP="00EC1D98">
      <w:pPr>
        <w:spacing w:line="360" w:lineRule="auto"/>
        <w:contextualSpacing/>
        <w:jc w:val="both"/>
        <w:rPr>
          <w:rFonts w:ascii="Arial Narrow" w:hAnsi="Arial Narrow" w:cs="Arial"/>
          <w:b/>
        </w:rPr>
      </w:pPr>
    </w:p>
    <w:p w:rsidR="00837C7A" w:rsidRDefault="00FA5FF7" w:rsidP="00FA5FF7">
      <w:pPr>
        <w:tabs>
          <w:tab w:val="left" w:pos="1515"/>
        </w:tabs>
        <w:spacing w:line="360" w:lineRule="auto"/>
        <w:contextualSpacing/>
        <w:jc w:val="both"/>
        <w:rPr>
          <w:rFonts w:ascii="Arial Narrow" w:hAnsi="Arial Narrow" w:cs="Arial"/>
          <w:b/>
        </w:rPr>
      </w:pPr>
      <w:r>
        <w:rPr>
          <w:rFonts w:ascii="Arial Narrow" w:hAnsi="Arial Narrow" w:cs="Arial"/>
          <w:b/>
        </w:rPr>
        <w:tab/>
      </w:r>
    </w:p>
    <w:p w:rsidR="00EC1D98" w:rsidRPr="00EC1D98" w:rsidRDefault="00837C7A" w:rsidP="00EC1D98">
      <w:pPr>
        <w:spacing w:line="360" w:lineRule="auto"/>
        <w:contextualSpacing/>
        <w:jc w:val="both"/>
        <w:rPr>
          <w:rFonts w:ascii="Arial Narrow" w:hAnsi="Arial Narrow" w:cs="Arial"/>
          <w:b/>
        </w:rPr>
      </w:pPr>
      <w:r>
        <w:rPr>
          <w:rFonts w:ascii="Arial Narrow" w:hAnsi="Arial Narrow" w:cs="Arial"/>
          <w:b/>
        </w:rPr>
        <w:t>ANNEXURE B</w:t>
      </w:r>
      <w:r w:rsidR="006D1DFD">
        <w:rPr>
          <w:rFonts w:ascii="Arial Narrow" w:hAnsi="Arial Narrow" w:cs="Arial"/>
          <w:b/>
        </w:rPr>
        <w:t xml:space="preserve">: </w:t>
      </w:r>
      <w:r w:rsidR="00EC1D98" w:rsidRPr="00EC1D98">
        <w:rPr>
          <w:rFonts w:ascii="Arial Narrow" w:hAnsi="Arial Narrow" w:cs="Arial"/>
          <w:b/>
        </w:rPr>
        <w:t>PROGRESS UPDATE ON THE STATUS OF POSTPONEMENT O</w:t>
      </w:r>
      <w:r w:rsidR="004E53B6">
        <w:rPr>
          <w:rFonts w:ascii="Arial Narrow" w:hAnsi="Arial Narrow" w:cs="Arial"/>
          <w:b/>
        </w:rPr>
        <w:t>F COMPLIANCE TIME FRAMES FOR APPROVED APPLICATIONS (1</w:t>
      </w:r>
      <w:r w:rsidR="004E53B6" w:rsidRPr="004E53B6">
        <w:rPr>
          <w:rFonts w:ascii="Arial Narrow" w:hAnsi="Arial Narrow" w:cs="Arial"/>
          <w:b/>
          <w:vertAlign w:val="superscript"/>
        </w:rPr>
        <w:t>st</w:t>
      </w:r>
      <w:r w:rsidR="004E53B6">
        <w:rPr>
          <w:rFonts w:ascii="Arial Narrow" w:hAnsi="Arial Narrow" w:cs="Arial"/>
          <w:b/>
        </w:rPr>
        <w:t xml:space="preserve"> BATCH)</w:t>
      </w:r>
    </w:p>
    <w:p w:rsidR="003D1D1E" w:rsidRDefault="003D1D1E" w:rsidP="000B7092">
      <w:pPr>
        <w:spacing w:line="360" w:lineRule="auto"/>
        <w:contextualSpacing/>
        <w:jc w:val="both"/>
        <w:rPr>
          <w:rFonts w:ascii="Arial Narrow" w:hAnsi="Arial Narrow" w:cs="Arial"/>
          <w:b/>
        </w:rPr>
      </w:pPr>
    </w:p>
    <w:p w:rsidR="00A815FB" w:rsidRDefault="003D1D1E" w:rsidP="000B7092">
      <w:pPr>
        <w:spacing w:line="360" w:lineRule="auto"/>
        <w:contextualSpacing/>
        <w:jc w:val="both"/>
        <w:rPr>
          <w:rFonts w:ascii="Arial Narrow" w:hAnsi="Arial Narrow" w:cs="Arial"/>
          <w:b/>
        </w:rPr>
      </w:pPr>
      <w:r>
        <w:rPr>
          <w:rFonts w:ascii="Arial Narrow" w:hAnsi="Arial Narrow" w:cs="Arial"/>
          <w:b/>
        </w:rPr>
        <w:t>Table 1</w:t>
      </w:r>
      <w:r w:rsidR="00C34EE1">
        <w:rPr>
          <w:rFonts w:ascii="Arial Narrow" w:hAnsi="Arial Narrow" w:cs="Arial"/>
          <w:b/>
        </w:rPr>
        <w:t>A</w:t>
      </w:r>
      <w:r>
        <w:rPr>
          <w:rFonts w:ascii="Arial Narrow" w:hAnsi="Arial Narrow" w:cs="Arial"/>
          <w:b/>
        </w:rPr>
        <w:t>:</w:t>
      </w:r>
      <w:r w:rsidR="00EC1D98">
        <w:rPr>
          <w:rFonts w:ascii="Arial Narrow" w:hAnsi="Arial Narrow" w:cs="Arial"/>
          <w:b/>
        </w:rPr>
        <w:t xml:space="preserve"> Eskom Power Stations:</w:t>
      </w:r>
      <w:r>
        <w:rPr>
          <w:rFonts w:ascii="Arial Narrow" w:hAnsi="Arial Narrow" w:cs="Arial"/>
          <w:b/>
        </w:rPr>
        <w:t xml:space="preserve"> Progress report on the 7 power stations for which compliance commitments were made</w:t>
      </w:r>
    </w:p>
    <w:tbl>
      <w:tblPr>
        <w:tblpPr w:leftFromText="180" w:rightFromText="180" w:vertAnchor="text"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679"/>
        <w:gridCol w:w="1810"/>
        <w:gridCol w:w="1908"/>
        <w:gridCol w:w="3605"/>
        <w:gridCol w:w="3395"/>
      </w:tblGrid>
      <w:tr w:rsidR="00055F66" w:rsidRPr="0023409C" w:rsidTr="00400EA9">
        <w:tc>
          <w:tcPr>
            <w:tcW w:w="1783" w:type="dxa"/>
            <w:shd w:val="clear" w:color="auto" w:fill="D9D9D9" w:themeFill="background1" w:themeFillShade="D9"/>
          </w:tcPr>
          <w:p w:rsidR="00055F66" w:rsidRPr="0023409C" w:rsidRDefault="00055F66" w:rsidP="007E47BE">
            <w:pPr>
              <w:contextualSpacing/>
              <w:jc w:val="both"/>
              <w:rPr>
                <w:rFonts w:ascii="Arial Narrow" w:hAnsi="Arial Narrow" w:cs="Arial"/>
                <w:b/>
                <w:sz w:val="20"/>
                <w:szCs w:val="20"/>
              </w:rPr>
            </w:pPr>
            <w:r w:rsidRPr="0023409C">
              <w:rPr>
                <w:rFonts w:ascii="Arial Narrow" w:hAnsi="Arial Narrow" w:cs="Arial"/>
                <w:b/>
                <w:sz w:val="20"/>
                <w:szCs w:val="20"/>
              </w:rPr>
              <w:t>POWER STATTION</w:t>
            </w:r>
          </w:p>
        </w:tc>
        <w:tc>
          <w:tcPr>
            <w:tcW w:w="1679" w:type="dxa"/>
            <w:shd w:val="clear" w:color="auto" w:fill="D9D9D9" w:themeFill="background1" w:themeFillShade="D9"/>
          </w:tcPr>
          <w:p w:rsidR="00055F66" w:rsidRPr="0023409C" w:rsidRDefault="00055F66" w:rsidP="007E47BE">
            <w:pPr>
              <w:contextualSpacing/>
              <w:jc w:val="both"/>
              <w:rPr>
                <w:rFonts w:ascii="Arial Narrow" w:hAnsi="Arial Narrow" w:cs="Arial"/>
                <w:b/>
                <w:sz w:val="20"/>
                <w:szCs w:val="20"/>
              </w:rPr>
            </w:pPr>
            <w:r w:rsidRPr="0023409C">
              <w:rPr>
                <w:rFonts w:ascii="Arial Narrow" w:hAnsi="Arial Narrow" w:cs="Arial"/>
                <w:b/>
                <w:sz w:val="20"/>
                <w:szCs w:val="20"/>
              </w:rPr>
              <w:t xml:space="preserve">Postponement period granted </w:t>
            </w:r>
          </w:p>
        </w:tc>
        <w:tc>
          <w:tcPr>
            <w:tcW w:w="1810" w:type="dxa"/>
            <w:shd w:val="clear" w:color="auto" w:fill="D9D9D9" w:themeFill="background1" w:themeFillShade="D9"/>
          </w:tcPr>
          <w:p w:rsidR="00055F66" w:rsidRPr="0023409C" w:rsidRDefault="00055F66" w:rsidP="007E47BE">
            <w:pPr>
              <w:contextualSpacing/>
              <w:rPr>
                <w:rFonts w:ascii="Arial Narrow" w:hAnsi="Arial Narrow" w:cs="Arial"/>
                <w:b/>
                <w:sz w:val="20"/>
                <w:szCs w:val="20"/>
              </w:rPr>
            </w:pPr>
            <w:r w:rsidRPr="0023409C">
              <w:rPr>
                <w:rFonts w:ascii="Arial Narrow" w:hAnsi="Arial Narrow" w:cs="Arial"/>
                <w:b/>
                <w:sz w:val="20"/>
                <w:szCs w:val="20"/>
              </w:rPr>
              <w:t>LIMIT GRANTED wrt pollutant</w:t>
            </w:r>
            <w:r>
              <w:rPr>
                <w:rFonts w:ascii="Arial Narrow" w:hAnsi="Arial Narrow" w:cs="Arial"/>
                <w:b/>
                <w:sz w:val="20"/>
                <w:szCs w:val="20"/>
              </w:rPr>
              <w:t>/</w:t>
            </w:r>
            <w:r w:rsidRPr="0023409C">
              <w:rPr>
                <w:rFonts w:ascii="Arial Narrow" w:hAnsi="Arial Narrow" w:cs="Arial"/>
                <w:b/>
                <w:sz w:val="20"/>
                <w:szCs w:val="20"/>
              </w:rPr>
              <w:t>s</w:t>
            </w:r>
          </w:p>
        </w:tc>
        <w:tc>
          <w:tcPr>
            <w:tcW w:w="1908" w:type="dxa"/>
            <w:shd w:val="clear" w:color="auto" w:fill="D9D9D9" w:themeFill="background1" w:themeFillShade="D9"/>
          </w:tcPr>
          <w:p w:rsidR="00055F66" w:rsidRPr="0023409C" w:rsidRDefault="00055F66" w:rsidP="007E47BE">
            <w:pPr>
              <w:contextualSpacing/>
              <w:jc w:val="both"/>
              <w:rPr>
                <w:rFonts w:ascii="Arial Narrow" w:hAnsi="Arial Narrow" w:cs="Arial"/>
                <w:b/>
                <w:sz w:val="20"/>
                <w:szCs w:val="20"/>
              </w:rPr>
            </w:pPr>
            <w:r w:rsidRPr="0023409C">
              <w:rPr>
                <w:rFonts w:ascii="Arial Narrow" w:hAnsi="Arial Narrow" w:cs="Arial"/>
                <w:b/>
                <w:sz w:val="20"/>
                <w:szCs w:val="20"/>
              </w:rPr>
              <w:t>ACTIVITY TO MEET COMPLIANCE AND TARGET DATE</w:t>
            </w:r>
          </w:p>
        </w:tc>
        <w:tc>
          <w:tcPr>
            <w:tcW w:w="3605" w:type="dxa"/>
            <w:shd w:val="clear" w:color="auto" w:fill="D9D9D9" w:themeFill="background1" w:themeFillShade="D9"/>
          </w:tcPr>
          <w:p w:rsidR="00055F66" w:rsidRPr="0023409C" w:rsidRDefault="00055F66" w:rsidP="007E47BE">
            <w:pPr>
              <w:contextualSpacing/>
              <w:jc w:val="both"/>
              <w:rPr>
                <w:rFonts w:ascii="Arial Narrow" w:hAnsi="Arial Narrow" w:cs="Arial"/>
                <w:b/>
                <w:sz w:val="20"/>
                <w:szCs w:val="20"/>
              </w:rPr>
            </w:pPr>
            <w:r w:rsidRPr="0023409C">
              <w:rPr>
                <w:rFonts w:ascii="Arial Narrow" w:hAnsi="Arial Narrow" w:cs="Arial"/>
                <w:b/>
                <w:sz w:val="20"/>
                <w:szCs w:val="20"/>
              </w:rPr>
              <w:t>PROGRESS</w:t>
            </w:r>
          </w:p>
        </w:tc>
        <w:tc>
          <w:tcPr>
            <w:tcW w:w="3395" w:type="dxa"/>
            <w:shd w:val="clear" w:color="auto" w:fill="D9D9D9" w:themeFill="background1" w:themeFillShade="D9"/>
          </w:tcPr>
          <w:p w:rsidR="00055F66" w:rsidRPr="0023409C" w:rsidRDefault="00055F66" w:rsidP="007E47BE">
            <w:pPr>
              <w:contextualSpacing/>
              <w:jc w:val="both"/>
              <w:rPr>
                <w:rFonts w:ascii="Arial Narrow" w:hAnsi="Arial Narrow" w:cs="Arial"/>
                <w:b/>
                <w:sz w:val="20"/>
                <w:szCs w:val="20"/>
              </w:rPr>
            </w:pPr>
            <w:r>
              <w:rPr>
                <w:rFonts w:ascii="Arial Narrow" w:hAnsi="Arial Narrow" w:cs="Arial"/>
                <w:b/>
                <w:sz w:val="20"/>
                <w:szCs w:val="20"/>
              </w:rPr>
              <w:t>COMMENT</w:t>
            </w:r>
          </w:p>
        </w:tc>
      </w:tr>
      <w:tr w:rsidR="00055F66" w:rsidRPr="0023409C" w:rsidTr="00400EA9">
        <w:tc>
          <w:tcPr>
            <w:tcW w:w="1783" w:type="dxa"/>
          </w:tcPr>
          <w:p w:rsidR="00055F66" w:rsidRPr="0023409C" w:rsidRDefault="00055F66" w:rsidP="007E47BE">
            <w:pPr>
              <w:contextualSpacing/>
              <w:jc w:val="both"/>
              <w:rPr>
                <w:rFonts w:ascii="Arial Narrow" w:hAnsi="Arial Narrow" w:cs="Arial"/>
                <w:sz w:val="20"/>
                <w:szCs w:val="20"/>
              </w:rPr>
            </w:pPr>
            <w:r w:rsidRPr="0023409C">
              <w:rPr>
                <w:rFonts w:ascii="Arial Narrow" w:hAnsi="Arial Narrow" w:cs="Arial"/>
                <w:sz w:val="20"/>
                <w:szCs w:val="20"/>
              </w:rPr>
              <w:t>Medupi</w:t>
            </w:r>
          </w:p>
        </w:tc>
        <w:tc>
          <w:tcPr>
            <w:tcW w:w="1679" w:type="dxa"/>
          </w:tcPr>
          <w:p w:rsidR="00055F66" w:rsidRPr="00F27F5D" w:rsidRDefault="00055F66" w:rsidP="007B6E30">
            <w:pPr>
              <w:contextualSpacing/>
              <w:rPr>
                <w:rFonts w:ascii="Arial Narrow" w:hAnsi="Arial Narrow" w:cs="Arial"/>
                <w:sz w:val="20"/>
                <w:szCs w:val="20"/>
              </w:rPr>
            </w:pPr>
            <w:r w:rsidRPr="00F27F5D">
              <w:rPr>
                <w:rFonts w:ascii="Arial Narrow" w:hAnsi="Arial Narrow" w:cs="Arial"/>
                <w:sz w:val="20"/>
                <w:szCs w:val="20"/>
              </w:rPr>
              <w:t xml:space="preserve">1 April 2020-31 March 2025 </w:t>
            </w:r>
          </w:p>
        </w:tc>
        <w:tc>
          <w:tcPr>
            <w:tcW w:w="1810" w:type="dxa"/>
          </w:tcPr>
          <w:p w:rsidR="00055F66" w:rsidRPr="0023409C" w:rsidRDefault="00055F66" w:rsidP="007E47BE">
            <w:pPr>
              <w:contextualSpacing/>
              <w:jc w:val="both"/>
              <w:rPr>
                <w:rFonts w:ascii="Arial Narrow" w:hAnsi="Arial Narrow" w:cs="Arial"/>
                <w:sz w:val="20"/>
                <w:szCs w:val="20"/>
                <w:lang w:val="en-ZA"/>
              </w:rPr>
            </w:pPr>
            <w:r>
              <w:rPr>
                <w:rFonts w:ascii="Arial Narrow" w:hAnsi="Arial Narrow" w:cs="Arial"/>
                <w:sz w:val="20"/>
                <w:szCs w:val="20"/>
                <w:lang w:val="en-ZA"/>
              </w:rPr>
              <w:t>SO</w:t>
            </w:r>
            <w:r w:rsidRPr="0023409C">
              <w:rPr>
                <w:rFonts w:ascii="Arial Narrow" w:hAnsi="Arial Narrow" w:cs="Arial"/>
                <w:sz w:val="20"/>
                <w:szCs w:val="20"/>
                <w:vertAlign w:val="subscript"/>
                <w:lang w:val="en-ZA"/>
              </w:rPr>
              <w:t>2</w:t>
            </w:r>
            <w:r>
              <w:rPr>
                <w:rFonts w:ascii="Arial Narrow" w:hAnsi="Arial Narrow" w:cs="Arial"/>
                <w:sz w:val="20"/>
                <w:szCs w:val="20"/>
                <w:lang w:val="en-ZA"/>
              </w:rPr>
              <w:t xml:space="preserve">: </w:t>
            </w:r>
            <w:r w:rsidRPr="0023409C">
              <w:rPr>
                <w:rFonts w:ascii="Arial Narrow" w:hAnsi="Arial Narrow" w:cs="Arial"/>
                <w:sz w:val="20"/>
                <w:szCs w:val="20"/>
                <w:lang w:val="en-ZA"/>
              </w:rPr>
              <w:t>3500mg/Nm</w:t>
            </w:r>
            <w:r w:rsidRPr="0023409C">
              <w:rPr>
                <w:rFonts w:ascii="Arial Narrow" w:hAnsi="Arial Narrow" w:cs="Arial"/>
                <w:sz w:val="20"/>
                <w:szCs w:val="20"/>
                <w:vertAlign w:val="superscript"/>
                <w:lang w:val="en-ZA"/>
              </w:rPr>
              <w:t>3</w:t>
            </w:r>
          </w:p>
          <w:p w:rsidR="00055F66" w:rsidRPr="0023409C" w:rsidRDefault="00055F66" w:rsidP="007E47BE">
            <w:pPr>
              <w:contextualSpacing/>
              <w:jc w:val="both"/>
              <w:rPr>
                <w:rFonts w:ascii="Arial Narrow" w:hAnsi="Arial Narrow" w:cs="Arial"/>
                <w:sz w:val="20"/>
                <w:szCs w:val="20"/>
              </w:rPr>
            </w:pPr>
          </w:p>
        </w:tc>
        <w:tc>
          <w:tcPr>
            <w:tcW w:w="1908" w:type="dxa"/>
          </w:tcPr>
          <w:p w:rsidR="00055F66" w:rsidRPr="0023409C" w:rsidRDefault="00055F66" w:rsidP="007E47BE">
            <w:pPr>
              <w:contextualSpacing/>
              <w:jc w:val="both"/>
              <w:rPr>
                <w:rFonts w:ascii="Arial Narrow" w:hAnsi="Arial Narrow" w:cs="Arial"/>
                <w:sz w:val="20"/>
                <w:szCs w:val="20"/>
              </w:rPr>
            </w:pPr>
            <w:r>
              <w:rPr>
                <w:rFonts w:ascii="Arial Narrow" w:hAnsi="Arial Narrow" w:cs="Arial"/>
                <w:sz w:val="20"/>
                <w:szCs w:val="20"/>
              </w:rPr>
              <w:t>Retrofit-FGD</w:t>
            </w:r>
          </w:p>
        </w:tc>
        <w:tc>
          <w:tcPr>
            <w:tcW w:w="3605" w:type="dxa"/>
          </w:tcPr>
          <w:p w:rsidR="00055F66" w:rsidRPr="00055F66" w:rsidRDefault="00055F66" w:rsidP="00B72FA2">
            <w:pPr>
              <w:pStyle w:val="ListParagraph"/>
              <w:numPr>
                <w:ilvl w:val="0"/>
                <w:numId w:val="3"/>
              </w:numPr>
              <w:ind w:left="220" w:hanging="283"/>
              <w:jc w:val="both"/>
              <w:rPr>
                <w:rFonts w:ascii="Arial Narrow" w:hAnsi="Arial Narrow" w:cs="Arial"/>
                <w:sz w:val="20"/>
                <w:szCs w:val="20"/>
                <w:lang w:val="en-ZA"/>
              </w:rPr>
            </w:pPr>
            <w:r w:rsidRPr="00055F66">
              <w:rPr>
                <w:rFonts w:ascii="Arial Narrow" w:hAnsi="Arial Narrow" w:cs="Arial"/>
                <w:sz w:val="20"/>
                <w:szCs w:val="20"/>
                <w:lang w:val="en-ZA"/>
              </w:rPr>
              <w:t xml:space="preserve">FGD process basic design has been completed.  </w:t>
            </w:r>
          </w:p>
          <w:p w:rsidR="00055F66" w:rsidRPr="00055F66" w:rsidRDefault="00055F66" w:rsidP="00B72FA2">
            <w:pPr>
              <w:pStyle w:val="ListParagraph"/>
              <w:numPr>
                <w:ilvl w:val="0"/>
                <w:numId w:val="3"/>
              </w:numPr>
              <w:ind w:left="220" w:hanging="283"/>
              <w:jc w:val="both"/>
              <w:rPr>
                <w:rFonts w:ascii="Arial Narrow" w:hAnsi="Arial Narrow" w:cs="Arial"/>
                <w:sz w:val="20"/>
                <w:szCs w:val="20"/>
                <w:lang w:val="en-ZA"/>
              </w:rPr>
            </w:pPr>
            <w:r w:rsidRPr="00055F66">
              <w:rPr>
                <w:rFonts w:ascii="Arial Narrow" w:hAnsi="Arial Narrow" w:cs="Arial"/>
                <w:sz w:val="20"/>
                <w:szCs w:val="20"/>
                <w:lang w:val="en-ZA"/>
              </w:rPr>
              <w:t xml:space="preserve">Planning to conduct detail design work has been initiated. </w:t>
            </w:r>
          </w:p>
          <w:p w:rsidR="00055F66" w:rsidRPr="00055F66" w:rsidRDefault="00055F66" w:rsidP="00B72FA2">
            <w:pPr>
              <w:pStyle w:val="ListParagraph"/>
              <w:numPr>
                <w:ilvl w:val="0"/>
                <w:numId w:val="3"/>
              </w:numPr>
              <w:ind w:left="220" w:hanging="283"/>
              <w:jc w:val="both"/>
              <w:rPr>
                <w:rFonts w:ascii="Arial Narrow" w:hAnsi="Arial Narrow" w:cs="Arial"/>
                <w:sz w:val="20"/>
                <w:szCs w:val="20"/>
                <w:lang w:val="en-ZA"/>
              </w:rPr>
            </w:pPr>
            <w:r w:rsidRPr="00055F66">
              <w:rPr>
                <w:rFonts w:ascii="Arial Narrow" w:hAnsi="Arial Narrow" w:cs="Arial"/>
                <w:sz w:val="20"/>
                <w:szCs w:val="20"/>
                <w:lang w:val="en-ZA"/>
              </w:rPr>
              <w:t>Rail siding detail designs has been completed. Specialist studies has been completed and highlighted risks with the proposed permanent disposal options evaluated.</w:t>
            </w:r>
          </w:p>
          <w:p w:rsidR="00055F66" w:rsidRPr="0023409C" w:rsidRDefault="00055F66" w:rsidP="007E47BE">
            <w:pPr>
              <w:contextualSpacing/>
              <w:jc w:val="both"/>
              <w:rPr>
                <w:rFonts w:ascii="Arial Narrow" w:hAnsi="Arial Narrow" w:cs="Arial"/>
                <w:sz w:val="20"/>
                <w:szCs w:val="20"/>
              </w:rPr>
            </w:pPr>
          </w:p>
        </w:tc>
        <w:tc>
          <w:tcPr>
            <w:tcW w:w="3395" w:type="dxa"/>
          </w:tcPr>
          <w:p w:rsidR="00055F66" w:rsidRPr="0023409C" w:rsidRDefault="002C140F" w:rsidP="007E47BE">
            <w:pPr>
              <w:contextualSpacing/>
              <w:jc w:val="both"/>
              <w:rPr>
                <w:rFonts w:ascii="Arial Narrow" w:hAnsi="Arial Narrow" w:cs="Arial"/>
                <w:sz w:val="20"/>
                <w:szCs w:val="20"/>
                <w:lang w:val="en-ZA"/>
              </w:rPr>
            </w:pPr>
            <w:r>
              <w:rPr>
                <w:rFonts w:ascii="Arial Narrow" w:hAnsi="Arial Narrow" w:cs="Arial"/>
                <w:sz w:val="20"/>
                <w:szCs w:val="20"/>
                <w:lang w:val="en-ZA"/>
              </w:rPr>
              <w:t xml:space="preserve">Still on track, even though construction delays due to the project management related matters </w:t>
            </w:r>
          </w:p>
        </w:tc>
      </w:tr>
      <w:tr w:rsidR="00191866" w:rsidRPr="0023409C" w:rsidTr="00400EA9">
        <w:tc>
          <w:tcPr>
            <w:tcW w:w="1783" w:type="dxa"/>
            <w:vMerge w:val="restart"/>
          </w:tcPr>
          <w:p w:rsidR="00191866" w:rsidRPr="0023409C" w:rsidRDefault="00191866" w:rsidP="007E47BE">
            <w:pPr>
              <w:contextualSpacing/>
              <w:jc w:val="both"/>
              <w:rPr>
                <w:rFonts w:ascii="Arial Narrow" w:hAnsi="Arial Narrow" w:cs="Arial"/>
                <w:sz w:val="20"/>
                <w:szCs w:val="20"/>
              </w:rPr>
            </w:pPr>
            <w:r>
              <w:rPr>
                <w:rFonts w:ascii="Arial Narrow" w:hAnsi="Arial Narrow" w:cs="Arial"/>
                <w:sz w:val="20"/>
                <w:szCs w:val="20"/>
              </w:rPr>
              <w:lastRenderedPageBreak/>
              <w:t>Majuba</w:t>
            </w:r>
          </w:p>
        </w:tc>
        <w:tc>
          <w:tcPr>
            <w:tcW w:w="1679" w:type="dxa"/>
          </w:tcPr>
          <w:p w:rsidR="00191866" w:rsidRPr="00F27F5D" w:rsidRDefault="00191866" w:rsidP="007E47BE">
            <w:pPr>
              <w:contextualSpacing/>
              <w:jc w:val="both"/>
              <w:rPr>
                <w:rFonts w:ascii="Arial Narrow" w:hAnsi="Arial Narrow" w:cs="Arial"/>
                <w:sz w:val="20"/>
                <w:szCs w:val="20"/>
              </w:rPr>
            </w:pPr>
            <w:r w:rsidRPr="00F27F5D">
              <w:rPr>
                <w:rFonts w:ascii="Arial Narrow" w:hAnsi="Arial Narrow" w:cs="Arial"/>
                <w:sz w:val="20"/>
                <w:szCs w:val="20"/>
              </w:rPr>
              <w:t xml:space="preserve">1 April 2020-31 March 2020 </w:t>
            </w:r>
          </w:p>
          <w:p w:rsidR="00191866" w:rsidRPr="00F27F5D" w:rsidRDefault="00191866" w:rsidP="007E47BE">
            <w:pPr>
              <w:contextualSpacing/>
              <w:jc w:val="both"/>
              <w:rPr>
                <w:rFonts w:ascii="Arial Narrow" w:hAnsi="Arial Narrow" w:cs="Arial"/>
                <w:sz w:val="20"/>
                <w:szCs w:val="20"/>
              </w:rPr>
            </w:pPr>
          </w:p>
        </w:tc>
        <w:tc>
          <w:tcPr>
            <w:tcW w:w="1810" w:type="dxa"/>
          </w:tcPr>
          <w:p w:rsidR="00191866" w:rsidRPr="0023409C" w:rsidRDefault="00191866" w:rsidP="007E47BE">
            <w:pPr>
              <w:contextualSpacing/>
              <w:jc w:val="both"/>
              <w:rPr>
                <w:rFonts w:ascii="Arial Narrow" w:hAnsi="Arial Narrow" w:cs="Arial"/>
                <w:sz w:val="20"/>
                <w:szCs w:val="20"/>
              </w:rPr>
            </w:pPr>
            <w:r>
              <w:rPr>
                <w:rFonts w:ascii="Arial Narrow" w:hAnsi="Arial Narrow" w:cs="Arial"/>
                <w:sz w:val="20"/>
                <w:szCs w:val="20"/>
                <w:lang w:val="en-ZA"/>
              </w:rPr>
              <w:t>SO</w:t>
            </w:r>
            <w:r w:rsidRPr="003F1EE7">
              <w:rPr>
                <w:rFonts w:ascii="Arial Narrow" w:hAnsi="Arial Narrow" w:cs="Arial"/>
                <w:sz w:val="20"/>
                <w:szCs w:val="20"/>
                <w:vertAlign w:val="subscript"/>
                <w:lang w:val="en-ZA"/>
              </w:rPr>
              <w:t>2</w:t>
            </w:r>
            <w:r>
              <w:rPr>
                <w:rFonts w:ascii="Arial Narrow" w:hAnsi="Arial Narrow" w:cs="Arial"/>
                <w:sz w:val="20"/>
                <w:szCs w:val="20"/>
                <w:lang w:val="en-ZA"/>
              </w:rPr>
              <w:t>: 3200 mg/Nm</w:t>
            </w:r>
            <w:r w:rsidRPr="003F1EE7">
              <w:rPr>
                <w:rFonts w:ascii="Arial Narrow" w:hAnsi="Arial Narrow" w:cs="Arial"/>
                <w:sz w:val="20"/>
                <w:szCs w:val="20"/>
                <w:vertAlign w:val="superscript"/>
                <w:lang w:val="en-ZA"/>
              </w:rPr>
              <w:t>3</w:t>
            </w:r>
          </w:p>
        </w:tc>
        <w:tc>
          <w:tcPr>
            <w:tcW w:w="1908" w:type="dxa"/>
            <w:vMerge w:val="restart"/>
          </w:tcPr>
          <w:p w:rsidR="00191866" w:rsidRPr="0021485D" w:rsidRDefault="00191866" w:rsidP="00273FE1">
            <w:pPr>
              <w:contextualSpacing/>
              <w:jc w:val="both"/>
              <w:rPr>
                <w:rFonts w:ascii="Arial Narrow" w:hAnsi="Arial Narrow" w:cs="Arial"/>
                <w:color w:val="FF0000"/>
                <w:sz w:val="20"/>
                <w:szCs w:val="20"/>
              </w:rPr>
            </w:pPr>
            <w:r>
              <w:rPr>
                <w:rFonts w:ascii="Arial Narrow" w:hAnsi="Arial Narrow" w:cs="Arial"/>
                <w:sz w:val="20"/>
                <w:szCs w:val="20"/>
              </w:rPr>
              <w:t>Installation of Low NOx Burner (LNB)</w:t>
            </w:r>
          </w:p>
        </w:tc>
        <w:tc>
          <w:tcPr>
            <w:tcW w:w="3605" w:type="dxa"/>
            <w:vMerge w:val="restart"/>
          </w:tcPr>
          <w:p w:rsidR="00191866" w:rsidRPr="0021485D" w:rsidRDefault="00191866" w:rsidP="00273FE1">
            <w:pPr>
              <w:contextualSpacing/>
              <w:jc w:val="both"/>
              <w:rPr>
                <w:rFonts w:ascii="Arial Narrow" w:hAnsi="Arial Narrow" w:cs="Arial"/>
                <w:color w:val="FF0000"/>
                <w:sz w:val="20"/>
                <w:szCs w:val="20"/>
              </w:rPr>
            </w:pPr>
            <w:r w:rsidRPr="00B64C9A">
              <w:rPr>
                <w:rFonts w:ascii="Arial Narrow" w:hAnsi="Arial Narrow" w:cs="Arial"/>
                <w:sz w:val="20"/>
                <w:szCs w:val="20"/>
              </w:rPr>
              <w:t>Basic designs completed 19 September 2016. Detailed designs will be done this year by Eskom Engineers, prior to the project moving to execution stage</w:t>
            </w:r>
          </w:p>
        </w:tc>
        <w:tc>
          <w:tcPr>
            <w:tcW w:w="3395" w:type="dxa"/>
            <w:vMerge w:val="restart"/>
          </w:tcPr>
          <w:p w:rsidR="00191866" w:rsidRPr="0021485D" w:rsidRDefault="00191866" w:rsidP="00273FE1">
            <w:pPr>
              <w:contextualSpacing/>
              <w:jc w:val="both"/>
              <w:rPr>
                <w:rFonts w:ascii="Arial Narrow" w:hAnsi="Arial Narrow" w:cs="Arial"/>
                <w:color w:val="FF0000"/>
                <w:sz w:val="20"/>
                <w:szCs w:val="20"/>
              </w:rPr>
            </w:pPr>
            <w:r>
              <w:rPr>
                <w:rFonts w:ascii="Arial Narrow" w:hAnsi="Arial Narrow" w:cs="Arial"/>
                <w:sz w:val="20"/>
                <w:szCs w:val="20"/>
              </w:rPr>
              <w:t xml:space="preserve">Challenges of unspecified nature would lead to one of the units not meeting the compliance timeframe of 1 April 2025. Detailed information on how this would be resolved was not provided. </w:t>
            </w:r>
          </w:p>
        </w:tc>
      </w:tr>
      <w:tr w:rsidR="00191866" w:rsidRPr="0023409C" w:rsidTr="00400EA9">
        <w:tc>
          <w:tcPr>
            <w:tcW w:w="1783" w:type="dxa"/>
            <w:vMerge/>
          </w:tcPr>
          <w:p w:rsidR="00191866" w:rsidRPr="0023409C" w:rsidRDefault="00191866" w:rsidP="007E47BE">
            <w:pPr>
              <w:contextualSpacing/>
              <w:jc w:val="both"/>
              <w:rPr>
                <w:rFonts w:ascii="Arial Narrow" w:hAnsi="Arial Narrow" w:cs="Arial"/>
                <w:sz w:val="20"/>
                <w:szCs w:val="20"/>
              </w:rPr>
            </w:pPr>
          </w:p>
        </w:tc>
        <w:tc>
          <w:tcPr>
            <w:tcW w:w="1679" w:type="dxa"/>
          </w:tcPr>
          <w:p w:rsidR="00191866" w:rsidRPr="00F27F5D" w:rsidRDefault="00191866" w:rsidP="007E47BE">
            <w:pPr>
              <w:contextualSpacing/>
              <w:jc w:val="both"/>
              <w:rPr>
                <w:rFonts w:ascii="Arial Narrow" w:hAnsi="Arial Narrow" w:cs="Arial"/>
                <w:sz w:val="20"/>
                <w:szCs w:val="20"/>
              </w:rPr>
            </w:pPr>
            <w:r w:rsidRPr="00F27F5D">
              <w:rPr>
                <w:rFonts w:ascii="Arial Narrow" w:hAnsi="Arial Narrow" w:cs="Arial"/>
                <w:sz w:val="20"/>
                <w:szCs w:val="20"/>
              </w:rPr>
              <w:t xml:space="preserve">1 April 2015-31 March 2020 </w:t>
            </w:r>
          </w:p>
          <w:p w:rsidR="00191866" w:rsidRPr="00F27F5D" w:rsidRDefault="00191866" w:rsidP="007E47BE">
            <w:pPr>
              <w:contextualSpacing/>
              <w:jc w:val="both"/>
              <w:rPr>
                <w:rFonts w:ascii="Arial Narrow" w:hAnsi="Arial Narrow" w:cs="Arial"/>
                <w:sz w:val="20"/>
                <w:szCs w:val="20"/>
              </w:rPr>
            </w:pPr>
          </w:p>
        </w:tc>
        <w:tc>
          <w:tcPr>
            <w:tcW w:w="1810" w:type="dxa"/>
          </w:tcPr>
          <w:p w:rsidR="00191866" w:rsidRPr="005F1443" w:rsidRDefault="00191866" w:rsidP="007E47BE">
            <w:pPr>
              <w:contextualSpacing/>
              <w:jc w:val="both"/>
              <w:rPr>
                <w:rFonts w:ascii="Arial Narrow" w:hAnsi="Arial Narrow" w:cs="Arial"/>
                <w:sz w:val="20"/>
                <w:szCs w:val="20"/>
                <w:vertAlign w:val="superscript"/>
              </w:rPr>
            </w:pPr>
            <w:r w:rsidRPr="005F1443">
              <w:rPr>
                <w:rFonts w:ascii="Arial Narrow" w:hAnsi="Arial Narrow" w:cs="Arial"/>
                <w:color w:val="000000" w:themeColor="text1"/>
                <w:sz w:val="20"/>
                <w:szCs w:val="20"/>
              </w:rPr>
              <w:t>NO</w:t>
            </w:r>
            <w:r w:rsidRPr="005F1443">
              <w:rPr>
                <w:rFonts w:ascii="Arial Narrow" w:hAnsi="Arial Narrow" w:cs="Arial"/>
                <w:color w:val="000000" w:themeColor="text1"/>
                <w:sz w:val="20"/>
                <w:szCs w:val="20"/>
                <w:vertAlign w:val="subscript"/>
              </w:rPr>
              <w:t xml:space="preserve">x : </w:t>
            </w:r>
            <w:r w:rsidR="005F1443" w:rsidRPr="005F1443">
              <w:rPr>
                <w:rFonts w:ascii="Arial Narrow" w:hAnsi="Arial Narrow" w:cs="Arial"/>
                <w:color w:val="000000" w:themeColor="text1"/>
                <w:sz w:val="20"/>
                <w:szCs w:val="20"/>
              </w:rPr>
              <w:t>1500mg/Nm</w:t>
            </w:r>
            <w:r w:rsidR="005F1443" w:rsidRPr="005F1443">
              <w:rPr>
                <w:rFonts w:ascii="Arial Narrow" w:hAnsi="Arial Narrow" w:cs="Arial"/>
                <w:color w:val="000000" w:themeColor="text1"/>
                <w:sz w:val="20"/>
                <w:szCs w:val="20"/>
                <w:vertAlign w:val="superscript"/>
              </w:rPr>
              <w:t>3</w:t>
            </w:r>
          </w:p>
        </w:tc>
        <w:tc>
          <w:tcPr>
            <w:tcW w:w="1908" w:type="dxa"/>
            <w:vMerge/>
          </w:tcPr>
          <w:p w:rsidR="00191866" w:rsidRPr="0023409C" w:rsidRDefault="00191866" w:rsidP="007E47BE">
            <w:pPr>
              <w:contextualSpacing/>
              <w:jc w:val="both"/>
              <w:rPr>
                <w:rFonts w:ascii="Arial Narrow" w:hAnsi="Arial Narrow" w:cs="Arial"/>
                <w:sz w:val="20"/>
                <w:szCs w:val="20"/>
              </w:rPr>
            </w:pPr>
          </w:p>
        </w:tc>
        <w:tc>
          <w:tcPr>
            <w:tcW w:w="3605" w:type="dxa"/>
            <w:vMerge/>
          </w:tcPr>
          <w:p w:rsidR="00191866" w:rsidRPr="0023409C" w:rsidRDefault="00191866" w:rsidP="007E47BE">
            <w:pPr>
              <w:contextualSpacing/>
              <w:jc w:val="both"/>
              <w:rPr>
                <w:rFonts w:ascii="Arial Narrow" w:hAnsi="Arial Narrow" w:cs="Arial"/>
                <w:sz w:val="20"/>
                <w:szCs w:val="20"/>
              </w:rPr>
            </w:pPr>
          </w:p>
        </w:tc>
        <w:tc>
          <w:tcPr>
            <w:tcW w:w="3395" w:type="dxa"/>
            <w:vMerge/>
          </w:tcPr>
          <w:p w:rsidR="00191866" w:rsidRPr="0023409C" w:rsidRDefault="00191866" w:rsidP="007E47BE">
            <w:pPr>
              <w:contextualSpacing/>
              <w:jc w:val="both"/>
              <w:rPr>
                <w:rFonts w:ascii="Arial Narrow" w:hAnsi="Arial Narrow" w:cs="Arial"/>
                <w:sz w:val="20"/>
                <w:szCs w:val="20"/>
              </w:rPr>
            </w:pPr>
          </w:p>
        </w:tc>
      </w:tr>
      <w:tr w:rsidR="00966ED1" w:rsidRPr="0023409C" w:rsidTr="00400EA9">
        <w:tc>
          <w:tcPr>
            <w:tcW w:w="1783" w:type="dxa"/>
          </w:tcPr>
          <w:p w:rsidR="00966ED1" w:rsidRPr="0023409C" w:rsidRDefault="00966ED1" w:rsidP="007E47BE">
            <w:pPr>
              <w:contextualSpacing/>
              <w:jc w:val="both"/>
              <w:rPr>
                <w:rFonts w:ascii="Arial Narrow" w:hAnsi="Arial Narrow" w:cs="Arial"/>
                <w:sz w:val="20"/>
                <w:szCs w:val="20"/>
              </w:rPr>
            </w:pPr>
            <w:r>
              <w:rPr>
                <w:rFonts w:ascii="Arial Narrow" w:hAnsi="Arial Narrow" w:cs="Arial"/>
                <w:sz w:val="20"/>
                <w:szCs w:val="20"/>
              </w:rPr>
              <w:t>Duvha</w:t>
            </w:r>
          </w:p>
        </w:tc>
        <w:tc>
          <w:tcPr>
            <w:tcW w:w="1679" w:type="dxa"/>
          </w:tcPr>
          <w:p w:rsidR="00966ED1" w:rsidRPr="0021485D" w:rsidRDefault="00966ED1" w:rsidP="007E47BE">
            <w:pPr>
              <w:contextualSpacing/>
              <w:jc w:val="both"/>
              <w:rPr>
                <w:rFonts w:ascii="Arial Narrow" w:hAnsi="Arial Narrow" w:cs="Arial"/>
                <w:sz w:val="20"/>
                <w:szCs w:val="20"/>
              </w:rPr>
            </w:pPr>
            <w:r>
              <w:rPr>
                <w:rFonts w:ascii="Arial Narrow" w:hAnsi="Arial Narrow" w:cs="Arial"/>
                <w:sz w:val="20"/>
                <w:szCs w:val="20"/>
              </w:rPr>
              <w:t xml:space="preserve">1 April 2020-31 March 2025 </w:t>
            </w:r>
          </w:p>
          <w:p w:rsidR="00966ED1" w:rsidRPr="0023409C" w:rsidRDefault="00966ED1" w:rsidP="00966ED1">
            <w:pPr>
              <w:contextualSpacing/>
              <w:jc w:val="both"/>
              <w:rPr>
                <w:rFonts w:ascii="Arial Narrow" w:hAnsi="Arial Narrow" w:cs="Arial"/>
                <w:sz w:val="20"/>
                <w:szCs w:val="20"/>
              </w:rPr>
            </w:pPr>
          </w:p>
        </w:tc>
        <w:tc>
          <w:tcPr>
            <w:tcW w:w="1810" w:type="dxa"/>
          </w:tcPr>
          <w:p w:rsidR="00966ED1" w:rsidRPr="0023409C" w:rsidRDefault="00966ED1" w:rsidP="007E47BE">
            <w:pPr>
              <w:contextualSpacing/>
              <w:jc w:val="both"/>
              <w:rPr>
                <w:rFonts w:ascii="Arial Narrow" w:hAnsi="Arial Narrow" w:cs="Arial"/>
                <w:sz w:val="20"/>
                <w:szCs w:val="20"/>
              </w:rPr>
            </w:pPr>
            <w:r w:rsidRPr="0021485D">
              <w:rPr>
                <w:rFonts w:ascii="Arial Narrow" w:hAnsi="Arial Narrow" w:cs="Arial"/>
                <w:sz w:val="20"/>
                <w:szCs w:val="20"/>
                <w:lang w:val="en-ZA"/>
              </w:rPr>
              <w:t>SO</w:t>
            </w:r>
            <w:r w:rsidRPr="0021485D">
              <w:rPr>
                <w:rFonts w:ascii="Arial Narrow" w:hAnsi="Arial Narrow" w:cs="Arial"/>
                <w:sz w:val="20"/>
                <w:szCs w:val="20"/>
                <w:vertAlign w:val="subscript"/>
                <w:lang w:val="en-ZA"/>
              </w:rPr>
              <w:t>2</w:t>
            </w:r>
            <w:r w:rsidRPr="0021485D">
              <w:rPr>
                <w:rFonts w:ascii="Arial Narrow" w:hAnsi="Arial Narrow" w:cs="Arial"/>
                <w:sz w:val="20"/>
                <w:szCs w:val="20"/>
                <w:lang w:val="en-ZA"/>
              </w:rPr>
              <w:t xml:space="preserve">: </w:t>
            </w:r>
            <w:r>
              <w:rPr>
                <w:rFonts w:ascii="Arial Narrow" w:hAnsi="Arial Narrow" w:cs="Arial"/>
                <w:sz w:val="20"/>
                <w:szCs w:val="20"/>
                <w:lang w:val="en-ZA"/>
              </w:rPr>
              <w:t>2600</w:t>
            </w:r>
            <w:r w:rsidRPr="0021485D">
              <w:rPr>
                <w:rFonts w:ascii="Arial Narrow" w:hAnsi="Arial Narrow" w:cs="Arial"/>
                <w:sz w:val="20"/>
                <w:szCs w:val="20"/>
                <w:lang w:val="en-ZA"/>
              </w:rPr>
              <w:t>mg/Nm</w:t>
            </w:r>
            <w:r w:rsidRPr="0021485D">
              <w:rPr>
                <w:rFonts w:ascii="Arial Narrow" w:hAnsi="Arial Narrow" w:cs="Arial"/>
                <w:sz w:val="20"/>
                <w:szCs w:val="20"/>
                <w:vertAlign w:val="superscript"/>
                <w:lang w:val="en-ZA"/>
              </w:rPr>
              <w:t>3</w:t>
            </w:r>
          </w:p>
          <w:p w:rsidR="00966ED1" w:rsidRDefault="00966ED1" w:rsidP="00273FE1">
            <w:pPr>
              <w:contextualSpacing/>
              <w:jc w:val="both"/>
              <w:rPr>
                <w:rFonts w:ascii="Arial Narrow" w:hAnsi="Arial Narrow" w:cs="Arial"/>
                <w:sz w:val="20"/>
                <w:szCs w:val="20"/>
              </w:rPr>
            </w:pPr>
          </w:p>
          <w:p w:rsidR="00966ED1" w:rsidRDefault="00966ED1" w:rsidP="00273FE1">
            <w:pPr>
              <w:contextualSpacing/>
              <w:jc w:val="both"/>
              <w:rPr>
                <w:rFonts w:ascii="Arial Narrow" w:hAnsi="Arial Narrow" w:cs="Arial"/>
                <w:sz w:val="20"/>
                <w:szCs w:val="20"/>
              </w:rPr>
            </w:pPr>
          </w:p>
          <w:p w:rsidR="00966ED1" w:rsidRPr="0023409C" w:rsidRDefault="00966ED1" w:rsidP="00273FE1">
            <w:pPr>
              <w:contextualSpacing/>
              <w:jc w:val="both"/>
              <w:rPr>
                <w:rFonts w:ascii="Arial Narrow" w:hAnsi="Arial Narrow" w:cs="Arial"/>
                <w:sz w:val="20"/>
                <w:szCs w:val="20"/>
              </w:rPr>
            </w:pPr>
            <w:r>
              <w:rPr>
                <w:rFonts w:ascii="Arial Narrow" w:hAnsi="Arial Narrow" w:cs="Arial"/>
                <w:sz w:val="20"/>
                <w:szCs w:val="20"/>
              </w:rPr>
              <w:t>NOx: 1100mg/Nm</w:t>
            </w:r>
            <w:r w:rsidRPr="007E47BE">
              <w:rPr>
                <w:rFonts w:ascii="Arial Narrow" w:hAnsi="Arial Narrow" w:cs="Arial"/>
                <w:sz w:val="20"/>
                <w:szCs w:val="20"/>
                <w:vertAlign w:val="superscript"/>
              </w:rPr>
              <w:t>3</w:t>
            </w:r>
          </w:p>
        </w:tc>
        <w:tc>
          <w:tcPr>
            <w:tcW w:w="1908" w:type="dxa"/>
          </w:tcPr>
          <w:p w:rsidR="00966ED1" w:rsidRPr="0023409C" w:rsidRDefault="00966ED1" w:rsidP="007E47BE">
            <w:pPr>
              <w:contextualSpacing/>
              <w:jc w:val="both"/>
              <w:rPr>
                <w:rFonts w:ascii="Arial Narrow" w:hAnsi="Arial Narrow" w:cs="Arial"/>
                <w:sz w:val="20"/>
                <w:szCs w:val="20"/>
              </w:rPr>
            </w:pPr>
            <w:r>
              <w:rPr>
                <w:rFonts w:ascii="Arial Narrow" w:hAnsi="Arial Narrow" w:cs="Arial"/>
                <w:sz w:val="20"/>
                <w:szCs w:val="20"/>
              </w:rPr>
              <w:t xml:space="preserve">Installation of fabric filters. </w:t>
            </w:r>
          </w:p>
        </w:tc>
        <w:tc>
          <w:tcPr>
            <w:tcW w:w="3605" w:type="dxa"/>
          </w:tcPr>
          <w:p w:rsidR="00966ED1" w:rsidRPr="0023409C" w:rsidRDefault="00966ED1" w:rsidP="007E47BE">
            <w:pPr>
              <w:contextualSpacing/>
              <w:jc w:val="both"/>
              <w:rPr>
                <w:rFonts w:ascii="Arial Narrow" w:hAnsi="Arial Narrow" w:cs="Arial"/>
                <w:sz w:val="20"/>
                <w:szCs w:val="20"/>
              </w:rPr>
            </w:pPr>
            <w:r>
              <w:rPr>
                <w:rFonts w:ascii="Arial Narrow" w:hAnsi="Arial Narrow" w:cs="Arial"/>
                <w:sz w:val="20"/>
                <w:szCs w:val="20"/>
                <w:lang w:val="en-ZA"/>
              </w:rPr>
              <w:t>Eskom’s</w:t>
            </w:r>
            <w:r w:rsidRPr="007E47BE">
              <w:rPr>
                <w:rFonts w:ascii="Arial Narrow" w:hAnsi="Arial Narrow" w:cs="Arial"/>
                <w:sz w:val="20"/>
                <w:szCs w:val="20"/>
                <w:lang w:val="en-ZA"/>
              </w:rPr>
              <w:t xml:space="preserve"> plans to install fabric filter plant on Units 4-6 have been cancelled. Instead, high frequency transformers will be installed, and the ESPs, DHPs and SO3 plants will be refurbished. Basic designs for HFT's pilot unit completed. On the FFP side, FFP and Dust Handling Plant (DHP) upgrade concept designs have been completed. Engineering is currently busy with basic designs for Unit 4 &amp; 6.</w:t>
            </w:r>
          </w:p>
        </w:tc>
        <w:tc>
          <w:tcPr>
            <w:tcW w:w="3395" w:type="dxa"/>
          </w:tcPr>
          <w:p w:rsidR="00966ED1" w:rsidRPr="0023409C" w:rsidRDefault="00966ED1" w:rsidP="007E47BE">
            <w:pPr>
              <w:contextualSpacing/>
              <w:jc w:val="both"/>
              <w:rPr>
                <w:rFonts w:ascii="Arial Narrow" w:hAnsi="Arial Narrow" w:cs="Arial"/>
                <w:sz w:val="20"/>
                <w:szCs w:val="20"/>
              </w:rPr>
            </w:pPr>
            <w:r>
              <w:rPr>
                <w:rFonts w:ascii="Arial Narrow" w:hAnsi="Arial Narrow" w:cs="Arial"/>
                <w:sz w:val="20"/>
                <w:szCs w:val="20"/>
              </w:rPr>
              <w:t xml:space="preserve">Risk that units 4 and 6 will not be able to meet emission standards for new plants by 1 April 2020. Eskom plans to request a monthly emission limit for these units. </w:t>
            </w:r>
          </w:p>
        </w:tc>
      </w:tr>
      <w:tr w:rsidR="00A82972" w:rsidRPr="0023409C" w:rsidTr="00400EA9">
        <w:trPr>
          <w:trHeight w:val="77"/>
        </w:trPr>
        <w:tc>
          <w:tcPr>
            <w:tcW w:w="1783" w:type="dxa"/>
            <w:vMerge w:val="restart"/>
          </w:tcPr>
          <w:p w:rsidR="00A82972" w:rsidRPr="0023409C" w:rsidRDefault="00A82972" w:rsidP="007E47BE">
            <w:pPr>
              <w:contextualSpacing/>
              <w:jc w:val="both"/>
              <w:rPr>
                <w:rFonts w:ascii="Arial Narrow" w:hAnsi="Arial Narrow" w:cs="Arial"/>
                <w:sz w:val="20"/>
                <w:szCs w:val="20"/>
              </w:rPr>
            </w:pPr>
            <w:r>
              <w:rPr>
                <w:rFonts w:ascii="Arial Narrow" w:hAnsi="Arial Narrow" w:cs="Arial"/>
                <w:sz w:val="20"/>
                <w:szCs w:val="20"/>
              </w:rPr>
              <w:t>Tutuka</w:t>
            </w:r>
          </w:p>
        </w:tc>
        <w:tc>
          <w:tcPr>
            <w:tcW w:w="1679" w:type="dxa"/>
          </w:tcPr>
          <w:p w:rsidR="00A82972" w:rsidRPr="003C3136" w:rsidRDefault="00A82972" w:rsidP="003C3136">
            <w:pPr>
              <w:contextualSpacing/>
              <w:jc w:val="both"/>
              <w:rPr>
                <w:rFonts w:ascii="Arial Narrow" w:hAnsi="Arial Narrow" w:cs="Arial"/>
                <w:sz w:val="20"/>
                <w:szCs w:val="20"/>
              </w:rPr>
            </w:pPr>
            <w:r w:rsidRPr="003C3136">
              <w:rPr>
                <w:rFonts w:ascii="Arial Narrow" w:hAnsi="Arial Narrow" w:cs="Arial"/>
                <w:sz w:val="20"/>
                <w:szCs w:val="20"/>
              </w:rPr>
              <w:t>1 April 2015-31 March 2020 [Granted for existing plant standards]</w:t>
            </w:r>
          </w:p>
          <w:p w:rsidR="00A82972" w:rsidRPr="0023409C" w:rsidRDefault="00A82972" w:rsidP="007E47BE">
            <w:pPr>
              <w:contextualSpacing/>
              <w:jc w:val="both"/>
              <w:rPr>
                <w:rFonts w:ascii="Arial Narrow" w:hAnsi="Arial Narrow" w:cs="Arial"/>
                <w:sz w:val="20"/>
                <w:szCs w:val="20"/>
              </w:rPr>
            </w:pPr>
          </w:p>
        </w:tc>
        <w:tc>
          <w:tcPr>
            <w:tcW w:w="1810" w:type="dxa"/>
          </w:tcPr>
          <w:p w:rsidR="00A82972" w:rsidRPr="0023409C" w:rsidRDefault="00A82972" w:rsidP="007E47BE">
            <w:pPr>
              <w:contextualSpacing/>
              <w:jc w:val="both"/>
              <w:rPr>
                <w:rFonts w:ascii="Arial Narrow" w:hAnsi="Arial Narrow" w:cs="Arial"/>
                <w:sz w:val="20"/>
                <w:szCs w:val="20"/>
              </w:rPr>
            </w:pPr>
            <w:r>
              <w:rPr>
                <w:rFonts w:ascii="Arial Narrow" w:hAnsi="Arial Narrow" w:cs="Arial"/>
                <w:sz w:val="20"/>
                <w:szCs w:val="20"/>
              </w:rPr>
              <w:t>PM: 350mg/Nm</w:t>
            </w:r>
            <w:r w:rsidRPr="003C3136">
              <w:rPr>
                <w:rFonts w:ascii="Arial Narrow" w:hAnsi="Arial Narrow" w:cs="Arial"/>
                <w:sz w:val="20"/>
                <w:szCs w:val="20"/>
                <w:vertAlign w:val="superscript"/>
              </w:rPr>
              <w:t>3</w:t>
            </w:r>
          </w:p>
        </w:tc>
        <w:tc>
          <w:tcPr>
            <w:tcW w:w="1908" w:type="dxa"/>
          </w:tcPr>
          <w:p w:rsidR="00A82972" w:rsidRPr="0023409C" w:rsidRDefault="00A82972" w:rsidP="007E47BE">
            <w:pPr>
              <w:contextualSpacing/>
              <w:jc w:val="both"/>
              <w:rPr>
                <w:rFonts w:ascii="Arial Narrow" w:hAnsi="Arial Narrow" w:cs="Arial"/>
                <w:sz w:val="20"/>
                <w:szCs w:val="20"/>
              </w:rPr>
            </w:pPr>
            <w:r>
              <w:rPr>
                <w:rFonts w:ascii="Arial Narrow" w:hAnsi="Arial Narrow" w:cs="Arial"/>
                <w:sz w:val="20"/>
                <w:szCs w:val="20"/>
              </w:rPr>
              <w:t>Installation of fabric filters</w:t>
            </w:r>
          </w:p>
        </w:tc>
        <w:tc>
          <w:tcPr>
            <w:tcW w:w="3605" w:type="dxa"/>
          </w:tcPr>
          <w:p w:rsidR="00A82972" w:rsidRPr="0023409C" w:rsidRDefault="00A82972" w:rsidP="007E47BE">
            <w:pPr>
              <w:contextualSpacing/>
              <w:jc w:val="both"/>
              <w:rPr>
                <w:rFonts w:ascii="Arial Narrow" w:hAnsi="Arial Narrow" w:cs="Arial"/>
                <w:sz w:val="20"/>
                <w:szCs w:val="20"/>
              </w:rPr>
            </w:pPr>
            <w:r w:rsidRPr="003C3136">
              <w:rPr>
                <w:rFonts w:ascii="Arial Narrow" w:hAnsi="Arial Narrow" w:cs="Arial"/>
                <w:sz w:val="20"/>
                <w:szCs w:val="20"/>
              </w:rPr>
              <w:t>PFMA information letter, advising DPE of increased costs, scope and time, beyond initial ERA has been submitted to the DPE. New PFMA application to be re-submitted to DPE awaits final internal approval before it can be sent to DPE</w:t>
            </w:r>
          </w:p>
        </w:tc>
        <w:tc>
          <w:tcPr>
            <w:tcW w:w="3395" w:type="dxa"/>
          </w:tcPr>
          <w:p w:rsidR="00A82972" w:rsidRPr="0023409C" w:rsidRDefault="00A82972" w:rsidP="007E47BE">
            <w:pPr>
              <w:contextualSpacing/>
              <w:jc w:val="both"/>
              <w:rPr>
                <w:rFonts w:ascii="Arial Narrow" w:hAnsi="Arial Narrow" w:cs="Arial"/>
                <w:sz w:val="20"/>
                <w:szCs w:val="20"/>
              </w:rPr>
            </w:pPr>
            <w:r>
              <w:rPr>
                <w:rFonts w:ascii="Arial Narrow" w:hAnsi="Arial Narrow" w:cs="Arial"/>
                <w:sz w:val="20"/>
                <w:szCs w:val="20"/>
              </w:rPr>
              <w:t>Delays due to procurement challenges</w:t>
            </w:r>
            <w:r w:rsidR="00966ED1">
              <w:rPr>
                <w:rFonts w:ascii="Arial Narrow" w:hAnsi="Arial Narrow" w:cs="Arial"/>
                <w:sz w:val="20"/>
                <w:szCs w:val="20"/>
              </w:rPr>
              <w:t xml:space="preserve"> will pose the risk on the last unit not </w:t>
            </w:r>
            <w:r w:rsidR="00F27F5D">
              <w:rPr>
                <w:rFonts w:ascii="Arial Narrow" w:hAnsi="Arial Narrow" w:cs="Arial"/>
                <w:sz w:val="20"/>
                <w:szCs w:val="20"/>
              </w:rPr>
              <w:t>complying</w:t>
            </w:r>
            <w:r w:rsidR="00966ED1">
              <w:rPr>
                <w:rFonts w:ascii="Arial Narrow" w:hAnsi="Arial Narrow" w:cs="Arial"/>
                <w:sz w:val="20"/>
                <w:szCs w:val="20"/>
              </w:rPr>
              <w:t xml:space="preserve"> with the 1 April </w:t>
            </w:r>
            <w:r w:rsidR="00F27F5D">
              <w:rPr>
                <w:rFonts w:ascii="Arial Narrow" w:hAnsi="Arial Narrow" w:cs="Arial"/>
                <w:sz w:val="20"/>
                <w:szCs w:val="20"/>
              </w:rPr>
              <w:t>2021 timeframe.</w:t>
            </w:r>
          </w:p>
        </w:tc>
      </w:tr>
      <w:tr w:rsidR="00A82972" w:rsidRPr="0023409C" w:rsidTr="00400EA9">
        <w:trPr>
          <w:trHeight w:val="77"/>
        </w:trPr>
        <w:tc>
          <w:tcPr>
            <w:tcW w:w="1783" w:type="dxa"/>
            <w:vMerge/>
          </w:tcPr>
          <w:p w:rsidR="00A82972" w:rsidRDefault="00A82972" w:rsidP="007E47BE">
            <w:pPr>
              <w:contextualSpacing/>
              <w:jc w:val="both"/>
              <w:rPr>
                <w:rFonts w:ascii="Arial Narrow" w:hAnsi="Arial Narrow" w:cs="Arial"/>
                <w:sz w:val="20"/>
                <w:szCs w:val="20"/>
              </w:rPr>
            </w:pPr>
          </w:p>
        </w:tc>
        <w:tc>
          <w:tcPr>
            <w:tcW w:w="1679" w:type="dxa"/>
          </w:tcPr>
          <w:p w:rsidR="00A82972" w:rsidRPr="003C3136" w:rsidRDefault="00A82972" w:rsidP="007B6E30">
            <w:pPr>
              <w:contextualSpacing/>
              <w:jc w:val="both"/>
              <w:rPr>
                <w:rFonts w:ascii="Arial Narrow" w:hAnsi="Arial Narrow" w:cs="Arial"/>
                <w:sz w:val="20"/>
                <w:szCs w:val="20"/>
              </w:rPr>
            </w:pPr>
            <w:r w:rsidRPr="003969E7">
              <w:rPr>
                <w:rFonts w:ascii="Arial Narrow" w:hAnsi="Arial Narrow" w:cs="Arial"/>
                <w:sz w:val="20"/>
                <w:szCs w:val="20"/>
              </w:rPr>
              <w:t xml:space="preserve">1 April 2015-31 March 2020 </w:t>
            </w:r>
          </w:p>
        </w:tc>
        <w:tc>
          <w:tcPr>
            <w:tcW w:w="1810" w:type="dxa"/>
          </w:tcPr>
          <w:p w:rsidR="00A82972" w:rsidRPr="003969E7" w:rsidRDefault="00A82972" w:rsidP="003969E7">
            <w:pPr>
              <w:contextualSpacing/>
              <w:jc w:val="both"/>
              <w:rPr>
                <w:rFonts w:ascii="Arial Narrow" w:hAnsi="Arial Narrow" w:cs="Arial"/>
                <w:sz w:val="20"/>
                <w:szCs w:val="20"/>
                <w:lang w:val="en-ZA"/>
              </w:rPr>
            </w:pPr>
            <w:r>
              <w:rPr>
                <w:rFonts w:ascii="Arial Narrow" w:hAnsi="Arial Narrow" w:cs="Arial"/>
                <w:sz w:val="20"/>
                <w:szCs w:val="20"/>
              </w:rPr>
              <w:t xml:space="preserve">NOx: </w:t>
            </w:r>
            <w:r w:rsidRPr="003969E7">
              <w:rPr>
                <w:rFonts w:ascii="Arial Narrow" w:hAnsi="Arial Narrow" w:cs="Arial"/>
                <w:sz w:val="20"/>
                <w:szCs w:val="20"/>
                <w:lang w:val="en-ZA"/>
              </w:rPr>
              <w:t>1200mg/Nm</w:t>
            </w:r>
            <w:r w:rsidRPr="003969E7">
              <w:rPr>
                <w:rFonts w:ascii="Arial Narrow" w:hAnsi="Arial Narrow" w:cs="Arial"/>
                <w:sz w:val="20"/>
                <w:szCs w:val="20"/>
                <w:vertAlign w:val="superscript"/>
                <w:lang w:val="en-ZA"/>
              </w:rPr>
              <w:t>3</w:t>
            </w:r>
          </w:p>
          <w:p w:rsidR="00A82972" w:rsidRDefault="00A82972" w:rsidP="007E47BE">
            <w:pPr>
              <w:contextualSpacing/>
              <w:jc w:val="both"/>
              <w:rPr>
                <w:rFonts w:ascii="Arial Narrow" w:hAnsi="Arial Narrow" w:cs="Arial"/>
                <w:sz w:val="20"/>
                <w:szCs w:val="20"/>
              </w:rPr>
            </w:pPr>
          </w:p>
        </w:tc>
        <w:tc>
          <w:tcPr>
            <w:tcW w:w="1908" w:type="dxa"/>
          </w:tcPr>
          <w:p w:rsidR="00A82972" w:rsidRDefault="00A82972" w:rsidP="007E47BE">
            <w:pPr>
              <w:contextualSpacing/>
              <w:jc w:val="both"/>
              <w:rPr>
                <w:rFonts w:ascii="Arial Narrow" w:hAnsi="Arial Narrow" w:cs="Arial"/>
                <w:sz w:val="20"/>
                <w:szCs w:val="20"/>
              </w:rPr>
            </w:pPr>
            <w:r>
              <w:rPr>
                <w:rFonts w:ascii="Arial Narrow" w:hAnsi="Arial Narrow" w:cs="Arial"/>
                <w:sz w:val="20"/>
                <w:szCs w:val="20"/>
              </w:rPr>
              <w:t>Installations of LNB</w:t>
            </w:r>
          </w:p>
        </w:tc>
        <w:tc>
          <w:tcPr>
            <w:tcW w:w="3605" w:type="dxa"/>
          </w:tcPr>
          <w:p w:rsidR="00A82972" w:rsidRPr="003969E7" w:rsidRDefault="00A82972" w:rsidP="003969E7">
            <w:pPr>
              <w:contextualSpacing/>
              <w:jc w:val="both"/>
              <w:rPr>
                <w:rFonts w:ascii="Arial Narrow" w:hAnsi="Arial Narrow" w:cs="Arial"/>
                <w:sz w:val="20"/>
                <w:szCs w:val="20"/>
                <w:lang w:val="en-ZA"/>
              </w:rPr>
            </w:pPr>
            <w:r w:rsidRPr="003969E7">
              <w:rPr>
                <w:rFonts w:ascii="Arial Narrow" w:hAnsi="Arial Narrow" w:cs="Arial"/>
                <w:sz w:val="20"/>
                <w:szCs w:val="20"/>
                <w:lang w:val="en-ZA"/>
              </w:rPr>
              <w:t xml:space="preserve">Basic designs have been completed. Currently busy with detailed designs. </w:t>
            </w:r>
          </w:p>
          <w:p w:rsidR="00A82972" w:rsidRPr="003C3136" w:rsidRDefault="00A82972" w:rsidP="007E47BE">
            <w:pPr>
              <w:contextualSpacing/>
              <w:jc w:val="both"/>
              <w:rPr>
                <w:rFonts w:ascii="Arial Narrow" w:hAnsi="Arial Narrow" w:cs="Arial"/>
                <w:sz w:val="20"/>
                <w:szCs w:val="20"/>
              </w:rPr>
            </w:pPr>
          </w:p>
        </w:tc>
        <w:tc>
          <w:tcPr>
            <w:tcW w:w="3395" w:type="dxa"/>
          </w:tcPr>
          <w:p w:rsidR="00A82972" w:rsidRDefault="00A82972" w:rsidP="007E47BE">
            <w:pPr>
              <w:contextualSpacing/>
              <w:jc w:val="both"/>
              <w:rPr>
                <w:rFonts w:ascii="Arial Narrow" w:hAnsi="Arial Narrow" w:cs="Arial"/>
                <w:sz w:val="20"/>
                <w:szCs w:val="20"/>
              </w:rPr>
            </w:pPr>
            <w:r>
              <w:rPr>
                <w:rFonts w:ascii="Arial Narrow" w:hAnsi="Arial Narrow" w:cs="Arial"/>
                <w:sz w:val="20"/>
                <w:szCs w:val="20"/>
              </w:rPr>
              <w:t>On track</w:t>
            </w:r>
          </w:p>
        </w:tc>
      </w:tr>
      <w:tr w:rsidR="009B47CC" w:rsidRPr="0023409C" w:rsidTr="00400EA9">
        <w:trPr>
          <w:trHeight w:val="77"/>
        </w:trPr>
        <w:tc>
          <w:tcPr>
            <w:tcW w:w="1783" w:type="dxa"/>
            <w:vMerge w:val="restart"/>
          </w:tcPr>
          <w:p w:rsidR="009B47CC" w:rsidRDefault="009B47CC" w:rsidP="007E47BE">
            <w:pPr>
              <w:contextualSpacing/>
              <w:jc w:val="both"/>
              <w:rPr>
                <w:rFonts w:ascii="Arial Narrow" w:hAnsi="Arial Narrow" w:cs="Arial"/>
                <w:sz w:val="20"/>
                <w:szCs w:val="20"/>
              </w:rPr>
            </w:pPr>
            <w:r>
              <w:rPr>
                <w:rFonts w:ascii="Arial Narrow" w:hAnsi="Arial Narrow" w:cs="Arial"/>
                <w:sz w:val="20"/>
                <w:szCs w:val="20"/>
              </w:rPr>
              <w:t>Kriel</w:t>
            </w:r>
          </w:p>
        </w:tc>
        <w:tc>
          <w:tcPr>
            <w:tcW w:w="1679" w:type="dxa"/>
          </w:tcPr>
          <w:p w:rsidR="009B47CC" w:rsidRPr="00A82972" w:rsidRDefault="009B47CC" w:rsidP="00A82972">
            <w:pPr>
              <w:contextualSpacing/>
              <w:jc w:val="both"/>
              <w:rPr>
                <w:rFonts w:ascii="Arial Narrow" w:hAnsi="Arial Narrow" w:cs="Arial"/>
                <w:sz w:val="20"/>
                <w:szCs w:val="20"/>
              </w:rPr>
            </w:pPr>
            <w:r w:rsidRPr="004B2AC4">
              <w:rPr>
                <w:rFonts w:ascii="Arial Narrow" w:hAnsi="Arial Narrow" w:cs="Arial"/>
                <w:sz w:val="20"/>
                <w:szCs w:val="20"/>
              </w:rPr>
              <w:t>1 April 2015-31 March 2020</w:t>
            </w:r>
          </w:p>
        </w:tc>
        <w:tc>
          <w:tcPr>
            <w:tcW w:w="1810" w:type="dxa"/>
          </w:tcPr>
          <w:p w:rsidR="009B47CC" w:rsidRPr="004B2AC4" w:rsidRDefault="009B47CC" w:rsidP="007E47BE">
            <w:pPr>
              <w:contextualSpacing/>
              <w:jc w:val="both"/>
              <w:rPr>
                <w:rFonts w:ascii="Arial Narrow" w:hAnsi="Arial Narrow" w:cs="Arial"/>
                <w:sz w:val="20"/>
                <w:szCs w:val="20"/>
                <w:vertAlign w:val="superscript"/>
              </w:rPr>
            </w:pPr>
            <w:r>
              <w:rPr>
                <w:rFonts w:ascii="Arial Narrow" w:hAnsi="Arial Narrow" w:cs="Arial"/>
                <w:sz w:val="20"/>
                <w:szCs w:val="20"/>
              </w:rPr>
              <w:t>PM: 350mg/Nm</w:t>
            </w:r>
            <w:r>
              <w:rPr>
                <w:rFonts w:ascii="Arial Narrow" w:hAnsi="Arial Narrow" w:cs="Arial"/>
                <w:sz w:val="20"/>
                <w:szCs w:val="20"/>
                <w:vertAlign w:val="superscript"/>
              </w:rPr>
              <w:t>3</w:t>
            </w:r>
          </w:p>
        </w:tc>
        <w:tc>
          <w:tcPr>
            <w:tcW w:w="1908" w:type="dxa"/>
            <w:vMerge w:val="restart"/>
          </w:tcPr>
          <w:p w:rsidR="009B47CC" w:rsidRPr="004B2AC4" w:rsidRDefault="009B47CC" w:rsidP="007E47BE">
            <w:pPr>
              <w:contextualSpacing/>
              <w:jc w:val="both"/>
              <w:rPr>
                <w:rFonts w:ascii="Arial Narrow" w:hAnsi="Arial Narrow" w:cs="Arial"/>
                <w:color w:val="000000" w:themeColor="text1"/>
                <w:sz w:val="20"/>
                <w:szCs w:val="20"/>
              </w:rPr>
            </w:pPr>
            <w:r w:rsidRPr="004B2AC4">
              <w:rPr>
                <w:rFonts w:ascii="Arial Narrow" w:hAnsi="Arial Narrow" w:cs="Arial"/>
                <w:color w:val="000000" w:themeColor="text1"/>
                <w:sz w:val="20"/>
                <w:szCs w:val="20"/>
              </w:rPr>
              <w:t xml:space="preserve">Installation of fabric filters </w:t>
            </w:r>
          </w:p>
          <w:p w:rsidR="009B47CC" w:rsidRPr="004B2AC4" w:rsidRDefault="009B47CC" w:rsidP="00273FE1">
            <w:pPr>
              <w:contextualSpacing/>
              <w:jc w:val="both"/>
              <w:rPr>
                <w:rFonts w:ascii="Arial Narrow" w:hAnsi="Arial Narrow" w:cs="Arial"/>
                <w:color w:val="000000" w:themeColor="text1"/>
                <w:sz w:val="20"/>
                <w:szCs w:val="20"/>
              </w:rPr>
            </w:pPr>
          </w:p>
        </w:tc>
        <w:tc>
          <w:tcPr>
            <w:tcW w:w="3605" w:type="dxa"/>
            <w:vMerge w:val="restart"/>
          </w:tcPr>
          <w:p w:rsidR="009B47CC" w:rsidRPr="004B2AC4" w:rsidRDefault="009B47CC" w:rsidP="007E47BE">
            <w:pPr>
              <w:contextualSpacing/>
              <w:jc w:val="both"/>
              <w:rPr>
                <w:rFonts w:ascii="Arial Narrow" w:hAnsi="Arial Narrow" w:cs="Arial"/>
                <w:color w:val="FF0000"/>
                <w:sz w:val="20"/>
                <w:szCs w:val="20"/>
              </w:rPr>
            </w:pPr>
            <w:r w:rsidRPr="004B2AC4">
              <w:rPr>
                <w:rFonts w:ascii="Arial Narrow" w:hAnsi="Arial Narrow" w:cs="Arial"/>
                <w:color w:val="000000" w:themeColor="text1"/>
                <w:sz w:val="20"/>
                <w:szCs w:val="20"/>
              </w:rPr>
              <w:t>Basic designs completed. Extended basic/detailed design commenced with internal execution approval process</w:t>
            </w:r>
          </w:p>
          <w:p w:rsidR="009B47CC" w:rsidRPr="004B2AC4" w:rsidRDefault="009B47CC" w:rsidP="009B47CC">
            <w:pPr>
              <w:contextualSpacing/>
              <w:jc w:val="both"/>
              <w:rPr>
                <w:rFonts w:ascii="Arial Narrow" w:hAnsi="Arial Narrow" w:cs="Arial"/>
                <w:color w:val="FF0000"/>
                <w:sz w:val="20"/>
                <w:szCs w:val="20"/>
              </w:rPr>
            </w:pPr>
          </w:p>
          <w:p w:rsidR="009B47CC" w:rsidRPr="004B2AC4" w:rsidRDefault="009B47CC" w:rsidP="00273FE1">
            <w:pPr>
              <w:contextualSpacing/>
              <w:jc w:val="both"/>
              <w:rPr>
                <w:rFonts w:ascii="Arial Narrow" w:hAnsi="Arial Narrow" w:cs="Arial"/>
                <w:color w:val="FF0000"/>
                <w:sz w:val="20"/>
                <w:szCs w:val="20"/>
              </w:rPr>
            </w:pPr>
          </w:p>
        </w:tc>
        <w:tc>
          <w:tcPr>
            <w:tcW w:w="3395" w:type="dxa"/>
            <w:vMerge w:val="restart"/>
          </w:tcPr>
          <w:p w:rsidR="009B47CC" w:rsidRPr="00A82972" w:rsidRDefault="009B47CC" w:rsidP="00191866">
            <w:pPr>
              <w:contextualSpacing/>
              <w:jc w:val="both"/>
              <w:rPr>
                <w:rFonts w:ascii="Arial Narrow" w:hAnsi="Arial Narrow" w:cs="Arial"/>
                <w:color w:val="FF0000"/>
                <w:sz w:val="20"/>
                <w:szCs w:val="20"/>
              </w:rPr>
            </w:pPr>
            <w:r>
              <w:rPr>
                <w:rFonts w:ascii="Arial Narrow" w:hAnsi="Arial Narrow" w:cs="Arial"/>
                <w:color w:val="000000" w:themeColor="text1"/>
                <w:sz w:val="20"/>
                <w:szCs w:val="20"/>
              </w:rPr>
              <w:t>Delays associated with procurement challenges</w:t>
            </w:r>
            <w:r w:rsidR="00191866">
              <w:rPr>
                <w:rFonts w:ascii="Arial Narrow" w:hAnsi="Arial Narrow" w:cs="Arial"/>
                <w:color w:val="000000" w:themeColor="text1"/>
                <w:sz w:val="20"/>
                <w:szCs w:val="20"/>
              </w:rPr>
              <w:t xml:space="preserve"> as a result of the new National Treasury Procurement process requirements</w:t>
            </w:r>
            <w:r>
              <w:rPr>
                <w:rFonts w:ascii="Arial Narrow" w:hAnsi="Arial Narrow" w:cs="Arial"/>
                <w:color w:val="000000" w:themeColor="text1"/>
                <w:sz w:val="20"/>
                <w:szCs w:val="20"/>
              </w:rPr>
              <w:t xml:space="preserve"> and engineering </w:t>
            </w:r>
            <w:r w:rsidR="00191866">
              <w:rPr>
                <w:rFonts w:ascii="Arial Narrow" w:hAnsi="Arial Narrow" w:cs="Arial"/>
                <w:color w:val="000000" w:themeColor="text1"/>
                <w:sz w:val="20"/>
                <w:szCs w:val="20"/>
              </w:rPr>
              <w:t>technical design</w:t>
            </w:r>
            <w:r>
              <w:rPr>
                <w:rFonts w:ascii="Arial Narrow" w:hAnsi="Arial Narrow" w:cs="Arial"/>
                <w:color w:val="000000" w:themeColor="text1"/>
                <w:sz w:val="20"/>
                <w:szCs w:val="20"/>
              </w:rPr>
              <w:t xml:space="preserve"> issues.</w:t>
            </w:r>
            <w:r w:rsidR="00191866">
              <w:rPr>
                <w:rFonts w:ascii="Arial Narrow" w:hAnsi="Arial Narrow" w:cs="Arial"/>
                <w:color w:val="000000" w:themeColor="text1"/>
                <w:sz w:val="20"/>
                <w:szCs w:val="20"/>
              </w:rPr>
              <w:t xml:space="preserve"> Additional engineering design capacity has been sought to resolve some of the challenges. </w:t>
            </w:r>
          </w:p>
        </w:tc>
      </w:tr>
      <w:tr w:rsidR="009B47CC" w:rsidRPr="0023409C" w:rsidTr="00400EA9">
        <w:trPr>
          <w:trHeight w:val="77"/>
        </w:trPr>
        <w:tc>
          <w:tcPr>
            <w:tcW w:w="1783" w:type="dxa"/>
            <w:vMerge/>
          </w:tcPr>
          <w:p w:rsidR="009B47CC" w:rsidRDefault="009B47CC" w:rsidP="007E47BE">
            <w:pPr>
              <w:contextualSpacing/>
              <w:jc w:val="both"/>
              <w:rPr>
                <w:rFonts w:ascii="Arial Narrow" w:hAnsi="Arial Narrow" w:cs="Arial"/>
                <w:sz w:val="20"/>
                <w:szCs w:val="20"/>
              </w:rPr>
            </w:pPr>
          </w:p>
        </w:tc>
        <w:tc>
          <w:tcPr>
            <w:tcW w:w="1679" w:type="dxa"/>
          </w:tcPr>
          <w:p w:rsidR="009B47CC" w:rsidRPr="004B2AC4" w:rsidRDefault="009B47CC" w:rsidP="00A82972">
            <w:pPr>
              <w:contextualSpacing/>
              <w:jc w:val="both"/>
              <w:rPr>
                <w:rFonts w:ascii="Arial Narrow" w:hAnsi="Arial Narrow" w:cs="Arial"/>
                <w:sz w:val="20"/>
                <w:szCs w:val="20"/>
              </w:rPr>
            </w:pPr>
            <w:r w:rsidRPr="004B2AC4">
              <w:rPr>
                <w:rFonts w:ascii="Arial Narrow" w:hAnsi="Arial Narrow" w:cs="Arial"/>
                <w:sz w:val="20"/>
                <w:szCs w:val="20"/>
              </w:rPr>
              <w:t>1 April 2020-31March 2025</w:t>
            </w:r>
          </w:p>
        </w:tc>
        <w:tc>
          <w:tcPr>
            <w:tcW w:w="1810" w:type="dxa"/>
          </w:tcPr>
          <w:p w:rsidR="009B47CC" w:rsidRPr="004B2AC4" w:rsidRDefault="009B47CC" w:rsidP="007E47BE">
            <w:pPr>
              <w:contextualSpacing/>
              <w:jc w:val="both"/>
              <w:rPr>
                <w:rFonts w:ascii="Arial Narrow" w:hAnsi="Arial Narrow" w:cs="Arial"/>
                <w:sz w:val="20"/>
                <w:szCs w:val="20"/>
                <w:vertAlign w:val="superscript"/>
              </w:rPr>
            </w:pPr>
            <w:r>
              <w:rPr>
                <w:rFonts w:ascii="Arial Narrow" w:hAnsi="Arial Narrow" w:cs="Arial"/>
                <w:sz w:val="20"/>
                <w:szCs w:val="20"/>
              </w:rPr>
              <w:t>SO2: 2800mg/Nm</w:t>
            </w:r>
            <w:r>
              <w:rPr>
                <w:rFonts w:ascii="Arial Narrow" w:hAnsi="Arial Narrow" w:cs="Arial"/>
                <w:sz w:val="20"/>
                <w:szCs w:val="20"/>
                <w:vertAlign w:val="superscript"/>
              </w:rPr>
              <w:t>3</w:t>
            </w:r>
          </w:p>
        </w:tc>
        <w:tc>
          <w:tcPr>
            <w:tcW w:w="1908" w:type="dxa"/>
            <w:vMerge/>
          </w:tcPr>
          <w:p w:rsidR="009B47CC" w:rsidRPr="00A82972" w:rsidRDefault="009B47CC" w:rsidP="00273FE1">
            <w:pPr>
              <w:contextualSpacing/>
              <w:jc w:val="both"/>
              <w:rPr>
                <w:rFonts w:ascii="Arial Narrow" w:hAnsi="Arial Narrow" w:cs="Arial"/>
                <w:color w:val="FF0000"/>
                <w:sz w:val="20"/>
                <w:szCs w:val="20"/>
              </w:rPr>
            </w:pPr>
          </w:p>
        </w:tc>
        <w:tc>
          <w:tcPr>
            <w:tcW w:w="3605" w:type="dxa"/>
            <w:vMerge/>
          </w:tcPr>
          <w:p w:rsidR="009B47CC" w:rsidRPr="00A82972" w:rsidRDefault="009B47CC" w:rsidP="00273FE1">
            <w:pPr>
              <w:contextualSpacing/>
              <w:jc w:val="both"/>
              <w:rPr>
                <w:rFonts w:ascii="Arial Narrow" w:hAnsi="Arial Narrow" w:cs="Arial"/>
                <w:color w:val="FF0000"/>
                <w:sz w:val="20"/>
                <w:szCs w:val="20"/>
              </w:rPr>
            </w:pPr>
          </w:p>
        </w:tc>
        <w:tc>
          <w:tcPr>
            <w:tcW w:w="3395" w:type="dxa"/>
            <w:vMerge/>
          </w:tcPr>
          <w:p w:rsidR="009B47CC" w:rsidRPr="00A82972" w:rsidRDefault="009B47CC" w:rsidP="007E47BE">
            <w:pPr>
              <w:contextualSpacing/>
              <w:jc w:val="both"/>
              <w:rPr>
                <w:rFonts w:ascii="Arial Narrow" w:hAnsi="Arial Narrow" w:cs="Arial"/>
                <w:color w:val="FF0000"/>
                <w:sz w:val="20"/>
                <w:szCs w:val="20"/>
              </w:rPr>
            </w:pPr>
          </w:p>
        </w:tc>
      </w:tr>
      <w:tr w:rsidR="009B47CC" w:rsidRPr="0023409C" w:rsidTr="00400EA9">
        <w:trPr>
          <w:trHeight w:val="77"/>
        </w:trPr>
        <w:tc>
          <w:tcPr>
            <w:tcW w:w="1783" w:type="dxa"/>
            <w:vMerge/>
          </w:tcPr>
          <w:p w:rsidR="009B47CC" w:rsidRDefault="009B47CC" w:rsidP="007E47BE">
            <w:pPr>
              <w:contextualSpacing/>
              <w:jc w:val="both"/>
              <w:rPr>
                <w:rFonts w:ascii="Arial Narrow" w:hAnsi="Arial Narrow" w:cs="Arial"/>
                <w:sz w:val="20"/>
                <w:szCs w:val="20"/>
              </w:rPr>
            </w:pPr>
          </w:p>
        </w:tc>
        <w:tc>
          <w:tcPr>
            <w:tcW w:w="1679" w:type="dxa"/>
          </w:tcPr>
          <w:p w:rsidR="009B47CC" w:rsidRPr="004B2AC4" w:rsidRDefault="009B47CC" w:rsidP="00A82972">
            <w:pPr>
              <w:contextualSpacing/>
              <w:jc w:val="both"/>
              <w:rPr>
                <w:rFonts w:ascii="Arial Narrow" w:hAnsi="Arial Narrow" w:cs="Arial"/>
                <w:sz w:val="20"/>
                <w:szCs w:val="20"/>
              </w:rPr>
            </w:pPr>
            <w:r w:rsidRPr="004B2AC4">
              <w:rPr>
                <w:rFonts w:ascii="Arial Narrow" w:hAnsi="Arial Narrow" w:cs="Arial"/>
                <w:sz w:val="20"/>
                <w:szCs w:val="20"/>
              </w:rPr>
              <w:t>1 April 2015-31 March 2020</w:t>
            </w:r>
          </w:p>
        </w:tc>
        <w:tc>
          <w:tcPr>
            <w:tcW w:w="1810" w:type="dxa"/>
          </w:tcPr>
          <w:p w:rsidR="009B47CC" w:rsidRPr="004B2AC4" w:rsidRDefault="009B47CC" w:rsidP="007E47BE">
            <w:pPr>
              <w:contextualSpacing/>
              <w:jc w:val="both"/>
              <w:rPr>
                <w:rFonts w:ascii="Arial Narrow" w:hAnsi="Arial Narrow" w:cs="Arial"/>
                <w:sz w:val="20"/>
                <w:szCs w:val="20"/>
                <w:vertAlign w:val="superscript"/>
              </w:rPr>
            </w:pPr>
            <w:r>
              <w:rPr>
                <w:rFonts w:ascii="Arial Narrow" w:hAnsi="Arial Narrow" w:cs="Arial"/>
                <w:sz w:val="20"/>
                <w:szCs w:val="20"/>
              </w:rPr>
              <w:t>NOx: 1600mg/Nm</w:t>
            </w:r>
            <w:r>
              <w:rPr>
                <w:rFonts w:ascii="Arial Narrow" w:hAnsi="Arial Narrow" w:cs="Arial"/>
                <w:sz w:val="20"/>
                <w:szCs w:val="20"/>
                <w:vertAlign w:val="superscript"/>
              </w:rPr>
              <w:t>3</w:t>
            </w:r>
          </w:p>
        </w:tc>
        <w:tc>
          <w:tcPr>
            <w:tcW w:w="1908" w:type="dxa"/>
            <w:vMerge/>
          </w:tcPr>
          <w:p w:rsidR="009B47CC" w:rsidRPr="00A82972" w:rsidRDefault="009B47CC" w:rsidP="007E47BE">
            <w:pPr>
              <w:contextualSpacing/>
              <w:jc w:val="both"/>
              <w:rPr>
                <w:rFonts w:ascii="Arial Narrow" w:hAnsi="Arial Narrow" w:cs="Arial"/>
                <w:color w:val="FF0000"/>
                <w:sz w:val="20"/>
                <w:szCs w:val="20"/>
              </w:rPr>
            </w:pPr>
          </w:p>
        </w:tc>
        <w:tc>
          <w:tcPr>
            <w:tcW w:w="3605" w:type="dxa"/>
            <w:vMerge/>
          </w:tcPr>
          <w:p w:rsidR="009B47CC" w:rsidRPr="00A82972" w:rsidRDefault="009B47CC" w:rsidP="007E47BE">
            <w:pPr>
              <w:contextualSpacing/>
              <w:jc w:val="both"/>
              <w:rPr>
                <w:rFonts w:ascii="Arial Narrow" w:hAnsi="Arial Narrow" w:cs="Arial"/>
                <w:color w:val="FF0000"/>
                <w:sz w:val="20"/>
                <w:szCs w:val="20"/>
              </w:rPr>
            </w:pPr>
          </w:p>
        </w:tc>
        <w:tc>
          <w:tcPr>
            <w:tcW w:w="3395" w:type="dxa"/>
            <w:vMerge/>
          </w:tcPr>
          <w:p w:rsidR="009B47CC" w:rsidRPr="00A82972" w:rsidRDefault="009B47CC" w:rsidP="007E47BE">
            <w:pPr>
              <w:contextualSpacing/>
              <w:jc w:val="both"/>
              <w:rPr>
                <w:rFonts w:ascii="Arial Narrow" w:hAnsi="Arial Narrow" w:cs="Arial"/>
                <w:color w:val="FF0000"/>
                <w:sz w:val="20"/>
                <w:szCs w:val="20"/>
              </w:rPr>
            </w:pPr>
          </w:p>
        </w:tc>
      </w:tr>
      <w:tr w:rsidR="00191866" w:rsidRPr="0023409C" w:rsidTr="00400EA9">
        <w:trPr>
          <w:trHeight w:val="77"/>
        </w:trPr>
        <w:tc>
          <w:tcPr>
            <w:tcW w:w="1783" w:type="dxa"/>
            <w:vMerge w:val="restart"/>
          </w:tcPr>
          <w:p w:rsidR="00191866" w:rsidRDefault="00191866" w:rsidP="007E47BE">
            <w:pPr>
              <w:contextualSpacing/>
              <w:jc w:val="both"/>
              <w:rPr>
                <w:rFonts w:ascii="Arial Narrow" w:hAnsi="Arial Narrow" w:cs="Arial"/>
                <w:sz w:val="20"/>
                <w:szCs w:val="20"/>
              </w:rPr>
            </w:pPr>
            <w:r>
              <w:rPr>
                <w:rFonts w:ascii="Arial Narrow" w:hAnsi="Arial Narrow" w:cs="Arial"/>
                <w:sz w:val="20"/>
                <w:szCs w:val="20"/>
              </w:rPr>
              <w:t>Matla</w:t>
            </w:r>
          </w:p>
        </w:tc>
        <w:tc>
          <w:tcPr>
            <w:tcW w:w="1679" w:type="dxa"/>
          </w:tcPr>
          <w:p w:rsidR="00191866" w:rsidRPr="004B2AC4" w:rsidRDefault="00191866" w:rsidP="00A82972">
            <w:pPr>
              <w:contextualSpacing/>
              <w:jc w:val="both"/>
              <w:rPr>
                <w:rFonts w:ascii="Arial Narrow" w:hAnsi="Arial Narrow" w:cs="Arial"/>
                <w:sz w:val="20"/>
                <w:szCs w:val="20"/>
              </w:rPr>
            </w:pPr>
            <w:r w:rsidRPr="00FF0F34">
              <w:rPr>
                <w:rFonts w:ascii="Arial Narrow" w:hAnsi="Arial Narrow" w:cs="Arial"/>
                <w:sz w:val="20"/>
                <w:szCs w:val="20"/>
              </w:rPr>
              <w:t>1 April 2015-31 March 2020</w:t>
            </w:r>
          </w:p>
        </w:tc>
        <w:tc>
          <w:tcPr>
            <w:tcW w:w="1810" w:type="dxa"/>
          </w:tcPr>
          <w:p w:rsidR="00191866" w:rsidRPr="00FF0F34" w:rsidRDefault="00191866" w:rsidP="007E47BE">
            <w:pPr>
              <w:contextualSpacing/>
              <w:jc w:val="both"/>
              <w:rPr>
                <w:rFonts w:ascii="Arial Narrow" w:hAnsi="Arial Narrow" w:cs="Arial"/>
                <w:sz w:val="20"/>
                <w:szCs w:val="20"/>
                <w:vertAlign w:val="superscript"/>
              </w:rPr>
            </w:pPr>
            <w:r>
              <w:rPr>
                <w:rFonts w:ascii="Arial Narrow" w:hAnsi="Arial Narrow" w:cs="Arial"/>
                <w:sz w:val="20"/>
                <w:szCs w:val="20"/>
              </w:rPr>
              <w:t>PM: 200mg/Nm</w:t>
            </w:r>
            <w:r>
              <w:rPr>
                <w:rFonts w:ascii="Arial Narrow" w:hAnsi="Arial Narrow" w:cs="Arial"/>
                <w:sz w:val="20"/>
                <w:szCs w:val="20"/>
                <w:vertAlign w:val="superscript"/>
              </w:rPr>
              <w:t>3</w:t>
            </w:r>
          </w:p>
        </w:tc>
        <w:tc>
          <w:tcPr>
            <w:tcW w:w="1908" w:type="dxa"/>
          </w:tcPr>
          <w:p w:rsidR="00191866" w:rsidRPr="004B2AC4" w:rsidRDefault="00191866" w:rsidP="007E47BE">
            <w:pPr>
              <w:contextualSpacing/>
              <w:jc w:val="both"/>
              <w:rPr>
                <w:rFonts w:ascii="Arial Narrow" w:hAnsi="Arial Narrow" w:cs="Arial"/>
                <w:color w:val="FF0000"/>
                <w:sz w:val="20"/>
                <w:szCs w:val="20"/>
              </w:rPr>
            </w:pPr>
            <w:r w:rsidRPr="00191866">
              <w:rPr>
                <w:rFonts w:ascii="Arial Narrow" w:hAnsi="Arial Narrow" w:cs="Arial"/>
                <w:sz w:val="20"/>
                <w:szCs w:val="20"/>
              </w:rPr>
              <w:t>Installation of fabric filters</w:t>
            </w:r>
          </w:p>
          <w:p w:rsidR="00191866" w:rsidRPr="004B2AC4" w:rsidRDefault="00191866" w:rsidP="00273FE1">
            <w:pPr>
              <w:contextualSpacing/>
              <w:jc w:val="both"/>
              <w:rPr>
                <w:rFonts w:ascii="Arial Narrow" w:hAnsi="Arial Narrow" w:cs="Arial"/>
                <w:color w:val="FF0000"/>
                <w:sz w:val="20"/>
                <w:szCs w:val="20"/>
              </w:rPr>
            </w:pPr>
          </w:p>
        </w:tc>
        <w:tc>
          <w:tcPr>
            <w:tcW w:w="3605" w:type="dxa"/>
          </w:tcPr>
          <w:p w:rsidR="00191866" w:rsidRPr="00FF0F34" w:rsidRDefault="00191866" w:rsidP="00FF0F34">
            <w:pPr>
              <w:contextualSpacing/>
              <w:jc w:val="both"/>
              <w:rPr>
                <w:rFonts w:ascii="Arial Narrow" w:hAnsi="Arial Narrow" w:cs="Arial"/>
                <w:color w:val="000000" w:themeColor="text1"/>
                <w:sz w:val="20"/>
                <w:szCs w:val="20"/>
                <w:lang w:val="en-ZA"/>
              </w:rPr>
            </w:pPr>
            <w:r w:rsidRPr="00FF0F34">
              <w:rPr>
                <w:rFonts w:ascii="Arial Narrow" w:hAnsi="Arial Narrow" w:cs="Arial"/>
                <w:color w:val="000000" w:themeColor="text1"/>
                <w:sz w:val="20"/>
                <w:szCs w:val="20"/>
                <w:lang w:val="en-ZA"/>
              </w:rPr>
              <w:t xml:space="preserve">The plans to install fabric filter plants on all units have been cancelled. Instead, the ESP upgrades will be completed on the remaining units, ESP high frequency transformers will be installed, and the DHPs and SO3 plants will be refurbished. Basic designs for HFT pilot completed. ERA for one pilot unit's HFT's </w:t>
            </w:r>
            <w:r w:rsidRPr="00FF0F34">
              <w:rPr>
                <w:rFonts w:ascii="Arial Narrow" w:hAnsi="Arial Narrow" w:cs="Arial"/>
                <w:color w:val="000000" w:themeColor="text1"/>
                <w:sz w:val="20"/>
                <w:szCs w:val="20"/>
                <w:lang w:val="en-ZA"/>
              </w:rPr>
              <w:lastRenderedPageBreak/>
              <w:t>approved. Sole source justification approved. On the FFP side, FFP and Dust Handling Plant (DHP) upgrade concept designs had been completed.</w:t>
            </w:r>
          </w:p>
          <w:p w:rsidR="00191866" w:rsidRPr="004B2AC4" w:rsidRDefault="00191866" w:rsidP="007E47BE">
            <w:pPr>
              <w:contextualSpacing/>
              <w:jc w:val="both"/>
              <w:rPr>
                <w:rFonts w:ascii="Arial Narrow" w:hAnsi="Arial Narrow" w:cs="Arial"/>
                <w:color w:val="FF0000"/>
                <w:sz w:val="20"/>
                <w:szCs w:val="20"/>
              </w:rPr>
            </w:pPr>
          </w:p>
        </w:tc>
        <w:tc>
          <w:tcPr>
            <w:tcW w:w="3395" w:type="dxa"/>
          </w:tcPr>
          <w:p w:rsidR="00191866" w:rsidRPr="00A82972" w:rsidRDefault="00191866" w:rsidP="00191866">
            <w:pPr>
              <w:contextualSpacing/>
              <w:jc w:val="both"/>
              <w:rPr>
                <w:rFonts w:ascii="Arial Narrow" w:hAnsi="Arial Narrow" w:cs="Arial"/>
                <w:color w:val="FF0000"/>
                <w:sz w:val="20"/>
                <w:szCs w:val="20"/>
              </w:rPr>
            </w:pPr>
            <w:r w:rsidRPr="00191866">
              <w:rPr>
                <w:rFonts w:ascii="Arial Narrow" w:hAnsi="Arial Narrow" w:cs="Arial"/>
                <w:color w:val="000000" w:themeColor="text1"/>
                <w:sz w:val="20"/>
                <w:szCs w:val="20"/>
              </w:rPr>
              <w:lastRenderedPageBreak/>
              <w:t>Risk that units will not be able to meet emission standards for new plants by 1 April 2020. Eskom plans to request a monthly emission limit for these units</w:t>
            </w:r>
          </w:p>
        </w:tc>
      </w:tr>
      <w:tr w:rsidR="00FF0F34" w:rsidRPr="0023409C" w:rsidTr="00400EA9">
        <w:trPr>
          <w:trHeight w:val="77"/>
        </w:trPr>
        <w:tc>
          <w:tcPr>
            <w:tcW w:w="1783" w:type="dxa"/>
            <w:vMerge/>
          </w:tcPr>
          <w:p w:rsidR="00FF0F34" w:rsidRDefault="00FF0F34" w:rsidP="007E47BE">
            <w:pPr>
              <w:contextualSpacing/>
              <w:jc w:val="both"/>
              <w:rPr>
                <w:rFonts w:ascii="Arial Narrow" w:hAnsi="Arial Narrow" w:cs="Arial"/>
                <w:sz w:val="20"/>
                <w:szCs w:val="20"/>
              </w:rPr>
            </w:pPr>
          </w:p>
        </w:tc>
        <w:tc>
          <w:tcPr>
            <w:tcW w:w="1679" w:type="dxa"/>
          </w:tcPr>
          <w:p w:rsidR="00FF0F34" w:rsidRPr="00FF0F34" w:rsidRDefault="00FF0F34" w:rsidP="00A82972">
            <w:pPr>
              <w:contextualSpacing/>
              <w:jc w:val="both"/>
              <w:rPr>
                <w:rFonts w:ascii="Arial Narrow" w:hAnsi="Arial Narrow" w:cs="Arial"/>
                <w:sz w:val="20"/>
                <w:szCs w:val="20"/>
              </w:rPr>
            </w:pPr>
            <w:r w:rsidRPr="00FF0F34">
              <w:rPr>
                <w:rFonts w:ascii="Arial Narrow" w:hAnsi="Arial Narrow" w:cs="Arial"/>
                <w:sz w:val="20"/>
                <w:szCs w:val="20"/>
              </w:rPr>
              <w:t>1 April 2015-31 March 2020</w:t>
            </w:r>
          </w:p>
        </w:tc>
        <w:tc>
          <w:tcPr>
            <w:tcW w:w="1810" w:type="dxa"/>
          </w:tcPr>
          <w:p w:rsidR="00FF0F34" w:rsidRPr="00FF0F34" w:rsidRDefault="00FF0F34" w:rsidP="007E47BE">
            <w:pPr>
              <w:contextualSpacing/>
              <w:jc w:val="both"/>
              <w:rPr>
                <w:rFonts w:ascii="Arial Narrow" w:hAnsi="Arial Narrow" w:cs="Arial"/>
                <w:sz w:val="20"/>
                <w:szCs w:val="20"/>
                <w:vertAlign w:val="superscript"/>
              </w:rPr>
            </w:pPr>
            <w:r>
              <w:rPr>
                <w:rFonts w:ascii="Arial Narrow" w:hAnsi="Arial Narrow" w:cs="Arial"/>
                <w:sz w:val="20"/>
                <w:szCs w:val="20"/>
              </w:rPr>
              <w:t>NOx: 1200mg/Nm</w:t>
            </w:r>
            <w:r>
              <w:rPr>
                <w:rFonts w:ascii="Arial Narrow" w:hAnsi="Arial Narrow" w:cs="Arial"/>
                <w:sz w:val="20"/>
                <w:szCs w:val="20"/>
                <w:vertAlign w:val="superscript"/>
              </w:rPr>
              <w:t>3</w:t>
            </w:r>
          </w:p>
        </w:tc>
        <w:tc>
          <w:tcPr>
            <w:tcW w:w="1908" w:type="dxa"/>
          </w:tcPr>
          <w:p w:rsidR="00FF0F34" w:rsidRPr="00FF0F34" w:rsidRDefault="00FF0F34" w:rsidP="00FF0F34">
            <w:pPr>
              <w:contextualSpacing/>
              <w:jc w:val="both"/>
              <w:rPr>
                <w:rFonts w:ascii="Arial Narrow" w:hAnsi="Arial Narrow" w:cs="Arial"/>
                <w:color w:val="000000" w:themeColor="text1"/>
                <w:sz w:val="20"/>
                <w:szCs w:val="20"/>
              </w:rPr>
            </w:pPr>
            <w:r w:rsidRPr="00FF0F34">
              <w:rPr>
                <w:rFonts w:ascii="Arial Narrow" w:hAnsi="Arial Narrow" w:cs="Arial"/>
                <w:color w:val="000000" w:themeColor="text1"/>
                <w:sz w:val="20"/>
                <w:szCs w:val="20"/>
              </w:rPr>
              <w:t>Installations of LBN</w:t>
            </w:r>
          </w:p>
        </w:tc>
        <w:tc>
          <w:tcPr>
            <w:tcW w:w="3605" w:type="dxa"/>
          </w:tcPr>
          <w:p w:rsidR="00FF0F34" w:rsidRPr="00FF0F34" w:rsidRDefault="00FF0F34" w:rsidP="00FF0F34">
            <w:pPr>
              <w:contextualSpacing/>
              <w:jc w:val="both"/>
              <w:rPr>
                <w:rFonts w:ascii="Arial Narrow" w:hAnsi="Arial Narrow" w:cs="Arial"/>
                <w:color w:val="000000" w:themeColor="text1"/>
                <w:sz w:val="20"/>
                <w:szCs w:val="20"/>
                <w:lang w:val="en-ZA"/>
              </w:rPr>
            </w:pPr>
            <w:r w:rsidRPr="00FF0F34">
              <w:rPr>
                <w:rFonts w:ascii="Arial Narrow" w:hAnsi="Arial Narrow" w:cs="Arial"/>
                <w:color w:val="000000" w:themeColor="text1"/>
                <w:sz w:val="20"/>
                <w:szCs w:val="20"/>
                <w:lang w:val="en-ZA"/>
              </w:rPr>
              <w:t>Technology feasibility study and basic designs are underway towards finalisation. Currently starting detailed designs.</w:t>
            </w:r>
          </w:p>
          <w:p w:rsidR="00FF0F34" w:rsidRPr="00FF0F34" w:rsidRDefault="00FF0F34" w:rsidP="007E47BE">
            <w:pPr>
              <w:contextualSpacing/>
              <w:jc w:val="both"/>
              <w:rPr>
                <w:rFonts w:ascii="Arial Narrow" w:hAnsi="Arial Narrow" w:cs="Arial"/>
                <w:color w:val="000000" w:themeColor="text1"/>
                <w:sz w:val="20"/>
                <w:szCs w:val="20"/>
              </w:rPr>
            </w:pPr>
          </w:p>
        </w:tc>
        <w:tc>
          <w:tcPr>
            <w:tcW w:w="3395" w:type="dxa"/>
          </w:tcPr>
          <w:p w:rsidR="00FF0F34" w:rsidRPr="00A82972" w:rsidRDefault="00191866" w:rsidP="007E47BE">
            <w:pPr>
              <w:contextualSpacing/>
              <w:jc w:val="both"/>
              <w:rPr>
                <w:rFonts w:ascii="Arial Narrow" w:hAnsi="Arial Narrow" w:cs="Arial"/>
                <w:color w:val="FF0000"/>
                <w:sz w:val="20"/>
                <w:szCs w:val="20"/>
              </w:rPr>
            </w:pPr>
            <w:r>
              <w:rPr>
                <w:rFonts w:ascii="Arial Narrow" w:hAnsi="Arial Narrow" w:cs="Arial"/>
                <w:color w:val="000000" w:themeColor="text1"/>
                <w:sz w:val="20"/>
                <w:szCs w:val="20"/>
              </w:rPr>
              <w:t>Last unit is at risk of not complying with the 1 April 2025 timeframe.</w:t>
            </w:r>
          </w:p>
        </w:tc>
      </w:tr>
      <w:tr w:rsidR="007A375F" w:rsidRPr="0023409C" w:rsidTr="00400EA9">
        <w:trPr>
          <w:trHeight w:val="77"/>
        </w:trPr>
        <w:tc>
          <w:tcPr>
            <w:tcW w:w="1783" w:type="dxa"/>
            <w:vMerge w:val="restart"/>
          </w:tcPr>
          <w:p w:rsidR="007A375F" w:rsidRDefault="007A375F" w:rsidP="007E47BE">
            <w:pPr>
              <w:contextualSpacing/>
              <w:jc w:val="both"/>
              <w:rPr>
                <w:rFonts w:ascii="Arial Narrow" w:hAnsi="Arial Narrow" w:cs="Arial"/>
                <w:sz w:val="20"/>
                <w:szCs w:val="20"/>
              </w:rPr>
            </w:pPr>
            <w:r>
              <w:rPr>
                <w:rFonts w:ascii="Arial Narrow" w:hAnsi="Arial Narrow" w:cs="Arial"/>
                <w:sz w:val="20"/>
                <w:szCs w:val="20"/>
              </w:rPr>
              <w:t>Grootvlei</w:t>
            </w:r>
          </w:p>
        </w:tc>
        <w:tc>
          <w:tcPr>
            <w:tcW w:w="1679" w:type="dxa"/>
          </w:tcPr>
          <w:p w:rsidR="007A375F" w:rsidRPr="00FF0F34" w:rsidRDefault="007A375F" w:rsidP="00A82972">
            <w:pPr>
              <w:contextualSpacing/>
              <w:jc w:val="both"/>
              <w:rPr>
                <w:rFonts w:ascii="Arial Narrow" w:hAnsi="Arial Narrow" w:cs="Arial"/>
                <w:sz w:val="20"/>
                <w:szCs w:val="20"/>
              </w:rPr>
            </w:pPr>
            <w:r>
              <w:rPr>
                <w:rFonts w:ascii="Arial Narrow" w:hAnsi="Arial Narrow" w:cs="Arial"/>
                <w:sz w:val="20"/>
                <w:szCs w:val="20"/>
              </w:rPr>
              <w:t>1 April 2015-31 March 2018</w:t>
            </w:r>
          </w:p>
        </w:tc>
        <w:tc>
          <w:tcPr>
            <w:tcW w:w="1810" w:type="dxa"/>
          </w:tcPr>
          <w:p w:rsidR="007A375F" w:rsidRPr="007B6E30" w:rsidRDefault="007A375F" w:rsidP="007E47BE">
            <w:pPr>
              <w:contextualSpacing/>
              <w:jc w:val="both"/>
              <w:rPr>
                <w:rFonts w:ascii="Arial Narrow" w:hAnsi="Arial Narrow" w:cs="Arial"/>
                <w:sz w:val="20"/>
                <w:szCs w:val="20"/>
                <w:vertAlign w:val="superscript"/>
              </w:rPr>
            </w:pPr>
            <w:r>
              <w:rPr>
                <w:rFonts w:ascii="Arial Narrow" w:hAnsi="Arial Narrow" w:cs="Arial"/>
                <w:sz w:val="20"/>
                <w:szCs w:val="20"/>
              </w:rPr>
              <w:t>PM: 350mg/Nm</w:t>
            </w:r>
            <w:r>
              <w:rPr>
                <w:rFonts w:ascii="Arial Narrow" w:hAnsi="Arial Narrow" w:cs="Arial"/>
                <w:sz w:val="20"/>
                <w:szCs w:val="20"/>
                <w:vertAlign w:val="superscript"/>
              </w:rPr>
              <w:t>3</w:t>
            </w:r>
          </w:p>
        </w:tc>
        <w:tc>
          <w:tcPr>
            <w:tcW w:w="1908" w:type="dxa"/>
            <w:vMerge w:val="restart"/>
          </w:tcPr>
          <w:p w:rsidR="007A375F" w:rsidRPr="00FF0F34" w:rsidRDefault="007A375F" w:rsidP="00FF0F34">
            <w:pPr>
              <w:contextualSpacing/>
              <w:jc w:val="both"/>
              <w:rPr>
                <w:rFonts w:ascii="Arial Narrow" w:hAnsi="Arial Narrow" w:cs="Arial"/>
                <w:color w:val="000000" w:themeColor="text1"/>
                <w:sz w:val="20"/>
                <w:szCs w:val="20"/>
              </w:rPr>
            </w:pPr>
            <w:r w:rsidRPr="007B6E30">
              <w:rPr>
                <w:rFonts w:ascii="Arial Narrow" w:hAnsi="Arial Narrow" w:cs="Arial"/>
                <w:color w:val="000000" w:themeColor="text1"/>
                <w:sz w:val="20"/>
                <w:szCs w:val="20"/>
              </w:rPr>
              <w:t>Installation of fabric filters</w:t>
            </w:r>
          </w:p>
          <w:p w:rsidR="007A375F" w:rsidRPr="00FF0F34" w:rsidRDefault="007A375F" w:rsidP="00273FE1">
            <w:pPr>
              <w:contextualSpacing/>
              <w:jc w:val="both"/>
              <w:rPr>
                <w:rFonts w:ascii="Arial Narrow" w:hAnsi="Arial Narrow" w:cs="Arial"/>
                <w:color w:val="000000" w:themeColor="text1"/>
                <w:sz w:val="20"/>
                <w:szCs w:val="20"/>
              </w:rPr>
            </w:pPr>
          </w:p>
        </w:tc>
        <w:tc>
          <w:tcPr>
            <w:tcW w:w="3605" w:type="dxa"/>
            <w:vMerge w:val="restart"/>
          </w:tcPr>
          <w:p w:rsidR="007A375F" w:rsidRPr="007B6E30" w:rsidRDefault="007A375F" w:rsidP="007B6E30">
            <w:pPr>
              <w:contextualSpacing/>
              <w:jc w:val="both"/>
              <w:rPr>
                <w:rFonts w:ascii="Arial Narrow" w:hAnsi="Arial Narrow" w:cs="Arial"/>
                <w:color w:val="FF0000"/>
                <w:sz w:val="20"/>
                <w:szCs w:val="20"/>
                <w:lang w:val="en-ZA"/>
              </w:rPr>
            </w:pPr>
          </w:p>
          <w:p w:rsidR="007A375F" w:rsidRPr="00191866" w:rsidRDefault="007A375F" w:rsidP="007B6E30">
            <w:pPr>
              <w:contextualSpacing/>
              <w:jc w:val="both"/>
              <w:rPr>
                <w:rFonts w:ascii="Arial Narrow" w:hAnsi="Arial Narrow" w:cs="Arial"/>
                <w:color w:val="000000" w:themeColor="text1"/>
                <w:sz w:val="20"/>
                <w:szCs w:val="20"/>
                <w:lang w:val="en-ZA"/>
              </w:rPr>
            </w:pPr>
            <w:r w:rsidRPr="00191866">
              <w:rPr>
                <w:rFonts w:ascii="Arial Narrow" w:hAnsi="Arial Narrow" w:cs="Arial"/>
                <w:color w:val="000000" w:themeColor="text1"/>
                <w:sz w:val="20"/>
                <w:szCs w:val="20"/>
                <w:lang w:val="en-ZA"/>
              </w:rPr>
              <w:t>First unit (Unit 3) retrofit has been completed and the unit commissioned in March 2016. Unit 2 retrofit with FFP started in August 2016.</w:t>
            </w:r>
          </w:p>
          <w:p w:rsidR="007A375F" w:rsidRPr="007B6E30" w:rsidRDefault="007A375F" w:rsidP="00273FE1">
            <w:pPr>
              <w:contextualSpacing/>
              <w:jc w:val="both"/>
              <w:rPr>
                <w:rFonts w:ascii="Arial Narrow" w:hAnsi="Arial Narrow" w:cs="Arial"/>
                <w:color w:val="FF0000"/>
                <w:sz w:val="20"/>
                <w:szCs w:val="20"/>
                <w:lang w:val="en-ZA"/>
              </w:rPr>
            </w:pPr>
          </w:p>
        </w:tc>
        <w:tc>
          <w:tcPr>
            <w:tcW w:w="3395" w:type="dxa"/>
            <w:vMerge w:val="restart"/>
          </w:tcPr>
          <w:p w:rsidR="007A375F" w:rsidRPr="00FF0F34" w:rsidRDefault="007A375F" w:rsidP="007E47BE">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On track</w:t>
            </w:r>
          </w:p>
        </w:tc>
      </w:tr>
      <w:tr w:rsidR="007A375F" w:rsidRPr="0023409C" w:rsidTr="00400EA9">
        <w:trPr>
          <w:trHeight w:val="77"/>
        </w:trPr>
        <w:tc>
          <w:tcPr>
            <w:tcW w:w="1783" w:type="dxa"/>
            <w:vMerge/>
          </w:tcPr>
          <w:p w:rsidR="007A375F" w:rsidRDefault="007A375F" w:rsidP="007E47BE">
            <w:pPr>
              <w:contextualSpacing/>
              <w:jc w:val="both"/>
              <w:rPr>
                <w:rFonts w:ascii="Arial Narrow" w:hAnsi="Arial Narrow" w:cs="Arial"/>
                <w:sz w:val="20"/>
                <w:szCs w:val="20"/>
              </w:rPr>
            </w:pPr>
          </w:p>
        </w:tc>
        <w:tc>
          <w:tcPr>
            <w:tcW w:w="1679" w:type="dxa"/>
          </w:tcPr>
          <w:p w:rsidR="007A375F" w:rsidRDefault="007A375F" w:rsidP="00A82972">
            <w:pPr>
              <w:contextualSpacing/>
              <w:jc w:val="both"/>
              <w:rPr>
                <w:rFonts w:ascii="Arial Narrow" w:hAnsi="Arial Narrow" w:cs="Arial"/>
                <w:sz w:val="20"/>
                <w:szCs w:val="20"/>
              </w:rPr>
            </w:pPr>
            <w:r>
              <w:rPr>
                <w:rFonts w:ascii="Arial Narrow" w:hAnsi="Arial Narrow" w:cs="Arial"/>
                <w:sz w:val="20"/>
                <w:szCs w:val="20"/>
              </w:rPr>
              <w:t>1 April 2015-31 March 2020</w:t>
            </w:r>
          </w:p>
        </w:tc>
        <w:tc>
          <w:tcPr>
            <w:tcW w:w="1810" w:type="dxa"/>
          </w:tcPr>
          <w:p w:rsidR="007A375F" w:rsidRPr="005F1443" w:rsidRDefault="007A375F" w:rsidP="007E47BE">
            <w:pPr>
              <w:contextualSpacing/>
              <w:jc w:val="both"/>
              <w:rPr>
                <w:rFonts w:ascii="Arial Narrow" w:hAnsi="Arial Narrow" w:cs="Arial"/>
                <w:sz w:val="20"/>
                <w:szCs w:val="20"/>
                <w:vertAlign w:val="superscript"/>
              </w:rPr>
            </w:pPr>
            <w:r>
              <w:rPr>
                <w:rFonts w:ascii="Arial Narrow" w:hAnsi="Arial Narrow" w:cs="Arial"/>
                <w:sz w:val="20"/>
                <w:szCs w:val="20"/>
              </w:rPr>
              <w:t xml:space="preserve">SO2: </w:t>
            </w:r>
            <w:r w:rsidR="005F1443">
              <w:rPr>
                <w:rFonts w:ascii="Arial Narrow" w:hAnsi="Arial Narrow" w:cs="Arial"/>
                <w:sz w:val="20"/>
                <w:szCs w:val="20"/>
              </w:rPr>
              <w:t>3800mg/Nm</w:t>
            </w:r>
            <w:r w:rsidR="005F1443">
              <w:rPr>
                <w:rFonts w:ascii="Arial Narrow" w:hAnsi="Arial Narrow" w:cs="Arial"/>
                <w:sz w:val="20"/>
                <w:szCs w:val="20"/>
                <w:vertAlign w:val="superscript"/>
              </w:rPr>
              <w:t>3</w:t>
            </w:r>
          </w:p>
        </w:tc>
        <w:tc>
          <w:tcPr>
            <w:tcW w:w="1908" w:type="dxa"/>
            <w:vMerge/>
          </w:tcPr>
          <w:p w:rsidR="007A375F" w:rsidRPr="007B6E30" w:rsidRDefault="007A375F" w:rsidP="00FF0F34">
            <w:pPr>
              <w:contextualSpacing/>
              <w:jc w:val="both"/>
              <w:rPr>
                <w:rFonts w:ascii="Arial Narrow" w:hAnsi="Arial Narrow" w:cs="Arial"/>
                <w:color w:val="000000" w:themeColor="text1"/>
                <w:sz w:val="20"/>
                <w:szCs w:val="20"/>
              </w:rPr>
            </w:pPr>
          </w:p>
        </w:tc>
        <w:tc>
          <w:tcPr>
            <w:tcW w:w="3605" w:type="dxa"/>
            <w:vMerge/>
          </w:tcPr>
          <w:p w:rsidR="007A375F" w:rsidRPr="007B6E30" w:rsidRDefault="007A375F" w:rsidP="00FF0F34">
            <w:pPr>
              <w:contextualSpacing/>
              <w:jc w:val="both"/>
              <w:rPr>
                <w:rFonts w:ascii="Arial Narrow" w:hAnsi="Arial Narrow" w:cs="Arial"/>
                <w:color w:val="FF0000"/>
                <w:sz w:val="20"/>
                <w:szCs w:val="20"/>
                <w:lang w:val="en-ZA"/>
              </w:rPr>
            </w:pPr>
          </w:p>
        </w:tc>
        <w:tc>
          <w:tcPr>
            <w:tcW w:w="3395" w:type="dxa"/>
            <w:vMerge/>
          </w:tcPr>
          <w:p w:rsidR="007A375F" w:rsidRPr="00FF0F34" w:rsidRDefault="007A375F" w:rsidP="007E47BE">
            <w:pPr>
              <w:contextualSpacing/>
              <w:jc w:val="both"/>
              <w:rPr>
                <w:rFonts w:ascii="Arial Narrow" w:hAnsi="Arial Narrow" w:cs="Arial"/>
                <w:color w:val="000000" w:themeColor="text1"/>
                <w:sz w:val="20"/>
                <w:szCs w:val="20"/>
              </w:rPr>
            </w:pPr>
          </w:p>
        </w:tc>
      </w:tr>
      <w:tr w:rsidR="007A375F" w:rsidRPr="0023409C" w:rsidTr="00400EA9">
        <w:trPr>
          <w:trHeight w:val="77"/>
        </w:trPr>
        <w:tc>
          <w:tcPr>
            <w:tcW w:w="1783" w:type="dxa"/>
            <w:vMerge/>
          </w:tcPr>
          <w:p w:rsidR="007A375F" w:rsidRDefault="007A375F" w:rsidP="007E47BE">
            <w:pPr>
              <w:contextualSpacing/>
              <w:jc w:val="both"/>
              <w:rPr>
                <w:rFonts w:ascii="Arial Narrow" w:hAnsi="Arial Narrow" w:cs="Arial"/>
                <w:sz w:val="20"/>
                <w:szCs w:val="20"/>
              </w:rPr>
            </w:pPr>
          </w:p>
        </w:tc>
        <w:tc>
          <w:tcPr>
            <w:tcW w:w="1679" w:type="dxa"/>
          </w:tcPr>
          <w:p w:rsidR="007A375F" w:rsidRPr="007B6E30" w:rsidRDefault="007A375F" w:rsidP="00A82972">
            <w:pPr>
              <w:contextualSpacing/>
              <w:jc w:val="both"/>
              <w:rPr>
                <w:rFonts w:ascii="Arial Narrow" w:hAnsi="Arial Narrow" w:cs="Arial"/>
                <w:sz w:val="20"/>
                <w:szCs w:val="20"/>
              </w:rPr>
            </w:pPr>
            <w:r w:rsidRPr="007B6E30">
              <w:rPr>
                <w:rFonts w:ascii="Arial Narrow" w:hAnsi="Arial Narrow" w:cs="Arial"/>
                <w:sz w:val="20"/>
                <w:szCs w:val="20"/>
              </w:rPr>
              <w:t>1 April 2015-31 March 2020</w:t>
            </w:r>
          </w:p>
        </w:tc>
        <w:tc>
          <w:tcPr>
            <w:tcW w:w="1810" w:type="dxa"/>
          </w:tcPr>
          <w:p w:rsidR="007A375F" w:rsidRPr="005F1443" w:rsidRDefault="007A375F" w:rsidP="007E47BE">
            <w:pPr>
              <w:contextualSpacing/>
              <w:jc w:val="both"/>
              <w:rPr>
                <w:rFonts w:ascii="Arial Narrow" w:hAnsi="Arial Narrow" w:cs="Arial"/>
                <w:sz w:val="20"/>
                <w:szCs w:val="20"/>
                <w:vertAlign w:val="superscript"/>
              </w:rPr>
            </w:pPr>
            <w:r>
              <w:rPr>
                <w:rFonts w:ascii="Arial Narrow" w:hAnsi="Arial Narrow" w:cs="Arial"/>
                <w:sz w:val="20"/>
                <w:szCs w:val="20"/>
              </w:rPr>
              <w:t>NOx:</w:t>
            </w:r>
            <w:r w:rsidR="005F1443">
              <w:rPr>
                <w:rFonts w:ascii="Arial Narrow" w:hAnsi="Arial Narrow" w:cs="Arial"/>
                <w:sz w:val="20"/>
                <w:szCs w:val="20"/>
              </w:rPr>
              <w:t>1200mg/Nm</w:t>
            </w:r>
            <w:r w:rsidR="005F1443">
              <w:rPr>
                <w:rFonts w:ascii="Arial Narrow" w:hAnsi="Arial Narrow" w:cs="Arial"/>
                <w:sz w:val="20"/>
                <w:szCs w:val="20"/>
                <w:vertAlign w:val="superscript"/>
              </w:rPr>
              <w:t>3</w:t>
            </w:r>
          </w:p>
        </w:tc>
        <w:tc>
          <w:tcPr>
            <w:tcW w:w="1908" w:type="dxa"/>
            <w:vMerge/>
          </w:tcPr>
          <w:p w:rsidR="007A375F" w:rsidRPr="007B6E30" w:rsidRDefault="007A375F" w:rsidP="00FF0F34">
            <w:pPr>
              <w:contextualSpacing/>
              <w:jc w:val="both"/>
              <w:rPr>
                <w:rFonts w:ascii="Arial Narrow" w:hAnsi="Arial Narrow" w:cs="Arial"/>
                <w:color w:val="000000" w:themeColor="text1"/>
                <w:sz w:val="20"/>
                <w:szCs w:val="20"/>
              </w:rPr>
            </w:pPr>
          </w:p>
        </w:tc>
        <w:tc>
          <w:tcPr>
            <w:tcW w:w="3605" w:type="dxa"/>
            <w:vMerge/>
          </w:tcPr>
          <w:p w:rsidR="007A375F" w:rsidRPr="00FF0F34" w:rsidRDefault="007A375F" w:rsidP="00FF0F34">
            <w:pPr>
              <w:contextualSpacing/>
              <w:jc w:val="both"/>
              <w:rPr>
                <w:rFonts w:ascii="Arial Narrow" w:hAnsi="Arial Narrow" w:cs="Arial"/>
                <w:color w:val="000000" w:themeColor="text1"/>
                <w:sz w:val="20"/>
                <w:szCs w:val="20"/>
                <w:lang w:val="en-ZA"/>
              </w:rPr>
            </w:pPr>
          </w:p>
        </w:tc>
        <w:tc>
          <w:tcPr>
            <w:tcW w:w="3395" w:type="dxa"/>
            <w:vMerge/>
          </w:tcPr>
          <w:p w:rsidR="007A375F" w:rsidRPr="00FF0F34" w:rsidRDefault="007A375F" w:rsidP="007E47BE">
            <w:pPr>
              <w:contextualSpacing/>
              <w:jc w:val="both"/>
              <w:rPr>
                <w:rFonts w:ascii="Arial Narrow" w:hAnsi="Arial Narrow" w:cs="Arial"/>
                <w:color w:val="000000" w:themeColor="text1"/>
                <w:sz w:val="20"/>
                <w:szCs w:val="20"/>
              </w:rPr>
            </w:pPr>
          </w:p>
        </w:tc>
      </w:tr>
      <w:tr w:rsidR="007A375F" w:rsidRPr="0023409C" w:rsidTr="00400EA9">
        <w:trPr>
          <w:trHeight w:val="77"/>
        </w:trPr>
        <w:tc>
          <w:tcPr>
            <w:tcW w:w="1783" w:type="dxa"/>
            <w:vMerge w:val="restart"/>
          </w:tcPr>
          <w:p w:rsidR="007A375F" w:rsidRDefault="007A375F" w:rsidP="007E47BE">
            <w:pPr>
              <w:contextualSpacing/>
              <w:jc w:val="both"/>
              <w:rPr>
                <w:rFonts w:ascii="Arial Narrow" w:hAnsi="Arial Narrow" w:cs="Arial"/>
                <w:sz w:val="20"/>
                <w:szCs w:val="20"/>
              </w:rPr>
            </w:pPr>
            <w:r>
              <w:rPr>
                <w:rFonts w:ascii="Arial Narrow" w:hAnsi="Arial Narrow" w:cs="Arial"/>
                <w:sz w:val="20"/>
                <w:szCs w:val="20"/>
              </w:rPr>
              <w:t xml:space="preserve">Komati </w:t>
            </w:r>
          </w:p>
        </w:tc>
        <w:tc>
          <w:tcPr>
            <w:tcW w:w="1679" w:type="dxa"/>
          </w:tcPr>
          <w:p w:rsidR="007A375F" w:rsidRPr="007B6E30" w:rsidRDefault="007A375F" w:rsidP="00A82972">
            <w:pPr>
              <w:contextualSpacing/>
              <w:jc w:val="both"/>
              <w:rPr>
                <w:rFonts w:ascii="Arial Narrow" w:hAnsi="Arial Narrow" w:cs="Arial"/>
                <w:sz w:val="20"/>
                <w:szCs w:val="20"/>
              </w:rPr>
            </w:pPr>
            <w:r w:rsidRPr="007A375F">
              <w:rPr>
                <w:rFonts w:ascii="Arial Narrow" w:hAnsi="Arial Narrow" w:cs="Arial"/>
                <w:sz w:val="20"/>
                <w:szCs w:val="20"/>
              </w:rPr>
              <w:t>1 April 2015-31 March 2020</w:t>
            </w:r>
          </w:p>
        </w:tc>
        <w:tc>
          <w:tcPr>
            <w:tcW w:w="1810" w:type="dxa"/>
          </w:tcPr>
          <w:p w:rsidR="007A375F" w:rsidRPr="007A375F" w:rsidRDefault="007A375F" w:rsidP="007E47BE">
            <w:pPr>
              <w:contextualSpacing/>
              <w:jc w:val="both"/>
              <w:rPr>
                <w:rFonts w:ascii="Arial Narrow" w:hAnsi="Arial Narrow" w:cs="Arial"/>
                <w:sz w:val="20"/>
                <w:szCs w:val="20"/>
              </w:rPr>
            </w:pPr>
            <w:r>
              <w:rPr>
                <w:rFonts w:ascii="Arial Narrow" w:hAnsi="Arial Narrow" w:cs="Arial"/>
                <w:sz w:val="20"/>
                <w:szCs w:val="20"/>
              </w:rPr>
              <w:t>NOx: 1400mg/Nm</w:t>
            </w:r>
            <w:r>
              <w:rPr>
                <w:rFonts w:ascii="Arial Narrow" w:hAnsi="Arial Narrow" w:cs="Arial"/>
                <w:sz w:val="20"/>
                <w:szCs w:val="20"/>
                <w:vertAlign w:val="superscript"/>
              </w:rPr>
              <w:t>3</w:t>
            </w:r>
          </w:p>
        </w:tc>
        <w:tc>
          <w:tcPr>
            <w:tcW w:w="1908" w:type="dxa"/>
          </w:tcPr>
          <w:p w:rsidR="007A375F" w:rsidRPr="007B6E30" w:rsidRDefault="007A375F" w:rsidP="00FF0F34">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None</w:t>
            </w:r>
          </w:p>
        </w:tc>
        <w:tc>
          <w:tcPr>
            <w:tcW w:w="3605" w:type="dxa"/>
            <w:vMerge w:val="restart"/>
          </w:tcPr>
          <w:p w:rsidR="007A375F" w:rsidRPr="00FF0F34" w:rsidRDefault="007A375F" w:rsidP="00FF0F34">
            <w:pPr>
              <w:contextualSpacing/>
              <w:jc w:val="both"/>
              <w:rPr>
                <w:rFonts w:ascii="Arial Narrow" w:hAnsi="Arial Narrow" w:cs="Arial"/>
                <w:color w:val="000000" w:themeColor="text1"/>
                <w:sz w:val="20"/>
                <w:szCs w:val="20"/>
                <w:lang w:val="en-ZA"/>
              </w:rPr>
            </w:pPr>
            <w:r>
              <w:rPr>
                <w:rFonts w:ascii="Arial Narrow" w:hAnsi="Arial Narrow" w:cs="Arial"/>
                <w:color w:val="000000" w:themeColor="text1"/>
                <w:sz w:val="20"/>
                <w:szCs w:val="20"/>
                <w:lang w:val="en-ZA"/>
              </w:rPr>
              <w:t>No commitments made. due to the fact that the facility has a short remaining life (scheduled to be decommissioned between 2024 and 2028</w:t>
            </w:r>
          </w:p>
        </w:tc>
        <w:tc>
          <w:tcPr>
            <w:tcW w:w="3395" w:type="dxa"/>
            <w:vMerge w:val="restart"/>
          </w:tcPr>
          <w:p w:rsidR="007A375F" w:rsidRPr="00FF0F34" w:rsidRDefault="007A375F" w:rsidP="007E47BE">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N/A`</w:t>
            </w:r>
          </w:p>
        </w:tc>
      </w:tr>
      <w:tr w:rsidR="007A375F" w:rsidRPr="0023409C" w:rsidTr="00400EA9">
        <w:trPr>
          <w:trHeight w:val="77"/>
        </w:trPr>
        <w:tc>
          <w:tcPr>
            <w:tcW w:w="1783" w:type="dxa"/>
            <w:vMerge/>
          </w:tcPr>
          <w:p w:rsidR="007A375F" w:rsidRDefault="007A375F" w:rsidP="007E47BE">
            <w:pPr>
              <w:contextualSpacing/>
              <w:jc w:val="both"/>
              <w:rPr>
                <w:rFonts w:ascii="Arial Narrow" w:hAnsi="Arial Narrow" w:cs="Arial"/>
                <w:sz w:val="20"/>
                <w:szCs w:val="20"/>
              </w:rPr>
            </w:pPr>
          </w:p>
        </w:tc>
        <w:tc>
          <w:tcPr>
            <w:tcW w:w="1679" w:type="dxa"/>
          </w:tcPr>
          <w:p w:rsidR="007A375F" w:rsidRPr="007A375F" w:rsidRDefault="007A375F" w:rsidP="00A82972">
            <w:pPr>
              <w:contextualSpacing/>
              <w:jc w:val="both"/>
              <w:rPr>
                <w:rFonts w:ascii="Arial Narrow" w:hAnsi="Arial Narrow" w:cs="Arial"/>
                <w:sz w:val="20"/>
                <w:szCs w:val="20"/>
              </w:rPr>
            </w:pPr>
            <w:r w:rsidRPr="007A375F">
              <w:rPr>
                <w:rFonts w:ascii="Arial Narrow" w:hAnsi="Arial Narrow" w:cs="Arial"/>
                <w:sz w:val="20"/>
                <w:szCs w:val="20"/>
              </w:rPr>
              <w:t>1 April 2020-31March 2025</w:t>
            </w:r>
          </w:p>
        </w:tc>
        <w:tc>
          <w:tcPr>
            <w:tcW w:w="1810" w:type="dxa"/>
          </w:tcPr>
          <w:p w:rsidR="007A375F" w:rsidRPr="007A375F" w:rsidRDefault="007A375F" w:rsidP="007E47BE">
            <w:pPr>
              <w:contextualSpacing/>
              <w:jc w:val="both"/>
              <w:rPr>
                <w:rFonts w:ascii="Arial Narrow" w:hAnsi="Arial Narrow" w:cs="Arial"/>
                <w:sz w:val="20"/>
                <w:szCs w:val="20"/>
                <w:vertAlign w:val="superscript"/>
              </w:rPr>
            </w:pPr>
            <w:r>
              <w:rPr>
                <w:rFonts w:ascii="Arial Narrow" w:hAnsi="Arial Narrow" w:cs="Arial"/>
                <w:sz w:val="20"/>
                <w:szCs w:val="20"/>
              </w:rPr>
              <w:t>SO2: 3200mg/Nm</w:t>
            </w:r>
            <w:r>
              <w:rPr>
                <w:rFonts w:ascii="Arial Narrow" w:hAnsi="Arial Narrow" w:cs="Arial"/>
                <w:sz w:val="20"/>
                <w:szCs w:val="20"/>
                <w:vertAlign w:val="superscript"/>
              </w:rPr>
              <w:t>3</w:t>
            </w:r>
          </w:p>
        </w:tc>
        <w:tc>
          <w:tcPr>
            <w:tcW w:w="1908" w:type="dxa"/>
          </w:tcPr>
          <w:p w:rsidR="007A375F" w:rsidRDefault="007A375F" w:rsidP="00FF0F34">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None</w:t>
            </w:r>
          </w:p>
        </w:tc>
        <w:tc>
          <w:tcPr>
            <w:tcW w:w="3605" w:type="dxa"/>
            <w:vMerge/>
          </w:tcPr>
          <w:p w:rsidR="007A375F" w:rsidRDefault="007A375F" w:rsidP="00FF0F34">
            <w:pPr>
              <w:contextualSpacing/>
              <w:jc w:val="both"/>
              <w:rPr>
                <w:rFonts w:ascii="Arial Narrow" w:hAnsi="Arial Narrow" w:cs="Arial"/>
                <w:color w:val="000000" w:themeColor="text1"/>
                <w:sz w:val="20"/>
                <w:szCs w:val="20"/>
                <w:lang w:val="en-ZA"/>
              </w:rPr>
            </w:pPr>
          </w:p>
        </w:tc>
        <w:tc>
          <w:tcPr>
            <w:tcW w:w="3395" w:type="dxa"/>
            <w:vMerge/>
          </w:tcPr>
          <w:p w:rsidR="007A375F" w:rsidRDefault="007A375F" w:rsidP="007E47BE">
            <w:pPr>
              <w:contextualSpacing/>
              <w:jc w:val="both"/>
              <w:rPr>
                <w:rFonts w:ascii="Arial Narrow" w:hAnsi="Arial Narrow" w:cs="Arial"/>
                <w:color w:val="000000" w:themeColor="text1"/>
                <w:sz w:val="20"/>
                <w:szCs w:val="20"/>
              </w:rPr>
            </w:pPr>
          </w:p>
        </w:tc>
      </w:tr>
      <w:tr w:rsidR="002B6313" w:rsidRPr="0023409C" w:rsidTr="00400EA9">
        <w:trPr>
          <w:trHeight w:val="77"/>
        </w:trPr>
        <w:tc>
          <w:tcPr>
            <w:tcW w:w="1783" w:type="dxa"/>
          </w:tcPr>
          <w:p w:rsidR="002B6313" w:rsidRDefault="002B6313" w:rsidP="007E47BE">
            <w:pPr>
              <w:contextualSpacing/>
              <w:jc w:val="both"/>
              <w:rPr>
                <w:rFonts w:ascii="Arial Narrow" w:hAnsi="Arial Narrow" w:cs="Arial"/>
                <w:sz w:val="20"/>
                <w:szCs w:val="20"/>
              </w:rPr>
            </w:pPr>
            <w:r>
              <w:rPr>
                <w:rFonts w:ascii="Arial Narrow" w:hAnsi="Arial Narrow" w:cs="Arial"/>
                <w:sz w:val="20"/>
                <w:szCs w:val="20"/>
              </w:rPr>
              <w:t>Camden</w:t>
            </w:r>
          </w:p>
        </w:tc>
        <w:tc>
          <w:tcPr>
            <w:tcW w:w="1679" w:type="dxa"/>
          </w:tcPr>
          <w:p w:rsidR="002B6313" w:rsidRPr="007A375F" w:rsidRDefault="002B6313" w:rsidP="00A82972">
            <w:pPr>
              <w:contextualSpacing/>
              <w:jc w:val="both"/>
              <w:rPr>
                <w:rFonts w:ascii="Arial Narrow" w:hAnsi="Arial Narrow" w:cs="Arial"/>
                <w:sz w:val="20"/>
                <w:szCs w:val="20"/>
              </w:rPr>
            </w:pPr>
            <w:r w:rsidRPr="002B6313">
              <w:rPr>
                <w:rFonts w:ascii="Arial Narrow" w:hAnsi="Arial Narrow" w:cs="Arial"/>
                <w:sz w:val="20"/>
                <w:szCs w:val="20"/>
              </w:rPr>
              <w:t>1 April 2015-31 March 2020</w:t>
            </w:r>
          </w:p>
        </w:tc>
        <w:tc>
          <w:tcPr>
            <w:tcW w:w="1810" w:type="dxa"/>
          </w:tcPr>
          <w:p w:rsidR="002B6313" w:rsidRPr="002B6313" w:rsidRDefault="002B6313" w:rsidP="007E47BE">
            <w:pPr>
              <w:contextualSpacing/>
              <w:jc w:val="both"/>
              <w:rPr>
                <w:rFonts w:ascii="Arial Narrow" w:hAnsi="Arial Narrow" w:cs="Arial"/>
                <w:sz w:val="20"/>
                <w:szCs w:val="20"/>
                <w:vertAlign w:val="superscript"/>
              </w:rPr>
            </w:pPr>
            <w:r>
              <w:rPr>
                <w:rFonts w:ascii="Arial Narrow" w:hAnsi="Arial Narrow" w:cs="Arial"/>
                <w:sz w:val="20"/>
                <w:szCs w:val="20"/>
              </w:rPr>
              <w:t>SO2: 4000mg/Nm</w:t>
            </w:r>
            <w:r>
              <w:rPr>
                <w:rFonts w:ascii="Arial Narrow" w:hAnsi="Arial Narrow" w:cs="Arial"/>
                <w:sz w:val="20"/>
                <w:szCs w:val="20"/>
                <w:vertAlign w:val="superscript"/>
              </w:rPr>
              <w:t>3</w:t>
            </w:r>
          </w:p>
        </w:tc>
        <w:tc>
          <w:tcPr>
            <w:tcW w:w="1908" w:type="dxa"/>
          </w:tcPr>
          <w:p w:rsidR="002B6313" w:rsidRDefault="002B6313" w:rsidP="00FF0F34">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None</w:t>
            </w:r>
          </w:p>
        </w:tc>
        <w:tc>
          <w:tcPr>
            <w:tcW w:w="3605" w:type="dxa"/>
            <w:vMerge w:val="restart"/>
          </w:tcPr>
          <w:p w:rsidR="002B6313" w:rsidRDefault="002B6313" w:rsidP="00FF0F34">
            <w:pPr>
              <w:contextualSpacing/>
              <w:jc w:val="both"/>
              <w:rPr>
                <w:rFonts w:ascii="Arial Narrow" w:hAnsi="Arial Narrow" w:cs="Arial"/>
                <w:color w:val="000000" w:themeColor="text1"/>
                <w:sz w:val="20"/>
                <w:szCs w:val="20"/>
                <w:lang w:val="en-ZA"/>
              </w:rPr>
            </w:pPr>
            <w:r>
              <w:rPr>
                <w:rFonts w:ascii="Arial Narrow" w:hAnsi="Arial Narrow" w:cs="Arial"/>
                <w:color w:val="000000" w:themeColor="text1"/>
                <w:sz w:val="20"/>
                <w:szCs w:val="20"/>
                <w:lang w:val="en-ZA"/>
              </w:rPr>
              <w:t>LBN technology replacements have been completed on two units, with the third unit in progress as of December 2016. Five units are still to be retrofitted</w:t>
            </w:r>
          </w:p>
        </w:tc>
        <w:tc>
          <w:tcPr>
            <w:tcW w:w="3395" w:type="dxa"/>
            <w:vMerge w:val="restart"/>
          </w:tcPr>
          <w:p w:rsidR="002B6313" w:rsidRDefault="002B6313" w:rsidP="00AD75FE">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No further commitment have been put in place due to the fact that the facility has a short remaining life (decommissioning scheduled for 2020-2023). However, the life span may be extended by a </w:t>
            </w:r>
            <w:r w:rsidR="00AD75FE">
              <w:rPr>
                <w:rFonts w:ascii="Arial Narrow" w:hAnsi="Arial Narrow" w:cs="Arial"/>
                <w:color w:val="000000" w:themeColor="text1"/>
                <w:sz w:val="20"/>
                <w:szCs w:val="20"/>
              </w:rPr>
              <w:t>further</w:t>
            </w:r>
            <w:r>
              <w:rPr>
                <w:rFonts w:ascii="Arial Narrow" w:hAnsi="Arial Narrow" w:cs="Arial"/>
                <w:color w:val="000000" w:themeColor="text1"/>
                <w:sz w:val="20"/>
                <w:szCs w:val="20"/>
              </w:rPr>
              <w:t xml:space="preserve"> 10 years</w:t>
            </w:r>
          </w:p>
        </w:tc>
      </w:tr>
      <w:tr w:rsidR="002B6313" w:rsidRPr="0023409C" w:rsidTr="00400EA9">
        <w:trPr>
          <w:trHeight w:val="77"/>
        </w:trPr>
        <w:tc>
          <w:tcPr>
            <w:tcW w:w="1783" w:type="dxa"/>
          </w:tcPr>
          <w:p w:rsidR="002B6313" w:rsidRDefault="002B6313" w:rsidP="007E47BE">
            <w:pPr>
              <w:contextualSpacing/>
              <w:jc w:val="both"/>
              <w:rPr>
                <w:rFonts w:ascii="Arial Narrow" w:hAnsi="Arial Narrow" w:cs="Arial"/>
                <w:sz w:val="20"/>
                <w:szCs w:val="20"/>
              </w:rPr>
            </w:pPr>
          </w:p>
        </w:tc>
        <w:tc>
          <w:tcPr>
            <w:tcW w:w="1679" w:type="dxa"/>
          </w:tcPr>
          <w:p w:rsidR="002B6313" w:rsidRPr="002B6313" w:rsidRDefault="002B6313" w:rsidP="00A82972">
            <w:pPr>
              <w:contextualSpacing/>
              <w:jc w:val="both"/>
              <w:rPr>
                <w:rFonts w:ascii="Arial Narrow" w:hAnsi="Arial Narrow" w:cs="Arial"/>
                <w:sz w:val="20"/>
                <w:szCs w:val="20"/>
              </w:rPr>
            </w:pPr>
            <w:r w:rsidRPr="002B6313">
              <w:rPr>
                <w:rFonts w:ascii="Arial Narrow" w:hAnsi="Arial Narrow" w:cs="Arial"/>
                <w:sz w:val="20"/>
                <w:szCs w:val="20"/>
              </w:rPr>
              <w:t>1 April 2015-31 March 2020</w:t>
            </w:r>
          </w:p>
        </w:tc>
        <w:tc>
          <w:tcPr>
            <w:tcW w:w="1810" w:type="dxa"/>
          </w:tcPr>
          <w:p w:rsidR="002B6313" w:rsidRPr="002B6313" w:rsidRDefault="002B6313" w:rsidP="007E47BE">
            <w:pPr>
              <w:contextualSpacing/>
              <w:jc w:val="both"/>
              <w:rPr>
                <w:rFonts w:ascii="Arial Narrow" w:hAnsi="Arial Narrow" w:cs="Arial"/>
                <w:sz w:val="20"/>
                <w:szCs w:val="20"/>
                <w:vertAlign w:val="superscript"/>
              </w:rPr>
            </w:pPr>
            <w:r>
              <w:rPr>
                <w:rFonts w:ascii="Arial Narrow" w:hAnsi="Arial Narrow" w:cs="Arial"/>
                <w:sz w:val="20"/>
                <w:szCs w:val="20"/>
              </w:rPr>
              <w:t>NOx: 1700mg/Nm</w:t>
            </w:r>
            <w:r>
              <w:rPr>
                <w:rFonts w:ascii="Arial Narrow" w:hAnsi="Arial Narrow" w:cs="Arial"/>
                <w:sz w:val="20"/>
                <w:szCs w:val="20"/>
                <w:vertAlign w:val="superscript"/>
              </w:rPr>
              <w:t>3</w:t>
            </w:r>
          </w:p>
        </w:tc>
        <w:tc>
          <w:tcPr>
            <w:tcW w:w="1908" w:type="dxa"/>
          </w:tcPr>
          <w:p w:rsidR="002B6313" w:rsidRDefault="002B6313" w:rsidP="00FF0F34">
            <w:pPr>
              <w:contextualSpacing/>
              <w:jc w:val="both"/>
              <w:rPr>
                <w:rFonts w:ascii="Arial Narrow" w:hAnsi="Arial Narrow" w:cs="Arial"/>
                <w:color w:val="000000" w:themeColor="text1"/>
                <w:sz w:val="20"/>
                <w:szCs w:val="20"/>
              </w:rPr>
            </w:pPr>
            <w:r>
              <w:rPr>
                <w:rFonts w:ascii="Arial Narrow" w:hAnsi="Arial Narrow" w:cs="Arial"/>
                <w:color w:val="000000" w:themeColor="text1"/>
                <w:sz w:val="20"/>
                <w:szCs w:val="20"/>
              </w:rPr>
              <w:t>LBM</w:t>
            </w:r>
          </w:p>
        </w:tc>
        <w:tc>
          <w:tcPr>
            <w:tcW w:w="3605" w:type="dxa"/>
            <w:vMerge/>
          </w:tcPr>
          <w:p w:rsidR="002B6313" w:rsidRDefault="002B6313" w:rsidP="00FF0F34">
            <w:pPr>
              <w:contextualSpacing/>
              <w:jc w:val="both"/>
              <w:rPr>
                <w:rFonts w:ascii="Arial Narrow" w:hAnsi="Arial Narrow" w:cs="Arial"/>
                <w:color w:val="000000" w:themeColor="text1"/>
                <w:sz w:val="20"/>
                <w:szCs w:val="20"/>
                <w:lang w:val="en-ZA"/>
              </w:rPr>
            </w:pPr>
          </w:p>
        </w:tc>
        <w:tc>
          <w:tcPr>
            <w:tcW w:w="3395" w:type="dxa"/>
            <w:vMerge/>
          </w:tcPr>
          <w:p w:rsidR="002B6313" w:rsidRDefault="002B6313" w:rsidP="007E47BE">
            <w:pPr>
              <w:contextualSpacing/>
              <w:jc w:val="both"/>
              <w:rPr>
                <w:rFonts w:ascii="Arial Narrow" w:hAnsi="Arial Narrow" w:cs="Arial"/>
                <w:color w:val="000000" w:themeColor="text1"/>
                <w:sz w:val="20"/>
                <w:szCs w:val="20"/>
              </w:rPr>
            </w:pPr>
          </w:p>
        </w:tc>
      </w:tr>
    </w:tbl>
    <w:p w:rsidR="00EC1D98" w:rsidRDefault="00EC1D98" w:rsidP="000B7092">
      <w:pPr>
        <w:spacing w:line="360" w:lineRule="auto"/>
        <w:contextualSpacing/>
        <w:jc w:val="both"/>
        <w:rPr>
          <w:rFonts w:ascii="Arial Narrow" w:hAnsi="Arial Narrow" w:cs="Arial"/>
          <w:b/>
        </w:rPr>
      </w:pPr>
    </w:p>
    <w:p w:rsidR="003C3136" w:rsidRDefault="00C34EE1" w:rsidP="000B7092">
      <w:pPr>
        <w:spacing w:line="360" w:lineRule="auto"/>
        <w:contextualSpacing/>
        <w:jc w:val="both"/>
        <w:rPr>
          <w:rFonts w:ascii="Arial Narrow" w:hAnsi="Arial Narrow" w:cs="Arial"/>
          <w:b/>
        </w:rPr>
      </w:pPr>
      <w:r>
        <w:rPr>
          <w:rFonts w:ascii="Arial Narrow" w:hAnsi="Arial Narrow" w:cs="Arial"/>
          <w:b/>
        </w:rPr>
        <w:t>Table</w:t>
      </w:r>
      <w:r w:rsidR="00273FE1">
        <w:rPr>
          <w:rFonts w:ascii="Arial Narrow" w:hAnsi="Arial Narrow" w:cs="Arial"/>
          <w:b/>
        </w:rPr>
        <w:t xml:space="preserve"> 1B</w:t>
      </w:r>
      <w:r w:rsidR="00447B72">
        <w:rPr>
          <w:rFonts w:ascii="Arial Narrow" w:hAnsi="Arial Narrow" w:cs="Arial"/>
          <w:b/>
        </w:rPr>
        <w:t xml:space="preserve">: </w:t>
      </w:r>
      <w:r w:rsidR="00EC1D98">
        <w:rPr>
          <w:rFonts w:ascii="Arial Narrow" w:hAnsi="Arial Narrow" w:cs="Arial"/>
          <w:b/>
        </w:rPr>
        <w:t xml:space="preserve">Eskom Power Stations: </w:t>
      </w:r>
      <w:r w:rsidR="00447B72">
        <w:rPr>
          <w:rFonts w:ascii="Arial Narrow" w:hAnsi="Arial Narrow" w:cs="Arial"/>
          <w:b/>
        </w:rPr>
        <w:t>Progress report on the 9 power stations for which no compliance commitments were made</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528"/>
        <w:gridCol w:w="1031"/>
        <w:gridCol w:w="1066"/>
        <w:gridCol w:w="1030"/>
        <w:gridCol w:w="1133"/>
        <w:gridCol w:w="1394"/>
        <w:gridCol w:w="4032"/>
        <w:gridCol w:w="4238"/>
      </w:tblGrid>
      <w:tr w:rsidR="00806BF5" w:rsidRPr="00400EA9" w:rsidTr="00806BF5">
        <w:trPr>
          <w:trHeight w:val="553"/>
          <w:tblHeader/>
        </w:trPr>
        <w:tc>
          <w:tcPr>
            <w:tcW w:w="1528" w:type="dxa"/>
            <w:vMerge w:val="restart"/>
            <w:shd w:val="clear" w:color="auto" w:fill="D9D9D9" w:themeFill="background1" w:themeFillShade="D9"/>
          </w:tcPr>
          <w:p w:rsidR="00806BF5" w:rsidRPr="00400EA9" w:rsidRDefault="00806BF5" w:rsidP="00447B72">
            <w:pPr>
              <w:jc w:val="center"/>
              <w:rPr>
                <w:rFonts w:ascii="Arial" w:hAnsi="Arial" w:cs="Arial"/>
                <w:b/>
                <w:sz w:val="20"/>
                <w:szCs w:val="20"/>
                <w:lang w:val="en-ZA"/>
              </w:rPr>
            </w:pPr>
            <w:r w:rsidRPr="00400EA9">
              <w:rPr>
                <w:rFonts w:ascii="Arial" w:hAnsi="Arial" w:cs="Arial"/>
                <w:b/>
                <w:sz w:val="20"/>
                <w:szCs w:val="20"/>
                <w:lang w:val="en-ZA"/>
              </w:rPr>
              <w:t>Power Station</w:t>
            </w:r>
          </w:p>
        </w:tc>
        <w:tc>
          <w:tcPr>
            <w:tcW w:w="3127" w:type="dxa"/>
            <w:gridSpan w:val="3"/>
            <w:shd w:val="clear" w:color="auto" w:fill="D9D9D9" w:themeFill="background1" w:themeFillShade="D9"/>
          </w:tcPr>
          <w:p w:rsidR="00806BF5" w:rsidRPr="00400EA9" w:rsidRDefault="00806BF5" w:rsidP="00447B72">
            <w:pPr>
              <w:jc w:val="center"/>
              <w:rPr>
                <w:rFonts w:ascii="Arial" w:hAnsi="Arial" w:cs="Arial"/>
                <w:b/>
                <w:sz w:val="20"/>
                <w:szCs w:val="20"/>
                <w:lang w:val="en-ZA"/>
              </w:rPr>
            </w:pPr>
            <w:r w:rsidRPr="00400EA9">
              <w:rPr>
                <w:rFonts w:ascii="Arial" w:hAnsi="Arial" w:cs="Arial"/>
                <w:b/>
                <w:sz w:val="20"/>
                <w:szCs w:val="20"/>
                <w:lang w:val="en-ZA"/>
              </w:rPr>
              <w:t>Postponement Decision</w:t>
            </w:r>
          </w:p>
        </w:tc>
        <w:tc>
          <w:tcPr>
            <w:tcW w:w="2527" w:type="dxa"/>
            <w:gridSpan w:val="2"/>
            <w:shd w:val="clear" w:color="auto" w:fill="D9D9D9" w:themeFill="background1" w:themeFillShade="D9"/>
          </w:tcPr>
          <w:p w:rsidR="00806BF5" w:rsidRPr="00400EA9" w:rsidRDefault="00806BF5" w:rsidP="00447B72">
            <w:pPr>
              <w:jc w:val="center"/>
              <w:rPr>
                <w:rFonts w:ascii="Arial" w:hAnsi="Arial" w:cs="Arial"/>
                <w:b/>
                <w:sz w:val="20"/>
                <w:szCs w:val="20"/>
                <w:lang w:val="en-ZA"/>
              </w:rPr>
            </w:pPr>
            <w:r w:rsidRPr="00400EA9">
              <w:rPr>
                <w:rFonts w:ascii="Arial" w:hAnsi="Arial" w:cs="Arial"/>
                <w:b/>
                <w:sz w:val="20"/>
                <w:szCs w:val="20"/>
                <w:lang w:val="en-ZA"/>
              </w:rPr>
              <w:t>Decommissioning Dates</w:t>
            </w:r>
          </w:p>
        </w:tc>
        <w:tc>
          <w:tcPr>
            <w:tcW w:w="8270" w:type="dxa"/>
            <w:gridSpan w:val="2"/>
            <w:shd w:val="clear" w:color="auto" w:fill="D9D9D9" w:themeFill="background1" w:themeFillShade="D9"/>
          </w:tcPr>
          <w:p w:rsidR="00806BF5" w:rsidRPr="00400EA9" w:rsidRDefault="00806BF5" w:rsidP="00447B72">
            <w:pPr>
              <w:jc w:val="center"/>
              <w:rPr>
                <w:rFonts w:ascii="Arial" w:hAnsi="Arial" w:cs="Arial"/>
                <w:b/>
                <w:sz w:val="20"/>
                <w:szCs w:val="20"/>
                <w:lang w:val="en-ZA"/>
              </w:rPr>
            </w:pPr>
            <w:r w:rsidRPr="00400EA9">
              <w:rPr>
                <w:rFonts w:ascii="Arial" w:hAnsi="Arial" w:cs="Arial"/>
                <w:b/>
                <w:sz w:val="20"/>
                <w:szCs w:val="20"/>
                <w:lang w:val="en-ZA"/>
              </w:rPr>
              <w:t>Postponement Commitments</w:t>
            </w:r>
          </w:p>
        </w:tc>
      </w:tr>
      <w:tr w:rsidR="00806BF5" w:rsidRPr="00400EA9" w:rsidTr="00806BF5">
        <w:trPr>
          <w:trHeight w:val="564"/>
          <w:tblHeader/>
        </w:trPr>
        <w:tc>
          <w:tcPr>
            <w:tcW w:w="1528" w:type="dxa"/>
            <w:vMerge/>
            <w:shd w:val="clear" w:color="auto" w:fill="D9D9D9" w:themeFill="background1" w:themeFillShade="D9"/>
          </w:tcPr>
          <w:p w:rsidR="00806BF5" w:rsidRPr="00400EA9" w:rsidRDefault="00806BF5" w:rsidP="00447B72">
            <w:pPr>
              <w:rPr>
                <w:rFonts w:ascii="Arial" w:hAnsi="Arial" w:cs="Arial"/>
                <w:b/>
                <w:sz w:val="20"/>
                <w:szCs w:val="20"/>
                <w:lang w:val="en-ZA"/>
              </w:rPr>
            </w:pPr>
          </w:p>
        </w:tc>
        <w:tc>
          <w:tcPr>
            <w:tcW w:w="1031"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Pollutant</w:t>
            </w:r>
          </w:p>
        </w:tc>
        <w:tc>
          <w:tcPr>
            <w:tcW w:w="1066"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Limit (mg/Nm</w:t>
            </w:r>
            <w:r w:rsidRPr="00400EA9">
              <w:rPr>
                <w:rFonts w:ascii="Arial" w:hAnsi="Arial" w:cs="Arial"/>
                <w:sz w:val="20"/>
                <w:szCs w:val="20"/>
                <w:vertAlign w:val="superscript"/>
                <w:lang w:val="en-ZA"/>
              </w:rPr>
              <w:t>3</w:t>
            </w:r>
            <w:r w:rsidRPr="00400EA9">
              <w:rPr>
                <w:rFonts w:ascii="Arial" w:hAnsi="Arial" w:cs="Arial"/>
                <w:sz w:val="20"/>
                <w:szCs w:val="20"/>
                <w:lang w:val="en-ZA"/>
              </w:rPr>
              <w:t>)</w:t>
            </w:r>
          </w:p>
        </w:tc>
        <w:tc>
          <w:tcPr>
            <w:tcW w:w="1030"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Period</w:t>
            </w:r>
          </w:p>
        </w:tc>
        <w:tc>
          <w:tcPr>
            <w:tcW w:w="1133"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Original</w:t>
            </w:r>
          </w:p>
        </w:tc>
        <w:tc>
          <w:tcPr>
            <w:tcW w:w="1394"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New</w:t>
            </w:r>
          </w:p>
        </w:tc>
        <w:tc>
          <w:tcPr>
            <w:tcW w:w="4032"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Original</w:t>
            </w:r>
          </w:p>
        </w:tc>
        <w:tc>
          <w:tcPr>
            <w:tcW w:w="4238" w:type="dxa"/>
            <w:shd w:val="clear" w:color="auto" w:fill="D9D9D9" w:themeFill="background1" w:themeFillShade="D9"/>
          </w:tcPr>
          <w:p w:rsidR="00806BF5" w:rsidRPr="00400EA9" w:rsidRDefault="00806BF5" w:rsidP="00447B72">
            <w:pPr>
              <w:jc w:val="center"/>
              <w:rPr>
                <w:rFonts w:ascii="Arial" w:hAnsi="Arial" w:cs="Arial"/>
                <w:sz w:val="20"/>
                <w:szCs w:val="20"/>
                <w:lang w:val="en-ZA"/>
              </w:rPr>
            </w:pPr>
            <w:r w:rsidRPr="00400EA9">
              <w:rPr>
                <w:rFonts w:ascii="Arial" w:hAnsi="Arial" w:cs="Arial"/>
                <w:sz w:val="20"/>
                <w:szCs w:val="20"/>
                <w:lang w:val="en-ZA"/>
              </w:rPr>
              <w:t>New</w:t>
            </w:r>
          </w:p>
        </w:tc>
      </w:tr>
      <w:tr w:rsidR="00447B72" w:rsidRPr="00400EA9" w:rsidTr="00806BF5">
        <w:trPr>
          <w:trHeight w:val="249"/>
        </w:trPr>
        <w:tc>
          <w:tcPr>
            <w:tcW w:w="1528"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b/>
                <w:sz w:val="20"/>
                <w:szCs w:val="20"/>
                <w:lang w:val="en-ZA"/>
              </w:rPr>
              <w:t>Acacia</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750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 xml:space="preserve">2020-25 </w:t>
            </w:r>
          </w:p>
        </w:tc>
        <w:tc>
          <w:tcPr>
            <w:tcW w:w="1133"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None</w:t>
            </w:r>
          </w:p>
        </w:tc>
        <w:tc>
          <w:tcPr>
            <w:tcW w:w="1394"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N/A</w:t>
            </w:r>
          </w:p>
        </w:tc>
        <w:tc>
          <w:tcPr>
            <w:tcW w:w="4032"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None as the facility is compliant with all the 2015 limits emission limits.</w:t>
            </w:r>
          </w:p>
        </w:tc>
        <w:tc>
          <w:tcPr>
            <w:tcW w:w="4238"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N/A</w:t>
            </w:r>
          </w:p>
        </w:tc>
      </w:tr>
      <w:tr w:rsidR="00447B72" w:rsidRPr="00400EA9" w:rsidTr="00806BF5">
        <w:trPr>
          <w:trHeight w:val="602"/>
        </w:trPr>
        <w:tc>
          <w:tcPr>
            <w:tcW w:w="1528"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b/>
                <w:sz w:val="20"/>
                <w:szCs w:val="20"/>
                <w:lang w:val="en-ZA"/>
              </w:rPr>
              <w:t>Arnot</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2500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2020 -25</w:t>
            </w:r>
          </w:p>
        </w:tc>
        <w:tc>
          <w:tcPr>
            <w:tcW w:w="1133"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2020-21</w:t>
            </w:r>
          </w:p>
        </w:tc>
        <w:tc>
          <w:tcPr>
            <w:tcW w:w="1394"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 xml:space="preserve">Uncertain </w:t>
            </w:r>
          </w:p>
        </w:tc>
        <w:tc>
          <w:tcPr>
            <w:tcW w:w="4032"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 xml:space="preserve">No commitments were given during postponement application process as </w:t>
            </w:r>
            <w:r w:rsidRPr="00400EA9">
              <w:rPr>
                <w:rFonts w:ascii="Arial" w:hAnsi="Arial" w:cs="Arial"/>
                <w:sz w:val="20"/>
                <w:szCs w:val="20"/>
                <w:lang w:val="en-ZA"/>
              </w:rPr>
              <w:lastRenderedPageBreak/>
              <w:t xml:space="preserve">Eskom indicated that the decommissioning schedule for Arnot will be  2021-2029 as per  50-year life </w:t>
            </w:r>
          </w:p>
        </w:tc>
        <w:tc>
          <w:tcPr>
            <w:tcW w:w="4238"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lastRenderedPageBreak/>
              <w:t xml:space="preserve"> Eskom is now saying that no decisions have yet been made as to when to decommission </w:t>
            </w:r>
            <w:r w:rsidRPr="00400EA9">
              <w:rPr>
                <w:rFonts w:ascii="Arial" w:hAnsi="Arial" w:cs="Arial"/>
                <w:sz w:val="20"/>
                <w:szCs w:val="20"/>
                <w:lang w:val="en-ZA"/>
              </w:rPr>
              <w:lastRenderedPageBreak/>
              <w:t xml:space="preserve">any power station. This leaves the matter open ended. </w:t>
            </w:r>
          </w:p>
        </w:tc>
      </w:tr>
      <w:tr w:rsidR="00447B72" w:rsidRPr="00400EA9" w:rsidTr="00806BF5">
        <w:trPr>
          <w:trHeight w:val="657"/>
        </w:trPr>
        <w:tc>
          <w:tcPr>
            <w:tcW w:w="1528" w:type="dxa"/>
            <w:vMerge/>
            <w:shd w:val="clear" w:color="auto" w:fill="FFFFFF" w:themeFill="background1"/>
          </w:tcPr>
          <w:p w:rsidR="00447B72" w:rsidRPr="00400EA9" w:rsidRDefault="00447B72" w:rsidP="00447B72">
            <w:pPr>
              <w:rPr>
                <w:rFonts w:ascii="Arial" w:hAnsi="Arial" w:cs="Arial"/>
                <w:b/>
                <w:sz w:val="20"/>
                <w:szCs w:val="20"/>
                <w:lang w:val="en-ZA"/>
              </w:rPr>
            </w:pP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750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 xml:space="preserve">2020-25 </w:t>
            </w:r>
          </w:p>
        </w:tc>
        <w:tc>
          <w:tcPr>
            <w:tcW w:w="1133"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1394"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4032" w:type="dxa"/>
            <w:vMerge/>
            <w:shd w:val="clear" w:color="auto" w:fill="FFFFFF" w:themeFill="background1"/>
          </w:tcPr>
          <w:p w:rsidR="00447B72" w:rsidRPr="00400EA9" w:rsidRDefault="00447B72" w:rsidP="00447B72">
            <w:pPr>
              <w:jc w:val="both"/>
              <w:rPr>
                <w:rFonts w:ascii="Arial" w:hAnsi="Arial" w:cs="Arial"/>
                <w:sz w:val="20"/>
                <w:szCs w:val="20"/>
                <w:lang w:val="en-ZA"/>
              </w:rPr>
            </w:pPr>
          </w:p>
        </w:tc>
        <w:tc>
          <w:tcPr>
            <w:tcW w:w="4238" w:type="dxa"/>
            <w:vMerge/>
            <w:shd w:val="clear" w:color="auto" w:fill="FFFFFF" w:themeFill="background1"/>
          </w:tcPr>
          <w:p w:rsidR="00447B72" w:rsidRPr="00400EA9" w:rsidRDefault="00447B72" w:rsidP="00447B72">
            <w:pPr>
              <w:jc w:val="both"/>
              <w:rPr>
                <w:rFonts w:ascii="Arial" w:hAnsi="Arial" w:cs="Arial"/>
                <w:sz w:val="20"/>
                <w:szCs w:val="20"/>
                <w:lang w:val="en-ZA"/>
              </w:rPr>
            </w:pPr>
          </w:p>
        </w:tc>
      </w:tr>
      <w:tr w:rsidR="00447B72" w:rsidRPr="00400EA9" w:rsidTr="00806BF5">
        <w:trPr>
          <w:trHeight w:val="626"/>
        </w:trPr>
        <w:tc>
          <w:tcPr>
            <w:tcW w:w="1528"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b/>
                <w:sz w:val="20"/>
                <w:szCs w:val="20"/>
                <w:lang w:val="en-ZA"/>
              </w:rPr>
              <w:lastRenderedPageBreak/>
              <w:t>Camden</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3500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2020-25</w:t>
            </w:r>
          </w:p>
        </w:tc>
        <w:tc>
          <w:tcPr>
            <w:tcW w:w="1133"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2020-21</w:t>
            </w:r>
          </w:p>
        </w:tc>
        <w:tc>
          <w:tcPr>
            <w:tcW w:w="1394"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 xml:space="preserve">Uncertain </w:t>
            </w:r>
          </w:p>
        </w:tc>
        <w:tc>
          <w:tcPr>
            <w:tcW w:w="4032"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 xml:space="preserve">No commitments were given during postponement application process as Eskom indicated that the decommissioning schedule for Camden will be 2020-2023 as per 50-year life </w:t>
            </w:r>
          </w:p>
        </w:tc>
        <w:tc>
          <w:tcPr>
            <w:tcW w:w="4238"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 xml:space="preserve"> Eskom is now saying that no decisions have yet been made as to when to decommission any power station. This leaves the matter open ended. </w:t>
            </w:r>
          </w:p>
        </w:tc>
      </w:tr>
      <w:tr w:rsidR="00447B72" w:rsidRPr="00400EA9" w:rsidTr="00806BF5">
        <w:trPr>
          <w:trHeight w:val="517"/>
        </w:trPr>
        <w:tc>
          <w:tcPr>
            <w:tcW w:w="1528" w:type="dxa"/>
            <w:vMerge/>
            <w:shd w:val="clear" w:color="auto" w:fill="FFFFFF" w:themeFill="background1"/>
          </w:tcPr>
          <w:p w:rsidR="00447B72" w:rsidRPr="00400EA9" w:rsidRDefault="00447B72" w:rsidP="00447B72">
            <w:pPr>
              <w:rPr>
                <w:rFonts w:ascii="Arial" w:hAnsi="Arial" w:cs="Arial"/>
                <w:b/>
                <w:sz w:val="20"/>
                <w:szCs w:val="20"/>
                <w:lang w:val="en-ZA"/>
              </w:rPr>
            </w:pP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750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2015-20</w:t>
            </w:r>
          </w:p>
        </w:tc>
        <w:tc>
          <w:tcPr>
            <w:tcW w:w="1133"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1394"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4032" w:type="dxa"/>
            <w:vMerge/>
            <w:shd w:val="clear" w:color="auto" w:fill="FFFFFF" w:themeFill="background1"/>
          </w:tcPr>
          <w:p w:rsidR="00447B72" w:rsidRPr="00400EA9" w:rsidRDefault="00447B72" w:rsidP="00447B72">
            <w:pPr>
              <w:jc w:val="both"/>
              <w:rPr>
                <w:rFonts w:ascii="Arial" w:hAnsi="Arial" w:cs="Arial"/>
                <w:sz w:val="20"/>
                <w:szCs w:val="20"/>
                <w:lang w:val="en-ZA"/>
              </w:rPr>
            </w:pPr>
          </w:p>
        </w:tc>
        <w:tc>
          <w:tcPr>
            <w:tcW w:w="4238" w:type="dxa"/>
            <w:vMerge/>
            <w:shd w:val="clear" w:color="auto" w:fill="FFFFFF" w:themeFill="background1"/>
          </w:tcPr>
          <w:p w:rsidR="00447B72" w:rsidRPr="00400EA9" w:rsidRDefault="00447B72" w:rsidP="00447B72">
            <w:pPr>
              <w:jc w:val="both"/>
              <w:rPr>
                <w:rFonts w:ascii="Arial" w:hAnsi="Arial" w:cs="Arial"/>
                <w:sz w:val="20"/>
                <w:szCs w:val="20"/>
                <w:lang w:val="en-ZA"/>
              </w:rPr>
            </w:pPr>
          </w:p>
        </w:tc>
      </w:tr>
      <w:tr w:rsidR="00447B72" w:rsidRPr="00400EA9" w:rsidTr="00806BF5">
        <w:trPr>
          <w:trHeight w:val="626"/>
        </w:trPr>
        <w:tc>
          <w:tcPr>
            <w:tcW w:w="1528" w:type="dxa"/>
            <w:vMerge w:val="restart"/>
            <w:shd w:val="clear" w:color="auto" w:fill="FFFFFF" w:themeFill="background1"/>
          </w:tcPr>
          <w:p w:rsidR="00447B72" w:rsidRPr="00400EA9" w:rsidRDefault="00447B72" w:rsidP="00447B72">
            <w:pPr>
              <w:rPr>
                <w:rFonts w:ascii="Arial" w:hAnsi="Arial" w:cs="Arial"/>
                <w:b/>
                <w:sz w:val="20"/>
                <w:szCs w:val="20"/>
                <w:lang w:val="en-ZA"/>
              </w:rPr>
            </w:pPr>
            <w:r w:rsidRPr="00400EA9">
              <w:rPr>
                <w:rFonts w:ascii="Arial" w:hAnsi="Arial" w:cs="Arial"/>
                <w:b/>
                <w:sz w:val="20"/>
                <w:szCs w:val="20"/>
                <w:lang w:val="en-ZA"/>
              </w:rPr>
              <w:t>Hendrina</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3200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2020-25</w:t>
            </w:r>
          </w:p>
        </w:tc>
        <w:tc>
          <w:tcPr>
            <w:tcW w:w="1133"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2020-21</w:t>
            </w:r>
          </w:p>
        </w:tc>
        <w:tc>
          <w:tcPr>
            <w:tcW w:w="1394"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Uncertain</w:t>
            </w:r>
          </w:p>
        </w:tc>
        <w:tc>
          <w:tcPr>
            <w:tcW w:w="4032"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No commitments were given during postponement application process as Eskom indicated that the decommissioning schedule for Hendrina will be 2020-2026 as per 50-year life</w:t>
            </w:r>
          </w:p>
        </w:tc>
        <w:tc>
          <w:tcPr>
            <w:tcW w:w="4238"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Eskom is now saying that no decisions have yet been made as to when to decommission any power station. This leaves the matter open ended.</w:t>
            </w:r>
          </w:p>
        </w:tc>
      </w:tr>
      <w:tr w:rsidR="00447B72" w:rsidRPr="00400EA9" w:rsidTr="00806BF5">
        <w:trPr>
          <w:trHeight w:val="507"/>
        </w:trPr>
        <w:tc>
          <w:tcPr>
            <w:tcW w:w="1528" w:type="dxa"/>
            <w:vMerge/>
            <w:shd w:val="clear" w:color="auto" w:fill="FFFFFF" w:themeFill="background1"/>
          </w:tcPr>
          <w:p w:rsidR="00447B72" w:rsidRPr="00400EA9" w:rsidRDefault="00447B72" w:rsidP="00447B72">
            <w:pPr>
              <w:rPr>
                <w:rFonts w:ascii="Arial" w:hAnsi="Arial" w:cs="Arial"/>
                <w:b/>
                <w:sz w:val="20"/>
                <w:szCs w:val="20"/>
                <w:lang w:val="en-ZA"/>
              </w:rPr>
            </w:pP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1200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2015-20</w:t>
            </w:r>
          </w:p>
        </w:tc>
        <w:tc>
          <w:tcPr>
            <w:tcW w:w="1133"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1394"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4032" w:type="dxa"/>
            <w:vMerge/>
            <w:shd w:val="clear" w:color="auto" w:fill="FFFFFF" w:themeFill="background1"/>
          </w:tcPr>
          <w:p w:rsidR="00447B72" w:rsidRPr="00400EA9" w:rsidRDefault="00447B72" w:rsidP="00447B72">
            <w:pPr>
              <w:jc w:val="both"/>
              <w:rPr>
                <w:rFonts w:ascii="Arial" w:hAnsi="Arial" w:cs="Arial"/>
                <w:sz w:val="20"/>
                <w:szCs w:val="20"/>
                <w:lang w:val="en-ZA"/>
              </w:rPr>
            </w:pPr>
          </w:p>
        </w:tc>
        <w:tc>
          <w:tcPr>
            <w:tcW w:w="4238" w:type="dxa"/>
            <w:vMerge/>
            <w:shd w:val="clear" w:color="auto" w:fill="FFFFFF" w:themeFill="background1"/>
          </w:tcPr>
          <w:p w:rsidR="00447B72" w:rsidRPr="00400EA9" w:rsidRDefault="00447B72" w:rsidP="00447B72">
            <w:pPr>
              <w:jc w:val="both"/>
              <w:rPr>
                <w:rFonts w:ascii="Arial" w:hAnsi="Arial" w:cs="Arial"/>
                <w:sz w:val="20"/>
                <w:szCs w:val="20"/>
                <w:lang w:val="en-ZA"/>
              </w:rPr>
            </w:pPr>
          </w:p>
        </w:tc>
      </w:tr>
      <w:tr w:rsidR="00447B72" w:rsidRPr="00400EA9" w:rsidTr="00806BF5">
        <w:trPr>
          <w:trHeight w:val="1635"/>
        </w:trPr>
        <w:tc>
          <w:tcPr>
            <w:tcW w:w="1528" w:type="dxa"/>
            <w:shd w:val="clear" w:color="auto" w:fill="FFFFFF" w:themeFill="background1"/>
          </w:tcPr>
          <w:p w:rsidR="00447B72" w:rsidRPr="00400EA9" w:rsidRDefault="00447B72" w:rsidP="00447B72">
            <w:pPr>
              <w:rPr>
                <w:rFonts w:ascii="Arial" w:hAnsi="Arial" w:cs="Arial"/>
                <w:b/>
                <w:sz w:val="20"/>
                <w:szCs w:val="20"/>
                <w:lang w:val="en-ZA"/>
              </w:rPr>
            </w:pPr>
            <w:r w:rsidRPr="00400EA9">
              <w:rPr>
                <w:rFonts w:ascii="Arial" w:hAnsi="Arial" w:cs="Arial"/>
                <w:b/>
                <w:sz w:val="20"/>
                <w:szCs w:val="20"/>
                <w:lang w:val="en-ZA"/>
              </w:rPr>
              <w:t>Kendal</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3200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2020-25</w:t>
            </w:r>
          </w:p>
        </w:tc>
        <w:tc>
          <w:tcPr>
            <w:tcW w:w="1133"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None</w:t>
            </w:r>
          </w:p>
        </w:tc>
        <w:tc>
          <w:tcPr>
            <w:tcW w:w="1394"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N/A</w:t>
            </w:r>
          </w:p>
        </w:tc>
        <w:tc>
          <w:tcPr>
            <w:tcW w:w="4032"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No commitment was given by Eskom with respect to the postponement of compliance with the 2020 SO</w:t>
            </w:r>
            <w:r w:rsidRPr="00400EA9">
              <w:rPr>
                <w:rFonts w:ascii="Arial" w:hAnsi="Arial" w:cs="Arial"/>
                <w:sz w:val="20"/>
                <w:szCs w:val="20"/>
                <w:vertAlign w:val="subscript"/>
                <w:lang w:val="en-ZA"/>
              </w:rPr>
              <w:t>2</w:t>
            </w:r>
            <w:r w:rsidRPr="00400EA9">
              <w:rPr>
                <w:rFonts w:ascii="Arial" w:hAnsi="Arial" w:cs="Arial"/>
                <w:sz w:val="20"/>
                <w:szCs w:val="20"/>
                <w:lang w:val="en-ZA"/>
              </w:rPr>
              <w:t xml:space="preserve"> limit. The postponement decision was however clear that the power station will be required to comply with the 500 mg/Nm</w:t>
            </w:r>
            <w:r w:rsidRPr="00400EA9">
              <w:rPr>
                <w:rFonts w:ascii="Arial" w:hAnsi="Arial" w:cs="Arial"/>
                <w:sz w:val="20"/>
                <w:szCs w:val="20"/>
                <w:vertAlign w:val="superscript"/>
                <w:lang w:val="en-ZA"/>
              </w:rPr>
              <w:t>3</w:t>
            </w:r>
            <w:r w:rsidRPr="00400EA9">
              <w:rPr>
                <w:rFonts w:ascii="Arial" w:hAnsi="Arial" w:cs="Arial"/>
                <w:sz w:val="20"/>
                <w:szCs w:val="20"/>
                <w:lang w:val="en-ZA"/>
              </w:rPr>
              <w:t xml:space="preserve"> limit from 01 April 2025. </w:t>
            </w:r>
          </w:p>
        </w:tc>
        <w:tc>
          <w:tcPr>
            <w:tcW w:w="4238"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PM emissions to be reduced through the installation of high frequency transformers, and the refurbishment of the electrostatic precipitators, SO</w:t>
            </w:r>
            <w:r w:rsidRPr="00400EA9">
              <w:rPr>
                <w:rFonts w:ascii="Arial" w:hAnsi="Arial" w:cs="Arial"/>
                <w:sz w:val="20"/>
                <w:szCs w:val="20"/>
                <w:vertAlign w:val="subscript"/>
                <w:lang w:val="en-ZA"/>
              </w:rPr>
              <w:t>3</w:t>
            </w:r>
            <w:r w:rsidRPr="00400EA9">
              <w:rPr>
                <w:rFonts w:ascii="Arial" w:hAnsi="Arial" w:cs="Arial"/>
                <w:sz w:val="20"/>
                <w:szCs w:val="20"/>
                <w:lang w:val="en-ZA"/>
              </w:rPr>
              <w:t xml:space="preserve"> plants and dust handling plants. No mention is made however on the plans to comply with the SO</w:t>
            </w:r>
            <w:r w:rsidRPr="00400EA9">
              <w:rPr>
                <w:rFonts w:ascii="Arial" w:hAnsi="Arial" w:cs="Arial"/>
                <w:sz w:val="20"/>
                <w:szCs w:val="20"/>
                <w:vertAlign w:val="subscript"/>
                <w:lang w:val="en-ZA"/>
              </w:rPr>
              <w:t xml:space="preserve">2 </w:t>
            </w:r>
            <w:r w:rsidRPr="00400EA9">
              <w:rPr>
                <w:rFonts w:ascii="Arial" w:hAnsi="Arial" w:cs="Arial"/>
                <w:sz w:val="20"/>
                <w:szCs w:val="20"/>
                <w:lang w:val="en-ZA"/>
              </w:rPr>
              <w:t>limit of 500 mg/Nm</w:t>
            </w:r>
            <w:r w:rsidRPr="00400EA9">
              <w:rPr>
                <w:rFonts w:ascii="Arial" w:hAnsi="Arial" w:cs="Arial"/>
                <w:sz w:val="20"/>
                <w:szCs w:val="20"/>
                <w:vertAlign w:val="superscript"/>
                <w:lang w:val="en-ZA"/>
              </w:rPr>
              <w:t>3</w:t>
            </w:r>
            <w:r w:rsidRPr="00400EA9">
              <w:rPr>
                <w:rFonts w:ascii="Arial" w:hAnsi="Arial" w:cs="Arial"/>
                <w:sz w:val="20"/>
                <w:szCs w:val="20"/>
                <w:lang w:val="en-ZA"/>
              </w:rPr>
              <w:t xml:space="preserve"> by 2025.</w:t>
            </w:r>
          </w:p>
        </w:tc>
      </w:tr>
      <w:tr w:rsidR="00447B72" w:rsidRPr="00400EA9" w:rsidTr="00806BF5">
        <w:trPr>
          <w:trHeight w:val="561"/>
        </w:trPr>
        <w:tc>
          <w:tcPr>
            <w:tcW w:w="1528" w:type="dxa"/>
            <w:vMerge w:val="restart"/>
            <w:shd w:val="clear" w:color="auto" w:fill="FFFFFF" w:themeFill="background1"/>
          </w:tcPr>
          <w:p w:rsidR="00447B72" w:rsidRPr="00400EA9" w:rsidRDefault="00447B72" w:rsidP="00447B72">
            <w:pPr>
              <w:rPr>
                <w:rFonts w:ascii="Arial" w:hAnsi="Arial" w:cs="Arial"/>
                <w:b/>
                <w:sz w:val="20"/>
                <w:szCs w:val="20"/>
                <w:lang w:val="en-ZA"/>
              </w:rPr>
            </w:pPr>
            <w:r w:rsidRPr="00400EA9">
              <w:rPr>
                <w:rFonts w:ascii="Arial" w:hAnsi="Arial" w:cs="Arial"/>
                <w:b/>
                <w:sz w:val="20"/>
                <w:szCs w:val="20"/>
                <w:lang w:val="en-ZA"/>
              </w:rPr>
              <w:t>Komati</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2600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2020-25</w:t>
            </w:r>
          </w:p>
        </w:tc>
        <w:tc>
          <w:tcPr>
            <w:tcW w:w="1133"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2024-25</w:t>
            </w:r>
          </w:p>
        </w:tc>
        <w:tc>
          <w:tcPr>
            <w:tcW w:w="1394"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Uncertain</w:t>
            </w:r>
          </w:p>
        </w:tc>
        <w:tc>
          <w:tcPr>
            <w:tcW w:w="4032"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No commitments were given during postponement application process as Eskom indicated that the decommissioning schedule for Komati will be 2024-2028 as per 50-year life</w:t>
            </w:r>
          </w:p>
        </w:tc>
        <w:tc>
          <w:tcPr>
            <w:tcW w:w="4238"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Eskom is now saying that no decisions have yet been made as to when to decommission any power station. This leaves the matter open ended.</w:t>
            </w:r>
          </w:p>
        </w:tc>
      </w:tr>
      <w:tr w:rsidR="00447B72" w:rsidRPr="00400EA9" w:rsidTr="00806BF5">
        <w:trPr>
          <w:trHeight w:val="561"/>
        </w:trPr>
        <w:tc>
          <w:tcPr>
            <w:tcW w:w="1528" w:type="dxa"/>
            <w:vMerge/>
            <w:shd w:val="clear" w:color="auto" w:fill="FFFFFF" w:themeFill="background1"/>
          </w:tcPr>
          <w:p w:rsidR="00447B72" w:rsidRPr="00400EA9" w:rsidRDefault="00447B72" w:rsidP="00447B72">
            <w:pPr>
              <w:rPr>
                <w:rFonts w:ascii="Arial" w:hAnsi="Arial" w:cs="Arial"/>
                <w:b/>
                <w:sz w:val="20"/>
                <w:szCs w:val="20"/>
                <w:lang w:val="en-ZA"/>
              </w:rPr>
            </w:pP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1300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2015-20</w:t>
            </w:r>
          </w:p>
        </w:tc>
        <w:tc>
          <w:tcPr>
            <w:tcW w:w="1133"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1394"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4032" w:type="dxa"/>
            <w:vMerge/>
            <w:shd w:val="clear" w:color="auto" w:fill="FFFFFF" w:themeFill="background1"/>
          </w:tcPr>
          <w:p w:rsidR="00447B72" w:rsidRPr="00400EA9" w:rsidRDefault="00447B72" w:rsidP="00447B72">
            <w:pPr>
              <w:jc w:val="both"/>
              <w:rPr>
                <w:rFonts w:ascii="Arial" w:hAnsi="Arial" w:cs="Arial"/>
                <w:sz w:val="20"/>
                <w:szCs w:val="20"/>
                <w:lang w:val="en-ZA"/>
              </w:rPr>
            </w:pPr>
          </w:p>
        </w:tc>
        <w:tc>
          <w:tcPr>
            <w:tcW w:w="4238" w:type="dxa"/>
            <w:vMerge/>
            <w:shd w:val="clear" w:color="auto" w:fill="FFFFFF" w:themeFill="background1"/>
          </w:tcPr>
          <w:p w:rsidR="00447B72" w:rsidRPr="00400EA9" w:rsidRDefault="00447B72" w:rsidP="00447B72">
            <w:pPr>
              <w:jc w:val="both"/>
              <w:rPr>
                <w:rFonts w:ascii="Arial" w:hAnsi="Arial" w:cs="Arial"/>
                <w:sz w:val="20"/>
                <w:szCs w:val="20"/>
                <w:lang w:val="en-ZA"/>
              </w:rPr>
            </w:pPr>
          </w:p>
        </w:tc>
      </w:tr>
      <w:tr w:rsidR="00447B72" w:rsidRPr="00400EA9" w:rsidTr="00806BF5">
        <w:trPr>
          <w:trHeight w:val="834"/>
        </w:trPr>
        <w:tc>
          <w:tcPr>
            <w:tcW w:w="1528" w:type="dxa"/>
            <w:vMerge w:val="restart"/>
            <w:shd w:val="clear" w:color="auto" w:fill="FFFFFF" w:themeFill="background1"/>
          </w:tcPr>
          <w:p w:rsidR="00447B72" w:rsidRPr="00400EA9" w:rsidRDefault="00447B72" w:rsidP="00447B72">
            <w:pPr>
              <w:rPr>
                <w:rFonts w:ascii="Arial" w:hAnsi="Arial" w:cs="Arial"/>
                <w:b/>
                <w:color w:val="FF0000"/>
                <w:sz w:val="20"/>
                <w:szCs w:val="20"/>
                <w:lang w:val="en-ZA"/>
              </w:rPr>
            </w:pPr>
            <w:r w:rsidRPr="00400EA9">
              <w:rPr>
                <w:rFonts w:ascii="Arial" w:hAnsi="Arial" w:cs="Arial"/>
                <w:b/>
                <w:sz w:val="20"/>
                <w:szCs w:val="20"/>
                <w:lang w:val="en-ZA"/>
              </w:rPr>
              <w:t>Lethabo</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PM</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100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Dec 2015</w:t>
            </w:r>
          </w:p>
        </w:tc>
        <w:tc>
          <w:tcPr>
            <w:tcW w:w="1133"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None</w:t>
            </w:r>
          </w:p>
        </w:tc>
        <w:tc>
          <w:tcPr>
            <w:tcW w:w="1394" w:type="dxa"/>
            <w:vMerge w:val="restart"/>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N/A</w:t>
            </w:r>
          </w:p>
        </w:tc>
        <w:tc>
          <w:tcPr>
            <w:tcW w:w="4032"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 xml:space="preserve">No commitments were given as the problem at Lethabo power station related to operational matters that should be resolved before the postponement period expires. </w:t>
            </w:r>
          </w:p>
        </w:tc>
        <w:tc>
          <w:tcPr>
            <w:tcW w:w="4238" w:type="dxa"/>
            <w:vMerge w:val="restart"/>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 xml:space="preserve">Extensive repairs have been performed on Lethabo’s ESP’s to repair the damage caused by the ash backlogs in November 2014. PM emission performance has improved as a result. PM emissions to be further reduced through the installation of high frequency transformers, an upgrade of </w:t>
            </w:r>
            <w:r w:rsidRPr="00400EA9">
              <w:rPr>
                <w:rFonts w:ascii="Arial" w:hAnsi="Arial" w:cs="Arial"/>
                <w:sz w:val="20"/>
                <w:szCs w:val="20"/>
                <w:lang w:val="en-ZA"/>
              </w:rPr>
              <w:lastRenderedPageBreak/>
              <w:t xml:space="preserve">the SO3 plants, and the refurbishment of the electrostatic precipitators and dust handling plants </w:t>
            </w:r>
          </w:p>
        </w:tc>
      </w:tr>
      <w:tr w:rsidR="00447B72" w:rsidRPr="00400EA9" w:rsidTr="00806BF5">
        <w:trPr>
          <w:trHeight w:val="835"/>
        </w:trPr>
        <w:tc>
          <w:tcPr>
            <w:tcW w:w="1528" w:type="dxa"/>
            <w:vMerge/>
            <w:shd w:val="clear" w:color="auto" w:fill="FFFFFF" w:themeFill="background1"/>
          </w:tcPr>
          <w:p w:rsidR="00447B72" w:rsidRPr="00400EA9" w:rsidRDefault="00447B72" w:rsidP="00447B72">
            <w:pPr>
              <w:rPr>
                <w:rFonts w:ascii="Arial" w:hAnsi="Arial" w:cs="Arial"/>
                <w:b/>
                <w:sz w:val="20"/>
                <w:szCs w:val="20"/>
                <w:lang w:val="en-ZA"/>
              </w:rPr>
            </w:pP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2600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2020-25</w:t>
            </w:r>
          </w:p>
        </w:tc>
        <w:tc>
          <w:tcPr>
            <w:tcW w:w="1133"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1394"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4032" w:type="dxa"/>
            <w:vMerge/>
            <w:shd w:val="clear" w:color="auto" w:fill="FFFFFF" w:themeFill="background1"/>
          </w:tcPr>
          <w:p w:rsidR="00447B72" w:rsidRPr="00400EA9" w:rsidRDefault="00447B72" w:rsidP="00447B72">
            <w:pPr>
              <w:jc w:val="both"/>
              <w:rPr>
                <w:rFonts w:ascii="Arial" w:hAnsi="Arial" w:cs="Arial"/>
                <w:sz w:val="20"/>
                <w:szCs w:val="20"/>
                <w:lang w:val="en-ZA"/>
              </w:rPr>
            </w:pPr>
          </w:p>
        </w:tc>
        <w:tc>
          <w:tcPr>
            <w:tcW w:w="4238" w:type="dxa"/>
            <w:vMerge/>
            <w:shd w:val="clear" w:color="auto" w:fill="FFFFFF" w:themeFill="background1"/>
          </w:tcPr>
          <w:p w:rsidR="00447B72" w:rsidRPr="00400EA9" w:rsidRDefault="00447B72" w:rsidP="00447B72">
            <w:pPr>
              <w:jc w:val="both"/>
              <w:rPr>
                <w:rFonts w:ascii="Arial" w:hAnsi="Arial" w:cs="Arial"/>
                <w:sz w:val="20"/>
                <w:szCs w:val="20"/>
                <w:lang w:val="en-ZA"/>
              </w:rPr>
            </w:pPr>
          </w:p>
        </w:tc>
      </w:tr>
      <w:tr w:rsidR="00447B72" w:rsidRPr="00400EA9" w:rsidTr="00806BF5">
        <w:trPr>
          <w:trHeight w:val="713"/>
        </w:trPr>
        <w:tc>
          <w:tcPr>
            <w:tcW w:w="1528" w:type="dxa"/>
            <w:vMerge/>
            <w:shd w:val="clear" w:color="auto" w:fill="FFFFFF" w:themeFill="background1"/>
          </w:tcPr>
          <w:p w:rsidR="00447B72" w:rsidRPr="00400EA9" w:rsidRDefault="00447B72" w:rsidP="00447B72">
            <w:pPr>
              <w:rPr>
                <w:rFonts w:ascii="Arial" w:hAnsi="Arial" w:cs="Arial"/>
                <w:b/>
                <w:sz w:val="20"/>
                <w:szCs w:val="20"/>
                <w:lang w:val="en-ZA"/>
              </w:rPr>
            </w:pP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1300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2015-20</w:t>
            </w:r>
          </w:p>
        </w:tc>
        <w:tc>
          <w:tcPr>
            <w:tcW w:w="1133"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1394" w:type="dxa"/>
            <w:vMerge/>
            <w:shd w:val="clear" w:color="auto" w:fill="FFFFFF" w:themeFill="background1"/>
          </w:tcPr>
          <w:p w:rsidR="00447B72" w:rsidRPr="00400EA9" w:rsidRDefault="00447B72" w:rsidP="00447B72">
            <w:pPr>
              <w:rPr>
                <w:rFonts w:ascii="Arial" w:hAnsi="Arial" w:cs="Arial"/>
                <w:sz w:val="20"/>
                <w:szCs w:val="20"/>
                <w:lang w:val="en-ZA"/>
              </w:rPr>
            </w:pPr>
          </w:p>
        </w:tc>
        <w:tc>
          <w:tcPr>
            <w:tcW w:w="4032" w:type="dxa"/>
            <w:vMerge/>
            <w:shd w:val="clear" w:color="auto" w:fill="FFFFFF" w:themeFill="background1"/>
          </w:tcPr>
          <w:p w:rsidR="00447B72" w:rsidRPr="00400EA9" w:rsidRDefault="00447B72" w:rsidP="00447B72">
            <w:pPr>
              <w:jc w:val="both"/>
              <w:rPr>
                <w:rFonts w:ascii="Arial" w:hAnsi="Arial" w:cs="Arial"/>
                <w:sz w:val="20"/>
                <w:szCs w:val="20"/>
                <w:lang w:val="en-ZA"/>
              </w:rPr>
            </w:pPr>
          </w:p>
        </w:tc>
        <w:tc>
          <w:tcPr>
            <w:tcW w:w="4238" w:type="dxa"/>
            <w:vMerge/>
            <w:shd w:val="clear" w:color="auto" w:fill="FFFFFF" w:themeFill="background1"/>
          </w:tcPr>
          <w:p w:rsidR="00447B72" w:rsidRPr="00400EA9" w:rsidRDefault="00447B72" w:rsidP="00447B72">
            <w:pPr>
              <w:jc w:val="both"/>
              <w:rPr>
                <w:rFonts w:ascii="Arial" w:hAnsi="Arial" w:cs="Arial"/>
                <w:sz w:val="20"/>
                <w:szCs w:val="20"/>
                <w:lang w:val="en-ZA"/>
              </w:rPr>
            </w:pPr>
          </w:p>
        </w:tc>
      </w:tr>
      <w:tr w:rsidR="00447B72" w:rsidRPr="00400EA9" w:rsidTr="00806BF5">
        <w:trPr>
          <w:trHeight w:val="1515"/>
        </w:trPr>
        <w:tc>
          <w:tcPr>
            <w:tcW w:w="1528" w:type="dxa"/>
            <w:shd w:val="clear" w:color="auto" w:fill="FFFFFF" w:themeFill="background1"/>
          </w:tcPr>
          <w:p w:rsidR="00447B72" w:rsidRPr="00400EA9" w:rsidRDefault="00447B72" w:rsidP="00447B72">
            <w:pPr>
              <w:rPr>
                <w:rFonts w:ascii="Arial" w:hAnsi="Arial" w:cs="Arial"/>
                <w:b/>
                <w:sz w:val="20"/>
                <w:szCs w:val="20"/>
                <w:lang w:val="en-ZA"/>
              </w:rPr>
            </w:pPr>
            <w:r w:rsidRPr="00400EA9">
              <w:rPr>
                <w:rFonts w:ascii="Arial" w:hAnsi="Arial" w:cs="Arial"/>
                <w:b/>
                <w:sz w:val="20"/>
                <w:szCs w:val="20"/>
                <w:lang w:val="en-ZA"/>
              </w:rPr>
              <w:lastRenderedPageBreak/>
              <w:t>Matimba</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SO</w:t>
            </w:r>
            <w:r w:rsidRPr="00400EA9">
              <w:rPr>
                <w:rFonts w:ascii="Arial" w:hAnsi="Arial" w:cs="Arial"/>
                <w:sz w:val="20"/>
                <w:szCs w:val="20"/>
                <w:vertAlign w:val="subscript"/>
                <w:lang w:val="en-ZA"/>
              </w:rPr>
              <w:t>2</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3500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2020-25</w:t>
            </w:r>
          </w:p>
        </w:tc>
        <w:tc>
          <w:tcPr>
            <w:tcW w:w="1133"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None</w:t>
            </w:r>
          </w:p>
        </w:tc>
        <w:tc>
          <w:tcPr>
            <w:tcW w:w="1394"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N/A</w:t>
            </w:r>
          </w:p>
        </w:tc>
        <w:tc>
          <w:tcPr>
            <w:tcW w:w="4032"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No commitment was given by Eskom with respect to the postponement of compliance with the 2020 SO</w:t>
            </w:r>
            <w:r w:rsidRPr="00400EA9">
              <w:rPr>
                <w:rFonts w:ascii="Arial" w:hAnsi="Arial" w:cs="Arial"/>
                <w:sz w:val="20"/>
                <w:szCs w:val="20"/>
                <w:vertAlign w:val="subscript"/>
                <w:lang w:val="en-ZA"/>
              </w:rPr>
              <w:t>2</w:t>
            </w:r>
            <w:r w:rsidRPr="00400EA9">
              <w:rPr>
                <w:rFonts w:ascii="Arial" w:hAnsi="Arial" w:cs="Arial"/>
                <w:sz w:val="20"/>
                <w:szCs w:val="20"/>
                <w:lang w:val="en-ZA"/>
              </w:rPr>
              <w:t xml:space="preserve"> limit. The postponement decision was however clear that the power station will be required to comply with the 500 mg/Nm</w:t>
            </w:r>
            <w:r w:rsidRPr="00400EA9">
              <w:rPr>
                <w:rFonts w:ascii="Arial" w:hAnsi="Arial" w:cs="Arial"/>
                <w:sz w:val="20"/>
                <w:szCs w:val="20"/>
                <w:vertAlign w:val="superscript"/>
                <w:lang w:val="en-ZA"/>
              </w:rPr>
              <w:t>3</w:t>
            </w:r>
            <w:r w:rsidRPr="00400EA9">
              <w:rPr>
                <w:rFonts w:ascii="Arial" w:hAnsi="Arial" w:cs="Arial"/>
                <w:sz w:val="20"/>
                <w:szCs w:val="20"/>
                <w:lang w:val="en-ZA"/>
              </w:rPr>
              <w:t xml:space="preserve"> limit from 01 April 2025.</w:t>
            </w:r>
          </w:p>
        </w:tc>
        <w:tc>
          <w:tcPr>
            <w:tcW w:w="4238"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PM emissions to be reduced through the installation of high frequency transformers, and the refurbishment of the electrostatic precipitators, SO3 plants and dust handling plants. No mention is made however on the plans to comply with the SO</w:t>
            </w:r>
            <w:r w:rsidRPr="00400EA9">
              <w:rPr>
                <w:rFonts w:ascii="Arial" w:hAnsi="Arial" w:cs="Arial"/>
                <w:sz w:val="20"/>
                <w:szCs w:val="20"/>
                <w:vertAlign w:val="subscript"/>
                <w:lang w:val="en-ZA"/>
              </w:rPr>
              <w:t xml:space="preserve">2 </w:t>
            </w:r>
            <w:r w:rsidRPr="00400EA9">
              <w:rPr>
                <w:rFonts w:ascii="Arial" w:hAnsi="Arial" w:cs="Arial"/>
                <w:sz w:val="20"/>
                <w:szCs w:val="20"/>
                <w:lang w:val="en-ZA"/>
              </w:rPr>
              <w:t>limit of 500 mg/Nm</w:t>
            </w:r>
            <w:r w:rsidRPr="00400EA9">
              <w:rPr>
                <w:rFonts w:ascii="Arial" w:hAnsi="Arial" w:cs="Arial"/>
                <w:sz w:val="20"/>
                <w:szCs w:val="20"/>
                <w:vertAlign w:val="superscript"/>
                <w:lang w:val="en-ZA"/>
              </w:rPr>
              <w:t>3</w:t>
            </w:r>
            <w:r w:rsidRPr="00400EA9">
              <w:rPr>
                <w:rFonts w:ascii="Arial" w:hAnsi="Arial" w:cs="Arial"/>
                <w:sz w:val="20"/>
                <w:szCs w:val="20"/>
                <w:lang w:val="en-ZA"/>
              </w:rPr>
              <w:t xml:space="preserve"> by 2025.</w:t>
            </w:r>
          </w:p>
          <w:p w:rsidR="00447B72" w:rsidRPr="00400EA9" w:rsidRDefault="00447B72" w:rsidP="00447B72">
            <w:pPr>
              <w:jc w:val="both"/>
              <w:rPr>
                <w:rFonts w:ascii="Arial" w:hAnsi="Arial" w:cs="Arial"/>
                <w:sz w:val="20"/>
                <w:szCs w:val="20"/>
                <w:lang w:val="en-ZA"/>
              </w:rPr>
            </w:pPr>
          </w:p>
        </w:tc>
      </w:tr>
      <w:tr w:rsidR="00447B72" w:rsidRPr="00400EA9" w:rsidTr="00806BF5">
        <w:trPr>
          <w:trHeight w:val="249"/>
        </w:trPr>
        <w:tc>
          <w:tcPr>
            <w:tcW w:w="1528" w:type="dxa"/>
            <w:shd w:val="clear" w:color="auto" w:fill="FFFFFF" w:themeFill="background1"/>
          </w:tcPr>
          <w:p w:rsidR="00447B72" w:rsidRPr="00400EA9" w:rsidRDefault="00447B72" w:rsidP="00447B72">
            <w:pPr>
              <w:rPr>
                <w:rFonts w:ascii="Arial" w:hAnsi="Arial" w:cs="Arial"/>
                <w:b/>
                <w:color w:val="FF0000"/>
                <w:sz w:val="20"/>
                <w:szCs w:val="20"/>
                <w:lang w:val="en-ZA"/>
              </w:rPr>
            </w:pPr>
            <w:r w:rsidRPr="00400EA9">
              <w:rPr>
                <w:rFonts w:ascii="Arial" w:hAnsi="Arial" w:cs="Arial"/>
                <w:b/>
                <w:sz w:val="20"/>
                <w:szCs w:val="20"/>
                <w:lang w:val="en-ZA"/>
              </w:rPr>
              <w:t>Port Rex</w:t>
            </w:r>
          </w:p>
        </w:tc>
        <w:tc>
          <w:tcPr>
            <w:tcW w:w="1031"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w:t>
            </w:r>
            <w:r w:rsidRPr="00400EA9">
              <w:rPr>
                <w:rFonts w:ascii="Arial" w:hAnsi="Arial" w:cs="Arial"/>
                <w:sz w:val="20"/>
                <w:szCs w:val="20"/>
                <w:vertAlign w:val="subscript"/>
                <w:lang w:val="en-ZA"/>
              </w:rPr>
              <w:t>X</w:t>
            </w:r>
          </w:p>
        </w:tc>
        <w:tc>
          <w:tcPr>
            <w:tcW w:w="1066"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600</w:t>
            </w:r>
          </w:p>
        </w:tc>
        <w:tc>
          <w:tcPr>
            <w:tcW w:w="1030"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 xml:space="preserve">2020-25 </w:t>
            </w:r>
          </w:p>
        </w:tc>
        <w:tc>
          <w:tcPr>
            <w:tcW w:w="1133"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None</w:t>
            </w:r>
          </w:p>
        </w:tc>
        <w:tc>
          <w:tcPr>
            <w:tcW w:w="1394" w:type="dxa"/>
            <w:shd w:val="clear" w:color="auto" w:fill="FFFFFF" w:themeFill="background1"/>
          </w:tcPr>
          <w:p w:rsidR="00447B72" w:rsidRPr="00400EA9" w:rsidRDefault="00447B72" w:rsidP="00447B72">
            <w:pPr>
              <w:rPr>
                <w:rFonts w:ascii="Arial" w:hAnsi="Arial" w:cs="Arial"/>
                <w:sz w:val="20"/>
                <w:szCs w:val="20"/>
                <w:lang w:val="en-ZA"/>
              </w:rPr>
            </w:pPr>
            <w:r w:rsidRPr="00400EA9">
              <w:rPr>
                <w:rFonts w:ascii="Arial" w:hAnsi="Arial" w:cs="Arial"/>
                <w:sz w:val="20"/>
                <w:szCs w:val="20"/>
                <w:lang w:val="en-ZA"/>
              </w:rPr>
              <w:t>N/A</w:t>
            </w:r>
          </w:p>
        </w:tc>
        <w:tc>
          <w:tcPr>
            <w:tcW w:w="4032"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 xml:space="preserve">None as the facility is compliant with all the 2015 limits emission limits. </w:t>
            </w:r>
          </w:p>
        </w:tc>
        <w:tc>
          <w:tcPr>
            <w:tcW w:w="4238" w:type="dxa"/>
            <w:shd w:val="clear" w:color="auto" w:fill="FFFFFF" w:themeFill="background1"/>
          </w:tcPr>
          <w:p w:rsidR="00447B72" w:rsidRPr="00400EA9" w:rsidRDefault="00447B72" w:rsidP="00447B72">
            <w:pPr>
              <w:jc w:val="both"/>
              <w:rPr>
                <w:rFonts w:ascii="Arial" w:hAnsi="Arial" w:cs="Arial"/>
                <w:sz w:val="20"/>
                <w:szCs w:val="20"/>
                <w:lang w:val="en-ZA"/>
              </w:rPr>
            </w:pPr>
            <w:r w:rsidRPr="00400EA9">
              <w:rPr>
                <w:rFonts w:ascii="Arial" w:hAnsi="Arial" w:cs="Arial"/>
                <w:sz w:val="20"/>
                <w:szCs w:val="20"/>
                <w:lang w:val="en-ZA"/>
              </w:rPr>
              <w:t>N/A</w:t>
            </w:r>
          </w:p>
        </w:tc>
      </w:tr>
    </w:tbl>
    <w:p w:rsidR="002B6313" w:rsidRDefault="002B6313" w:rsidP="000B7092">
      <w:pPr>
        <w:spacing w:line="360" w:lineRule="auto"/>
        <w:contextualSpacing/>
        <w:jc w:val="both"/>
        <w:rPr>
          <w:rFonts w:ascii="Arial Narrow" w:hAnsi="Arial Narrow" w:cs="Arial"/>
          <w:b/>
        </w:rPr>
      </w:pPr>
    </w:p>
    <w:p w:rsidR="00273FE1" w:rsidRDefault="00273FE1" w:rsidP="000B7092">
      <w:pPr>
        <w:spacing w:line="360" w:lineRule="auto"/>
        <w:contextualSpacing/>
        <w:jc w:val="both"/>
        <w:rPr>
          <w:rFonts w:ascii="Arial Narrow" w:hAnsi="Arial Narrow" w:cs="Arial"/>
          <w:b/>
        </w:rPr>
      </w:pPr>
    </w:p>
    <w:p w:rsidR="00AD75FE" w:rsidRDefault="00F03E15" w:rsidP="00273FE1">
      <w:pPr>
        <w:contextualSpacing/>
        <w:jc w:val="both"/>
        <w:rPr>
          <w:rFonts w:ascii="Arial Narrow" w:hAnsi="Arial Narrow" w:cs="Arial"/>
          <w:b/>
        </w:rPr>
      </w:pPr>
      <w:r>
        <w:rPr>
          <w:rFonts w:ascii="Arial Narrow" w:hAnsi="Arial Narrow" w:cs="Arial"/>
          <w:b/>
        </w:rPr>
        <w:t>TABLE 2</w:t>
      </w:r>
      <w:r w:rsidR="00273FE1">
        <w:rPr>
          <w:rFonts w:ascii="Arial Narrow" w:hAnsi="Arial Narrow" w:cs="Arial"/>
          <w:b/>
        </w:rPr>
        <w:t>: SHELL (PTY) LTD: Progress report on Shell facilities</w:t>
      </w:r>
    </w:p>
    <w:p w:rsidR="00AD75FE" w:rsidRDefault="00AD75FE" w:rsidP="00273FE1">
      <w:pPr>
        <w:jc w:val="both"/>
        <w:rPr>
          <w:rFonts w:ascii="Arial Narrow" w:hAnsi="Arial Narrow" w:cs="Arial"/>
          <w:b/>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679"/>
        <w:gridCol w:w="1810"/>
        <w:gridCol w:w="1908"/>
        <w:gridCol w:w="3605"/>
        <w:gridCol w:w="4094"/>
      </w:tblGrid>
      <w:tr w:rsidR="00C34EE1" w:rsidRPr="00400EA9" w:rsidTr="00400EA9">
        <w:tc>
          <w:tcPr>
            <w:tcW w:w="1783" w:type="dxa"/>
            <w:shd w:val="clear" w:color="auto" w:fill="D9D9D9" w:themeFill="background1" w:themeFillShade="D9"/>
          </w:tcPr>
          <w:p w:rsidR="00C34EE1" w:rsidRPr="00400EA9" w:rsidRDefault="00C34EE1" w:rsidP="00273FE1">
            <w:pPr>
              <w:contextualSpacing/>
              <w:jc w:val="both"/>
              <w:rPr>
                <w:rFonts w:ascii="Arial" w:hAnsi="Arial" w:cs="Arial"/>
                <w:b/>
                <w:sz w:val="20"/>
                <w:szCs w:val="20"/>
              </w:rPr>
            </w:pPr>
            <w:r w:rsidRPr="00400EA9">
              <w:rPr>
                <w:rFonts w:ascii="Arial" w:hAnsi="Arial" w:cs="Arial"/>
                <w:b/>
                <w:sz w:val="20"/>
                <w:szCs w:val="20"/>
              </w:rPr>
              <w:t>NAME OF FACILITY</w:t>
            </w:r>
          </w:p>
        </w:tc>
        <w:tc>
          <w:tcPr>
            <w:tcW w:w="1679" w:type="dxa"/>
            <w:shd w:val="clear" w:color="auto" w:fill="D9D9D9" w:themeFill="background1" w:themeFillShade="D9"/>
          </w:tcPr>
          <w:p w:rsidR="00C34EE1" w:rsidRPr="00400EA9" w:rsidRDefault="00C34EE1" w:rsidP="00273FE1">
            <w:pPr>
              <w:contextualSpacing/>
              <w:jc w:val="both"/>
              <w:rPr>
                <w:rFonts w:ascii="Arial" w:hAnsi="Arial" w:cs="Arial"/>
                <w:b/>
                <w:sz w:val="20"/>
                <w:szCs w:val="20"/>
              </w:rPr>
            </w:pPr>
            <w:r w:rsidRPr="00400EA9">
              <w:rPr>
                <w:rFonts w:ascii="Arial" w:hAnsi="Arial" w:cs="Arial"/>
                <w:b/>
                <w:sz w:val="20"/>
                <w:szCs w:val="20"/>
              </w:rPr>
              <w:t xml:space="preserve">Postponement period granted </w:t>
            </w:r>
          </w:p>
        </w:tc>
        <w:tc>
          <w:tcPr>
            <w:tcW w:w="1810" w:type="dxa"/>
            <w:shd w:val="clear" w:color="auto" w:fill="D9D9D9" w:themeFill="background1" w:themeFillShade="D9"/>
          </w:tcPr>
          <w:p w:rsidR="00C34EE1" w:rsidRPr="00400EA9" w:rsidRDefault="00C34EE1" w:rsidP="00273FE1">
            <w:pPr>
              <w:contextualSpacing/>
              <w:rPr>
                <w:rFonts w:ascii="Arial" w:hAnsi="Arial" w:cs="Arial"/>
                <w:b/>
                <w:sz w:val="20"/>
                <w:szCs w:val="20"/>
              </w:rPr>
            </w:pPr>
            <w:r w:rsidRPr="00400EA9">
              <w:rPr>
                <w:rFonts w:ascii="Arial" w:hAnsi="Arial" w:cs="Arial"/>
                <w:b/>
                <w:sz w:val="20"/>
                <w:szCs w:val="20"/>
              </w:rPr>
              <w:t>LIMIT GRANTED wrt pollutant/s</w:t>
            </w:r>
          </w:p>
        </w:tc>
        <w:tc>
          <w:tcPr>
            <w:tcW w:w="1908" w:type="dxa"/>
            <w:shd w:val="clear" w:color="auto" w:fill="D9D9D9" w:themeFill="background1" w:themeFillShade="D9"/>
          </w:tcPr>
          <w:p w:rsidR="00C34EE1" w:rsidRPr="00400EA9" w:rsidRDefault="00C34EE1" w:rsidP="00273FE1">
            <w:pPr>
              <w:contextualSpacing/>
              <w:jc w:val="both"/>
              <w:rPr>
                <w:rFonts w:ascii="Arial" w:hAnsi="Arial" w:cs="Arial"/>
                <w:b/>
                <w:sz w:val="20"/>
                <w:szCs w:val="20"/>
              </w:rPr>
            </w:pPr>
            <w:r w:rsidRPr="00400EA9">
              <w:rPr>
                <w:rFonts w:ascii="Arial" w:hAnsi="Arial" w:cs="Arial"/>
                <w:b/>
                <w:sz w:val="20"/>
                <w:szCs w:val="20"/>
              </w:rPr>
              <w:t>ACTIVITY TO MEET COMPLIANCE AND TARGET DATE</w:t>
            </w:r>
          </w:p>
        </w:tc>
        <w:tc>
          <w:tcPr>
            <w:tcW w:w="3605" w:type="dxa"/>
            <w:shd w:val="clear" w:color="auto" w:fill="D9D9D9" w:themeFill="background1" w:themeFillShade="D9"/>
          </w:tcPr>
          <w:p w:rsidR="00C34EE1" w:rsidRPr="00400EA9" w:rsidRDefault="00C34EE1" w:rsidP="00273FE1">
            <w:pPr>
              <w:contextualSpacing/>
              <w:jc w:val="both"/>
              <w:rPr>
                <w:rFonts w:ascii="Arial" w:hAnsi="Arial" w:cs="Arial"/>
                <w:b/>
                <w:sz w:val="20"/>
                <w:szCs w:val="20"/>
              </w:rPr>
            </w:pPr>
            <w:r w:rsidRPr="00400EA9">
              <w:rPr>
                <w:rFonts w:ascii="Arial" w:hAnsi="Arial" w:cs="Arial"/>
                <w:b/>
                <w:sz w:val="20"/>
                <w:szCs w:val="20"/>
              </w:rPr>
              <w:t>PROGRESS</w:t>
            </w:r>
          </w:p>
        </w:tc>
        <w:tc>
          <w:tcPr>
            <w:tcW w:w="4094" w:type="dxa"/>
            <w:shd w:val="clear" w:color="auto" w:fill="D9D9D9" w:themeFill="background1" w:themeFillShade="D9"/>
          </w:tcPr>
          <w:p w:rsidR="00C34EE1" w:rsidRPr="00400EA9" w:rsidRDefault="00C34EE1" w:rsidP="00273FE1">
            <w:pPr>
              <w:contextualSpacing/>
              <w:jc w:val="both"/>
              <w:rPr>
                <w:rFonts w:ascii="Arial" w:hAnsi="Arial" w:cs="Arial"/>
                <w:b/>
                <w:sz w:val="20"/>
                <w:szCs w:val="20"/>
              </w:rPr>
            </w:pPr>
            <w:r w:rsidRPr="00400EA9">
              <w:rPr>
                <w:rFonts w:ascii="Arial" w:hAnsi="Arial" w:cs="Arial"/>
                <w:b/>
                <w:sz w:val="20"/>
                <w:szCs w:val="20"/>
              </w:rPr>
              <w:t>COMMENT</w:t>
            </w:r>
          </w:p>
        </w:tc>
      </w:tr>
      <w:tr w:rsidR="00C34EE1" w:rsidRPr="00400EA9" w:rsidTr="00400EA9">
        <w:tc>
          <w:tcPr>
            <w:tcW w:w="1783"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Shell Kimberly fuel storage facility</w:t>
            </w:r>
          </w:p>
        </w:tc>
        <w:tc>
          <w:tcPr>
            <w:tcW w:w="1679" w:type="dxa"/>
          </w:tcPr>
          <w:p w:rsidR="00C34EE1" w:rsidRPr="00400EA9" w:rsidRDefault="00C34EE1" w:rsidP="00273FE1">
            <w:pPr>
              <w:contextualSpacing/>
              <w:rPr>
                <w:rFonts w:ascii="Arial" w:hAnsi="Arial" w:cs="Arial"/>
                <w:sz w:val="20"/>
                <w:szCs w:val="20"/>
              </w:rPr>
            </w:pPr>
            <w:r w:rsidRPr="00400EA9">
              <w:rPr>
                <w:rFonts w:ascii="Arial" w:hAnsi="Arial" w:cs="Arial"/>
                <w:sz w:val="20"/>
                <w:szCs w:val="20"/>
              </w:rPr>
              <w:t xml:space="preserve">1 April 2015-31 March 2017 </w:t>
            </w:r>
          </w:p>
        </w:tc>
        <w:tc>
          <w:tcPr>
            <w:tcW w:w="1810" w:type="dxa"/>
          </w:tcPr>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TVOCs:</w:t>
            </w:r>
          </w:p>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150mg/Nm</w:t>
            </w:r>
            <w:r w:rsidRPr="00400EA9">
              <w:rPr>
                <w:rFonts w:ascii="Arial" w:hAnsi="Arial" w:cs="Arial"/>
                <w:sz w:val="20"/>
                <w:szCs w:val="20"/>
                <w:vertAlign w:val="superscript"/>
                <w:lang w:val="en-ZA"/>
              </w:rPr>
              <w:t>3</w:t>
            </w:r>
          </w:p>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lang w:val="en-ZA"/>
              </w:rPr>
              <w:t>40000mg/Nm</w:t>
            </w:r>
            <w:r w:rsidRPr="00400EA9">
              <w:rPr>
                <w:rFonts w:ascii="Arial" w:hAnsi="Arial" w:cs="Arial"/>
                <w:sz w:val="20"/>
                <w:szCs w:val="20"/>
                <w:vertAlign w:val="superscript"/>
                <w:lang w:val="en-ZA"/>
              </w:rPr>
              <w:t>3</w:t>
            </w:r>
            <w:r w:rsidRPr="00400EA9">
              <w:rPr>
                <w:rFonts w:ascii="Arial" w:hAnsi="Arial" w:cs="Arial"/>
                <w:sz w:val="20"/>
                <w:szCs w:val="20"/>
              </w:rPr>
              <w:t xml:space="preserve">   </w:t>
            </w:r>
          </w:p>
        </w:tc>
        <w:tc>
          <w:tcPr>
            <w:tcW w:w="1908"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Retrofit- VRU</w:t>
            </w:r>
          </w:p>
        </w:tc>
        <w:tc>
          <w:tcPr>
            <w:tcW w:w="3605" w:type="dxa"/>
          </w:tcPr>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Shell has embarked in a process to sell this facility.</w:t>
            </w:r>
          </w:p>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Storage of petrochemicals has been significantly reduced with current throughput not exceeding 50 000m3 per annum.</w:t>
            </w:r>
          </w:p>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 xml:space="preserve">Negotiations with potential buyers are being concluded with the deal planned to be </w:t>
            </w:r>
            <w:r w:rsidRPr="00400EA9">
              <w:rPr>
                <w:rFonts w:ascii="Arial" w:hAnsi="Arial" w:cs="Arial"/>
                <w:sz w:val="20"/>
                <w:szCs w:val="20"/>
                <w:lang w:val="en-ZA"/>
              </w:rPr>
              <w:lastRenderedPageBreak/>
              <w:t>finalized by the end of 2016.</w:t>
            </w:r>
          </w:p>
          <w:p w:rsidR="00C34EE1" w:rsidRPr="00400EA9" w:rsidRDefault="00C34EE1" w:rsidP="00273FE1">
            <w:pPr>
              <w:contextualSpacing/>
              <w:jc w:val="both"/>
              <w:rPr>
                <w:rFonts w:ascii="Arial" w:hAnsi="Arial" w:cs="Arial"/>
                <w:sz w:val="20"/>
                <w:szCs w:val="20"/>
              </w:rPr>
            </w:pPr>
          </w:p>
        </w:tc>
        <w:tc>
          <w:tcPr>
            <w:tcW w:w="4094" w:type="dxa"/>
          </w:tcPr>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lastRenderedPageBreak/>
              <w:t>Shell is in the process of selling this facility hence the installation of the VRU is not going to happen.</w:t>
            </w:r>
          </w:p>
        </w:tc>
      </w:tr>
      <w:tr w:rsidR="00C34EE1" w:rsidRPr="00400EA9" w:rsidTr="00400EA9">
        <w:tc>
          <w:tcPr>
            <w:tcW w:w="1783"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lastRenderedPageBreak/>
              <w:t>Shell Ladysmith fuel storage facility</w:t>
            </w:r>
          </w:p>
        </w:tc>
        <w:tc>
          <w:tcPr>
            <w:tcW w:w="1679"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1 April 2015-31 March 2017</w:t>
            </w:r>
          </w:p>
        </w:tc>
        <w:tc>
          <w:tcPr>
            <w:tcW w:w="1810" w:type="dxa"/>
          </w:tcPr>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TVOCs:</w:t>
            </w:r>
          </w:p>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150mg/Nm</w:t>
            </w:r>
            <w:r w:rsidRPr="00400EA9">
              <w:rPr>
                <w:rFonts w:ascii="Arial" w:hAnsi="Arial" w:cs="Arial"/>
                <w:sz w:val="20"/>
                <w:szCs w:val="20"/>
                <w:vertAlign w:val="superscript"/>
                <w:lang w:val="en-ZA"/>
              </w:rPr>
              <w:t>3</w:t>
            </w:r>
          </w:p>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lang w:val="en-ZA"/>
              </w:rPr>
              <w:t>40000mg/Nm</w:t>
            </w:r>
            <w:r w:rsidRPr="00400EA9">
              <w:rPr>
                <w:rFonts w:ascii="Arial" w:hAnsi="Arial" w:cs="Arial"/>
                <w:sz w:val="20"/>
                <w:szCs w:val="20"/>
                <w:vertAlign w:val="superscript"/>
                <w:lang w:val="en-ZA"/>
              </w:rPr>
              <w:t>3</w:t>
            </w:r>
            <w:r w:rsidRPr="00400EA9">
              <w:rPr>
                <w:rFonts w:ascii="Arial" w:hAnsi="Arial" w:cs="Arial"/>
                <w:sz w:val="20"/>
                <w:szCs w:val="20"/>
              </w:rPr>
              <w:t xml:space="preserve">   </w:t>
            </w:r>
          </w:p>
        </w:tc>
        <w:tc>
          <w:tcPr>
            <w:tcW w:w="1908" w:type="dxa"/>
          </w:tcPr>
          <w:p w:rsidR="00C34EE1" w:rsidRPr="00400EA9" w:rsidRDefault="00C34EE1" w:rsidP="00273FE1">
            <w:pPr>
              <w:contextualSpacing/>
              <w:jc w:val="both"/>
              <w:rPr>
                <w:rFonts w:ascii="Arial" w:hAnsi="Arial" w:cs="Arial"/>
                <w:color w:val="FF0000"/>
                <w:sz w:val="20"/>
                <w:szCs w:val="20"/>
              </w:rPr>
            </w:pPr>
            <w:r w:rsidRPr="00400EA9">
              <w:rPr>
                <w:rFonts w:ascii="Arial" w:hAnsi="Arial" w:cs="Arial"/>
                <w:sz w:val="20"/>
                <w:szCs w:val="20"/>
              </w:rPr>
              <w:t>Retrofit- VRU</w:t>
            </w:r>
          </w:p>
        </w:tc>
        <w:tc>
          <w:tcPr>
            <w:tcW w:w="3605" w:type="dxa"/>
          </w:tcPr>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VRU has been installed and functioning optimally. The postponement application has been closed.</w:t>
            </w:r>
          </w:p>
          <w:p w:rsidR="00C34EE1" w:rsidRPr="00400EA9" w:rsidRDefault="00C34EE1" w:rsidP="00273FE1">
            <w:pPr>
              <w:contextualSpacing/>
              <w:jc w:val="both"/>
              <w:rPr>
                <w:rFonts w:ascii="Arial" w:hAnsi="Arial" w:cs="Arial"/>
                <w:color w:val="FF0000"/>
                <w:sz w:val="20"/>
                <w:szCs w:val="20"/>
              </w:rPr>
            </w:pPr>
          </w:p>
        </w:tc>
        <w:tc>
          <w:tcPr>
            <w:tcW w:w="4094" w:type="dxa"/>
          </w:tcPr>
          <w:p w:rsidR="00C34EE1" w:rsidRPr="00400EA9" w:rsidRDefault="00C34EE1" w:rsidP="00273FE1">
            <w:pPr>
              <w:contextualSpacing/>
              <w:jc w:val="both"/>
              <w:rPr>
                <w:rFonts w:ascii="Arial" w:hAnsi="Arial" w:cs="Arial"/>
                <w:color w:val="FF0000"/>
                <w:sz w:val="20"/>
                <w:szCs w:val="20"/>
              </w:rPr>
            </w:pPr>
            <w:r w:rsidRPr="00400EA9">
              <w:rPr>
                <w:rFonts w:ascii="Arial" w:hAnsi="Arial" w:cs="Arial"/>
                <w:sz w:val="20"/>
                <w:szCs w:val="20"/>
              </w:rPr>
              <w:t>Target has been achieved by the facility.</w:t>
            </w:r>
          </w:p>
          <w:p w:rsidR="00C34EE1" w:rsidRPr="00400EA9" w:rsidRDefault="00C34EE1" w:rsidP="00273FE1">
            <w:pPr>
              <w:rPr>
                <w:rFonts w:ascii="Arial" w:hAnsi="Arial" w:cs="Arial"/>
                <w:sz w:val="20"/>
                <w:szCs w:val="20"/>
              </w:rPr>
            </w:pPr>
          </w:p>
        </w:tc>
      </w:tr>
      <w:tr w:rsidR="00C34EE1" w:rsidRPr="00400EA9" w:rsidTr="00400EA9">
        <w:tc>
          <w:tcPr>
            <w:tcW w:w="1783"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Shell Polokwane fuel storage facility</w:t>
            </w:r>
          </w:p>
        </w:tc>
        <w:tc>
          <w:tcPr>
            <w:tcW w:w="1679"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1 April 2015-31 March 2017</w:t>
            </w:r>
          </w:p>
        </w:tc>
        <w:tc>
          <w:tcPr>
            <w:tcW w:w="1810" w:type="dxa"/>
          </w:tcPr>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TVOCs:</w:t>
            </w:r>
          </w:p>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150mg/Nm</w:t>
            </w:r>
            <w:r w:rsidRPr="00400EA9">
              <w:rPr>
                <w:rFonts w:ascii="Arial" w:hAnsi="Arial" w:cs="Arial"/>
                <w:sz w:val="20"/>
                <w:szCs w:val="20"/>
                <w:vertAlign w:val="superscript"/>
                <w:lang w:val="en-ZA"/>
              </w:rPr>
              <w:t>3</w:t>
            </w:r>
          </w:p>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lang w:val="en-ZA"/>
              </w:rPr>
              <w:t>40000mg/Nm</w:t>
            </w:r>
            <w:r w:rsidRPr="00400EA9">
              <w:rPr>
                <w:rFonts w:ascii="Arial" w:hAnsi="Arial" w:cs="Arial"/>
                <w:sz w:val="20"/>
                <w:szCs w:val="20"/>
                <w:vertAlign w:val="superscript"/>
                <w:lang w:val="en-ZA"/>
              </w:rPr>
              <w:t>3</w:t>
            </w:r>
            <w:r w:rsidRPr="00400EA9">
              <w:rPr>
                <w:rFonts w:ascii="Arial" w:hAnsi="Arial" w:cs="Arial"/>
                <w:sz w:val="20"/>
                <w:szCs w:val="20"/>
              </w:rPr>
              <w:t xml:space="preserve">   </w:t>
            </w:r>
          </w:p>
          <w:p w:rsidR="00C34EE1" w:rsidRPr="00400EA9" w:rsidRDefault="00C34EE1" w:rsidP="00273FE1">
            <w:pPr>
              <w:contextualSpacing/>
              <w:jc w:val="both"/>
              <w:rPr>
                <w:rFonts w:ascii="Arial" w:hAnsi="Arial" w:cs="Arial"/>
                <w:sz w:val="20"/>
                <w:szCs w:val="20"/>
              </w:rPr>
            </w:pPr>
          </w:p>
          <w:p w:rsidR="00C34EE1" w:rsidRPr="00400EA9" w:rsidRDefault="00C34EE1" w:rsidP="00273FE1">
            <w:pPr>
              <w:contextualSpacing/>
              <w:jc w:val="both"/>
              <w:rPr>
                <w:rFonts w:ascii="Arial" w:hAnsi="Arial" w:cs="Arial"/>
                <w:sz w:val="20"/>
                <w:szCs w:val="20"/>
              </w:rPr>
            </w:pPr>
          </w:p>
        </w:tc>
        <w:tc>
          <w:tcPr>
            <w:tcW w:w="1908"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Retrofit- VRU</w:t>
            </w:r>
          </w:p>
        </w:tc>
        <w:tc>
          <w:tcPr>
            <w:tcW w:w="3605" w:type="dxa"/>
          </w:tcPr>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VRU has been installed and functioning optimally. The postponement application has been closed.</w:t>
            </w:r>
          </w:p>
          <w:p w:rsidR="00C34EE1" w:rsidRPr="00400EA9" w:rsidRDefault="00C34EE1" w:rsidP="00273FE1">
            <w:pPr>
              <w:contextualSpacing/>
              <w:jc w:val="both"/>
              <w:rPr>
                <w:rFonts w:ascii="Arial" w:hAnsi="Arial" w:cs="Arial"/>
                <w:sz w:val="20"/>
                <w:szCs w:val="20"/>
              </w:rPr>
            </w:pPr>
          </w:p>
        </w:tc>
        <w:tc>
          <w:tcPr>
            <w:tcW w:w="4094"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 xml:space="preserve">  Target has been achieved by the facility</w:t>
            </w:r>
          </w:p>
        </w:tc>
      </w:tr>
      <w:tr w:rsidR="00C34EE1" w:rsidRPr="00400EA9" w:rsidTr="00400EA9">
        <w:trPr>
          <w:trHeight w:val="77"/>
        </w:trPr>
        <w:tc>
          <w:tcPr>
            <w:tcW w:w="1783"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Shell Port Elizabeth terminal</w:t>
            </w:r>
          </w:p>
        </w:tc>
        <w:tc>
          <w:tcPr>
            <w:tcW w:w="1679"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1 April 2015-31 March 2017</w:t>
            </w:r>
          </w:p>
        </w:tc>
        <w:tc>
          <w:tcPr>
            <w:tcW w:w="1810" w:type="dxa"/>
          </w:tcPr>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TVOCs:</w:t>
            </w:r>
          </w:p>
          <w:p w:rsidR="00C34EE1" w:rsidRPr="00400EA9" w:rsidRDefault="00C34EE1" w:rsidP="00273FE1">
            <w:pPr>
              <w:contextualSpacing/>
              <w:jc w:val="both"/>
              <w:rPr>
                <w:rFonts w:ascii="Arial" w:hAnsi="Arial" w:cs="Arial"/>
                <w:sz w:val="20"/>
                <w:szCs w:val="20"/>
                <w:lang w:val="en-ZA"/>
              </w:rPr>
            </w:pPr>
            <w:r w:rsidRPr="00400EA9">
              <w:rPr>
                <w:rFonts w:ascii="Arial" w:hAnsi="Arial" w:cs="Arial"/>
                <w:sz w:val="20"/>
                <w:szCs w:val="20"/>
                <w:lang w:val="en-ZA"/>
              </w:rPr>
              <w:t>150mg/Nm</w:t>
            </w:r>
            <w:r w:rsidRPr="00400EA9">
              <w:rPr>
                <w:rFonts w:ascii="Arial" w:hAnsi="Arial" w:cs="Arial"/>
                <w:sz w:val="20"/>
                <w:szCs w:val="20"/>
                <w:vertAlign w:val="superscript"/>
                <w:lang w:val="en-ZA"/>
              </w:rPr>
              <w:t>3</w:t>
            </w:r>
          </w:p>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lang w:val="en-ZA"/>
              </w:rPr>
              <w:t>40000mg/Nm</w:t>
            </w:r>
            <w:r w:rsidRPr="00400EA9">
              <w:rPr>
                <w:rFonts w:ascii="Arial" w:hAnsi="Arial" w:cs="Arial"/>
                <w:sz w:val="20"/>
                <w:szCs w:val="20"/>
                <w:vertAlign w:val="superscript"/>
                <w:lang w:val="en-ZA"/>
              </w:rPr>
              <w:t>3</w:t>
            </w:r>
            <w:r w:rsidRPr="00400EA9">
              <w:rPr>
                <w:rFonts w:ascii="Arial" w:hAnsi="Arial" w:cs="Arial"/>
                <w:sz w:val="20"/>
                <w:szCs w:val="20"/>
              </w:rPr>
              <w:t xml:space="preserve">   </w:t>
            </w:r>
          </w:p>
          <w:p w:rsidR="00C34EE1" w:rsidRPr="00400EA9" w:rsidRDefault="00C34EE1" w:rsidP="00273FE1">
            <w:pPr>
              <w:contextualSpacing/>
              <w:jc w:val="both"/>
              <w:rPr>
                <w:rFonts w:ascii="Arial" w:hAnsi="Arial" w:cs="Arial"/>
                <w:sz w:val="20"/>
                <w:szCs w:val="20"/>
              </w:rPr>
            </w:pPr>
          </w:p>
        </w:tc>
        <w:tc>
          <w:tcPr>
            <w:tcW w:w="1908"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t>Retrofit- VRU</w:t>
            </w:r>
          </w:p>
        </w:tc>
        <w:tc>
          <w:tcPr>
            <w:tcW w:w="3605" w:type="dxa"/>
          </w:tcPr>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The motivation for the postponement was that the site will be decommissioned and relocated to the new site by end of 2017, hence the postponement was granted till 2017. There has been new developments communicated by the TNPA that the lifetime at PE has been extended to 2019 as the new site (Coega IDZ) is not yet ready.</w:t>
            </w:r>
          </w:p>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Shell has applied for a new postponement until 2019 when the facility will be moved to the new terminal that will be equipped with a state-of-the-art Vapour Recovery Unit (VRU).</w:t>
            </w:r>
          </w:p>
          <w:p w:rsidR="00C34EE1" w:rsidRPr="00400EA9" w:rsidRDefault="00C34EE1" w:rsidP="00B72FA2">
            <w:pPr>
              <w:pStyle w:val="ListParagraph"/>
              <w:numPr>
                <w:ilvl w:val="0"/>
                <w:numId w:val="3"/>
              </w:numPr>
              <w:jc w:val="both"/>
              <w:rPr>
                <w:rFonts w:ascii="Arial" w:hAnsi="Arial" w:cs="Arial"/>
                <w:sz w:val="20"/>
                <w:szCs w:val="20"/>
                <w:lang w:val="en-ZA"/>
              </w:rPr>
            </w:pPr>
            <w:r w:rsidRPr="00400EA9">
              <w:rPr>
                <w:rFonts w:ascii="Arial" w:hAnsi="Arial" w:cs="Arial"/>
                <w:sz w:val="20"/>
                <w:szCs w:val="20"/>
                <w:lang w:val="en-ZA"/>
              </w:rPr>
              <w:t xml:space="preserve">The application has gone through the final review process with concurrence meeting held on 30 January 2017. Supporting documents which was required at the meeting was received 1 February 2017 and the </w:t>
            </w:r>
            <w:r w:rsidRPr="00400EA9">
              <w:rPr>
                <w:rFonts w:ascii="Arial" w:hAnsi="Arial" w:cs="Arial"/>
                <w:sz w:val="20"/>
                <w:szCs w:val="20"/>
                <w:lang w:val="en-ZA"/>
              </w:rPr>
              <w:lastRenderedPageBreak/>
              <w:t>NAQO’s decision will be made based on the review of the documents.</w:t>
            </w:r>
          </w:p>
          <w:p w:rsidR="00C34EE1" w:rsidRPr="00400EA9" w:rsidRDefault="00C34EE1" w:rsidP="00273FE1">
            <w:pPr>
              <w:contextualSpacing/>
              <w:jc w:val="both"/>
              <w:rPr>
                <w:rFonts w:ascii="Arial" w:hAnsi="Arial" w:cs="Arial"/>
                <w:sz w:val="20"/>
                <w:szCs w:val="20"/>
              </w:rPr>
            </w:pPr>
          </w:p>
        </w:tc>
        <w:tc>
          <w:tcPr>
            <w:tcW w:w="4094" w:type="dxa"/>
          </w:tcPr>
          <w:p w:rsidR="00C34EE1" w:rsidRPr="00400EA9" w:rsidRDefault="00C34EE1" w:rsidP="00273FE1">
            <w:pPr>
              <w:contextualSpacing/>
              <w:jc w:val="both"/>
              <w:rPr>
                <w:rFonts w:ascii="Arial" w:hAnsi="Arial" w:cs="Arial"/>
                <w:sz w:val="20"/>
                <w:szCs w:val="20"/>
              </w:rPr>
            </w:pPr>
            <w:r w:rsidRPr="00400EA9">
              <w:rPr>
                <w:rFonts w:ascii="Arial" w:hAnsi="Arial" w:cs="Arial"/>
                <w:sz w:val="20"/>
                <w:szCs w:val="20"/>
              </w:rPr>
              <w:lastRenderedPageBreak/>
              <w:t xml:space="preserve">There is delay in the installation of the VRU due to the relocation of the tank farm by TNPA that has been shifted three times. </w:t>
            </w:r>
          </w:p>
        </w:tc>
      </w:tr>
    </w:tbl>
    <w:p w:rsidR="00AD75FE" w:rsidRDefault="00AD75FE" w:rsidP="000B7092">
      <w:pPr>
        <w:spacing w:line="360" w:lineRule="auto"/>
        <w:contextualSpacing/>
        <w:jc w:val="both"/>
        <w:rPr>
          <w:rFonts w:ascii="Arial Narrow" w:hAnsi="Arial Narrow" w:cs="Arial"/>
          <w:b/>
        </w:rPr>
      </w:pPr>
    </w:p>
    <w:p w:rsidR="00273FE1" w:rsidRPr="00273FE1" w:rsidRDefault="00F03E15" w:rsidP="00273FE1">
      <w:pPr>
        <w:spacing w:line="360" w:lineRule="auto"/>
        <w:contextualSpacing/>
        <w:jc w:val="both"/>
        <w:rPr>
          <w:rFonts w:ascii="Arial Narrow" w:hAnsi="Arial Narrow" w:cs="Arial"/>
          <w:b/>
        </w:rPr>
      </w:pPr>
      <w:r>
        <w:rPr>
          <w:rFonts w:ascii="Arial Narrow" w:hAnsi="Arial Narrow" w:cs="Arial"/>
          <w:b/>
        </w:rPr>
        <w:t>TABLE 3</w:t>
      </w:r>
      <w:r w:rsidR="00273FE1">
        <w:rPr>
          <w:rFonts w:ascii="Arial Narrow" w:hAnsi="Arial Narrow" w:cs="Arial"/>
          <w:b/>
        </w:rPr>
        <w:t>: PPC: Progress report on PPC</w:t>
      </w:r>
      <w:r w:rsidR="00273FE1" w:rsidRPr="00273FE1">
        <w:rPr>
          <w:rFonts w:ascii="Arial Narrow" w:hAnsi="Arial Narrow" w:cs="Arial"/>
          <w:b/>
        </w:rPr>
        <w:t xml:space="preserve">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362"/>
        <w:gridCol w:w="2362"/>
        <w:gridCol w:w="2362"/>
        <w:gridCol w:w="2363"/>
        <w:gridCol w:w="2363"/>
      </w:tblGrid>
      <w:tr w:rsidR="00743EC1" w:rsidRPr="00400EA9" w:rsidTr="00400EA9">
        <w:tc>
          <w:tcPr>
            <w:tcW w:w="2363" w:type="dxa"/>
            <w:shd w:val="clear" w:color="auto" w:fill="D9D9D9" w:themeFill="background1" w:themeFillShade="D9"/>
          </w:tcPr>
          <w:p w:rsidR="00743EC1" w:rsidRPr="00400EA9" w:rsidRDefault="00743EC1" w:rsidP="00743EC1">
            <w:pPr>
              <w:contextualSpacing/>
              <w:jc w:val="both"/>
              <w:rPr>
                <w:rFonts w:ascii="Arial" w:hAnsi="Arial" w:cs="Arial"/>
                <w:b/>
                <w:sz w:val="20"/>
                <w:szCs w:val="20"/>
              </w:rPr>
            </w:pPr>
            <w:r w:rsidRPr="00400EA9">
              <w:rPr>
                <w:rFonts w:ascii="Arial" w:hAnsi="Arial" w:cs="Arial"/>
                <w:b/>
                <w:sz w:val="20"/>
                <w:szCs w:val="20"/>
              </w:rPr>
              <w:t>NAME OF FACILITY</w:t>
            </w:r>
          </w:p>
        </w:tc>
        <w:tc>
          <w:tcPr>
            <w:tcW w:w="2363" w:type="dxa"/>
            <w:shd w:val="clear" w:color="auto" w:fill="D9D9D9" w:themeFill="background1" w:themeFillShade="D9"/>
          </w:tcPr>
          <w:p w:rsidR="00743EC1" w:rsidRPr="00400EA9" w:rsidRDefault="00743EC1" w:rsidP="00743EC1">
            <w:pPr>
              <w:contextualSpacing/>
              <w:jc w:val="both"/>
              <w:rPr>
                <w:rFonts w:ascii="Arial" w:hAnsi="Arial" w:cs="Arial"/>
                <w:b/>
                <w:sz w:val="20"/>
                <w:szCs w:val="20"/>
              </w:rPr>
            </w:pPr>
            <w:r w:rsidRPr="00400EA9">
              <w:rPr>
                <w:rFonts w:ascii="Arial" w:hAnsi="Arial" w:cs="Arial"/>
                <w:b/>
                <w:sz w:val="20"/>
                <w:szCs w:val="20"/>
              </w:rPr>
              <w:t xml:space="preserve">Postponement period granted </w:t>
            </w:r>
          </w:p>
        </w:tc>
        <w:tc>
          <w:tcPr>
            <w:tcW w:w="2363" w:type="dxa"/>
            <w:shd w:val="clear" w:color="auto" w:fill="D9D9D9" w:themeFill="background1" w:themeFillShade="D9"/>
          </w:tcPr>
          <w:p w:rsidR="00743EC1" w:rsidRPr="00400EA9" w:rsidRDefault="00743EC1" w:rsidP="00743EC1">
            <w:pPr>
              <w:contextualSpacing/>
              <w:rPr>
                <w:rFonts w:ascii="Arial" w:hAnsi="Arial" w:cs="Arial"/>
                <w:b/>
                <w:sz w:val="20"/>
                <w:szCs w:val="20"/>
              </w:rPr>
            </w:pPr>
            <w:r w:rsidRPr="00400EA9">
              <w:rPr>
                <w:rFonts w:ascii="Arial" w:hAnsi="Arial" w:cs="Arial"/>
                <w:b/>
                <w:sz w:val="20"/>
                <w:szCs w:val="20"/>
              </w:rPr>
              <w:t>LIMIT GRANTED wrt pollutant/s</w:t>
            </w:r>
          </w:p>
        </w:tc>
        <w:tc>
          <w:tcPr>
            <w:tcW w:w="2363" w:type="dxa"/>
            <w:shd w:val="clear" w:color="auto" w:fill="D9D9D9" w:themeFill="background1" w:themeFillShade="D9"/>
          </w:tcPr>
          <w:p w:rsidR="00743EC1" w:rsidRPr="00400EA9" w:rsidRDefault="00743EC1" w:rsidP="00743EC1">
            <w:pPr>
              <w:contextualSpacing/>
              <w:jc w:val="both"/>
              <w:rPr>
                <w:rFonts w:ascii="Arial" w:hAnsi="Arial" w:cs="Arial"/>
                <w:b/>
                <w:sz w:val="20"/>
                <w:szCs w:val="20"/>
              </w:rPr>
            </w:pPr>
            <w:r w:rsidRPr="00400EA9">
              <w:rPr>
                <w:rFonts w:ascii="Arial" w:hAnsi="Arial" w:cs="Arial"/>
                <w:b/>
                <w:sz w:val="20"/>
                <w:szCs w:val="20"/>
              </w:rPr>
              <w:t>ACTIVITY TO MEET COMPLIANCE AND TARGET DATE</w:t>
            </w:r>
          </w:p>
        </w:tc>
        <w:tc>
          <w:tcPr>
            <w:tcW w:w="2364" w:type="dxa"/>
            <w:shd w:val="clear" w:color="auto" w:fill="D9D9D9" w:themeFill="background1" w:themeFillShade="D9"/>
          </w:tcPr>
          <w:p w:rsidR="00743EC1" w:rsidRPr="00400EA9" w:rsidRDefault="00743EC1" w:rsidP="00743EC1">
            <w:pPr>
              <w:contextualSpacing/>
              <w:jc w:val="both"/>
              <w:rPr>
                <w:rFonts w:ascii="Arial" w:hAnsi="Arial" w:cs="Arial"/>
                <w:b/>
                <w:sz w:val="20"/>
                <w:szCs w:val="20"/>
              </w:rPr>
            </w:pPr>
            <w:r w:rsidRPr="00400EA9">
              <w:rPr>
                <w:rFonts w:ascii="Arial" w:hAnsi="Arial" w:cs="Arial"/>
                <w:b/>
                <w:sz w:val="20"/>
                <w:szCs w:val="20"/>
              </w:rPr>
              <w:t>PROGRESS</w:t>
            </w:r>
          </w:p>
        </w:tc>
        <w:tc>
          <w:tcPr>
            <w:tcW w:w="2364" w:type="dxa"/>
            <w:shd w:val="clear" w:color="auto" w:fill="D9D9D9" w:themeFill="background1" w:themeFillShade="D9"/>
          </w:tcPr>
          <w:p w:rsidR="00743EC1" w:rsidRPr="00400EA9" w:rsidRDefault="00743EC1" w:rsidP="00743EC1">
            <w:pPr>
              <w:contextualSpacing/>
              <w:jc w:val="both"/>
              <w:rPr>
                <w:rFonts w:ascii="Arial" w:hAnsi="Arial" w:cs="Arial"/>
                <w:b/>
                <w:sz w:val="20"/>
                <w:szCs w:val="20"/>
              </w:rPr>
            </w:pPr>
            <w:r w:rsidRPr="00400EA9">
              <w:rPr>
                <w:rFonts w:ascii="Arial" w:hAnsi="Arial" w:cs="Arial"/>
                <w:b/>
                <w:sz w:val="20"/>
                <w:szCs w:val="20"/>
              </w:rPr>
              <w:t>COMMENT</w:t>
            </w:r>
          </w:p>
        </w:tc>
      </w:tr>
      <w:tr w:rsidR="00005316" w:rsidRPr="00400EA9" w:rsidTr="00400EA9">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PPC De Hoek Plant Finishing Mill 6</w:t>
            </w:r>
          </w:p>
        </w:tc>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1 April 2015-31 December 2016</w:t>
            </w:r>
          </w:p>
        </w:tc>
        <w:tc>
          <w:tcPr>
            <w:tcW w:w="2363" w:type="dxa"/>
          </w:tcPr>
          <w:p w:rsidR="00005316" w:rsidRPr="00400EA9" w:rsidRDefault="00005316" w:rsidP="00005316">
            <w:pPr>
              <w:contextualSpacing/>
              <w:jc w:val="both"/>
              <w:rPr>
                <w:rFonts w:ascii="Arial" w:hAnsi="Arial" w:cs="Arial"/>
                <w:sz w:val="20"/>
                <w:szCs w:val="20"/>
                <w:vertAlign w:val="superscript"/>
              </w:rPr>
            </w:pPr>
            <w:r w:rsidRPr="00400EA9">
              <w:rPr>
                <w:rFonts w:ascii="Arial" w:hAnsi="Arial" w:cs="Arial"/>
                <w:sz w:val="20"/>
                <w:szCs w:val="20"/>
              </w:rPr>
              <w:t>PM: 100mg/Nm</w:t>
            </w:r>
            <w:r w:rsidRPr="00400EA9">
              <w:rPr>
                <w:rFonts w:ascii="Arial" w:hAnsi="Arial" w:cs="Arial"/>
                <w:sz w:val="20"/>
                <w:szCs w:val="20"/>
                <w:vertAlign w:val="superscript"/>
              </w:rPr>
              <w:t>3</w:t>
            </w:r>
          </w:p>
        </w:tc>
        <w:tc>
          <w:tcPr>
            <w:tcW w:w="2363" w:type="dxa"/>
          </w:tcPr>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Installation of a bag filter to replace existing ESP</w:t>
            </w:r>
          </w:p>
        </w:tc>
        <w:tc>
          <w:tcPr>
            <w:tcW w:w="2364" w:type="dxa"/>
          </w:tcPr>
          <w:p w:rsidR="00005316" w:rsidRPr="00400EA9" w:rsidRDefault="00005316" w:rsidP="00005316">
            <w:pPr>
              <w:contextualSpacing/>
              <w:jc w:val="both"/>
              <w:rPr>
                <w:rFonts w:ascii="Arial" w:hAnsi="Arial" w:cs="Arial"/>
                <w:color w:val="FF0000"/>
                <w:sz w:val="20"/>
                <w:szCs w:val="20"/>
              </w:rPr>
            </w:pPr>
            <w:r w:rsidRPr="00400EA9">
              <w:rPr>
                <w:rFonts w:ascii="Arial" w:hAnsi="Arial" w:cs="Arial"/>
                <w:sz w:val="20"/>
                <w:szCs w:val="20"/>
              </w:rPr>
              <w:t>Upgrade completed emissions below 10mg/Nm3 for PM.</w:t>
            </w:r>
          </w:p>
        </w:tc>
        <w:tc>
          <w:tcPr>
            <w:tcW w:w="2364" w:type="dxa"/>
          </w:tcPr>
          <w:p w:rsidR="00005316" w:rsidRPr="00400EA9" w:rsidRDefault="00005316" w:rsidP="00005316">
            <w:pPr>
              <w:contextualSpacing/>
              <w:jc w:val="both"/>
              <w:rPr>
                <w:rFonts w:ascii="Arial" w:hAnsi="Arial" w:cs="Arial"/>
                <w:color w:val="FF0000"/>
                <w:sz w:val="20"/>
                <w:szCs w:val="20"/>
              </w:rPr>
            </w:pPr>
            <w:r w:rsidRPr="00400EA9">
              <w:rPr>
                <w:rFonts w:ascii="Arial" w:hAnsi="Arial" w:cs="Arial"/>
                <w:sz w:val="20"/>
                <w:szCs w:val="20"/>
              </w:rPr>
              <w:t>Target has been achieved by the facility. However, PPC De Hoek has applied for a new postponement for SO</w:t>
            </w:r>
            <w:r w:rsidRPr="00400EA9">
              <w:rPr>
                <w:rFonts w:ascii="Arial" w:hAnsi="Arial" w:cs="Arial"/>
                <w:sz w:val="20"/>
                <w:szCs w:val="20"/>
                <w:vertAlign w:val="subscript"/>
              </w:rPr>
              <w:t>2</w:t>
            </w:r>
            <w:r w:rsidRPr="00400EA9">
              <w:rPr>
                <w:rFonts w:ascii="Arial" w:hAnsi="Arial" w:cs="Arial"/>
                <w:sz w:val="20"/>
                <w:szCs w:val="20"/>
              </w:rPr>
              <w:t xml:space="preserve">. </w:t>
            </w:r>
          </w:p>
        </w:tc>
      </w:tr>
      <w:tr w:rsidR="00005316" w:rsidRPr="00400EA9" w:rsidTr="00400EA9">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PPC Dwaalboom Plant</w:t>
            </w: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Kiln 1</w:t>
            </w:r>
          </w:p>
        </w:tc>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1 April 2015-31 December 2016</w:t>
            </w:r>
          </w:p>
        </w:tc>
        <w:tc>
          <w:tcPr>
            <w:tcW w:w="2363" w:type="dxa"/>
          </w:tcPr>
          <w:p w:rsidR="00005316" w:rsidRPr="00400EA9" w:rsidRDefault="00005316" w:rsidP="00005316">
            <w:pPr>
              <w:contextualSpacing/>
              <w:jc w:val="both"/>
              <w:rPr>
                <w:rFonts w:ascii="Arial" w:hAnsi="Arial" w:cs="Arial"/>
                <w:sz w:val="20"/>
                <w:szCs w:val="20"/>
                <w:vertAlign w:val="superscript"/>
              </w:rPr>
            </w:pPr>
            <w:r w:rsidRPr="00400EA9">
              <w:rPr>
                <w:rFonts w:ascii="Arial" w:hAnsi="Arial" w:cs="Arial"/>
                <w:sz w:val="20"/>
                <w:szCs w:val="20"/>
              </w:rPr>
              <w:t>PM: 200mg/Nm</w:t>
            </w:r>
            <w:r w:rsidRPr="00400EA9">
              <w:rPr>
                <w:rFonts w:ascii="Arial" w:hAnsi="Arial" w:cs="Arial"/>
                <w:sz w:val="20"/>
                <w:szCs w:val="20"/>
                <w:vertAlign w:val="superscript"/>
              </w:rPr>
              <w:t>3</w:t>
            </w:r>
          </w:p>
        </w:tc>
        <w:tc>
          <w:tcPr>
            <w:tcW w:w="2363" w:type="dxa"/>
          </w:tcPr>
          <w:p w:rsidR="00005316" w:rsidRPr="00400EA9" w:rsidRDefault="00005316" w:rsidP="00005316">
            <w:pPr>
              <w:contextualSpacing/>
              <w:jc w:val="both"/>
              <w:rPr>
                <w:rFonts w:ascii="Arial" w:hAnsi="Arial" w:cs="Arial"/>
                <w:color w:val="FF0000"/>
                <w:sz w:val="20"/>
                <w:szCs w:val="20"/>
              </w:rPr>
            </w:pPr>
            <w:r w:rsidRPr="00400EA9">
              <w:rPr>
                <w:rFonts w:ascii="Arial" w:hAnsi="Arial" w:cs="Arial"/>
                <w:sz w:val="20"/>
                <w:szCs w:val="20"/>
              </w:rPr>
              <w:t>Bag filter upgrade</w:t>
            </w:r>
          </w:p>
        </w:tc>
        <w:tc>
          <w:tcPr>
            <w:tcW w:w="2364" w:type="dxa"/>
          </w:tcPr>
          <w:p w:rsidR="00005316" w:rsidRPr="00400EA9" w:rsidRDefault="00005316" w:rsidP="00005316">
            <w:pPr>
              <w:contextualSpacing/>
              <w:jc w:val="both"/>
              <w:rPr>
                <w:rFonts w:ascii="Arial" w:hAnsi="Arial" w:cs="Arial"/>
                <w:color w:val="FF0000"/>
                <w:sz w:val="20"/>
                <w:szCs w:val="20"/>
              </w:rPr>
            </w:pPr>
            <w:r w:rsidRPr="00400EA9">
              <w:rPr>
                <w:rFonts w:ascii="Arial" w:hAnsi="Arial" w:cs="Arial"/>
                <w:sz w:val="20"/>
                <w:szCs w:val="20"/>
              </w:rPr>
              <w:t>Feasibility studies commenced for bag filter upgrade – upgrade to commence January 2017</w:t>
            </w:r>
          </w:p>
        </w:tc>
        <w:tc>
          <w:tcPr>
            <w:tcW w:w="2364" w:type="dxa"/>
          </w:tcPr>
          <w:p w:rsidR="00005316" w:rsidRPr="00400EA9" w:rsidRDefault="00005316" w:rsidP="00005316">
            <w:pPr>
              <w:contextualSpacing/>
              <w:jc w:val="both"/>
              <w:rPr>
                <w:rFonts w:ascii="Arial" w:hAnsi="Arial" w:cs="Arial"/>
                <w:color w:val="FF0000"/>
                <w:sz w:val="20"/>
                <w:szCs w:val="20"/>
              </w:rPr>
            </w:pPr>
            <w:r w:rsidRPr="00400EA9">
              <w:rPr>
                <w:rFonts w:ascii="Arial" w:hAnsi="Arial" w:cs="Arial"/>
                <w:sz w:val="20"/>
                <w:szCs w:val="20"/>
              </w:rPr>
              <w:t>The facility has delays in their project hence they cannot meet the target of 31 December 2016 but the project is on track.</w:t>
            </w:r>
          </w:p>
        </w:tc>
      </w:tr>
      <w:tr w:rsidR="00005316" w:rsidRPr="00400EA9" w:rsidTr="00400EA9">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PPC Port Elizabeth Plant</w:t>
            </w: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Kiln 4</w:t>
            </w: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PPC Port Elizabeth Plant</w:t>
            </w: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Finishing Mill 4</w:t>
            </w:r>
          </w:p>
        </w:tc>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1 April 2015-31 December 2018</w:t>
            </w: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1 April 2015-31 December 2016</w:t>
            </w:r>
          </w:p>
        </w:tc>
        <w:tc>
          <w:tcPr>
            <w:tcW w:w="2363" w:type="dxa"/>
          </w:tcPr>
          <w:p w:rsidR="00005316" w:rsidRPr="00400EA9" w:rsidRDefault="00005316" w:rsidP="00005316">
            <w:pPr>
              <w:contextualSpacing/>
              <w:jc w:val="both"/>
              <w:rPr>
                <w:rFonts w:ascii="Arial" w:hAnsi="Arial" w:cs="Arial"/>
                <w:sz w:val="20"/>
                <w:szCs w:val="20"/>
                <w:vertAlign w:val="superscript"/>
              </w:rPr>
            </w:pPr>
            <w:r w:rsidRPr="00400EA9">
              <w:rPr>
                <w:rFonts w:ascii="Arial" w:hAnsi="Arial" w:cs="Arial"/>
                <w:sz w:val="20"/>
                <w:szCs w:val="20"/>
              </w:rPr>
              <w:t>PM: 200mg/Nm</w:t>
            </w:r>
            <w:r w:rsidRPr="00400EA9">
              <w:rPr>
                <w:rFonts w:ascii="Arial" w:hAnsi="Arial" w:cs="Arial"/>
                <w:sz w:val="20"/>
                <w:szCs w:val="20"/>
                <w:vertAlign w:val="superscript"/>
              </w:rPr>
              <w:t>3</w:t>
            </w: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vertAlign w:val="superscript"/>
              </w:rPr>
            </w:pPr>
            <w:r w:rsidRPr="00400EA9">
              <w:rPr>
                <w:rFonts w:ascii="Arial" w:hAnsi="Arial" w:cs="Arial"/>
                <w:sz w:val="20"/>
                <w:szCs w:val="20"/>
              </w:rPr>
              <w:t>PM: 400mg/Nm</w:t>
            </w:r>
            <w:r w:rsidRPr="00400EA9">
              <w:rPr>
                <w:rFonts w:ascii="Arial" w:hAnsi="Arial" w:cs="Arial"/>
                <w:sz w:val="20"/>
                <w:szCs w:val="20"/>
                <w:vertAlign w:val="superscript"/>
              </w:rPr>
              <w:t>3</w:t>
            </w:r>
          </w:p>
        </w:tc>
        <w:tc>
          <w:tcPr>
            <w:tcW w:w="2363" w:type="dxa"/>
          </w:tcPr>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Installation of a bag filter to replace Kiln ESP</w:t>
            </w: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Installation of a bag filter to replace existing dust collector</w:t>
            </w:r>
          </w:p>
        </w:tc>
        <w:tc>
          <w:tcPr>
            <w:tcW w:w="2364" w:type="dxa"/>
          </w:tcPr>
          <w:p w:rsidR="00005316" w:rsidRPr="00400EA9" w:rsidRDefault="00005316" w:rsidP="00005316">
            <w:pPr>
              <w:contextualSpacing/>
              <w:jc w:val="both"/>
              <w:rPr>
                <w:rFonts w:ascii="Arial" w:hAnsi="Arial" w:cs="Arial"/>
                <w:sz w:val="20"/>
                <w:szCs w:val="20"/>
                <w:lang w:val="en-ZA"/>
              </w:rPr>
            </w:pPr>
            <w:r w:rsidRPr="00400EA9">
              <w:rPr>
                <w:rFonts w:ascii="Arial" w:hAnsi="Arial" w:cs="Arial"/>
                <w:sz w:val="20"/>
                <w:szCs w:val="20"/>
                <w:lang w:val="en-ZA"/>
              </w:rPr>
              <w:t>EIA completed, feasibility study in progress</w:t>
            </w:r>
          </w:p>
          <w:p w:rsidR="00005316" w:rsidRPr="00400EA9" w:rsidRDefault="00005316" w:rsidP="00005316">
            <w:pPr>
              <w:contextualSpacing/>
              <w:jc w:val="both"/>
              <w:rPr>
                <w:rFonts w:ascii="Arial" w:hAnsi="Arial" w:cs="Arial"/>
                <w:sz w:val="20"/>
                <w:szCs w:val="20"/>
                <w:lang w:val="en-ZA"/>
              </w:rPr>
            </w:pPr>
          </w:p>
          <w:p w:rsidR="00005316" w:rsidRPr="00400EA9" w:rsidRDefault="00005316" w:rsidP="00005316">
            <w:pPr>
              <w:contextualSpacing/>
              <w:jc w:val="both"/>
              <w:rPr>
                <w:rFonts w:ascii="Arial" w:hAnsi="Arial" w:cs="Arial"/>
                <w:sz w:val="20"/>
                <w:szCs w:val="20"/>
                <w:lang w:val="en-ZA"/>
              </w:rPr>
            </w:pPr>
          </w:p>
          <w:p w:rsidR="00005316" w:rsidRPr="00400EA9" w:rsidRDefault="00005316" w:rsidP="00005316">
            <w:pPr>
              <w:contextualSpacing/>
              <w:jc w:val="both"/>
              <w:rPr>
                <w:rFonts w:ascii="Arial" w:hAnsi="Arial" w:cs="Arial"/>
                <w:sz w:val="20"/>
                <w:szCs w:val="20"/>
                <w:lang w:val="en-ZA"/>
              </w:rPr>
            </w:pPr>
          </w:p>
          <w:p w:rsidR="00005316" w:rsidRPr="00400EA9" w:rsidRDefault="00005316" w:rsidP="00005316">
            <w:pPr>
              <w:contextualSpacing/>
              <w:jc w:val="both"/>
              <w:rPr>
                <w:rFonts w:ascii="Arial" w:hAnsi="Arial" w:cs="Arial"/>
                <w:color w:val="FF0000"/>
                <w:sz w:val="20"/>
                <w:szCs w:val="20"/>
                <w:lang w:val="en-ZA"/>
              </w:rPr>
            </w:pPr>
            <w:r w:rsidRPr="00400EA9">
              <w:rPr>
                <w:rFonts w:ascii="Arial" w:hAnsi="Arial" w:cs="Arial"/>
                <w:sz w:val="20"/>
                <w:szCs w:val="20"/>
                <w:lang w:val="en-ZA"/>
              </w:rPr>
              <w:t>EIA approved, upgrade completed, performance testing took place in July 2016</w:t>
            </w:r>
          </w:p>
        </w:tc>
        <w:tc>
          <w:tcPr>
            <w:tcW w:w="2364" w:type="dxa"/>
          </w:tcPr>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On track</w:t>
            </w: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Target has been achieved by the facility</w:t>
            </w:r>
          </w:p>
        </w:tc>
      </w:tr>
      <w:tr w:rsidR="00005316" w:rsidRPr="00400EA9" w:rsidTr="00400EA9">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PPC Slurry Plant</w:t>
            </w: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Kiln 7</w:t>
            </w: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PPC Slurry Plant</w:t>
            </w: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Raw Mill 3</w:t>
            </w:r>
          </w:p>
        </w:tc>
        <w:tc>
          <w:tcPr>
            <w:tcW w:w="2363" w:type="dxa"/>
          </w:tcPr>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1 April 2015-31 December 2018</w:t>
            </w: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1 April 2015-31 December 2018</w:t>
            </w:r>
          </w:p>
        </w:tc>
        <w:tc>
          <w:tcPr>
            <w:tcW w:w="2363" w:type="dxa"/>
          </w:tcPr>
          <w:p w:rsidR="00005316" w:rsidRPr="00400EA9" w:rsidRDefault="00005316" w:rsidP="00005316">
            <w:pPr>
              <w:contextualSpacing/>
              <w:jc w:val="both"/>
              <w:rPr>
                <w:rFonts w:ascii="Arial" w:hAnsi="Arial" w:cs="Arial"/>
                <w:sz w:val="20"/>
                <w:szCs w:val="20"/>
                <w:vertAlign w:val="superscript"/>
              </w:rPr>
            </w:pPr>
            <w:r w:rsidRPr="00400EA9">
              <w:rPr>
                <w:rFonts w:ascii="Arial" w:hAnsi="Arial" w:cs="Arial"/>
                <w:sz w:val="20"/>
                <w:szCs w:val="20"/>
              </w:rPr>
              <w:t>PM: 350mg/Nm</w:t>
            </w:r>
            <w:r w:rsidRPr="00400EA9">
              <w:rPr>
                <w:rFonts w:ascii="Arial" w:hAnsi="Arial" w:cs="Arial"/>
                <w:sz w:val="20"/>
                <w:szCs w:val="20"/>
                <w:vertAlign w:val="superscript"/>
              </w:rPr>
              <w:t>3</w:t>
            </w: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vertAlign w:val="superscript"/>
              </w:rPr>
            </w:pPr>
          </w:p>
          <w:p w:rsidR="00005316" w:rsidRPr="00400EA9" w:rsidRDefault="00005316" w:rsidP="00005316">
            <w:pPr>
              <w:contextualSpacing/>
              <w:jc w:val="both"/>
              <w:rPr>
                <w:rFonts w:ascii="Arial" w:hAnsi="Arial" w:cs="Arial"/>
                <w:sz w:val="20"/>
                <w:szCs w:val="20"/>
              </w:rPr>
            </w:pPr>
            <w:r w:rsidRPr="00400EA9">
              <w:rPr>
                <w:rFonts w:ascii="Arial" w:hAnsi="Arial" w:cs="Arial"/>
                <w:sz w:val="20"/>
                <w:szCs w:val="20"/>
              </w:rPr>
              <w:t>PM: 250mg/Nm</w:t>
            </w:r>
            <w:r w:rsidRPr="00400EA9">
              <w:rPr>
                <w:rFonts w:ascii="Arial" w:hAnsi="Arial" w:cs="Arial"/>
                <w:sz w:val="20"/>
                <w:szCs w:val="20"/>
                <w:vertAlign w:val="superscript"/>
              </w:rPr>
              <w:t>3</w:t>
            </w:r>
          </w:p>
        </w:tc>
        <w:tc>
          <w:tcPr>
            <w:tcW w:w="2363" w:type="dxa"/>
          </w:tcPr>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Upgrade of Kiln 8 while Kiln 7 is operational. Afterwards Kiln 7 is under care and maintenance</w:t>
            </w:r>
          </w:p>
        </w:tc>
        <w:tc>
          <w:tcPr>
            <w:tcW w:w="2364" w:type="dxa"/>
          </w:tcPr>
          <w:p w:rsidR="00005316" w:rsidRPr="00400EA9" w:rsidRDefault="00005316" w:rsidP="00005316">
            <w:pPr>
              <w:contextualSpacing/>
              <w:jc w:val="both"/>
              <w:rPr>
                <w:rFonts w:ascii="Arial" w:hAnsi="Arial" w:cs="Arial"/>
                <w:color w:val="000000" w:themeColor="text1"/>
                <w:sz w:val="20"/>
                <w:szCs w:val="20"/>
                <w:lang w:val="en-ZA"/>
              </w:rPr>
            </w:pPr>
            <w:r w:rsidRPr="00400EA9">
              <w:rPr>
                <w:rFonts w:ascii="Arial" w:hAnsi="Arial" w:cs="Arial"/>
                <w:color w:val="000000" w:themeColor="text1"/>
                <w:sz w:val="20"/>
                <w:szCs w:val="20"/>
                <w:lang w:val="en-ZA"/>
              </w:rPr>
              <w:t xml:space="preserve">Construction of Slurry Kiln 9 commenced and progressing as planned </w:t>
            </w:r>
          </w:p>
          <w:p w:rsidR="00005316" w:rsidRPr="00400EA9" w:rsidRDefault="00005316" w:rsidP="00005316">
            <w:pPr>
              <w:contextualSpacing/>
              <w:jc w:val="both"/>
              <w:rPr>
                <w:rFonts w:ascii="Arial" w:hAnsi="Arial" w:cs="Arial"/>
                <w:color w:val="000000" w:themeColor="text1"/>
                <w:sz w:val="20"/>
                <w:szCs w:val="20"/>
                <w:lang w:val="en-ZA"/>
              </w:rPr>
            </w:pPr>
          </w:p>
          <w:p w:rsidR="00005316" w:rsidRPr="00400EA9" w:rsidRDefault="00005316" w:rsidP="00005316">
            <w:pPr>
              <w:contextualSpacing/>
              <w:jc w:val="both"/>
              <w:rPr>
                <w:rFonts w:ascii="Arial" w:hAnsi="Arial" w:cs="Arial"/>
                <w:color w:val="000000" w:themeColor="text1"/>
                <w:sz w:val="20"/>
                <w:szCs w:val="20"/>
                <w:lang w:val="en-ZA"/>
              </w:rPr>
            </w:pPr>
          </w:p>
          <w:p w:rsidR="00005316" w:rsidRPr="00400EA9" w:rsidRDefault="00005316" w:rsidP="00005316">
            <w:pPr>
              <w:contextualSpacing/>
              <w:jc w:val="both"/>
              <w:rPr>
                <w:rFonts w:ascii="Arial" w:hAnsi="Arial" w:cs="Arial"/>
                <w:color w:val="000000" w:themeColor="text1"/>
                <w:sz w:val="20"/>
                <w:szCs w:val="20"/>
                <w:lang w:val="en-ZA"/>
              </w:rPr>
            </w:pPr>
            <w:r w:rsidRPr="00400EA9">
              <w:rPr>
                <w:rFonts w:ascii="Arial" w:hAnsi="Arial" w:cs="Arial"/>
                <w:color w:val="000000" w:themeColor="text1"/>
                <w:sz w:val="20"/>
                <w:szCs w:val="20"/>
                <w:lang w:val="en-ZA"/>
              </w:rPr>
              <w:t xml:space="preserve">Not running </w:t>
            </w:r>
          </w:p>
        </w:tc>
        <w:tc>
          <w:tcPr>
            <w:tcW w:w="2364" w:type="dxa"/>
          </w:tcPr>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On track</w:t>
            </w: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p>
          <w:p w:rsidR="00005316" w:rsidRPr="00400EA9" w:rsidRDefault="00005316" w:rsidP="00005316">
            <w:pPr>
              <w:contextualSpacing/>
              <w:jc w:val="both"/>
              <w:rPr>
                <w:rFonts w:ascii="Arial" w:hAnsi="Arial" w:cs="Arial"/>
                <w:color w:val="000000" w:themeColor="text1"/>
                <w:sz w:val="20"/>
                <w:szCs w:val="20"/>
              </w:rPr>
            </w:pPr>
            <w:r w:rsidRPr="00400EA9">
              <w:rPr>
                <w:rFonts w:ascii="Arial" w:hAnsi="Arial" w:cs="Arial"/>
                <w:color w:val="000000" w:themeColor="text1"/>
                <w:sz w:val="20"/>
                <w:szCs w:val="20"/>
              </w:rPr>
              <w:t>NA</w:t>
            </w:r>
          </w:p>
        </w:tc>
      </w:tr>
    </w:tbl>
    <w:p w:rsidR="00AD75FE" w:rsidRDefault="00AD75FE" w:rsidP="000B7092">
      <w:pPr>
        <w:spacing w:line="360" w:lineRule="auto"/>
        <w:contextualSpacing/>
        <w:jc w:val="both"/>
        <w:rPr>
          <w:rFonts w:ascii="Arial Narrow" w:hAnsi="Arial Narrow" w:cs="Arial"/>
          <w:b/>
        </w:rPr>
      </w:pPr>
    </w:p>
    <w:p w:rsidR="00AD75FE" w:rsidRDefault="00AD75FE" w:rsidP="000B7092">
      <w:pPr>
        <w:spacing w:line="360" w:lineRule="auto"/>
        <w:contextualSpacing/>
        <w:jc w:val="both"/>
        <w:rPr>
          <w:rFonts w:ascii="Arial Narrow" w:hAnsi="Arial Narrow" w:cs="Arial"/>
          <w:b/>
        </w:rPr>
      </w:pPr>
    </w:p>
    <w:p w:rsidR="00AD75FE" w:rsidRDefault="00AD75FE" w:rsidP="000B7092">
      <w:pPr>
        <w:spacing w:line="360" w:lineRule="auto"/>
        <w:contextualSpacing/>
        <w:jc w:val="both"/>
        <w:rPr>
          <w:rFonts w:ascii="Arial Narrow" w:hAnsi="Arial Narrow" w:cs="Arial"/>
          <w:b/>
        </w:rPr>
      </w:pPr>
    </w:p>
    <w:p w:rsidR="00AD75FE" w:rsidRDefault="00F03E15" w:rsidP="000B7092">
      <w:pPr>
        <w:spacing w:line="360" w:lineRule="auto"/>
        <w:contextualSpacing/>
        <w:jc w:val="both"/>
        <w:rPr>
          <w:rFonts w:ascii="Arial Narrow" w:hAnsi="Arial Narrow" w:cs="Arial"/>
          <w:b/>
        </w:rPr>
      </w:pPr>
      <w:r>
        <w:rPr>
          <w:rFonts w:ascii="Arial Narrow" w:hAnsi="Arial Narrow" w:cs="Arial"/>
          <w:b/>
        </w:rPr>
        <w:t>TABLE 4: ENGEN PETROLEUM: Progress report on Engen</w:t>
      </w:r>
      <w:r w:rsidRPr="00F03E15">
        <w:rPr>
          <w:rFonts w:ascii="Arial Narrow" w:hAnsi="Arial Narrow" w:cs="Arial"/>
          <w:b/>
        </w:rPr>
        <w:t xml:space="preserve"> facilities</w:t>
      </w:r>
    </w:p>
    <w:tbl>
      <w:tblPr>
        <w:tblpPr w:leftFromText="180" w:rightFromText="180" w:vertAnchor="text" w:tblpY="1"/>
        <w:tblOverlap w:val="never"/>
        <w:tblW w:w="14180" w:type="dxa"/>
        <w:tblLook w:val="04A0"/>
      </w:tblPr>
      <w:tblGrid>
        <w:gridCol w:w="1783"/>
        <w:gridCol w:w="1679"/>
        <w:gridCol w:w="1810"/>
        <w:gridCol w:w="1908"/>
        <w:gridCol w:w="3605"/>
        <w:gridCol w:w="3395"/>
      </w:tblGrid>
      <w:tr w:rsidR="00F03E15" w:rsidRPr="00F03E15" w:rsidTr="00400EA9">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NAME OF FACILITY</w:t>
            </w:r>
          </w:p>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ENGEN</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 xml:space="preserve">Postponement period granted </w:t>
            </w:r>
          </w:p>
        </w:tc>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LIMIT GRANTED wrt pollutant/s</w:t>
            </w:r>
          </w:p>
        </w:tc>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ACTIVITY TO MEET COMPLIANCE AND TARGET DATE</w:t>
            </w:r>
          </w:p>
        </w:tc>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PROGRESS</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E15" w:rsidRPr="00F03E15" w:rsidRDefault="00F03E15" w:rsidP="00F03E15">
            <w:pPr>
              <w:spacing w:line="360" w:lineRule="auto"/>
              <w:contextualSpacing/>
              <w:jc w:val="both"/>
              <w:rPr>
                <w:rFonts w:ascii="Arial Narrow" w:hAnsi="Arial Narrow" w:cs="Arial"/>
                <w:b/>
                <w:sz w:val="22"/>
                <w:szCs w:val="22"/>
              </w:rPr>
            </w:pPr>
            <w:r w:rsidRPr="00F03E15">
              <w:rPr>
                <w:rFonts w:ascii="Arial Narrow" w:hAnsi="Arial Narrow" w:cs="Arial"/>
                <w:b/>
                <w:sz w:val="22"/>
                <w:szCs w:val="22"/>
              </w:rPr>
              <w:t>COMMENT</w:t>
            </w:r>
          </w:p>
        </w:tc>
      </w:tr>
      <w:tr w:rsidR="00F03E15" w:rsidRPr="00F03E15" w:rsidTr="00400EA9">
        <w:trPr>
          <w:trHeight w:val="620"/>
        </w:trPr>
        <w:tc>
          <w:tcPr>
            <w:tcW w:w="1783" w:type="dxa"/>
            <w:vMerge w:val="restart"/>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Engen Petroleum Limited</w:t>
            </w:r>
          </w:p>
        </w:tc>
        <w:tc>
          <w:tcPr>
            <w:tcW w:w="1679"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1 April 2015-31 March 2019</w:t>
            </w:r>
          </w:p>
        </w:tc>
        <w:tc>
          <w:tcPr>
            <w:tcW w:w="1810"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PM: 140mg/Nm</w:t>
            </w:r>
            <w:r w:rsidRPr="00F03E15">
              <w:rPr>
                <w:rFonts w:ascii="Arial Narrow" w:hAnsi="Arial Narrow" w:cs="Arial"/>
                <w:sz w:val="22"/>
                <w:szCs w:val="22"/>
                <w:vertAlign w:val="superscript"/>
                <w:lang w:val="en-ZA"/>
              </w:rPr>
              <w:t>3</w:t>
            </w:r>
          </w:p>
          <w:p w:rsidR="00F03E15" w:rsidRPr="00F03E15" w:rsidRDefault="00F03E15" w:rsidP="00F03E15">
            <w:pPr>
              <w:spacing w:line="360" w:lineRule="auto"/>
              <w:contextualSpacing/>
              <w:jc w:val="both"/>
              <w:rPr>
                <w:rFonts w:ascii="Arial Narrow" w:hAnsi="Arial Narrow" w:cs="Arial"/>
                <w:sz w:val="22"/>
                <w:szCs w:val="22"/>
              </w:rPr>
            </w:pPr>
          </w:p>
        </w:tc>
        <w:tc>
          <w:tcPr>
            <w:tcW w:w="1908"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Retrofit - FCCU Particulate Matter Compliance</w:t>
            </w:r>
          </w:p>
        </w:tc>
        <w:tc>
          <w:tcPr>
            <w:tcW w:w="3605" w:type="dxa"/>
            <w:tcBorders>
              <w:top w:val="single" w:sz="4" w:space="0" w:color="auto"/>
              <w:left w:val="single" w:sz="4" w:space="0" w:color="auto"/>
              <w:bottom w:val="single" w:sz="4" w:space="0" w:color="auto"/>
              <w:right w:val="single" w:sz="4" w:space="0" w:color="auto"/>
            </w:tcBorders>
          </w:tcPr>
          <w:p w:rsidR="00F03E15" w:rsidRPr="00F03E15" w:rsidRDefault="00F03E15" w:rsidP="00B72FA2">
            <w:pPr>
              <w:numPr>
                <w:ilvl w:val="0"/>
                <w:numId w:val="6"/>
              </w:numPr>
              <w:spacing w:line="360" w:lineRule="auto"/>
              <w:contextualSpacing/>
              <w:jc w:val="both"/>
              <w:rPr>
                <w:rFonts w:ascii="Arial Narrow" w:hAnsi="Arial Narrow" w:cs="Arial"/>
                <w:sz w:val="22"/>
                <w:szCs w:val="22"/>
              </w:rPr>
            </w:pPr>
            <w:r w:rsidRPr="00F03E15">
              <w:rPr>
                <w:rFonts w:ascii="Arial Narrow" w:hAnsi="Arial Narrow" w:cs="Arial"/>
                <w:sz w:val="22"/>
                <w:szCs w:val="22"/>
              </w:rPr>
              <w:t>The Front End Engineering Design (FEED) phase of the project is in progress.</w:t>
            </w:r>
          </w:p>
          <w:p w:rsidR="00F03E15" w:rsidRPr="00F03E15" w:rsidRDefault="00F03E15" w:rsidP="00B72FA2">
            <w:pPr>
              <w:numPr>
                <w:ilvl w:val="0"/>
                <w:numId w:val="6"/>
              </w:numPr>
              <w:spacing w:line="360" w:lineRule="auto"/>
              <w:contextualSpacing/>
              <w:jc w:val="both"/>
              <w:rPr>
                <w:rFonts w:ascii="Arial Narrow" w:hAnsi="Arial Narrow" w:cs="Arial"/>
                <w:sz w:val="22"/>
                <w:szCs w:val="22"/>
              </w:rPr>
            </w:pPr>
            <w:r w:rsidRPr="00F03E15">
              <w:rPr>
                <w:rFonts w:ascii="Arial Narrow" w:hAnsi="Arial Narrow" w:cs="Arial"/>
                <w:sz w:val="22"/>
                <w:szCs w:val="22"/>
              </w:rPr>
              <w:t>The Engineering contractor for this phase has been appointed.</w:t>
            </w:r>
          </w:p>
          <w:p w:rsidR="00F03E15" w:rsidRPr="00F03E15" w:rsidRDefault="00F03E15" w:rsidP="00B72FA2">
            <w:pPr>
              <w:numPr>
                <w:ilvl w:val="0"/>
                <w:numId w:val="6"/>
              </w:numPr>
              <w:spacing w:line="360" w:lineRule="auto"/>
              <w:contextualSpacing/>
              <w:jc w:val="both"/>
              <w:rPr>
                <w:rFonts w:ascii="Arial Narrow" w:hAnsi="Arial Narrow" w:cs="Arial"/>
                <w:sz w:val="22"/>
                <w:szCs w:val="22"/>
              </w:rPr>
            </w:pPr>
            <w:r w:rsidRPr="00F03E15">
              <w:rPr>
                <w:rFonts w:ascii="Arial Narrow" w:hAnsi="Arial Narrow" w:cs="Arial"/>
                <w:sz w:val="22"/>
                <w:szCs w:val="22"/>
              </w:rPr>
              <w:t>Following completion of the FEED phase, the Detailed Engineering phase of the project will commence.</w:t>
            </w:r>
          </w:p>
          <w:p w:rsidR="00F03E15" w:rsidRPr="00F03E15" w:rsidRDefault="00F03E15" w:rsidP="00B72FA2">
            <w:pPr>
              <w:numPr>
                <w:ilvl w:val="0"/>
                <w:numId w:val="6"/>
              </w:numPr>
              <w:spacing w:line="360" w:lineRule="auto"/>
              <w:contextualSpacing/>
              <w:jc w:val="both"/>
              <w:rPr>
                <w:rFonts w:ascii="Arial Narrow" w:hAnsi="Arial Narrow" w:cs="Arial"/>
                <w:sz w:val="22"/>
                <w:szCs w:val="22"/>
              </w:rPr>
            </w:pPr>
            <w:r w:rsidRPr="00F03E15">
              <w:rPr>
                <w:rFonts w:ascii="Arial Narrow" w:hAnsi="Arial Narrow" w:cs="Arial"/>
                <w:sz w:val="22"/>
                <w:szCs w:val="22"/>
              </w:rPr>
              <w:t>This is planned for 2017.</w:t>
            </w:r>
          </w:p>
        </w:tc>
        <w:tc>
          <w:tcPr>
            <w:tcW w:w="3395"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On track</w:t>
            </w:r>
          </w:p>
        </w:tc>
      </w:tr>
      <w:tr w:rsidR="00F03E15" w:rsidRPr="00F03E15" w:rsidTr="00400EA9">
        <w:trPr>
          <w:trHeight w:val="620"/>
        </w:trPr>
        <w:tc>
          <w:tcPr>
            <w:tcW w:w="1783" w:type="dxa"/>
            <w:vMerge/>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p>
        </w:tc>
        <w:tc>
          <w:tcPr>
            <w:tcW w:w="1679"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1 April 2015-31 March 2016</w:t>
            </w:r>
          </w:p>
        </w:tc>
        <w:tc>
          <w:tcPr>
            <w:tcW w:w="1810"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TVOCs:</w:t>
            </w:r>
          </w:p>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150mg/Nm</w:t>
            </w:r>
            <w:r w:rsidRPr="00F03E15">
              <w:rPr>
                <w:rFonts w:ascii="Arial Narrow" w:hAnsi="Arial Narrow" w:cs="Arial"/>
                <w:sz w:val="22"/>
                <w:szCs w:val="22"/>
                <w:vertAlign w:val="superscript"/>
                <w:lang w:val="en-ZA"/>
              </w:rPr>
              <w:t>3</w:t>
            </w:r>
          </w:p>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40000mg/Nm</w:t>
            </w:r>
            <w:r w:rsidRPr="00F03E15">
              <w:rPr>
                <w:rFonts w:ascii="Arial Narrow" w:hAnsi="Arial Narrow" w:cs="Arial"/>
                <w:sz w:val="22"/>
                <w:szCs w:val="22"/>
                <w:vertAlign w:val="superscript"/>
                <w:lang w:val="en-ZA"/>
              </w:rPr>
              <w:t>3</w:t>
            </w:r>
            <w:r w:rsidRPr="00F03E15">
              <w:rPr>
                <w:rFonts w:ascii="Arial Narrow" w:hAnsi="Arial Narrow" w:cs="Arial"/>
                <w:sz w:val="22"/>
                <w:szCs w:val="22"/>
              </w:rPr>
              <w:t xml:space="preserve">   </w:t>
            </w:r>
          </w:p>
        </w:tc>
        <w:tc>
          <w:tcPr>
            <w:tcW w:w="1908"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Installation of a Vapor Recovery Unit at Gasoline Rail Loading</w:t>
            </w:r>
          </w:p>
        </w:tc>
        <w:tc>
          <w:tcPr>
            <w:tcW w:w="3605"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Installation of the Vapour Recovery Unit has been completed at the rail loading facility. Unit is currently not in use (no gasoline loading taking place) and will be online when gasoline rail loading resumes.</w:t>
            </w:r>
          </w:p>
          <w:p w:rsidR="00F03E15" w:rsidRPr="00F03E15" w:rsidRDefault="00F03E15" w:rsidP="00F03E15">
            <w:pPr>
              <w:spacing w:line="360" w:lineRule="auto"/>
              <w:contextualSpacing/>
              <w:jc w:val="both"/>
              <w:rPr>
                <w:rFonts w:ascii="Arial Narrow" w:hAnsi="Arial Narrow" w:cs="Arial"/>
                <w:sz w:val="22"/>
                <w:szCs w:val="22"/>
                <w:lang w:val="en-ZA"/>
              </w:rPr>
            </w:pPr>
          </w:p>
        </w:tc>
        <w:tc>
          <w:tcPr>
            <w:tcW w:w="3395"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Target has been achieved by the facility</w:t>
            </w:r>
          </w:p>
        </w:tc>
      </w:tr>
      <w:tr w:rsidR="00F03E15" w:rsidRPr="00F03E15" w:rsidTr="00400EA9">
        <w:trPr>
          <w:trHeight w:val="620"/>
        </w:trPr>
        <w:tc>
          <w:tcPr>
            <w:tcW w:w="1783" w:type="dxa"/>
            <w:vMerge/>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p>
        </w:tc>
        <w:tc>
          <w:tcPr>
            <w:tcW w:w="1679"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1 April 2015-31 March 2016</w:t>
            </w:r>
          </w:p>
        </w:tc>
        <w:tc>
          <w:tcPr>
            <w:tcW w:w="1810"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TVOCs</w:t>
            </w:r>
          </w:p>
        </w:tc>
        <w:tc>
          <w:tcPr>
            <w:tcW w:w="1908"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rPr>
            </w:pPr>
            <w:r w:rsidRPr="00F03E15">
              <w:rPr>
                <w:rFonts w:ascii="Arial Narrow" w:hAnsi="Arial Narrow" w:cs="Arial"/>
                <w:sz w:val="22"/>
                <w:szCs w:val="22"/>
              </w:rPr>
              <w:t>Installation of internal floating roofs on 2 tanks within the Refinery viz X-239 and X-240</w:t>
            </w:r>
          </w:p>
        </w:tc>
        <w:tc>
          <w:tcPr>
            <w:tcW w:w="3605"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Manufacturing of X-239 and X-240 internal floating roofs completed.</w:t>
            </w:r>
          </w:p>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Tank X240 was commissioned and is in service with internal floating roof in place.</w:t>
            </w:r>
          </w:p>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Tank X239 is currently not in use</w:t>
            </w:r>
          </w:p>
        </w:tc>
        <w:tc>
          <w:tcPr>
            <w:tcW w:w="3395" w:type="dxa"/>
            <w:tcBorders>
              <w:top w:val="single" w:sz="4" w:space="0" w:color="auto"/>
              <w:left w:val="single" w:sz="4" w:space="0" w:color="auto"/>
              <w:bottom w:val="single" w:sz="4" w:space="0" w:color="auto"/>
              <w:right w:val="single" w:sz="4" w:space="0" w:color="auto"/>
            </w:tcBorders>
          </w:tcPr>
          <w:p w:rsidR="00F03E15" w:rsidRPr="00F03E15" w:rsidRDefault="00F03E15" w:rsidP="00F03E15">
            <w:pPr>
              <w:spacing w:line="360" w:lineRule="auto"/>
              <w:contextualSpacing/>
              <w:jc w:val="both"/>
              <w:rPr>
                <w:rFonts w:ascii="Arial Narrow" w:hAnsi="Arial Narrow" w:cs="Arial"/>
                <w:sz w:val="22"/>
                <w:szCs w:val="22"/>
                <w:lang w:val="en-ZA"/>
              </w:rPr>
            </w:pPr>
            <w:r w:rsidRPr="00F03E15">
              <w:rPr>
                <w:rFonts w:ascii="Arial Narrow" w:hAnsi="Arial Narrow" w:cs="Arial"/>
                <w:sz w:val="22"/>
                <w:szCs w:val="22"/>
                <w:lang w:val="en-ZA"/>
              </w:rPr>
              <w:t>Target has been achieved by the facility</w:t>
            </w:r>
          </w:p>
        </w:tc>
      </w:tr>
    </w:tbl>
    <w:p w:rsidR="00F03E15" w:rsidRDefault="00F03E15" w:rsidP="000B7092">
      <w:pPr>
        <w:spacing w:line="360" w:lineRule="auto"/>
        <w:contextualSpacing/>
        <w:jc w:val="both"/>
        <w:rPr>
          <w:rFonts w:ascii="Arial Narrow" w:hAnsi="Arial Narrow" w:cs="Arial"/>
          <w:b/>
        </w:rPr>
      </w:pPr>
    </w:p>
    <w:p w:rsidR="00AD75FE" w:rsidRDefault="00F03E15" w:rsidP="000B7092">
      <w:pPr>
        <w:spacing w:line="360" w:lineRule="auto"/>
        <w:contextualSpacing/>
        <w:jc w:val="both"/>
        <w:rPr>
          <w:rFonts w:ascii="Arial Narrow" w:hAnsi="Arial Narrow" w:cs="Arial"/>
          <w:b/>
        </w:rPr>
      </w:pPr>
      <w:r>
        <w:rPr>
          <w:rFonts w:ascii="Arial Narrow" w:hAnsi="Arial Narrow" w:cs="Arial"/>
          <w:b/>
        </w:rPr>
        <w:t>TABLE 5: Progress report on Total Depot</w:t>
      </w:r>
    </w:p>
    <w:tbl>
      <w:tblPr>
        <w:tblpPr w:leftFromText="180" w:rightFromText="180" w:vertAnchor="text"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679"/>
        <w:gridCol w:w="1810"/>
        <w:gridCol w:w="1908"/>
        <w:gridCol w:w="3605"/>
        <w:gridCol w:w="3395"/>
      </w:tblGrid>
      <w:tr w:rsidR="00F03E15" w:rsidRPr="0023409C" w:rsidTr="00400EA9">
        <w:tc>
          <w:tcPr>
            <w:tcW w:w="1783" w:type="dxa"/>
            <w:shd w:val="clear" w:color="auto" w:fill="D9D9D9" w:themeFill="background1" w:themeFillShade="D9"/>
          </w:tcPr>
          <w:p w:rsidR="00F03E15" w:rsidRDefault="00F03E15" w:rsidP="004E53B6">
            <w:pPr>
              <w:contextualSpacing/>
              <w:jc w:val="both"/>
              <w:rPr>
                <w:rFonts w:ascii="Arial Narrow" w:hAnsi="Arial Narrow" w:cs="Arial"/>
                <w:b/>
                <w:sz w:val="20"/>
                <w:szCs w:val="20"/>
              </w:rPr>
            </w:pPr>
            <w:r>
              <w:rPr>
                <w:rFonts w:ascii="Arial Narrow" w:hAnsi="Arial Narrow" w:cs="Arial"/>
                <w:b/>
                <w:sz w:val="20"/>
                <w:szCs w:val="20"/>
              </w:rPr>
              <w:t>NAME OF FACILITY</w:t>
            </w:r>
          </w:p>
          <w:p w:rsidR="00F03E15" w:rsidRPr="0023409C" w:rsidRDefault="00F03E15" w:rsidP="004E53B6">
            <w:pPr>
              <w:contextualSpacing/>
              <w:jc w:val="both"/>
              <w:rPr>
                <w:rFonts w:ascii="Arial Narrow" w:hAnsi="Arial Narrow" w:cs="Arial"/>
                <w:b/>
                <w:sz w:val="20"/>
                <w:szCs w:val="20"/>
              </w:rPr>
            </w:pPr>
            <w:r>
              <w:rPr>
                <w:rFonts w:ascii="Arial Narrow" w:hAnsi="Arial Narrow" w:cs="Arial"/>
                <w:b/>
                <w:sz w:val="20"/>
                <w:szCs w:val="20"/>
              </w:rPr>
              <w:t>TOTAL</w:t>
            </w:r>
          </w:p>
        </w:tc>
        <w:tc>
          <w:tcPr>
            <w:tcW w:w="1679"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sidRPr="0023409C">
              <w:rPr>
                <w:rFonts w:ascii="Arial Narrow" w:hAnsi="Arial Narrow" w:cs="Arial"/>
                <w:b/>
                <w:sz w:val="20"/>
                <w:szCs w:val="20"/>
              </w:rPr>
              <w:t xml:space="preserve">Postponement period granted </w:t>
            </w:r>
          </w:p>
        </w:tc>
        <w:tc>
          <w:tcPr>
            <w:tcW w:w="1810" w:type="dxa"/>
            <w:shd w:val="clear" w:color="auto" w:fill="D9D9D9" w:themeFill="background1" w:themeFillShade="D9"/>
          </w:tcPr>
          <w:p w:rsidR="00F03E15" w:rsidRPr="0023409C" w:rsidRDefault="00F03E15" w:rsidP="004E53B6">
            <w:pPr>
              <w:contextualSpacing/>
              <w:rPr>
                <w:rFonts w:ascii="Arial Narrow" w:hAnsi="Arial Narrow" w:cs="Arial"/>
                <w:b/>
                <w:sz w:val="20"/>
                <w:szCs w:val="20"/>
              </w:rPr>
            </w:pPr>
            <w:r w:rsidRPr="0023409C">
              <w:rPr>
                <w:rFonts w:ascii="Arial Narrow" w:hAnsi="Arial Narrow" w:cs="Arial"/>
                <w:b/>
                <w:sz w:val="20"/>
                <w:szCs w:val="20"/>
              </w:rPr>
              <w:t>LIMIT GRANTED wrt pollutant</w:t>
            </w:r>
            <w:r>
              <w:rPr>
                <w:rFonts w:ascii="Arial Narrow" w:hAnsi="Arial Narrow" w:cs="Arial"/>
                <w:b/>
                <w:sz w:val="20"/>
                <w:szCs w:val="20"/>
              </w:rPr>
              <w:t>/</w:t>
            </w:r>
            <w:r w:rsidRPr="0023409C">
              <w:rPr>
                <w:rFonts w:ascii="Arial Narrow" w:hAnsi="Arial Narrow" w:cs="Arial"/>
                <w:b/>
                <w:sz w:val="20"/>
                <w:szCs w:val="20"/>
              </w:rPr>
              <w:t>s</w:t>
            </w:r>
          </w:p>
        </w:tc>
        <w:tc>
          <w:tcPr>
            <w:tcW w:w="1908"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sidRPr="0023409C">
              <w:rPr>
                <w:rFonts w:ascii="Arial Narrow" w:hAnsi="Arial Narrow" w:cs="Arial"/>
                <w:b/>
                <w:sz w:val="20"/>
                <w:szCs w:val="20"/>
              </w:rPr>
              <w:t>ACTIVITY TO MEET COMPLIANCE AND TARGET DATE</w:t>
            </w:r>
          </w:p>
        </w:tc>
        <w:tc>
          <w:tcPr>
            <w:tcW w:w="3605"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sidRPr="0023409C">
              <w:rPr>
                <w:rFonts w:ascii="Arial Narrow" w:hAnsi="Arial Narrow" w:cs="Arial"/>
                <w:b/>
                <w:sz w:val="20"/>
                <w:szCs w:val="20"/>
              </w:rPr>
              <w:t>PROGRESS</w:t>
            </w:r>
          </w:p>
        </w:tc>
        <w:tc>
          <w:tcPr>
            <w:tcW w:w="3395"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Pr>
                <w:rFonts w:ascii="Arial Narrow" w:hAnsi="Arial Narrow" w:cs="Arial"/>
                <w:b/>
                <w:sz w:val="20"/>
                <w:szCs w:val="20"/>
              </w:rPr>
              <w:t>COMMENT</w:t>
            </w:r>
          </w:p>
        </w:tc>
      </w:tr>
      <w:tr w:rsidR="00F03E15" w:rsidRPr="0023409C" w:rsidTr="00400EA9">
        <w:tc>
          <w:tcPr>
            <w:tcW w:w="1783" w:type="dxa"/>
          </w:tcPr>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rPr>
              <w:t>Total Polokwane depot</w:t>
            </w:r>
          </w:p>
        </w:tc>
        <w:tc>
          <w:tcPr>
            <w:tcW w:w="1679" w:type="dxa"/>
          </w:tcPr>
          <w:p w:rsidR="00F03E15" w:rsidRPr="00F27F5D" w:rsidRDefault="00F03E15" w:rsidP="004E53B6">
            <w:pPr>
              <w:contextualSpacing/>
              <w:rPr>
                <w:rFonts w:ascii="Arial Narrow" w:hAnsi="Arial Narrow" w:cs="Arial"/>
                <w:sz w:val="20"/>
                <w:szCs w:val="20"/>
              </w:rPr>
            </w:pPr>
            <w:r>
              <w:rPr>
                <w:rFonts w:ascii="Arial Narrow" w:hAnsi="Arial Narrow" w:cs="Arial"/>
                <w:sz w:val="20"/>
                <w:szCs w:val="20"/>
              </w:rPr>
              <w:t>1 April 2015-31 March 2016</w:t>
            </w:r>
            <w:r w:rsidRPr="00F27F5D">
              <w:rPr>
                <w:rFonts w:ascii="Arial Narrow" w:hAnsi="Arial Narrow" w:cs="Arial"/>
                <w:sz w:val="20"/>
                <w:szCs w:val="20"/>
              </w:rPr>
              <w:t xml:space="preserve"> </w:t>
            </w:r>
          </w:p>
        </w:tc>
        <w:tc>
          <w:tcPr>
            <w:tcW w:w="1810" w:type="dxa"/>
          </w:tcPr>
          <w:p w:rsidR="00F03E15"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t>TVOCs:</w:t>
            </w:r>
          </w:p>
          <w:p w:rsidR="00F03E15" w:rsidRPr="0023409C"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t>150</w:t>
            </w:r>
            <w:r w:rsidRPr="0023409C">
              <w:rPr>
                <w:rFonts w:ascii="Arial Narrow" w:hAnsi="Arial Narrow" w:cs="Arial"/>
                <w:sz w:val="20"/>
                <w:szCs w:val="20"/>
                <w:lang w:val="en-ZA"/>
              </w:rPr>
              <w:t>mg/Nm</w:t>
            </w:r>
            <w:r w:rsidRPr="0023409C">
              <w:rPr>
                <w:rFonts w:ascii="Arial Narrow" w:hAnsi="Arial Narrow" w:cs="Arial"/>
                <w:sz w:val="20"/>
                <w:szCs w:val="20"/>
                <w:vertAlign w:val="superscript"/>
                <w:lang w:val="en-ZA"/>
              </w:rPr>
              <w:t>3</w:t>
            </w:r>
          </w:p>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lang w:val="en-ZA"/>
              </w:rPr>
              <w:t>40000</w:t>
            </w:r>
            <w:r w:rsidRPr="0023409C">
              <w:rPr>
                <w:rFonts w:ascii="Arial Narrow" w:hAnsi="Arial Narrow" w:cs="Arial"/>
                <w:sz w:val="20"/>
                <w:szCs w:val="20"/>
                <w:lang w:val="en-ZA"/>
              </w:rPr>
              <w:t>mg/Nm</w:t>
            </w:r>
            <w:r w:rsidRPr="0023409C">
              <w:rPr>
                <w:rFonts w:ascii="Arial Narrow" w:hAnsi="Arial Narrow" w:cs="Arial"/>
                <w:sz w:val="20"/>
                <w:szCs w:val="20"/>
                <w:vertAlign w:val="superscript"/>
                <w:lang w:val="en-ZA"/>
              </w:rPr>
              <w:t>3</w:t>
            </w:r>
            <w:r>
              <w:rPr>
                <w:rFonts w:ascii="Arial Narrow" w:hAnsi="Arial Narrow" w:cs="Arial"/>
                <w:sz w:val="20"/>
                <w:szCs w:val="20"/>
              </w:rPr>
              <w:t xml:space="preserve">   </w:t>
            </w:r>
          </w:p>
        </w:tc>
        <w:tc>
          <w:tcPr>
            <w:tcW w:w="1908" w:type="dxa"/>
          </w:tcPr>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rPr>
              <w:t>Retrofit- VRU</w:t>
            </w:r>
          </w:p>
        </w:tc>
        <w:tc>
          <w:tcPr>
            <w:tcW w:w="3605" w:type="dxa"/>
          </w:tcPr>
          <w:p w:rsidR="00F03E15" w:rsidRPr="002648F3" w:rsidRDefault="00F03E15" w:rsidP="004E53B6">
            <w:pPr>
              <w:jc w:val="both"/>
              <w:rPr>
                <w:rFonts w:ascii="Arial Narrow" w:hAnsi="Arial Narrow" w:cs="Arial"/>
                <w:sz w:val="20"/>
                <w:szCs w:val="20"/>
                <w:lang w:val="en-ZA"/>
              </w:rPr>
            </w:pPr>
            <w:r w:rsidRPr="002648F3">
              <w:rPr>
                <w:rFonts w:ascii="Arial Narrow" w:hAnsi="Arial Narrow" w:cs="Arial"/>
                <w:sz w:val="20"/>
                <w:szCs w:val="20"/>
                <w:lang w:val="en-ZA"/>
              </w:rPr>
              <w:t>VRU order was completed in November 2014. VRU delivery was completed in August 2015. The installation of VRU is in progress.</w:t>
            </w:r>
          </w:p>
          <w:p w:rsidR="00F03E15" w:rsidRPr="002648F3" w:rsidRDefault="00F03E15" w:rsidP="004E53B6">
            <w:pPr>
              <w:jc w:val="both"/>
              <w:rPr>
                <w:rFonts w:ascii="Arial Narrow" w:hAnsi="Arial Narrow" w:cs="Arial"/>
                <w:sz w:val="20"/>
                <w:szCs w:val="20"/>
                <w:lang w:val="en-ZA"/>
              </w:rPr>
            </w:pPr>
            <w:r w:rsidRPr="002648F3">
              <w:rPr>
                <w:rFonts w:ascii="Arial Narrow" w:hAnsi="Arial Narrow" w:cs="Arial"/>
                <w:sz w:val="20"/>
                <w:szCs w:val="20"/>
                <w:lang w:val="en-ZA"/>
              </w:rPr>
              <w:t xml:space="preserve">VRU was installed by the John Zink Company based in Luxembourg. It was commissioned on 25 August 2016 and declare safe and ready for use by the consulting engineering group JGP.  </w:t>
            </w:r>
          </w:p>
        </w:tc>
        <w:tc>
          <w:tcPr>
            <w:tcW w:w="3395" w:type="dxa"/>
          </w:tcPr>
          <w:p w:rsidR="00F03E15" w:rsidRPr="0023409C" w:rsidRDefault="00F03E15" w:rsidP="004E53B6">
            <w:pPr>
              <w:contextualSpacing/>
              <w:jc w:val="both"/>
              <w:rPr>
                <w:rFonts w:ascii="Arial Narrow" w:hAnsi="Arial Narrow" w:cs="Arial"/>
                <w:sz w:val="20"/>
                <w:szCs w:val="20"/>
                <w:lang w:val="en-ZA"/>
              </w:rPr>
            </w:pPr>
            <w:r w:rsidRPr="00683256">
              <w:rPr>
                <w:rFonts w:ascii="Arial Narrow" w:hAnsi="Arial Narrow" w:cs="Arial"/>
                <w:sz w:val="20"/>
                <w:szCs w:val="20"/>
                <w:lang w:val="en-ZA"/>
              </w:rPr>
              <w:t>Target has been achieved by the facility.</w:t>
            </w:r>
          </w:p>
        </w:tc>
      </w:tr>
      <w:tr w:rsidR="00F03E15" w:rsidRPr="008A4BF6" w:rsidTr="00400EA9">
        <w:tc>
          <w:tcPr>
            <w:tcW w:w="1783" w:type="dxa"/>
          </w:tcPr>
          <w:p w:rsidR="00F03E15" w:rsidRPr="0023409C" w:rsidRDefault="00F03E15" w:rsidP="004E53B6">
            <w:pPr>
              <w:contextualSpacing/>
              <w:jc w:val="both"/>
              <w:rPr>
                <w:rFonts w:ascii="Arial Narrow" w:hAnsi="Arial Narrow" w:cs="Arial"/>
                <w:sz w:val="20"/>
                <w:szCs w:val="20"/>
              </w:rPr>
            </w:pPr>
            <w:r w:rsidRPr="00683256">
              <w:rPr>
                <w:rFonts w:ascii="Arial Narrow" w:hAnsi="Arial Narrow" w:cs="Arial"/>
                <w:sz w:val="20"/>
                <w:szCs w:val="20"/>
              </w:rPr>
              <w:t>Total Polokwane depot</w:t>
            </w:r>
          </w:p>
        </w:tc>
        <w:tc>
          <w:tcPr>
            <w:tcW w:w="1679" w:type="dxa"/>
          </w:tcPr>
          <w:p w:rsidR="00F03E15" w:rsidRPr="00F27F5D" w:rsidRDefault="00F03E15" w:rsidP="004E53B6">
            <w:pPr>
              <w:contextualSpacing/>
              <w:jc w:val="both"/>
              <w:rPr>
                <w:rFonts w:ascii="Arial Narrow" w:hAnsi="Arial Narrow" w:cs="Arial"/>
                <w:sz w:val="20"/>
                <w:szCs w:val="20"/>
              </w:rPr>
            </w:pPr>
            <w:r>
              <w:rPr>
                <w:rFonts w:ascii="Arial Narrow" w:hAnsi="Arial Narrow" w:cs="Arial"/>
                <w:sz w:val="20"/>
                <w:szCs w:val="20"/>
              </w:rPr>
              <w:t>1 April 2015-31 March 2016</w:t>
            </w:r>
          </w:p>
        </w:tc>
        <w:tc>
          <w:tcPr>
            <w:tcW w:w="1810" w:type="dxa"/>
          </w:tcPr>
          <w:p w:rsidR="00F03E15"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t>TVOCs:</w:t>
            </w:r>
          </w:p>
          <w:p w:rsidR="00F03E15" w:rsidRPr="0023409C"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t>150</w:t>
            </w:r>
            <w:r w:rsidRPr="0023409C">
              <w:rPr>
                <w:rFonts w:ascii="Arial Narrow" w:hAnsi="Arial Narrow" w:cs="Arial"/>
                <w:sz w:val="20"/>
                <w:szCs w:val="20"/>
                <w:lang w:val="en-ZA"/>
              </w:rPr>
              <w:t>mg/Nm</w:t>
            </w:r>
            <w:r w:rsidRPr="0023409C">
              <w:rPr>
                <w:rFonts w:ascii="Arial Narrow" w:hAnsi="Arial Narrow" w:cs="Arial"/>
                <w:sz w:val="20"/>
                <w:szCs w:val="20"/>
                <w:vertAlign w:val="superscript"/>
                <w:lang w:val="en-ZA"/>
              </w:rPr>
              <w:t>3</w:t>
            </w:r>
          </w:p>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lang w:val="en-ZA"/>
              </w:rPr>
              <w:t>40000</w:t>
            </w:r>
            <w:r w:rsidRPr="0023409C">
              <w:rPr>
                <w:rFonts w:ascii="Arial Narrow" w:hAnsi="Arial Narrow" w:cs="Arial"/>
                <w:sz w:val="20"/>
                <w:szCs w:val="20"/>
                <w:lang w:val="en-ZA"/>
              </w:rPr>
              <w:t>mg/Nm</w:t>
            </w:r>
            <w:r w:rsidRPr="0023409C">
              <w:rPr>
                <w:rFonts w:ascii="Arial Narrow" w:hAnsi="Arial Narrow" w:cs="Arial"/>
                <w:sz w:val="20"/>
                <w:szCs w:val="20"/>
                <w:vertAlign w:val="superscript"/>
                <w:lang w:val="en-ZA"/>
              </w:rPr>
              <w:t>3</w:t>
            </w:r>
            <w:r>
              <w:rPr>
                <w:rFonts w:ascii="Arial Narrow" w:hAnsi="Arial Narrow" w:cs="Arial"/>
                <w:sz w:val="20"/>
                <w:szCs w:val="20"/>
              </w:rPr>
              <w:t xml:space="preserve">   </w:t>
            </w:r>
          </w:p>
        </w:tc>
        <w:tc>
          <w:tcPr>
            <w:tcW w:w="1908" w:type="dxa"/>
          </w:tcPr>
          <w:p w:rsidR="00F03E15" w:rsidRPr="0021485D" w:rsidRDefault="00F03E15" w:rsidP="004E53B6">
            <w:pPr>
              <w:contextualSpacing/>
              <w:jc w:val="both"/>
              <w:rPr>
                <w:rFonts w:ascii="Arial Narrow" w:hAnsi="Arial Narrow" w:cs="Arial"/>
                <w:color w:val="FF0000"/>
                <w:sz w:val="20"/>
                <w:szCs w:val="20"/>
              </w:rPr>
            </w:pPr>
            <w:r>
              <w:rPr>
                <w:rFonts w:ascii="Arial Narrow" w:hAnsi="Arial Narrow" w:cs="Arial"/>
                <w:sz w:val="20"/>
                <w:szCs w:val="20"/>
              </w:rPr>
              <w:t>Retrofit- VRU</w:t>
            </w:r>
          </w:p>
        </w:tc>
        <w:tc>
          <w:tcPr>
            <w:tcW w:w="3605" w:type="dxa"/>
          </w:tcPr>
          <w:p w:rsidR="00F03E15" w:rsidRPr="00543A54" w:rsidRDefault="00F03E15" w:rsidP="004E53B6">
            <w:pPr>
              <w:jc w:val="both"/>
              <w:rPr>
                <w:rFonts w:ascii="Arial Narrow" w:hAnsi="Arial Narrow" w:cs="Arial"/>
                <w:color w:val="FF0000"/>
                <w:sz w:val="20"/>
                <w:szCs w:val="20"/>
              </w:rPr>
            </w:pPr>
            <w:r>
              <w:rPr>
                <w:rFonts w:ascii="Arial Narrow" w:hAnsi="Arial Narrow" w:cs="Arial"/>
                <w:sz w:val="20"/>
                <w:szCs w:val="20"/>
                <w:lang w:val="en-ZA"/>
              </w:rPr>
              <w:t xml:space="preserve">VRU was installed by the John Zink Company based in Luxembourg. It was commissioned on 25 August 2016 and declare safe and ready for use by the consulting engineering group JGP.  </w:t>
            </w:r>
          </w:p>
        </w:tc>
        <w:tc>
          <w:tcPr>
            <w:tcW w:w="3395" w:type="dxa"/>
          </w:tcPr>
          <w:p w:rsidR="00F03E15" w:rsidRDefault="00F03E15" w:rsidP="004E53B6">
            <w:pPr>
              <w:contextualSpacing/>
              <w:jc w:val="both"/>
              <w:rPr>
                <w:rFonts w:ascii="Arial Narrow" w:hAnsi="Arial Narrow" w:cs="Arial"/>
                <w:color w:val="FF0000"/>
                <w:sz w:val="20"/>
                <w:szCs w:val="20"/>
              </w:rPr>
            </w:pPr>
            <w:r w:rsidRPr="008A4BF6">
              <w:rPr>
                <w:rFonts w:ascii="Arial Narrow" w:hAnsi="Arial Narrow" w:cs="Arial"/>
                <w:sz w:val="20"/>
                <w:szCs w:val="20"/>
              </w:rPr>
              <w:t>Target has been achieved by the facility.</w:t>
            </w:r>
          </w:p>
          <w:p w:rsidR="00F03E15" w:rsidRPr="008A4BF6" w:rsidRDefault="00F03E15" w:rsidP="004E53B6">
            <w:pPr>
              <w:rPr>
                <w:rFonts w:ascii="Arial Narrow" w:hAnsi="Arial Narrow" w:cs="Arial"/>
                <w:sz w:val="20"/>
                <w:szCs w:val="20"/>
              </w:rPr>
            </w:pPr>
          </w:p>
        </w:tc>
      </w:tr>
    </w:tbl>
    <w:p w:rsidR="00AD75FE" w:rsidRDefault="00AD75FE" w:rsidP="000B7092">
      <w:pPr>
        <w:spacing w:line="360" w:lineRule="auto"/>
        <w:contextualSpacing/>
        <w:jc w:val="both"/>
        <w:rPr>
          <w:rFonts w:ascii="Arial Narrow" w:hAnsi="Arial Narrow" w:cs="Arial"/>
          <w:b/>
        </w:rPr>
      </w:pPr>
    </w:p>
    <w:p w:rsidR="00F03E15" w:rsidRDefault="00F03E15" w:rsidP="000B7092">
      <w:pPr>
        <w:spacing w:line="360" w:lineRule="auto"/>
        <w:contextualSpacing/>
        <w:jc w:val="both"/>
        <w:rPr>
          <w:rFonts w:ascii="Arial Narrow" w:hAnsi="Arial Narrow" w:cs="Arial"/>
          <w:b/>
        </w:rPr>
      </w:pPr>
      <w:r>
        <w:rPr>
          <w:rFonts w:ascii="Arial Narrow" w:hAnsi="Arial Narrow" w:cs="Arial"/>
          <w:b/>
        </w:rPr>
        <w:t>TABLE 6: Progress report on Anglo American</w:t>
      </w:r>
    </w:p>
    <w:tbl>
      <w:tblPr>
        <w:tblpPr w:leftFromText="180" w:rightFromText="180" w:vertAnchor="text"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679"/>
        <w:gridCol w:w="1810"/>
        <w:gridCol w:w="1908"/>
        <w:gridCol w:w="3605"/>
        <w:gridCol w:w="3395"/>
      </w:tblGrid>
      <w:tr w:rsidR="00F03E15" w:rsidRPr="0023409C" w:rsidTr="00400EA9">
        <w:tc>
          <w:tcPr>
            <w:tcW w:w="1783" w:type="dxa"/>
            <w:shd w:val="clear" w:color="auto" w:fill="D9D9D9" w:themeFill="background1" w:themeFillShade="D9"/>
          </w:tcPr>
          <w:p w:rsidR="00F03E15" w:rsidRDefault="00F03E15" w:rsidP="004E53B6">
            <w:pPr>
              <w:contextualSpacing/>
              <w:jc w:val="both"/>
              <w:rPr>
                <w:rFonts w:ascii="Arial Narrow" w:hAnsi="Arial Narrow" w:cs="Arial"/>
                <w:b/>
                <w:sz w:val="20"/>
                <w:szCs w:val="20"/>
              </w:rPr>
            </w:pPr>
            <w:r>
              <w:rPr>
                <w:rFonts w:ascii="Arial Narrow" w:hAnsi="Arial Narrow" w:cs="Arial"/>
                <w:b/>
                <w:sz w:val="20"/>
                <w:szCs w:val="20"/>
              </w:rPr>
              <w:t>NAME OF FACILITY</w:t>
            </w:r>
          </w:p>
          <w:p w:rsidR="00F03E15" w:rsidRPr="0023409C" w:rsidRDefault="00F03E15" w:rsidP="004E53B6">
            <w:pPr>
              <w:contextualSpacing/>
              <w:jc w:val="both"/>
              <w:rPr>
                <w:rFonts w:ascii="Arial Narrow" w:hAnsi="Arial Narrow" w:cs="Arial"/>
                <w:b/>
                <w:sz w:val="20"/>
                <w:szCs w:val="20"/>
              </w:rPr>
            </w:pPr>
            <w:r>
              <w:rPr>
                <w:rFonts w:ascii="Arial Narrow" w:hAnsi="Arial Narrow" w:cs="Arial"/>
                <w:b/>
                <w:sz w:val="20"/>
                <w:szCs w:val="20"/>
              </w:rPr>
              <w:t>ANGLO AMERICAN PLATINUM (AAP)</w:t>
            </w:r>
          </w:p>
        </w:tc>
        <w:tc>
          <w:tcPr>
            <w:tcW w:w="1679"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sidRPr="0023409C">
              <w:rPr>
                <w:rFonts w:ascii="Arial Narrow" w:hAnsi="Arial Narrow" w:cs="Arial"/>
                <w:b/>
                <w:sz w:val="20"/>
                <w:szCs w:val="20"/>
              </w:rPr>
              <w:t xml:space="preserve">Postponement period granted </w:t>
            </w:r>
          </w:p>
        </w:tc>
        <w:tc>
          <w:tcPr>
            <w:tcW w:w="1810" w:type="dxa"/>
            <w:shd w:val="clear" w:color="auto" w:fill="D9D9D9" w:themeFill="background1" w:themeFillShade="D9"/>
          </w:tcPr>
          <w:p w:rsidR="00F03E15" w:rsidRPr="0023409C" w:rsidRDefault="00F03E15" w:rsidP="004E53B6">
            <w:pPr>
              <w:contextualSpacing/>
              <w:rPr>
                <w:rFonts w:ascii="Arial Narrow" w:hAnsi="Arial Narrow" w:cs="Arial"/>
                <w:b/>
                <w:sz w:val="20"/>
                <w:szCs w:val="20"/>
              </w:rPr>
            </w:pPr>
            <w:r w:rsidRPr="0023409C">
              <w:rPr>
                <w:rFonts w:ascii="Arial Narrow" w:hAnsi="Arial Narrow" w:cs="Arial"/>
                <w:b/>
                <w:sz w:val="20"/>
                <w:szCs w:val="20"/>
              </w:rPr>
              <w:t>LIMIT GRANTED wrt pollutant</w:t>
            </w:r>
            <w:r>
              <w:rPr>
                <w:rFonts w:ascii="Arial Narrow" w:hAnsi="Arial Narrow" w:cs="Arial"/>
                <w:b/>
                <w:sz w:val="20"/>
                <w:szCs w:val="20"/>
              </w:rPr>
              <w:t>/</w:t>
            </w:r>
            <w:r w:rsidRPr="0023409C">
              <w:rPr>
                <w:rFonts w:ascii="Arial Narrow" w:hAnsi="Arial Narrow" w:cs="Arial"/>
                <w:b/>
                <w:sz w:val="20"/>
                <w:szCs w:val="20"/>
              </w:rPr>
              <w:t>s</w:t>
            </w:r>
          </w:p>
        </w:tc>
        <w:tc>
          <w:tcPr>
            <w:tcW w:w="1908"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sidRPr="0023409C">
              <w:rPr>
                <w:rFonts w:ascii="Arial Narrow" w:hAnsi="Arial Narrow" w:cs="Arial"/>
                <w:b/>
                <w:sz w:val="20"/>
                <w:szCs w:val="20"/>
              </w:rPr>
              <w:t>ACTIVITY TO MEET COMPLIANCE AND TARGET DATE</w:t>
            </w:r>
          </w:p>
        </w:tc>
        <w:tc>
          <w:tcPr>
            <w:tcW w:w="3605"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sidRPr="0023409C">
              <w:rPr>
                <w:rFonts w:ascii="Arial Narrow" w:hAnsi="Arial Narrow" w:cs="Arial"/>
                <w:b/>
                <w:sz w:val="20"/>
                <w:szCs w:val="20"/>
              </w:rPr>
              <w:t>PROGRESS</w:t>
            </w:r>
          </w:p>
        </w:tc>
        <w:tc>
          <w:tcPr>
            <w:tcW w:w="3395" w:type="dxa"/>
            <w:shd w:val="clear" w:color="auto" w:fill="D9D9D9" w:themeFill="background1" w:themeFillShade="D9"/>
          </w:tcPr>
          <w:p w:rsidR="00F03E15" w:rsidRPr="0023409C" w:rsidRDefault="00F03E15" w:rsidP="004E53B6">
            <w:pPr>
              <w:contextualSpacing/>
              <w:jc w:val="both"/>
              <w:rPr>
                <w:rFonts w:ascii="Arial Narrow" w:hAnsi="Arial Narrow" w:cs="Arial"/>
                <w:b/>
                <w:sz w:val="20"/>
                <w:szCs w:val="20"/>
              </w:rPr>
            </w:pPr>
            <w:r>
              <w:rPr>
                <w:rFonts w:ascii="Arial Narrow" w:hAnsi="Arial Narrow" w:cs="Arial"/>
                <w:b/>
                <w:sz w:val="20"/>
                <w:szCs w:val="20"/>
              </w:rPr>
              <w:t>COMMENT</w:t>
            </w:r>
          </w:p>
        </w:tc>
      </w:tr>
      <w:tr w:rsidR="00F03E15" w:rsidRPr="0023409C" w:rsidTr="00400EA9">
        <w:tc>
          <w:tcPr>
            <w:tcW w:w="1783" w:type="dxa"/>
          </w:tcPr>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rPr>
              <w:t>AAP – Mortimer Smelter</w:t>
            </w:r>
          </w:p>
        </w:tc>
        <w:tc>
          <w:tcPr>
            <w:tcW w:w="1679" w:type="dxa"/>
          </w:tcPr>
          <w:p w:rsidR="00F03E15" w:rsidRPr="00F27F5D" w:rsidRDefault="00F03E15" w:rsidP="004E53B6">
            <w:pPr>
              <w:contextualSpacing/>
              <w:rPr>
                <w:rFonts w:ascii="Arial Narrow" w:hAnsi="Arial Narrow" w:cs="Arial"/>
                <w:sz w:val="20"/>
                <w:szCs w:val="20"/>
              </w:rPr>
            </w:pPr>
            <w:r>
              <w:rPr>
                <w:rFonts w:ascii="Arial Narrow" w:hAnsi="Arial Narrow" w:cs="Arial"/>
                <w:sz w:val="20"/>
                <w:szCs w:val="20"/>
              </w:rPr>
              <w:t>1 April 2015-31 March 2020</w:t>
            </w:r>
          </w:p>
        </w:tc>
        <w:tc>
          <w:tcPr>
            <w:tcW w:w="1810" w:type="dxa"/>
          </w:tcPr>
          <w:p w:rsidR="00F03E15" w:rsidRPr="0023409C"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t>SO</w:t>
            </w:r>
            <w:r w:rsidRPr="00566002">
              <w:rPr>
                <w:rFonts w:ascii="Arial Narrow" w:hAnsi="Arial Narrow" w:cs="Arial"/>
                <w:sz w:val="20"/>
                <w:szCs w:val="20"/>
                <w:vertAlign w:val="subscript"/>
                <w:lang w:val="en-ZA"/>
              </w:rPr>
              <w:t>2</w:t>
            </w:r>
            <w:r>
              <w:rPr>
                <w:rFonts w:ascii="Arial Narrow" w:hAnsi="Arial Narrow" w:cs="Arial"/>
                <w:sz w:val="20"/>
                <w:szCs w:val="20"/>
                <w:lang w:val="en-ZA"/>
              </w:rPr>
              <w:t>: 30000</w:t>
            </w:r>
            <w:r w:rsidRPr="0023409C">
              <w:rPr>
                <w:rFonts w:ascii="Arial Narrow" w:hAnsi="Arial Narrow" w:cs="Arial"/>
                <w:sz w:val="20"/>
                <w:szCs w:val="20"/>
                <w:lang w:val="en-ZA"/>
              </w:rPr>
              <w:t>mg/Nm</w:t>
            </w:r>
            <w:r w:rsidRPr="0023409C">
              <w:rPr>
                <w:rFonts w:ascii="Arial Narrow" w:hAnsi="Arial Narrow" w:cs="Arial"/>
                <w:sz w:val="20"/>
                <w:szCs w:val="20"/>
                <w:vertAlign w:val="superscript"/>
                <w:lang w:val="en-ZA"/>
              </w:rPr>
              <w:t>3</w:t>
            </w:r>
          </w:p>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rPr>
              <w:t xml:space="preserve"> </w:t>
            </w:r>
          </w:p>
        </w:tc>
        <w:tc>
          <w:tcPr>
            <w:tcW w:w="1908" w:type="dxa"/>
          </w:tcPr>
          <w:p w:rsidR="00F03E15" w:rsidRPr="00566002" w:rsidRDefault="00F03E15" w:rsidP="004E53B6">
            <w:pPr>
              <w:contextualSpacing/>
              <w:jc w:val="both"/>
              <w:rPr>
                <w:rFonts w:ascii="Arial Narrow" w:hAnsi="Arial Narrow" w:cs="Arial"/>
                <w:sz w:val="20"/>
                <w:szCs w:val="20"/>
                <w:lang w:val="en-ZA"/>
              </w:rPr>
            </w:pPr>
            <w:r>
              <w:rPr>
                <w:rFonts w:ascii="Arial Narrow" w:hAnsi="Arial Narrow" w:cs="Arial"/>
                <w:sz w:val="20"/>
                <w:szCs w:val="20"/>
              </w:rPr>
              <w:t xml:space="preserve">Retrofit- </w:t>
            </w:r>
            <w:r w:rsidRPr="00566002">
              <w:rPr>
                <w:rFonts w:ascii="Calibri Light" w:eastAsiaTheme="minorEastAsia" w:hAnsi="Calibri Light" w:cstheme="minorBidi"/>
                <w:color w:val="000000" w:themeColor="dark1"/>
                <w:kern w:val="24"/>
                <w:sz w:val="28"/>
                <w:szCs w:val="28"/>
                <w:lang w:val="en-ZA" w:eastAsia="en-ZA"/>
              </w:rPr>
              <w:t xml:space="preserve"> </w:t>
            </w:r>
            <w:r w:rsidRPr="00566002">
              <w:rPr>
                <w:rFonts w:ascii="Arial Narrow" w:hAnsi="Arial Narrow" w:cs="Arial"/>
                <w:sz w:val="20"/>
                <w:szCs w:val="20"/>
                <w:lang w:val="en-ZA"/>
              </w:rPr>
              <w:t>SO2 abatement equipment</w:t>
            </w:r>
          </w:p>
          <w:p w:rsidR="00F03E15" w:rsidRPr="0023409C" w:rsidRDefault="00F03E15" w:rsidP="004E53B6">
            <w:pPr>
              <w:contextualSpacing/>
              <w:jc w:val="both"/>
              <w:rPr>
                <w:rFonts w:ascii="Arial Narrow" w:hAnsi="Arial Narrow" w:cs="Arial"/>
                <w:sz w:val="20"/>
                <w:szCs w:val="20"/>
              </w:rPr>
            </w:pPr>
          </w:p>
        </w:tc>
        <w:tc>
          <w:tcPr>
            <w:tcW w:w="3605" w:type="dxa"/>
          </w:tcPr>
          <w:p w:rsidR="00F03E15" w:rsidRPr="002648F3" w:rsidRDefault="00F03E15" w:rsidP="004E53B6">
            <w:pPr>
              <w:jc w:val="both"/>
              <w:rPr>
                <w:rFonts w:ascii="Arial Narrow" w:hAnsi="Arial Narrow" w:cs="Arial"/>
                <w:sz w:val="20"/>
                <w:szCs w:val="20"/>
                <w:lang w:val="en-ZA"/>
              </w:rPr>
            </w:pPr>
            <w:r w:rsidRPr="00566002">
              <w:rPr>
                <w:rFonts w:ascii="Arial Narrow" w:hAnsi="Arial Narrow" w:cs="Arial"/>
                <w:sz w:val="20"/>
                <w:szCs w:val="20"/>
                <w:lang w:val="en-ZA"/>
              </w:rPr>
              <w:t>AAP stack and ambient monitoring continues to measure compliance against the emission standard and reasonable comply with the 30 000mg of SO</w:t>
            </w:r>
            <w:r w:rsidRPr="00524961">
              <w:rPr>
                <w:rFonts w:ascii="Arial Narrow" w:hAnsi="Arial Narrow" w:cs="Arial"/>
                <w:sz w:val="20"/>
                <w:szCs w:val="20"/>
                <w:vertAlign w:val="subscript"/>
                <w:lang w:val="en-ZA"/>
              </w:rPr>
              <w:t>2</w:t>
            </w:r>
            <w:r w:rsidRPr="00566002">
              <w:rPr>
                <w:rFonts w:ascii="Arial Narrow" w:hAnsi="Arial Narrow" w:cs="Arial"/>
                <w:sz w:val="20"/>
                <w:szCs w:val="20"/>
                <w:lang w:val="en-ZA"/>
              </w:rPr>
              <w:t xml:space="preserve"> postponement limit. A “novel” technical solution for SO</w:t>
            </w:r>
            <w:r w:rsidRPr="00524961">
              <w:rPr>
                <w:rFonts w:ascii="Arial Narrow" w:hAnsi="Arial Narrow" w:cs="Arial"/>
                <w:sz w:val="20"/>
                <w:szCs w:val="20"/>
                <w:vertAlign w:val="subscript"/>
                <w:lang w:val="en-ZA"/>
              </w:rPr>
              <w:t>2</w:t>
            </w:r>
            <w:r w:rsidRPr="00566002">
              <w:rPr>
                <w:rFonts w:ascii="Arial Narrow" w:hAnsi="Arial Narrow" w:cs="Arial"/>
                <w:sz w:val="20"/>
                <w:szCs w:val="20"/>
                <w:lang w:val="en-ZA"/>
              </w:rPr>
              <w:t xml:space="preserve"> abatement and </w:t>
            </w:r>
            <w:r w:rsidRPr="00566002">
              <w:rPr>
                <w:rFonts w:ascii="Arial Narrow" w:hAnsi="Arial Narrow" w:cs="Arial"/>
                <w:sz w:val="20"/>
                <w:szCs w:val="20"/>
                <w:lang w:val="en-ZA"/>
              </w:rPr>
              <w:lastRenderedPageBreak/>
              <w:t>control will be developed that produces “useful” acid instead of another solid waste.</w:t>
            </w:r>
          </w:p>
        </w:tc>
        <w:tc>
          <w:tcPr>
            <w:tcW w:w="3395" w:type="dxa"/>
          </w:tcPr>
          <w:p w:rsidR="00F03E15" w:rsidRPr="0023409C"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lastRenderedPageBreak/>
              <w:t>The installation of SO</w:t>
            </w:r>
            <w:r w:rsidRPr="002B3E8D">
              <w:rPr>
                <w:rFonts w:ascii="Arial Narrow" w:hAnsi="Arial Narrow" w:cs="Arial"/>
                <w:sz w:val="20"/>
                <w:szCs w:val="20"/>
                <w:vertAlign w:val="subscript"/>
                <w:lang w:val="en-ZA"/>
              </w:rPr>
              <w:t>2</w:t>
            </w:r>
            <w:r>
              <w:rPr>
                <w:rFonts w:ascii="Arial Narrow" w:hAnsi="Arial Narrow" w:cs="Arial"/>
                <w:sz w:val="20"/>
                <w:szCs w:val="20"/>
                <w:lang w:val="en-ZA"/>
              </w:rPr>
              <w:t xml:space="preserve"> abatement equipment at Mortimer smelter is in progress.</w:t>
            </w:r>
          </w:p>
        </w:tc>
      </w:tr>
      <w:tr w:rsidR="00F03E15" w:rsidRPr="008A4BF6" w:rsidTr="00400EA9">
        <w:tc>
          <w:tcPr>
            <w:tcW w:w="1783" w:type="dxa"/>
          </w:tcPr>
          <w:p w:rsidR="00F03E15" w:rsidRPr="0023409C" w:rsidRDefault="00F03E15" w:rsidP="004E53B6">
            <w:pPr>
              <w:contextualSpacing/>
              <w:jc w:val="both"/>
              <w:rPr>
                <w:rFonts w:ascii="Arial Narrow" w:hAnsi="Arial Narrow" w:cs="Arial"/>
                <w:sz w:val="20"/>
                <w:szCs w:val="20"/>
              </w:rPr>
            </w:pPr>
            <w:r>
              <w:rPr>
                <w:rFonts w:ascii="Arial Narrow" w:hAnsi="Arial Narrow" w:cs="Arial"/>
                <w:sz w:val="20"/>
                <w:szCs w:val="20"/>
              </w:rPr>
              <w:lastRenderedPageBreak/>
              <w:t>AAP – Polokwane Smelter</w:t>
            </w:r>
          </w:p>
        </w:tc>
        <w:tc>
          <w:tcPr>
            <w:tcW w:w="1679" w:type="dxa"/>
          </w:tcPr>
          <w:p w:rsidR="00F03E15" w:rsidRPr="00F27F5D" w:rsidRDefault="00F03E15" w:rsidP="004E53B6">
            <w:pPr>
              <w:contextualSpacing/>
              <w:jc w:val="both"/>
              <w:rPr>
                <w:rFonts w:ascii="Arial Narrow" w:hAnsi="Arial Narrow" w:cs="Arial"/>
                <w:sz w:val="20"/>
                <w:szCs w:val="20"/>
              </w:rPr>
            </w:pPr>
            <w:r>
              <w:rPr>
                <w:rFonts w:ascii="Arial Narrow" w:hAnsi="Arial Narrow" w:cs="Arial"/>
                <w:sz w:val="20"/>
                <w:szCs w:val="20"/>
              </w:rPr>
              <w:t>1 April 2015-31 March 2020</w:t>
            </w:r>
          </w:p>
        </w:tc>
        <w:tc>
          <w:tcPr>
            <w:tcW w:w="1810" w:type="dxa"/>
          </w:tcPr>
          <w:p w:rsidR="00F03E15" w:rsidRPr="0023409C" w:rsidRDefault="00F03E15" w:rsidP="004E53B6">
            <w:pPr>
              <w:contextualSpacing/>
              <w:jc w:val="both"/>
              <w:rPr>
                <w:rFonts w:ascii="Arial Narrow" w:hAnsi="Arial Narrow" w:cs="Arial"/>
                <w:sz w:val="20"/>
                <w:szCs w:val="20"/>
                <w:lang w:val="en-ZA"/>
              </w:rPr>
            </w:pPr>
            <w:r>
              <w:rPr>
                <w:rFonts w:ascii="Arial Narrow" w:hAnsi="Arial Narrow" w:cs="Arial"/>
                <w:sz w:val="20"/>
                <w:szCs w:val="20"/>
                <w:lang w:val="en-ZA"/>
              </w:rPr>
              <w:t>SO</w:t>
            </w:r>
            <w:r w:rsidRPr="00566002">
              <w:rPr>
                <w:rFonts w:ascii="Arial Narrow" w:hAnsi="Arial Narrow" w:cs="Arial"/>
                <w:sz w:val="20"/>
                <w:szCs w:val="20"/>
                <w:vertAlign w:val="subscript"/>
                <w:lang w:val="en-ZA"/>
              </w:rPr>
              <w:t>2</w:t>
            </w:r>
            <w:r>
              <w:rPr>
                <w:rFonts w:ascii="Arial Narrow" w:hAnsi="Arial Narrow" w:cs="Arial"/>
                <w:sz w:val="20"/>
                <w:szCs w:val="20"/>
                <w:lang w:val="en-ZA"/>
              </w:rPr>
              <w:t>: 30000</w:t>
            </w:r>
            <w:r w:rsidRPr="0023409C">
              <w:rPr>
                <w:rFonts w:ascii="Arial Narrow" w:hAnsi="Arial Narrow" w:cs="Arial"/>
                <w:sz w:val="20"/>
                <w:szCs w:val="20"/>
                <w:lang w:val="en-ZA"/>
              </w:rPr>
              <w:t>mg/Nm</w:t>
            </w:r>
            <w:r w:rsidRPr="0023409C">
              <w:rPr>
                <w:rFonts w:ascii="Arial Narrow" w:hAnsi="Arial Narrow" w:cs="Arial"/>
                <w:sz w:val="20"/>
                <w:szCs w:val="20"/>
                <w:vertAlign w:val="superscript"/>
                <w:lang w:val="en-ZA"/>
              </w:rPr>
              <w:t>3</w:t>
            </w:r>
          </w:p>
          <w:p w:rsidR="00F03E15" w:rsidRPr="0023409C" w:rsidRDefault="00F03E15" w:rsidP="004E53B6">
            <w:pPr>
              <w:contextualSpacing/>
              <w:jc w:val="both"/>
              <w:rPr>
                <w:rFonts w:ascii="Arial Narrow" w:hAnsi="Arial Narrow" w:cs="Arial"/>
                <w:sz w:val="20"/>
                <w:szCs w:val="20"/>
              </w:rPr>
            </w:pPr>
          </w:p>
        </w:tc>
        <w:tc>
          <w:tcPr>
            <w:tcW w:w="1908" w:type="dxa"/>
          </w:tcPr>
          <w:p w:rsidR="00F03E15" w:rsidRPr="00566002" w:rsidRDefault="00F03E15" w:rsidP="004E53B6">
            <w:pPr>
              <w:contextualSpacing/>
              <w:jc w:val="both"/>
              <w:rPr>
                <w:rFonts w:ascii="Arial Narrow" w:hAnsi="Arial Narrow" w:cs="Arial"/>
                <w:sz w:val="20"/>
                <w:szCs w:val="20"/>
                <w:lang w:val="en-ZA"/>
              </w:rPr>
            </w:pPr>
            <w:r>
              <w:rPr>
                <w:rFonts w:ascii="Arial Narrow" w:hAnsi="Arial Narrow" w:cs="Arial"/>
                <w:sz w:val="20"/>
                <w:szCs w:val="20"/>
              </w:rPr>
              <w:t xml:space="preserve">Retrofit- </w:t>
            </w:r>
            <w:r w:rsidRPr="00566002">
              <w:rPr>
                <w:rFonts w:ascii="Calibri Light" w:eastAsiaTheme="minorEastAsia" w:hAnsi="Calibri Light" w:cstheme="minorBidi"/>
                <w:color w:val="000000" w:themeColor="dark1"/>
                <w:kern w:val="24"/>
                <w:sz w:val="28"/>
                <w:szCs w:val="28"/>
                <w:lang w:val="en-ZA" w:eastAsia="en-ZA"/>
              </w:rPr>
              <w:t xml:space="preserve"> </w:t>
            </w:r>
            <w:r w:rsidRPr="00566002">
              <w:rPr>
                <w:rFonts w:ascii="Arial Narrow" w:hAnsi="Arial Narrow" w:cs="Arial"/>
                <w:sz w:val="20"/>
                <w:szCs w:val="20"/>
                <w:lang w:val="en-ZA"/>
              </w:rPr>
              <w:t>SO2 abatement equipment</w:t>
            </w:r>
          </w:p>
          <w:p w:rsidR="00F03E15" w:rsidRPr="0021485D" w:rsidRDefault="00F03E15" w:rsidP="004E53B6">
            <w:pPr>
              <w:contextualSpacing/>
              <w:jc w:val="both"/>
              <w:rPr>
                <w:rFonts w:ascii="Arial Narrow" w:hAnsi="Arial Narrow" w:cs="Arial"/>
                <w:color w:val="FF0000"/>
                <w:sz w:val="20"/>
                <w:szCs w:val="20"/>
              </w:rPr>
            </w:pPr>
          </w:p>
        </w:tc>
        <w:tc>
          <w:tcPr>
            <w:tcW w:w="3605" w:type="dxa"/>
          </w:tcPr>
          <w:p w:rsidR="00F03E15" w:rsidRPr="00543A54" w:rsidRDefault="00F03E15" w:rsidP="004E53B6">
            <w:pPr>
              <w:jc w:val="both"/>
              <w:rPr>
                <w:rFonts w:ascii="Arial Narrow" w:hAnsi="Arial Narrow" w:cs="Arial"/>
                <w:color w:val="FF0000"/>
                <w:sz w:val="20"/>
                <w:szCs w:val="20"/>
              </w:rPr>
            </w:pPr>
            <w:r w:rsidRPr="00566002">
              <w:rPr>
                <w:rFonts w:ascii="Arial Narrow" w:hAnsi="Arial Narrow" w:cs="Arial"/>
                <w:sz w:val="20"/>
                <w:szCs w:val="20"/>
              </w:rPr>
              <w:t>AAP lodged an appeal against the limit when the postponement was granted. In the appeal, it was requested that the limit be replaced with a monthly average of 57 000 mg/Nm</w:t>
            </w:r>
            <w:r w:rsidRPr="00566002">
              <w:rPr>
                <w:rFonts w:ascii="Arial" w:hAnsi="Arial" w:cs="Arial"/>
                <w:sz w:val="20"/>
                <w:szCs w:val="20"/>
              </w:rPr>
              <w:t>ᶟ</w:t>
            </w:r>
            <w:r w:rsidRPr="00566002">
              <w:rPr>
                <w:rFonts w:ascii="Arial Narrow" w:hAnsi="Arial Narrow" w:cs="Arial"/>
                <w:sz w:val="20"/>
                <w:szCs w:val="20"/>
              </w:rPr>
              <w:t xml:space="preserve"> SO</w:t>
            </w:r>
            <w:r w:rsidRPr="00566002">
              <w:rPr>
                <w:rFonts w:ascii="Cambria Math" w:hAnsi="Cambria Math" w:cs="Cambria Math"/>
                <w:sz w:val="20"/>
                <w:szCs w:val="20"/>
              </w:rPr>
              <w:t>₂</w:t>
            </w:r>
            <w:r w:rsidRPr="00566002">
              <w:rPr>
                <w:rFonts w:ascii="Arial Narrow" w:hAnsi="Arial Narrow" w:cs="Arial"/>
                <w:sz w:val="20"/>
                <w:szCs w:val="20"/>
              </w:rPr>
              <w:t>. On 31 May 2016, AAP was informed that its appeal was dismissed. Subsequently, an application was made in the high court for an order directing that AAP is not required to comply with the limit pending the final determination of judicial review proceedings and this is still pending.</w:t>
            </w:r>
          </w:p>
        </w:tc>
        <w:tc>
          <w:tcPr>
            <w:tcW w:w="3395" w:type="dxa"/>
          </w:tcPr>
          <w:p w:rsidR="00F03E15" w:rsidRPr="008A4BF6" w:rsidRDefault="00F03E15" w:rsidP="004E53B6">
            <w:pPr>
              <w:contextualSpacing/>
              <w:jc w:val="both"/>
              <w:rPr>
                <w:rFonts w:ascii="Arial Narrow" w:hAnsi="Arial Narrow" w:cs="Arial"/>
                <w:sz w:val="20"/>
                <w:szCs w:val="20"/>
              </w:rPr>
            </w:pPr>
            <w:r w:rsidRPr="00566002">
              <w:rPr>
                <w:rFonts w:ascii="Arial Narrow" w:hAnsi="Arial Narrow" w:cs="Arial"/>
                <w:sz w:val="20"/>
                <w:szCs w:val="20"/>
              </w:rPr>
              <w:t>Polokwane Smelter’s SO2 limit is granted until 2020 at 30 000mg/Nm3, however AAP has appealed this limit and has proposed a higher limit of 57 000mg/Nm3 as Polokwane smelter is emitting above this up to 51 204mg/Nm3.</w:t>
            </w:r>
          </w:p>
        </w:tc>
      </w:tr>
    </w:tbl>
    <w:p w:rsidR="00AD75FE" w:rsidRDefault="00AD75FE"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AD75FE" w:rsidRDefault="00B9061C" w:rsidP="000B7092">
      <w:pPr>
        <w:spacing w:line="360" w:lineRule="auto"/>
        <w:contextualSpacing/>
        <w:jc w:val="both"/>
        <w:rPr>
          <w:rFonts w:ascii="Arial Narrow" w:hAnsi="Arial Narrow" w:cs="Arial"/>
          <w:b/>
        </w:rPr>
      </w:pPr>
      <w:r>
        <w:rPr>
          <w:rFonts w:ascii="Arial Narrow" w:hAnsi="Arial Narrow" w:cs="Arial"/>
          <w:b/>
        </w:rPr>
        <w:t xml:space="preserve">TABLE 7: </w:t>
      </w:r>
      <w:r w:rsidR="00B12DA7" w:rsidRPr="00B12DA7">
        <w:rPr>
          <w:rFonts w:ascii="Arial Narrow" w:hAnsi="Arial Narrow" w:cs="Arial"/>
          <w:b/>
        </w:rPr>
        <w:t>Progress repor</w:t>
      </w:r>
      <w:r w:rsidR="00B12DA7">
        <w:rPr>
          <w:rFonts w:ascii="Arial Narrow" w:hAnsi="Arial Narrow" w:cs="Arial"/>
          <w:b/>
        </w:rPr>
        <w:t xml:space="preserve">t for </w:t>
      </w:r>
      <w:r w:rsidR="00EB2CBC">
        <w:rPr>
          <w:rFonts w:ascii="Arial Narrow" w:hAnsi="Arial Narrow" w:cs="Arial"/>
          <w:b/>
        </w:rPr>
        <w:t>SASOL/</w:t>
      </w:r>
      <w:r w:rsidR="00B12DA7">
        <w:rPr>
          <w:rFonts w:ascii="Arial Narrow" w:hAnsi="Arial Narrow" w:cs="Arial"/>
          <w:b/>
        </w:rPr>
        <w:t>NATREF</w:t>
      </w:r>
    </w:p>
    <w:tbl>
      <w:tblPr>
        <w:tblpPr w:leftFromText="180" w:rightFromText="180" w:vertAnchor="text"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679"/>
        <w:gridCol w:w="1810"/>
        <w:gridCol w:w="1908"/>
        <w:gridCol w:w="3605"/>
        <w:gridCol w:w="3395"/>
      </w:tblGrid>
      <w:tr w:rsidR="00B12DA7" w:rsidRPr="00400EA9" w:rsidTr="00400EA9">
        <w:tc>
          <w:tcPr>
            <w:tcW w:w="1783" w:type="dxa"/>
            <w:shd w:val="clear" w:color="auto" w:fill="D9D9D9" w:themeFill="background1" w:themeFillShade="D9"/>
          </w:tcPr>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NAME OF FACILITY</w:t>
            </w:r>
          </w:p>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NATREF</w:t>
            </w:r>
          </w:p>
        </w:tc>
        <w:tc>
          <w:tcPr>
            <w:tcW w:w="1679" w:type="dxa"/>
            <w:shd w:val="clear" w:color="auto" w:fill="D9D9D9" w:themeFill="background1" w:themeFillShade="D9"/>
          </w:tcPr>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 xml:space="preserve">Postponement period granted </w:t>
            </w:r>
          </w:p>
        </w:tc>
        <w:tc>
          <w:tcPr>
            <w:tcW w:w="1810" w:type="dxa"/>
            <w:shd w:val="clear" w:color="auto" w:fill="D9D9D9" w:themeFill="background1" w:themeFillShade="D9"/>
          </w:tcPr>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LIMIT GRANTED wrt pollutant/s</w:t>
            </w:r>
          </w:p>
        </w:tc>
        <w:tc>
          <w:tcPr>
            <w:tcW w:w="1908" w:type="dxa"/>
            <w:shd w:val="clear" w:color="auto" w:fill="D9D9D9" w:themeFill="background1" w:themeFillShade="D9"/>
          </w:tcPr>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ACTIVITY TO MEET COMPLIANCE AND TARGET DATE</w:t>
            </w:r>
          </w:p>
        </w:tc>
        <w:tc>
          <w:tcPr>
            <w:tcW w:w="3605" w:type="dxa"/>
            <w:shd w:val="clear" w:color="auto" w:fill="D9D9D9" w:themeFill="background1" w:themeFillShade="D9"/>
          </w:tcPr>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PROGRESS</w:t>
            </w:r>
          </w:p>
        </w:tc>
        <w:tc>
          <w:tcPr>
            <w:tcW w:w="3395" w:type="dxa"/>
            <w:shd w:val="clear" w:color="auto" w:fill="D9D9D9" w:themeFill="background1" w:themeFillShade="D9"/>
          </w:tcPr>
          <w:p w:rsidR="00B12DA7" w:rsidRPr="00400EA9" w:rsidRDefault="00B12DA7" w:rsidP="00B12DA7">
            <w:pPr>
              <w:contextualSpacing/>
              <w:jc w:val="both"/>
              <w:rPr>
                <w:rFonts w:ascii="Arial" w:hAnsi="Arial" w:cs="Arial"/>
                <w:b/>
                <w:sz w:val="20"/>
                <w:szCs w:val="20"/>
              </w:rPr>
            </w:pPr>
            <w:r w:rsidRPr="00400EA9">
              <w:rPr>
                <w:rFonts w:ascii="Arial" w:hAnsi="Arial" w:cs="Arial"/>
                <w:b/>
                <w:sz w:val="20"/>
                <w:szCs w:val="20"/>
              </w:rPr>
              <w:t>COMMENT</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Sub-category 2.1</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 xml:space="preserve">(Combustion Installations – Furnaces; heaters and </w:t>
            </w:r>
            <w:r w:rsidRPr="00400EA9">
              <w:rPr>
                <w:rFonts w:ascii="Arial" w:hAnsi="Arial" w:cs="Arial"/>
                <w:sz w:val="20"/>
                <w:szCs w:val="20"/>
              </w:rPr>
              <w:lastRenderedPageBreak/>
              <w:t>boilers)</w:t>
            </w:r>
          </w:p>
        </w:tc>
        <w:tc>
          <w:tcPr>
            <w:tcW w:w="1679"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lastRenderedPageBreak/>
              <w:t>1 April 2015-31 March 2018</w:t>
            </w:r>
          </w:p>
        </w:tc>
        <w:tc>
          <w:tcPr>
            <w:tcW w:w="1810"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PM – 180 mg/Nm3</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SO</w:t>
            </w:r>
            <w:r w:rsidRPr="00400EA9">
              <w:rPr>
                <w:rFonts w:ascii="Arial" w:hAnsi="Arial" w:cs="Arial"/>
                <w:sz w:val="20"/>
                <w:szCs w:val="20"/>
                <w:vertAlign w:val="subscript"/>
              </w:rPr>
              <w:t>2</w:t>
            </w:r>
            <w:r w:rsidRPr="00400EA9">
              <w:rPr>
                <w:rFonts w:ascii="Arial" w:hAnsi="Arial" w:cs="Arial"/>
                <w:sz w:val="20"/>
                <w:szCs w:val="20"/>
              </w:rPr>
              <w:t xml:space="preserve"> – 1200 mg/Nm3</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 xml:space="preserve">NOx – 520 </w:t>
            </w:r>
            <w:r w:rsidRPr="00400EA9">
              <w:rPr>
                <w:rFonts w:ascii="Arial" w:hAnsi="Arial" w:cs="Arial"/>
                <w:sz w:val="20"/>
                <w:szCs w:val="20"/>
              </w:rPr>
              <w:lastRenderedPageBreak/>
              <w:t>mg/Nm3</w:t>
            </w:r>
          </w:p>
        </w:tc>
        <w:tc>
          <w:tcPr>
            <w:tcW w:w="1908" w:type="dxa"/>
          </w:tcPr>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rPr>
              <w:lastRenderedPageBreak/>
              <w:t xml:space="preserve">Retrofit- </w:t>
            </w:r>
          </w:p>
          <w:p w:rsidR="00B12DA7" w:rsidRPr="00400EA9" w:rsidRDefault="00B12DA7" w:rsidP="00B12DA7">
            <w:pPr>
              <w:spacing w:line="360" w:lineRule="auto"/>
              <w:contextualSpacing/>
              <w:jc w:val="both"/>
              <w:rPr>
                <w:rFonts w:ascii="Arial" w:hAnsi="Arial" w:cs="Arial"/>
                <w:sz w:val="20"/>
                <w:szCs w:val="20"/>
              </w:rPr>
            </w:pPr>
          </w:p>
        </w:tc>
        <w:tc>
          <w:tcPr>
            <w:tcW w:w="3605" w:type="dxa"/>
          </w:tcPr>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lang w:val="en-ZA"/>
              </w:rPr>
              <w:t xml:space="preserve">Installation of sample ports at the defined points of compliance was completed in September 2016. Initial measurements were taken during September 2016. The second test </w:t>
            </w:r>
            <w:r w:rsidRPr="00400EA9">
              <w:rPr>
                <w:rFonts w:ascii="Arial" w:hAnsi="Arial" w:cs="Arial"/>
                <w:sz w:val="20"/>
                <w:szCs w:val="20"/>
                <w:lang w:val="en-ZA"/>
              </w:rPr>
              <w:lastRenderedPageBreak/>
              <w:t>was conducted during December 2016 and the third party has confirmed it will provide the monitoring report to Natref in January 2017. The third test is planned for February 2017. A more conclusive position on baseline emission concentrations will be based on the comparative results of the three tests.</w:t>
            </w:r>
          </w:p>
        </w:tc>
        <w:tc>
          <w:tcPr>
            <w:tcW w:w="3395" w:type="dxa"/>
          </w:tcPr>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lang w:val="en-ZA"/>
              </w:rPr>
              <w:lastRenderedPageBreak/>
              <w:t>On track</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lastRenderedPageBreak/>
              <w:t>Sub-category 2.1</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(Combustion Installations - Vacuum off-gas furnace)</w:t>
            </w:r>
          </w:p>
        </w:tc>
        <w:tc>
          <w:tcPr>
            <w:tcW w:w="1679"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1 April 2015-31 March 2018</w:t>
            </w:r>
          </w:p>
        </w:tc>
        <w:tc>
          <w:tcPr>
            <w:tcW w:w="1810"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PM – 180 mg/Nm3</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SO2 – 1200 mg/Nm3</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NOx – 520 mg/Nm3</w:t>
            </w:r>
          </w:p>
        </w:tc>
        <w:tc>
          <w:tcPr>
            <w:tcW w:w="1908" w:type="dxa"/>
          </w:tcPr>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rPr>
              <w:t xml:space="preserve">Retrofit- </w:t>
            </w:r>
          </w:p>
          <w:p w:rsidR="00B12DA7" w:rsidRPr="00400EA9" w:rsidRDefault="00B12DA7" w:rsidP="00B12DA7">
            <w:pPr>
              <w:spacing w:line="360" w:lineRule="auto"/>
              <w:contextualSpacing/>
              <w:jc w:val="both"/>
              <w:rPr>
                <w:rFonts w:ascii="Arial" w:hAnsi="Arial" w:cs="Arial"/>
                <w:sz w:val="20"/>
                <w:szCs w:val="20"/>
              </w:rPr>
            </w:pPr>
          </w:p>
        </w:tc>
        <w:tc>
          <w:tcPr>
            <w:tcW w:w="360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Technology screening and solution development is currently in progress, following which the project will enter the engineering phase on the selected solution.</w:t>
            </w:r>
          </w:p>
        </w:tc>
        <w:tc>
          <w:tcPr>
            <w:tcW w:w="3395" w:type="dxa"/>
          </w:tcPr>
          <w:p w:rsidR="00B12DA7" w:rsidRPr="00400EA9" w:rsidRDefault="00B12DA7" w:rsidP="00B12DA7">
            <w:pPr>
              <w:spacing w:line="360" w:lineRule="auto"/>
              <w:contextualSpacing/>
              <w:jc w:val="both"/>
              <w:rPr>
                <w:rFonts w:ascii="Arial" w:hAnsi="Arial" w:cs="Arial"/>
                <w:sz w:val="20"/>
                <w:szCs w:val="20"/>
              </w:rPr>
            </w:pP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Sub-category 2.2</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(Catalytic Cracking Unit - FCC)</w:t>
            </w:r>
          </w:p>
        </w:tc>
        <w:tc>
          <w:tcPr>
            <w:tcW w:w="1679"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1 April 2015-31 March 2018</w:t>
            </w:r>
          </w:p>
        </w:tc>
        <w:tc>
          <w:tcPr>
            <w:tcW w:w="1810" w:type="dxa"/>
          </w:tcPr>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lang w:val="en-ZA"/>
              </w:rPr>
              <w:t>PM – 180 mg/Nm3</w:t>
            </w:r>
          </w:p>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lang w:val="en-ZA"/>
              </w:rPr>
              <w:t>SO2 – 1200 mg/Nm3</w:t>
            </w:r>
          </w:p>
          <w:p w:rsidR="00B12DA7" w:rsidRPr="00400EA9" w:rsidRDefault="00B12DA7" w:rsidP="00B12DA7">
            <w:pPr>
              <w:spacing w:line="360" w:lineRule="auto"/>
              <w:contextualSpacing/>
              <w:jc w:val="both"/>
              <w:rPr>
                <w:rFonts w:ascii="Arial" w:hAnsi="Arial" w:cs="Arial"/>
                <w:sz w:val="20"/>
                <w:szCs w:val="20"/>
                <w:lang w:val="en-ZA"/>
              </w:rPr>
            </w:pPr>
            <w:r w:rsidRPr="00400EA9">
              <w:rPr>
                <w:rFonts w:ascii="Arial" w:hAnsi="Arial" w:cs="Arial"/>
                <w:sz w:val="20"/>
                <w:szCs w:val="20"/>
                <w:lang w:val="en-ZA"/>
              </w:rPr>
              <w:t>NOx – 520 mg/Nm3</w:t>
            </w:r>
          </w:p>
        </w:tc>
        <w:tc>
          <w:tcPr>
            <w:tcW w:w="1908"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 xml:space="preserve">Retrofit- </w:t>
            </w:r>
          </w:p>
        </w:tc>
        <w:tc>
          <w:tcPr>
            <w:tcW w:w="360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ESP technology was chosen as the optimal solution to meet existing and new plant standards. The feasibility study has been completed and business and project governance reviews were conducted from August to November 2016. The front end engineering design is scheduled to start in May 2017 after a competitive bidding process.</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The project is currently on track.</w:t>
            </w:r>
          </w:p>
        </w:tc>
        <w:tc>
          <w:tcPr>
            <w:tcW w:w="339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On track</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lastRenderedPageBreak/>
              <w:t>Sub-category 2.3</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(Sulphur Recovery Unit - SRU</w:t>
            </w:r>
          </w:p>
        </w:tc>
        <w:tc>
          <w:tcPr>
            <w:tcW w:w="1679"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1 April 2015-31 March 2020</w:t>
            </w:r>
          </w:p>
        </w:tc>
        <w:tc>
          <w:tcPr>
            <w:tcW w:w="1810" w:type="dxa"/>
          </w:tcPr>
          <w:p w:rsidR="00B12DA7" w:rsidRPr="00400EA9" w:rsidRDefault="00B12DA7" w:rsidP="00B12DA7">
            <w:pPr>
              <w:spacing w:line="360" w:lineRule="auto"/>
              <w:contextualSpacing/>
              <w:jc w:val="both"/>
              <w:rPr>
                <w:rFonts w:ascii="Arial" w:hAnsi="Arial" w:cs="Arial"/>
                <w:sz w:val="20"/>
                <w:szCs w:val="20"/>
                <w:lang w:val="en-ZA"/>
              </w:rPr>
            </w:pPr>
          </w:p>
        </w:tc>
        <w:tc>
          <w:tcPr>
            <w:tcW w:w="1908" w:type="dxa"/>
          </w:tcPr>
          <w:p w:rsidR="00B12DA7" w:rsidRPr="00400EA9" w:rsidRDefault="00B12DA7" w:rsidP="00B12DA7">
            <w:pPr>
              <w:spacing w:line="360" w:lineRule="auto"/>
              <w:contextualSpacing/>
              <w:jc w:val="both"/>
              <w:rPr>
                <w:rFonts w:ascii="Arial" w:hAnsi="Arial" w:cs="Arial"/>
                <w:sz w:val="20"/>
                <w:szCs w:val="20"/>
              </w:rPr>
            </w:pPr>
          </w:p>
        </w:tc>
        <w:tc>
          <w:tcPr>
            <w:tcW w:w="360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The pre-feasibility study has been concluded. Evaluation of alternative technical interventions is currently in progress in supplement to the pre-feasibility study. The project is on track to meet the standards.</w:t>
            </w:r>
          </w:p>
        </w:tc>
        <w:tc>
          <w:tcPr>
            <w:tcW w:w="339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On track</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Sub-category 2.4</w:t>
            </w:r>
          </w:p>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(Storage &amp; Handling of Petroleum Products – Tank farm)</w:t>
            </w:r>
          </w:p>
        </w:tc>
        <w:tc>
          <w:tcPr>
            <w:tcW w:w="1679"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1 April 2015-31 March 2018</w:t>
            </w:r>
          </w:p>
        </w:tc>
        <w:tc>
          <w:tcPr>
            <w:tcW w:w="1810" w:type="dxa"/>
          </w:tcPr>
          <w:p w:rsidR="00B12DA7" w:rsidRPr="00400EA9" w:rsidRDefault="00B12DA7" w:rsidP="00B12DA7">
            <w:pPr>
              <w:spacing w:line="360" w:lineRule="auto"/>
              <w:contextualSpacing/>
              <w:jc w:val="both"/>
              <w:rPr>
                <w:rFonts w:ascii="Arial" w:hAnsi="Arial" w:cs="Arial"/>
                <w:sz w:val="20"/>
                <w:szCs w:val="20"/>
                <w:lang w:val="en-ZA"/>
              </w:rPr>
            </w:pPr>
          </w:p>
        </w:tc>
        <w:tc>
          <w:tcPr>
            <w:tcW w:w="1908" w:type="dxa"/>
          </w:tcPr>
          <w:p w:rsidR="00B12DA7" w:rsidRPr="00400EA9" w:rsidRDefault="00B12DA7" w:rsidP="00B12DA7">
            <w:pPr>
              <w:spacing w:line="360" w:lineRule="auto"/>
              <w:contextualSpacing/>
              <w:jc w:val="both"/>
              <w:rPr>
                <w:rFonts w:ascii="Arial" w:hAnsi="Arial" w:cs="Arial"/>
                <w:sz w:val="20"/>
                <w:szCs w:val="20"/>
              </w:rPr>
            </w:pPr>
          </w:p>
        </w:tc>
        <w:tc>
          <w:tcPr>
            <w:tcW w:w="360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The postponement application indicated that Natref would comply subject to implementation of the Clean Fuels 2 roadmap. Natref initially aligned its technology selection with the results of the detailed investigations undertaken by Secunda Synfuels Operations using Evapostop floating disc technology and had, through its own technology review, concluded that the Evapostop discs is the optimal solution to meet the Category 2.4 requirements.</w:t>
            </w:r>
          </w:p>
        </w:tc>
        <w:tc>
          <w:tcPr>
            <w:tcW w:w="3395" w:type="dxa"/>
          </w:tcPr>
          <w:p w:rsidR="00B12DA7" w:rsidRPr="00400EA9" w:rsidRDefault="00B12DA7" w:rsidP="00B12DA7">
            <w:pPr>
              <w:spacing w:line="360" w:lineRule="auto"/>
              <w:contextualSpacing/>
              <w:jc w:val="both"/>
              <w:rPr>
                <w:rFonts w:ascii="Arial" w:hAnsi="Arial" w:cs="Arial"/>
                <w:sz w:val="20"/>
                <w:szCs w:val="20"/>
              </w:rPr>
            </w:pPr>
            <w:r w:rsidRPr="00400EA9">
              <w:rPr>
                <w:rFonts w:ascii="Arial" w:hAnsi="Arial" w:cs="Arial"/>
                <w:sz w:val="20"/>
                <w:szCs w:val="20"/>
              </w:rPr>
              <w:t>However, pending support from the DEA on Evapostop discs as a long-term alternative technology, Natref is also investigating the feasibility of the installation of the MES prescribed technologies.</w:t>
            </w:r>
          </w:p>
        </w:tc>
      </w:tr>
    </w:tbl>
    <w:p w:rsidR="00B12DA7" w:rsidRDefault="00B12DA7" w:rsidP="000B7092">
      <w:pPr>
        <w:spacing w:line="360" w:lineRule="auto"/>
        <w:contextualSpacing/>
        <w:jc w:val="both"/>
        <w:rPr>
          <w:rFonts w:ascii="Arial Narrow" w:hAnsi="Arial Narrow" w:cs="Arial"/>
          <w:b/>
        </w:rPr>
      </w:pPr>
    </w:p>
    <w:p w:rsidR="00B12DA7" w:rsidRDefault="00B12DA7" w:rsidP="000B7092">
      <w:pPr>
        <w:spacing w:line="360" w:lineRule="auto"/>
        <w:contextualSpacing/>
        <w:jc w:val="both"/>
        <w:rPr>
          <w:rFonts w:ascii="Arial Narrow" w:hAnsi="Arial Narrow" w:cs="Arial"/>
          <w:b/>
        </w:rPr>
      </w:pPr>
    </w:p>
    <w:p w:rsidR="00C51E7F" w:rsidRDefault="00C51E7F" w:rsidP="00B12DA7">
      <w:pPr>
        <w:spacing w:line="360" w:lineRule="auto"/>
        <w:contextualSpacing/>
        <w:jc w:val="both"/>
        <w:rPr>
          <w:rFonts w:ascii="Arial Narrow" w:hAnsi="Arial Narrow" w:cs="Arial"/>
          <w:b/>
        </w:rPr>
      </w:pPr>
    </w:p>
    <w:p w:rsidR="00B12DA7" w:rsidRPr="00B12DA7" w:rsidRDefault="00B12DA7" w:rsidP="00B12DA7">
      <w:pPr>
        <w:spacing w:line="360" w:lineRule="auto"/>
        <w:contextualSpacing/>
        <w:jc w:val="both"/>
        <w:rPr>
          <w:rFonts w:ascii="Arial Narrow" w:hAnsi="Arial Narrow" w:cs="Arial"/>
          <w:b/>
        </w:rPr>
      </w:pPr>
      <w:r w:rsidRPr="00B12DA7">
        <w:rPr>
          <w:rFonts w:ascii="Arial Narrow" w:hAnsi="Arial Narrow" w:cs="Arial"/>
          <w:b/>
        </w:rPr>
        <w:t>TABLE 7: Progress repor</w:t>
      </w:r>
      <w:r>
        <w:rPr>
          <w:rFonts w:ascii="Arial Narrow" w:hAnsi="Arial Narrow" w:cs="Arial"/>
          <w:b/>
        </w:rPr>
        <w:t>t for SASOL</w:t>
      </w:r>
      <w:r w:rsidR="00EB2CBC">
        <w:rPr>
          <w:rFonts w:ascii="Arial Narrow" w:hAnsi="Arial Narrow" w:cs="Arial"/>
          <w:b/>
        </w:rPr>
        <w:t xml:space="preserve"> SECUNDA</w:t>
      </w:r>
    </w:p>
    <w:p w:rsidR="00B12DA7" w:rsidRDefault="00B12DA7" w:rsidP="000B7092">
      <w:pPr>
        <w:spacing w:line="360" w:lineRule="auto"/>
        <w:contextualSpacing/>
        <w:jc w:val="both"/>
        <w:rPr>
          <w:rFonts w:ascii="Arial Narrow" w:hAnsi="Arial Narrow" w:cs="Arial"/>
          <w:b/>
        </w:rPr>
      </w:pPr>
    </w:p>
    <w:tbl>
      <w:tblPr>
        <w:tblpPr w:leftFromText="180" w:rightFromText="180" w:vertAnchor="text"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679"/>
        <w:gridCol w:w="1810"/>
        <w:gridCol w:w="1908"/>
        <w:gridCol w:w="3605"/>
        <w:gridCol w:w="3395"/>
      </w:tblGrid>
      <w:tr w:rsidR="00B12DA7" w:rsidRPr="00400EA9" w:rsidTr="00400EA9">
        <w:tc>
          <w:tcPr>
            <w:tcW w:w="1783" w:type="dxa"/>
            <w:shd w:val="clear" w:color="auto" w:fill="D9D9D9" w:themeFill="background1" w:themeFillShade="D9"/>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t xml:space="preserve">NAME OF </w:t>
            </w:r>
            <w:r w:rsidRPr="00400EA9">
              <w:rPr>
                <w:rFonts w:ascii="Arial" w:hAnsi="Arial" w:cs="Arial"/>
                <w:b/>
                <w:sz w:val="18"/>
                <w:szCs w:val="18"/>
              </w:rPr>
              <w:lastRenderedPageBreak/>
              <w:t>FACILITY</w:t>
            </w:r>
          </w:p>
          <w:p w:rsidR="00B12DA7" w:rsidRPr="00400EA9" w:rsidRDefault="00EB2CBC" w:rsidP="00B12DA7">
            <w:pPr>
              <w:spacing w:line="360" w:lineRule="auto"/>
              <w:contextualSpacing/>
              <w:jc w:val="both"/>
              <w:rPr>
                <w:rFonts w:ascii="Arial" w:hAnsi="Arial" w:cs="Arial"/>
                <w:b/>
                <w:sz w:val="18"/>
                <w:szCs w:val="18"/>
              </w:rPr>
            </w:pPr>
            <w:r w:rsidRPr="00400EA9">
              <w:rPr>
                <w:rFonts w:ascii="Arial" w:hAnsi="Arial" w:cs="Arial"/>
                <w:b/>
                <w:sz w:val="18"/>
                <w:szCs w:val="18"/>
              </w:rPr>
              <w:t>SASOL-SECUNDA</w:t>
            </w:r>
          </w:p>
        </w:tc>
        <w:tc>
          <w:tcPr>
            <w:tcW w:w="1679" w:type="dxa"/>
            <w:shd w:val="clear" w:color="auto" w:fill="D9D9D9" w:themeFill="background1" w:themeFillShade="D9"/>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lastRenderedPageBreak/>
              <w:t xml:space="preserve">Postponement </w:t>
            </w:r>
            <w:r w:rsidRPr="00400EA9">
              <w:rPr>
                <w:rFonts w:ascii="Arial" w:hAnsi="Arial" w:cs="Arial"/>
                <w:b/>
                <w:sz w:val="18"/>
                <w:szCs w:val="18"/>
              </w:rPr>
              <w:lastRenderedPageBreak/>
              <w:t xml:space="preserve">period granted </w:t>
            </w:r>
          </w:p>
        </w:tc>
        <w:tc>
          <w:tcPr>
            <w:tcW w:w="1810" w:type="dxa"/>
            <w:shd w:val="clear" w:color="auto" w:fill="D9D9D9" w:themeFill="background1" w:themeFillShade="D9"/>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lastRenderedPageBreak/>
              <w:t xml:space="preserve">LIMIT GRANTED </w:t>
            </w:r>
            <w:r w:rsidRPr="00400EA9">
              <w:rPr>
                <w:rFonts w:ascii="Arial" w:hAnsi="Arial" w:cs="Arial"/>
                <w:b/>
                <w:sz w:val="18"/>
                <w:szCs w:val="18"/>
              </w:rPr>
              <w:lastRenderedPageBreak/>
              <w:t>wrt pollutant/s</w:t>
            </w:r>
          </w:p>
        </w:tc>
        <w:tc>
          <w:tcPr>
            <w:tcW w:w="1908" w:type="dxa"/>
            <w:shd w:val="clear" w:color="auto" w:fill="D9D9D9" w:themeFill="background1" w:themeFillShade="D9"/>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lastRenderedPageBreak/>
              <w:t xml:space="preserve">ACTIVITY TO MEET </w:t>
            </w:r>
            <w:r w:rsidRPr="00400EA9">
              <w:rPr>
                <w:rFonts w:ascii="Arial" w:hAnsi="Arial" w:cs="Arial"/>
                <w:b/>
                <w:sz w:val="18"/>
                <w:szCs w:val="18"/>
              </w:rPr>
              <w:lastRenderedPageBreak/>
              <w:t>COMPLIANCE AND TARGET DATE</w:t>
            </w:r>
          </w:p>
        </w:tc>
        <w:tc>
          <w:tcPr>
            <w:tcW w:w="3605" w:type="dxa"/>
            <w:shd w:val="clear" w:color="auto" w:fill="D9D9D9" w:themeFill="background1" w:themeFillShade="D9"/>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lastRenderedPageBreak/>
              <w:t>PROGRESS</w:t>
            </w:r>
          </w:p>
        </w:tc>
        <w:tc>
          <w:tcPr>
            <w:tcW w:w="3395" w:type="dxa"/>
            <w:shd w:val="clear" w:color="auto" w:fill="D9D9D9" w:themeFill="background1" w:themeFillShade="D9"/>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t>COMMENT</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lastRenderedPageBreak/>
              <w:t>Sub-category 1.1</w:t>
            </w: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(Steam station 1)</w:t>
            </w:r>
          </w:p>
        </w:tc>
        <w:tc>
          <w:tcPr>
            <w:tcW w:w="1679"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2020</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2025</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2020</w:t>
            </w:r>
          </w:p>
          <w:p w:rsidR="00B12DA7" w:rsidRPr="00400EA9" w:rsidRDefault="00B12DA7" w:rsidP="00B12DA7">
            <w:pPr>
              <w:spacing w:line="360" w:lineRule="auto"/>
              <w:contextualSpacing/>
              <w:jc w:val="both"/>
              <w:rPr>
                <w:rFonts w:ascii="Arial" w:hAnsi="Arial" w:cs="Arial"/>
                <w:sz w:val="18"/>
                <w:szCs w:val="18"/>
              </w:rPr>
            </w:pPr>
          </w:p>
        </w:tc>
        <w:tc>
          <w:tcPr>
            <w:tcW w:w="1810"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PM – 165 mg/Nm3</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SO2 – 2000 mg/Nm3</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NOx – 1450 mg/Nm3</w:t>
            </w:r>
          </w:p>
        </w:tc>
        <w:tc>
          <w:tcPr>
            <w:tcW w:w="1908"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rPr>
              <w:t xml:space="preserve">Retrofit- </w:t>
            </w:r>
          </w:p>
          <w:p w:rsidR="00B12DA7" w:rsidRPr="00400EA9" w:rsidRDefault="00B12DA7" w:rsidP="00B12DA7">
            <w:pPr>
              <w:spacing w:line="360" w:lineRule="auto"/>
              <w:contextualSpacing/>
              <w:jc w:val="both"/>
              <w:rPr>
                <w:rFonts w:ascii="Arial" w:hAnsi="Arial" w:cs="Arial"/>
                <w:sz w:val="18"/>
                <w:szCs w:val="18"/>
              </w:rPr>
            </w:pPr>
          </w:p>
        </w:tc>
        <w:tc>
          <w:tcPr>
            <w:tcW w:w="3605"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A project team is considering various technology options to meet the Minimum Emissions Standards including point source abatement and shut down scenarios.</w:t>
            </w:r>
          </w:p>
          <w:p w:rsidR="00B12DA7" w:rsidRPr="00400EA9" w:rsidRDefault="00B12DA7" w:rsidP="00B12DA7">
            <w:pPr>
              <w:spacing w:line="360" w:lineRule="auto"/>
              <w:contextualSpacing/>
              <w:jc w:val="both"/>
              <w:rPr>
                <w:rFonts w:ascii="Arial" w:hAnsi="Arial" w:cs="Arial"/>
                <w:sz w:val="18"/>
                <w:szCs w:val="18"/>
                <w:lang w:val="en-ZA"/>
              </w:rPr>
            </w:pPr>
          </w:p>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Technical work is ongoing to confirm practical capital expenditure and operational solutions to sustainably improve point source emissions and ambient impacts without unintended downstream socioeconomic implications</w:t>
            </w:r>
          </w:p>
          <w:p w:rsidR="00B12DA7" w:rsidRPr="00400EA9" w:rsidRDefault="00B12DA7" w:rsidP="00B12DA7">
            <w:pPr>
              <w:spacing w:line="360" w:lineRule="auto"/>
              <w:contextualSpacing/>
              <w:jc w:val="both"/>
              <w:rPr>
                <w:rFonts w:ascii="Arial" w:hAnsi="Arial" w:cs="Arial"/>
                <w:sz w:val="18"/>
                <w:szCs w:val="18"/>
                <w:lang w:val="en-ZA"/>
              </w:rPr>
            </w:pPr>
          </w:p>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Further postponements may be required given significant technical challenges in meeting new plant standards by April 2020 – this will be confirmed closer to the time.</w:t>
            </w:r>
          </w:p>
        </w:tc>
        <w:tc>
          <w:tcPr>
            <w:tcW w:w="3395"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Have technical challenges</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Sub-category 1.1</w:t>
            </w: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(Steam station 2)</w:t>
            </w:r>
          </w:p>
        </w:tc>
        <w:tc>
          <w:tcPr>
            <w:tcW w:w="1679"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2020</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2020-31 March 2025</w:t>
            </w:r>
          </w:p>
        </w:tc>
        <w:tc>
          <w:tcPr>
            <w:tcW w:w="1810"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NOx – 1250 mg/Nm3</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SO2 – 1250 mg/Nm3</w:t>
            </w:r>
          </w:p>
        </w:tc>
        <w:tc>
          <w:tcPr>
            <w:tcW w:w="1908"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rPr>
              <w:t xml:space="preserve">Retrofit- </w:t>
            </w:r>
          </w:p>
          <w:p w:rsidR="00B12DA7" w:rsidRPr="00400EA9" w:rsidRDefault="00B12DA7" w:rsidP="00B12DA7">
            <w:pPr>
              <w:spacing w:line="360" w:lineRule="auto"/>
              <w:contextualSpacing/>
              <w:jc w:val="both"/>
              <w:rPr>
                <w:rFonts w:ascii="Arial" w:hAnsi="Arial" w:cs="Arial"/>
                <w:sz w:val="18"/>
                <w:szCs w:val="18"/>
              </w:rPr>
            </w:pPr>
          </w:p>
        </w:tc>
        <w:tc>
          <w:tcPr>
            <w:tcW w:w="3605"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As with PM, a project is being undertaken to investigate the feasibility of solutions like low NOx burner upgrades to meet existing and new plant standards, &lt;750 mg/Nm3.</w:t>
            </w:r>
          </w:p>
          <w:p w:rsidR="00B12DA7" w:rsidRPr="00400EA9" w:rsidRDefault="00B12DA7" w:rsidP="00B12DA7">
            <w:pPr>
              <w:spacing w:line="360" w:lineRule="auto"/>
              <w:contextualSpacing/>
              <w:jc w:val="both"/>
              <w:rPr>
                <w:rFonts w:ascii="Arial" w:hAnsi="Arial" w:cs="Arial"/>
                <w:sz w:val="18"/>
                <w:szCs w:val="18"/>
              </w:rPr>
            </w:pP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 xml:space="preserve">We confirm that technology scans continue to be done via our Technology </w:t>
            </w:r>
            <w:r w:rsidRPr="00400EA9">
              <w:rPr>
                <w:rFonts w:ascii="Arial" w:hAnsi="Arial" w:cs="Arial"/>
                <w:sz w:val="18"/>
                <w:szCs w:val="18"/>
              </w:rPr>
              <w:lastRenderedPageBreak/>
              <w:t>Management team to keep abreast of any new promising and feasible technology developments.</w:t>
            </w:r>
          </w:p>
        </w:tc>
        <w:tc>
          <w:tcPr>
            <w:tcW w:w="3395" w:type="dxa"/>
          </w:tcPr>
          <w:p w:rsidR="00B12DA7" w:rsidRPr="00400EA9" w:rsidRDefault="00B12DA7" w:rsidP="00B12DA7">
            <w:pPr>
              <w:spacing w:line="360" w:lineRule="auto"/>
              <w:contextualSpacing/>
              <w:jc w:val="both"/>
              <w:rPr>
                <w:rFonts w:ascii="Arial" w:hAnsi="Arial" w:cs="Arial"/>
                <w:b/>
                <w:sz w:val="18"/>
                <w:szCs w:val="18"/>
              </w:rPr>
            </w:pP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lastRenderedPageBreak/>
              <w:t>Sub-category 8.1</w:t>
            </w: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(B6930 - High Sulphur pitch incinerator)</w:t>
            </w:r>
          </w:p>
        </w:tc>
        <w:tc>
          <w:tcPr>
            <w:tcW w:w="1679"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2018</w:t>
            </w:r>
          </w:p>
        </w:tc>
        <w:tc>
          <w:tcPr>
            <w:tcW w:w="1810"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Various pollutants</w:t>
            </w:r>
          </w:p>
        </w:tc>
        <w:tc>
          <w:tcPr>
            <w:tcW w:w="1908"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 xml:space="preserve">Retrofit- </w:t>
            </w:r>
          </w:p>
        </w:tc>
        <w:tc>
          <w:tcPr>
            <w:tcW w:w="3605"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Studies on how to comply with the MES continue to progress according to plan and a number of alternatives are being considered.</w:t>
            </w:r>
          </w:p>
        </w:tc>
        <w:tc>
          <w:tcPr>
            <w:tcW w:w="3395" w:type="dxa"/>
          </w:tcPr>
          <w:p w:rsidR="00B12DA7" w:rsidRPr="00400EA9" w:rsidRDefault="00B12DA7" w:rsidP="00B12DA7">
            <w:pPr>
              <w:spacing w:line="360" w:lineRule="auto"/>
              <w:contextualSpacing/>
              <w:jc w:val="both"/>
              <w:rPr>
                <w:rFonts w:ascii="Arial" w:hAnsi="Arial" w:cs="Arial"/>
                <w:b/>
                <w:sz w:val="18"/>
                <w:szCs w:val="18"/>
              </w:rPr>
            </w:pPr>
            <w:r w:rsidRPr="00400EA9">
              <w:rPr>
                <w:rFonts w:ascii="Arial" w:hAnsi="Arial" w:cs="Arial"/>
                <w:b/>
                <w:sz w:val="18"/>
                <w:szCs w:val="18"/>
              </w:rPr>
              <w:t>(Further postponement application to be lodged in 2017)</w:t>
            </w: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Sub-category 8.1</w:t>
            </w: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(B6993 - Spent caustic incinerator)</w:t>
            </w:r>
          </w:p>
        </w:tc>
        <w:tc>
          <w:tcPr>
            <w:tcW w:w="1679"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2018</w:t>
            </w:r>
          </w:p>
        </w:tc>
        <w:tc>
          <w:tcPr>
            <w:tcW w:w="1810"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Various pollutants</w:t>
            </w:r>
          </w:p>
        </w:tc>
        <w:tc>
          <w:tcPr>
            <w:tcW w:w="1908"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Retrofit-</w:t>
            </w:r>
          </w:p>
        </w:tc>
        <w:tc>
          <w:tcPr>
            <w:tcW w:w="3605"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This project is being run in parallel with the project investigating technology options for the high Sulphur pitch incinerator. A number of alternative solutions are being investigated. Although third party waste removal solutions currently appear promising, this solution is dependent on the results of the trial burns.</w:t>
            </w:r>
          </w:p>
        </w:tc>
        <w:tc>
          <w:tcPr>
            <w:tcW w:w="3395" w:type="dxa"/>
          </w:tcPr>
          <w:p w:rsidR="00B12DA7" w:rsidRPr="00400EA9" w:rsidRDefault="00B12DA7" w:rsidP="00B12DA7">
            <w:pPr>
              <w:spacing w:line="360" w:lineRule="auto"/>
              <w:contextualSpacing/>
              <w:jc w:val="both"/>
              <w:rPr>
                <w:rFonts w:ascii="Arial" w:hAnsi="Arial" w:cs="Arial"/>
                <w:b/>
                <w:sz w:val="18"/>
                <w:szCs w:val="18"/>
              </w:rPr>
            </w:pPr>
          </w:p>
        </w:tc>
      </w:tr>
      <w:tr w:rsidR="00B12DA7" w:rsidRPr="00400EA9" w:rsidTr="00400EA9">
        <w:tc>
          <w:tcPr>
            <w:tcW w:w="1783"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Sub-category 8.1</w:t>
            </w:r>
          </w:p>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(B6990 - Heavy end B incinerator)</w:t>
            </w:r>
          </w:p>
        </w:tc>
        <w:tc>
          <w:tcPr>
            <w:tcW w:w="1679"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1 April 2015-31 March 2018</w:t>
            </w:r>
          </w:p>
        </w:tc>
        <w:tc>
          <w:tcPr>
            <w:tcW w:w="1810" w:type="dxa"/>
          </w:tcPr>
          <w:p w:rsidR="00B12DA7" w:rsidRPr="00400EA9" w:rsidRDefault="00B12DA7" w:rsidP="00B12DA7">
            <w:pPr>
              <w:spacing w:line="360" w:lineRule="auto"/>
              <w:contextualSpacing/>
              <w:jc w:val="both"/>
              <w:rPr>
                <w:rFonts w:ascii="Arial" w:hAnsi="Arial" w:cs="Arial"/>
                <w:sz w:val="18"/>
                <w:szCs w:val="18"/>
                <w:lang w:val="en-ZA"/>
              </w:rPr>
            </w:pPr>
            <w:r w:rsidRPr="00400EA9">
              <w:rPr>
                <w:rFonts w:ascii="Arial" w:hAnsi="Arial" w:cs="Arial"/>
                <w:sz w:val="18"/>
                <w:szCs w:val="18"/>
                <w:lang w:val="en-ZA"/>
              </w:rPr>
              <w:t>Various pollutants</w:t>
            </w:r>
          </w:p>
        </w:tc>
        <w:tc>
          <w:tcPr>
            <w:tcW w:w="1908"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Retrofit-</w:t>
            </w:r>
          </w:p>
        </w:tc>
        <w:tc>
          <w:tcPr>
            <w:tcW w:w="3605" w:type="dxa"/>
          </w:tcPr>
          <w:p w:rsidR="00B12DA7" w:rsidRPr="00400EA9" w:rsidRDefault="00B12DA7" w:rsidP="00B12DA7">
            <w:pPr>
              <w:spacing w:line="360" w:lineRule="auto"/>
              <w:contextualSpacing/>
              <w:jc w:val="both"/>
              <w:rPr>
                <w:rFonts w:ascii="Arial" w:hAnsi="Arial" w:cs="Arial"/>
                <w:sz w:val="18"/>
                <w:szCs w:val="18"/>
              </w:rPr>
            </w:pPr>
            <w:r w:rsidRPr="00400EA9">
              <w:rPr>
                <w:rFonts w:ascii="Arial" w:hAnsi="Arial" w:cs="Arial"/>
                <w:sz w:val="18"/>
                <w:szCs w:val="18"/>
              </w:rPr>
              <w:t>As detailed in the initial postponement application, this incinerator faces significant space constraints. The age of the current installed technology is such that retrofitting with abatement equipment is physically impossible. Alternatives are being investigated to meet the existing and new plant standards. A number of alternative solutions are being considered.</w:t>
            </w:r>
          </w:p>
        </w:tc>
        <w:tc>
          <w:tcPr>
            <w:tcW w:w="3395" w:type="dxa"/>
          </w:tcPr>
          <w:p w:rsidR="00B12DA7" w:rsidRPr="00400EA9" w:rsidRDefault="00B12DA7" w:rsidP="00B12DA7">
            <w:pPr>
              <w:spacing w:line="360" w:lineRule="auto"/>
              <w:contextualSpacing/>
              <w:jc w:val="both"/>
              <w:rPr>
                <w:rFonts w:ascii="Arial" w:hAnsi="Arial" w:cs="Arial"/>
                <w:b/>
                <w:sz w:val="18"/>
                <w:szCs w:val="18"/>
              </w:rPr>
            </w:pPr>
          </w:p>
        </w:tc>
      </w:tr>
      <w:tr w:rsidR="00EB2CBC" w:rsidRPr="00400EA9" w:rsidTr="00400EA9">
        <w:tc>
          <w:tcPr>
            <w:tcW w:w="1783" w:type="dxa"/>
          </w:tcPr>
          <w:p w:rsidR="00EB2CBC" w:rsidRPr="00400EA9" w:rsidRDefault="00EB2CBC" w:rsidP="00B12DA7">
            <w:pPr>
              <w:spacing w:line="360" w:lineRule="auto"/>
              <w:contextualSpacing/>
              <w:jc w:val="both"/>
              <w:rPr>
                <w:rFonts w:ascii="Arial" w:hAnsi="Arial" w:cs="Arial"/>
                <w:sz w:val="18"/>
                <w:szCs w:val="18"/>
              </w:rPr>
            </w:pPr>
          </w:p>
        </w:tc>
        <w:tc>
          <w:tcPr>
            <w:tcW w:w="1679" w:type="dxa"/>
          </w:tcPr>
          <w:p w:rsidR="00EB2CBC" w:rsidRPr="00400EA9" w:rsidRDefault="00EB2CBC" w:rsidP="00B12DA7">
            <w:pPr>
              <w:spacing w:line="360" w:lineRule="auto"/>
              <w:contextualSpacing/>
              <w:jc w:val="both"/>
              <w:rPr>
                <w:rFonts w:ascii="Arial" w:hAnsi="Arial" w:cs="Arial"/>
                <w:sz w:val="18"/>
                <w:szCs w:val="18"/>
              </w:rPr>
            </w:pPr>
          </w:p>
        </w:tc>
        <w:tc>
          <w:tcPr>
            <w:tcW w:w="1810" w:type="dxa"/>
          </w:tcPr>
          <w:p w:rsidR="00EB2CBC" w:rsidRPr="00400EA9" w:rsidRDefault="00EB2CBC" w:rsidP="00B12DA7">
            <w:pPr>
              <w:spacing w:line="360" w:lineRule="auto"/>
              <w:contextualSpacing/>
              <w:jc w:val="both"/>
              <w:rPr>
                <w:rFonts w:ascii="Arial" w:hAnsi="Arial" w:cs="Arial"/>
                <w:sz w:val="18"/>
                <w:szCs w:val="18"/>
                <w:lang w:val="en-ZA"/>
              </w:rPr>
            </w:pPr>
          </w:p>
        </w:tc>
        <w:tc>
          <w:tcPr>
            <w:tcW w:w="1908" w:type="dxa"/>
          </w:tcPr>
          <w:p w:rsidR="00EB2CBC" w:rsidRPr="00400EA9" w:rsidRDefault="00EB2CBC" w:rsidP="00B12DA7">
            <w:pPr>
              <w:spacing w:line="360" w:lineRule="auto"/>
              <w:contextualSpacing/>
              <w:jc w:val="both"/>
              <w:rPr>
                <w:rFonts w:ascii="Arial" w:hAnsi="Arial" w:cs="Arial"/>
                <w:sz w:val="18"/>
                <w:szCs w:val="18"/>
              </w:rPr>
            </w:pPr>
          </w:p>
        </w:tc>
        <w:tc>
          <w:tcPr>
            <w:tcW w:w="3605" w:type="dxa"/>
          </w:tcPr>
          <w:p w:rsidR="00EB2CBC" w:rsidRPr="00400EA9" w:rsidRDefault="00EB2CBC" w:rsidP="00B12DA7">
            <w:pPr>
              <w:spacing w:line="360" w:lineRule="auto"/>
              <w:contextualSpacing/>
              <w:jc w:val="both"/>
              <w:rPr>
                <w:rFonts w:ascii="Arial" w:hAnsi="Arial" w:cs="Arial"/>
                <w:sz w:val="18"/>
                <w:szCs w:val="18"/>
              </w:rPr>
            </w:pPr>
          </w:p>
        </w:tc>
        <w:tc>
          <w:tcPr>
            <w:tcW w:w="3395" w:type="dxa"/>
          </w:tcPr>
          <w:p w:rsidR="00EB2CBC" w:rsidRPr="00400EA9" w:rsidRDefault="00EB2CBC" w:rsidP="00B12DA7">
            <w:pPr>
              <w:spacing w:line="360" w:lineRule="auto"/>
              <w:contextualSpacing/>
              <w:jc w:val="both"/>
              <w:rPr>
                <w:rFonts w:ascii="Arial" w:hAnsi="Arial" w:cs="Arial"/>
                <w:b/>
                <w:sz w:val="18"/>
                <w:szCs w:val="18"/>
              </w:rPr>
            </w:pPr>
          </w:p>
        </w:tc>
      </w:tr>
    </w:tbl>
    <w:p w:rsidR="00B12DA7" w:rsidRDefault="00B12DA7" w:rsidP="000B7092">
      <w:pPr>
        <w:spacing w:line="360" w:lineRule="auto"/>
        <w:contextualSpacing/>
        <w:jc w:val="both"/>
        <w:rPr>
          <w:rFonts w:ascii="Arial Narrow" w:hAnsi="Arial Narrow" w:cs="Arial"/>
          <w:b/>
        </w:rPr>
      </w:pPr>
    </w:p>
    <w:p w:rsidR="00200BBF" w:rsidRDefault="00200BBF" w:rsidP="000B7092">
      <w:pPr>
        <w:spacing w:line="360" w:lineRule="auto"/>
        <w:contextualSpacing/>
        <w:jc w:val="both"/>
        <w:rPr>
          <w:rFonts w:ascii="Arial Narrow" w:hAnsi="Arial Narrow" w:cs="Arial"/>
          <w:b/>
        </w:rPr>
      </w:pPr>
    </w:p>
    <w:p w:rsidR="00200BBF" w:rsidRDefault="00200BBF"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400EA9" w:rsidRDefault="00400EA9" w:rsidP="000B7092">
      <w:pPr>
        <w:spacing w:line="360" w:lineRule="auto"/>
        <w:contextualSpacing/>
        <w:jc w:val="both"/>
        <w:rPr>
          <w:rFonts w:ascii="Arial Narrow" w:hAnsi="Arial Narrow" w:cs="Arial"/>
          <w:b/>
        </w:rPr>
      </w:pPr>
    </w:p>
    <w:p w:rsidR="00200BBF" w:rsidRDefault="00200BBF" w:rsidP="000B7092">
      <w:pPr>
        <w:spacing w:line="360" w:lineRule="auto"/>
        <w:contextualSpacing/>
        <w:jc w:val="both"/>
        <w:rPr>
          <w:rFonts w:ascii="Arial Narrow" w:hAnsi="Arial Narrow" w:cs="Arial"/>
          <w:b/>
        </w:rPr>
      </w:pPr>
      <w:r>
        <w:rPr>
          <w:rFonts w:ascii="Arial Narrow" w:hAnsi="Arial Narrow" w:cs="Arial"/>
          <w:b/>
        </w:rPr>
        <w:t>ANNEXURE C: JUSTIFICATIONS FOR GRANTING POSTPONEMENT DECISIONS</w:t>
      </w:r>
    </w:p>
    <w:p w:rsidR="00200BBF" w:rsidRDefault="00200BBF" w:rsidP="00B72FA2">
      <w:pPr>
        <w:pStyle w:val="Heading3"/>
        <w:keepLines/>
        <w:numPr>
          <w:ilvl w:val="0"/>
          <w:numId w:val="13"/>
        </w:numPr>
        <w:overflowPunct w:val="0"/>
        <w:autoSpaceDE w:val="0"/>
        <w:autoSpaceDN w:val="0"/>
        <w:adjustRightInd w:val="0"/>
        <w:snapToGrid/>
        <w:spacing w:before="200" w:line="360" w:lineRule="auto"/>
        <w:ind w:hanging="502"/>
        <w:jc w:val="both"/>
        <w:textAlignment w:val="baseline"/>
      </w:pPr>
      <w:r>
        <w:t>Anglo America Platinum Mortimer, Rustenburg District Municipality, Northwest Province</w:t>
      </w:r>
    </w:p>
    <w:tbl>
      <w:tblPr>
        <w:tblW w:w="15027" w:type="dxa"/>
        <w:tblInd w:w="-436" w:type="dxa"/>
        <w:tblCellMar>
          <w:left w:w="0" w:type="dxa"/>
          <w:right w:w="0" w:type="dxa"/>
        </w:tblCellMar>
        <w:tblLook w:val="04A0"/>
      </w:tblPr>
      <w:tblGrid>
        <w:gridCol w:w="2804"/>
        <w:gridCol w:w="1733"/>
        <w:gridCol w:w="1701"/>
        <w:gridCol w:w="1701"/>
        <w:gridCol w:w="7088"/>
      </w:tblGrid>
      <w:tr w:rsidR="00200BBF" w:rsidRPr="00400EA9" w:rsidTr="00200BBF">
        <w:trPr>
          <w:trHeight w:val="798"/>
        </w:trPr>
        <w:tc>
          <w:tcPr>
            <w:tcW w:w="28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Section 21 Category</w:t>
            </w:r>
          </w:p>
        </w:tc>
        <w:tc>
          <w:tcPr>
            <w:tcW w:w="173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Appliance</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Postponement Period Sought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200BBF" w:rsidRPr="00400EA9" w:rsidRDefault="00200BBF" w:rsidP="00200BBF">
            <w:pPr>
              <w:jc w:val="center"/>
              <w:rPr>
                <w:rFonts w:ascii="Arial" w:hAnsi="Arial" w:cs="Arial"/>
                <w:b/>
                <w:bCs/>
                <w:sz w:val="20"/>
                <w:szCs w:val="20"/>
              </w:rPr>
            </w:pPr>
            <w:r w:rsidRPr="00400EA9">
              <w:rPr>
                <w:rFonts w:ascii="Arial" w:hAnsi="Arial" w:cs="Arial"/>
                <w:b/>
                <w:bCs/>
                <w:sz w:val="20"/>
                <w:szCs w:val="20"/>
              </w:rPr>
              <w:t>Pollutant</w:t>
            </w:r>
          </w:p>
        </w:tc>
        <w:tc>
          <w:tcPr>
            <w:tcW w:w="7088"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jc w:val="center"/>
              <w:rPr>
                <w:rFonts w:ascii="Arial" w:hAnsi="Arial" w:cs="Arial"/>
                <w:b/>
                <w:bCs/>
                <w:sz w:val="20"/>
                <w:szCs w:val="20"/>
              </w:rPr>
            </w:pPr>
            <w:r w:rsidRPr="00400EA9">
              <w:rPr>
                <w:rFonts w:ascii="Arial" w:hAnsi="Arial" w:cs="Arial"/>
                <w:b/>
                <w:bCs/>
                <w:sz w:val="20"/>
                <w:szCs w:val="20"/>
              </w:rPr>
              <w:t xml:space="preserve">Justification &amp; Reasons for Postponement Application </w:t>
            </w:r>
          </w:p>
        </w:tc>
      </w:tr>
      <w:tr w:rsidR="00200BBF" w:rsidRPr="00400EA9" w:rsidTr="00200BBF">
        <w:trPr>
          <w:trHeight w:val="452"/>
        </w:trPr>
        <w:tc>
          <w:tcPr>
            <w:tcW w:w="280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 xml:space="preserve">Subcategory 4.16: </w:t>
            </w:r>
            <w:r w:rsidRPr="00400EA9">
              <w:rPr>
                <w:rFonts w:ascii="Arial" w:hAnsi="Arial" w:cs="Arial"/>
                <w:sz w:val="20"/>
                <w:szCs w:val="20"/>
              </w:rPr>
              <w:t xml:space="preserve">Smelting &amp; Converting of Sulphide </w:t>
            </w:r>
            <w:r w:rsidRPr="00400EA9">
              <w:rPr>
                <w:rFonts w:ascii="Arial" w:hAnsi="Arial" w:cs="Arial"/>
                <w:sz w:val="20"/>
                <w:szCs w:val="20"/>
              </w:rPr>
              <w:lastRenderedPageBreak/>
              <w:t>Ores</w:t>
            </w:r>
          </w:p>
        </w:tc>
        <w:tc>
          <w:tcPr>
            <w:tcW w:w="173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spacing w:line="360" w:lineRule="auto"/>
              <w:rPr>
                <w:rFonts w:ascii="Arial" w:hAnsi="Arial" w:cs="Arial"/>
                <w:sz w:val="20"/>
                <w:szCs w:val="20"/>
              </w:rPr>
            </w:pPr>
            <w:r w:rsidRPr="00400EA9">
              <w:rPr>
                <w:rFonts w:ascii="Arial" w:hAnsi="Arial" w:cs="Arial"/>
                <w:sz w:val="20"/>
                <w:szCs w:val="20"/>
              </w:rPr>
              <w:lastRenderedPageBreak/>
              <w:t xml:space="preserve">Furnace Main </w:t>
            </w:r>
            <w:r w:rsidRPr="00400EA9">
              <w:rPr>
                <w:rFonts w:ascii="Arial" w:hAnsi="Arial" w:cs="Arial"/>
                <w:sz w:val="20"/>
                <w:szCs w:val="20"/>
              </w:rPr>
              <w:lastRenderedPageBreak/>
              <w:t>Stack (Mort_EF)</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lang w:val="en-ZA"/>
              </w:rPr>
              <w:lastRenderedPageBreak/>
              <w:t xml:space="preserve">2015 – 2020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kern w:val="24"/>
                <w:sz w:val="20"/>
                <w:szCs w:val="20"/>
                <w:lang w:val="en-ZA" w:eastAsia="en-GB"/>
              </w:rPr>
              <w:t>Sulphur Dioxide</w:t>
            </w:r>
          </w:p>
        </w:tc>
        <w:tc>
          <w:tcPr>
            <w:tcW w:w="7088" w:type="dxa"/>
            <w:tcBorders>
              <w:top w:val="single" w:sz="8" w:space="0" w:color="FFFFFF"/>
              <w:left w:val="single" w:sz="8" w:space="0" w:color="FFFFFF"/>
              <w:bottom w:val="single" w:sz="8" w:space="0" w:color="FFFFFF"/>
              <w:right w:val="single" w:sz="8" w:space="0" w:color="FFFFFF"/>
            </w:tcBorders>
            <w:shd w:val="clear" w:color="auto" w:fill="D0D8E8"/>
          </w:tcPr>
          <w:p w:rsidR="00200BBF" w:rsidRPr="00400EA9" w:rsidRDefault="00200BBF" w:rsidP="00200BBF">
            <w:pPr>
              <w:rPr>
                <w:rFonts w:ascii="Arial" w:hAnsi="Arial" w:cs="Arial"/>
                <w:bCs/>
                <w:sz w:val="20"/>
                <w:szCs w:val="20"/>
                <w:lang w:val="en-ZA"/>
              </w:rPr>
            </w:pPr>
            <w:r w:rsidRPr="00400EA9">
              <w:rPr>
                <w:rFonts w:ascii="Arial" w:hAnsi="Arial" w:cs="Arial"/>
                <w:bCs/>
                <w:iCs/>
                <w:color w:val="000000"/>
                <w:sz w:val="20"/>
                <w:szCs w:val="20"/>
              </w:rPr>
              <w:t xml:space="preserve">Anglo American Platinum has prioritized compliance with the 2020 standard rather a phased-in approach that would result in capital expenditure for </w:t>
            </w:r>
            <w:r w:rsidRPr="00400EA9">
              <w:rPr>
                <w:rFonts w:ascii="Arial" w:hAnsi="Arial" w:cs="Arial"/>
                <w:bCs/>
                <w:iCs/>
                <w:color w:val="000000"/>
                <w:sz w:val="20"/>
                <w:szCs w:val="20"/>
              </w:rPr>
              <w:lastRenderedPageBreak/>
              <w:t>compliance with both the 2015 and then the 2020 limit later on. Anglo America Platinum argued that the postponement period will provide the necessary time for the planning, procuring, executing and commissioning the novel WSA sulphur dioxide abatement process and equipment.</w:t>
            </w:r>
          </w:p>
        </w:tc>
      </w:tr>
    </w:tbl>
    <w:p w:rsidR="00200BBF" w:rsidRDefault="00200BBF" w:rsidP="00200BBF"/>
    <w:p w:rsidR="00200BBF" w:rsidRDefault="00200BBF" w:rsidP="00B72FA2">
      <w:pPr>
        <w:pStyle w:val="Heading3"/>
        <w:keepLines/>
        <w:numPr>
          <w:ilvl w:val="0"/>
          <w:numId w:val="13"/>
        </w:numPr>
        <w:overflowPunct w:val="0"/>
        <w:autoSpaceDE w:val="0"/>
        <w:autoSpaceDN w:val="0"/>
        <w:adjustRightInd w:val="0"/>
        <w:snapToGrid/>
        <w:spacing w:before="200" w:line="360" w:lineRule="auto"/>
        <w:ind w:hanging="502"/>
        <w:jc w:val="both"/>
        <w:textAlignment w:val="baseline"/>
      </w:pPr>
      <w:r>
        <w:t xml:space="preserve">Anglo America Platinum Polokwane, </w:t>
      </w:r>
      <w:r w:rsidRPr="007016B6">
        <w:t>Waterberg</w:t>
      </w:r>
      <w:r>
        <w:t xml:space="preserve"> District Municipality, Limpopo Province</w:t>
      </w:r>
    </w:p>
    <w:tbl>
      <w:tblPr>
        <w:tblW w:w="15027" w:type="dxa"/>
        <w:tblInd w:w="-436" w:type="dxa"/>
        <w:tblCellMar>
          <w:left w:w="0" w:type="dxa"/>
          <w:right w:w="0" w:type="dxa"/>
        </w:tblCellMar>
        <w:tblLook w:val="04A0"/>
      </w:tblPr>
      <w:tblGrid>
        <w:gridCol w:w="2804"/>
        <w:gridCol w:w="1591"/>
        <w:gridCol w:w="1843"/>
        <w:gridCol w:w="1701"/>
        <w:gridCol w:w="7088"/>
      </w:tblGrid>
      <w:tr w:rsidR="00200BBF" w:rsidRPr="00400EA9" w:rsidTr="00200BBF">
        <w:trPr>
          <w:trHeight w:val="832"/>
        </w:trPr>
        <w:tc>
          <w:tcPr>
            <w:tcW w:w="28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Theme="minorHAnsi" w:hAnsiTheme="minorHAnsi"/>
                <w:sz w:val="20"/>
                <w:szCs w:val="20"/>
              </w:rPr>
            </w:pPr>
            <w:r w:rsidRPr="00400EA9">
              <w:rPr>
                <w:rFonts w:asciiTheme="minorHAnsi" w:hAnsiTheme="minorHAnsi"/>
                <w:b/>
                <w:bCs/>
                <w:sz w:val="20"/>
                <w:szCs w:val="20"/>
              </w:rPr>
              <w:t>Section 21 Category</w:t>
            </w:r>
          </w:p>
        </w:tc>
        <w:tc>
          <w:tcPr>
            <w:tcW w:w="15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Theme="minorHAnsi" w:hAnsiTheme="minorHAnsi"/>
                <w:sz w:val="20"/>
                <w:szCs w:val="20"/>
              </w:rPr>
            </w:pPr>
            <w:r w:rsidRPr="00400EA9">
              <w:rPr>
                <w:rFonts w:asciiTheme="minorHAnsi" w:hAnsiTheme="minorHAnsi"/>
                <w:b/>
                <w:bCs/>
                <w:sz w:val="20"/>
                <w:szCs w:val="20"/>
              </w:rPr>
              <w:t>Appliance</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Theme="minorHAnsi" w:hAnsiTheme="minorHAnsi"/>
                <w:sz w:val="20"/>
                <w:szCs w:val="20"/>
              </w:rPr>
            </w:pPr>
            <w:r w:rsidRPr="00400EA9">
              <w:rPr>
                <w:rFonts w:asciiTheme="minorHAnsi" w:hAnsiTheme="minorHAnsi"/>
                <w:b/>
                <w:bCs/>
                <w:sz w:val="20"/>
                <w:szCs w:val="20"/>
              </w:rPr>
              <w:t>Postponement Period Sought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200BBF" w:rsidRPr="00400EA9" w:rsidRDefault="00200BBF" w:rsidP="00200BBF">
            <w:pPr>
              <w:jc w:val="center"/>
              <w:rPr>
                <w:rFonts w:asciiTheme="minorHAnsi" w:hAnsiTheme="minorHAnsi"/>
                <w:b/>
                <w:bCs/>
                <w:sz w:val="20"/>
                <w:szCs w:val="20"/>
              </w:rPr>
            </w:pPr>
            <w:r w:rsidRPr="00400EA9">
              <w:rPr>
                <w:rFonts w:asciiTheme="minorHAnsi" w:hAnsiTheme="minorHAnsi"/>
                <w:b/>
                <w:bCs/>
                <w:sz w:val="20"/>
                <w:szCs w:val="20"/>
              </w:rPr>
              <w:t>Pollutant</w:t>
            </w:r>
          </w:p>
        </w:tc>
        <w:tc>
          <w:tcPr>
            <w:tcW w:w="7088"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jc w:val="center"/>
              <w:rPr>
                <w:rFonts w:asciiTheme="minorHAnsi" w:hAnsiTheme="minorHAnsi"/>
                <w:b/>
                <w:bCs/>
                <w:sz w:val="20"/>
                <w:szCs w:val="20"/>
              </w:rPr>
            </w:pPr>
            <w:r w:rsidRPr="00400EA9">
              <w:rPr>
                <w:rFonts w:asciiTheme="minorHAnsi" w:hAnsiTheme="minorHAnsi"/>
                <w:b/>
                <w:bCs/>
                <w:sz w:val="20"/>
                <w:szCs w:val="20"/>
              </w:rPr>
              <w:t xml:space="preserve">Justification &amp; Reasons for Postponement Application </w:t>
            </w:r>
          </w:p>
        </w:tc>
      </w:tr>
      <w:tr w:rsidR="00200BBF" w:rsidRPr="00400EA9" w:rsidTr="00200BBF">
        <w:trPr>
          <w:trHeight w:val="471"/>
        </w:trPr>
        <w:tc>
          <w:tcPr>
            <w:tcW w:w="280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Theme="minorHAnsi" w:hAnsiTheme="minorHAnsi"/>
                <w:sz w:val="20"/>
                <w:szCs w:val="20"/>
              </w:rPr>
            </w:pPr>
            <w:r w:rsidRPr="00400EA9">
              <w:rPr>
                <w:rFonts w:asciiTheme="minorHAnsi" w:hAnsiTheme="minorHAnsi"/>
                <w:b/>
                <w:bCs/>
                <w:sz w:val="20"/>
                <w:szCs w:val="20"/>
              </w:rPr>
              <w:t xml:space="preserve">Subcategory 4.16: </w:t>
            </w:r>
            <w:r w:rsidRPr="00400EA9">
              <w:rPr>
                <w:rFonts w:asciiTheme="minorHAnsi" w:hAnsiTheme="minorHAnsi"/>
                <w:sz w:val="20"/>
                <w:szCs w:val="20"/>
              </w:rPr>
              <w:t>Smelting &amp; Converting of Sulphide Ores</w:t>
            </w:r>
          </w:p>
        </w:tc>
        <w:tc>
          <w:tcPr>
            <w:tcW w:w="159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spacing w:line="360" w:lineRule="auto"/>
              <w:rPr>
                <w:rFonts w:asciiTheme="minorHAnsi" w:hAnsiTheme="minorHAnsi"/>
                <w:sz w:val="20"/>
                <w:szCs w:val="20"/>
              </w:rPr>
            </w:pPr>
            <w:r w:rsidRPr="00400EA9">
              <w:rPr>
                <w:rFonts w:asciiTheme="minorHAnsi" w:hAnsiTheme="minorHAnsi"/>
                <w:sz w:val="20"/>
                <w:szCs w:val="20"/>
              </w:rPr>
              <w:t>Furnace Main Stack (Mort_EF)</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400EA9" w:rsidRDefault="00200BBF" w:rsidP="00200BBF">
            <w:pPr>
              <w:rPr>
                <w:rFonts w:asciiTheme="minorHAnsi" w:hAnsiTheme="minorHAnsi"/>
                <w:sz w:val="20"/>
                <w:szCs w:val="20"/>
              </w:rPr>
            </w:pPr>
            <w:r w:rsidRPr="00400EA9">
              <w:rPr>
                <w:rFonts w:asciiTheme="minorHAnsi" w:hAnsiTheme="minorHAnsi"/>
                <w:sz w:val="20"/>
                <w:szCs w:val="20"/>
                <w:lang w:val="en-ZA"/>
              </w:rPr>
              <w:t xml:space="preserve">2015 – 2020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Theme="minorHAnsi" w:hAnsiTheme="minorHAnsi"/>
                <w:sz w:val="20"/>
                <w:szCs w:val="20"/>
              </w:rPr>
            </w:pPr>
            <w:r w:rsidRPr="00400EA9">
              <w:rPr>
                <w:rFonts w:asciiTheme="minorHAnsi" w:hAnsiTheme="minorHAnsi"/>
                <w:kern w:val="24"/>
                <w:sz w:val="20"/>
                <w:szCs w:val="20"/>
                <w:lang w:val="en-ZA" w:eastAsia="en-GB"/>
              </w:rPr>
              <w:t>Sulphur Dioxide</w:t>
            </w:r>
          </w:p>
        </w:tc>
        <w:tc>
          <w:tcPr>
            <w:tcW w:w="7088" w:type="dxa"/>
            <w:tcBorders>
              <w:top w:val="single" w:sz="8" w:space="0" w:color="FFFFFF"/>
              <w:left w:val="single" w:sz="8" w:space="0" w:color="FFFFFF"/>
              <w:bottom w:val="single" w:sz="8" w:space="0" w:color="FFFFFF"/>
              <w:right w:val="single" w:sz="8" w:space="0" w:color="FFFFFF"/>
            </w:tcBorders>
            <w:shd w:val="clear" w:color="auto" w:fill="D0D8E8"/>
          </w:tcPr>
          <w:p w:rsidR="00200BBF" w:rsidRPr="00400EA9" w:rsidRDefault="00200BBF" w:rsidP="00200BBF">
            <w:pPr>
              <w:rPr>
                <w:rFonts w:asciiTheme="minorHAnsi" w:hAnsiTheme="minorHAnsi"/>
                <w:bCs/>
                <w:sz w:val="20"/>
                <w:szCs w:val="20"/>
                <w:lang w:val="en-ZA"/>
              </w:rPr>
            </w:pPr>
            <w:r w:rsidRPr="00400EA9">
              <w:rPr>
                <w:rFonts w:asciiTheme="minorHAnsi" w:hAnsiTheme="minorHAnsi"/>
                <w:bCs/>
                <w:sz w:val="20"/>
                <w:szCs w:val="20"/>
              </w:rPr>
              <w:t xml:space="preserve"> </w:t>
            </w:r>
            <w:r w:rsidRPr="00400EA9">
              <w:rPr>
                <w:rFonts w:asciiTheme="minorHAnsi" w:hAnsiTheme="minorHAnsi" w:cs="Arial"/>
                <w:bCs/>
                <w:iCs/>
                <w:color w:val="000000"/>
                <w:sz w:val="20"/>
                <w:szCs w:val="20"/>
              </w:rPr>
              <w:t>Anglo American Platinum has prioritized compliance with the 2020 standard rather a phased-in approach that would result in capital expenditure for compliance with both the 2015 and then the 2020 limit. It is argued that the postponement period will provide the necessary time for the planning, procuring, executing and commissioning the novel WSA sulphur dioxide abatement process and equipment.</w:t>
            </w:r>
          </w:p>
        </w:tc>
      </w:tr>
    </w:tbl>
    <w:p w:rsidR="00200BBF" w:rsidRDefault="00200BBF" w:rsidP="00200BBF"/>
    <w:p w:rsidR="00200BBF" w:rsidRDefault="00200BBF" w:rsidP="00200BBF"/>
    <w:p w:rsidR="00200BBF" w:rsidRDefault="00200BBF" w:rsidP="00200BBF"/>
    <w:p w:rsidR="00200BBF" w:rsidRDefault="00200BBF" w:rsidP="00200BBF"/>
    <w:p w:rsidR="00200BBF" w:rsidRPr="003F3B7B" w:rsidRDefault="00200BBF" w:rsidP="00200BBF">
      <w:pPr>
        <w:pStyle w:val="Heading2"/>
        <w:spacing w:line="360" w:lineRule="auto"/>
        <w:ind w:hanging="426"/>
        <w:rPr>
          <w:szCs w:val="24"/>
        </w:rPr>
      </w:pPr>
      <w:r w:rsidRPr="0059050A">
        <w:rPr>
          <w:szCs w:val="24"/>
        </w:rPr>
        <w:t xml:space="preserve">Chevron Refinery, City of Cape Town, Western Cape Province </w:t>
      </w:r>
    </w:p>
    <w:tbl>
      <w:tblPr>
        <w:tblW w:w="15027" w:type="dxa"/>
        <w:tblInd w:w="-436" w:type="dxa"/>
        <w:tblCellMar>
          <w:left w:w="0" w:type="dxa"/>
          <w:right w:w="0" w:type="dxa"/>
        </w:tblCellMar>
        <w:tblLook w:val="04A0"/>
      </w:tblPr>
      <w:tblGrid>
        <w:gridCol w:w="2366"/>
        <w:gridCol w:w="1411"/>
        <w:gridCol w:w="1591"/>
        <w:gridCol w:w="1984"/>
        <w:gridCol w:w="7675"/>
      </w:tblGrid>
      <w:tr w:rsidR="00200BBF" w:rsidRPr="00400EA9" w:rsidTr="00200BBF">
        <w:trPr>
          <w:trHeight w:val="88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eastAsia="en-GB"/>
              </w:rPr>
              <w:t>Section 21 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eastAsia="en-GB"/>
              </w:rPr>
              <w:t>Appliance</w:t>
            </w:r>
          </w:p>
        </w:tc>
        <w:tc>
          <w:tcPr>
            <w:tcW w:w="157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eastAsia="en-GB"/>
              </w:rPr>
              <w:t>Postponement Period Sought</w:t>
            </w:r>
          </w:p>
        </w:tc>
        <w:tc>
          <w:tcPr>
            <w:tcW w:w="1984" w:type="dxa"/>
            <w:tcBorders>
              <w:top w:val="single" w:sz="8" w:space="0" w:color="FFFFFF"/>
              <w:left w:val="single" w:sz="8" w:space="0" w:color="FFFFFF"/>
              <w:right w:val="single" w:sz="8" w:space="0" w:color="FFFFFF"/>
            </w:tcBorders>
            <w:shd w:val="clear" w:color="auto" w:fill="4F81BD"/>
          </w:tcPr>
          <w:p w:rsidR="00200BBF" w:rsidRPr="00400EA9" w:rsidRDefault="00200BBF" w:rsidP="00200BBF">
            <w:pPr>
              <w:overflowPunct w:val="0"/>
              <w:jc w:val="center"/>
              <w:rPr>
                <w:rFonts w:ascii="Arial" w:hAnsi="Arial" w:cs="Arial"/>
                <w:sz w:val="20"/>
                <w:szCs w:val="20"/>
                <w:lang w:eastAsia="en-GB"/>
              </w:rPr>
            </w:pPr>
            <w:r w:rsidRPr="00400EA9">
              <w:rPr>
                <w:rFonts w:ascii="Arial" w:hAnsi="Arial" w:cs="Arial"/>
                <w:b/>
                <w:bCs/>
                <w:kern w:val="24"/>
                <w:sz w:val="20"/>
                <w:szCs w:val="20"/>
                <w:lang w:eastAsia="en-GB"/>
              </w:rPr>
              <w:t>Pollutant</w:t>
            </w:r>
          </w:p>
          <w:p w:rsidR="00200BBF" w:rsidRPr="00400EA9" w:rsidRDefault="00200BBF" w:rsidP="00200BBF">
            <w:pPr>
              <w:rPr>
                <w:rFonts w:ascii="Arial" w:hAnsi="Arial" w:cs="Arial"/>
                <w:sz w:val="20"/>
                <w:szCs w:val="20"/>
                <w:lang w:eastAsia="en-GB"/>
              </w:rPr>
            </w:pPr>
          </w:p>
        </w:tc>
        <w:tc>
          <w:tcPr>
            <w:tcW w:w="7675"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jc w:val="center"/>
              <w:rPr>
                <w:rFonts w:ascii="Arial" w:hAnsi="Arial" w:cs="Arial"/>
                <w:b/>
                <w:bCs/>
                <w:sz w:val="20"/>
                <w:szCs w:val="20"/>
              </w:rPr>
            </w:pPr>
            <w:r w:rsidRPr="00400EA9">
              <w:rPr>
                <w:rFonts w:ascii="Arial" w:hAnsi="Arial" w:cs="Arial"/>
                <w:b/>
                <w:bCs/>
                <w:sz w:val="20"/>
                <w:szCs w:val="20"/>
              </w:rPr>
              <w:t>Justification &amp; Reasons for Postponement Application</w:t>
            </w:r>
          </w:p>
        </w:tc>
      </w:tr>
      <w:tr w:rsidR="00200BBF" w:rsidRPr="00400EA9" w:rsidTr="00200BBF">
        <w:trPr>
          <w:trHeight w:val="771"/>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val="en-ZA" w:eastAsia="en-GB"/>
              </w:rPr>
              <w:t xml:space="preserve">Subcategory 2.1: </w:t>
            </w:r>
            <w:r w:rsidRPr="00400EA9">
              <w:rPr>
                <w:rFonts w:ascii="Arial" w:hAnsi="Arial" w:cs="Arial"/>
                <w:kern w:val="24"/>
                <w:sz w:val="20"/>
                <w:szCs w:val="20"/>
                <w:lang w:val="en-ZA" w:eastAsia="en-GB"/>
              </w:rPr>
              <w:t xml:space="preserve">Combustion Installations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kern w:val="24"/>
                <w:sz w:val="20"/>
                <w:szCs w:val="20"/>
                <w:lang w:eastAsia="en-GB"/>
              </w:rPr>
              <w:t>FCCU</w:t>
            </w:r>
          </w:p>
        </w:tc>
        <w:tc>
          <w:tcPr>
            <w:tcW w:w="15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kern w:val="24"/>
                <w:sz w:val="20"/>
                <w:szCs w:val="20"/>
                <w:lang w:val="en-ZA" w:eastAsia="en-GB"/>
              </w:rPr>
              <w:t xml:space="preserve">2015 – 2020 </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kern w:val="24"/>
                <w:sz w:val="20"/>
                <w:szCs w:val="20"/>
                <w:lang w:val="en-ZA" w:eastAsia="en-GB"/>
              </w:rPr>
              <w:t>Sulphur Dioxide</w:t>
            </w:r>
          </w:p>
        </w:tc>
        <w:tc>
          <w:tcPr>
            <w:tcW w:w="7675" w:type="dxa"/>
            <w:vMerge w:val="restart"/>
            <w:tcBorders>
              <w:top w:val="single" w:sz="8" w:space="0" w:color="FFFFFF"/>
              <w:left w:val="single" w:sz="8" w:space="0" w:color="FFFFFF"/>
              <w:right w:val="single" w:sz="8" w:space="0" w:color="FFFFFF"/>
            </w:tcBorders>
            <w:shd w:val="clear" w:color="auto" w:fill="D0D8E8"/>
          </w:tcPr>
          <w:p w:rsidR="00200BBF" w:rsidRPr="00400EA9" w:rsidRDefault="00200BBF" w:rsidP="00B72FA2">
            <w:pPr>
              <w:pStyle w:val="ListParagraph"/>
              <w:numPr>
                <w:ilvl w:val="0"/>
                <w:numId w:val="9"/>
              </w:numPr>
              <w:overflowPunct w:val="0"/>
              <w:jc w:val="both"/>
              <w:rPr>
                <w:rFonts w:ascii="Arial" w:hAnsi="Arial" w:cs="Arial"/>
                <w:bCs/>
                <w:kern w:val="24"/>
                <w:sz w:val="20"/>
                <w:szCs w:val="20"/>
                <w:lang w:eastAsia="en-GB"/>
              </w:rPr>
            </w:pPr>
            <w:r w:rsidRPr="00400EA9">
              <w:rPr>
                <w:rFonts w:ascii="Arial" w:hAnsi="Arial" w:cs="Arial"/>
                <w:b/>
                <w:bCs/>
                <w:kern w:val="24"/>
                <w:sz w:val="20"/>
                <w:szCs w:val="20"/>
                <w:lang w:eastAsia="en-GB"/>
              </w:rPr>
              <w:t>Regulatory Uncertainty</w:t>
            </w:r>
            <w:r w:rsidRPr="00400EA9">
              <w:rPr>
                <w:rFonts w:ascii="Arial" w:hAnsi="Arial" w:cs="Arial"/>
                <w:bCs/>
                <w:kern w:val="24"/>
                <w:sz w:val="20"/>
                <w:szCs w:val="20"/>
                <w:lang w:eastAsia="en-GB"/>
              </w:rPr>
              <w:t xml:space="preserve"> – changes to the original MES published in 2010 resulted in regulatory uncertainty that complicated compliance assurance planning and hampered capital investment decisions especially in the </w:t>
            </w:r>
            <w:r w:rsidRPr="00400EA9">
              <w:rPr>
                <w:rFonts w:ascii="Arial" w:hAnsi="Arial" w:cs="Arial"/>
                <w:bCs/>
                <w:kern w:val="24"/>
                <w:sz w:val="20"/>
                <w:szCs w:val="20"/>
                <w:lang w:eastAsia="en-GB"/>
              </w:rPr>
              <w:lastRenderedPageBreak/>
              <w:t>Petroleum Sector where the amendment process introduced substantive changes to the MES.</w:t>
            </w:r>
          </w:p>
          <w:p w:rsidR="00200BBF" w:rsidRPr="00400EA9" w:rsidRDefault="00200BBF" w:rsidP="00B72FA2">
            <w:pPr>
              <w:pStyle w:val="ListParagraph"/>
              <w:numPr>
                <w:ilvl w:val="0"/>
                <w:numId w:val="9"/>
              </w:numPr>
              <w:overflowPunct w:val="0"/>
              <w:jc w:val="both"/>
              <w:rPr>
                <w:rFonts w:ascii="Arial" w:hAnsi="Arial" w:cs="Arial"/>
                <w:bCs/>
                <w:kern w:val="24"/>
                <w:sz w:val="20"/>
                <w:szCs w:val="20"/>
                <w:lang w:eastAsia="en-GB"/>
              </w:rPr>
            </w:pPr>
            <w:r w:rsidRPr="00400EA9">
              <w:rPr>
                <w:rFonts w:ascii="Arial" w:hAnsi="Arial" w:cs="Arial"/>
                <w:b/>
                <w:bCs/>
                <w:kern w:val="24"/>
                <w:sz w:val="20"/>
                <w:szCs w:val="20"/>
                <w:lang w:eastAsia="en-GB"/>
              </w:rPr>
              <w:t>Risk to Fuel Supply Security</w:t>
            </w:r>
            <w:r w:rsidRPr="00400EA9">
              <w:rPr>
                <w:rFonts w:ascii="Arial" w:hAnsi="Arial" w:cs="Arial"/>
                <w:bCs/>
                <w:kern w:val="24"/>
                <w:sz w:val="20"/>
                <w:szCs w:val="20"/>
                <w:lang w:eastAsia="en-GB"/>
              </w:rPr>
              <w:t xml:space="preserve"> - any unscheduled shutdown of the Cape Town Refinery or any of its components poses a risk of compromising South African Fuel Supply.</w:t>
            </w:r>
          </w:p>
          <w:p w:rsidR="00200BBF" w:rsidRPr="00400EA9" w:rsidRDefault="00200BBF" w:rsidP="00B72FA2">
            <w:pPr>
              <w:pStyle w:val="ListParagraph"/>
              <w:numPr>
                <w:ilvl w:val="0"/>
                <w:numId w:val="9"/>
              </w:numPr>
              <w:overflowPunct w:val="0"/>
              <w:jc w:val="both"/>
              <w:rPr>
                <w:rFonts w:ascii="Arial" w:hAnsi="Arial" w:cs="Arial"/>
                <w:bCs/>
                <w:kern w:val="24"/>
                <w:sz w:val="20"/>
                <w:szCs w:val="20"/>
                <w:lang w:eastAsia="en-GB"/>
              </w:rPr>
            </w:pPr>
            <w:r w:rsidRPr="00400EA9">
              <w:rPr>
                <w:rFonts w:ascii="Arial" w:hAnsi="Arial" w:cs="Arial"/>
                <w:b/>
                <w:bCs/>
                <w:kern w:val="24"/>
                <w:sz w:val="20"/>
                <w:szCs w:val="20"/>
                <w:lang w:eastAsia="en-GB"/>
              </w:rPr>
              <w:t>Complex Engineering Intervention</w:t>
            </w:r>
            <w:r w:rsidRPr="00400EA9">
              <w:rPr>
                <w:rFonts w:ascii="Arial" w:hAnsi="Arial" w:cs="Arial"/>
                <w:bCs/>
                <w:kern w:val="24"/>
                <w:sz w:val="20"/>
                <w:szCs w:val="20"/>
                <w:lang w:eastAsia="en-GB"/>
              </w:rPr>
              <w:t xml:space="preserve"> - inclusion of the point source compliance requirement for SO</w:t>
            </w:r>
            <w:r w:rsidRPr="00400EA9">
              <w:rPr>
                <w:rFonts w:ascii="Arial" w:hAnsi="Arial" w:cs="Arial"/>
                <w:bCs/>
                <w:kern w:val="24"/>
                <w:sz w:val="20"/>
                <w:szCs w:val="20"/>
                <w:vertAlign w:val="subscript"/>
                <w:lang w:eastAsia="en-GB"/>
              </w:rPr>
              <w:t>2</w:t>
            </w:r>
            <w:r w:rsidRPr="00400EA9">
              <w:rPr>
                <w:rFonts w:ascii="Arial" w:hAnsi="Arial" w:cs="Arial"/>
                <w:bCs/>
                <w:kern w:val="24"/>
                <w:sz w:val="20"/>
                <w:szCs w:val="20"/>
                <w:lang w:eastAsia="en-GB"/>
              </w:rPr>
              <w:t xml:space="preserve"> from the process furnaces in the November 2013 MES left the Cape Town Refinery with less than 18 months to comply with a substantial new MES requirement. Due to the detailed engineering, the construction timeframes and shutdown planning required to implement the changes to route the process off gas away from 02F201, there is insufficient time before 01 April 2015 to do so.</w:t>
            </w:r>
          </w:p>
          <w:p w:rsidR="00200BBF" w:rsidRPr="00400EA9" w:rsidRDefault="00200BBF" w:rsidP="00B72FA2">
            <w:pPr>
              <w:pStyle w:val="ListParagraph"/>
              <w:numPr>
                <w:ilvl w:val="0"/>
                <w:numId w:val="9"/>
              </w:numPr>
              <w:overflowPunct w:val="0"/>
              <w:jc w:val="both"/>
              <w:rPr>
                <w:rFonts w:ascii="Arial" w:hAnsi="Arial" w:cs="Arial"/>
                <w:bCs/>
                <w:kern w:val="24"/>
                <w:sz w:val="20"/>
                <w:szCs w:val="20"/>
                <w:lang w:eastAsia="en-GB"/>
              </w:rPr>
            </w:pPr>
            <w:r w:rsidRPr="00400EA9">
              <w:rPr>
                <w:rFonts w:ascii="Arial" w:hAnsi="Arial" w:cs="Arial"/>
                <w:b/>
                <w:bCs/>
                <w:kern w:val="24"/>
                <w:sz w:val="20"/>
                <w:szCs w:val="20"/>
                <w:lang w:eastAsia="en-GB"/>
              </w:rPr>
              <w:t>Installation on the Run Posing Safety Risk:</w:t>
            </w:r>
            <w:r w:rsidRPr="00400EA9">
              <w:rPr>
                <w:rFonts w:ascii="Arial" w:hAnsi="Arial" w:cs="Arial"/>
                <w:bCs/>
                <w:kern w:val="24"/>
                <w:sz w:val="20"/>
                <w:szCs w:val="20"/>
                <w:lang w:eastAsia="en-GB"/>
              </w:rPr>
              <w:t xml:space="preserve"> Sleeves on Floating Roof Tanks – in order to fit the sleeves the roof needs to be stationary. Furthermore, slotted pipes and/or dipping wells can only be fitted with sleeves when the tanks are empty. The Cape Town Refinery is therefore proposing using the floating roof tanks’ statutory primary inspection turnaround to install the sleeves. This will however require fitment of the sleeves after 2015 for some of the tanks.</w:t>
            </w:r>
          </w:p>
        </w:tc>
      </w:tr>
      <w:tr w:rsidR="00200BBF" w:rsidRPr="00400EA9" w:rsidTr="00200BBF">
        <w:trPr>
          <w:trHeight w:val="5016"/>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80" w:type="dxa"/>
              <w:bottom w:w="0" w:type="dxa"/>
              <w:right w:w="180"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val="en-ZA" w:eastAsia="en-GB"/>
              </w:rPr>
              <w:lastRenderedPageBreak/>
              <w:t>Subcategory 2.4:</w:t>
            </w:r>
          </w:p>
          <w:p w:rsidR="00200BBF" w:rsidRPr="00400EA9" w:rsidRDefault="00200BBF" w:rsidP="00200BBF">
            <w:pPr>
              <w:overflowPunct w:val="0"/>
              <w:rPr>
                <w:rFonts w:ascii="Arial" w:hAnsi="Arial" w:cs="Arial"/>
                <w:sz w:val="20"/>
                <w:szCs w:val="20"/>
                <w:lang w:eastAsia="en-GB"/>
              </w:rPr>
            </w:pPr>
            <w:r w:rsidRPr="00400EA9">
              <w:rPr>
                <w:rFonts w:ascii="Arial" w:hAnsi="Arial" w:cs="Arial"/>
                <w:kern w:val="24"/>
                <w:sz w:val="20"/>
                <w:szCs w:val="20"/>
                <w:lang w:val="en-ZA" w:eastAsia="en-GB"/>
              </w:rPr>
              <w:t>Storage &amp; Handling of Petroleum Products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spacing w:before="60" w:after="60"/>
              <w:rPr>
                <w:rFonts w:ascii="Arial" w:hAnsi="Arial" w:cs="Arial"/>
                <w:sz w:val="20"/>
                <w:szCs w:val="20"/>
                <w:lang w:eastAsia="en-GB"/>
              </w:rPr>
            </w:pPr>
            <w:r w:rsidRPr="00400EA9">
              <w:rPr>
                <w:rFonts w:ascii="Arial" w:hAnsi="Arial" w:cs="Arial"/>
                <w:kern w:val="24"/>
                <w:sz w:val="20"/>
                <w:szCs w:val="20"/>
                <w:lang w:eastAsia="en-GB"/>
              </w:rPr>
              <w:t>41 floating roof tank</w:t>
            </w:r>
          </w:p>
        </w:tc>
        <w:tc>
          <w:tcPr>
            <w:tcW w:w="15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spacing w:before="60" w:after="60"/>
              <w:rPr>
                <w:rFonts w:ascii="Arial" w:hAnsi="Arial" w:cs="Arial"/>
                <w:sz w:val="20"/>
                <w:szCs w:val="20"/>
                <w:lang w:eastAsia="en-GB"/>
              </w:rPr>
            </w:pPr>
            <w:r w:rsidRPr="00400EA9">
              <w:rPr>
                <w:rFonts w:ascii="Arial" w:hAnsi="Arial" w:cs="Arial"/>
                <w:kern w:val="24"/>
                <w:sz w:val="20"/>
                <w:szCs w:val="20"/>
                <w:lang w:eastAsia="en-GB"/>
              </w:rPr>
              <w:t>2015 -2016</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400EA9" w:rsidRDefault="00200BBF" w:rsidP="00200BBF">
            <w:pPr>
              <w:overflowPunct w:val="0"/>
              <w:rPr>
                <w:rFonts w:ascii="Arial" w:hAnsi="Arial" w:cs="Arial"/>
                <w:sz w:val="20"/>
                <w:szCs w:val="20"/>
                <w:lang w:eastAsia="en-GB"/>
              </w:rPr>
            </w:pPr>
            <w:r w:rsidRPr="00400EA9">
              <w:rPr>
                <w:rFonts w:ascii="Arial" w:hAnsi="Arial" w:cs="Arial"/>
                <w:kern w:val="24"/>
                <w:sz w:val="20"/>
                <w:szCs w:val="20"/>
                <w:lang w:val="en-ZA" w:eastAsia="en-GB"/>
              </w:rPr>
              <w:t>Total Volatile Organic Compound (TVOCs)</w:t>
            </w:r>
          </w:p>
        </w:tc>
        <w:tc>
          <w:tcPr>
            <w:tcW w:w="7675" w:type="dxa"/>
            <w:vMerge/>
            <w:tcBorders>
              <w:left w:val="single" w:sz="8" w:space="0" w:color="FFFFFF"/>
              <w:bottom w:val="single" w:sz="8" w:space="0" w:color="FFFFFF"/>
              <w:right w:val="single" w:sz="8" w:space="0" w:color="FFFFFF"/>
            </w:tcBorders>
            <w:shd w:val="clear" w:color="auto" w:fill="E9EDF4"/>
          </w:tcPr>
          <w:p w:rsidR="00200BBF" w:rsidRPr="00400EA9" w:rsidRDefault="00200BBF" w:rsidP="00200BBF">
            <w:pPr>
              <w:rPr>
                <w:rFonts w:ascii="Arial" w:hAnsi="Arial" w:cs="Arial"/>
                <w:b/>
                <w:bCs/>
                <w:kern w:val="24"/>
                <w:sz w:val="20"/>
                <w:szCs w:val="20"/>
                <w:lang w:eastAsia="en-GB"/>
              </w:rPr>
            </w:pPr>
          </w:p>
        </w:tc>
      </w:tr>
    </w:tbl>
    <w:p w:rsidR="00200BBF" w:rsidRDefault="00200BBF" w:rsidP="00200BBF"/>
    <w:p w:rsidR="00200BBF" w:rsidRDefault="00200BBF" w:rsidP="00200BBF"/>
    <w:p w:rsidR="00200BBF" w:rsidRDefault="00200BBF" w:rsidP="00200BBF"/>
    <w:p w:rsidR="00200BBF" w:rsidRDefault="00200BBF" w:rsidP="00200BBF"/>
    <w:p w:rsidR="00200BBF" w:rsidRDefault="00200BBF" w:rsidP="00200BBF"/>
    <w:p w:rsidR="00200BBF" w:rsidRDefault="00200BBF" w:rsidP="00200BBF"/>
    <w:p w:rsidR="00200BBF" w:rsidRPr="003F3B7B" w:rsidRDefault="00200BBF" w:rsidP="00200BBF">
      <w:pPr>
        <w:pStyle w:val="Heading2"/>
        <w:spacing w:line="360" w:lineRule="auto"/>
        <w:ind w:hanging="284"/>
      </w:pPr>
      <w:r w:rsidRPr="003F3B7B">
        <w:t>Engen Refinery, eThekwini Metro, KwaZulu-Natal Province</w:t>
      </w:r>
    </w:p>
    <w:tbl>
      <w:tblPr>
        <w:tblW w:w="15027" w:type="dxa"/>
        <w:tblInd w:w="-436" w:type="dxa"/>
        <w:tblLayout w:type="fixed"/>
        <w:tblCellMar>
          <w:left w:w="0" w:type="dxa"/>
          <w:right w:w="0" w:type="dxa"/>
        </w:tblCellMar>
        <w:tblLook w:val="04A0"/>
      </w:tblPr>
      <w:tblGrid>
        <w:gridCol w:w="2514"/>
        <w:gridCol w:w="1339"/>
        <w:gridCol w:w="1676"/>
        <w:gridCol w:w="1843"/>
        <w:gridCol w:w="7655"/>
      </w:tblGrid>
      <w:tr w:rsidR="00200BBF" w:rsidRPr="00400EA9" w:rsidTr="00200BBF">
        <w:trPr>
          <w:trHeight w:val="763"/>
        </w:trPr>
        <w:tc>
          <w:tcPr>
            <w:tcW w:w="251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Category</w:t>
            </w:r>
          </w:p>
        </w:tc>
        <w:tc>
          <w:tcPr>
            <w:tcW w:w="13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Appliance</w:t>
            </w:r>
          </w:p>
        </w:tc>
        <w:tc>
          <w:tcPr>
            <w:tcW w:w="16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Postponement Period Sought</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vAlign w:val="center"/>
            <w:hideMark/>
          </w:tcPr>
          <w:p w:rsidR="00200BBF" w:rsidRPr="00400EA9" w:rsidRDefault="00200BBF" w:rsidP="00200BBF">
            <w:pPr>
              <w:jc w:val="center"/>
              <w:rPr>
                <w:rFonts w:ascii="Arial" w:hAnsi="Arial" w:cs="Arial"/>
                <w:sz w:val="20"/>
                <w:szCs w:val="20"/>
              </w:rPr>
            </w:pPr>
            <w:r w:rsidRPr="00400EA9">
              <w:rPr>
                <w:rFonts w:ascii="Arial" w:hAnsi="Arial" w:cs="Arial"/>
                <w:b/>
                <w:bCs/>
                <w:sz w:val="20"/>
                <w:szCs w:val="20"/>
              </w:rPr>
              <w:t>Pollutant</w:t>
            </w:r>
          </w:p>
        </w:tc>
        <w:tc>
          <w:tcPr>
            <w:tcW w:w="7655"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rPr>
                <w:rFonts w:ascii="Arial" w:hAnsi="Arial" w:cs="Arial"/>
                <w:b/>
                <w:bCs/>
                <w:sz w:val="20"/>
                <w:szCs w:val="20"/>
              </w:rPr>
            </w:pPr>
            <w:r w:rsidRPr="00400EA9">
              <w:rPr>
                <w:rFonts w:ascii="Arial" w:hAnsi="Arial" w:cs="Arial"/>
                <w:b/>
                <w:bCs/>
                <w:sz w:val="20"/>
                <w:szCs w:val="20"/>
              </w:rPr>
              <w:t>Justification &amp; Reasons for Postponement Application</w:t>
            </w:r>
          </w:p>
        </w:tc>
      </w:tr>
      <w:tr w:rsidR="00200BBF" w:rsidRPr="00400EA9" w:rsidTr="00200BBF">
        <w:trPr>
          <w:trHeight w:val="767"/>
        </w:trPr>
        <w:tc>
          <w:tcPr>
            <w:tcW w:w="251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lang w:val="en-ZA"/>
              </w:rPr>
              <w:t>Sub-Category 2.2:</w:t>
            </w:r>
          </w:p>
          <w:p w:rsidR="00200BBF" w:rsidRPr="00400EA9" w:rsidRDefault="00200BBF" w:rsidP="00200BBF">
            <w:pPr>
              <w:rPr>
                <w:rFonts w:ascii="Arial" w:hAnsi="Arial" w:cs="Arial"/>
                <w:sz w:val="20"/>
                <w:szCs w:val="20"/>
              </w:rPr>
            </w:pPr>
            <w:r w:rsidRPr="00400EA9">
              <w:rPr>
                <w:rFonts w:ascii="Arial" w:hAnsi="Arial" w:cs="Arial"/>
                <w:sz w:val="20"/>
                <w:szCs w:val="20"/>
                <w:lang w:val="en-ZA"/>
              </w:rPr>
              <w:t>Catalytic Cracking Unit</w:t>
            </w:r>
          </w:p>
        </w:tc>
        <w:tc>
          <w:tcPr>
            <w:tcW w:w="13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FCCU</w:t>
            </w:r>
          </w:p>
        </w:tc>
        <w:tc>
          <w:tcPr>
            <w:tcW w:w="16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lang w:val="en-ZA"/>
              </w:rPr>
              <w:t xml:space="preserve">2015 – 2019 </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Particulate Matter</w:t>
            </w:r>
          </w:p>
        </w:tc>
        <w:tc>
          <w:tcPr>
            <w:tcW w:w="7655" w:type="dxa"/>
            <w:vMerge w:val="restart"/>
            <w:tcBorders>
              <w:top w:val="single" w:sz="8" w:space="0" w:color="FFFFFF"/>
              <w:left w:val="single" w:sz="8" w:space="0" w:color="FFFFFF"/>
              <w:right w:val="single" w:sz="8" w:space="0" w:color="FFFFFF"/>
            </w:tcBorders>
            <w:shd w:val="clear" w:color="auto" w:fill="D0D8E8"/>
          </w:tcPr>
          <w:p w:rsidR="00200BBF" w:rsidRPr="00400EA9" w:rsidRDefault="00200BBF" w:rsidP="00200BBF">
            <w:pPr>
              <w:autoSpaceDE w:val="0"/>
              <w:autoSpaceDN w:val="0"/>
              <w:adjustRightInd w:val="0"/>
              <w:rPr>
                <w:rFonts w:ascii="Arial" w:hAnsi="Arial" w:cs="Arial"/>
                <w:sz w:val="20"/>
                <w:szCs w:val="20"/>
                <w:lang w:val="en-ZA" w:eastAsia="en-ZA"/>
              </w:rPr>
            </w:pPr>
            <w:r w:rsidRPr="00400EA9">
              <w:rPr>
                <w:rFonts w:ascii="Arial" w:hAnsi="Arial" w:cs="Arial"/>
                <w:b/>
                <w:bCs/>
                <w:iCs/>
                <w:sz w:val="20"/>
                <w:szCs w:val="20"/>
                <w:lang w:val="en-ZA" w:eastAsia="en-ZA"/>
              </w:rPr>
              <w:t xml:space="preserve">Ongoing Negotiations and Timing of Regulations </w:t>
            </w:r>
          </w:p>
          <w:p w:rsidR="00200BBF" w:rsidRPr="00400EA9" w:rsidRDefault="00200BBF" w:rsidP="00200BBF">
            <w:pPr>
              <w:rPr>
                <w:rFonts w:ascii="Arial" w:hAnsi="Arial" w:cs="Arial"/>
                <w:sz w:val="20"/>
                <w:szCs w:val="20"/>
                <w:lang w:val="en-ZA" w:eastAsia="en-ZA"/>
              </w:rPr>
            </w:pPr>
            <w:r w:rsidRPr="00400EA9">
              <w:rPr>
                <w:rFonts w:ascii="Arial" w:hAnsi="Arial" w:cs="Arial"/>
                <w:sz w:val="20"/>
                <w:szCs w:val="20"/>
                <w:lang w:val="en-ZA" w:eastAsia="en-ZA"/>
              </w:rPr>
              <w:t xml:space="preserve">Following the initial publication of MES for listed activities in 2010, there was still extensive consultation and negotiation in progress between affected industry groups, </w:t>
            </w:r>
            <w:r w:rsidRPr="00400EA9">
              <w:rPr>
                <w:rFonts w:ascii="Arial" w:hAnsi="Arial" w:cs="Arial"/>
                <w:sz w:val="20"/>
                <w:szCs w:val="20"/>
                <w:lang w:val="en-ZA" w:eastAsia="en-ZA"/>
              </w:rPr>
              <w:lastRenderedPageBreak/>
              <w:t>civil society and government until late 2013. This led to the amended MES being published on 22 November 2013, with a requirement for existing plants to meet the existing plant standard by 1 April 2015 despite motivations from the petroleum industry via SAPIA for this first compliance date to be moved by a few years. Affected industries were thus left with less time (only 16 months) to design and engineer solutions in line with the amended standards.</w:t>
            </w:r>
          </w:p>
          <w:p w:rsidR="00200BBF" w:rsidRPr="00400EA9" w:rsidRDefault="00200BBF" w:rsidP="00200BBF">
            <w:pPr>
              <w:autoSpaceDE w:val="0"/>
              <w:autoSpaceDN w:val="0"/>
              <w:adjustRightInd w:val="0"/>
              <w:rPr>
                <w:rFonts w:ascii="Arial" w:hAnsi="Arial" w:cs="Arial"/>
                <w:b/>
                <w:color w:val="000000"/>
                <w:sz w:val="20"/>
                <w:szCs w:val="20"/>
                <w:lang w:val="en-ZA" w:eastAsia="en-ZA"/>
              </w:rPr>
            </w:pPr>
            <w:r w:rsidRPr="00400EA9">
              <w:rPr>
                <w:rFonts w:ascii="Arial" w:hAnsi="Arial" w:cs="Arial"/>
                <w:b/>
                <w:color w:val="000000"/>
                <w:sz w:val="20"/>
                <w:szCs w:val="20"/>
                <w:lang w:val="en-ZA" w:eastAsia="en-ZA"/>
              </w:rPr>
              <w:t>Engineering and Implementation</w:t>
            </w:r>
          </w:p>
          <w:p w:rsidR="00200BBF" w:rsidRPr="00400EA9" w:rsidRDefault="00200BBF" w:rsidP="00200BBF">
            <w:pPr>
              <w:rPr>
                <w:rFonts w:ascii="Arial" w:hAnsi="Arial" w:cs="Arial"/>
                <w:color w:val="000000"/>
                <w:sz w:val="20"/>
                <w:szCs w:val="20"/>
                <w:lang w:val="en-ZA" w:eastAsia="en-ZA"/>
              </w:rPr>
            </w:pPr>
            <w:r w:rsidRPr="00400EA9">
              <w:rPr>
                <w:rFonts w:ascii="Arial" w:hAnsi="Arial" w:cs="Arial"/>
                <w:color w:val="000000"/>
                <w:sz w:val="20"/>
                <w:szCs w:val="20"/>
                <w:lang w:val="en-ZA" w:eastAsia="en-ZA"/>
              </w:rPr>
              <w:t xml:space="preserve">A capital project estimated at R1.7 billion has been initiated by the Refinery to meet the MES and this project is underway. Based on the capital investment processes and sound governance principles required at each of the engineering process, it has not been possible to progress the project to the levels of detail required until the official notice regarding MES requirements was published on 22 November 2013. In order to comply with the PM and VOCs MES, the available technology needs to be reviewed and selected prior to design and engineering. The technology solution needs to be designed according to our Refinery rates, configurations and operating data. In some cases, the selected technology has to be obtained internationally, thus procuring these items takes time In addition, an Environmental Impact Assessment is required, according to environmental regulations, prior to the execution and commissioning of the PM reduction project. The EIA may take 18 months to complete, making it impossible to commission the project by the deadline of 1st April 2015. The EIA is also necessary to ensure that by reducing air emissions, other environmental impacts are not significantly increased. </w:t>
            </w:r>
          </w:p>
          <w:p w:rsidR="00200BBF" w:rsidRPr="00400EA9" w:rsidRDefault="00200BBF" w:rsidP="00200BBF">
            <w:pPr>
              <w:rPr>
                <w:rFonts w:ascii="Arial" w:hAnsi="Arial" w:cs="Arial"/>
                <w:b/>
                <w:bCs/>
                <w:sz w:val="20"/>
                <w:szCs w:val="20"/>
                <w:lang w:val="en-ZA"/>
              </w:rPr>
            </w:pPr>
            <w:r w:rsidRPr="00400EA9">
              <w:rPr>
                <w:rFonts w:ascii="Arial" w:hAnsi="Arial" w:cs="Arial"/>
                <w:color w:val="000000"/>
                <w:sz w:val="20"/>
                <w:szCs w:val="20"/>
                <w:lang w:val="en-ZA" w:eastAsia="en-ZA"/>
              </w:rPr>
              <w:t>Once designed and procured, time must be allowed for construction, installation, commissioning and testing of the solutions. Optimisation is also required to achieve the required outcomes. Other considerations include the fact that tie-ins of equipment and construction phases of the project require a partial or complete Refinery shut down to execute, which must be planned in a manner that does not disrupt fuel supply within the country. It is critical that the design and planning be done in sufficient detail and according to good engineering principles to ensure the desired targets of reduction are actually met and maintained for the long term.</w:t>
            </w:r>
            <w:r w:rsidRPr="00400EA9">
              <w:rPr>
                <w:rFonts w:ascii="Arial" w:hAnsi="Arial" w:cs="Arial"/>
                <w:sz w:val="20"/>
                <w:szCs w:val="20"/>
              </w:rPr>
              <w:t xml:space="preserve">. </w:t>
            </w:r>
          </w:p>
        </w:tc>
      </w:tr>
      <w:tr w:rsidR="00200BBF" w:rsidRPr="00400EA9" w:rsidTr="00200BBF">
        <w:trPr>
          <w:trHeight w:val="1304"/>
        </w:trPr>
        <w:tc>
          <w:tcPr>
            <w:tcW w:w="25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lang w:val="en-ZA"/>
              </w:rPr>
              <w:lastRenderedPageBreak/>
              <w:t>Subcategory 2.4:</w:t>
            </w:r>
          </w:p>
          <w:p w:rsidR="00200BBF" w:rsidRPr="00400EA9" w:rsidRDefault="00200BBF" w:rsidP="00200BBF">
            <w:pPr>
              <w:rPr>
                <w:rFonts w:ascii="Arial" w:hAnsi="Arial" w:cs="Arial"/>
                <w:sz w:val="20"/>
                <w:szCs w:val="20"/>
              </w:rPr>
            </w:pPr>
            <w:r w:rsidRPr="00400EA9">
              <w:rPr>
                <w:rFonts w:ascii="Arial" w:hAnsi="Arial" w:cs="Arial"/>
                <w:sz w:val="20"/>
                <w:szCs w:val="20"/>
                <w:lang w:val="en-ZA"/>
              </w:rPr>
              <w:t>Storage &amp; Handling of Petroleum Products</w:t>
            </w:r>
          </w:p>
        </w:tc>
        <w:tc>
          <w:tcPr>
            <w:tcW w:w="13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 xml:space="preserve">Rail loading facility </w:t>
            </w:r>
          </w:p>
          <w:p w:rsidR="00200BBF" w:rsidRPr="00400EA9" w:rsidRDefault="00200BBF" w:rsidP="00200BBF">
            <w:pPr>
              <w:rPr>
                <w:rFonts w:ascii="Arial" w:hAnsi="Arial" w:cs="Arial"/>
                <w:sz w:val="20"/>
                <w:szCs w:val="20"/>
              </w:rPr>
            </w:pPr>
            <w:r w:rsidRPr="00400EA9">
              <w:rPr>
                <w:rFonts w:ascii="Arial" w:hAnsi="Arial" w:cs="Arial"/>
                <w:sz w:val="20"/>
                <w:szCs w:val="20"/>
              </w:rPr>
              <w:t> </w:t>
            </w: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2015 -2016</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lang w:val="en-ZA"/>
              </w:rPr>
              <w:t>Total Volatile Organic Compound (TVOCs)</w:t>
            </w:r>
          </w:p>
        </w:tc>
        <w:tc>
          <w:tcPr>
            <w:tcW w:w="7655" w:type="dxa"/>
            <w:vMerge/>
            <w:tcBorders>
              <w:left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rPr>
                <w:rFonts w:ascii="Arial" w:hAnsi="Arial" w:cs="Arial"/>
                <w:sz w:val="20"/>
                <w:szCs w:val="20"/>
                <w:lang w:val="en-ZA"/>
              </w:rPr>
            </w:pPr>
          </w:p>
        </w:tc>
      </w:tr>
      <w:tr w:rsidR="00200BBF" w:rsidRPr="00400EA9" w:rsidTr="00200BBF">
        <w:trPr>
          <w:trHeight w:val="1055"/>
        </w:trPr>
        <w:tc>
          <w:tcPr>
            <w:tcW w:w="25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400EA9" w:rsidRDefault="00200BBF" w:rsidP="00200BBF">
            <w:pPr>
              <w:overflowPunct w:val="0"/>
              <w:rPr>
                <w:rFonts w:ascii="Arial" w:hAnsi="Arial" w:cs="Arial"/>
                <w:b/>
                <w:bCs/>
                <w:kern w:val="24"/>
                <w:sz w:val="20"/>
                <w:szCs w:val="20"/>
                <w:lang w:val="en-ZA" w:eastAsia="en-GB"/>
              </w:rPr>
            </w:pPr>
            <w:r w:rsidRPr="00400EA9">
              <w:rPr>
                <w:rFonts w:ascii="Arial" w:hAnsi="Arial" w:cs="Arial"/>
                <w:b/>
                <w:bCs/>
                <w:kern w:val="24"/>
                <w:sz w:val="20"/>
                <w:szCs w:val="20"/>
                <w:lang w:val="en-ZA" w:eastAsia="en-GB"/>
              </w:rPr>
              <w:lastRenderedPageBreak/>
              <w:t>Subcategory 2.4:</w:t>
            </w:r>
          </w:p>
          <w:p w:rsidR="00200BBF" w:rsidRPr="00400EA9" w:rsidRDefault="00200BBF" w:rsidP="00200BBF">
            <w:pPr>
              <w:overflowPunct w:val="0"/>
              <w:rPr>
                <w:rFonts w:ascii="Arial" w:hAnsi="Arial" w:cs="Arial"/>
                <w:sz w:val="20"/>
                <w:szCs w:val="20"/>
                <w:lang w:eastAsia="en-GB"/>
              </w:rPr>
            </w:pPr>
          </w:p>
          <w:p w:rsidR="00200BBF" w:rsidRPr="00400EA9" w:rsidRDefault="00200BBF" w:rsidP="00200BBF">
            <w:pPr>
              <w:rPr>
                <w:rFonts w:ascii="Arial" w:hAnsi="Arial" w:cs="Arial"/>
                <w:bCs/>
                <w:sz w:val="20"/>
                <w:szCs w:val="20"/>
                <w:lang w:val="en-ZA"/>
              </w:rPr>
            </w:pPr>
            <w:r w:rsidRPr="00400EA9">
              <w:rPr>
                <w:rFonts w:ascii="Arial" w:hAnsi="Arial" w:cs="Arial"/>
                <w:kern w:val="24"/>
                <w:sz w:val="20"/>
                <w:szCs w:val="20"/>
                <w:lang w:val="en-ZA" w:eastAsia="en-GB"/>
              </w:rPr>
              <w:t>Storage &amp; Handling of Petroleum Products</w:t>
            </w:r>
          </w:p>
        </w:tc>
        <w:tc>
          <w:tcPr>
            <w:tcW w:w="13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400EA9" w:rsidRDefault="00200BBF" w:rsidP="00200BBF">
            <w:pPr>
              <w:rPr>
                <w:rFonts w:ascii="Arial" w:hAnsi="Arial" w:cs="Arial"/>
                <w:sz w:val="20"/>
                <w:szCs w:val="20"/>
              </w:rPr>
            </w:pPr>
            <w:r w:rsidRPr="00400EA9">
              <w:rPr>
                <w:rFonts w:ascii="Arial" w:hAnsi="Arial" w:cs="Arial"/>
                <w:bCs/>
                <w:kern w:val="24"/>
                <w:sz w:val="20"/>
                <w:szCs w:val="20"/>
                <w:lang w:eastAsia="en-GB"/>
              </w:rPr>
              <w:t>Two (2) storage tank</w:t>
            </w: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400EA9" w:rsidRDefault="00200BBF" w:rsidP="00200BBF">
            <w:pPr>
              <w:rPr>
                <w:rFonts w:ascii="Arial" w:hAnsi="Arial" w:cs="Arial"/>
                <w:sz w:val="20"/>
                <w:szCs w:val="20"/>
              </w:rPr>
            </w:pPr>
            <w:r w:rsidRPr="00400EA9">
              <w:rPr>
                <w:rFonts w:ascii="Arial" w:hAnsi="Arial" w:cs="Arial"/>
                <w:bCs/>
                <w:kern w:val="24"/>
                <w:sz w:val="20"/>
                <w:szCs w:val="20"/>
                <w:lang w:eastAsia="en-GB"/>
              </w:rPr>
              <w:t>2015 -2016</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400EA9" w:rsidRDefault="00200BBF" w:rsidP="00200BBF">
            <w:pPr>
              <w:rPr>
                <w:rFonts w:ascii="Arial" w:hAnsi="Arial" w:cs="Arial"/>
                <w:sz w:val="20"/>
                <w:szCs w:val="20"/>
                <w:lang w:val="en-ZA"/>
              </w:rPr>
            </w:pPr>
            <w:r w:rsidRPr="00400EA9">
              <w:rPr>
                <w:rFonts w:ascii="Arial" w:hAnsi="Arial" w:cs="Arial"/>
                <w:sz w:val="20"/>
                <w:szCs w:val="20"/>
                <w:lang w:val="en-ZA"/>
              </w:rPr>
              <w:t>Total Volatile Organic Compound (TVOCs)</w:t>
            </w:r>
          </w:p>
        </w:tc>
        <w:tc>
          <w:tcPr>
            <w:tcW w:w="7655"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400EA9" w:rsidRDefault="00200BBF" w:rsidP="00200BBF">
            <w:pPr>
              <w:rPr>
                <w:rFonts w:ascii="Arial" w:hAnsi="Arial" w:cs="Arial"/>
                <w:sz w:val="20"/>
                <w:szCs w:val="20"/>
                <w:lang w:val="en-ZA"/>
              </w:rPr>
            </w:pPr>
          </w:p>
        </w:tc>
      </w:tr>
    </w:tbl>
    <w:p w:rsidR="00200BBF" w:rsidRDefault="00200BBF" w:rsidP="00200BBF">
      <w:pPr>
        <w:pStyle w:val="Heading2"/>
      </w:pPr>
      <w:r>
        <w:t>Eskom Power Stations</w:t>
      </w:r>
    </w:p>
    <w:p w:rsidR="00200BBF" w:rsidRDefault="00200BBF" w:rsidP="00B72FA2">
      <w:pPr>
        <w:pStyle w:val="Heading3"/>
        <w:keepLines/>
        <w:numPr>
          <w:ilvl w:val="0"/>
          <w:numId w:val="12"/>
        </w:numPr>
        <w:overflowPunct w:val="0"/>
        <w:autoSpaceDE w:val="0"/>
        <w:autoSpaceDN w:val="0"/>
        <w:adjustRightInd w:val="0"/>
        <w:snapToGrid/>
        <w:spacing w:before="200" w:line="360" w:lineRule="auto"/>
        <w:ind w:hanging="720"/>
        <w:jc w:val="both"/>
        <w:textAlignment w:val="baseline"/>
      </w:pPr>
      <w:r>
        <w:t>Eskom Acacia Power Station, Buffalo City Municipality, Eastern Cape Province</w:t>
      </w:r>
    </w:p>
    <w:tbl>
      <w:tblPr>
        <w:tblW w:w="14591" w:type="dxa"/>
        <w:tblCellMar>
          <w:left w:w="0" w:type="dxa"/>
          <w:right w:w="0" w:type="dxa"/>
        </w:tblCellMar>
        <w:tblLook w:val="04A0"/>
      </w:tblPr>
      <w:tblGrid>
        <w:gridCol w:w="2091"/>
        <w:gridCol w:w="1158"/>
        <w:gridCol w:w="1885"/>
        <w:gridCol w:w="1802"/>
        <w:gridCol w:w="7655"/>
      </w:tblGrid>
      <w:tr w:rsidR="00200BBF" w:rsidRPr="00400EA9" w:rsidTr="00200BBF">
        <w:trPr>
          <w:trHeight w:val="352"/>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Postponement Period Sought</w:t>
            </w:r>
          </w:p>
        </w:tc>
        <w:tc>
          <w:tcPr>
            <w:tcW w:w="18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jc w:val="center"/>
              <w:rPr>
                <w:rFonts w:ascii="Arial" w:hAnsi="Arial" w:cs="Arial"/>
                <w:b/>
                <w:bCs/>
                <w:sz w:val="20"/>
                <w:szCs w:val="20"/>
              </w:rPr>
            </w:pPr>
            <w:r w:rsidRPr="00400EA9">
              <w:rPr>
                <w:rFonts w:ascii="Arial" w:hAnsi="Arial" w:cs="Arial"/>
                <w:b/>
                <w:bCs/>
                <w:sz w:val="20"/>
                <w:szCs w:val="20"/>
              </w:rPr>
              <w:t>Pollutant</w:t>
            </w:r>
          </w:p>
        </w:tc>
        <w:tc>
          <w:tcPr>
            <w:tcW w:w="7655"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rPr>
                <w:rFonts w:ascii="Arial" w:hAnsi="Arial" w:cs="Arial"/>
                <w:b/>
                <w:bCs/>
                <w:sz w:val="20"/>
                <w:szCs w:val="20"/>
              </w:rPr>
            </w:pPr>
            <w:r w:rsidRPr="00400EA9">
              <w:rPr>
                <w:rFonts w:ascii="Arial" w:hAnsi="Arial" w:cs="Arial"/>
                <w:b/>
                <w:bCs/>
                <w:sz w:val="20"/>
                <w:szCs w:val="20"/>
              </w:rPr>
              <w:t>Justification &amp; Reasons for Postponement Application</w:t>
            </w:r>
          </w:p>
        </w:tc>
      </w:tr>
      <w:tr w:rsidR="00200BBF" w:rsidRPr="00400EA9" w:rsidTr="00200BBF">
        <w:trPr>
          <w:trHeight w:val="763"/>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lang w:val="en-ZA"/>
              </w:rPr>
              <w:t xml:space="preserve">Subcategory 1.2: </w:t>
            </w:r>
            <w:r w:rsidRPr="00400EA9">
              <w:rPr>
                <w:rFonts w:ascii="Arial" w:hAnsi="Arial" w:cs="Arial"/>
                <w:sz w:val="20"/>
                <w:szCs w:val="20"/>
              </w:rPr>
              <w:t>Liquid Fuel Burning Appliances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 xml:space="preserve">6 Units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2015-2020</w:t>
            </w:r>
          </w:p>
        </w:tc>
        <w:tc>
          <w:tcPr>
            <w:tcW w:w="18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lang w:val="en-ZA"/>
              </w:rPr>
              <w:t>NO</w:t>
            </w:r>
            <w:r w:rsidRPr="00400EA9">
              <w:rPr>
                <w:rFonts w:ascii="Arial" w:hAnsi="Arial" w:cs="Arial"/>
                <w:sz w:val="20"/>
                <w:szCs w:val="20"/>
                <w:vertAlign w:val="subscript"/>
                <w:lang w:val="en-ZA"/>
              </w:rPr>
              <w:t>X</w:t>
            </w:r>
          </w:p>
          <w:p w:rsidR="00200BBF" w:rsidRPr="00400EA9" w:rsidRDefault="00200BBF" w:rsidP="00200BBF">
            <w:pPr>
              <w:rPr>
                <w:rFonts w:ascii="Arial" w:hAnsi="Arial" w:cs="Arial"/>
                <w:sz w:val="20"/>
                <w:szCs w:val="20"/>
              </w:rPr>
            </w:pPr>
          </w:p>
        </w:tc>
        <w:tc>
          <w:tcPr>
            <w:tcW w:w="7655" w:type="dxa"/>
            <w:tcBorders>
              <w:top w:val="single" w:sz="8" w:space="0" w:color="FFFFFF"/>
              <w:left w:val="single" w:sz="8" w:space="0" w:color="FFFFFF"/>
              <w:bottom w:val="single" w:sz="8" w:space="0" w:color="FFFFFF"/>
              <w:right w:val="single" w:sz="8" w:space="0" w:color="FFFFFF"/>
            </w:tcBorders>
            <w:shd w:val="clear" w:color="auto" w:fill="D0D8E8"/>
          </w:tcPr>
          <w:p w:rsidR="00200BBF" w:rsidRPr="00400EA9" w:rsidRDefault="00200BBF" w:rsidP="00200BBF">
            <w:pPr>
              <w:spacing w:line="360" w:lineRule="auto"/>
              <w:rPr>
                <w:rFonts w:ascii="Arial" w:hAnsi="Arial" w:cs="Arial"/>
                <w:bCs/>
                <w:sz w:val="20"/>
                <w:szCs w:val="20"/>
                <w:lang w:val="en-ZA"/>
              </w:rPr>
            </w:pPr>
            <w:r w:rsidRPr="00400EA9">
              <w:rPr>
                <w:rFonts w:ascii="Arial" w:hAnsi="Arial" w:cs="Arial"/>
                <w:bCs/>
                <w:sz w:val="20"/>
                <w:szCs w:val="20"/>
                <w:lang w:val="en-ZA"/>
              </w:rPr>
              <w:t>Eskom provided the following reasons for the Acacia postponement application:</w:t>
            </w:r>
          </w:p>
          <w:p w:rsidR="00200BBF" w:rsidRPr="00400EA9" w:rsidRDefault="00200BBF" w:rsidP="00B72FA2">
            <w:pPr>
              <w:pStyle w:val="ListParagraph"/>
              <w:numPr>
                <w:ilvl w:val="0"/>
                <w:numId w:val="10"/>
              </w:numPr>
              <w:spacing w:after="200" w:line="276" w:lineRule="auto"/>
              <w:jc w:val="both"/>
              <w:rPr>
                <w:rFonts w:ascii="Arial" w:hAnsi="Arial" w:cs="Arial"/>
                <w:bCs/>
                <w:sz w:val="20"/>
                <w:szCs w:val="20"/>
                <w:lang w:val="en-ZA"/>
              </w:rPr>
            </w:pPr>
            <w:r w:rsidRPr="00400EA9">
              <w:rPr>
                <w:rFonts w:ascii="Arial" w:hAnsi="Arial" w:cs="Arial"/>
                <w:bCs/>
                <w:sz w:val="20"/>
                <w:szCs w:val="20"/>
                <w:lang w:val="en-ZA"/>
              </w:rPr>
              <w:t xml:space="preserve">Load factor: Acacia is a peaking station, which is only used infrequently in </w:t>
            </w:r>
            <w:r w:rsidRPr="00400EA9">
              <w:rPr>
                <w:rFonts w:ascii="Arial" w:hAnsi="Arial" w:cs="Arial"/>
                <w:bCs/>
                <w:sz w:val="20"/>
                <w:szCs w:val="20"/>
                <w:lang w:val="en-ZA"/>
              </w:rPr>
              <w:lastRenderedPageBreak/>
              <w:t>emergency situations. The average number of hours for which each engine at Acacia operated in the last two financial years (1 April 2011 to 31 March 2013) is 43.6 hours and the corresponding load factors is 0.50%. In the last two years, each engine operated on average for 44 hours a year, i.e. for less than two days a year.</w:t>
            </w:r>
          </w:p>
          <w:p w:rsidR="00200BBF" w:rsidRPr="00400EA9" w:rsidRDefault="00200BBF" w:rsidP="00B72FA2">
            <w:pPr>
              <w:pStyle w:val="ListParagraph"/>
              <w:numPr>
                <w:ilvl w:val="0"/>
                <w:numId w:val="10"/>
              </w:numPr>
              <w:spacing w:after="200" w:line="276" w:lineRule="auto"/>
              <w:jc w:val="both"/>
              <w:rPr>
                <w:rFonts w:ascii="Arial" w:hAnsi="Arial" w:cs="Arial"/>
                <w:bCs/>
                <w:sz w:val="20"/>
                <w:szCs w:val="20"/>
                <w:lang w:val="en-ZA"/>
              </w:rPr>
            </w:pPr>
            <w:r w:rsidRPr="00400EA9">
              <w:rPr>
                <w:rFonts w:ascii="Arial" w:hAnsi="Arial" w:cs="Arial"/>
                <w:bCs/>
                <w:sz w:val="20"/>
                <w:szCs w:val="20"/>
                <w:lang w:val="en-ZA"/>
              </w:rPr>
              <w:t>Age of power station: The three units at Acacia were commissioned in 1976. They are thus now 37 years old. Although the decommissioning date of Acacia is not fixed, planning is typically done according to a 50-year life, which means that Acacia may be decommissioned around 2026.</w:t>
            </w:r>
          </w:p>
          <w:p w:rsidR="00200BBF" w:rsidRPr="00400EA9" w:rsidRDefault="00200BBF" w:rsidP="00B72FA2">
            <w:pPr>
              <w:pStyle w:val="ListParagraph"/>
              <w:numPr>
                <w:ilvl w:val="0"/>
                <w:numId w:val="10"/>
              </w:numPr>
              <w:spacing w:after="200" w:line="276" w:lineRule="auto"/>
              <w:jc w:val="both"/>
              <w:rPr>
                <w:rFonts w:ascii="Arial" w:hAnsi="Arial" w:cs="Arial"/>
                <w:bCs/>
                <w:sz w:val="20"/>
                <w:szCs w:val="20"/>
                <w:lang w:val="en-ZA"/>
              </w:rPr>
            </w:pPr>
            <w:r w:rsidRPr="00400EA9">
              <w:rPr>
                <w:rFonts w:ascii="Arial" w:hAnsi="Arial" w:cs="Arial"/>
                <w:bCs/>
                <w:sz w:val="20"/>
                <w:szCs w:val="20"/>
                <w:lang w:val="en-ZA"/>
              </w:rPr>
              <w:t>Impact on ambient air quality: There are multiple sources of atmospheric emissions in Cape Town including industrial emissions which derive most notably from the Caltex oil refinery in Milnerton, and motor vehicle emissions. Cape Town has a specific air quality problem, which is known as ‘brown haze’ which occurs during stable atmospheric conditions. Various studies have highlighted that the brown haze is derived principally from emissions from diesel vehicles.</w:t>
            </w:r>
          </w:p>
          <w:p w:rsidR="00200BBF" w:rsidRPr="00400EA9" w:rsidRDefault="00200BBF" w:rsidP="00B72FA2">
            <w:pPr>
              <w:pStyle w:val="ListParagraph"/>
              <w:numPr>
                <w:ilvl w:val="0"/>
                <w:numId w:val="10"/>
              </w:numPr>
              <w:spacing w:after="200" w:line="276" w:lineRule="auto"/>
              <w:jc w:val="both"/>
              <w:rPr>
                <w:rFonts w:ascii="Arial" w:hAnsi="Arial" w:cs="Arial"/>
                <w:bCs/>
                <w:sz w:val="20"/>
                <w:szCs w:val="20"/>
                <w:lang w:val="en-ZA"/>
              </w:rPr>
            </w:pPr>
            <w:r w:rsidRPr="00400EA9">
              <w:rPr>
                <w:rFonts w:ascii="Arial" w:hAnsi="Arial" w:cs="Arial"/>
                <w:bCs/>
                <w:sz w:val="20"/>
                <w:szCs w:val="20"/>
                <w:lang w:val="en-ZA"/>
              </w:rPr>
              <w:t>Cost implication of compliance with the MES: Considering that Acacia is an emergency power station and each engine runs for less than two days a year, on average, and the fact that Acacia has a negligible impact on ambient air quality, there is little benefit in retrofitting de-NOx technology at Acacia. This is further motivated by the direct financial costs of achieving compliance with the Minimum Emission Standards at all Eskom’s power stations. NOx emission reduction is estimated to cost between R10 and R40 billion for all power stations.</w:t>
            </w:r>
          </w:p>
        </w:tc>
      </w:tr>
    </w:tbl>
    <w:p w:rsidR="00200BBF" w:rsidRDefault="00200BBF" w:rsidP="00200BBF"/>
    <w:p w:rsidR="00200BBF" w:rsidRDefault="00200BBF" w:rsidP="00200BBF">
      <w:pPr>
        <w:pStyle w:val="Heading3"/>
      </w:pPr>
    </w:p>
    <w:p w:rsidR="00200BBF" w:rsidRDefault="00200BBF" w:rsidP="00B72FA2">
      <w:pPr>
        <w:pStyle w:val="Heading3"/>
        <w:keepLines/>
        <w:numPr>
          <w:ilvl w:val="0"/>
          <w:numId w:val="12"/>
        </w:numPr>
        <w:overflowPunct w:val="0"/>
        <w:autoSpaceDE w:val="0"/>
        <w:autoSpaceDN w:val="0"/>
        <w:adjustRightInd w:val="0"/>
        <w:snapToGrid/>
        <w:spacing w:before="200" w:line="360" w:lineRule="auto"/>
        <w:ind w:hanging="578"/>
        <w:jc w:val="both"/>
        <w:textAlignment w:val="baseline"/>
      </w:pPr>
      <w:r>
        <w:t>Eskom Arnot Power Station, Nkangala District Municipality, Mpumalanga Province</w:t>
      </w:r>
    </w:p>
    <w:tbl>
      <w:tblPr>
        <w:tblW w:w="14732" w:type="dxa"/>
        <w:tblCellMar>
          <w:left w:w="0" w:type="dxa"/>
          <w:right w:w="0" w:type="dxa"/>
        </w:tblCellMar>
        <w:tblLook w:val="04A0"/>
      </w:tblPr>
      <w:tblGrid>
        <w:gridCol w:w="1805"/>
        <w:gridCol w:w="1158"/>
        <w:gridCol w:w="1763"/>
        <w:gridCol w:w="934"/>
        <w:gridCol w:w="9072"/>
      </w:tblGrid>
      <w:tr w:rsidR="00200BBF" w:rsidRPr="00400EA9" w:rsidTr="00200BBF">
        <w:trPr>
          <w:trHeight w:val="76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Postponement Period Sought</w:t>
            </w:r>
          </w:p>
        </w:tc>
        <w:tc>
          <w:tcPr>
            <w:tcW w:w="934" w:type="dxa"/>
            <w:tcBorders>
              <w:top w:val="single" w:sz="8" w:space="0" w:color="FFFFFF"/>
              <w:left w:val="single" w:sz="8" w:space="0" w:color="FFFFFF"/>
              <w:bottom w:val="single" w:sz="24" w:space="0" w:color="FFFFFF"/>
              <w:right w:val="single" w:sz="8" w:space="0" w:color="FFFFFF"/>
            </w:tcBorders>
            <w:shd w:val="clear" w:color="auto" w:fill="4F81BD"/>
          </w:tcPr>
          <w:p w:rsidR="00200BBF" w:rsidRPr="00400EA9" w:rsidRDefault="00200BBF" w:rsidP="00200BBF">
            <w:pPr>
              <w:rPr>
                <w:rFonts w:ascii="Arial" w:hAnsi="Arial" w:cs="Arial"/>
                <w:sz w:val="20"/>
                <w:szCs w:val="20"/>
              </w:rPr>
            </w:pPr>
            <w:r w:rsidRPr="00400EA9">
              <w:rPr>
                <w:rFonts w:ascii="Arial" w:hAnsi="Arial" w:cs="Arial"/>
                <w:b/>
                <w:bCs/>
                <w:sz w:val="20"/>
                <w:szCs w:val="20"/>
              </w:rPr>
              <w:t>Pollutant</w:t>
            </w:r>
          </w:p>
        </w:tc>
        <w:tc>
          <w:tcPr>
            <w:tcW w:w="9072"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rPr>
                <w:rFonts w:ascii="Arial" w:hAnsi="Arial" w:cs="Arial"/>
                <w:b/>
                <w:bCs/>
                <w:sz w:val="20"/>
                <w:szCs w:val="20"/>
              </w:rPr>
            </w:pPr>
            <w:r w:rsidRPr="00400EA9">
              <w:rPr>
                <w:rFonts w:ascii="Arial" w:hAnsi="Arial" w:cs="Arial"/>
                <w:b/>
                <w:bCs/>
                <w:sz w:val="20"/>
                <w:szCs w:val="20"/>
              </w:rPr>
              <w:t>Justification &amp; Reasons for Postponement Application</w:t>
            </w:r>
          </w:p>
        </w:tc>
      </w:tr>
      <w:tr w:rsidR="00200BBF" w:rsidRPr="00400EA9" w:rsidTr="00200BBF">
        <w:trPr>
          <w:trHeight w:val="3628"/>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lang w:val="en-ZA"/>
              </w:rPr>
              <w:lastRenderedPageBreak/>
              <w:t xml:space="preserve">Subcategory 1.1: </w:t>
            </w:r>
            <w:r w:rsidRPr="00400EA9">
              <w:rPr>
                <w:rFonts w:ascii="Arial" w:hAnsi="Arial" w:cs="Arial"/>
                <w:sz w:val="20"/>
                <w:szCs w:val="20"/>
              </w:rPr>
              <w:t>Solid Fuel Burning Appliances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 xml:space="preserve">6 Units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2015-2020</w:t>
            </w:r>
          </w:p>
        </w:tc>
        <w:tc>
          <w:tcPr>
            <w:tcW w:w="934" w:type="dxa"/>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spacing w:line="360" w:lineRule="auto"/>
              <w:rPr>
                <w:rFonts w:ascii="Arial" w:hAnsi="Arial" w:cs="Arial"/>
                <w:sz w:val="20"/>
                <w:szCs w:val="20"/>
              </w:rPr>
            </w:pPr>
            <w:r w:rsidRPr="00400EA9">
              <w:rPr>
                <w:rFonts w:ascii="Arial" w:hAnsi="Arial" w:cs="Arial"/>
                <w:sz w:val="20"/>
                <w:szCs w:val="20"/>
              </w:rPr>
              <w:t>PM</w:t>
            </w:r>
          </w:p>
          <w:p w:rsidR="00200BBF" w:rsidRPr="00400EA9" w:rsidRDefault="00200BBF" w:rsidP="00200BBF">
            <w:pPr>
              <w:spacing w:line="360" w:lineRule="auto"/>
              <w:rPr>
                <w:rFonts w:ascii="Arial" w:hAnsi="Arial" w:cs="Arial"/>
                <w:sz w:val="20"/>
                <w:szCs w:val="20"/>
              </w:rPr>
            </w:pPr>
            <w:r w:rsidRPr="00400EA9">
              <w:rPr>
                <w:rFonts w:ascii="Arial" w:hAnsi="Arial" w:cs="Arial"/>
                <w:sz w:val="20"/>
                <w:szCs w:val="20"/>
              </w:rPr>
              <w:t>SO</w:t>
            </w:r>
            <w:r w:rsidRPr="00400EA9">
              <w:rPr>
                <w:rFonts w:ascii="Arial" w:hAnsi="Arial" w:cs="Arial"/>
                <w:sz w:val="20"/>
                <w:szCs w:val="20"/>
                <w:vertAlign w:val="subscript"/>
              </w:rPr>
              <w:t>2</w:t>
            </w:r>
          </w:p>
          <w:p w:rsidR="00200BBF" w:rsidRPr="00400EA9" w:rsidRDefault="00200BBF" w:rsidP="00200BBF">
            <w:pPr>
              <w:spacing w:line="360" w:lineRule="auto"/>
              <w:rPr>
                <w:rFonts w:ascii="Arial" w:hAnsi="Arial" w:cs="Arial"/>
                <w:sz w:val="20"/>
                <w:szCs w:val="20"/>
              </w:rPr>
            </w:pPr>
            <w:r w:rsidRPr="00400EA9">
              <w:rPr>
                <w:rFonts w:ascii="Arial" w:hAnsi="Arial" w:cs="Arial"/>
                <w:sz w:val="20"/>
                <w:szCs w:val="20"/>
              </w:rPr>
              <w:t>NOx</w:t>
            </w:r>
          </w:p>
          <w:p w:rsidR="00200BBF" w:rsidRPr="00400EA9" w:rsidRDefault="00200BBF" w:rsidP="00200BBF">
            <w:pPr>
              <w:rPr>
                <w:rFonts w:ascii="Arial" w:hAnsi="Arial" w:cs="Arial"/>
                <w:b/>
                <w:color w:val="C00000"/>
                <w:sz w:val="20"/>
                <w:szCs w:val="20"/>
              </w:rPr>
            </w:pPr>
          </w:p>
        </w:tc>
        <w:tc>
          <w:tcPr>
            <w:tcW w:w="9072" w:type="dxa"/>
            <w:tcBorders>
              <w:top w:val="single" w:sz="8" w:space="0" w:color="FFFFFF"/>
              <w:left w:val="single" w:sz="8" w:space="0" w:color="FFFFFF"/>
              <w:right w:val="single" w:sz="8" w:space="0" w:color="FFFFFF"/>
            </w:tcBorders>
            <w:shd w:val="clear" w:color="auto" w:fill="D0D8E8"/>
          </w:tcPr>
          <w:p w:rsidR="00200BBF" w:rsidRPr="00400EA9" w:rsidRDefault="00200BBF" w:rsidP="00B72FA2">
            <w:pPr>
              <w:numPr>
                <w:ilvl w:val="0"/>
                <w:numId w:val="11"/>
              </w:numPr>
              <w:spacing w:after="200" w:line="276" w:lineRule="auto"/>
              <w:contextualSpacing/>
              <w:jc w:val="both"/>
              <w:rPr>
                <w:rFonts w:ascii="Arial" w:hAnsi="Arial" w:cs="Arial"/>
                <w:bCs/>
                <w:sz w:val="20"/>
                <w:szCs w:val="20"/>
                <w:lang w:val="en-ZA"/>
              </w:rPr>
            </w:pPr>
            <w:r w:rsidRPr="00400EA9">
              <w:rPr>
                <w:rFonts w:ascii="Arial" w:hAnsi="Arial" w:cs="Arial"/>
                <w:bCs/>
                <w:iCs/>
                <w:sz w:val="20"/>
                <w:szCs w:val="20"/>
              </w:rPr>
              <w:t>Water availability: Both wet and semi-dry FGD are critically dependent on the availability of large quantities of water being available at the power stations where FGD is deployed. Also the water demands of FGD increase the water required by a wet-cooled power station like Arnot by some 1.3 times (around 27 million m3/annum without FGD, to more than 36 million cubic meters per annum with wet FGD). The Arnot Power Station being a wet-cooled power station already uses large quantities of water. There is currently no additional water available to operate FGD at Eskom’s power stations. Additional water will only become available when the second phase of the Lesotho Highlands project has been completed, which is currently scheduled for 2021. The argument is also not just one of having water available in the catchment, it is also one of determining whether FGD is a judicious use of what is an extremely scarce resource in South Africa in the face of multiple competing demands for that same resource. More than 98% of South Africa’s available water has already been allocated.</w:t>
            </w:r>
          </w:p>
          <w:p w:rsidR="00200BBF" w:rsidRPr="00400EA9" w:rsidRDefault="00200BBF" w:rsidP="00B72FA2">
            <w:pPr>
              <w:numPr>
                <w:ilvl w:val="0"/>
                <w:numId w:val="11"/>
              </w:numPr>
              <w:spacing w:after="200" w:line="276" w:lineRule="auto"/>
              <w:contextualSpacing/>
              <w:jc w:val="both"/>
              <w:rPr>
                <w:rFonts w:ascii="Arial" w:hAnsi="Arial" w:cs="Arial"/>
                <w:bCs/>
                <w:sz w:val="20"/>
                <w:szCs w:val="20"/>
                <w:lang w:val="en-ZA"/>
              </w:rPr>
            </w:pPr>
            <w:r w:rsidRPr="00400EA9">
              <w:rPr>
                <w:rFonts w:ascii="Arial" w:hAnsi="Arial" w:cs="Arial"/>
                <w:bCs/>
                <w:sz w:val="20"/>
                <w:szCs w:val="20"/>
                <w:lang w:val="en-ZA"/>
              </w:rPr>
              <w:t>Environmental implications of FGD: FGD is not without negative environmental consequences-</w:t>
            </w:r>
          </w:p>
          <w:p w:rsidR="00200BBF" w:rsidRPr="00400EA9" w:rsidRDefault="00200BBF" w:rsidP="00B72FA2">
            <w:pPr>
              <w:numPr>
                <w:ilvl w:val="0"/>
                <w:numId w:val="19"/>
              </w:numPr>
              <w:spacing w:after="200" w:line="276" w:lineRule="auto"/>
              <w:contextualSpacing/>
              <w:jc w:val="both"/>
              <w:rPr>
                <w:rFonts w:ascii="Arial" w:hAnsi="Arial" w:cs="Arial"/>
                <w:bCs/>
                <w:sz w:val="20"/>
                <w:szCs w:val="20"/>
                <w:lang w:val="en-ZA"/>
              </w:rPr>
            </w:pPr>
            <w:r w:rsidRPr="00400EA9">
              <w:rPr>
                <w:rFonts w:ascii="Arial" w:hAnsi="Arial" w:cs="Arial"/>
                <w:bCs/>
                <w:sz w:val="20"/>
                <w:szCs w:val="20"/>
                <w:lang w:val="en-ZA"/>
              </w:rPr>
              <w:t>Up to 200 000 tons of sorbent (limestone) per annum is required to operate the FGD. The main source of sorbent is the Northern Cape, so the sorbent would need to be transported over hundreds of kilometres, preferably by rail or otherwise by road. The transport of the sorbent would result in environmental impacts, notably greenhouse gas emissions, and fugitive dust emissions. An increase in truck traffic would also result in an increase in driver mortalities, as has been observed in association with coal transport in Mpumalanga.</w:t>
            </w:r>
          </w:p>
          <w:p w:rsidR="00200BBF" w:rsidRPr="00400EA9" w:rsidRDefault="00200BBF" w:rsidP="00B72FA2">
            <w:pPr>
              <w:numPr>
                <w:ilvl w:val="0"/>
                <w:numId w:val="19"/>
              </w:numPr>
              <w:spacing w:after="200" w:line="276" w:lineRule="auto"/>
              <w:contextualSpacing/>
              <w:jc w:val="both"/>
              <w:rPr>
                <w:rFonts w:ascii="Arial" w:hAnsi="Arial" w:cs="Arial"/>
                <w:bCs/>
                <w:sz w:val="20"/>
                <w:szCs w:val="20"/>
                <w:lang w:val="en-ZA"/>
              </w:rPr>
            </w:pPr>
            <w:r w:rsidRPr="00400EA9">
              <w:rPr>
                <w:rFonts w:ascii="Arial" w:hAnsi="Arial" w:cs="Arial"/>
                <w:bCs/>
                <w:sz w:val="20"/>
                <w:szCs w:val="20"/>
                <w:lang w:val="en-ZA"/>
              </w:rPr>
              <w:t>Up to 360 000 tons of gypsum will be produced per annum as a by-product of the FGD process. If a high quality limestone is used, a high quality gypsum can be produced by wet FGD, and this could be taken up by the market for e.g. wallboard production. Lower grade gypsum can also be used for agricultural purposes. However, if there is not sufficient demand from the market, the gypsum will need to be disposed of in which case it would need to be managed carefully to ensure that there are no impacts on groundwater or air quality (from fugitive dust emissions).</w:t>
            </w:r>
          </w:p>
          <w:p w:rsidR="00200BBF" w:rsidRPr="00400EA9" w:rsidRDefault="00200BBF" w:rsidP="00B72FA2">
            <w:pPr>
              <w:numPr>
                <w:ilvl w:val="0"/>
                <w:numId w:val="19"/>
              </w:numPr>
              <w:spacing w:after="200" w:line="276" w:lineRule="auto"/>
              <w:contextualSpacing/>
              <w:jc w:val="both"/>
              <w:rPr>
                <w:rFonts w:ascii="Arial" w:hAnsi="Arial" w:cs="Arial"/>
                <w:bCs/>
                <w:sz w:val="20"/>
                <w:szCs w:val="20"/>
                <w:lang w:val="en-ZA"/>
              </w:rPr>
            </w:pPr>
            <w:r w:rsidRPr="00400EA9">
              <w:rPr>
                <w:rFonts w:ascii="Arial" w:hAnsi="Arial" w:cs="Arial"/>
                <w:bCs/>
                <w:sz w:val="20"/>
                <w:szCs w:val="20"/>
                <w:lang w:val="en-ZA"/>
              </w:rPr>
              <w:t>Arnot is expected to produce an additional approximately 90 000 tons of CO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per annum, as the wet FGD process directly produces CO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as a by-product through the reaction: SO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 CaCO</w:t>
            </w:r>
            <w:r w:rsidRPr="00400EA9">
              <w:rPr>
                <w:rFonts w:ascii="Arial" w:hAnsi="Arial" w:cs="Arial"/>
                <w:bCs/>
                <w:sz w:val="20"/>
                <w:szCs w:val="20"/>
                <w:vertAlign w:val="subscript"/>
                <w:lang w:val="en-ZA"/>
              </w:rPr>
              <w:t>3</w:t>
            </w:r>
            <w:r w:rsidRPr="00400EA9">
              <w:rPr>
                <w:rFonts w:ascii="Arial" w:hAnsi="Arial" w:cs="Arial"/>
                <w:bCs/>
                <w:sz w:val="20"/>
                <w:szCs w:val="20"/>
                <w:lang w:val="en-ZA"/>
              </w:rPr>
              <w:t xml:space="preserve"> → CaSO</w:t>
            </w:r>
            <w:r w:rsidRPr="00400EA9">
              <w:rPr>
                <w:rFonts w:ascii="Arial" w:hAnsi="Arial" w:cs="Arial"/>
                <w:bCs/>
                <w:sz w:val="20"/>
                <w:szCs w:val="20"/>
                <w:vertAlign w:val="subscript"/>
                <w:lang w:val="en-ZA"/>
              </w:rPr>
              <w:t>4</w:t>
            </w:r>
            <w:r w:rsidRPr="00400EA9">
              <w:rPr>
                <w:rFonts w:ascii="Arial" w:hAnsi="Arial" w:cs="Arial"/>
                <w:bCs/>
                <w:sz w:val="20"/>
                <w:szCs w:val="20"/>
                <w:lang w:val="en-ZA"/>
              </w:rPr>
              <w:t xml:space="preserve"> + CO</w:t>
            </w:r>
            <w:r w:rsidRPr="00400EA9">
              <w:rPr>
                <w:rFonts w:ascii="Arial" w:hAnsi="Arial" w:cs="Arial"/>
                <w:bCs/>
                <w:sz w:val="20"/>
                <w:szCs w:val="20"/>
                <w:vertAlign w:val="subscript"/>
                <w:lang w:val="en-ZA"/>
              </w:rPr>
              <w:t>2</w:t>
            </w:r>
            <w:r w:rsidRPr="00400EA9">
              <w:rPr>
                <w:rFonts w:ascii="Arial" w:hAnsi="Arial" w:cs="Arial"/>
                <w:bCs/>
                <w:sz w:val="20"/>
                <w:szCs w:val="20"/>
                <w:lang w:val="en-ZA"/>
              </w:rPr>
              <w:t>. In addition, the electricity output of Arnot would be reduced by around 1% due to the additional auxiliary power requirements of the FGD, and correspondingly the relative CO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emissions would increase by 1%.</w:t>
            </w:r>
          </w:p>
          <w:p w:rsidR="00200BBF" w:rsidRPr="00400EA9" w:rsidRDefault="00200BBF" w:rsidP="00B72FA2">
            <w:pPr>
              <w:numPr>
                <w:ilvl w:val="0"/>
                <w:numId w:val="20"/>
              </w:numPr>
              <w:spacing w:after="200" w:line="276" w:lineRule="auto"/>
              <w:contextualSpacing/>
              <w:jc w:val="both"/>
              <w:rPr>
                <w:rFonts w:ascii="Arial" w:hAnsi="Arial" w:cs="Arial"/>
                <w:bCs/>
                <w:sz w:val="20"/>
                <w:szCs w:val="20"/>
                <w:lang w:val="en-ZA"/>
              </w:rPr>
            </w:pPr>
            <w:r w:rsidRPr="00400EA9">
              <w:rPr>
                <w:rFonts w:ascii="Arial" w:hAnsi="Arial" w:cs="Arial"/>
                <w:bCs/>
                <w:sz w:val="20"/>
                <w:szCs w:val="20"/>
                <w:lang w:val="en-ZA"/>
              </w:rPr>
              <w:t xml:space="preserve">Age of power station: Arnot is currently scheduled to be decommissioned between 2021 and </w:t>
            </w:r>
            <w:r w:rsidRPr="00400EA9">
              <w:rPr>
                <w:rFonts w:ascii="Arial" w:hAnsi="Arial" w:cs="Arial"/>
                <w:bCs/>
                <w:sz w:val="20"/>
                <w:szCs w:val="20"/>
                <w:lang w:val="en-ZA"/>
              </w:rPr>
              <w:lastRenderedPageBreak/>
              <w:t>2029, according to the 50-year life currently planned for in the Integrated Resource Plan. There is a chance that decommissioning could start in 2031 if the power station life is extended to 60 years. An FGD retrofit could only commence in 2022 at the earliest, when water becomes available. Typically, one unit per year is retrofitted. Furthermore, there are other power stations which are higher priority for retrofits (given Arnot’s small size). It thus makes no sense to spend many billions of rands on a power station which will only run for about 2 years once the retrofits have been completed.</w:t>
            </w:r>
          </w:p>
          <w:p w:rsidR="00200BBF" w:rsidRPr="00400EA9" w:rsidRDefault="00200BBF" w:rsidP="00B72FA2">
            <w:pPr>
              <w:numPr>
                <w:ilvl w:val="0"/>
                <w:numId w:val="20"/>
              </w:numPr>
              <w:spacing w:after="200" w:line="276" w:lineRule="auto"/>
              <w:contextualSpacing/>
              <w:jc w:val="both"/>
              <w:rPr>
                <w:rFonts w:ascii="Arial" w:hAnsi="Arial" w:cs="Arial"/>
                <w:bCs/>
                <w:sz w:val="20"/>
                <w:szCs w:val="20"/>
                <w:lang w:val="en-ZA"/>
              </w:rPr>
            </w:pPr>
            <w:r w:rsidRPr="00400EA9">
              <w:rPr>
                <w:rFonts w:ascii="Arial" w:hAnsi="Arial" w:cs="Arial"/>
                <w:bCs/>
                <w:sz w:val="20"/>
                <w:szCs w:val="20"/>
                <w:lang w:val="en-ZA"/>
              </w:rPr>
              <w:t>Impact on ambient air quality: DEA established an ambient air quality monitoring station at Hendrina in 2010 measuring, amongst others, ambient SO</w:t>
            </w:r>
            <w:r w:rsidRPr="00400EA9">
              <w:rPr>
                <w:rFonts w:ascii="Arial" w:hAnsi="Arial" w:cs="Arial"/>
                <w:bCs/>
                <w:sz w:val="20"/>
                <w:szCs w:val="20"/>
                <w:vertAlign w:val="subscript"/>
                <w:lang w:val="en-ZA"/>
              </w:rPr>
              <w:t>2</w:t>
            </w:r>
            <w:r w:rsidRPr="00400EA9">
              <w:rPr>
                <w:rFonts w:ascii="Arial" w:hAnsi="Arial" w:cs="Arial"/>
                <w:bCs/>
                <w:sz w:val="20"/>
                <w:szCs w:val="20"/>
                <w:lang w:val="en-ZA"/>
              </w:rPr>
              <w:t>, NO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and PM10 concentrations and meteorological parameters. The impact of Arnot’s emissions on ambient air quality has been comprehensively assessed in the accompanying independently compiled Atmospheric Impact Report. It can be seen from the measured ambient air quality measurements from the Hendrina monitoring station that both SO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and NO</w:t>
            </w:r>
            <w:r w:rsidRPr="00400EA9">
              <w:rPr>
                <w:rFonts w:ascii="Arial" w:hAnsi="Arial" w:cs="Arial"/>
                <w:bCs/>
                <w:sz w:val="20"/>
                <w:szCs w:val="20"/>
                <w:vertAlign w:val="subscript"/>
                <w:lang w:val="en-ZA"/>
              </w:rPr>
              <w:t>2</w:t>
            </w:r>
            <w:r w:rsidRPr="00400EA9">
              <w:rPr>
                <w:rFonts w:ascii="Arial" w:hAnsi="Arial" w:cs="Arial"/>
                <w:bCs/>
                <w:sz w:val="20"/>
                <w:szCs w:val="20"/>
                <w:lang w:val="en-ZA"/>
              </w:rPr>
              <w:t xml:space="preserve"> comply with the NAAQS for the various averaging periods, but PM10 is seen not to comply. Ambient daily PM10 concentrations indicate sustained high loading and non-compliance with the PM10 NAAQS. Analysis of diurnal data shows that the Arnot Power Station does not contribute significantly to ambient PM10 and that the exceedances derive from ground level emissions such as domestic fuel use.</w:t>
            </w:r>
          </w:p>
          <w:p w:rsidR="00200BBF" w:rsidRPr="00400EA9" w:rsidRDefault="00200BBF" w:rsidP="00B72FA2">
            <w:pPr>
              <w:pStyle w:val="ListParagraph"/>
              <w:numPr>
                <w:ilvl w:val="0"/>
                <w:numId w:val="11"/>
              </w:numPr>
              <w:spacing w:after="200" w:line="276" w:lineRule="auto"/>
              <w:jc w:val="both"/>
              <w:rPr>
                <w:rFonts w:ascii="Arial" w:hAnsi="Arial" w:cs="Arial"/>
                <w:bCs/>
                <w:sz w:val="20"/>
                <w:szCs w:val="20"/>
                <w:lang w:val="en-ZA"/>
              </w:rPr>
            </w:pPr>
            <w:r w:rsidRPr="00400EA9">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bl>
    <w:p w:rsidR="00200BBF" w:rsidRDefault="00200BBF" w:rsidP="00200BBF"/>
    <w:p w:rsidR="00200BBF" w:rsidRDefault="00200BBF" w:rsidP="00200BBF"/>
    <w:p w:rsidR="00200BBF" w:rsidRDefault="00200BBF" w:rsidP="00200BBF"/>
    <w:p w:rsidR="00200BBF" w:rsidRDefault="00200BBF" w:rsidP="00200BBF"/>
    <w:p w:rsidR="00200BBF" w:rsidRDefault="00200BBF" w:rsidP="00200BBF"/>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p>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r w:rsidRPr="004F4F23">
        <w:rPr>
          <w:rFonts w:eastAsiaTheme="majorEastAsia" w:cstheme="majorBidi"/>
          <w:b/>
          <w:bCs/>
          <w:szCs w:val="20"/>
        </w:rPr>
        <w:t>Eskom Camden Power Station, Gert Sibande District Municipality, Mpumalanga Province</w:t>
      </w:r>
    </w:p>
    <w:p w:rsidR="00200BBF" w:rsidRPr="004F4F23" w:rsidRDefault="00200BBF" w:rsidP="00200BBF"/>
    <w:tbl>
      <w:tblPr>
        <w:tblW w:w="14732" w:type="dxa"/>
        <w:tblCellMar>
          <w:left w:w="0" w:type="dxa"/>
          <w:right w:w="0" w:type="dxa"/>
        </w:tblCellMar>
        <w:tblLook w:val="04A0"/>
      </w:tblPr>
      <w:tblGrid>
        <w:gridCol w:w="1651"/>
        <w:gridCol w:w="1158"/>
        <w:gridCol w:w="1692"/>
        <w:gridCol w:w="1159"/>
        <w:gridCol w:w="9072"/>
      </w:tblGrid>
      <w:tr w:rsidR="00200BBF" w:rsidRPr="00400EA9" w:rsidTr="00200BBF">
        <w:trPr>
          <w:trHeight w:val="76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lastRenderedPageBreak/>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Postponement Period Sought</w:t>
            </w:r>
          </w:p>
        </w:tc>
        <w:tc>
          <w:tcPr>
            <w:tcW w:w="115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200BBF" w:rsidRPr="00400EA9" w:rsidRDefault="00200BBF" w:rsidP="00200BBF">
            <w:pPr>
              <w:jc w:val="center"/>
              <w:rPr>
                <w:rFonts w:ascii="Arial" w:hAnsi="Arial" w:cs="Arial"/>
                <w:sz w:val="20"/>
                <w:szCs w:val="20"/>
              </w:rPr>
            </w:pPr>
            <w:r w:rsidRPr="00400EA9">
              <w:rPr>
                <w:rFonts w:ascii="Arial" w:hAnsi="Arial" w:cs="Arial"/>
                <w:b/>
                <w:bCs/>
                <w:sz w:val="20"/>
                <w:szCs w:val="20"/>
              </w:rPr>
              <w:t>Pollutant</w:t>
            </w:r>
          </w:p>
        </w:tc>
        <w:tc>
          <w:tcPr>
            <w:tcW w:w="9072"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jc w:val="center"/>
              <w:rPr>
                <w:rFonts w:ascii="Arial" w:hAnsi="Arial" w:cs="Arial"/>
                <w:b/>
                <w:bCs/>
                <w:sz w:val="20"/>
                <w:szCs w:val="20"/>
              </w:rPr>
            </w:pPr>
            <w:r w:rsidRPr="00400EA9">
              <w:rPr>
                <w:rFonts w:ascii="Arial" w:hAnsi="Arial" w:cs="Arial"/>
                <w:b/>
                <w:bCs/>
                <w:sz w:val="20"/>
                <w:szCs w:val="20"/>
              </w:rPr>
              <w:t>Justification &amp; Reasons for Postponement Application</w:t>
            </w:r>
          </w:p>
        </w:tc>
      </w:tr>
      <w:tr w:rsidR="00200BBF" w:rsidRPr="00400EA9" w:rsidTr="00200BBF">
        <w:trPr>
          <w:trHeight w:val="667"/>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lang w:val="en-ZA"/>
              </w:rPr>
              <w:t xml:space="preserve">Subcategory 1.1: </w:t>
            </w:r>
            <w:r w:rsidRPr="00400EA9">
              <w:rPr>
                <w:rFonts w:ascii="Arial" w:hAnsi="Arial" w:cs="Arial"/>
                <w:sz w:val="20"/>
                <w:szCs w:val="20"/>
              </w:rPr>
              <w:t>Solid Fuel Burning Appliances</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 xml:space="preserve">6 Units </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2015-2020</w:t>
            </w:r>
          </w:p>
        </w:tc>
        <w:tc>
          <w:tcPr>
            <w:tcW w:w="11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PM</w:t>
            </w:r>
          </w:p>
        </w:tc>
        <w:tc>
          <w:tcPr>
            <w:tcW w:w="9072" w:type="dxa"/>
            <w:vMerge w:val="restart"/>
            <w:tcBorders>
              <w:top w:val="single" w:sz="8" w:space="0" w:color="FFFFFF"/>
              <w:left w:val="single" w:sz="8" w:space="0" w:color="FFFFFF"/>
              <w:right w:val="single" w:sz="8" w:space="0" w:color="FFFFFF"/>
            </w:tcBorders>
            <w:shd w:val="clear" w:color="auto" w:fill="D0D8E8"/>
          </w:tcPr>
          <w:p w:rsidR="00200BBF" w:rsidRPr="00400EA9" w:rsidRDefault="00200BBF" w:rsidP="00B72FA2">
            <w:pPr>
              <w:numPr>
                <w:ilvl w:val="0"/>
                <w:numId w:val="21"/>
              </w:numPr>
              <w:spacing w:after="200" w:line="276" w:lineRule="auto"/>
              <w:contextualSpacing/>
              <w:jc w:val="both"/>
              <w:rPr>
                <w:rFonts w:ascii="Arial" w:hAnsi="Arial" w:cs="Arial"/>
                <w:bCs/>
                <w:sz w:val="20"/>
                <w:szCs w:val="20"/>
              </w:rPr>
            </w:pPr>
            <w:r w:rsidRPr="00400EA9">
              <w:rPr>
                <w:rFonts w:ascii="Arial" w:hAnsi="Arial" w:cs="Arial"/>
                <w:bCs/>
                <w:sz w:val="20"/>
                <w:szCs w:val="20"/>
              </w:rPr>
              <w:t>Water availability: Both wet and semi-dry FGD are critically dependant on the availability of large quantities of water being available at the power stations where FGD is deployed. The reader is reminded that the water demands of FGD increase the water required by a wet-cooled power station like Camden by some 20% (around 20 million m3/annum without FGD, to more than 23 million cubic metres per annum with wet FGD). The Camden Power Station being a wet-cooled power station already uses some 3 times the quantity of water that it does in coal. There is currently no additional water available to operate FGD at Eskom’s power stations. Additional water will only become available when the second phase of the Lesotho Highlands project has been completed, which is currently scheduled for 2021. The argument is also not just one of having water available in the catchment, it is also one of determining whether FGD is a judicious use of what is an extremely scarce resource in South Africa in the face of multiple competing demands for that same resource. More than 98% of South Africa’s available water has already been allocated.</w:t>
            </w:r>
          </w:p>
          <w:p w:rsidR="00200BBF" w:rsidRPr="00400EA9" w:rsidRDefault="00200BBF" w:rsidP="00B72FA2">
            <w:pPr>
              <w:numPr>
                <w:ilvl w:val="0"/>
                <w:numId w:val="21"/>
              </w:numPr>
              <w:spacing w:after="200" w:line="276" w:lineRule="auto"/>
              <w:contextualSpacing/>
              <w:jc w:val="both"/>
              <w:rPr>
                <w:rFonts w:ascii="Arial" w:hAnsi="Arial" w:cs="Arial"/>
                <w:bCs/>
                <w:sz w:val="20"/>
                <w:szCs w:val="20"/>
              </w:rPr>
            </w:pPr>
            <w:r w:rsidRPr="00400EA9">
              <w:rPr>
                <w:rFonts w:ascii="Arial" w:hAnsi="Arial" w:cs="Arial"/>
                <w:bCs/>
                <w:sz w:val="20"/>
                <w:szCs w:val="20"/>
              </w:rPr>
              <w:t>Environmental implications of FGD: same reason was given as written above for Arnot power station.</w:t>
            </w:r>
          </w:p>
          <w:p w:rsidR="00200BBF" w:rsidRPr="00400EA9" w:rsidRDefault="00200BBF" w:rsidP="00B72FA2">
            <w:pPr>
              <w:numPr>
                <w:ilvl w:val="0"/>
                <w:numId w:val="21"/>
              </w:numPr>
              <w:spacing w:after="200" w:line="276" w:lineRule="auto"/>
              <w:contextualSpacing/>
              <w:jc w:val="both"/>
              <w:rPr>
                <w:rFonts w:ascii="Arial" w:hAnsi="Arial" w:cs="Arial"/>
                <w:bCs/>
                <w:sz w:val="20"/>
                <w:szCs w:val="20"/>
              </w:rPr>
            </w:pPr>
            <w:r w:rsidRPr="00400EA9">
              <w:rPr>
                <w:rFonts w:ascii="Arial" w:hAnsi="Arial" w:cs="Arial"/>
                <w:bCs/>
                <w:sz w:val="20"/>
                <w:szCs w:val="20"/>
              </w:rPr>
              <w:t>Age of power station:</w:t>
            </w:r>
            <w:r w:rsidRPr="00400EA9">
              <w:rPr>
                <w:rFonts w:ascii="Arial" w:hAnsi="Arial" w:cs="Arial"/>
                <w:sz w:val="20"/>
                <w:szCs w:val="20"/>
              </w:rPr>
              <w:t xml:space="preserve"> </w:t>
            </w:r>
            <w:r w:rsidRPr="00400EA9">
              <w:rPr>
                <w:rFonts w:ascii="Arial" w:hAnsi="Arial" w:cs="Arial"/>
                <w:bCs/>
                <w:sz w:val="20"/>
                <w:szCs w:val="20"/>
              </w:rPr>
              <w:t>Camden’s decommissioning is scheduled to start in 2020. An FGD retrofit could only commence in 2022 at the earliest, when water becomes available, so it is simply not possible to retrofit FGD at Camden before it is decommissioned. It also does not make sense to install de-NOx technology given the short remaining power station life.</w:t>
            </w:r>
            <w:r w:rsidRPr="00400EA9">
              <w:rPr>
                <w:rFonts w:ascii="Arial" w:hAnsi="Arial" w:cs="Arial"/>
                <w:sz w:val="20"/>
                <w:szCs w:val="20"/>
              </w:rPr>
              <w:t xml:space="preserve"> </w:t>
            </w:r>
          </w:p>
          <w:p w:rsidR="00200BBF" w:rsidRPr="00400EA9" w:rsidRDefault="00200BBF" w:rsidP="00B72FA2">
            <w:pPr>
              <w:numPr>
                <w:ilvl w:val="0"/>
                <w:numId w:val="21"/>
              </w:numPr>
              <w:spacing w:after="200" w:line="276" w:lineRule="auto"/>
              <w:contextualSpacing/>
              <w:jc w:val="both"/>
              <w:rPr>
                <w:rFonts w:ascii="Arial" w:hAnsi="Arial" w:cs="Arial"/>
                <w:bCs/>
                <w:sz w:val="20"/>
                <w:szCs w:val="20"/>
              </w:rPr>
            </w:pPr>
            <w:r w:rsidRPr="00400EA9">
              <w:rPr>
                <w:rFonts w:ascii="Arial" w:hAnsi="Arial" w:cs="Arial"/>
                <w:bCs/>
                <w:sz w:val="20"/>
                <w:szCs w:val="20"/>
              </w:rPr>
              <w:t>Impact on ambient air quality: same reason was given as written above for Arnot power station.</w:t>
            </w:r>
          </w:p>
          <w:p w:rsidR="00200BBF" w:rsidRPr="00400EA9" w:rsidRDefault="00200BBF" w:rsidP="00B72FA2">
            <w:pPr>
              <w:numPr>
                <w:ilvl w:val="0"/>
                <w:numId w:val="21"/>
              </w:numPr>
              <w:spacing w:after="200" w:line="276" w:lineRule="auto"/>
              <w:contextualSpacing/>
              <w:jc w:val="both"/>
              <w:rPr>
                <w:rFonts w:ascii="Arial" w:hAnsi="Arial" w:cs="Arial"/>
                <w:bCs/>
                <w:sz w:val="20"/>
                <w:szCs w:val="20"/>
              </w:rPr>
            </w:pPr>
            <w:r w:rsidRPr="00400EA9">
              <w:rPr>
                <w:rFonts w:ascii="Arial" w:hAnsi="Arial" w:cs="Arial"/>
                <w:bCs/>
                <w:sz w:val="20"/>
                <w:szCs w:val="20"/>
              </w:rPr>
              <w:t>Cost implication of the compliance with the MES:</w:t>
            </w:r>
            <w:r w:rsidRPr="00400EA9">
              <w:rPr>
                <w:rFonts w:ascii="Arial" w:hAnsi="Arial" w:cs="Arial"/>
                <w:sz w:val="20"/>
                <w:szCs w:val="20"/>
              </w:rPr>
              <w:t xml:space="preserve"> </w:t>
            </w:r>
            <w:r w:rsidRPr="00400EA9">
              <w:rPr>
                <w:rFonts w:ascii="Arial" w:hAnsi="Arial" w:cs="Arial"/>
                <w:bCs/>
                <w:sz w:val="20"/>
                <w:szCs w:val="20"/>
              </w:rPr>
              <w:t xml:space="preserve">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 </w:t>
            </w:r>
          </w:p>
          <w:p w:rsidR="00200BBF" w:rsidRPr="00400EA9" w:rsidRDefault="00200BBF" w:rsidP="00200BBF">
            <w:pPr>
              <w:rPr>
                <w:rFonts w:ascii="Arial" w:hAnsi="Arial" w:cs="Arial"/>
                <w:b/>
                <w:bCs/>
                <w:sz w:val="20"/>
                <w:szCs w:val="20"/>
                <w:lang w:val="en-ZA"/>
              </w:rPr>
            </w:pPr>
          </w:p>
        </w:tc>
      </w:tr>
      <w:tr w:rsidR="00200BBF" w:rsidRPr="00400EA9" w:rsidTr="00200BBF">
        <w:trPr>
          <w:trHeight w:val="60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11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SO</w:t>
            </w:r>
            <w:r w:rsidRPr="00400EA9">
              <w:rPr>
                <w:rFonts w:ascii="Arial" w:hAnsi="Arial" w:cs="Arial"/>
                <w:sz w:val="20"/>
                <w:szCs w:val="20"/>
                <w:vertAlign w:val="subscript"/>
              </w:rPr>
              <w:t>2</w:t>
            </w:r>
          </w:p>
        </w:tc>
        <w:tc>
          <w:tcPr>
            <w:tcW w:w="9072" w:type="dxa"/>
            <w:vMerge/>
            <w:tcBorders>
              <w:left w:val="single" w:sz="8" w:space="0" w:color="FFFFFF"/>
              <w:right w:val="single" w:sz="8" w:space="0" w:color="FFFFFF"/>
            </w:tcBorders>
            <w:shd w:val="clear" w:color="auto" w:fill="E9EDF4"/>
          </w:tcPr>
          <w:p w:rsidR="00200BBF" w:rsidRPr="00400EA9" w:rsidRDefault="00200BBF" w:rsidP="00200BBF">
            <w:pPr>
              <w:rPr>
                <w:rFonts w:ascii="Arial" w:hAnsi="Arial" w:cs="Arial"/>
                <w:b/>
                <w:bCs/>
                <w:sz w:val="20"/>
                <w:szCs w:val="20"/>
                <w:lang w:val="en-ZA"/>
              </w:rPr>
            </w:pPr>
          </w:p>
        </w:tc>
      </w:tr>
      <w:tr w:rsidR="00200BBF" w:rsidRPr="00400EA9" w:rsidTr="00200BBF">
        <w:trPr>
          <w:trHeight w:val="56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11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NOx</w:t>
            </w:r>
          </w:p>
        </w:tc>
        <w:tc>
          <w:tcPr>
            <w:tcW w:w="9072" w:type="dxa"/>
            <w:vMerge/>
            <w:tcBorders>
              <w:left w:val="single" w:sz="8" w:space="0" w:color="FFFFFF"/>
              <w:bottom w:val="single" w:sz="8" w:space="0" w:color="FFFFFF"/>
              <w:right w:val="single" w:sz="8" w:space="0" w:color="FFFFFF"/>
            </w:tcBorders>
            <w:shd w:val="clear" w:color="auto" w:fill="D0D8E8"/>
          </w:tcPr>
          <w:p w:rsidR="00200BBF" w:rsidRPr="00400EA9" w:rsidRDefault="00200BBF" w:rsidP="00200BBF">
            <w:pPr>
              <w:rPr>
                <w:rFonts w:ascii="Arial" w:hAnsi="Arial" w:cs="Arial"/>
                <w:b/>
                <w:bCs/>
                <w:sz w:val="20"/>
                <w:szCs w:val="20"/>
                <w:lang w:val="en-ZA"/>
              </w:rPr>
            </w:pPr>
          </w:p>
        </w:tc>
      </w:tr>
    </w:tbl>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r w:rsidRPr="004F4F23">
        <w:rPr>
          <w:rFonts w:eastAsiaTheme="majorEastAsia" w:cstheme="majorBidi"/>
          <w:b/>
          <w:bCs/>
          <w:szCs w:val="20"/>
        </w:rPr>
        <w:t>Eskom Duvha Power Station, Nkangala District Municipality, Mpumalanga Province</w:t>
      </w:r>
    </w:p>
    <w:p w:rsidR="00200BBF" w:rsidRPr="004F4F23" w:rsidRDefault="00200BBF" w:rsidP="00200BBF"/>
    <w:tbl>
      <w:tblPr>
        <w:tblW w:w="14732" w:type="dxa"/>
        <w:tblCellMar>
          <w:left w:w="0" w:type="dxa"/>
          <w:right w:w="0" w:type="dxa"/>
        </w:tblCellMar>
        <w:tblLook w:val="04A0"/>
      </w:tblPr>
      <w:tblGrid>
        <w:gridCol w:w="1689"/>
        <w:gridCol w:w="1158"/>
        <w:gridCol w:w="1591"/>
        <w:gridCol w:w="991"/>
        <w:gridCol w:w="9303"/>
      </w:tblGrid>
      <w:tr w:rsidR="00200BBF" w:rsidRPr="00400EA9" w:rsidTr="00200BBF">
        <w:trPr>
          <w:trHeight w:val="763"/>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lastRenderedPageBreak/>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rPr>
              <w:t>Appliance</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400EA9" w:rsidRDefault="00200BBF" w:rsidP="00200BBF">
            <w:pPr>
              <w:rPr>
                <w:rFonts w:ascii="Arial" w:hAnsi="Arial" w:cs="Arial"/>
                <w:b/>
                <w:bCs/>
                <w:sz w:val="20"/>
                <w:szCs w:val="20"/>
              </w:rPr>
            </w:pPr>
            <w:r w:rsidRPr="00400EA9">
              <w:rPr>
                <w:rFonts w:ascii="Arial" w:hAnsi="Arial" w:cs="Arial"/>
                <w:b/>
                <w:bCs/>
                <w:sz w:val="20"/>
                <w:szCs w:val="20"/>
              </w:rPr>
              <w:t>Postponement</w:t>
            </w:r>
          </w:p>
          <w:p w:rsidR="00200BBF" w:rsidRPr="00400EA9" w:rsidRDefault="00200BBF" w:rsidP="00200BBF">
            <w:pPr>
              <w:rPr>
                <w:rFonts w:ascii="Arial" w:hAnsi="Arial" w:cs="Arial"/>
                <w:sz w:val="20"/>
                <w:szCs w:val="20"/>
              </w:rPr>
            </w:pPr>
            <w:r w:rsidRPr="00400EA9">
              <w:rPr>
                <w:rFonts w:ascii="Arial" w:hAnsi="Arial" w:cs="Arial"/>
                <w:b/>
                <w:bCs/>
                <w:sz w:val="20"/>
                <w:szCs w:val="20"/>
              </w:rPr>
              <w:t>Period Sought</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200BBF" w:rsidRPr="00400EA9" w:rsidRDefault="00200BBF" w:rsidP="00200BBF">
            <w:pPr>
              <w:rPr>
                <w:rFonts w:ascii="Arial" w:hAnsi="Arial" w:cs="Arial"/>
                <w:sz w:val="20"/>
                <w:szCs w:val="20"/>
              </w:rPr>
            </w:pPr>
            <w:r w:rsidRPr="00400EA9">
              <w:rPr>
                <w:rFonts w:ascii="Arial" w:hAnsi="Arial" w:cs="Arial"/>
                <w:b/>
                <w:bCs/>
                <w:sz w:val="20"/>
                <w:szCs w:val="20"/>
              </w:rPr>
              <w:t>Pollutant</w:t>
            </w:r>
          </w:p>
        </w:tc>
        <w:tc>
          <w:tcPr>
            <w:tcW w:w="9355" w:type="dxa"/>
            <w:tcBorders>
              <w:top w:val="single" w:sz="8" w:space="0" w:color="FFFFFF"/>
              <w:left w:val="single" w:sz="8" w:space="0" w:color="FFFFFF"/>
              <w:right w:val="single" w:sz="8" w:space="0" w:color="FFFFFF"/>
            </w:tcBorders>
            <w:shd w:val="clear" w:color="auto" w:fill="4F81BD"/>
            <w:vAlign w:val="center"/>
          </w:tcPr>
          <w:p w:rsidR="00200BBF" w:rsidRPr="00400EA9" w:rsidRDefault="00200BBF" w:rsidP="00200BBF">
            <w:pPr>
              <w:jc w:val="center"/>
              <w:rPr>
                <w:rFonts w:ascii="Arial" w:hAnsi="Arial" w:cs="Arial"/>
                <w:b/>
                <w:bCs/>
                <w:sz w:val="20"/>
                <w:szCs w:val="20"/>
              </w:rPr>
            </w:pPr>
            <w:r w:rsidRPr="00400EA9">
              <w:rPr>
                <w:rFonts w:ascii="Arial" w:hAnsi="Arial" w:cs="Arial"/>
                <w:b/>
                <w:bCs/>
                <w:sz w:val="20"/>
                <w:szCs w:val="20"/>
              </w:rPr>
              <w:t>Justification &amp; Reasons for Postponement Application</w:t>
            </w:r>
          </w:p>
        </w:tc>
      </w:tr>
      <w:tr w:rsidR="00200BBF" w:rsidRPr="00400EA9" w:rsidTr="00200BBF">
        <w:trPr>
          <w:trHeight w:val="667"/>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b/>
                <w:bCs/>
                <w:sz w:val="20"/>
                <w:szCs w:val="20"/>
                <w:lang w:val="en-ZA"/>
              </w:rPr>
              <w:t xml:space="preserve">Subcategory 1.1: </w:t>
            </w:r>
            <w:r w:rsidRPr="00400EA9">
              <w:rPr>
                <w:rFonts w:ascii="Arial" w:hAnsi="Arial" w:cs="Arial"/>
                <w:sz w:val="20"/>
                <w:szCs w:val="20"/>
              </w:rPr>
              <w:t>Solid Fuel Burning Appliances</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 xml:space="preserve">6 Units </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rPr>
                <w:rFonts w:ascii="Arial" w:hAnsi="Arial" w:cs="Arial"/>
                <w:sz w:val="20"/>
                <w:szCs w:val="20"/>
              </w:rPr>
            </w:pPr>
            <w:r w:rsidRPr="00400EA9">
              <w:rPr>
                <w:rFonts w:ascii="Arial" w:hAnsi="Arial" w:cs="Arial"/>
                <w:sz w:val="20"/>
                <w:szCs w:val="20"/>
              </w:rPr>
              <w:t>2015-2020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eastAsia="en-GB"/>
              </w:rPr>
              <w:t>PM</w:t>
            </w:r>
          </w:p>
        </w:tc>
        <w:tc>
          <w:tcPr>
            <w:tcW w:w="9355" w:type="dxa"/>
            <w:vMerge w:val="restart"/>
            <w:tcBorders>
              <w:top w:val="single" w:sz="8" w:space="0" w:color="FFFFFF"/>
              <w:left w:val="single" w:sz="8" w:space="0" w:color="FFFFFF"/>
              <w:right w:val="single" w:sz="8" w:space="0" w:color="FFFFFF"/>
            </w:tcBorders>
            <w:shd w:val="clear" w:color="auto" w:fill="D0D8E8"/>
          </w:tcPr>
          <w:p w:rsidR="00200BBF" w:rsidRPr="00400EA9" w:rsidRDefault="00200BBF" w:rsidP="00B72FA2">
            <w:pPr>
              <w:numPr>
                <w:ilvl w:val="0"/>
                <w:numId w:val="22"/>
              </w:numPr>
              <w:spacing w:after="200" w:line="276" w:lineRule="auto"/>
              <w:contextualSpacing/>
              <w:jc w:val="both"/>
              <w:rPr>
                <w:rFonts w:ascii="Arial" w:hAnsi="Arial" w:cs="Arial"/>
                <w:bCs/>
                <w:sz w:val="20"/>
                <w:szCs w:val="20"/>
              </w:rPr>
            </w:pPr>
            <w:r w:rsidRPr="00400EA9">
              <w:rPr>
                <w:rFonts w:ascii="Arial" w:hAnsi="Arial" w:cs="Arial"/>
                <w:bCs/>
                <w:sz w:val="20"/>
                <w:szCs w:val="20"/>
              </w:rPr>
              <w:t>Water availability: same reason was given as written above for Arnot power station.</w:t>
            </w:r>
          </w:p>
          <w:p w:rsidR="00200BBF" w:rsidRPr="00400EA9" w:rsidRDefault="00200BBF" w:rsidP="00B72FA2">
            <w:pPr>
              <w:numPr>
                <w:ilvl w:val="0"/>
                <w:numId w:val="22"/>
              </w:numPr>
              <w:spacing w:after="200" w:line="276" w:lineRule="auto"/>
              <w:contextualSpacing/>
              <w:jc w:val="both"/>
              <w:rPr>
                <w:rFonts w:ascii="Arial" w:hAnsi="Arial" w:cs="Arial"/>
                <w:bCs/>
                <w:sz w:val="20"/>
                <w:szCs w:val="20"/>
              </w:rPr>
            </w:pPr>
            <w:r w:rsidRPr="00400EA9">
              <w:rPr>
                <w:rFonts w:ascii="Arial" w:hAnsi="Arial" w:cs="Arial"/>
                <w:bCs/>
                <w:sz w:val="20"/>
                <w:szCs w:val="20"/>
              </w:rPr>
              <w:t>Environmental implications of FGD: same reason was given as written above for Arnot power station.</w:t>
            </w:r>
          </w:p>
          <w:p w:rsidR="00200BBF" w:rsidRPr="00400EA9" w:rsidRDefault="00200BBF" w:rsidP="00B72FA2">
            <w:pPr>
              <w:numPr>
                <w:ilvl w:val="0"/>
                <w:numId w:val="22"/>
              </w:numPr>
              <w:spacing w:after="200" w:line="276" w:lineRule="auto"/>
              <w:contextualSpacing/>
              <w:jc w:val="both"/>
              <w:rPr>
                <w:rFonts w:ascii="Arial" w:hAnsi="Arial" w:cs="Arial"/>
                <w:bCs/>
                <w:sz w:val="20"/>
                <w:szCs w:val="20"/>
              </w:rPr>
            </w:pPr>
            <w:r w:rsidRPr="00400EA9">
              <w:rPr>
                <w:rFonts w:ascii="Arial" w:hAnsi="Arial" w:cs="Arial"/>
                <w:bCs/>
                <w:sz w:val="20"/>
                <w:szCs w:val="20"/>
              </w:rPr>
              <w:t>Impact on ambient air quality: same reason was given as written above for Arnot power station.</w:t>
            </w:r>
          </w:p>
          <w:p w:rsidR="00200BBF" w:rsidRPr="00400EA9" w:rsidRDefault="00200BBF" w:rsidP="00B72FA2">
            <w:pPr>
              <w:numPr>
                <w:ilvl w:val="0"/>
                <w:numId w:val="22"/>
              </w:numPr>
              <w:spacing w:after="200" w:line="276" w:lineRule="auto"/>
              <w:contextualSpacing/>
              <w:jc w:val="both"/>
              <w:rPr>
                <w:rFonts w:ascii="Arial" w:hAnsi="Arial" w:cs="Arial"/>
                <w:bCs/>
                <w:sz w:val="20"/>
                <w:szCs w:val="20"/>
              </w:rPr>
            </w:pPr>
            <w:r w:rsidRPr="00400EA9">
              <w:rPr>
                <w:rFonts w:ascii="Arial" w:hAnsi="Arial" w:cs="Arial"/>
                <w:bCs/>
                <w:sz w:val="20"/>
                <w:szCs w:val="20"/>
              </w:rPr>
              <w:t xml:space="preserve">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 </w:t>
            </w:r>
          </w:p>
        </w:tc>
      </w:tr>
      <w:tr w:rsidR="00200BBF" w:rsidRPr="00400EA9" w:rsidTr="00200BBF">
        <w:trPr>
          <w:trHeight w:val="60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eastAsia="en-GB"/>
              </w:rPr>
              <w:t>SO</w:t>
            </w:r>
            <w:r w:rsidRPr="00400EA9">
              <w:rPr>
                <w:rFonts w:ascii="Arial" w:hAnsi="Arial" w:cs="Arial"/>
                <w:b/>
                <w:bCs/>
                <w:kern w:val="24"/>
                <w:position w:val="-9"/>
                <w:sz w:val="20"/>
                <w:szCs w:val="20"/>
                <w:vertAlign w:val="subscript"/>
                <w:lang w:eastAsia="en-GB"/>
              </w:rPr>
              <w:t>2</w:t>
            </w:r>
          </w:p>
        </w:tc>
        <w:tc>
          <w:tcPr>
            <w:tcW w:w="9355" w:type="dxa"/>
            <w:vMerge/>
            <w:tcBorders>
              <w:left w:val="single" w:sz="8" w:space="0" w:color="FFFFFF"/>
              <w:right w:val="single" w:sz="8" w:space="0" w:color="FFFFFF"/>
            </w:tcBorders>
            <w:shd w:val="clear" w:color="auto" w:fill="E9EDF4"/>
          </w:tcPr>
          <w:p w:rsidR="00200BBF" w:rsidRPr="00400EA9" w:rsidRDefault="00200BBF" w:rsidP="00200BBF">
            <w:pPr>
              <w:rPr>
                <w:rFonts w:ascii="Arial" w:hAnsi="Arial" w:cs="Arial"/>
                <w:b/>
                <w:bCs/>
                <w:sz w:val="20"/>
                <w:szCs w:val="20"/>
                <w:lang w:val="en-ZA"/>
              </w:rPr>
            </w:pPr>
          </w:p>
        </w:tc>
      </w:tr>
      <w:tr w:rsidR="00200BBF" w:rsidRPr="00400EA9" w:rsidTr="00200BBF">
        <w:trPr>
          <w:trHeight w:val="567"/>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400EA9"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400EA9" w:rsidRDefault="00200BBF" w:rsidP="00200BBF">
            <w:pPr>
              <w:overflowPunct w:val="0"/>
              <w:rPr>
                <w:rFonts w:ascii="Arial" w:hAnsi="Arial" w:cs="Arial"/>
                <w:sz w:val="20"/>
                <w:szCs w:val="20"/>
                <w:lang w:eastAsia="en-GB"/>
              </w:rPr>
            </w:pPr>
            <w:r w:rsidRPr="00400EA9">
              <w:rPr>
                <w:rFonts w:ascii="Arial" w:hAnsi="Arial" w:cs="Arial"/>
                <w:b/>
                <w:bCs/>
                <w:kern w:val="24"/>
                <w:sz w:val="20"/>
                <w:szCs w:val="20"/>
                <w:lang w:eastAsia="en-GB"/>
              </w:rPr>
              <w:t>NOx</w:t>
            </w:r>
          </w:p>
        </w:tc>
        <w:tc>
          <w:tcPr>
            <w:tcW w:w="9355" w:type="dxa"/>
            <w:vMerge/>
            <w:tcBorders>
              <w:left w:val="single" w:sz="8" w:space="0" w:color="FFFFFF"/>
              <w:bottom w:val="single" w:sz="8" w:space="0" w:color="FFFFFF"/>
              <w:right w:val="single" w:sz="8" w:space="0" w:color="FFFFFF"/>
            </w:tcBorders>
            <w:shd w:val="clear" w:color="auto" w:fill="D0D8E8"/>
          </w:tcPr>
          <w:p w:rsidR="00200BBF" w:rsidRPr="00400EA9" w:rsidRDefault="00200BBF" w:rsidP="00200BBF">
            <w:pPr>
              <w:rPr>
                <w:rFonts w:ascii="Arial" w:hAnsi="Arial" w:cs="Arial"/>
                <w:b/>
                <w:bCs/>
                <w:sz w:val="20"/>
                <w:szCs w:val="20"/>
                <w:lang w:val="en-ZA"/>
              </w:rPr>
            </w:pPr>
          </w:p>
        </w:tc>
      </w:tr>
    </w:tbl>
    <w:p w:rsidR="00200BBF" w:rsidRPr="004F4F23" w:rsidRDefault="00200BBF" w:rsidP="00200BBF"/>
    <w:p w:rsidR="00200BBF" w:rsidRPr="004F4F23" w:rsidRDefault="00200BBF" w:rsidP="00200BBF">
      <w:pPr>
        <w:keepNext/>
        <w:keepLines/>
        <w:widowControl w:val="0"/>
        <w:overflowPunct w:val="0"/>
        <w:autoSpaceDE w:val="0"/>
        <w:autoSpaceDN w:val="0"/>
        <w:adjustRightInd w:val="0"/>
        <w:spacing w:before="200" w:line="360" w:lineRule="auto"/>
        <w:textAlignment w:val="baseline"/>
        <w:outlineLvl w:val="2"/>
        <w:rPr>
          <w:rFonts w:eastAsiaTheme="majorEastAsia" w:cstheme="majorBidi"/>
          <w:b/>
          <w:bCs/>
          <w:szCs w:val="20"/>
        </w:rPr>
      </w:pPr>
      <w:r w:rsidRPr="004F4F23">
        <w:rPr>
          <w:rFonts w:eastAsiaTheme="majorEastAsia" w:cstheme="majorBidi"/>
          <w:b/>
          <w:bCs/>
          <w:szCs w:val="20"/>
        </w:rPr>
        <w:t>Eskom Grootvlei Power Station, Gert Sibande District Municipality, Mpumalanga Province</w:t>
      </w:r>
    </w:p>
    <w:tbl>
      <w:tblPr>
        <w:tblW w:w="14591" w:type="dxa"/>
        <w:tblCellMar>
          <w:left w:w="0" w:type="dxa"/>
          <w:right w:w="0" w:type="dxa"/>
        </w:tblCellMar>
        <w:tblLook w:val="04A0"/>
      </w:tblPr>
      <w:tblGrid>
        <w:gridCol w:w="1830"/>
        <w:gridCol w:w="1158"/>
        <w:gridCol w:w="1591"/>
        <w:gridCol w:w="1133"/>
        <w:gridCol w:w="8879"/>
      </w:tblGrid>
      <w:tr w:rsidR="00200BBF" w:rsidRPr="00551726" w:rsidTr="00200BBF">
        <w:trPr>
          <w:trHeight w:val="763"/>
        </w:trPr>
        <w:tc>
          <w:tcPr>
            <w:tcW w:w="183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8931"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833"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5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8931"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Age of power station: Grootvlei is currently scheduled to be decommissioned between 2025 and 2028, according to the 50-year life currently planned for in the Integrated Resource Plan. There is a chance that decommissioning could be delayed by a few years, depending on the demand for electricity. An FGD retrofit could only commence in 2022 at the earliest, when water becomes available. Typically, one unit per year is retrofitted. Furthermore, there are other power stations which are higher priority for retrofits (given Grootvlei’s small size). It thus makes no sense to spend many billions of rands on a power station which will only run for 2 years or so once the retrofits have been completed.</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
                <w:bCs/>
                <w:sz w:val="20"/>
                <w:szCs w:val="20"/>
                <w:lang w:val="en-ZA"/>
              </w:rPr>
            </w:pPr>
            <w:r w:rsidRPr="00551726">
              <w:rPr>
                <w:rFonts w:ascii="Arial" w:hAnsi="Arial" w:cs="Arial"/>
                <w:bCs/>
                <w:sz w:val="20"/>
                <w:szCs w:val="20"/>
                <w:lang w:val="en-ZA"/>
              </w:rPr>
              <w:t xml:space="preserve">Cost implication of the compliance with the MES: These undesired consequences together with the financial costs of compliance (such as an increase in the electricity tariff) must be </w:t>
            </w:r>
            <w:r w:rsidRPr="00551726">
              <w:rPr>
                <w:rFonts w:ascii="Arial" w:hAnsi="Arial" w:cs="Arial"/>
                <w:bCs/>
                <w:sz w:val="20"/>
                <w:szCs w:val="20"/>
                <w:lang w:val="en-ZA"/>
              </w:rPr>
              <w:lastRenderedPageBreak/>
              <w:t>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1833"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r w:rsidRPr="00551726">
              <w:rPr>
                <w:rFonts w:ascii="Arial" w:hAnsi="Arial" w:cs="Arial"/>
                <w:b/>
                <w:bCs/>
                <w:color w:val="FF0000"/>
                <w:sz w:val="20"/>
                <w:szCs w:val="20"/>
                <w:lang w:val="en-ZA"/>
              </w:rPr>
              <w:t xml:space="preserve"> </w:t>
            </w:r>
          </w:p>
        </w:tc>
        <w:tc>
          <w:tcPr>
            <w:tcW w:w="8931"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833"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8931"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Default="00200BBF" w:rsidP="00200BBF"/>
    <w:p w:rsidR="00200BBF" w:rsidRPr="004F4F23" w:rsidRDefault="00200BBF" w:rsidP="00200BBF"/>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r w:rsidRPr="004F4F23">
        <w:rPr>
          <w:rFonts w:eastAsiaTheme="majorEastAsia" w:cstheme="majorBidi"/>
          <w:b/>
          <w:bCs/>
          <w:szCs w:val="20"/>
        </w:rPr>
        <w:t>Eskom Hendrina Power Station, Nkangala District Municipality, Mpumalanga Province</w:t>
      </w:r>
    </w:p>
    <w:p w:rsidR="00200BBF" w:rsidRPr="004F4F23" w:rsidRDefault="00200BBF" w:rsidP="00200BBF"/>
    <w:tbl>
      <w:tblPr>
        <w:tblW w:w="14591" w:type="dxa"/>
        <w:tblCellMar>
          <w:left w:w="0" w:type="dxa"/>
          <w:right w:w="0" w:type="dxa"/>
        </w:tblCellMar>
        <w:tblLook w:val="04A0"/>
      </w:tblPr>
      <w:tblGrid>
        <w:gridCol w:w="1689"/>
        <w:gridCol w:w="1158"/>
        <w:gridCol w:w="1591"/>
        <w:gridCol w:w="1132"/>
        <w:gridCol w:w="9021"/>
      </w:tblGrid>
      <w:tr w:rsidR="00200BBF" w:rsidRPr="00551726" w:rsidTr="00200BBF">
        <w:trPr>
          <w:trHeight w:val="458"/>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 xml:space="preserve">Pollutant </w:t>
            </w:r>
          </w:p>
        </w:tc>
        <w:tc>
          <w:tcPr>
            <w:tcW w:w="9072"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9072"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Age of power station: Hendrina is currently scheduled to be decommissioned between 2020 and 2026, according to the 50-year life currently planned for in the Integrated Resource Plan. There is a chance that decommissioning could end in start in 2030 if the power station life is extended to 60 years. An FGD retrofit could only commence in 2022 at the earliest, when water becomes available. Typically, one unit per year is retrofitted. Furthermore, there are other power stations which are higher priority for retrofits (given Hendrina’s small size). It thus makes no sense to spend many billions of rands on a power station which will only run for a few more years at most once the retrofits have been completed.</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9072"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9072"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4F4F23" w:rsidRDefault="00200BBF" w:rsidP="00200BBF"/>
    <w:p w:rsidR="00200BBF" w:rsidRPr="004F4F23" w:rsidRDefault="00200BBF" w:rsidP="00200BBF"/>
    <w:p w:rsidR="00200BBF" w:rsidRPr="004F4F23" w:rsidRDefault="00200BBF" w:rsidP="00200BBF"/>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r w:rsidRPr="004F4F23">
        <w:rPr>
          <w:rFonts w:eastAsiaTheme="majorEastAsia" w:cstheme="majorBidi"/>
          <w:b/>
          <w:bCs/>
          <w:szCs w:val="20"/>
        </w:rPr>
        <w:t>Eskom Kendal Power Station, Nkangala District Municipality, Mpumalanga Province</w:t>
      </w:r>
    </w:p>
    <w:p w:rsidR="00200BBF" w:rsidRPr="004F4F23" w:rsidRDefault="00200BBF" w:rsidP="00200BBF"/>
    <w:tbl>
      <w:tblPr>
        <w:tblW w:w="14732" w:type="dxa"/>
        <w:tblCellMar>
          <w:left w:w="0" w:type="dxa"/>
          <w:right w:w="0" w:type="dxa"/>
        </w:tblCellMar>
        <w:tblLook w:val="04A0"/>
      </w:tblPr>
      <w:tblGrid>
        <w:gridCol w:w="2036"/>
        <w:gridCol w:w="1027"/>
        <w:gridCol w:w="1772"/>
        <w:gridCol w:w="1251"/>
        <w:gridCol w:w="8646"/>
      </w:tblGrid>
      <w:tr w:rsidR="00200BBF" w:rsidRPr="00551726" w:rsidTr="00200BBF">
        <w:trPr>
          <w:trHeight w:val="76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Theme="minorHAnsi" w:hAnsiTheme="minorHAnsi"/>
                <w:sz w:val="20"/>
                <w:szCs w:val="20"/>
              </w:rPr>
            </w:pPr>
            <w:r w:rsidRPr="00551726">
              <w:rPr>
                <w:rFonts w:asciiTheme="minorHAnsi" w:hAnsiTheme="minorHAnsi"/>
                <w:b/>
                <w:bCs/>
                <w:sz w:val="20"/>
                <w:szCs w:val="20"/>
              </w:rPr>
              <w:lastRenderedPageBreak/>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Theme="minorHAnsi" w:hAnsiTheme="minorHAnsi"/>
                <w:sz w:val="20"/>
                <w:szCs w:val="20"/>
              </w:rPr>
            </w:pPr>
            <w:r w:rsidRPr="00551726">
              <w:rPr>
                <w:rFonts w:asciiTheme="minorHAnsi" w:hAnsiTheme="minorHAnsi"/>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Theme="minorHAnsi" w:hAnsiTheme="minorHAnsi"/>
                <w:sz w:val="20"/>
                <w:szCs w:val="20"/>
              </w:rPr>
            </w:pPr>
            <w:r w:rsidRPr="00551726">
              <w:rPr>
                <w:rFonts w:asciiTheme="minorHAnsi" w:hAnsiTheme="minorHAnsi"/>
                <w:b/>
                <w:bCs/>
                <w:sz w:val="20"/>
                <w:szCs w:val="20"/>
              </w:rPr>
              <w:t>Postponement Period Sought</w:t>
            </w:r>
          </w:p>
        </w:tc>
        <w:tc>
          <w:tcPr>
            <w:tcW w:w="12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Theme="minorHAnsi" w:hAnsiTheme="minorHAnsi"/>
                <w:b/>
                <w:bCs/>
                <w:sz w:val="20"/>
                <w:szCs w:val="20"/>
              </w:rPr>
            </w:pPr>
            <w:r w:rsidRPr="00551726">
              <w:rPr>
                <w:rFonts w:asciiTheme="minorHAnsi" w:hAnsiTheme="minorHAnsi"/>
                <w:b/>
                <w:bCs/>
                <w:sz w:val="20"/>
                <w:szCs w:val="20"/>
              </w:rPr>
              <w:t>Pollutant</w:t>
            </w:r>
          </w:p>
        </w:tc>
        <w:tc>
          <w:tcPr>
            <w:tcW w:w="8646"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Theme="minorHAnsi" w:hAnsiTheme="minorHAnsi"/>
                <w:b/>
                <w:bCs/>
                <w:sz w:val="20"/>
                <w:szCs w:val="20"/>
              </w:rPr>
            </w:pPr>
            <w:r w:rsidRPr="00551726">
              <w:rPr>
                <w:rFonts w:asciiTheme="minorHAnsi" w:hAnsiTheme="minorHAnsi"/>
                <w:b/>
                <w:bCs/>
                <w:sz w:val="20"/>
                <w:szCs w:val="20"/>
              </w:rPr>
              <w:t>Justification &amp; Reasons for Postponement Application</w:t>
            </w:r>
          </w:p>
        </w:tc>
      </w:tr>
      <w:tr w:rsidR="00200BBF" w:rsidRPr="00551726" w:rsidTr="00200BBF">
        <w:trPr>
          <w:trHeight w:val="667"/>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Theme="minorHAnsi" w:hAnsiTheme="minorHAnsi"/>
                <w:sz w:val="20"/>
                <w:szCs w:val="20"/>
              </w:rPr>
            </w:pPr>
            <w:r w:rsidRPr="00551726">
              <w:rPr>
                <w:rFonts w:asciiTheme="minorHAnsi" w:hAnsiTheme="minorHAnsi"/>
                <w:b/>
                <w:bCs/>
                <w:sz w:val="20"/>
                <w:szCs w:val="20"/>
                <w:lang w:val="en-ZA"/>
              </w:rPr>
              <w:t xml:space="preserve">Subcategory 1.1: </w:t>
            </w:r>
            <w:r w:rsidRPr="00551726">
              <w:rPr>
                <w:rFonts w:asciiTheme="minorHAnsi" w:hAnsiTheme="minorHAnsi"/>
                <w:sz w:val="20"/>
                <w:szCs w:val="20"/>
              </w:rPr>
              <w:t>Solid Fuel Burning Appliances</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Theme="minorHAnsi" w:hAnsiTheme="minorHAnsi"/>
                <w:sz w:val="20"/>
                <w:szCs w:val="20"/>
              </w:rPr>
            </w:pPr>
            <w:r w:rsidRPr="00551726">
              <w:rPr>
                <w:rFonts w:asciiTheme="minorHAnsi" w:hAnsiTheme="minorHAnsi"/>
                <w:sz w:val="20"/>
                <w:szCs w:val="20"/>
              </w:rPr>
              <w:t xml:space="preserve">6 Units </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Theme="minorHAnsi" w:hAnsiTheme="minorHAnsi"/>
                <w:sz w:val="20"/>
                <w:szCs w:val="20"/>
              </w:rPr>
            </w:pPr>
            <w:r w:rsidRPr="00551726">
              <w:rPr>
                <w:rFonts w:asciiTheme="minorHAnsi" w:hAnsiTheme="minorHAnsi"/>
                <w:sz w:val="20"/>
                <w:szCs w:val="20"/>
              </w:rPr>
              <w:t>2015-2020</w:t>
            </w:r>
          </w:p>
        </w:tc>
        <w:tc>
          <w:tcPr>
            <w:tcW w:w="12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Theme="minorHAnsi" w:hAnsiTheme="minorHAnsi"/>
                <w:sz w:val="20"/>
                <w:szCs w:val="20"/>
              </w:rPr>
            </w:pPr>
            <w:r w:rsidRPr="00551726">
              <w:rPr>
                <w:rFonts w:asciiTheme="minorHAnsi" w:hAnsiTheme="minorHAnsi"/>
                <w:sz w:val="20"/>
                <w:szCs w:val="20"/>
              </w:rPr>
              <w:t>PM</w:t>
            </w:r>
          </w:p>
        </w:tc>
        <w:tc>
          <w:tcPr>
            <w:tcW w:w="8646"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Theme="minorHAnsi" w:hAnsiTheme="minorHAnsi"/>
                <w:bCs/>
                <w:sz w:val="20"/>
                <w:szCs w:val="20"/>
                <w:lang w:val="en-ZA"/>
              </w:rPr>
            </w:pPr>
            <w:r w:rsidRPr="00551726">
              <w:rPr>
                <w:rFonts w:asciiTheme="minorHAnsi" w:hAnsiTheme="minorHAnsi"/>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Theme="minorHAnsi" w:hAnsiTheme="minorHAnsi"/>
                <w:bCs/>
                <w:sz w:val="20"/>
                <w:szCs w:val="20"/>
                <w:lang w:val="en-ZA"/>
              </w:rPr>
            </w:pPr>
            <w:r w:rsidRPr="00551726">
              <w:rPr>
                <w:rFonts w:asciiTheme="minorHAnsi" w:hAnsiTheme="minorHAnsi"/>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Theme="minorHAnsi" w:hAnsiTheme="minorHAnsi"/>
                <w:bCs/>
                <w:sz w:val="20"/>
                <w:szCs w:val="20"/>
                <w:lang w:val="en-ZA"/>
              </w:rPr>
            </w:pPr>
            <w:r w:rsidRPr="00551726">
              <w:rPr>
                <w:rFonts w:asciiTheme="minorHAnsi" w:hAnsiTheme="minorHAnsi"/>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Theme="minorHAnsi" w:hAnsiTheme="minorHAnsi"/>
                <w:bCs/>
                <w:sz w:val="20"/>
                <w:szCs w:val="20"/>
                <w:lang w:val="en-ZA"/>
              </w:rPr>
            </w:pPr>
            <w:r w:rsidRPr="00551726">
              <w:rPr>
                <w:rFonts w:asciiTheme="minorHAnsi" w:hAnsiTheme="minorHAnsi"/>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Theme="minorHAnsi" w:hAnsiTheme="minorHAnsi"/>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Theme="minorHAnsi" w:hAnsiTheme="minorHAnsi"/>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Theme="minorHAnsi" w:hAnsiTheme="minorHAnsi"/>
                <w:sz w:val="20"/>
                <w:szCs w:val="20"/>
              </w:rPr>
            </w:pPr>
          </w:p>
        </w:tc>
        <w:tc>
          <w:tcPr>
            <w:tcW w:w="12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Theme="minorHAnsi" w:hAnsiTheme="minorHAnsi"/>
                <w:sz w:val="20"/>
                <w:szCs w:val="20"/>
              </w:rPr>
            </w:pPr>
            <w:r w:rsidRPr="00551726">
              <w:rPr>
                <w:rFonts w:asciiTheme="minorHAnsi" w:hAnsiTheme="minorHAnsi"/>
                <w:sz w:val="20"/>
                <w:szCs w:val="20"/>
              </w:rPr>
              <w:t>SO</w:t>
            </w:r>
            <w:r w:rsidRPr="00551726">
              <w:rPr>
                <w:rFonts w:asciiTheme="minorHAnsi" w:hAnsiTheme="minorHAnsi"/>
                <w:sz w:val="20"/>
                <w:szCs w:val="20"/>
                <w:vertAlign w:val="subscript"/>
              </w:rPr>
              <w:t>2</w:t>
            </w:r>
          </w:p>
        </w:tc>
        <w:tc>
          <w:tcPr>
            <w:tcW w:w="8646" w:type="dxa"/>
            <w:vMerge/>
            <w:tcBorders>
              <w:left w:val="single" w:sz="8" w:space="0" w:color="FFFFFF"/>
              <w:right w:val="single" w:sz="8" w:space="0" w:color="FFFFFF"/>
            </w:tcBorders>
            <w:shd w:val="clear" w:color="auto" w:fill="E9EDF4"/>
          </w:tcPr>
          <w:p w:rsidR="00200BBF" w:rsidRPr="00551726" w:rsidRDefault="00200BBF" w:rsidP="00200BBF">
            <w:pPr>
              <w:rPr>
                <w:rFonts w:asciiTheme="minorHAnsi" w:hAnsiTheme="minorHAnsi"/>
                <w:b/>
                <w:bCs/>
                <w:sz w:val="20"/>
                <w:szCs w:val="20"/>
                <w:lang w:val="en-ZA"/>
              </w:rPr>
            </w:pPr>
          </w:p>
        </w:tc>
      </w:tr>
      <w:tr w:rsidR="00200BBF" w:rsidRPr="00551726" w:rsidTr="00200BBF">
        <w:trPr>
          <w:trHeight w:val="56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Theme="minorHAnsi" w:hAnsiTheme="minorHAnsi"/>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Theme="minorHAnsi" w:hAnsiTheme="minorHAnsi"/>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Theme="minorHAnsi" w:hAnsiTheme="minorHAnsi"/>
                <w:sz w:val="20"/>
                <w:szCs w:val="20"/>
              </w:rPr>
            </w:pPr>
          </w:p>
        </w:tc>
        <w:tc>
          <w:tcPr>
            <w:tcW w:w="12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Theme="minorHAnsi" w:hAnsiTheme="minorHAnsi"/>
                <w:sz w:val="20"/>
                <w:szCs w:val="20"/>
              </w:rPr>
            </w:pPr>
            <w:r w:rsidRPr="00551726">
              <w:rPr>
                <w:rFonts w:asciiTheme="minorHAnsi" w:hAnsiTheme="minorHAnsi"/>
                <w:sz w:val="20"/>
                <w:szCs w:val="20"/>
              </w:rPr>
              <w:t>NOx</w:t>
            </w:r>
          </w:p>
        </w:tc>
        <w:tc>
          <w:tcPr>
            <w:tcW w:w="8646"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Theme="minorHAnsi" w:hAnsiTheme="minorHAnsi"/>
                <w:b/>
                <w:bCs/>
                <w:sz w:val="20"/>
                <w:szCs w:val="20"/>
                <w:lang w:val="en-ZA"/>
              </w:rPr>
            </w:pPr>
          </w:p>
        </w:tc>
      </w:tr>
    </w:tbl>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p>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p>
    <w:p w:rsidR="00200BBF" w:rsidRPr="004F4F23" w:rsidRDefault="00200BBF" w:rsidP="00200BBF"/>
    <w:p w:rsidR="00200BBF" w:rsidRPr="004F4F23" w:rsidRDefault="00200BBF" w:rsidP="00200BBF">
      <w:pPr>
        <w:keepNext/>
        <w:keepLines/>
        <w:widowControl w:val="0"/>
        <w:overflowPunct w:val="0"/>
        <w:autoSpaceDE w:val="0"/>
        <w:autoSpaceDN w:val="0"/>
        <w:adjustRightInd w:val="0"/>
        <w:spacing w:before="200"/>
        <w:textAlignment w:val="baseline"/>
        <w:outlineLvl w:val="2"/>
        <w:rPr>
          <w:rFonts w:eastAsiaTheme="majorEastAsia" w:cstheme="majorBidi"/>
          <w:b/>
          <w:bCs/>
          <w:szCs w:val="20"/>
        </w:rPr>
      </w:pPr>
      <w:r w:rsidRPr="004F4F23">
        <w:rPr>
          <w:rFonts w:eastAsiaTheme="majorEastAsia" w:cstheme="majorBidi"/>
          <w:b/>
          <w:bCs/>
          <w:szCs w:val="20"/>
        </w:rPr>
        <w:t>Eskom Komati Power Station, Nkangala District Municipality, Mpumalanga Province</w:t>
      </w:r>
    </w:p>
    <w:p w:rsidR="00200BBF" w:rsidRPr="004F4F23" w:rsidRDefault="00200BBF" w:rsidP="00200BBF"/>
    <w:tbl>
      <w:tblPr>
        <w:tblW w:w="14732" w:type="dxa"/>
        <w:tblCellMar>
          <w:left w:w="0" w:type="dxa"/>
          <w:right w:w="0" w:type="dxa"/>
        </w:tblCellMar>
        <w:tblLook w:val="04A0"/>
      </w:tblPr>
      <w:tblGrid>
        <w:gridCol w:w="1701"/>
        <w:gridCol w:w="1158"/>
        <w:gridCol w:w="1716"/>
        <w:gridCol w:w="1169"/>
        <w:gridCol w:w="8988"/>
      </w:tblGrid>
      <w:tr w:rsidR="00200BBF" w:rsidRPr="00551726" w:rsidTr="00200BBF">
        <w:trPr>
          <w:trHeight w:val="76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Pollutants</w:t>
            </w:r>
          </w:p>
        </w:tc>
        <w:tc>
          <w:tcPr>
            <w:tcW w:w="8988"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8988"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Age of power station: Komati’s decommissioning is scheduled to start in 2024. An FGD retrofit could only commence in 2022 at the earliest, when water becomes available, although there are other power stations which are higher priority (given Komati’s small size). Typically, one unit per year is retrofitted. It thus makes no sense to spend billions of rands on a power station which will only run for a year or two once the retrofits are installed, before it is decommissioned.</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 xml:space="preserve">Impact on ambient air quality: same reason was given as written above for Arnot power </w:t>
            </w:r>
            <w:r w:rsidRPr="00551726">
              <w:rPr>
                <w:rFonts w:ascii="Arial" w:hAnsi="Arial" w:cs="Arial"/>
                <w:bCs/>
                <w:sz w:val="20"/>
                <w:szCs w:val="20"/>
                <w:lang w:val="en-ZA"/>
              </w:rPr>
              <w:lastRenderedPageBreak/>
              <w:t>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8988"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8988"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t>Eskom Kriel Power Station, Nkangala District Municipality, Mpumalanga Province</w:t>
      </w:r>
    </w:p>
    <w:p w:rsidR="00200BBF" w:rsidRPr="00551726" w:rsidRDefault="00200BBF" w:rsidP="00200BBF">
      <w:pPr>
        <w:rPr>
          <w:rFonts w:ascii="Arial" w:hAnsi="Arial" w:cs="Arial"/>
          <w:sz w:val="20"/>
          <w:szCs w:val="20"/>
        </w:rPr>
      </w:pPr>
    </w:p>
    <w:tbl>
      <w:tblPr>
        <w:tblW w:w="14732" w:type="dxa"/>
        <w:tblCellMar>
          <w:left w:w="0" w:type="dxa"/>
          <w:right w:w="0" w:type="dxa"/>
        </w:tblCellMar>
        <w:tblLook w:val="04A0"/>
      </w:tblPr>
      <w:tblGrid>
        <w:gridCol w:w="1428"/>
        <w:gridCol w:w="1158"/>
        <w:gridCol w:w="1591"/>
        <w:gridCol w:w="1133"/>
        <w:gridCol w:w="9422"/>
      </w:tblGrid>
      <w:tr w:rsidR="00200BBF" w:rsidRPr="00551726" w:rsidTr="00200BBF">
        <w:trPr>
          <w:trHeight w:val="763"/>
        </w:trPr>
        <w:tc>
          <w:tcPr>
            <w:tcW w:w="140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 xml:space="preserve">Postponement </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9497"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408"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5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9497"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Remaining power station life: If Kriel is decommissioned after 50 years, as is planned according to the current Integrated Resource Plan, the units at Kriel will be decommissioned between 2026 and 2029. The short remaining power station life means that, were low NOx burners and flue gas desulphurisation to be retrofitted, there would be very few years for the benefit of the emission reductions to be realised, and for the investment to pay off. The earliest that low NOx burners could be retrofitted is between 2018 and 2023, although it is more likely that the retrofits could be done a year later than that. This means that each unit would only operate for 7 years with the low NOx burners before it is decommissioned. The situation is even more marked for FGD. An FGD retrofit could occur at the earliest between 2021 and 2026 (and even then, it could be argued that there are higher priority stations which should be retrofitted first). In that case, each unit would only run with FGD for around 4 years before it is decommissioned.</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1408"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9497"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408"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9497"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lastRenderedPageBreak/>
        <w:t>Eskom Lethabo Power Station, Fezile Dabi District Municipality, Free State Province</w:t>
      </w:r>
    </w:p>
    <w:p w:rsidR="00200BBF" w:rsidRPr="00551726" w:rsidRDefault="00200BBF" w:rsidP="00200BBF">
      <w:pPr>
        <w:rPr>
          <w:rFonts w:ascii="Arial" w:hAnsi="Arial" w:cs="Arial"/>
          <w:sz w:val="20"/>
          <w:szCs w:val="20"/>
        </w:rPr>
      </w:pPr>
    </w:p>
    <w:tbl>
      <w:tblPr>
        <w:tblW w:w="14732" w:type="dxa"/>
        <w:tblCellMar>
          <w:left w:w="0" w:type="dxa"/>
          <w:right w:w="0" w:type="dxa"/>
        </w:tblCellMar>
        <w:tblLook w:val="04A0"/>
      </w:tblPr>
      <w:tblGrid>
        <w:gridCol w:w="1689"/>
        <w:gridCol w:w="1158"/>
        <w:gridCol w:w="1591"/>
        <w:gridCol w:w="1133"/>
        <w:gridCol w:w="9161"/>
      </w:tblGrid>
      <w:tr w:rsidR="00200BBF" w:rsidRPr="00551726" w:rsidTr="00200BBF">
        <w:trPr>
          <w:trHeight w:val="763"/>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9213"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9213"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9213"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9213"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t>Eskom Majumba Power Station, Gert Sibande District Municipality, Mpumalanga Province</w:t>
      </w:r>
    </w:p>
    <w:p w:rsidR="00200BBF" w:rsidRPr="00551726" w:rsidRDefault="00200BBF" w:rsidP="00200BBF">
      <w:pPr>
        <w:rPr>
          <w:rFonts w:ascii="Arial" w:hAnsi="Arial" w:cs="Arial"/>
          <w:sz w:val="20"/>
          <w:szCs w:val="20"/>
        </w:rPr>
      </w:pPr>
    </w:p>
    <w:tbl>
      <w:tblPr>
        <w:tblW w:w="14732" w:type="dxa"/>
        <w:tblCellMar>
          <w:left w:w="0" w:type="dxa"/>
          <w:right w:w="0" w:type="dxa"/>
        </w:tblCellMar>
        <w:tblLook w:val="04A0"/>
      </w:tblPr>
      <w:tblGrid>
        <w:gridCol w:w="1689"/>
        <w:gridCol w:w="1158"/>
        <w:gridCol w:w="1591"/>
        <w:gridCol w:w="1133"/>
        <w:gridCol w:w="9161"/>
      </w:tblGrid>
      <w:tr w:rsidR="00200BBF" w:rsidRPr="00551726" w:rsidTr="00200BBF">
        <w:trPr>
          <w:trHeight w:val="763"/>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9213"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9213"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9213"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9213"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rPr>
          <w:rFonts w:ascii="Arial" w:hAnsi="Arial" w:cs="Arial"/>
          <w:sz w:val="20"/>
          <w:szCs w:val="20"/>
        </w:rPr>
      </w:pPr>
    </w:p>
    <w:p w:rsidR="00200BBF" w:rsidRPr="00551726" w:rsidRDefault="00200BBF" w:rsidP="00200BBF">
      <w:pPr>
        <w:keepNext/>
        <w:keepLines/>
        <w:widowControl w:val="0"/>
        <w:overflowPunct w:val="0"/>
        <w:autoSpaceDE w:val="0"/>
        <w:autoSpaceDN w:val="0"/>
        <w:adjustRightInd w:val="0"/>
        <w:spacing w:before="200" w:line="360" w:lineRule="auto"/>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lastRenderedPageBreak/>
        <w:t>Eskom Matimba Power Station, Limpopo Province</w:t>
      </w:r>
    </w:p>
    <w:tbl>
      <w:tblPr>
        <w:tblW w:w="14591" w:type="dxa"/>
        <w:tblCellMar>
          <w:left w:w="0" w:type="dxa"/>
          <w:right w:w="0" w:type="dxa"/>
        </w:tblCellMar>
        <w:tblLook w:val="04A0"/>
      </w:tblPr>
      <w:tblGrid>
        <w:gridCol w:w="1688"/>
        <w:gridCol w:w="1554"/>
        <w:gridCol w:w="1591"/>
        <w:gridCol w:w="1058"/>
        <w:gridCol w:w="8700"/>
      </w:tblGrid>
      <w:tr w:rsidR="00200BBF" w:rsidRPr="00551726" w:rsidTr="00200BBF">
        <w:trPr>
          <w:trHeight w:val="763"/>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8789"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83"/>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5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8789"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72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8789"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84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r w:rsidRPr="00551726">
              <w:rPr>
                <w:rFonts w:ascii="Arial" w:hAnsi="Arial" w:cs="Arial"/>
                <w:b/>
                <w:bCs/>
                <w:color w:val="FF0000"/>
                <w:kern w:val="24"/>
                <w:sz w:val="20"/>
                <w:szCs w:val="20"/>
                <w:lang w:val="en-ZA"/>
              </w:rPr>
              <w:t xml:space="preserve"> </w:t>
            </w:r>
          </w:p>
        </w:tc>
        <w:tc>
          <w:tcPr>
            <w:tcW w:w="8789"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rPr>
          <w:rFonts w:ascii="Arial" w:hAnsi="Arial" w:cs="Arial"/>
          <w:sz w:val="20"/>
          <w:szCs w:val="20"/>
        </w:rPr>
      </w:pP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t>Eskom Matla Power Station, Nkangala District Municipality, Mpumalanga Province</w:t>
      </w:r>
    </w:p>
    <w:p w:rsidR="00200BBF" w:rsidRPr="00551726" w:rsidRDefault="00200BBF" w:rsidP="00200BBF">
      <w:pPr>
        <w:rPr>
          <w:rFonts w:ascii="Arial" w:hAnsi="Arial" w:cs="Arial"/>
          <w:sz w:val="20"/>
          <w:szCs w:val="20"/>
        </w:rPr>
      </w:pPr>
    </w:p>
    <w:tbl>
      <w:tblPr>
        <w:tblW w:w="14732" w:type="dxa"/>
        <w:tblCellMar>
          <w:left w:w="0" w:type="dxa"/>
          <w:right w:w="0" w:type="dxa"/>
        </w:tblCellMar>
        <w:tblLook w:val="04A0"/>
      </w:tblPr>
      <w:tblGrid>
        <w:gridCol w:w="1687"/>
        <w:gridCol w:w="1555"/>
        <w:gridCol w:w="1591"/>
        <w:gridCol w:w="1058"/>
        <w:gridCol w:w="8841"/>
      </w:tblGrid>
      <w:tr w:rsidR="00200BBF" w:rsidRPr="00551726" w:rsidTr="00200BBF">
        <w:trPr>
          <w:trHeight w:val="763"/>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vAlign w:val="center"/>
            <w:hideMark/>
          </w:tcPr>
          <w:p w:rsidR="00200BBF" w:rsidRPr="00551726" w:rsidRDefault="00200BBF" w:rsidP="00200BBF">
            <w:pPr>
              <w:jc w:val="center"/>
              <w:rPr>
                <w:rFonts w:ascii="Arial" w:hAnsi="Arial" w:cs="Arial"/>
                <w:sz w:val="20"/>
                <w:szCs w:val="20"/>
              </w:rPr>
            </w:pPr>
            <w:r w:rsidRPr="00551726">
              <w:rPr>
                <w:rFonts w:ascii="Arial" w:hAnsi="Arial" w:cs="Arial"/>
                <w:b/>
                <w:bCs/>
                <w:sz w:val="20"/>
                <w:szCs w:val="20"/>
              </w:rPr>
              <w:t>Category</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vAlign w:val="center"/>
            <w:hideMark/>
          </w:tcPr>
          <w:p w:rsidR="00200BBF" w:rsidRPr="00551726" w:rsidRDefault="00200BBF" w:rsidP="00200BBF">
            <w:pPr>
              <w:jc w:val="center"/>
              <w:rPr>
                <w:rFonts w:ascii="Arial" w:hAnsi="Arial" w:cs="Arial"/>
                <w:sz w:val="20"/>
                <w:szCs w:val="20"/>
              </w:rPr>
            </w:pPr>
            <w:r w:rsidRPr="00551726">
              <w:rPr>
                <w:rFonts w:ascii="Arial" w:hAnsi="Arial" w:cs="Arial"/>
                <w:b/>
                <w:bCs/>
                <w:sz w:val="20"/>
                <w:szCs w:val="20"/>
              </w:rPr>
              <w:t>Appliance</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vAlign w:val="cente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jc w:val="center"/>
              <w:rPr>
                <w:rFonts w:ascii="Arial" w:hAnsi="Arial" w:cs="Arial"/>
                <w:sz w:val="20"/>
                <w:szCs w:val="20"/>
              </w:rPr>
            </w:pPr>
            <w:r w:rsidRPr="00551726">
              <w:rPr>
                <w:rFonts w:ascii="Arial" w:hAnsi="Arial" w:cs="Arial"/>
                <w:b/>
                <w:bCs/>
                <w:sz w:val="20"/>
                <w:szCs w:val="20"/>
              </w:rPr>
              <w:t>Period Sought</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vAlign w:val="cente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8930"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6 Units</w:t>
            </w:r>
          </w:p>
        </w:tc>
        <w:tc>
          <w:tcPr>
            <w:tcW w:w="155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8930"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 xml:space="preserve">Age of power station: The decommissioning of Matla is scheduled for 2029-2033. It makes little sense to install huge retrofits (which will further reduce the efficiency of the power station) and spend billions of rands to reduce emissions, when the power station will only </w:t>
            </w:r>
            <w:r w:rsidRPr="00551726">
              <w:rPr>
                <w:rFonts w:ascii="Arial" w:hAnsi="Arial" w:cs="Arial"/>
                <w:bCs/>
                <w:sz w:val="20"/>
                <w:szCs w:val="20"/>
                <w:lang w:val="en-ZA"/>
              </w:rPr>
              <w:lastRenderedPageBreak/>
              <w:t>be run for a few more years before it is decommissioned.</w:t>
            </w:r>
          </w:p>
        </w:tc>
      </w:tr>
      <w:tr w:rsidR="00200BBF" w:rsidRPr="00551726" w:rsidTr="00200BBF">
        <w:trPr>
          <w:trHeight w:val="600"/>
        </w:trPr>
        <w:tc>
          <w:tcPr>
            <w:tcW w:w="1691" w:type="dxa"/>
            <w:vMerge/>
            <w:tcBorders>
              <w:top w:val="single" w:sz="24" w:space="0" w:color="FFFFFF"/>
              <w:left w:val="single" w:sz="8" w:space="0" w:color="FFFFFF"/>
              <w:bottom w:val="single" w:sz="8" w:space="0" w:color="FFFFFF"/>
              <w:right w:val="single" w:sz="8" w:space="0" w:color="FFFFFF"/>
            </w:tcBorders>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hideMark/>
          </w:tcPr>
          <w:p w:rsidR="00200BBF" w:rsidRPr="00551726"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8930"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691" w:type="dxa"/>
            <w:vMerge/>
            <w:tcBorders>
              <w:top w:val="single" w:sz="24" w:space="0" w:color="FFFFFF"/>
              <w:left w:val="single" w:sz="8" w:space="0" w:color="FFFFFF"/>
              <w:bottom w:val="single" w:sz="8" w:space="0" w:color="FFFFFF"/>
              <w:right w:val="single" w:sz="8" w:space="0" w:color="FFFFFF"/>
            </w:tcBorders>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hideMark/>
          </w:tcPr>
          <w:p w:rsidR="00200BBF" w:rsidRPr="00551726"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8930"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t>Eskom Medupi Power Station, Limpopo Province</w:t>
      </w:r>
    </w:p>
    <w:p w:rsidR="00200BBF" w:rsidRPr="00551726" w:rsidRDefault="00200BBF" w:rsidP="00200BBF">
      <w:pPr>
        <w:rPr>
          <w:rFonts w:ascii="Arial" w:hAnsi="Arial" w:cs="Arial"/>
          <w:sz w:val="20"/>
          <w:szCs w:val="20"/>
        </w:rPr>
      </w:pPr>
    </w:p>
    <w:tbl>
      <w:tblPr>
        <w:tblW w:w="14874" w:type="dxa"/>
        <w:tblCellMar>
          <w:left w:w="0" w:type="dxa"/>
          <w:right w:w="0" w:type="dxa"/>
        </w:tblCellMar>
        <w:tblLook w:val="04A0"/>
      </w:tblPr>
      <w:tblGrid>
        <w:gridCol w:w="1688"/>
        <w:gridCol w:w="1555"/>
        <w:gridCol w:w="1591"/>
        <w:gridCol w:w="1058"/>
        <w:gridCol w:w="8982"/>
      </w:tblGrid>
      <w:tr w:rsidR="00200BBF" w:rsidRPr="00551726" w:rsidTr="00200BBF">
        <w:trPr>
          <w:trHeight w:val="763"/>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9072"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1691"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15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155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tc>
        <w:tc>
          <w:tcPr>
            <w:tcW w:w="9072"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Due to the delay in the commissioning of the Medupi Power Station, water availability is no longer a constraint for the operation of FGD on three units at Medupi. However, water availability for the operation of FGD was a constraint when the power station construction schedule was developed. Medupi Power Station requires a total of 15.4 million cubic metres of water per annum, based on the manufacturers’ stated water requirements - 6 million cubic metres per annum is for power production and 9.4 million cubic metres per annum is for FGD. The available water in Mokolo Dam and the water allocation to Eskom is sufficient to meet Medupi’s operational requirements but not all the FGD requirements.</w:t>
            </w:r>
            <w:r w:rsidRPr="00551726">
              <w:rPr>
                <w:rFonts w:ascii="Arial" w:hAnsi="Arial" w:cs="Arial"/>
                <w:sz w:val="20"/>
                <w:szCs w:val="20"/>
              </w:rPr>
              <w:t xml:space="preserve"> </w:t>
            </w:r>
            <w:r w:rsidRPr="00551726">
              <w:rPr>
                <w:rFonts w:ascii="Arial" w:hAnsi="Arial" w:cs="Arial"/>
                <w:bCs/>
                <w:sz w:val="20"/>
                <w:szCs w:val="20"/>
                <w:lang w:val="en-ZA"/>
              </w:rPr>
              <w:t>As can be seen from above, the retrofitting of the FGD units after commissioning of the boiler unit is related to ensuring security of water supply and therefore Medupi has been constructed to be FGD-ready. It is not possible to bring the retrofit forward, given that the environmental approval process, design and engineering, procurement processes and securing of limestone still need to be completed.</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 xml:space="preserve">Impact on ambient air quality: The effect of SO2 emissions from Medupi on ambient air quality is discussed comprehensively in the Atmospheric Impact Report. Dispersion modelling indicates that ambient SO2 concentrations resulting if Medupi continuously runs at the requested emission limit are below the respective NAAQS. However, when Matimba and Medupi emissions are combined, large areas of non-compliance with the 24-hourly and hourly SO2 NAAQS are predicted. Although these large areas of potential non-compliance cannot simply be discounted, the modelling configuration would almost certainly result in an exaggeration of the predicted ambient concentrations both spatially and temporally. In addition the maximum emissions would prevail for no more than two years at worst before SO2 emissions would start to reduce and ultimately comply fully with the MES over time as FGD is retrofitted. Finally the areas of predicted non-compliance extend over generally low </w:t>
            </w:r>
            <w:r w:rsidRPr="00551726">
              <w:rPr>
                <w:rFonts w:ascii="Arial" w:hAnsi="Arial" w:cs="Arial"/>
                <w:bCs/>
                <w:sz w:val="20"/>
                <w:szCs w:val="20"/>
                <w:lang w:val="en-ZA"/>
              </w:rPr>
              <w:lastRenderedPageBreak/>
              <w:t>population densities although it must be recognised that the residential area of Marapong is potentially affected. In these terms decision-makers should recognise that an unacceptable health risk may prevail as a result of Eskom’s requested interim emissions limits for Medupi. If this unacceptable risk does manifest it will be relatively short lived, and last for no more than two years after full commissioning of Medupi. An assessment of measured ambient air quality at the Marapong and Grootstryd monitoring stations has revealed full compliance with the SO2 NAAQS currently, with a marginally higher SO2 loading at the Grootstryd site which is downwind of the power station.</w:t>
            </w:r>
          </w:p>
          <w:p w:rsidR="00200BBF" w:rsidRPr="00551726" w:rsidRDefault="00200BBF" w:rsidP="00200BBF">
            <w:pPr>
              <w:rPr>
                <w:rFonts w:ascii="Arial" w:hAnsi="Arial" w:cs="Arial"/>
                <w:bCs/>
                <w:sz w:val="20"/>
                <w:szCs w:val="20"/>
                <w:lang w:val="en-ZA"/>
              </w:rPr>
            </w:pPr>
          </w:p>
        </w:tc>
      </w:tr>
      <w:tr w:rsidR="00200BBF" w:rsidRPr="00551726" w:rsidTr="00200BBF">
        <w:trPr>
          <w:trHeight w:val="600"/>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9072"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1691"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60"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9072"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r w:rsidRPr="00551726">
        <w:rPr>
          <w:rFonts w:ascii="Arial" w:hAnsi="Arial" w:cs="Arial"/>
          <w:sz w:val="20"/>
          <w:szCs w:val="20"/>
        </w:rPr>
        <w:br w:type="page"/>
      </w: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lastRenderedPageBreak/>
        <w:t>Eskom Port Rex Power Station, ## District Municipality, &amp;&amp; Province</w:t>
      </w:r>
    </w:p>
    <w:p w:rsidR="00200BBF" w:rsidRPr="00551726" w:rsidRDefault="00200BBF" w:rsidP="00200BBF">
      <w:pPr>
        <w:rPr>
          <w:rFonts w:ascii="Arial" w:hAnsi="Arial" w:cs="Arial"/>
          <w:sz w:val="20"/>
          <w:szCs w:val="20"/>
        </w:rPr>
      </w:pPr>
    </w:p>
    <w:tbl>
      <w:tblPr>
        <w:tblW w:w="14732" w:type="dxa"/>
        <w:tblCellMar>
          <w:left w:w="0" w:type="dxa"/>
          <w:right w:w="0" w:type="dxa"/>
        </w:tblCellMar>
        <w:tblLook w:val="04A0"/>
      </w:tblPr>
      <w:tblGrid>
        <w:gridCol w:w="1730"/>
        <w:gridCol w:w="1158"/>
        <w:gridCol w:w="1725"/>
        <w:gridCol w:w="1058"/>
        <w:gridCol w:w="9061"/>
      </w:tblGrid>
      <w:tr w:rsidR="00200BBF" w:rsidRPr="00551726" w:rsidTr="00200BBF">
        <w:trPr>
          <w:trHeight w:val="76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9061"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763"/>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1.2: </w:t>
            </w:r>
            <w:r w:rsidRPr="00551726">
              <w:rPr>
                <w:rFonts w:ascii="Arial" w:hAnsi="Arial" w:cs="Arial"/>
                <w:sz w:val="20"/>
                <w:szCs w:val="20"/>
              </w:rPr>
              <w:t>Liquid Fuel Burning Appliances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NO</w:t>
            </w:r>
            <w:r w:rsidRPr="00551726">
              <w:rPr>
                <w:rFonts w:ascii="Arial" w:hAnsi="Arial" w:cs="Arial"/>
                <w:sz w:val="20"/>
                <w:szCs w:val="20"/>
                <w:vertAlign w:val="subscript"/>
                <w:lang w:val="en-ZA"/>
              </w:rPr>
              <w:t>X</w:t>
            </w:r>
          </w:p>
        </w:tc>
        <w:tc>
          <w:tcPr>
            <w:tcW w:w="9061" w:type="dxa"/>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B72FA2">
            <w:pPr>
              <w:numPr>
                <w:ilvl w:val="0"/>
                <w:numId w:val="24"/>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Load factor: Port Rex is a peaking station, which is only used infrequently in emergency situations. The average number of hours for which each engine at Port Rex operated from 2009 to 2012 is 22.6 hours and the corresponding load factors is 0.25%. From 2009 to 2012, each engine operated on average for 23 hours a year, i.e. for less than one day a year.</w:t>
            </w:r>
          </w:p>
          <w:p w:rsidR="00200BBF" w:rsidRPr="00551726" w:rsidRDefault="00200BBF" w:rsidP="00B72FA2">
            <w:pPr>
              <w:numPr>
                <w:ilvl w:val="0"/>
                <w:numId w:val="24"/>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Age of power station: The three units at Port Rex were commissioned in 1976. They are thus now 37 years old. Although the decommissioning date of Port Rex is not fixed, planning is typically done according to a 50-year life, which means that Port Rex may be decommissioned around 2026.</w:t>
            </w:r>
          </w:p>
          <w:p w:rsidR="00200BBF" w:rsidRPr="00551726" w:rsidRDefault="00200BBF" w:rsidP="00B72FA2">
            <w:pPr>
              <w:numPr>
                <w:ilvl w:val="0"/>
                <w:numId w:val="24"/>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and human health</w:t>
            </w:r>
          </w:p>
          <w:p w:rsidR="00200BBF" w:rsidRPr="00551726" w:rsidRDefault="00200BBF" w:rsidP="00B72FA2">
            <w:pPr>
              <w:numPr>
                <w:ilvl w:val="0"/>
                <w:numId w:val="24"/>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compliance with MES: Considering that Port Rex is an emergency power station and each engine runs for less than one day a year, on average, and the fact that Port Rex has a negligible impact on ambient air quality, there is little benefit in retrofitting de-NOx technology at Port Rex. This is further motivated by the direct financial costs of achieving compliance with the Minimum Emission Standards at all Eskom’s power stations. NOx emission reduction is estimated to cost between R10 and R40 billion for all power stations. This includes low NOx burner retrofits at stations which need them, and burner optimisations at others, as detailed in Section 8 below. While the cost of retrofitting NOx abatement at Port Rex is relatively small in this context, the benefit of incurring the costs for Port Rex is highly questionable. The reader is also referred to Annexure E in which an independent assessment has been conducted of the costs of retrofits proposed by Eskom to ensure that these costs have not been exaggerated. It can be seen from that assessment that the costs presented here are deemed to be an accurate presentation.</w:t>
            </w: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keepNext/>
        <w:keepLines/>
        <w:widowControl w:val="0"/>
        <w:overflowPunct w:val="0"/>
        <w:autoSpaceDE w:val="0"/>
        <w:autoSpaceDN w:val="0"/>
        <w:adjustRightInd w:val="0"/>
        <w:spacing w:before="200"/>
        <w:textAlignment w:val="baseline"/>
        <w:outlineLvl w:val="2"/>
        <w:rPr>
          <w:rFonts w:ascii="Arial" w:eastAsiaTheme="majorEastAsia" w:hAnsi="Arial" w:cs="Arial"/>
          <w:b/>
          <w:bCs/>
          <w:sz w:val="20"/>
          <w:szCs w:val="20"/>
        </w:rPr>
      </w:pPr>
      <w:r w:rsidRPr="00551726">
        <w:rPr>
          <w:rFonts w:ascii="Arial" w:eastAsiaTheme="majorEastAsia" w:hAnsi="Arial" w:cs="Arial"/>
          <w:b/>
          <w:bCs/>
          <w:sz w:val="20"/>
          <w:szCs w:val="20"/>
        </w:rPr>
        <w:t>Eskom Tutuka Power Station, ## District Municipality, &amp;&amp; Province</w:t>
      </w:r>
    </w:p>
    <w:p w:rsidR="00200BBF" w:rsidRPr="00551726" w:rsidRDefault="00200BBF" w:rsidP="00200BBF">
      <w:pPr>
        <w:rPr>
          <w:rFonts w:ascii="Arial" w:hAnsi="Arial" w:cs="Arial"/>
          <w:sz w:val="20"/>
          <w:szCs w:val="20"/>
        </w:rPr>
      </w:pPr>
    </w:p>
    <w:tbl>
      <w:tblPr>
        <w:tblW w:w="14874" w:type="dxa"/>
        <w:tblCellMar>
          <w:left w:w="0" w:type="dxa"/>
          <w:right w:w="0" w:type="dxa"/>
        </w:tblCellMar>
        <w:tblLook w:val="04A0"/>
      </w:tblPr>
      <w:tblGrid>
        <w:gridCol w:w="1587"/>
        <w:gridCol w:w="1158"/>
        <w:gridCol w:w="1663"/>
        <w:gridCol w:w="1252"/>
        <w:gridCol w:w="9214"/>
      </w:tblGrid>
      <w:tr w:rsidR="00200BBF" w:rsidRPr="00551726" w:rsidTr="00200BBF">
        <w:trPr>
          <w:trHeight w:val="763"/>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lastRenderedPageBreak/>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12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9214"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67"/>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lang w:val="en-ZA"/>
              </w:rPr>
              <w:t xml:space="preserve">Subcategory 1.1: </w:t>
            </w:r>
            <w:r w:rsidRPr="00551726">
              <w:rPr>
                <w:rFonts w:ascii="Arial" w:hAnsi="Arial" w:cs="Arial"/>
                <w:sz w:val="20"/>
                <w:szCs w:val="20"/>
              </w:rPr>
              <w:t>Solid Fuel Burning Appliances</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6 Units </w:t>
            </w:r>
          </w:p>
        </w:tc>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2015-2020</w:t>
            </w:r>
          </w:p>
        </w:tc>
        <w:tc>
          <w:tcPr>
            <w:tcW w:w="12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PM</w:t>
            </w:r>
          </w:p>
          <w:p w:rsidR="00200BBF" w:rsidRPr="00551726" w:rsidRDefault="00200BBF" w:rsidP="00200BBF">
            <w:pPr>
              <w:rPr>
                <w:rFonts w:ascii="Arial" w:hAnsi="Arial" w:cs="Arial"/>
                <w:b/>
                <w:bCs/>
                <w:color w:val="FF0000"/>
                <w:sz w:val="20"/>
                <w:szCs w:val="20"/>
                <w:lang w:val="en-ZA"/>
              </w:rPr>
            </w:pPr>
            <w:r w:rsidRPr="00551726">
              <w:rPr>
                <w:rFonts w:ascii="Arial" w:hAnsi="Arial" w:cs="Arial"/>
                <w:sz w:val="20"/>
                <w:szCs w:val="20"/>
              </w:rPr>
              <w:t>100</w:t>
            </w:r>
          </w:p>
        </w:tc>
        <w:tc>
          <w:tcPr>
            <w:tcW w:w="9214"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Water availability: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Environmental implications of FGD: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Impact on ambient air quality: same reason was given as written above for Arnot power station.</w:t>
            </w:r>
          </w:p>
          <w:p w:rsidR="00200BBF" w:rsidRPr="00551726" w:rsidRDefault="00200BBF" w:rsidP="00B72FA2">
            <w:pPr>
              <w:numPr>
                <w:ilvl w:val="0"/>
                <w:numId w:val="23"/>
              </w:numPr>
              <w:spacing w:after="200" w:line="276" w:lineRule="auto"/>
              <w:contextualSpacing/>
              <w:jc w:val="both"/>
              <w:rPr>
                <w:rFonts w:ascii="Arial" w:hAnsi="Arial" w:cs="Arial"/>
                <w:bCs/>
                <w:sz w:val="20"/>
                <w:szCs w:val="20"/>
                <w:lang w:val="en-ZA"/>
              </w:rPr>
            </w:pPr>
            <w:r w:rsidRPr="00551726">
              <w:rPr>
                <w:rFonts w:ascii="Arial" w:hAnsi="Arial" w:cs="Arial"/>
                <w:bCs/>
                <w:sz w:val="20"/>
                <w:szCs w:val="20"/>
                <w:lang w:val="en-ZA"/>
              </w:rPr>
              <w:t>Cost implication of the compliance with the MES: These undesired consequences together with the financial costs of compliance (such as an increase in the electricity tariff) must be weighed up against the benefits that will accrue as a result of compliance with the MES. It is Eskom’s view that the benefit of compliance does not justify the non-financial and financial costs of compliance.</w:t>
            </w:r>
          </w:p>
        </w:tc>
      </w:tr>
      <w:tr w:rsidR="00200BBF" w:rsidRPr="00551726" w:rsidTr="00200BBF">
        <w:trPr>
          <w:trHeight w:val="60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2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SO</w:t>
            </w:r>
            <w:r w:rsidRPr="00551726">
              <w:rPr>
                <w:rFonts w:ascii="Arial" w:hAnsi="Arial" w:cs="Arial"/>
                <w:sz w:val="20"/>
                <w:szCs w:val="20"/>
                <w:vertAlign w:val="subscript"/>
              </w:rPr>
              <w:t>2</w:t>
            </w:r>
          </w:p>
        </w:tc>
        <w:tc>
          <w:tcPr>
            <w:tcW w:w="9214" w:type="dxa"/>
            <w:vMerge/>
            <w:tcBorders>
              <w:left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lang w:val="en-ZA"/>
              </w:rPr>
            </w:pPr>
          </w:p>
        </w:tc>
      </w:tr>
      <w:tr w:rsidR="00200BBF" w:rsidRPr="00551726" w:rsidTr="00200BBF">
        <w:trPr>
          <w:trHeight w:val="56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2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NOx</w:t>
            </w:r>
          </w:p>
        </w:tc>
        <w:tc>
          <w:tcPr>
            <w:tcW w:w="9214" w:type="dxa"/>
            <w:vMerge/>
            <w:tcBorders>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
                <w:bCs/>
                <w:sz w:val="20"/>
                <w:szCs w:val="20"/>
                <w:lang w:val="en-ZA"/>
              </w:rPr>
            </w:pP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pStyle w:val="Heading2"/>
        <w:spacing w:line="360" w:lineRule="auto"/>
        <w:rPr>
          <w:rFonts w:ascii="Arial" w:hAnsi="Arial" w:cs="Arial"/>
          <w:sz w:val="20"/>
        </w:rPr>
      </w:pPr>
      <w:r w:rsidRPr="00551726">
        <w:rPr>
          <w:rFonts w:ascii="Arial" w:hAnsi="Arial" w:cs="Arial"/>
          <w:sz w:val="20"/>
        </w:rPr>
        <w:t>PPC Facilities</w:t>
      </w:r>
    </w:p>
    <w:p w:rsidR="00200BBF" w:rsidRPr="00551726" w:rsidRDefault="00200BBF" w:rsidP="00B72FA2">
      <w:pPr>
        <w:pStyle w:val="Heading3"/>
        <w:keepLines/>
        <w:numPr>
          <w:ilvl w:val="0"/>
          <w:numId w:val="14"/>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t>PPC De Hoek, West Coast District Municipality, Western Cape Province</w:t>
      </w:r>
    </w:p>
    <w:tbl>
      <w:tblPr>
        <w:tblW w:w="14874" w:type="dxa"/>
        <w:tblCellMar>
          <w:left w:w="0" w:type="dxa"/>
          <w:right w:w="0" w:type="dxa"/>
        </w:tblCellMar>
        <w:tblLook w:val="04A0"/>
      </w:tblPr>
      <w:tblGrid>
        <w:gridCol w:w="1833"/>
        <w:gridCol w:w="1557"/>
        <w:gridCol w:w="1591"/>
        <w:gridCol w:w="1690"/>
        <w:gridCol w:w="8203"/>
      </w:tblGrid>
      <w:tr w:rsidR="00200BBF" w:rsidRPr="00551726" w:rsidTr="00200BBF">
        <w:trPr>
          <w:trHeight w:val="378"/>
        </w:trPr>
        <w:tc>
          <w:tcPr>
            <w:tcW w:w="18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5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16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Emission limits</w:t>
            </w:r>
          </w:p>
        </w:tc>
        <w:tc>
          <w:tcPr>
            <w:tcW w:w="8221"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7214"/>
        </w:trPr>
        <w:tc>
          <w:tcPr>
            <w:tcW w:w="183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lastRenderedPageBreak/>
              <w:t xml:space="preserve">Subcategory 5.4: </w:t>
            </w:r>
            <w:r w:rsidRPr="00551726">
              <w:rPr>
                <w:rFonts w:ascii="Arial" w:hAnsi="Arial" w:cs="Arial"/>
                <w:sz w:val="20"/>
                <w:szCs w:val="20"/>
              </w:rPr>
              <w:t>Cement Production (using conventional fuels &amp; raw materials)</w:t>
            </w:r>
          </w:p>
        </w:tc>
        <w:tc>
          <w:tcPr>
            <w:tcW w:w="15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Finishing Mill 6 </w:t>
            </w:r>
          </w:p>
        </w:tc>
        <w:tc>
          <w:tcPr>
            <w:tcW w:w="15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2016 </w:t>
            </w:r>
          </w:p>
        </w:tc>
        <w:tc>
          <w:tcPr>
            <w:tcW w:w="16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Particulate Matter</w:t>
            </w:r>
          </w:p>
          <w:p w:rsidR="00200BBF" w:rsidRPr="00551726" w:rsidRDefault="00200BBF" w:rsidP="00200BBF">
            <w:pPr>
              <w:rPr>
                <w:rFonts w:ascii="Arial" w:hAnsi="Arial" w:cs="Arial"/>
                <w:b/>
                <w:color w:val="C00000"/>
                <w:sz w:val="20"/>
                <w:szCs w:val="20"/>
              </w:rPr>
            </w:pPr>
          </w:p>
        </w:tc>
        <w:tc>
          <w:tcPr>
            <w:tcW w:w="8221" w:type="dxa"/>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sz w:val="20"/>
                <w:szCs w:val="20"/>
              </w:rPr>
            </w:pPr>
            <w:r w:rsidRPr="00551726">
              <w:rPr>
                <w:rFonts w:ascii="Arial" w:hAnsi="Arial" w:cs="Arial"/>
                <w:sz w:val="20"/>
                <w:szCs w:val="20"/>
              </w:rPr>
              <w:t>Since the introduction of the NEMAQA, PPC has undertaken several upgrades at its operating plants, in order to meet the MES, at its various plants across the country. These include:</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De Hoek Kiln 5 ESP to Baghouse - R48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De Hoek Kiln 6 ESP to Baghouse - R280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PPC Lime Acres Kiln 5&amp;6 ESP to Baghouse - R31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Slurry FM 4 baghouse - R80.5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Sonex Mill baghouse - R12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Jupiter Finishing Mill Upgrade -R2.7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Slurry Coal Handling fugitive emission - R20 million</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Hercules Coal handling fugitive - R12 million</w:t>
            </w:r>
          </w:p>
          <w:p w:rsidR="00200BBF" w:rsidRPr="00551726" w:rsidRDefault="00200BBF" w:rsidP="00200BBF">
            <w:pPr>
              <w:rPr>
                <w:rFonts w:ascii="Arial" w:hAnsi="Arial" w:cs="Arial"/>
                <w:sz w:val="20"/>
                <w:szCs w:val="20"/>
              </w:rPr>
            </w:pPr>
            <w:r w:rsidRPr="00551726">
              <w:rPr>
                <w:rFonts w:ascii="Arial" w:hAnsi="Arial" w:cs="Arial"/>
                <w:sz w:val="20"/>
                <w:szCs w:val="20"/>
              </w:rPr>
              <w:t xml:space="preserve">In order to achieve the Minimum Emissions Standards PPC </w:t>
            </w:r>
            <w:r w:rsidRPr="00551726">
              <w:rPr>
                <w:rFonts w:ascii="Arial" w:hAnsi="Arial" w:cs="Arial"/>
                <w:b/>
                <w:sz w:val="20"/>
                <w:szCs w:val="20"/>
              </w:rPr>
              <w:t>De Hoek</w:t>
            </w:r>
            <w:r w:rsidRPr="00551726">
              <w:rPr>
                <w:rFonts w:ascii="Arial" w:hAnsi="Arial" w:cs="Arial"/>
                <w:sz w:val="20"/>
                <w:szCs w:val="20"/>
              </w:rPr>
              <w:t xml:space="preserve"> commits to replacing the Finishing Mill 6 ESP with a bag filter unit. The bag filter efficiency is independent of particulate temperature, and has been proven to work effectively on finishing mill 5. The proposed replacement will occur in 2016, whereas the emissions standards must be met by 01 April 2015. The proposed upgrades require capital input which PPC can only practically access in the 2016 calendar year. This capital constraint arises as a result of various factors, which include:</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Significant investment already committed in upgrading various</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Facilities across PPC’s plant’s in South Africa, to meet the Minimum</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Emissions Standards, and improve plant efficiency, as noted above.</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Availability of capital as a result of current globally experienced</w:t>
            </w:r>
          </w:p>
          <w:p w:rsidR="00200BBF" w:rsidRPr="00551726" w:rsidRDefault="00200BBF" w:rsidP="00B72FA2">
            <w:pPr>
              <w:pStyle w:val="ListParagraph"/>
              <w:numPr>
                <w:ilvl w:val="0"/>
                <w:numId w:val="15"/>
              </w:numPr>
              <w:spacing w:after="160" w:line="259" w:lineRule="auto"/>
              <w:rPr>
                <w:rFonts w:ascii="Arial" w:hAnsi="Arial" w:cs="Arial"/>
                <w:sz w:val="20"/>
                <w:szCs w:val="20"/>
              </w:rPr>
            </w:pPr>
            <w:r w:rsidRPr="00551726">
              <w:rPr>
                <w:rFonts w:ascii="Arial" w:hAnsi="Arial" w:cs="Arial"/>
                <w:sz w:val="20"/>
                <w:szCs w:val="20"/>
              </w:rPr>
              <w:t>Economic uncertainties</w:t>
            </w:r>
          </w:p>
        </w:tc>
      </w:tr>
    </w:tbl>
    <w:p w:rsidR="00200BBF" w:rsidRPr="00551726" w:rsidRDefault="00200BBF" w:rsidP="00200BBF">
      <w:pPr>
        <w:spacing w:line="360" w:lineRule="auto"/>
        <w:rPr>
          <w:rFonts w:ascii="Arial" w:hAnsi="Arial" w:cs="Arial"/>
          <w:sz w:val="20"/>
          <w:szCs w:val="20"/>
        </w:rPr>
      </w:pPr>
    </w:p>
    <w:p w:rsidR="00200BBF" w:rsidRPr="00551726" w:rsidRDefault="00200BBF" w:rsidP="00B72FA2">
      <w:pPr>
        <w:pStyle w:val="Heading3"/>
        <w:keepLines/>
        <w:numPr>
          <w:ilvl w:val="0"/>
          <w:numId w:val="14"/>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t>PPC Dwaalboom, North West Province</w:t>
      </w:r>
    </w:p>
    <w:tbl>
      <w:tblPr>
        <w:tblW w:w="14874" w:type="dxa"/>
        <w:tblCellMar>
          <w:left w:w="0" w:type="dxa"/>
          <w:right w:w="0" w:type="dxa"/>
        </w:tblCellMar>
        <w:tblLook w:val="04A0"/>
      </w:tblPr>
      <w:tblGrid>
        <w:gridCol w:w="1833"/>
        <w:gridCol w:w="1557"/>
        <w:gridCol w:w="1591"/>
        <w:gridCol w:w="1690"/>
        <w:gridCol w:w="8203"/>
      </w:tblGrid>
      <w:tr w:rsidR="00200BBF" w:rsidRPr="00551726" w:rsidTr="00200BBF">
        <w:trPr>
          <w:trHeight w:val="378"/>
        </w:trPr>
        <w:tc>
          <w:tcPr>
            <w:tcW w:w="18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5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16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Emission limits</w:t>
            </w:r>
          </w:p>
        </w:tc>
        <w:tc>
          <w:tcPr>
            <w:tcW w:w="8221"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422"/>
        </w:trPr>
        <w:tc>
          <w:tcPr>
            <w:tcW w:w="183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lastRenderedPageBreak/>
              <w:t xml:space="preserve">Subcategory 5.5: </w:t>
            </w:r>
            <w:r w:rsidRPr="00551726">
              <w:rPr>
                <w:rFonts w:ascii="Arial" w:hAnsi="Arial" w:cs="Arial"/>
                <w:sz w:val="20"/>
                <w:szCs w:val="20"/>
              </w:rPr>
              <w:t xml:space="preserve">Cement Production </w:t>
            </w:r>
            <w:r w:rsidRPr="00551726">
              <w:rPr>
                <w:rFonts w:ascii="Arial" w:hAnsi="Arial" w:cs="Arial"/>
                <w:sz w:val="20"/>
                <w:szCs w:val="20"/>
                <w:lang w:val="en-ZA"/>
              </w:rPr>
              <w:t>(Using alternative fuels and raw material)</w:t>
            </w:r>
          </w:p>
        </w:tc>
        <w:tc>
          <w:tcPr>
            <w:tcW w:w="15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Kiln 1</w:t>
            </w:r>
          </w:p>
        </w:tc>
        <w:tc>
          <w:tcPr>
            <w:tcW w:w="15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2016 </w:t>
            </w:r>
          </w:p>
        </w:tc>
        <w:tc>
          <w:tcPr>
            <w:tcW w:w="16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Particulate Matter</w:t>
            </w:r>
          </w:p>
          <w:p w:rsidR="00200BBF" w:rsidRPr="00551726" w:rsidRDefault="00200BBF" w:rsidP="00200BBF">
            <w:pPr>
              <w:rPr>
                <w:rFonts w:ascii="Arial" w:hAnsi="Arial" w:cs="Arial"/>
                <w:b/>
                <w:color w:val="C00000"/>
                <w:sz w:val="20"/>
                <w:szCs w:val="20"/>
              </w:rPr>
            </w:pPr>
          </w:p>
        </w:tc>
        <w:tc>
          <w:tcPr>
            <w:tcW w:w="8221" w:type="dxa"/>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lang w:val="en-ZA"/>
              </w:rPr>
            </w:pPr>
            <w:r w:rsidRPr="00551726">
              <w:rPr>
                <w:rFonts w:ascii="Arial" w:hAnsi="Arial" w:cs="Arial"/>
                <w:bCs/>
                <w:sz w:val="20"/>
                <w:szCs w:val="20"/>
                <w:lang w:val="en-ZA"/>
              </w:rPr>
              <w:t xml:space="preserve">Similar to the De Hoek application, PPC indicated the amounts already invested in all of its operation across the country and provided the following detail for Dwaalboom site: </w:t>
            </w:r>
          </w:p>
          <w:p w:rsidR="00200BBF" w:rsidRPr="00551726" w:rsidRDefault="00200BBF" w:rsidP="00200BBF">
            <w:pPr>
              <w:rPr>
                <w:rFonts w:ascii="Arial" w:hAnsi="Arial" w:cs="Arial"/>
                <w:sz w:val="20"/>
                <w:szCs w:val="20"/>
              </w:rPr>
            </w:pPr>
            <w:r w:rsidRPr="00551726">
              <w:rPr>
                <w:rFonts w:ascii="Arial" w:hAnsi="Arial" w:cs="Arial"/>
                <w:sz w:val="20"/>
                <w:szCs w:val="20"/>
              </w:rPr>
              <w:t xml:space="preserve">In order to achieve the Minimum Emissions Standards </w:t>
            </w:r>
            <w:r w:rsidRPr="00551726">
              <w:rPr>
                <w:rFonts w:ascii="Arial" w:hAnsi="Arial" w:cs="Arial"/>
                <w:b/>
                <w:sz w:val="20"/>
                <w:szCs w:val="20"/>
              </w:rPr>
              <w:t>PPC Dwaalboom</w:t>
            </w:r>
            <w:r w:rsidRPr="00551726">
              <w:rPr>
                <w:rFonts w:ascii="Arial" w:hAnsi="Arial" w:cs="Arial"/>
                <w:sz w:val="20"/>
                <w:szCs w:val="20"/>
              </w:rPr>
              <w:t xml:space="preserve"> commits to the</w:t>
            </w:r>
          </w:p>
          <w:p w:rsidR="00200BBF" w:rsidRPr="00551726" w:rsidRDefault="00200BBF" w:rsidP="00200BBF">
            <w:pPr>
              <w:rPr>
                <w:rFonts w:ascii="Arial" w:hAnsi="Arial" w:cs="Arial"/>
                <w:sz w:val="20"/>
                <w:szCs w:val="20"/>
              </w:rPr>
            </w:pPr>
            <w:r w:rsidRPr="00551726">
              <w:rPr>
                <w:rFonts w:ascii="Arial" w:hAnsi="Arial" w:cs="Arial"/>
                <w:sz w:val="20"/>
                <w:szCs w:val="20"/>
              </w:rPr>
              <w:t>following:</w:t>
            </w:r>
          </w:p>
          <w:p w:rsidR="00200BBF" w:rsidRPr="00551726" w:rsidRDefault="00200BBF" w:rsidP="00B72FA2">
            <w:pPr>
              <w:pStyle w:val="ListParagraph"/>
              <w:numPr>
                <w:ilvl w:val="0"/>
                <w:numId w:val="16"/>
              </w:numPr>
              <w:rPr>
                <w:rFonts w:ascii="Arial" w:hAnsi="Arial" w:cs="Arial"/>
                <w:sz w:val="20"/>
                <w:szCs w:val="20"/>
              </w:rPr>
            </w:pPr>
            <w:r w:rsidRPr="00551726">
              <w:rPr>
                <w:rFonts w:ascii="Arial" w:hAnsi="Arial" w:cs="Arial"/>
                <w:sz w:val="20"/>
                <w:szCs w:val="20"/>
              </w:rPr>
              <w:t>Replacing the Kiln 1 cooler in by the end of 2015.</w:t>
            </w:r>
          </w:p>
          <w:p w:rsidR="00200BBF" w:rsidRPr="00551726" w:rsidRDefault="00200BBF" w:rsidP="00B72FA2">
            <w:pPr>
              <w:pStyle w:val="ListParagraph"/>
              <w:numPr>
                <w:ilvl w:val="0"/>
                <w:numId w:val="16"/>
              </w:numPr>
              <w:rPr>
                <w:rFonts w:ascii="Arial" w:hAnsi="Arial" w:cs="Arial"/>
                <w:sz w:val="20"/>
                <w:szCs w:val="20"/>
              </w:rPr>
            </w:pPr>
            <w:r w:rsidRPr="00551726">
              <w:rPr>
                <w:rFonts w:ascii="Arial" w:hAnsi="Arial" w:cs="Arial"/>
                <w:sz w:val="20"/>
                <w:szCs w:val="20"/>
              </w:rPr>
              <w:t>Additional modifications/repairs to existing equipment during 2014 and 2015 to ensure that the 80mg/Nm</w:t>
            </w:r>
            <w:r w:rsidRPr="00551726">
              <w:rPr>
                <w:rFonts w:ascii="Arial" w:hAnsi="Arial" w:cs="Arial"/>
                <w:sz w:val="20"/>
                <w:szCs w:val="20"/>
                <w:vertAlign w:val="superscript"/>
              </w:rPr>
              <w:t>3</w:t>
            </w:r>
            <w:r w:rsidRPr="00551726">
              <w:rPr>
                <w:rFonts w:ascii="Arial" w:hAnsi="Arial" w:cs="Arial"/>
                <w:sz w:val="20"/>
                <w:szCs w:val="20"/>
              </w:rPr>
              <w:t xml:space="preserve"> particulate emission limit is met.</w:t>
            </w:r>
          </w:p>
          <w:p w:rsidR="00200BBF" w:rsidRPr="00551726" w:rsidRDefault="00200BBF" w:rsidP="00B72FA2">
            <w:pPr>
              <w:pStyle w:val="ListParagraph"/>
              <w:numPr>
                <w:ilvl w:val="0"/>
                <w:numId w:val="17"/>
              </w:numPr>
              <w:rPr>
                <w:rFonts w:ascii="Arial" w:hAnsi="Arial" w:cs="Arial"/>
                <w:sz w:val="20"/>
                <w:szCs w:val="20"/>
              </w:rPr>
            </w:pPr>
            <w:r w:rsidRPr="00551726">
              <w:rPr>
                <w:rFonts w:ascii="Arial" w:hAnsi="Arial" w:cs="Arial"/>
                <w:sz w:val="20"/>
                <w:szCs w:val="20"/>
              </w:rPr>
              <w:t>Installation of a bag filter on Kiln 1 by the end of the 2018 calendar year to reach the required 30 mg/Nm</w:t>
            </w:r>
            <w:r w:rsidRPr="00551726">
              <w:rPr>
                <w:rFonts w:ascii="Arial" w:hAnsi="Arial" w:cs="Arial"/>
                <w:sz w:val="20"/>
                <w:szCs w:val="20"/>
                <w:vertAlign w:val="superscript"/>
              </w:rPr>
              <w:t>3</w:t>
            </w:r>
            <w:r w:rsidRPr="00551726">
              <w:rPr>
                <w:rFonts w:ascii="Arial" w:hAnsi="Arial" w:cs="Arial"/>
                <w:sz w:val="20"/>
                <w:szCs w:val="20"/>
              </w:rPr>
              <w:t xml:space="preserve"> PM emission limit</w:t>
            </w:r>
          </w:p>
          <w:p w:rsidR="00200BBF" w:rsidRPr="00551726" w:rsidRDefault="00200BBF" w:rsidP="00200BBF">
            <w:pPr>
              <w:rPr>
                <w:rFonts w:ascii="Arial" w:hAnsi="Arial" w:cs="Arial"/>
                <w:bCs/>
                <w:sz w:val="20"/>
                <w:szCs w:val="20"/>
              </w:rPr>
            </w:pPr>
            <w:r w:rsidRPr="00551726">
              <w:rPr>
                <w:rFonts w:ascii="Arial" w:hAnsi="Arial" w:cs="Arial"/>
                <w:bCs/>
                <w:sz w:val="20"/>
                <w:szCs w:val="20"/>
              </w:rPr>
              <w:t xml:space="preserve"> </w:t>
            </w:r>
          </w:p>
        </w:tc>
      </w:tr>
    </w:tbl>
    <w:p w:rsidR="00200BBF" w:rsidRPr="00551726" w:rsidRDefault="00200BBF" w:rsidP="00200BBF">
      <w:pPr>
        <w:rPr>
          <w:rFonts w:ascii="Arial" w:hAnsi="Arial" w:cs="Arial"/>
          <w:sz w:val="20"/>
          <w:szCs w:val="20"/>
        </w:rPr>
      </w:pPr>
    </w:p>
    <w:p w:rsidR="00200BBF" w:rsidRPr="00551726" w:rsidRDefault="00200BBF" w:rsidP="00B72FA2">
      <w:pPr>
        <w:pStyle w:val="Heading3"/>
        <w:keepLines/>
        <w:numPr>
          <w:ilvl w:val="0"/>
          <w:numId w:val="14"/>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t>PPC Port Elizabeth, Nelson Mandela Metro, Eastern Province</w:t>
      </w:r>
    </w:p>
    <w:tbl>
      <w:tblPr>
        <w:tblW w:w="14874" w:type="dxa"/>
        <w:tblCellMar>
          <w:left w:w="0" w:type="dxa"/>
          <w:right w:w="0" w:type="dxa"/>
        </w:tblCellMar>
        <w:tblLook w:val="04A0"/>
      </w:tblPr>
      <w:tblGrid>
        <w:gridCol w:w="1832"/>
        <w:gridCol w:w="1556"/>
        <w:gridCol w:w="1591"/>
        <w:gridCol w:w="1147"/>
        <w:gridCol w:w="8748"/>
      </w:tblGrid>
      <w:tr w:rsidR="00200BBF" w:rsidRPr="00551726" w:rsidTr="00200BBF">
        <w:trPr>
          <w:trHeight w:val="378"/>
        </w:trPr>
        <w:tc>
          <w:tcPr>
            <w:tcW w:w="18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5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112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Pollutant</w:t>
            </w:r>
          </w:p>
        </w:tc>
        <w:tc>
          <w:tcPr>
            <w:tcW w:w="8788"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592"/>
        </w:trPr>
        <w:tc>
          <w:tcPr>
            <w:tcW w:w="183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5.4: </w:t>
            </w:r>
            <w:r w:rsidRPr="00551726">
              <w:rPr>
                <w:rFonts w:ascii="Arial" w:hAnsi="Arial" w:cs="Arial"/>
                <w:sz w:val="20"/>
                <w:szCs w:val="20"/>
              </w:rPr>
              <w:t>Cement Production (using conventional fuels &amp; raw materials)</w:t>
            </w:r>
          </w:p>
        </w:tc>
        <w:tc>
          <w:tcPr>
            <w:tcW w:w="15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Finishing Mill 6 </w:t>
            </w:r>
          </w:p>
        </w:tc>
        <w:tc>
          <w:tcPr>
            <w:tcW w:w="15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2016 </w:t>
            </w:r>
          </w:p>
        </w:tc>
        <w:tc>
          <w:tcPr>
            <w:tcW w:w="11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Particulate Matter</w:t>
            </w:r>
          </w:p>
          <w:p w:rsidR="00200BBF" w:rsidRPr="00551726" w:rsidRDefault="00200BBF" w:rsidP="00200BBF">
            <w:pPr>
              <w:rPr>
                <w:rFonts w:ascii="Arial" w:hAnsi="Arial" w:cs="Arial"/>
                <w:b/>
                <w:color w:val="C00000"/>
                <w:sz w:val="20"/>
                <w:szCs w:val="20"/>
              </w:rPr>
            </w:pPr>
          </w:p>
        </w:tc>
        <w:tc>
          <w:tcPr>
            <w:tcW w:w="8788" w:type="dxa"/>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lang w:val="en-ZA"/>
              </w:rPr>
            </w:pPr>
            <w:r w:rsidRPr="00551726">
              <w:rPr>
                <w:rFonts w:ascii="Arial" w:hAnsi="Arial" w:cs="Arial"/>
                <w:bCs/>
                <w:sz w:val="20"/>
                <w:szCs w:val="20"/>
                <w:lang w:val="en-ZA"/>
              </w:rPr>
              <w:t xml:space="preserve">Similar to the De Hoek application, PPC indicated the amounts already invested in all of its operation across the country and provided the following detail for Port Elizabeth site: </w:t>
            </w:r>
          </w:p>
          <w:p w:rsidR="00200BBF" w:rsidRPr="00551726" w:rsidRDefault="00200BBF" w:rsidP="00200BBF">
            <w:pPr>
              <w:rPr>
                <w:rFonts w:ascii="Arial" w:hAnsi="Arial" w:cs="Arial"/>
                <w:sz w:val="20"/>
                <w:szCs w:val="20"/>
              </w:rPr>
            </w:pPr>
            <w:r w:rsidRPr="00551726">
              <w:rPr>
                <w:rFonts w:ascii="Arial" w:hAnsi="Arial" w:cs="Arial"/>
                <w:b/>
                <w:sz w:val="20"/>
                <w:szCs w:val="20"/>
              </w:rPr>
              <w:t>PPC Port Elizabeth</w:t>
            </w:r>
            <w:r w:rsidRPr="00551726">
              <w:rPr>
                <w:rFonts w:ascii="Arial" w:hAnsi="Arial" w:cs="Arial"/>
                <w:sz w:val="20"/>
                <w:szCs w:val="20"/>
              </w:rPr>
              <w:t xml:space="preserve"> commits to replacing the existing finishing mill 4 filter with a modern bag filter unit capable of meeting the emissions standards. The proposed replacement will occur in 2016, whereas the emissions standards must be met by 01 April 2015. PPC also commits to replacing the kiln ESP with a bag filter plant by the end of 2018.</w:t>
            </w:r>
          </w:p>
          <w:p w:rsidR="00200BBF" w:rsidRPr="00551726" w:rsidRDefault="00200BBF" w:rsidP="00200BBF">
            <w:pPr>
              <w:rPr>
                <w:rFonts w:ascii="Arial" w:hAnsi="Arial" w:cs="Arial"/>
                <w:b/>
                <w:bCs/>
                <w:sz w:val="20"/>
                <w:szCs w:val="20"/>
                <w:u w:val="single"/>
                <w:lang w:val="en-ZA"/>
              </w:rPr>
            </w:pPr>
          </w:p>
          <w:p w:rsidR="00200BBF" w:rsidRPr="00551726" w:rsidRDefault="00200BBF" w:rsidP="00200BBF">
            <w:pPr>
              <w:rPr>
                <w:rFonts w:ascii="Arial" w:hAnsi="Arial" w:cs="Arial"/>
                <w:bCs/>
                <w:sz w:val="20"/>
                <w:szCs w:val="20"/>
              </w:rPr>
            </w:pPr>
            <w:r w:rsidRPr="00551726">
              <w:rPr>
                <w:rFonts w:ascii="Arial" w:hAnsi="Arial" w:cs="Arial"/>
                <w:bCs/>
                <w:sz w:val="20"/>
                <w:szCs w:val="20"/>
              </w:rPr>
              <w:t xml:space="preserve"> </w:t>
            </w: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B72FA2">
      <w:pPr>
        <w:pStyle w:val="Heading3"/>
        <w:keepLines/>
        <w:numPr>
          <w:ilvl w:val="0"/>
          <w:numId w:val="14"/>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t>PPC Slurry, Limpopo Province</w:t>
      </w:r>
    </w:p>
    <w:tbl>
      <w:tblPr>
        <w:tblW w:w="14874" w:type="dxa"/>
        <w:tblCellMar>
          <w:left w:w="0" w:type="dxa"/>
          <w:right w:w="0" w:type="dxa"/>
        </w:tblCellMar>
        <w:tblLook w:val="04A0"/>
      </w:tblPr>
      <w:tblGrid>
        <w:gridCol w:w="2243"/>
        <w:gridCol w:w="1158"/>
        <w:gridCol w:w="1591"/>
        <w:gridCol w:w="1147"/>
        <w:gridCol w:w="8735"/>
      </w:tblGrid>
      <w:tr w:rsidR="00200BBF" w:rsidRPr="00551726" w:rsidTr="00200BBF">
        <w:trPr>
          <w:trHeight w:val="720"/>
        </w:trPr>
        <w:tc>
          <w:tcPr>
            <w:tcW w:w="22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10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 xml:space="preserve">Pollutant </w:t>
            </w:r>
          </w:p>
        </w:tc>
        <w:tc>
          <w:tcPr>
            <w:tcW w:w="8867"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681"/>
        </w:trPr>
        <w:tc>
          <w:tcPr>
            <w:tcW w:w="2258"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5.4 &amp; 5.4: </w:t>
            </w:r>
            <w:r w:rsidRPr="00551726">
              <w:rPr>
                <w:rFonts w:ascii="Arial" w:hAnsi="Arial" w:cs="Arial"/>
                <w:sz w:val="20"/>
                <w:szCs w:val="20"/>
              </w:rPr>
              <w:t xml:space="preserve">Cement Production </w:t>
            </w:r>
            <w:r w:rsidRPr="00551726">
              <w:rPr>
                <w:rFonts w:ascii="Arial" w:hAnsi="Arial" w:cs="Arial"/>
                <w:sz w:val="20"/>
                <w:szCs w:val="20"/>
                <w:lang w:val="en-ZA"/>
              </w:rPr>
              <w:t>(Using conventional &amp; alternative fuels &amp; raw material)</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Raw Mill 3</w:t>
            </w:r>
          </w:p>
        </w:tc>
        <w:tc>
          <w:tcPr>
            <w:tcW w:w="1560" w:type="dxa"/>
            <w:vMerge w:val="restart"/>
            <w:tcBorders>
              <w:top w:val="single" w:sz="24" w:space="0" w:color="FFFFFF"/>
              <w:left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 xml:space="preserve">2015 – 2020 </w:t>
            </w:r>
          </w:p>
          <w:p w:rsidR="00200BBF" w:rsidRPr="00551726" w:rsidRDefault="00200BBF" w:rsidP="00200BBF">
            <w:pPr>
              <w:rPr>
                <w:rFonts w:ascii="Arial" w:hAnsi="Arial" w:cs="Arial"/>
                <w:sz w:val="20"/>
                <w:szCs w:val="20"/>
              </w:rPr>
            </w:pPr>
          </w:p>
        </w:tc>
        <w:tc>
          <w:tcPr>
            <w:tcW w:w="1055" w:type="dxa"/>
            <w:vMerge w:val="restart"/>
            <w:tcBorders>
              <w:top w:val="single" w:sz="8" w:space="0" w:color="FFFFFF"/>
              <w:left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Particulate Matter</w:t>
            </w:r>
          </w:p>
          <w:p w:rsidR="00200BBF" w:rsidRPr="00551726" w:rsidRDefault="00200BBF" w:rsidP="00200BBF">
            <w:pPr>
              <w:rPr>
                <w:rFonts w:ascii="Arial" w:hAnsi="Arial" w:cs="Arial"/>
                <w:b/>
                <w:bCs/>
                <w:sz w:val="20"/>
                <w:szCs w:val="20"/>
                <w:highlight w:val="yellow"/>
              </w:rPr>
            </w:pPr>
          </w:p>
        </w:tc>
        <w:tc>
          <w:tcPr>
            <w:tcW w:w="8867"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lang w:val="en-ZA"/>
              </w:rPr>
            </w:pPr>
            <w:r w:rsidRPr="00551726">
              <w:rPr>
                <w:rFonts w:ascii="Arial" w:hAnsi="Arial" w:cs="Arial"/>
                <w:bCs/>
                <w:sz w:val="20"/>
                <w:szCs w:val="20"/>
                <w:lang w:val="en-ZA"/>
              </w:rPr>
              <w:t xml:space="preserve">Similar to the De Hoek application, PPC indicated the amounts already invested in all of its operation across the country and provided the following detail for Limpopo site: </w:t>
            </w:r>
          </w:p>
          <w:p w:rsidR="00200BBF" w:rsidRPr="00551726" w:rsidRDefault="00200BBF" w:rsidP="00200BBF">
            <w:pPr>
              <w:rPr>
                <w:rFonts w:ascii="Arial" w:hAnsi="Arial" w:cs="Arial"/>
                <w:sz w:val="20"/>
                <w:szCs w:val="20"/>
              </w:rPr>
            </w:pPr>
            <w:r w:rsidRPr="00551726">
              <w:rPr>
                <w:rFonts w:ascii="Arial" w:hAnsi="Arial" w:cs="Arial"/>
                <w:b/>
                <w:sz w:val="20"/>
                <w:szCs w:val="20"/>
              </w:rPr>
              <w:t>PPC Slurry</w:t>
            </w:r>
            <w:r w:rsidRPr="00551726">
              <w:rPr>
                <w:rFonts w:ascii="Arial" w:hAnsi="Arial" w:cs="Arial"/>
                <w:sz w:val="20"/>
                <w:szCs w:val="20"/>
              </w:rPr>
              <w:t xml:space="preserve"> An upgrade of Kiln 7 requires capital input which PPC can only practically commit to if market conditions support operation of kiln 7 after the kiln 8 upgrade. It is planned that kiln 7 will stop operation after the upgrade of kiln 8 in 2018. The upgrade will also ensure that the emissions from the mills become compliant. Significant investment in kiln 7 is thus not economically justifiable for such a short operational time span. Approximately R20 million has been invested in improving the coal handling emissions for the plant</w:t>
            </w:r>
          </w:p>
          <w:p w:rsidR="00200BBF" w:rsidRPr="00551726" w:rsidRDefault="00200BBF" w:rsidP="00200BBF">
            <w:pPr>
              <w:rPr>
                <w:rFonts w:ascii="Arial" w:hAnsi="Arial" w:cs="Arial"/>
                <w:bCs/>
                <w:sz w:val="20"/>
                <w:szCs w:val="20"/>
              </w:rPr>
            </w:pPr>
            <w:r w:rsidRPr="00551726">
              <w:rPr>
                <w:rFonts w:ascii="Arial" w:hAnsi="Arial" w:cs="Arial"/>
                <w:bCs/>
                <w:sz w:val="20"/>
                <w:szCs w:val="20"/>
              </w:rPr>
              <w:lastRenderedPageBreak/>
              <w:t>.</w:t>
            </w:r>
          </w:p>
          <w:p w:rsidR="00200BBF" w:rsidRPr="00551726" w:rsidRDefault="00200BBF" w:rsidP="00200BBF">
            <w:pPr>
              <w:rPr>
                <w:rFonts w:ascii="Arial" w:hAnsi="Arial" w:cs="Arial"/>
                <w:b/>
                <w:bCs/>
                <w:sz w:val="20"/>
                <w:szCs w:val="20"/>
              </w:rPr>
            </w:pPr>
          </w:p>
        </w:tc>
      </w:tr>
      <w:tr w:rsidR="00200BBF" w:rsidRPr="00551726" w:rsidTr="00200BBF">
        <w:trPr>
          <w:trHeight w:val="1200"/>
        </w:trPr>
        <w:tc>
          <w:tcPr>
            <w:tcW w:w="2258"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 xml:space="preserve">Kiln 7 </w:t>
            </w:r>
          </w:p>
        </w:tc>
        <w:tc>
          <w:tcPr>
            <w:tcW w:w="1560"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200BBF" w:rsidRPr="00551726" w:rsidRDefault="00200BBF" w:rsidP="00200BBF">
            <w:pPr>
              <w:rPr>
                <w:rFonts w:ascii="Arial" w:hAnsi="Arial" w:cs="Arial"/>
                <w:sz w:val="20"/>
                <w:szCs w:val="20"/>
              </w:rPr>
            </w:pPr>
          </w:p>
        </w:tc>
        <w:tc>
          <w:tcPr>
            <w:tcW w:w="1055"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200BBF" w:rsidRPr="00551726" w:rsidRDefault="00200BBF" w:rsidP="00200BBF">
            <w:pPr>
              <w:rPr>
                <w:rFonts w:ascii="Arial" w:hAnsi="Arial" w:cs="Arial"/>
                <w:b/>
                <w:bCs/>
                <w:sz w:val="20"/>
                <w:szCs w:val="20"/>
                <w:highlight w:val="yellow"/>
              </w:rPr>
            </w:pPr>
          </w:p>
        </w:tc>
        <w:tc>
          <w:tcPr>
            <w:tcW w:w="8867" w:type="dxa"/>
            <w:vMerge/>
            <w:tcBorders>
              <w:left w:val="single" w:sz="8" w:space="0" w:color="FFFFFF"/>
              <w:bottom w:val="single" w:sz="8" w:space="0" w:color="FFFFFF"/>
              <w:right w:val="single" w:sz="8" w:space="0" w:color="FFFFFF"/>
            </w:tcBorders>
            <w:shd w:val="clear" w:color="auto" w:fill="E9EDF4"/>
          </w:tcPr>
          <w:p w:rsidR="00200BBF" w:rsidRPr="00551726" w:rsidRDefault="00200BBF" w:rsidP="00200BBF">
            <w:pPr>
              <w:rPr>
                <w:rFonts w:ascii="Arial" w:hAnsi="Arial" w:cs="Arial"/>
                <w:b/>
                <w:bCs/>
                <w:sz w:val="20"/>
                <w:szCs w:val="20"/>
              </w:rPr>
            </w:pP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pStyle w:val="Heading2"/>
        <w:rPr>
          <w:rFonts w:ascii="Arial" w:hAnsi="Arial" w:cs="Arial"/>
          <w:sz w:val="20"/>
        </w:rPr>
      </w:pPr>
      <w:r w:rsidRPr="00551726">
        <w:rPr>
          <w:rFonts w:ascii="Arial" w:hAnsi="Arial" w:cs="Arial"/>
          <w:sz w:val="20"/>
        </w:rPr>
        <w:t>Sasol Facilities</w:t>
      </w:r>
    </w:p>
    <w:p w:rsidR="00200BBF" w:rsidRPr="00551726" w:rsidRDefault="00200BBF" w:rsidP="00200BBF">
      <w:pPr>
        <w:rPr>
          <w:rFonts w:ascii="Arial" w:hAnsi="Arial" w:cs="Arial"/>
          <w:sz w:val="20"/>
          <w:szCs w:val="20"/>
        </w:rPr>
      </w:pPr>
    </w:p>
    <w:p w:rsidR="00200BBF" w:rsidRPr="00551726" w:rsidRDefault="00200BBF" w:rsidP="00200BBF">
      <w:pPr>
        <w:pStyle w:val="Heading3"/>
        <w:rPr>
          <w:rFonts w:cs="Arial"/>
          <w:sz w:val="20"/>
        </w:rPr>
      </w:pPr>
      <w:r w:rsidRPr="00551726">
        <w:rPr>
          <w:rFonts w:cs="Arial"/>
          <w:sz w:val="20"/>
        </w:rPr>
        <w:t>Sasol Nitro, ## District Municipality, &amp;&amp; Province</w:t>
      </w:r>
    </w:p>
    <w:p w:rsidR="00200BBF" w:rsidRPr="00551726" w:rsidRDefault="00200BBF" w:rsidP="00200BBF">
      <w:pPr>
        <w:rPr>
          <w:rFonts w:ascii="Arial" w:hAnsi="Arial" w:cs="Arial"/>
          <w:sz w:val="20"/>
          <w:szCs w:val="20"/>
        </w:rPr>
      </w:pPr>
    </w:p>
    <w:tbl>
      <w:tblPr>
        <w:tblW w:w="0" w:type="auto"/>
        <w:tblCellMar>
          <w:left w:w="0" w:type="dxa"/>
          <w:right w:w="0" w:type="dxa"/>
        </w:tblCellMar>
        <w:tblLook w:val="04A0"/>
      </w:tblPr>
      <w:tblGrid>
        <w:gridCol w:w="1892"/>
        <w:gridCol w:w="1369"/>
        <w:gridCol w:w="1591"/>
        <w:gridCol w:w="1981"/>
        <w:gridCol w:w="26"/>
        <w:gridCol w:w="7118"/>
      </w:tblGrid>
      <w:tr w:rsidR="00200BBF" w:rsidRPr="00551726" w:rsidTr="00200BBF">
        <w:trPr>
          <w:trHeight w:val="72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Postponement</w:t>
            </w:r>
          </w:p>
          <w:p w:rsidR="00200BBF" w:rsidRPr="00551726" w:rsidRDefault="00200BBF" w:rsidP="00200BBF">
            <w:pPr>
              <w:rPr>
                <w:rFonts w:ascii="Arial" w:hAnsi="Arial" w:cs="Arial"/>
                <w:sz w:val="20"/>
                <w:szCs w:val="20"/>
              </w:rPr>
            </w:pPr>
            <w:r w:rsidRPr="00551726">
              <w:rPr>
                <w:rFonts w:ascii="Arial" w:hAnsi="Arial" w:cs="Arial"/>
                <w:b/>
                <w:bCs/>
                <w:sz w:val="20"/>
                <w:szCs w:val="20"/>
              </w:rPr>
              <w:t>Period Sought</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7118"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2071"/>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Category 6:</w:t>
            </w:r>
          </w:p>
          <w:p w:rsidR="00200BBF" w:rsidRPr="00551726" w:rsidRDefault="00200BBF" w:rsidP="00200BBF">
            <w:pPr>
              <w:rPr>
                <w:rFonts w:ascii="Arial" w:hAnsi="Arial" w:cs="Arial"/>
                <w:sz w:val="20"/>
                <w:szCs w:val="20"/>
              </w:rPr>
            </w:pPr>
            <w:r w:rsidRPr="00551726">
              <w:rPr>
                <w:rFonts w:ascii="Arial" w:hAnsi="Arial" w:cs="Arial"/>
                <w:sz w:val="20"/>
                <w:szCs w:val="20"/>
              </w:rPr>
              <w:t>Organic Chemicals</w:t>
            </w:r>
          </w:p>
          <w:p w:rsidR="00200BBF" w:rsidRPr="00551726" w:rsidRDefault="00200BBF" w:rsidP="00200BBF">
            <w:pPr>
              <w:rPr>
                <w:rFonts w:ascii="Arial" w:hAnsi="Arial" w:cs="Arial"/>
                <w:sz w:val="20"/>
                <w:szCs w:val="20"/>
              </w:rPr>
            </w:pPr>
            <w:r w:rsidRPr="00551726">
              <w:rPr>
                <w:rFonts w:ascii="Arial" w:hAnsi="Arial" w:cs="Arial"/>
                <w:sz w:val="20"/>
                <w:szCs w:val="20"/>
              </w:rPr>
              <w:t>Industry</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MMAN Stack</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2020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Mono-Methyl Amine</w:t>
            </w:r>
          </w:p>
        </w:tc>
        <w:tc>
          <w:tcPr>
            <w:tcW w:w="0" w:type="auto"/>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sz w:val="20"/>
                <w:szCs w:val="20"/>
              </w:rPr>
            </w:pPr>
          </w:p>
        </w:tc>
        <w:tc>
          <w:tcPr>
            <w:tcW w:w="7118" w:type="dxa"/>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B72FA2">
            <w:pPr>
              <w:pStyle w:val="ListParagraph"/>
              <w:numPr>
                <w:ilvl w:val="0"/>
                <w:numId w:val="25"/>
              </w:numPr>
              <w:spacing w:after="200" w:line="276" w:lineRule="auto"/>
              <w:jc w:val="both"/>
              <w:rPr>
                <w:rFonts w:ascii="Arial" w:hAnsi="Arial" w:cs="Arial"/>
                <w:sz w:val="20"/>
                <w:szCs w:val="20"/>
              </w:rPr>
            </w:pPr>
            <w:r w:rsidRPr="00551726">
              <w:rPr>
                <w:rFonts w:ascii="Arial" w:hAnsi="Arial" w:cs="Arial"/>
                <w:sz w:val="20"/>
                <w:szCs w:val="20"/>
              </w:rPr>
              <w:t>The reasons for applying for postponement are based on timing constraint i.e. the time it will take Sasol Nitro to complete technical investigations, and approve, obtain necessary authorisations for, and fully implement the abatement interventions needed to comply with the MES.</w:t>
            </w:r>
          </w:p>
          <w:p w:rsidR="00200BBF" w:rsidRPr="00551726" w:rsidRDefault="00200BBF" w:rsidP="00B72FA2">
            <w:pPr>
              <w:pStyle w:val="ListParagraph"/>
              <w:numPr>
                <w:ilvl w:val="0"/>
                <w:numId w:val="25"/>
              </w:numPr>
              <w:spacing w:after="200" w:line="276" w:lineRule="auto"/>
              <w:jc w:val="both"/>
              <w:rPr>
                <w:rFonts w:ascii="Arial" w:hAnsi="Arial" w:cs="Arial"/>
                <w:sz w:val="20"/>
                <w:szCs w:val="20"/>
              </w:rPr>
            </w:pPr>
            <w:r w:rsidRPr="00551726">
              <w:rPr>
                <w:rFonts w:ascii="Arial" w:hAnsi="Arial" w:cs="Arial"/>
                <w:sz w:val="20"/>
                <w:szCs w:val="20"/>
              </w:rPr>
              <w:t>Prior to the publication of the initial MES in 2010 there had been no regulatory limits on amine emissions. When the first MES were published in 2010 Sasol Nitro started investigating the efficacy of the existing emissions abatement measures in place to determine what additional measures might be required in order to fully comply with the newly published limits. These investigations led Sasol Nitro to implement various process modifications which were successful in reducing MMA emission.</w:t>
            </w:r>
          </w:p>
          <w:p w:rsidR="00200BBF" w:rsidRPr="00551726" w:rsidRDefault="00200BBF" w:rsidP="00B72FA2">
            <w:pPr>
              <w:pStyle w:val="ListParagraph"/>
              <w:numPr>
                <w:ilvl w:val="0"/>
                <w:numId w:val="25"/>
              </w:numPr>
              <w:spacing w:after="200" w:line="276" w:lineRule="auto"/>
              <w:jc w:val="both"/>
              <w:rPr>
                <w:rFonts w:ascii="Arial" w:hAnsi="Arial" w:cs="Arial"/>
                <w:sz w:val="20"/>
                <w:szCs w:val="20"/>
              </w:rPr>
            </w:pPr>
            <w:r w:rsidRPr="00551726">
              <w:rPr>
                <w:rFonts w:ascii="Arial" w:hAnsi="Arial" w:cs="Arial"/>
                <w:sz w:val="20"/>
                <w:szCs w:val="20"/>
              </w:rPr>
              <w:t xml:space="preserve">In order to comply with new plant standards under all normal operating </w:t>
            </w:r>
            <w:r w:rsidRPr="00551726">
              <w:rPr>
                <w:rFonts w:ascii="Arial" w:hAnsi="Arial" w:cs="Arial"/>
                <w:sz w:val="20"/>
                <w:szCs w:val="20"/>
              </w:rPr>
              <w:lastRenderedPageBreak/>
              <w:t>conditions, an effective solution to address the downstream process of the condenser’s additional effluent volumes must be identified, designed, approved, obtain necessary authorisations, be built and commissioned. The completion of the Basic Assessment and the completion of the design, all take time and would have to be completed before construction could commence. As a result, an upgrade to the site’s effluent management system would not be completed before the existing plant standards compliance deadline of April 2015.</w:t>
            </w:r>
          </w:p>
          <w:p w:rsidR="00200BBF" w:rsidRPr="00551726" w:rsidRDefault="00200BBF" w:rsidP="00B72FA2">
            <w:pPr>
              <w:pStyle w:val="ListParagraph"/>
              <w:numPr>
                <w:ilvl w:val="0"/>
                <w:numId w:val="25"/>
              </w:numPr>
              <w:spacing w:after="200" w:line="276" w:lineRule="auto"/>
              <w:jc w:val="both"/>
              <w:rPr>
                <w:rFonts w:ascii="Arial" w:hAnsi="Arial" w:cs="Arial"/>
                <w:sz w:val="20"/>
                <w:szCs w:val="20"/>
              </w:rPr>
            </w:pPr>
            <w:r w:rsidRPr="00551726">
              <w:rPr>
                <w:rFonts w:ascii="Arial" w:hAnsi="Arial" w:cs="Arial"/>
                <w:sz w:val="20"/>
                <w:szCs w:val="20"/>
              </w:rPr>
              <w:t>Due diligence obligations: Sasol has an established project development and governance framework to manage an extensive portfolio of capital projects, which is a “stage-gate” model.</w:t>
            </w: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pStyle w:val="Heading3"/>
        <w:rPr>
          <w:rFonts w:cs="Arial"/>
          <w:sz w:val="20"/>
        </w:rPr>
      </w:pPr>
      <w:r w:rsidRPr="00551726">
        <w:rPr>
          <w:rFonts w:cs="Arial"/>
          <w:sz w:val="20"/>
        </w:rPr>
        <w:t>Sasol Secunda, ## District Municipality, &amp;&amp; Province</w:t>
      </w:r>
    </w:p>
    <w:p w:rsidR="00200BBF" w:rsidRPr="00551726" w:rsidRDefault="00200BBF" w:rsidP="00200BBF">
      <w:pPr>
        <w:rPr>
          <w:rFonts w:ascii="Arial" w:hAnsi="Arial" w:cs="Arial"/>
          <w:sz w:val="20"/>
          <w:szCs w:val="20"/>
        </w:rPr>
      </w:pPr>
    </w:p>
    <w:tbl>
      <w:tblPr>
        <w:tblW w:w="14024" w:type="dxa"/>
        <w:tblLayout w:type="fixed"/>
        <w:tblCellMar>
          <w:left w:w="0" w:type="dxa"/>
          <w:right w:w="0" w:type="dxa"/>
        </w:tblCellMar>
        <w:tblLook w:val="04A0"/>
      </w:tblPr>
      <w:tblGrid>
        <w:gridCol w:w="1547"/>
        <w:gridCol w:w="1097"/>
        <w:gridCol w:w="1593"/>
        <w:gridCol w:w="2265"/>
        <w:gridCol w:w="7522"/>
      </w:tblGrid>
      <w:tr w:rsidR="00200BBF" w:rsidRPr="00551726" w:rsidTr="00200BBF">
        <w:trPr>
          <w:trHeight w:val="458"/>
          <w:tblHeader/>
        </w:trPr>
        <w:tc>
          <w:tcPr>
            <w:tcW w:w="15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Category</w:t>
            </w:r>
          </w:p>
        </w:tc>
        <w:tc>
          <w:tcPr>
            <w:tcW w:w="10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Appliance</w:t>
            </w:r>
          </w:p>
        </w:tc>
        <w:tc>
          <w:tcPr>
            <w:tcW w:w="15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b/>
                <w:bCs/>
                <w:kern w:val="24"/>
                <w:sz w:val="20"/>
                <w:szCs w:val="20"/>
                <w:lang w:eastAsia="en-GB"/>
              </w:rPr>
            </w:pPr>
            <w:r w:rsidRPr="00551726">
              <w:rPr>
                <w:rFonts w:ascii="Arial" w:hAnsi="Arial" w:cs="Arial"/>
                <w:b/>
                <w:bCs/>
                <w:kern w:val="24"/>
                <w:sz w:val="20"/>
                <w:szCs w:val="20"/>
                <w:lang w:eastAsia="en-GB"/>
              </w:rPr>
              <w:t xml:space="preserve">Postponement </w:t>
            </w:r>
          </w:p>
          <w:p w:rsidR="00200BBF" w:rsidRPr="00551726" w:rsidRDefault="00200BBF" w:rsidP="00200BBF">
            <w:pPr>
              <w:overflowPunct w:val="0"/>
              <w:rPr>
                <w:rFonts w:ascii="Arial" w:hAnsi="Arial" w:cs="Arial"/>
                <w:b/>
                <w:bCs/>
                <w:kern w:val="24"/>
                <w:sz w:val="20"/>
                <w:szCs w:val="20"/>
                <w:lang w:eastAsia="en-GB"/>
              </w:rPr>
            </w:pPr>
          </w:p>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Period Sought</w:t>
            </w:r>
          </w:p>
        </w:tc>
        <w:tc>
          <w:tcPr>
            <w:tcW w:w="226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b/>
                <w:bCs/>
                <w:color w:val="FFFFFF" w:themeColor="light1"/>
                <w:kern w:val="24"/>
                <w:sz w:val="20"/>
                <w:szCs w:val="20"/>
                <w:lang w:eastAsia="en-GB"/>
              </w:rPr>
            </w:pPr>
            <w:r w:rsidRPr="00551726">
              <w:rPr>
                <w:rFonts w:ascii="Arial" w:hAnsi="Arial" w:cs="Arial"/>
                <w:b/>
                <w:bCs/>
                <w:kern w:val="24"/>
                <w:sz w:val="20"/>
                <w:szCs w:val="20"/>
                <w:lang w:eastAsia="en-GB"/>
              </w:rPr>
              <w:t>Pollutant</w:t>
            </w:r>
          </w:p>
        </w:tc>
        <w:tc>
          <w:tcPr>
            <w:tcW w:w="7522"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overflowPunct w:val="0"/>
              <w:jc w:val="center"/>
              <w:rPr>
                <w:rFonts w:ascii="Arial" w:hAnsi="Arial" w:cs="Arial"/>
                <w:b/>
                <w:bCs/>
                <w:color w:val="FFFFFF" w:themeColor="light1"/>
                <w:kern w:val="24"/>
                <w:sz w:val="20"/>
                <w:szCs w:val="20"/>
                <w:lang w:eastAsia="en-GB"/>
              </w:rPr>
            </w:pPr>
            <w:r w:rsidRPr="00551726">
              <w:rPr>
                <w:rFonts w:ascii="Arial" w:hAnsi="Arial" w:cs="Arial"/>
                <w:b/>
                <w:bCs/>
                <w:sz w:val="20"/>
                <w:szCs w:val="20"/>
              </w:rPr>
              <w:t>Justification &amp; Reasons for Postponement Application</w:t>
            </w:r>
          </w:p>
        </w:tc>
      </w:tr>
      <w:tr w:rsidR="00200BBF" w:rsidRPr="00551726" w:rsidTr="00200BBF">
        <w:trPr>
          <w:trHeight w:val="916"/>
        </w:trPr>
        <w:tc>
          <w:tcPr>
            <w:tcW w:w="1547"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t xml:space="preserve">Subcategory 1.1: </w:t>
            </w:r>
            <w:r w:rsidRPr="00551726">
              <w:rPr>
                <w:rFonts w:ascii="Arial" w:hAnsi="Arial" w:cs="Arial"/>
                <w:kern w:val="24"/>
                <w:sz w:val="20"/>
                <w:szCs w:val="20"/>
                <w:lang w:eastAsia="en-GB"/>
              </w:rPr>
              <w:t>Solid Fuel Burning Appliances</w:t>
            </w:r>
          </w:p>
        </w:tc>
        <w:tc>
          <w:tcPr>
            <w:tcW w:w="1097"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eastAsia="en-GB"/>
              </w:rPr>
              <w:t>Steam Plant</w:t>
            </w:r>
          </w:p>
        </w:tc>
        <w:tc>
          <w:tcPr>
            <w:tcW w:w="1593" w:type="dxa"/>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val="en-ZA" w:eastAsia="en-GB"/>
              </w:rPr>
              <w:t>Various</w:t>
            </w:r>
          </w:p>
        </w:tc>
        <w:tc>
          <w:tcPr>
            <w:tcW w:w="22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val="en-ZA" w:eastAsia="en-GB"/>
              </w:rPr>
              <w:t>PM</w:t>
            </w:r>
          </w:p>
        </w:tc>
        <w:tc>
          <w:tcPr>
            <w:tcW w:w="7522" w:type="dxa"/>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pStyle w:val="ListParagraph"/>
              <w:numPr>
                <w:ilvl w:val="0"/>
                <w:numId w:val="26"/>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Sasol’s environmental management policy: Legal compliance is of paramount importance to Sasol, and it is for this reason that Sasol is submitting applications as provided for in law to ensure its compliance in relation to MES that will be imposed on its listed activities. Sasol has a history of proactive environmental performance improvements and in respect of air quality management has significantly reduced atmospheric emissions from its various facilities in line with a risk-based environmental improvement approach, regardless of whether or not such emissions reductions were required in law. For that reason numerous of the emissions from Sasol’s various facilities already comply with much of the MES. In addition, and in response to the outcome of the Highveld Priority Area (HPA) assessment and Air Quality Management Plan (AQMP), Sasol Synfuels voluntarily committed to certain emissions reductions for the furtherance of ambient air quality improvements.</w:t>
            </w:r>
          </w:p>
          <w:p w:rsidR="00200BBF" w:rsidRPr="00551726" w:rsidRDefault="00200BBF" w:rsidP="00B72FA2">
            <w:pPr>
              <w:pStyle w:val="ListParagraph"/>
              <w:numPr>
                <w:ilvl w:val="0"/>
                <w:numId w:val="26"/>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Integrated nature of Sasol’s activities: Sasol’s fuel and chemical value chains are intimately integrated,</w:t>
            </w:r>
            <w:r w:rsidRPr="00551726">
              <w:rPr>
                <w:rFonts w:ascii="Arial" w:hAnsi="Arial" w:cs="Arial"/>
                <w:sz w:val="20"/>
                <w:szCs w:val="20"/>
              </w:rPr>
              <w:t xml:space="preserve"> </w:t>
            </w:r>
            <w:r w:rsidRPr="00551726">
              <w:rPr>
                <w:rFonts w:ascii="Arial" w:hAnsi="Arial" w:cs="Arial"/>
                <w:bCs/>
                <w:color w:val="000000"/>
                <w:kern w:val="24"/>
                <w:sz w:val="20"/>
                <w:szCs w:val="20"/>
                <w:lang w:eastAsia="en-GB"/>
              </w:rPr>
              <w:t xml:space="preserve">within the Sasol Synfuels process, for example, the extensive linkages means that decisions to retrofit or modify </w:t>
            </w:r>
            <w:r w:rsidRPr="00551726">
              <w:rPr>
                <w:rFonts w:ascii="Arial" w:hAnsi="Arial" w:cs="Arial"/>
                <w:bCs/>
                <w:color w:val="000000"/>
                <w:kern w:val="24"/>
                <w:sz w:val="20"/>
                <w:szCs w:val="20"/>
                <w:lang w:eastAsia="en-GB"/>
              </w:rPr>
              <w:lastRenderedPageBreak/>
              <w:t>components of the process have to consider all possible upstream and downstream knock-on effects. These knock-on effects, if not properly assessed and managed, could result in significant process disruptions for a whole range of other Sasol activities. Such assessments render emissions abatement choices complex and time consuming.</w:t>
            </w:r>
          </w:p>
          <w:p w:rsidR="00200BBF" w:rsidRPr="00551726" w:rsidRDefault="00200BBF" w:rsidP="00B72FA2">
            <w:pPr>
              <w:pStyle w:val="ListParagraph"/>
              <w:numPr>
                <w:ilvl w:val="0"/>
                <w:numId w:val="26"/>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Inadequate time due to the changes in regulations: After the MES were published in the 2010 Regulations, amended MES were published in GN 893 in November 2013 without any change in the prescribed compliance timeframes. A range of altered compliance requirements was introduced in the 2013 MES obliging emitters to assimilate the new requirements, investigate the different abatement options, decide on suitable abatement, motivate for and receive financial approval, appoint service providers to implement the abatement technology, design, construct and commission the new equipment, all within the space of some 16 months.</w:t>
            </w:r>
          </w:p>
          <w:p w:rsidR="00200BBF" w:rsidRPr="00551726" w:rsidRDefault="00200BBF" w:rsidP="00B72FA2">
            <w:pPr>
              <w:pStyle w:val="ListParagraph"/>
              <w:numPr>
                <w:ilvl w:val="0"/>
                <w:numId w:val="26"/>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Due diligence obligations: Sasol has an established project development and governance framework to manage an extensive portfolio of capital projects, which is a “stage-gate” model.</w:t>
            </w:r>
          </w:p>
          <w:p w:rsidR="00200BBF" w:rsidRPr="00551726" w:rsidRDefault="00200BBF" w:rsidP="00B72FA2">
            <w:pPr>
              <w:pStyle w:val="ListParagraph"/>
              <w:numPr>
                <w:ilvl w:val="0"/>
                <w:numId w:val="26"/>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Modifying a brownfields operation: Modifying an existing brownfields operation is considerably more challenging than building a new greenfields plant. In the case of a greenfields plant the entire plant can be designed in a manner that caters for all requirements and the plant can be conceptualised and ‘packaged’ in a specific way. In the case of a brownfields operation that benefit does not exist, and every modification or retrofit has to be developed around the existing plant.</w:t>
            </w:r>
          </w:p>
        </w:tc>
      </w:tr>
      <w:tr w:rsidR="00200BBF" w:rsidRPr="00551726" w:rsidTr="00200BBF">
        <w:trPr>
          <w:trHeight w:val="728"/>
        </w:trPr>
        <w:tc>
          <w:tcPr>
            <w:tcW w:w="1547"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097"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593"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val="en-ZA" w:eastAsia="en-GB"/>
              </w:rPr>
              <w:t>SO</w:t>
            </w:r>
            <w:r w:rsidRPr="00551726">
              <w:rPr>
                <w:rFonts w:ascii="Arial" w:hAnsi="Arial" w:cs="Arial"/>
                <w:color w:val="000000" w:themeColor="dark1"/>
                <w:kern w:val="24"/>
                <w:position w:val="-9"/>
                <w:sz w:val="20"/>
                <w:szCs w:val="20"/>
                <w:vertAlign w:val="subscript"/>
                <w:lang w:val="en-ZA" w:eastAsia="en-GB"/>
              </w:rPr>
              <w:t>2</w:t>
            </w:r>
          </w:p>
        </w:tc>
        <w:tc>
          <w:tcPr>
            <w:tcW w:w="7522" w:type="dxa"/>
            <w:vMerge/>
            <w:tcBorders>
              <w:left w:val="single" w:sz="8" w:space="0" w:color="FFFFFF"/>
              <w:right w:val="single" w:sz="8" w:space="0" w:color="FFFFFF"/>
            </w:tcBorders>
            <w:shd w:val="clear" w:color="auto" w:fill="E9EDF4"/>
            <w:vAlign w:val="cente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763"/>
        </w:trPr>
        <w:tc>
          <w:tcPr>
            <w:tcW w:w="1547"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097"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593" w:type="dxa"/>
            <w:vMerge/>
            <w:tcBorders>
              <w:top w:val="single" w:sz="24"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22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val="en-ZA" w:eastAsia="en-GB"/>
              </w:rPr>
              <w:t>NO</w:t>
            </w:r>
            <w:r w:rsidRPr="00551726">
              <w:rPr>
                <w:rFonts w:ascii="Arial" w:hAnsi="Arial" w:cs="Arial"/>
                <w:color w:val="000000" w:themeColor="dark1"/>
                <w:kern w:val="24"/>
                <w:position w:val="-9"/>
                <w:sz w:val="20"/>
                <w:szCs w:val="20"/>
                <w:vertAlign w:val="subscript"/>
                <w:lang w:val="en-ZA" w:eastAsia="en-GB"/>
              </w:rPr>
              <w:t>X</w:t>
            </w:r>
          </w:p>
        </w:tc>
        <w:tc>
          <w:tcPr>
            <w:tcW w:w="7522" w:type="dxa"/>
            <w:vMerge/>
            <w:tcBorders>
              <w:left w:val="single" w:sz="8" w:space="0" w:color="FFFFFF"/>
              <w:right w:val="single" w:sz="8" w:space="0" w:color="FFFFFF"/>
            </w:tcBorders>
            <w:shd w:val="clear" w:color="auto" w:fill="D0D8E8"/>
            <w:vAlign w:val="cente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t xml:space="preserve">Subcategory 2.2: </w:t>
            </w:r>
            <w:r w:rsidRPr="00551726">
              <w:rPr>
                <w:rFonts w:ascii="Arial" w:hAnsi="Arial" w:cs="Arial"/>
                <w:kern w:val="24"/>
                <w:sz w:val="20"/>
                <w:szCs w:val="20"/>
                <w:lang w:eastAsia="en-GB"/>
              </w:rPr>
              <w:t>Catalytic Cracking Unit</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eastAsia="en-GB"/>
              </w:rPr>
              <w:t xml:space="preserve">Superflex Catalytic Cracker </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color w:val="000000" w:themeColor="dark1"/>
                <w:kern w:val="24"/>
                <w:sz w:val="20"/>
                <w:szCs w:val="20"/>
                <w:lang w:val="en-ZA" w:eastAsia="en-GB"/>
              </w:rPr>
              <w:t xml:space="preserve">2015 – 2021 </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themeColor="dark1"/>
                <w:kern w:val="24"/>
                <w:sz w:val="20"/>
                <w:szCs w:val="20"/>
                <w:lang w:val="en-ZA" w:eastAsia="en-GB"/>
              </w:rPr>
              <w:t>PM</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lastRenderedPageBreak/>
              <w:t>Subcategory 2.4:</w:t>
            </w:r>
          </w:p>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kern w:val="24"/>
                <w:sz w:val="20"/>
                <w:szCs w:val="20"/>
              </w:rPr>
              <w:t>Storage &amp; Handling of Petroleum Products</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color w:val="000000" w:themeColor="dark1"/>
                <w:kern w:val="24"/>
                <w:sz w:val="20"/>
                <w:szCs w:val="20"/>
              </w:rPr>
              <w:t>Storage Tanks</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color w:val="000000"/>
                <w:kern w:val="24"/>
                <w:sz w:val="20"/>
                <w:szCs w:val="20"/>
              </w:rPr>
              <w:t xml:space="preserve">(Sasol Synfuels) </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color w:val="000000" w:themeColor="dark1"/>
                <w:kern w:val="24"/>
                <w:sz w:val="20"/>
                <w:szCs w:val="20"/>
              </w:rPr>
              <w:t>2015 -2020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lastRenderedPageBreak/>
              <w:t>Subcategory 2.4:</w:t>
            </w:r>
          </w:p>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kern w:val="24"/>
                <w:sz w:val="20"/>
                <w:szCs w:val="20"/>
              </w:rPr>
              <w:t>Storage &amp; Handling of Petroleum Products</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 xml:space="preserve">Storage Tanks </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 xml:space="preserve">(Sasol Oil) </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2015 -2020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rPr>
                <w:rFonts w:ascii="Arial" w:hAnsi="Arial" w:cs="Arial"/>
                <w:sz w:val="20"/>
                <w:szCs w:val="20"/>
              </w:rPr>
            </w:pPr>
            <w:r w:rsidRPr="00551726">
              <w:rPr>
                <w:rFonts w:ascii="Arial" w:hAnsi="Arial" w:cs="Arial"/>
                <w:b/>
                <w:bCs/>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Subcategory 2.4:</w:t>
            </w:r>
          </w:p>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kern w:val="24"/>
                <w:sz w:val="20"/>
                <w:szCs w:val="20"/>
              </w:rPr>
              <w:t>Storage &amp; Handling of Petroleum Products</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kern w:val="24"/>
                <w:sz w:val="20"/>
                <w:szCs w:val="20"/>
              </w:rPr>
              <w:t>Loading Station</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rPr>
                <w:rFonts w:ascii="Arial" w:hAnsi="Arial" w:cs="Arial"/>
                <w:sz w:val="20"/>
                <w:szCs w:val="20"/>
              </w:rPr>
            </w:pPr>
            <w:r w:rsidRPr="00551726">
              <w:rPr>
                <w:rFonts w:ascii="Arial" w:hAnsi="Arial" w:cs="Arial"/>
                <w:b/>
                <w:bCs/>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663"/>
        </w:trPr>
        <w:tc>
          <w:tcPr>
            <w:tcW w:w="1547" w:type="dxa"/>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Subcategory 3.6</w:t>
            </w:r>
          </w:p>
          <w:p w:rsidR="00200BBF" w:rsidRPr="00551726" w:rsidRDefault="00200BBF" w:rsidP="00200BBF">
            <w:pPr>
              <w:pStyle w:val="NormalWeb"/>
              <w:overflowPunct w:val="0"/>
              <w:spacing w:before="0" w:beforeAutospacing="0" w:after="0" w:afterAutospacing="0" w:line="231" w:lineRule="atLeast"/>
              <w:jc w:val="both"/>
              <w:rPr>
                <w:rFonts w:ascii="Arial" w:hAnsi="Arial" w:cs="Arial"/>
                <w:sz w:val="20"/>
                <w:szCs w:val="20"/>
              </w:rPr>
            </w:pPr>
            <w:r w:rsidRPr="00551726">
              <w:rPr>
                <w:rFonts w:ascii="Arial" w:hAnsi="Arial" w:cs="Arial"/>
                <w:kern w:val="24"/>
                <w:sz w:val="20"/>
                <w:szCs w:val="20"/>
              </w:rPr>
              <w:t xml:space="preserve">Synthetic Gas Production &amp; Cleanup </w:t>
            </w:r>
          </w:p>
        </w:tc>
        <w:tc>
          <w:tcPr>
            <w:tcW w:w="1097" w:type="dxa"/>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1" w:lineRule="atLeast"/>
              <w:rPr>
                <w:rFonts w:ascii="Arial" w:hAnsi="Arial" w:cs="Arial"/>
                <w:sz w:val="20"/>
                <w:szCs w:val="20"/>
              </w:rPr>
            </w:pPr>
            <w:r w:rsidRPr="00551726">
              <w:rPr>
                <w:rFonts w:ascii="Arial" w:hAnsi="Arial" w:cs="Arial"/>
                <w:b/>
                <w:bCs/>
                <w:kern w:val="24"/>
                <w:sz w:val="20"/>
                <w:szCs w:val="20"/>
              </w:rPr>
              <w:t>Rectisol &amp; Sulphur Recovery Plants</w:t>
            </w:r>
          </w:p>
        </w:tc>
        <w:tc>
          <w:tcPr>
            <w:tcW w:w="1593" w:type="dxa"/>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1" w:lineRule="atLeast"/>
              <w:rPr>
                <w:rFonts w:ascii="Arial" w:hAnsi="Arial" w:cs="Arial"/>
                <w:sz w:val="20"/>
                <w:szCs w:val="20"/>
              </w:rPr>
            </w:pPr>
            <w:r w:rsidRPr="00551726">
              <w:rPr>
                <w:rFonts w:ascii="Arial" w:hAnsi="Arial" w:cs="Arial"/>
                <w:b/>
                <w:bCs/>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200BBF" w:rsidRPr="00551726" w:rsidRDefault="00200BBF" w:rsidP="00200BBF">
            <w:pPr>
              <w:pStyle w:val="NormalWeb"/>
              <w:overflowPunct w:val="0"/>
              <w:spacing w:before="0" w:beforeAutospacing="0" w:after="0" w:afterAutospacing="0" w:line="231" w:lineRule="atLeast"/>
              <w:rPr>
                <w:rFonts w:ascii="Arial" w:hAnsi="Arial" w:cs="Arial"/>
                <w:sz w:val="20"/>
                <w:szCs w:val="20"/>
              </w:rPr>
            </w:pPr>
            <w:r w:rsidRPr="00551726">
              <w:rPr>
                <w:rFonts w:ascii="Arial" w:hAnsi="Arial" w:cs="Arial"/>
                <w:b/>
                <w:bCs/>
                <w:kern w:val="24"/>
                <w:sz w:val="20"/>
                <w:szCs w:val="20"/>
              </w:rPr>
              <w:t>H</w:t>
            </w:r>
            <w:r w:rsidRPr="00551726">
              <w:rPr>
                <w:rFonts w:ascii="Arial" w:hAnsi="Arial" w:cs="Arial"/>
                <w:b/>
                <w:bCs/>
                <w:kern w:val="24"/>
                <w:position w:val="-9"/>
                <w:sz w:val="20"/>
                <w:szCs w:val="20"/>
                <w:vertAlign w:val="subscript"/>
              </w:rPr>
              <w:t>2</w:t>
            </w:r>
            <w:r w:rsidRPr="00551726">
              <w:rPr>
                <w:rFonts w:ascii="Arial" w:hAnsi="Arial" w:cs="Arial"/>
                <w:b/>
                <w:bCs/>
                <w:kern w:val="24"/>
                <w:sz w:val="20"/>
                <w:szCs w:val="20"/>
              </w:rPr>
              <w:t>S</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vAlign w:val="cente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663"/>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200BBF" w:rsidRPr="00551726" w:rsidRDefault="00200BBF" w:rsidP="00200BBF">
            <w:pPr>
              <w:pStyle w:val="NormalWeb"/>
              <w:overflowPunct w:val="0"/>
              <w:spacing w:before="0" w:beforeAutospacing="0" w:after="0" w:afterAutospacing="0" w:line="261" w:lineRule="atLeast"/>
              <w:rPr>
                <w:rFonts w:ascii="Arial" w:hAnsi="Arial" w:cs="Arial"/>
                <w:sz w:val="20"/>
                <w:szCs w:val="20"/>
              </w:rPr>
            </w:pPr>
            <w:r w:rsidRPr="00551726">
              <w:rPr>
                <w:rFonts w:ascii="Arial" w:hAnsi="Arial" w:cs="Arial"/>
                <w:b/>
                <w:bCs/>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vAlign w:val="cente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663"/>
        </w:trPr>
        <w:tc>
          <w:tcPr>
            <w:tcW w:w="1547" w:type="dxa"/>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1097"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1593"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rsidR="00200BBF" w:rsidRPr="00551726" w:rsidRDefault="00200BBF" w:rsidP="00200BBF">
            <w:pPr>
              <w:pStyle w:val="NormalWeb"/>
              <w:overflowPunct w:val="0"/>
              <w:spacing w:before="0" w:beforeAutospacing="0" w:after="0" w:afterAutospacing="0" w:line="172" w:lineRule="atLeast"/>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vAlign w:val="cente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Subcategory 3.6</w:t>
            </w:r>
          </w:p>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kern w:val="24"/>
                <w:sz w:val="20"/>
                <w:szCs w:val="20"/>
              </w:rPr>
              <w:t>Synthetic Gas Production &amp; Cleanup</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Phenosolvan</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lastRenderedPageBreak/>
              <w:t>Subcategory 3.3 and 3.6</w:t>
            </w:r>
          </w:p>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kern w:val="24"/>
                <w:sz w:val="20"/>
                <w:szCs w:val="20"/>
              </w:rPr>
              <w:t>Tar Processes Synthetic Gas Production &amp; Cleanup</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sz w:val="20"/>
                <w:szCs w:val="20"/>
              </w:rPr>
            </w:pPr>
            <w:r w:rsidRPr="00551726">
              <w:rPr>
                <w:rFonts w:ascii="Arial" w:hAnsi="Arial" w:cs="Arial"/>
                <w:b/>
                <w:kern w:val="24"/>
                <w:sz w:val="20"/>
                <w:szCs w:val="20"/>
              </w:rPr>
              <w:t>Sources in Tar Value Chain-Value 1</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3.3: </w:t>
            </w:r>
          </w:p>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kern w:val="24"/>
                <w:sz w:val="20"/>
                <w:szCs w:val="20"/>
              </w:rPr>
              <w:t>Tar Processes</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Sources in Tar Value Chain-Value 2</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TVOCs</w:t>
            </w:r>
          </w:p>
        </w:tc>
        <w:tc>
          <w:tcPr>
            <w:tcW w:w="7522"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Category 6:</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kern w:val="24"/>
                <w:sz w:val="20"/>
                <w:szCs w:val="20"/>
              </w:rPr>
              <w:t>Organic Chemicals</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kern w:val="24"/>
                <w:sz w:val="20"/>
                <w:szCs w:val="20"/>
              </w:rPr>
              <w:t>Industry</w:t>
            </w: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spacing w:before="0" w:beforeAutospacing="0" w:after="0" w:afterAutospacing="0"/>
              <w:rPr>
                <w:rFonts w:ascii="Arial" w:hAnsi="Arial" w:cs="Arial"/>
                <w:sz w:val="20"/>
                <w:szCs w:val="20"/>
              </w:rPr>
            </w:pPr>
            <w:r w:rsidRPr="00551726">
              <w:rPr>
                <w:rFonts w:ascii="Arial" w:hAnsi="Arial" w:cs="Arial"/>
                <w:kern w:val="24"/>
                <w:sz w:val="20"/>
                <w:szCs w:val="20"/>
              </w:rPr>
              <w:t>Storage tanks</w:t>
            </w:r>
          </w:p>
          <w:p w:rsidR="00200BBF" w:rsidRPr="00551726" w:rsidRDefault="00200BBF" w:rsidP="00200BBF">
            <w:pPr>
              <w:pStyle w:val="NormalWeb"/>
              <w:spacing w:before="0" w:beforeAutospacing="0" w:after="0" w:afterAutospacing="0"/>
              <w:rPr>
                <w:rFonts w:ascii="Arial" w:hAnsi="Arial" w:cs="Arial"/>
                <w:sz w:val="20"/>
                <w:szCs w:val="20"/>
              </w:rPr>
            </w:pPr>
            <w:r w:rsidRPr="00551726">
              <w:rPr>
                <w:rFonts w:ascii="Arial" w:hAnsi="Arial" w:cs="Arial"/>
                <w:kern w:val="24"/>
                <w:sz w:val="20"/>
                <w:szCs w:val="20"/>
              </w:rPr>
              <w:t>(Sasol Solvents)</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kern w:val="24"/>
                <w:sz w:val="20"/>
                <w:szCs w:val="20"/>
              </w:rPr>
              <w:t>TVOCs</w:t>
            </w:r>
          </w:p>
        </w:tc>
        <w:tc>
          <w:tcPr>
            <w:tcW w:w="7522"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995"/>
        </w:trPr>
        <w:tc>
          <w:tcPr>
            <w:tcW w:w="1547" w:type="dxa"/>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Sub-category 7.2:</w:t>
            </w:r>
          </w:p>
          <w:p w:rsidR="00200BBF" w:rsidRPr="00551726" w:rsidRDefault="00200BBF" w:rsidP="00200BBF">
            <w:pPr>
              <w:pStyle w:val="NormalWeb"/>
              <w:overflowPunct w:val="0"/>
              <w:spacing w:before="0" w:beforeAutospacing="0" w:after="0" w:afterAutospacing="0" w:line="231" w:lineRule="atLeast"/>
              <w:jc w:val="both"/>
              <w:rPr>
                <w:rFonts w:ascii="Arial" w:hAnsi="Arial" w:cs="Arial"/>
                <w:sz w:val="20"/>
                <w:szCs w:val="20"/>
              </w:rPr>
            </w:pPr>
            <w:r w:rsidRPr="00551726">
              <w:rPr>
                <w:rFonts w:ascii="Arial" w:hAnsi="Arial" w:cs="Arial"/>
                <w:kern w:val="24"/>
                <w:sz w:val="20"/>
                <w:szCs w:val="20"/>
              </w:rPr>
              <w:t>Production of Acids</w:t>
            </w:r>
          </w:p>
        </w:tc>
        <w:tc>
          <w:tcPr>
            <w:tcW w:w="1097" w:type="dxa"/>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Cs/>
                <w:kern w:val="24"/>
                <w:sz w:val="20"/>
                <w:szCs w:val="20"/>
              </w:rPr>
              <w:t xml:space="preserve">Wet Sulphuric Acid Plant </w:t>
            </w:r>
          </w:p>
          <w:p w:rsidR="00200BBF" w:rsidRPr="00551726" w:rsidRDefault="00200BBF" w:rsidP="00200BBF">
            <w:pPr>
              <w:pStyle w:val="NormalWeb"/>
              <w:overflowPunct w:val="0"/>
              <w:spacing w:before="0" w:beforeAutospacing="0" w:after="0" w:afterAutospacing="0" w:line="231" w:lineRule="atLeast"/>
              <w:rPr>
                <w:rFonts w:ascii="Arial" w:hAnsi="Arial" w:cs="Arial"/>
                <w:sz w:val="20"/>
                <w:szCs w:val="20"/>
              </w:rPr>
            </w:pPr>
            <w:r w:rsidRPr="00551726">
              <w:rPr>
                <w:rFonts w:ascii="Arial" w:hAnsi="Arial" w:cs="Arial"/>
                <w:bCs/>
                <w:kern w:val="24"/>
                <w:sz w:val="20"/>
                <w:szCs w:val="20"/>
              </w:rPr>
              <w:t> </w:t>
            </w:r>
          </w:p>
        </w:tc>
        <w:tc>
          <w:tcPr>
            <w:tcW w:w="1593" w:type="dxa"/>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1" w:lineRule="atLeast"/>
              <w:rPr>
                <w:rFonts w:ascii="Arial" w:hAnsi="Arial" w:cs="Arial"/>
                <w:sz w:val="20"/>
                <w:szCs w:val="20"/>
              </w:rPr>
            </w:pPr>
            <w:r w:rsidRPr="00551726">
              <w:rPr>
                <w:rFonts w:ascii="Arial" w:hAnsi="Arial" w:cs="Arial"/>
                <w:bCs/>
                <w:kern w:val="24"/>
                <w:sz w:val="20"/>
                <w:szCs w:val="20"/>
              </w:rPr>
              <w:t>2020-2025</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1" w:lineRule="atLeast"/>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7522" w:type="dxa"/>
            <w:vMerge w:val="restart"/>
            <w:tcBorders>
              <w:top w:val="single" w:sz="8" w:space="0" w:color="FFFFFF"/>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994"/>
        </w:trPr>
        <w:tc>
          <w:tcPr>
            <w:tcW w:w="1547" w:type="dxa"/>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1" w:lineRule="atLeast"/>
              <w:rPr>
                <w:rFonts w:ascii="Arial" w:hAnsi="Arial" w:cs="Arial"/>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61" w:lineRule="atLeast"/>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3</w:t>
            </w:r>
          </w:p>
        </w:tc>
        <w:tc>
          <w:tcPr>
            <w:tcW w:w="7522" w:type="dxa"/>
            <w:vMerge/>
            <w:tcBorders>
              <w:left w:val="single" w:sz="8" w:space="0" w:color="FFFFFF"/>
              <w:bottom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5"/>
        </w:trPr>
        <w:tc>
          <w:tcPr>
            <w:tcW w:w="1547" w:type="dxa"/>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8.1: </w:t>
            </w:r>
            <w:r w:rsidRPr="00551726">
              <w:rPr>
                <w:rFonts w:ascii="Arial" w:hAnsi="Arial" w:cs="Arial"/>
                <w:kern w:val="24"/>
                <w:sz w:val="20"/>
                <w:szCs w:val="20"/>
              </w:rPr>
              <w:t>Thermal Treatment of Hazardous &amp; General Waste</w:t>
            </w:r>
          </w:p>
        </w:tc>
        <w:tc>
          <w:tcPr>
            <w:tcW w:w="1097" w:type="dxa"/>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Cs/>
                <w:kern w:val="24"/>
                <w:sz w:val="20"/>
                <w:szCs w:val="20"/>
              </w:rPr>
              <w:t>HOW Incinerators</w:t>
            </w:r>
          </w:p>
        </w:tc>
        <w:tc>
          <w:tcPr>
            <w:tcW w:w="1593" w:type="dxa"/>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PM</w:t>
            </w:r>
          </w:p>
        </w:tc>
        <w:tc>
          <w:tcPr>
            <w:tcW w:w="7522" w:type="dxa"/>
            <w:vMerge w:val="restart"/>
            <w:tcBorders>
              <w:top w:val="single" w:sz="8" w:space="0" w:color="FFFFFF"/>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4"/>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NOx</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4"/>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HF</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4"/>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HM</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4"/>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Hg</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4"/>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Cd &amp; Ta</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84"/>
        </w:trPr>
        <w:tc>
          <w:tcPr>
            <w:tcW w:w="1547" w:type="dxa"/>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Cs/>
                <w:kern w:val="24"/>
                <w:sz w:val="20"/>
                <w:szCs w:val="20"/>
              </w:rPr>
            </w:pPr>
          </w:p>
        </w:tc>
        <w:tc>
          <w:tcPr>
            <w:tcW w:w="1593"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TOC</w:t>
            </w:r>
          </w:p>
        </w:tc>
        <w:tc>
          <w:tcPr>
            <w:tcW w:w="7522" w:type="dxa"/>
            <w:vMerge/>
            <w:tcBorders>
              <w:left w:val="single" w:sz="8" w:space="0" w:color="FFFFFF"/>
              <w:bottom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655"/>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eastAsiaTheme="minorEastAsia" w:hAnsi="Arial" w:cs="Arial"/>
                <w:bCs/>
                <w:color w:val="000000" w:themeColor="dark1"/>
                <w:kern w:val="24"/>
                <w:sz w:val="20"/>
                <w:szCs w:val="20"/>
              </w:rPr>
              <w:t>Exit gas temperatures must be maintained below 200ºC</w:t>
            </w:r>
          </w:p>
        </w:tc>
        <w:tc>
          <w:tcPr>
            <w:tcW w:w="75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207"/>
        </w:trPr>
        <w:tc>
          <w:tcPr>
            <w:tcW w:w="1547" w:type="dxa"/>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8.1: </w:t>
            </w:r>
            <w:r w:rsidRPr="00551726">
              <w:rPr>
                <w:rFonts w:ascii="Arial" w:hAnsi="Arial" w:cs="Arial"/>
                <w:kern w:val="24"/>
                <w:sz w:val="20"/>
                <w:szCs w:val="20"/>
              </w:rPr>
              <w:t>Thermal Treatment of Hazardous &amp; General Waste</w:t>
            </w:r>
          </w:p>
        </w:tc>
        <w:tc>
          <w:tcPr>
            <w:tcW w:w="1097" w:type="dxa"/>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Biosludge</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Incinerators</w:t>
            </w:r>
          </w:p>
        </w:tc>
        <w:tc>
          <w:tcPr>
            <w:tcW w:w="1593" w:type="dxa"/>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08" w:lineRule="atLeast"/>
              <w:rPr>
                <w:rFonts w:ascii="Arial" w:hAnsi="Arial" w:cs="Arial"/>
                <w:sz w:val="20"/>
                <w:szCs w:val="20"/>
              </w:rPr>
            </w:pPr>
            <w:r w:rsidRPr="00551726">
              <w:rPr>
                <w:rFonts w:ascii="Arial" w:hAnsi="Arial" w:cs="Arial"/>
                <w:b/>
                <w:bCs/>
                <w:kern w:val="24"/>
                <w:sz w:val="20"/>
                <w:szCs w:val="20"/>
              </w:rPr>
              <w:t>PM</w:t>
            </w:r>
          </w:p>
        </w:tc>
        <w:tc>
          <w:tcPr>
            <w:tcW w:w="7522" w:type="dxa"/>
            <w:vMerge w:val="restart"/>
            <w:tcBorders>
              <w:top w:val="single" w:sz="8" w:space="0" w:color="FFFFFF"/>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CO</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40" w:lineRule="atLeast"/>
              <w:rPr>
                <w:rFonts w:ascii="Arial" w:hAnsi="Arial" w:cs="Arial"/>
                <w:sz w:val="20"/>
                <w:szCs w:val="20"/>
              </w:rPr>
            </w:pPr>
            <w:r w:rsidRPr="00551726">
              <w:rPr>
                <w:rFonts w:ascii="Arial" w:hAnsi="Arial" w:cs="Arial"/>
                <w:b/>
                <w:bCs/>
                <w:kern w:val="24"/>
                <w:sz w:val="20"/>
                <w:szCs w:val="20"/>
              </w:rPr>
              <w:t>NO</w:t>
            </w:r>
            <w:r w:rsidRPr="00551726">
              <w:rPr>
                <w:rFonts w:ascii="Arial" w:hAnsi="Arial" w:cs="Arial"/>
                <w:b/>
                <w:bCs/>
                <w:kern w:val="24"/>
                <w:position w:val="-9"/>
                <w:sz w:val="20"/>
                <w:szCs w:val="20"/>
                <w:vertAlign w:val="subscript"/>
              </w:rPr>
              <w:t>X</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192" w:lineRule="atLeast"/>
              <w:rPr>
                <w:rFonts w:ascii="Arial" w:hAnsi="Arial" w:cs="Arial"/>
                <w:sz w:val="20"/>
                <w:szCs w:val="20"/>
              </w:rPr>
            </w:pPr>
            <w:r w:rsidRPr="00551726">
              <w:rPr>
                <w:rFonts w:ascii="Arial" w:hAnsi="Arial" w:cs="Arial"/>
                <w:b/>
                <w:bCs/>
                <w:kern w:val="24"/>
                <w:sz w:val="20"/>
                <w:szCs w:val="20"/>
              </w:rPr>
              <w:t>HF</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HCl</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HM</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Hg</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TOC</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98"/>
        </w:trPr>
        <w:tc>
          <w:tcPr>
            <w:tcW w:w="1547" w:type="dxa"/>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1097"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NH</w:t>
            </w:r>
            <w:r w:rsidRPr="00551726">
              <w:rPr>
                <w:rFonts w:ascii="Arial" w:hAnsi="Arial" w:cs="Arial"/>
                <w:b/>
                <w:bCs/>
                <w:kern w:val="24"/>
                <w:position w:val="-9"/>
                <w:sz w:val="20"/>
                <w:szCs w:val="20"/>
                <w:vertAlign w:val="subscript"/>
              </w:rPr>
              <w:t>3</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037"/>
        </w:trPr>
        <w:tc>
          <w:tcPr>
            <w:tcW w:w="1547" w:type="dxa"/>
            <w:vMerge/>
            <w:tcBorders>
              <w:left w:val="single" w:sz="8" w:space="0" w:color="FFFFFF"/>
              <w:bottom w:val="nil"/>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1097" w:type="dxa"/>
            <w:vMerge/>
            <w:tcBorders>
              <w:left w:val="single" w:sz="8" w:space="0" w:color="FFFFFF"/>
              <w:bottom w:val="nil"/>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1593" w:type="dxa"/>
            <w:vMerge/>
            <w:tcBorders>
              <w:left w:val="single" w:sz="8" w:space="0" w:color="FFFFFF"/>
              <w:bottom w:val="nil"/>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2265" w:type="dxa"/>
            <w:tcBorders>
              <w:left w:val="single" w:sz="8" w:space="0" w:color="FFFFFF"/>
              <w:bottom w:val="nil"/>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after="0"/>
              <w:rPr>
                <w:rFonts w:ascii="Arial" w:hAnsi="Arial" w:cs="Arial"/>
                <w:sz w:val="20"/>
                <w:szCs w:val="20"/>
              </w:rPr>
            </w:pPr>
          </w:p>
        </w:tc>
        <w:tc>
          <w:tcPr>
            <w:tcW w:w="7522" w:type="dxa"/>
            <w:vMerge/>
            <w:tcBorders>
              <w:left w:val="single" w:sz="8" w:space="0" w:color="FFFFFF"/>
              <w:bottom w:val="nil"/>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sz w:val="20"/>
                <w:szCs w:val="20"/>
              </w:rPr>
            </w:pPr>
            <w:r w:rsidRPr="00551726">
              <w:rPr>
                <w:rFonts w:ascii="Arial" w:hAnsi="Arial" w:cs="Arial"/>
                <w:b/>
                <w:bCs/>
                <w:kern w:val="24"/>
                <w:sz w:val="20"/>
                <w:szCs w:val="20"/>
              </w:rPr>
              <w:t xml:space="preserve">Sub-category 8.1: </w:t>
            </w:r>
            <w:r w:rsidRPr="00551726">
              <w:rPr>
                <w:rFonts w:ascii="Arial" w:hAnsi="Arial" w:cs="Arial"/>
                <w:kern w:val="24"/>
                <w:sz w:val="20"/>
                <w:szCs w:val="20"/>
              </w:rPr>
              <w:t>Thermal Treatment of Hazardous &amp; General Waste</w:t>
            </w:r>
          </w:p>
        </w:tc>
        <w:tc>
          <w:tcPr>
            <w:tcW w:w="1097" w:type="dxa"/>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Sewage solids</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incinerator</w:t>
            </w:r>
          </w:p>
          <w:p w:rsidR="00200BBF" w:rsidRPr="00551726" w:rsidRDefault="00200BBF" w:rsidP="00200BBF">
            <w:pPr>
              <w:pStyle w:val="NormalWeb"/>
              <w:overflowPunct w:val="0"/>
              <w:spacing w:before="0" w:beforeAutospacing="0" w:after="0" w:afterAutospacing="0" w:line="238" w:lineRule="atLeast"/>
              <w:rPr>
                <w:rFonts w:ascii="Arial" w:hAnsi="Arial" w:cs="Arial"/>
                <w:sz w:val="20"/>
                <w:szCs w:val="20"/>
              </w:rPr>
            </w:pPr>
            <w:r w:rsidRPr="00551726">
              <w:rPr>
                <w:rFonts w:ascii="Arial" w:hAnsi="Arial" w:cs="Arial"/>
                <w:b/>
                <w:bCs/>
                <w:kern w:val="24"/>
                <w:sz w:val="20"/>
                <w:szCs w:val="20"/>
              </w:rPr>
              <w:t>(Sasol Synfuels)</w:t>
            </w:r>
          </w:p>
        </w:tc>
        <w:tc>
          <w:tcPr>
            <w:tcW w:w="1593" w:type="dxa"/>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sz w:val="20"/>
                <w:szCs w:val="20"/>
              </w:rPr>
            </w:pPr>
            <w:r w:rsidRPr="00551726">
              <w:rPr>
                <w:rFonts w:ascii="Arial" w:hAnsi="Arial" w:cs="Arial"/>
                <w:b/>
                <w:bCs/>
                <w:kern w:val="24"/>
                <w:sz w:val="20"/>
                <w:szCs w:val="20"/>
              </w:rPr>
              <w:t>2015-2020</w:t>
            </w: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sz w:val="20"/>
                <w:szCs w:val="20"/>
              </w:rPr>
            </w:pPr>
            <w:r w:rsidRPr="00551726">
              <w:rPr>
                <w:rFonts w:ascii="Arial" w:hAnsi="Arial" w:cs="Arial"/>
                <w:b/>
                <w:bCs/>
                <w:kern w:val="24"/>
                <w:sz w:val="20"/>
                <w:szCs w:val="20"/>
              </w:rPr>
              <w:t>PM</w:t>
            </w:r>
          </w:p>
        </w:tc>
        <w:tc>
          <w:tcPr>
            <w:tcW w:w="7522" w:type="dxa"/>
            <w:vMerge w:val="restart"/>
            <w:tcBorders>
              <w:top w:val="single" w:sz="8" w:space="0" w:color="FFFFFF"/>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190" w:lineRule="atLeast"/>
              <w:rPr>
                <w:rFonts w:ascii="Arial" w:hAnsi="Arial" w:cs="Arial"/>
                <w:sz w:val="20"/>
                <w:szCs w:val="20"/>
              </w:rPr>
            </w:pPr>
            <w:r w:rsidRPr="00551726">
              <w:rPr>
                <w:rFonts w:ascii="Arial" w:hAnsi="Arial" w:cs="Arial"/>
                <w:b/>
                <w:bCs/>
                <w:kern w:val="24"/>
                <w:sz w:val="20"/>
                <w:szCs w:val="20"/>
              </w:rPr>
              <w:t>CO</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142" w:lineRule="atLeast"/>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34" w:lineRule="atLeast"/>
              <w:rPr>
                <w:rFonts w:ascii="Arial" w:hAnsi="Arial" w:cs="Arial"/>
                <w:sz w:val="20"/>
                <w:szCs w:val="20"/>
              </w:rPr>
            </w:pPr>
            <w:r w:rsidRPr="00551726">
              <w:rPr>
                <w:rFonts w:ascii="Arial" w:hAnsi="Arial" w:cs="Arial"/>
                <w:b/>
                <w:bCs/>
                <w:kern w:val="24"/>
                <w:sz w:val="20"/>
                <w:szCs w:val="20"/>
              </w:rPr>
              <w:t>NO</w:t>
            </w:r>
            <w:r w:rsidRPr="00551726">
              <w:rPr>
                <w:rFonts w:ascii="Arial" w:hAnsi="Arial" w:cs="Arial"/>
                <w:b/>
                <w:bCs/>
                <w:kern w:val="24"/>
                <w:position w:val="-9"/>
                <w:sz w:val="20"/>
                <w:szCs w:val="20"/>
                <w:vertAlign w:val="subscript"/>
              </w:rPr>
              <w:t>X</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86" w:lineRule="atLeast"/>
              <w:rPr>
                <w:rFonts w:ascii="Arial" w:hAnsi="Arial" w:cs="Arial"/>
                <w:sz w:val="20"/>
                <w:szCs w:val="20"/>
              </w:rPr>
            </w:pPr>
            <w:r w:rsidRPr="00551726">
              <w:rPr>
                <w:rFonts w:ascii="Arial" w:hAnsi="Arial" w:cs="Arial"/>
                <w:b/>
                <w:bCs/>
                <w:kern w:val="24"/>
                <w:sz w:val="20"/>
                <w:szCs w:val="20"/>
              </w:rPr>
              <w:t>HF</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sz w:val="20"/>
                <w:szCs w:val="20"/>
              </w:rPr>
            </w:pPr>
            <w:r w:rsidRPr="00551726">
              <w:rPr>
                <w:rFonts w:ascii="Arial" w:hAnsi="Arial" w:cs="Arial"/>
                <w:b/>
                <w:bCs/>
                <w:kern w:val="24"/>
                <w:sz w:val="20"/>
                <w:szCs w:val="20"/>
              </w:rPr>
              <w:t>HCl</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190" w:lineRule="atLeast"/>
              <w:rPr>
                <w:rFonts w:ascii="Arial" w:hAnsi="Arial" w:cs="Arial"/>
                <w:sz w:val="20"/>
                <w:szCs w:val="20"/>
              </w:rPr>
            </w:pPr>
            <w:r w:rsidRPr="00551726">
              <w:rPr>
                <w:rFonts w:ascii="Arial" w:hAnsi="Arial" w:cs="Arial"/>
                <w:b/>
                <w:bCs/>
                <w:kern w:val="24"/>
                <w:sz w:val="20"/>
                <w:szCs w:val="20"/>
              </w:rPr>
              <w:t>HM</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62" w:lineRule="atLeast"/>
              <w:rPr>
                <w:rFonts w:ascii="Arial" w:hAnsi="Arial" w:cs="Arial"/>
                <w:sz w:val="20"/>
                <w:szCs w:val="20"/>
              </w:rPr>
            </w:pPr>
            <w:r w:rsidRPr="00551726">
              <w:rPr>
                <w:rFonts w:ascii="Arial" w:hAnsi="Arial" w:cs="Arial"/>
                <w:b/>
                <w:bCs/>
                <w:kern w:val="24"/>
                <w:sz w:val="20"/>
                <w:szCs w:val="20"/>
              </w:rPr>
              <w:t>Hg</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94" w:lineRule="atLeast"/>
              <w:rPr>
                <w:rFonts w:ascii="Arial" w:hAnsi="Arial" w:cs="Arial"/>
                <w:sz w:val="20"/>
                <w:szCs w:val="20"/>
              </w:rPr>
            </w:pPr>
            <w:r w:rsidRPr="00551726">
              <w:rPr>
                <w:rFonts w:ascii="Arial" w:hAnsi="Arial" w:cs="Arial"/>
                <w:b/>
                <w:bCs/>
                <w:kern w:val="24"/>
                <w:sz w:val="20"/>
                <w:szCs w:val="20"/>
              </w:rPr>
              <w:t>Cd &amp; Ta</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86" w:lineRule="atLeast"/>
              <w:rPr>
                <w:rFonts w:ascii="Arial" w:hAnsi="Arial" w:cs="Arial"/>
                <w:sz w:val="20"/>
                <w:szCs w:val="20"/>
              </w:rPr>
            </w:pPr>
            <w:r w:rsidRPr="00551726">
              <w:rPr>
                <w:rFonts w:ascii="Arial" w:hAnsi="Arial" w:cs="Arial"/>
                <w:b/>
                <w:bCs/>
                <w:kern w:val="24"/>
                <w:sz w:val="20"/>
                <w:szCs w:val="20"/>
              </w:rPr>
              <w:t>TOC</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118" w:lineRule="atLeast"/>
              <w:rPr>
                <w:rFonts w:ascii="Arial" w:hAnsi="Arial" w:cs="Arial"/>
                <w:sz w:val="20"/>
                <w:szCs w:val="20"/>
              </w:rPr>
            </w:pPr>
            <w:r w:rsidRPr="00551726">
              <w:rPr>
                <w:rFonts w:ascii="Arial" w:hAnsi="Arial" w:cs="Arial"/>
                <w:b/>
                <w:bCs/>
                <w:kern w:val="24"/>
                <w:sz w:val="20"/>
                <w:szCs w:val="20"/>
              </w:rPr>
              <w:t>NH</w:t>
            </w:r>
            <w:r w:rsidRPr="00551726">
              <w:rPr>
                <w:rFonts w:ascii="Arial" w:hAnsi="Arial" w:cs="Arial"/>
                <w:b/>
                <w:bCs/>
                <w:kern w:val="24"/>
                <w:position w:val="-9"/>
                <w:sz w:val="20"/>
                <w:szCs w:val="20"/>
                <w:vertAlign w:val="subscript"/>
              </w:rPr>
              <w:t>3</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10" w:lineRule="atLeast"/>
              <w:rPr>
                <w:rFonts w:ascii="Arial" w:hAnsi="Arial" w:cs="Arial"/>
                <w:sz w:val="20"/>
                <w:szCs w:val="20"/>
              </w:rPr>
            </w:pPr>
            <w:r w:rsidRPr="00551726">
              <w:rPr>
                <w:rFonts w:ascii="Arial" w:hAnsi="Arial" w:cs="Arial"/>
                <w:b/>
                <w:bCs/>
                <w:kern w:val="24"/>
                <w:sz w:val="20"/>
                <w:szCs w:val="20"/>
              </w:rPr>
              <w:t>D &amp; F</w:t>
            </w:r>
          </w:p>
        </w:tc>
        <w:tc>
          <w:tcPr>
            <w:tcW w:w="7522" w:type="dxa"/>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9"/>
        </w:trPr>
        <w:tc>
          <w:tcPr>
            <w:tcW w:w="1547" w:type="dxa"/>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238" w:lineRule="atLeast"/>
              <w:jc w:val="both"/>
              <w:rPr>
                <w:rFonts w:ascii="Arial" w:hAnsi="Arial" w:cs="Arial"/>
                <w:b/>
                <w:bCs/>
                <w:kern w:val="24"/>
                <w:sz w:val="20"/>
                <w:szCs w:val="20"/>
              </w:rPr>
            </w:pPr>
          </w:p>
        </w:tc>
        <w:tc>
          <w:tcPr>
            <w:tcW w:w="1097"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1593"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line="238" w:lineRule="atLeast"/>
              <w:rPr>
                <w:rFonts w:ascii="Arial" w:hAnsi="Arial" w:cs="Arial"/>
                <w:b/>
                <w:bCs/>
                <w:kern w:val="24"/>
                <w:sz w:val="20"/>
                <w:szCs w:val="20"/>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rPr>
                <w:rFonts w:ascii="Arial" w:eastAsiaTheme="minorEastAsia" w:hAnsi="Arial" w:cs="Arial"/>
                <w:bCs/>
                <w:color w:val="000000" w:themeColor="dark1"/>
                <w:kern w:val="24"/>
                <w:sz w:val="20"/>
                <w:szCs w:val="20"/>
              </w:rPr>
            </w:pPr>
            <w:r w:rsidRPr="00551726">
              <w:rPr>
                <w:rFonts w:ascii="Arial" w:eastAsiaTheme="minorEastAsia" w:hAnsi="Arial" w:cs="Arial"/>
                <w:bCs/>
                <w:color w:val="000000" w:themeColor="dark1"/>
                <w:kern w:val="24"/>
                <w:sz w:val="20"/>
                <w:szCs w:val="20"/>
              </w:rPr>
              <w:t>Exit gas temperatures must be maintained below 200ºC</w:t>
            </w:r>
          </w:p>
        </w:tc>
        <w:tc>
          <w:tcPr>
            <w:tcW w:w="7522" w:type="dxa"/>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390"/>
        </w:trPr>
        <w:tc>
          <w:tcPr>
            <w:tcW w:w="15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10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22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eastAsiaTheme="minorEastAsia" w:hAnsi="Arial" w:cs="Arial"/>
                <w:bCs/>
                <w:color w:val="000000" w:themeColor="dark1"/>
                <w:kern w:val="24"/>
                <w:sz w:val="20"/>
                <w:szCs w:val="20"/>
              </w:rPr>
            </w:pPr>
          </w:p>
        </w:tc>
        <w:tc>
          <w:tcPr>
            <w:tcW w:w="7522" w:type="dxa"/>
            <w:tcBorders>
              <w:top w:val="single" w:sz="8" w:space="0" w:color="FFFFFF"/>
              <w:left w:val="single" w:sz="8" w:space="0" w:color="FFFFFF"/>
              <w:bottom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pStyle w:val="Heading3"/>
        <w:rPr>
          <w:rFonts w:cs="Arial"/>
          <w:sz w:val="20"/>
        </w:rPr>
      </w:pPr>
      <w:r w:rsidRPr="00551726">
        <w:rPr>
          <w:rFonts w:cs="Arial"/>
          <w:sz w:val="20"/>
        </w:rPr>
        <w:t>Sasol Infrachem, ## District Municipality, &amp;&amp; Province</w:t>
      </w:r>
    </w:p>
    <w:p w:rsidR="00200BBF" w:rsidRPr="00551726" w:rsidRDefault="00200BBF" w:rsidP="00200BBF">
      <w:pPr>
        <w:rPr>
          <w:rFonts w:ascii="Arial" w:hAnsi="Arial" w:cs="Arial"/>
          <w:sz w:val="20"/>
          <w:szCs w:val="20"/>
        </w:rPr>
      </w:pPr>
    </w:p>
    <w:tbl>
      <w:tblPr>
        <w:tblW w:w="5023" w:type="pct"/>
        <w:tblLayout w:type="fixed"/>
        <w:tblCellMar>
          <w:left w:w="0" w:type="dxa"/>
          <w:right w:w="0" w:type="dxa"/>
        </w:tblCellMar>
        <w:tblLook w:val="04A0"/>
      </w:tblPr>
      <w:tblGrid>
        <w:gridCol w:w="1427"/>
        <w:gridCol w:w="1314"/>
        <w:gridCol w:w="1671"/>
        <w:gridCol w:w="1340"/>
        <w:gridCol w:w="6"/>
        <w:gridCol w:w="76"/>
        <w:gridCol w:w="23"/>
        <w:gridCol w:w="8277"/>
      </w:tblGrid>
      <w:tr w:rsidR="00200BBF" w:rsidRPr="00551726" w:rsidTr="00200BBF">
        <w:trPr>
          <w:trHeight w:val="458"/>
          <w:tblHeader/>
        </w:trPr>
        <w:tc>
          <w:tcPr>
            <w:tcW w:w="50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Category</w:t>
            </w:r>
          </w:p>
        </w:tc>
        <w:tc>
          <w:tcPr>
            <w:tcW w:w="46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Appliance</w:t>
            </w:r>
          </w:p>
        </w:tc>
        <w:tc>
          <w:tcPr>
            <w:tcW w:w="591"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Postponement Period Sought</w:t>
            </w:r>
          </w:p>
        </w:tc>
        <w:tc>
          <w:tcPr>
            <w:tcW w:w="47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b/>
                <w:bCs/>
                <w:color w:val="FFFFFF" w:themeColor="light1"/>
                <w:kern w:val="24"/>
                <w:sz w:val="20"/>
                <w:szCs w:val="20"/>
                <w:lang w:eastAsia="en-GB"/>
              </w:rPr>
            </w:pPr>
            <w:r w:rsidRPr="00551726">
              <w:rPr>
                <w:rFonts w:ascii="Arial" w:hAnsi="Arial" w:cs="Arial"/>
                <w:b/>
                <w:bCs/>
                <w:kern w:val="24"/>
                <w:sz w:val="20"/>
                <w:szCs w:val="20"/>
                <w:lang w:eastAsia="en-GB"/>
              </w:rPr>
              <w:t>Pollutant</w:t>
            </w:r>
          </w:p>
        </w:tc>
        <w:tc>
          <w:tcPr>
            <w:tcW w:w="2965" w:type="pct"/>
            <w:gridSpan w:val="4"/>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overflowPunct w:val="0"/>
              <w:jc w:val="center"/>
              <w:rPr>
                <w:rFonts w:ascii="Arial" w:hAnsi="Arial" w:cs="Arial"/>
                <w:b/>
                <w:bCs/>
                <w:color w:val="FFFFFF" w:themeColor="light1"/>
                <w:kern w:val="24"/>
                <w:sz w:val="20"/>
                <w:szCs w:val="20"/>
                <w:lang w:eastAsia="en-GB"/>
              </w:rPr>
            </w:pPr>
            <w:r w:rsidRPr="00551726">
              <w:rPr>
                <w:rFonts w:ascii="Arial" w:hAnsi="Arial" w:cs="Arial"/>
                <w:b/>
                <w:bCs/>
                <w:sz w:val="20"/>
                <w:szCs w:val="20"/>
              </w:rPr>
              <w:t>Justification &amp; Reasons for Postponement Application</w:t>
            </w:r>
          </w:p>
        </w:tc>
      </w:tr>
      <w:tr w:rsidR="00200BBF" w:rsidRPr="00551726" w:rsidTr="00200BBF">
        <w:trPr>
          <w:trHeight w:val="362"/>
        </w:trPr>
        <w:tc>
          <w:tcPr>
            <w:tcW w:w="505" w:type="pct"/>
            <w:vMerge w:val="restart"/>
            <w:tcBorders>
              <w:top w:val="single" w:sz="24" w:space="0" w:color="FFFFFF"/>
              <w:left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8.1: </w:t>
            </w:r>
            <w:r w:rsidRPr="00551726">
              <w:rPr>
                <w:rFonts w:ascii="Arial" w:hAnsi="Arial" w:cs="Arial"/>
                <w:kern w:val="24"/>
                <w:sz w:val="20"/>
                <w:szCs w:val="20"/>
              </w:rPr>
              <w:t>Thermal Treatment of Hazardous &amp; General Waste</w:t>
            </w:r>
          </w:p>
        </w:tc>
        <w:tc>
          <w:tcPr>
            <w:tcW w:w="465" w:type="pct"/>
            <w:vMerge w:val="restart"/>
            <w:tcBorders>
              <w:top w:val="single" w:sz="24" w:space="0" w:color="FFFFFF"/>
              <w:left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B6930</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(Sasol Infrachem)</w:t>
            </w:r>
          </w:p>
        </w:tc>
        <w:tc>
          <w:tcPr>
            <w:tcW w:w="591" w:type="pct"/>
            <w:vMerge w:val="restart"/>
            <w:tcBorders>
              <w:top w:val="single" w:sz="24" w:space="0" w:color="FFFFFF"/>
              <w:left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476" w:type="pct"/>
            <w:gridSpan w:val="2"/>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PM</w:t>
            </w:r>
          </w:p>
        </w:tc>
        <w:tc>
          <w:tcPr>
            <w:tcW w:w="2963" w:type="pct"/>
            <w:gridSpan w:val="3"/>
            <w:vMerge w:val="restart"/>
            <w:tcBorders>
              <w:top w:val="single" w:sz="8" w:space="0" w:color="FFFFFF"/>
              <w:left w:val="single" w:sz="8" w:space="0" w:color="FFFFFF"/>
              <w:right w:val="single" w:sz="8" w:space="0" w:color="FFFFFF"/>
            </w:tcBorders>
            <w:shd w:val="clear" w:color="auto" w:fill="D0D8E8"/>
          </w:tcPr>
          <w:p w:rsidR="00200BBF" w:rsidRPr="00551726" w:rsidRDefault="00200BBF" w:rsidP="00B72FA2">
            <w:pPr>
              <w:pStyle w:val="ListParagraph"/>
              <w:numPr>
                <w:ilvl w:val="0"/>
                <w:numId w:val="27"/>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The reasons for applying for postponement are based on the time it will take Sasol Infrachem to complete technical investigations, approve and fully implement the intervention needed to reduce the exit gas temperature to below 200ºC, to comply with the MES.</w:t>
            </w:r>
          </w:p>
          <w:p w:rsidR="00200BBF" w:rsidRPr="00551726" w:rsidRDefault="00200BBF" w:rsidP="00B72FA2">
            <w:pPr>
              <w:pStyle w:val="ListParagraph"/>
              <w:numPr>
                <w:ilvl w:val="0"/>
                <w:numId w:val="27"/>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Mitigating risks of dioxin formation from higher exit gas temperatures</w:t>
            </w:r>
          </w:p>
          <w:p w:rsidR="00200BBF" w:rsidRPr="00551726" w:rsidRDefault="00200BBF" w:rsidP="00B72FA2">
            <w:pPr>
              <w:pStyle w:val="ListParagraph"/>
              <w:numPr>
                <w:ilvl w:val="0"/>
                <w:numId w:val="27"/>
              </w:numPr>
              <w:overflowPunct w:val="0"/>
              <w:rPr>
                <w:rFonts w:ascii="Arial" w:hAnsi="Arial" w:cs="Arial"/>
                <w:bCs/>
                <w:color w:val="000000"/>
                <w:kern w:val="24"/>
                <w:sz w:val="20"/>
                <w:szCs w:val="20"/>
                <w:lang w:eastAsia="en-GB"/>
              </w:rPr>
            </w:pPr>
            <w:r w:rsidRPr="00551726">
              <w:rPr>
                <w:rFonts w:ascii="Arial" w:hAnsi="Arial" w:cs="Arial"/>
                <w:bCs/>
                <w:color w:val="000000"/>
                <w:kern w:val="24"/>
                <w:sz w:val="20"/>
                <w:szCs w:val="20"/>
                <w:lang w:eastAsia="en-GB"/>
              </w:rPr>
              <w:t xml:space="preserve">Technology options and development schedule for compliance with special arrangement for Incinerator B6990: In the current plant configuration there are significant space constraints around the Thermal Oxidation plant, which may materially impact on Sasol Infrachem’s ability to retrofit incinerator B6990 with either waste heat recovery or quench. This would potentially influence the technologies that may be considered, and may place constraints on practicable implementation of any technologies for this purpose. This is one reason why retrofits to an existing </w:t>
            </w:r>
            <w:r w:rsidRPr="00551726">
              <w:rPr>
                <w:rFonts w:ascii="Arial" w:hAnsi="Arial" w:cs="Arial"/>
                <w:bCs/>
                <w:color w:val="000000"/>
                <w:kern w:val="24"/>
                <w:sz w:val="20"/>
                <w:szCs w:val="20"/>
                <w:lang w:eastAsia="en-GB"/>
              </w:rPr>
              <w:lastRenderedPageBreak/>
              <w:t>brownfields operation are considerably more challenging than building a new greenfields plant.</w:t>
            </w:r>
          </w:p>
        </w:tc>
      </w:tr>
      <w:tr w:rsidR="00200BBF" w:rsidRPr="00551726" w:rsidTr="00200BBF">
        <w:trPr>
          <w:trHeight w:val="326"/>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465" w:type="pct"/>
            <w:vMerge/>
            <w:tcBorders>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591" w:type="pct"/>
            <w:vMerge/>
            <w:tcBorders>
              <w:left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476" w:type="pct"/>
            <w:gridSpan w:val="2"/>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2963" w:type="pct"/>
            <w:gridSpan w:val="3"/>
            <w:vMerge/>
            <w:tcBorders>
              <w:left w:val="single" w:sz="8" w:space="0" w:color="FFFFFF"/>
              <w:right w:val="single" w:sz="8" w:space="0" w:color="FFFFFF"/>
            </w:tcBorders>
            <w:shd w:val="clear" w:color="auto" w:fill="D0D8E8"/>
          </w:tcPr>
          <w:p w:rsidR="00200BBF" w:rsidRPr="00551726" w:rsidRDefault="00200BBF" w:rsidP="00200BBF">
            <w:pPr>
              <w:overflowPunct w:val="0"/>
              <w:rPr>
                <w:rFonts w:ascii="Arial" w:hAnsi="Arial" w:cs="Arial"/>
                <w:b/>
                <w:bCs/>
                <w:color w:val="000000"/>
                <w:kern w:val="24"/>
                <w:sz w:val="20"/>
                <w:szCs w:val="20"/>
                <w:lang w:eastAsia="en-GB"/>
              </w:rPr>
            </w:pPr>
          </w:p>
        </w:tc>
      </w:tr>
      <w:tr w:rsidR="00200BBF" w:rsidRPr="00551726" w:rsidTr="00200BBF">
        <w:trPr>
          <w:trHeight w:val="43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465" w:type="pct"/>
            <w:vMerge/>
            <w:tcBorders>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591" w:type="pct"/>
            <w:vMerge/>
            <w:tcBorders>
              <w:left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476" w:type="pct"/>
            <w:gridSpan w:val="2"/>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NO</w:t>
            </w:r>
            <w:r w:rsidRPr="00551726">
              <w:rPr>
                <w:rFonts w:ascii="Arial" w:hAnsi="Arial" w:cs="Arial"/>
                <w:b/>
                <w:bCs/>
                <w:kern w:val="24"/>
                <w:position w:val="-9"/>
                <w:sz w:val="20"/>
                <w:szCs w:val="20"/>
                <w:vertAlign w:val="subscript"/>
              </w:rPr>
              <w:t>X</w:t>
            </w:r>
          </w:p>
        </w:tc>
        <w:tc>
          <w:tcPr>
            <w:tcW w:w="2963" w:type="pct"/>
            <w:gridSpan w:val="3"/>
            <w:vMerge/>
            <w:tcBorders>
              <w:left w:val="single" w:sz="8" w:space="0" w:color="FFFFFF"/>
              <w:right w:val="single" w:sz="8" w:space="0" w:color="FFFFFF"/>
            </w:tcBorders>
            <w:shd w:val="clear" w:color="auto" w:fill="D0D8E8"/>
          </w:tcPr>
          <w:p w:rsidR="00200BBF" w:rsidRPr="00551726" w:rsidRDefault="00200BBF" w:rsidP="00200BBF">
            <w:pPr>
              <w:overflowPunct w:val="0"/>
              <w:rPr>
                <w:rFonts w:ascii="Arial" w:hAnsi="Arial" w:cs="Arial"/>
                <w:b/>
                <w:bCs/>
                <w:color w:val="000000"/>
                <w:kern w:val="24"/>
                <w:sz w:val="20"/>
                <w:szCs w:val="20"/>
                <w:lang w:eastAsia="en-GB"/>
              </w:rPr>
            </w:pPr>
          </w:p>
        </w:tc>
      </w:tr>
      <w:tr w:rsidR="00200BBF" w:rsidRPr="00551726" w:rsidTr="00200BBF">
        <w:trPr>
          <w:trHeight w:val="400"/>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465" w:type="pct"/>
            <w:vMerge/>
            <w:tcBorders>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591" w:type="pct"/>
            <w:vMerge/>
            <w:tcBorders>
              <w:left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476" w:type="pct"/>
            <w:gridSpan w:val="2"/>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HM</w:t>
            </w:r>
          </w:p>
        </w:tc>
        <w:tc>
          <w:tcPr>
            <w:tcW w:w="2963" w:type="pct"/>
            <w:gridSpan w:val="3"/>
            <w:vMerge/>
            <w:tcBorders>
              <w:left w:val="single" w:sz="8" w:space="0" w:color="FFFFFF"/>
              <w:right w:val="single" w:sz="8" w:space="0" w:color="FFFFFF"/>
            </w:tcBorders>
            <w:shd w:val="clear" w:color="auto" w:fill="D0D8E8"/>
          </w:tcPr>
          <w:p w:rsidR="00200BBF" w:rsidRPr="00551726" w:rsidRDefault="00200BBF" w:rsidP="00200BBF">
            <w:pPr>
              <w:overflowPunct w:val="0"/>
              <w:rPr>
                <w:rFonts w:ascii="Arial" w:hAnsi="Arial" w:cs="Arial"/>
                <w:b/>
                <w:bCs/>
                <w:color w:val="000000"/>
                <w:kern w:val="24"/>
                <w:sz w:val="20"/>
                <w:szCs w:val="20"/>
                <w:lang w:eastAsia="en-GB"/>
              </w:rPr>
            </w:pPr>
          </w:p>
        </w:tc>
      </w:tr>
      <w:tr w:rsidR="00200BBF" w:rsidRPr="00551726" w:rsidTr="00200BBF">
        <w:trPr>
          <w:trHeight w:val="366"/>
        </w:trPr>
        <w:tc>
          <w:tcPr>
            <w:tcW w:w="505" w:type="pct"/>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465" w:type="pct"/>
            <w:vMerge/>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rPr>
                <w:rFonts w:ascii="Arial" w:hAnsi="Arial" w:cs="Arial"/>
                <w:color w:val="000000" w:themeColor="dark1"/>
                <w:kern w:val="24"/>
                <w:sz w:val="20"/>
                <w:szCs w:val="20"/>
                <w:lang w:eastAsia="en-GB"/>
              </w:rPr>
            </w:pPr>
          </w:p>
        </w:tc>
        <w:tc>
          <w:tcPr>
            <w:tcW w:w="591" w:type="pct"/>
            <w:vMerge/>
            <w:tcBorders>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overflowPunct w:val="0"/>
              <w:rPr>
                <w:rFonts w:ascii="Arial" w:hAnsi="Arial" w:cs="Arial"/>
                <w:color w:val="000000" w:themeColor="dark1"/>
                <w:kern w:val="24"/>
                <w:sz w:val="20"/>
                <w:szCs w:val="20"/>
                <w:lang w:val="en-ZA" w:eastAsia="en-GB"/>
              </w:rPr>
            </w:pPr>
          </w:p>
        </w:tc>
        <w:tc>
          <w:tcPr>
            <w:tcW w:w="476" w:type="pct"/>
            <w:gridSpan w:val="2"/>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TOC</w:t>
            </w:r>
          </w:p>
        </w:tc>
        <w:tc>
          <w:tcPr>
            <w:tcW w:w="2963" w:type="pct"/>
            <w:gridSpan w:val="3"/>
            <w:vMerge/>
            <w:tcBorders>
              <w:left w:val="single" w:sz="8" w:space="0" w:color="FFFFFF"/>
              <w:right w:val="single" w:sz="8" w:space="0" w:color="FFFFFF"/>
            </w:tcBorders>
            <w:shd w:val="clear" w:color="auto" w:fill="D0D8E8"/>
          </w:tcPr>
          <w:p w:rsidR="00200BBF" w:rsidRPr="00551726" w:rsidRDefault="00200BBF" w:rsidP="00200BBF">
            <w:pPr>
              <w:overflowPunct w:val="0"/>
              <w:rPr>
                <w:rFonts w:ascii="Arial" w:hAnsi="Arial" w:cs="Arial"/>
                <w:b/>
                <w:bCs/>
                <w:color w:val="000000"/>
                <w:kern w:val="24"/>
                <w:sz w:val="20"/>
                <w:szCs w:val="20"/>
                <w:lang w:eastAsia="en-GB"/>
              </w:rPr>
            </w:pPr>
          </w:p>
        </w:tc>
      </w:tr>
      <w:tr w:rsidR="00200BBF" w:rsidRPr="00551726" w:rsidTr="00200BBF">
        <w:trPr>
          <w:trHeight w:val="161"/>
        </w:trPr>
        <w:tc>
          <w:tcPr>
            <w:tcW w:w="505" w:type="pct"/>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8.1: </w:t>
            </w:r>
            <w:r w:rsidRPr="00551726">
              <w:rPr>
                <w:rFonts w:ascii="Arial" w:hAnsi="Arial" w:cs="Arial"/>
                <w:kern w:val="24"/>
                <w:sz w:val="20"/>
                <w:szCs w:val="20"/>
              </w:rPr>
              <w:t xml:space="preserve">Thermal </w:t>
            </w:r>
            <w:r w:rsidRPr="00551726">
              <w:rPr>
                <w:rFonts w:ascii="Arial" w:hAnsi="Arial" w:cs="Arial"/>
                <w:kern w:val="24"/>
                <w:sz w:val="20"/>
                <w:szCs w:val="20"/>
              </w:rPr>
              <w:lastRenderedPageBreak/>
              <w:t>Treatment of Hazardous &amp; General Waste</w:t>
            </w:r>
          </w:p>
        </w:tc>
        <w:tc>
          <w:tcPr>
            <w:tcW w:w="465" w:type="pct"/>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lastRenderedPageBreak/>
              <w:t>Incinerator B6990</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 xml:space="preserve">(Sasol </w:t>
            </w:r>
            <w:r w:rsidRPr="00551726">
              <w:rPr>
                <w:rFonts w:ascii="Arial" w:hAnsi="Arial" w:cs="Arial"/>
                <w:b/>
                <w:bCs/>
                <w:kern w:val="24"/>
                <w:sz w:val="20"/>
                <w:szCs w:val="20"/>
              </w:rPr>
              <w:lastRenderedPageBreak/>
              <w:t>Infrachem)</w:t>
            </w:r>
          </w:p>
        </w:tc>
        <w:tc>
          <w:tcPr>
            <w:tcW w:w="591" w:type="pct"/>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lastRenderedPageBreak/>
              <w:t>2015-2020</w:t>
            </w: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PM</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NOx</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HF</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HM</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Hg</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Cd * Ta</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D &amp; F</w:t>
            </w:r>
          </w:p>
        </w:tc>
        <w:tc>
          <w:tcPr>
            <w:tcW w:w="2963" w:type="pct"/>
            <w:gridSpan w:val="3"/>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47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TOC</w:t>
            </w:r>
          </w:p>
        </w:tc>
        <w:tc>
          <w:tcPr>
            <w:tcW w:w="2963" w:type="pct"/>
            <w:gridSpan w:val="3"/>
            <w:vMerge/>
            <w:tcBorders>
              <w:left w:val="single" w:sz="8" w:space="0" w:color="FFFFFF"/>
              <w:bottom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54"/>
        </w:trPr>
        <w:tc>
          <w:tcPr>
            <w:tcW w:w="505" w:type="pct"/>
            <w:vMerge/>
            <w:tcBorders>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03" w:type="pct"/>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eastAsiaTheme="minorEastAsia" w:hAnsi="Arial" w:cs="Arial"/>
                <w:bCs/>
                <w:color w:val="000000" w:themeColor="dark1"/>
                <w:kern w:val="24"/>
                <w:sz w:val="20"/>
                <w:szCs w:val="20"/>
              </w:rPr>
            </w:pPr>
            <w:r w:rsidRPr="00551726">
              <w:rPr>
                <w:rFonts w:ascii="Arial" w:eastAsiaTheme="minorEastAsia" w:hAnsi="Arial" w:cs="Arial"/>
                <w:bCs/>
                <w:color w:val="000000" w:themeColor="dark1"/>
                <w:kern w:val="24"/>
                <w:sz w:val="20"/>
                <w:szCs w:val="20"/>
              </w:rPr>
              <w:t>Exit gas</w:t>
            </w:r>
          </w:p>
          <w:p w:rsidR="00200BBF" w:rsidRPr="00551726" w:rsidRDefault="00200BBF" w:rsidP="00200BBF">
            <w:pPr>
              <w:pStyle w:val="NormalWeb"/>
              <w:overflowPunct w:val="0"/>
              <w:spacing w:before="0" w:beforeAutospacing="0" w:after="0" w:afterAutospacing="0"/>
              <w:rPr>
                <w:rFonts w:ascii="Arial" w:eastAsiaTheme="minorEastAsia" w:hAnsi="Arial" w:cs="Arial"/>
                <w:bCs/>
                <w:color w:val="000000" w:themeColor="dark1"/>
                <w:kern w:val="24"/>
                <w:sz w:val="20"/>
                <w:szCs w:val="20"/>
              </w:rPr>
            </w:pPr>
            <w:r w:rsidRPr="00551726">
              <w:rPr>
                <w:rFonts w:ascii="Arial" w:eastAsiaTheme="minorEastAsia" w:hAnsi="Arial" w:cs="Arial"/>
                <w:bCs/>
                <w:color w:val="000000" w:themeColor="dark1"/>
                <w:kern w:val="24"/>
                <w:sz w:val="20"/>
                <w:szCs w:val="20"/>
              </w:rPr>
              <w:t>temperatures</w:t>
            </w:r>
          </w:p>
          <w:p w:rsidR="00200BBF" w:rsidRPr="00551726" w:rsidRDefault="00200BBF" w:rsidP="00200BBF">
            <w:pPr>
              <w:pStyle w:val="NormalWeb"/>
              <w:overflowPunct w:val="0"/>
              <w:spacing w:before="0" w:beforeAutospacing="0" w:after="0" w:afterAutospacing="0"/>
              <w:rPr>
                <w:rFonts w:ascii="Arial" w:eastAsiaTheme="minorEastAsia" w:hAnsi="Arial" w:cs="Arial"/>
                <w:bCs/>
                <w:color w:val="000000" w:themeColor="dark1"/>
                <w:kern w:val="24"/>
                <w:sz w:val="20"/>
                <w:szCs w:val="20"/>
              </w:rPr>
            </w:pPr>
            <w:r w:rsidRPr="00551726">
              <w:rPr>
                <w:rFonts w:ascii="Arial" w:eastAsiaTheme="minorEastAsia" w:hAnsi="Arial" w:cs="Arial"/>
                <w:bCs/>
                <w:color w:val="000000" w:themeColor="dark1"/>
                <w:kern w:val="24"/>
                <w:sz w:val="20"/>
                <w:szCs w:val="20"/>
              </w:rPr>
              <w:t>must be</w:t>
            </w:r>
          </w:p>
          <w:p w:rsidR="00200BBF" w:rsidRPr="00551726" w:rsidRDefault="00200BBF" w:rsidP="00200BBF">
            <w:pPr>
              <w:pStyle w:val="NormalWeb"/>
              <w:overflowPunct w:val="0"/>
              <w:spacing w:before="0" w:beforeAutospacing="0" w:after="0" w:afterAutospacing="0"/>
              <w:rPr>
                <w:rFonts w:ascii="Arial" w:eastAsiaTheme="minorEastAsia" w:hAnsi="Arial" w:cs="Arial"/>
                <w:bCs/>
                <w:color w:val="000000" w:themeColor="dark1"/>
                <w:kern w:val="24"/>
                <w:sz w:val="20"/>
                <w:szCs w:val="20"/>
              </w:rPr>
            </w:pPr>
            <w:r w:rsidRPr="00551726">
              <w:rPr>
                <w:rFonts w:ascii="Arial" w:eastAsiaTheme="minorEastAsia" w:hAnsi="Arial" w:cs="Arial"/>
                <w:bCs/>
                <w:color w:val="000000" w:themeColor="dark1"/>
                <w:kern w:val="24"/>
                <w:sz w:val="20"/>
                <w:szCs w:val="20"/>
              </w:rPr>
              <w:t>maintained</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eastAsiaTheme="minorEastAsia" w:hAnsi="Arial" w:cs="Arial"/>
                <w:bCs/>
                <w:color w:val="000000" w:themeColor="dark1"/>
                <w:kern w:val="24"/>
                <w:sz w:val="20"/>
                <w:szCs w:val="20"/>
              </w:rPr>
              <w:t>below 200ºC</w:t>
            </w:r>
          </w:p>
        </w:tc>
        <w:tc>
          <w:tcPr>
            <w:tcW w:w="2936" w:type="pct"/>
            <w:gridSpan w:val="2"/>
            <w:tcBorders>
              <w:top w:val="single" w:sz="8" w:space="0" w:color="FFFFFF"/>
              <w:left w:val="single" w:sz="8" w:space="0" w:color="FFFFFF"/>
              <w:bottom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20"/>
        </w:trPr>
        <w:tc>
          <w:tcPr>
            <w:tcW w:w="505" w:type="pct"/>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8.1: </w:t>
            </w:r>
            <w:r w:rsidRPr="00551726">
              <w:rPr>
                <w:rFonts w:ascii="Arial" w:hAnsi="Arial" w:cs="Arial"/>
                <w:kern w:val="24"/>
                <w:sz w:val="20"/>
                <w:szCs w:val="20"/>
              </w:rPr>
              <w:t>Thermal Treatment of Hazardous &amp; General Waste</w:t>
            </w:r>
          </w:p>
        </w:tc>
        <w:tc>
          <w:tcPr>
            <w:tcW w:w="465" w:type="pct"/>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B6993</w:t>
            </w:r>
          </w:p>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(Sasol Infrachem)</w:t>
            </w:r>
          </w:p>
        </w:tc>
        <w:tc>
          <w:tcPr>
            <w:tcW w:w="591" w:type="pct"/>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PM</w:t>
            </w:r>
          </w:p>
        </w:tc>
        <w:tc>
          <w:tcPr>
            <w:tcW w:w="2928" w:type="pct"/>
            <w:vMerge w:val="restart"/>
            <w:tcBorders>
              <w:top w:val="single" w:sz="8" w:space="0" w:color="FFFFFF"/>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7"/>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CO</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7"/>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jc w:val="both"/>
              <w:rPr>
                <w:rFonts w:ascii="Arial" w:hAnsi="Arial" w:cs="Arial"/>
                <w:sz w:val="20"/>
                <w:szCs w:val="20"/>
              </w:rPr>
            </w:pPr>
            <w:r w:rsidRPr="00551726">
              <w:rPr>
                <w:rFonts w:ascii="Arial" w:hAnsi="Arial" w:cs="Arial"/>
                <w:b/>
                <w:bCs/>
                <w:kern w:val="24"/>
                <w:sz w:val="20"/>
                <w:szCs w:val="20"/>
              </w:rPr>
              <w:t>NOx</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7"/>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HCl</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7"/>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HF</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117"/>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HMs</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314"/>
        </w:trPr>
        <w:tc>
          <w:tcPr>
            <w:tcW w:w="505" w:type="pct"/>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1.1: </w:t>
            </w:r>
            <w:r w:rsidRPr="00551726">
              <w:rPr>
                <w:rFonts w:ascii="Arial" w:hAnsi="Arial" w:cs="Arial"/>
                <w:kern w:val="24"/>
                <w:sz w:val="20"/>
                <w:szCs w:val="20"/>
              </w:rPr>
              <w:t>Solid Fuel Combustion Installations</w:t>
            </w:r>
          </w:p>
        </w:tc>
        <w:tc>
          <w:tcPr>
            <w:tcW w:w="465" w:type="pct"/>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Steam Station 1</w:t>
            </w:r>
          </w:p>
        </w:tc>
        <w:tc>
          <w:tcPr>
            <w:tcW w:w="591" w:type="pct"/>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PM</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313"/>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313"/>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NOx</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314"/>
        </w:trPr>
        <w:tc>
          <w:tcPr>
            <w:tcW w:w="505" w:type="pct"/>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1.1: </w:t>
            </w:r>
            <w:r w:rsidRPr="00551726">
              <w:rPr>
                <w:rFonts w:ascii="Arial" w:hAnsi="Arial" w:cs="Arial"/>
                <w:kern w:val="24"/>
                <w:sz w:val="20"/>
                <w:szCs w:val="20"/>
              </w:rPr>
              <w:t>Solid Fuel Combustion Installations</w:t>
            </w:r>
          </w:p>
        </w:tc>
        <w:tc>
          <w:tcPr>
            <w:tcW w:w="465" w:type="pct"/>
            <w:vMerge w:val="restar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Steam Station 2</w:t>
            </w:r>
          </w:p>
        </w:tc>
        <w:tc>
          <w:tcPr>
            <w:tcW w:w="591" w:type="pct"/>
            <w:vMerge w:val="restar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2015-2020</w:t>
            </w: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PM</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491"/>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313"/>
        </w:trPr>
        <w:tc>
          <w:tcPr>
            <w:tcW w:w="505" w:type="pct"/>
            <w:vMerge/>
            <w:tcBorders>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vMerge/>
            <w:tcBorders>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NOx</w:t>
            </w:r>
          </w:p>
        </w:tc>
        <w:tc>
          <w:tcPr>
            <w:tcW w:w="2928" w:type="pct"/>
            <w:vMerge/>
            <w:tcBorders>
              <w:left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r w:rsidR="00200BBF" w:rsidRPr="00551726" w:rsidTr="00200BBF">
        <w:trPr>
          <w:trHeight w:val="560"/>
        </w:trPr>
        <w:tc>
          <w:tcPr>
            <w:tcW w:w="505" w:type="pc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bCs/>
                <w:kern w:val="24"/>
                <w:sz w:val="20"/>
                <w:szCs w:val="20"/>
              </w:rPr>
            </w:pPr>
          </w:p>
        </w:tc>
        <w:tc>
          <w:tcPr>
            <w:tcW w:w="465" w:type="pct"/>
            <w:tcBorders>
              <w:top w:val="single" w:sz="8" w:space="0" w:color="FFFFFF"/>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91" w:type="pct"/>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511" w:type="pct"/>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rPr>
                <w:rFonts w:ascii="Arial" w:hAnsi="Arial" w:cs="Arial"/>
                <w:b/>
                <w:bCs/>
                <w:kern w:val="24"/>
                <w:sz w:val="20"/>
                <w:szCs w:val="20"/>
              </w:rPr>
            </w:pPr>
          </w:p>
        </w:tc>
        <w:tc>
          <w:tcPr>
            <w:tcW w:w="2928" w:type="pct"/>
            <w:vMerge/>
            <w:tcBorders>
              <w:left w:val="single" w:sz="8" w:space="0" w:color="FFFFFF"/>
              <w:bottom w:val="single" w:sz="8" w:space="0" w:color="FFFFFF"/>
              <w:right w:val="single" w:sz="8" w:space="0" w:color="FFFFFF"/>
            </w:tcBorders>
            <w:shd w:val="clear" w:color="auto" w:fill="E9EDF4"/>
          </w:tcPr>
          <w:p w:rsidR="00200BBF" w:rsidRPr="00551726" w:rsidRDefault="00200BBF" w:rsidP="00200BBF">
            <w:pPr>
              <w:overflowPunct w:val="0"/>
              <w:rPr>
                <w:rFonts w:ascii="Arial" w:hAnsi="Arial" w:cs="Arial"/>
                <w:b/>
                <w:bCs/>
                <w:color w:val="000000"/>
                <w:kern w:val="24"/>
                <w:sz w:val="20"/>
                <w:szCs w:val="20"/>
                <w:lang w:val="en-ZA" w:eastAsia="en-GB"/>
              </w:rPr>
            </w:pPr>
          </w:p>
        </w:tc>
      </w:tr>
    </w:tbl>
    <w:p w:rsidR="00200BBF" w:rsidRPr="00551726" w:rsidRDefault="00200BBF" w:rsidP="00200BBF">
      <w:pPr>
        <w:rPr>
          <w:rFonts w:ascii="Arial" w:hAnsi="Arial" w:cs="Arial"/>
          <w:sz w:val="20"/>
          <w:szCs w:val="20"/>
        </w:rPr>
      </w:pPr>
    </w:p>
    <w:p w:rsidR="00200BBF" w:rsidRPr="00551726" w:rsidRDefault="00200BBF" w:rsidP="00200BBF">
      <w:pPr>
        <w:pStyle w:val="Heading3"/>
        <w:rPr>
          <w:rFonts w:cs="Arial"/>
          <w:sz w:val="20"/>
        </w:rPr>
      </w:pPr>
      <w:r w:rsidRPr="00551726">
        <w:rPr>
          <w:rFonts w:cs="Arial"/>
          <w:sz w:val="20"/>
        </w:rPr>
        <w:lastRenderedPageBreak/>
        <w:t>Sasol NatRef, ## District Municipality, &amp;&amp; Province</w:t>
      </w:r>
    </w:p>
    <w:p w:rsidR="00200BBF" w:rsidRPr="00551726" w:rsidRDefault="00200BBF" w:rsidP="00200BBF">
      <w:pPr>
        <w:rPr>
          <w:rFonts w:ascii="Arial" w:hAnsi="Arial" w:cs="Arial"/>
          <w:sz w:val="20"/>
          <w:szCs w:val="20"/>
        </w:rPr>
      </w:pPr>
    </w:p>
    <w:tbl>
      <w:tblPr>
        <w:tblpPr w:leftFromText="180" w:rightFromText="180" w:vertAnchor="text" w:tblpY="1"/>
        <w:tblOverlap w:val="never"/>
        <w:tblW w:w="28843" w:type="dxa"/>
        <w:tblCellMar>
          <w:left w:w="0" w:type="dxa"/>
          <w:right w:w="0" w:type="dxa"/>
        </w:tblCellMar>
        <w:tblLook w:val="04A0"/>
      </w:tblPr>
      <w:tblGrid>
        <w:gridCol w:w="1981"/>
        <w:gridCol w:w="1648"/>
        <w:gridCol w:w="1724"/>
        <w:gridCol w:w="1300"/>
        <w:gridCol w:w="7538"/>
        <w:gridCol w:w="1841"/>
        <w:gridCol w:w="3043"/>
        <w:gridCol w:w="4884"/>
        <w:gridCol w:w="4884"/>
      </w:tblGrid>
      <w:tr w:rsidR="00200BBF" w:rsidRPr="00551726" w:rsidTr="00200BBF">
        <w:trPr>
          <w:gridAfter w:val="3"/>
          <w:wAfter w:w="12811" w:type="dxa"/>
          <w:trHeight w:val="548"/>
          <w:tblHeader/>
        </w:trPr>
        <w:tc>
          <w:tcPr>
            <w:tcW w:w="198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Category</w:t>
            </w:r>
          </w:p>
        </w:tc>
        <w:tc>
          <w:tcPr>
            <w:tcW w:w="16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Appliance</w:t>
            </w:r>
          </w:p>
        </w:tc>
        <w:tc>
          <w:tcPr>
            <w:tcW w:w="17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eastAsia="en-GB"/>
              </w:rPr>
              <w:t>Postponement Period Sought</w:t>
            </w:r>
          </w:p>
        </w:tc>
        <w:tc>
          <w:tcPr>
            <w:tcW w:w="13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overflowPunct w:val="0"/>
              <w:jc w:val="center"/>
              <w:rPr>
                <w:rFonts w:ascii="Arial" w:hAnsi="Arial" w:cs="Arial"/>
                <w:b/>
                <w:bCs/>
                <w:color w:val="FFFFFF"/>
                <w:kern w:val="24"/>
                <w:sz w:val="20"/>
                <w:szCs w:val="20"/>
                <w:lang w:eastAsia="en-GB"/>
              </w:rPr>
            </w:pPr>
            <w:r w:rsidRPr="00551726">
              <w:rPr>
                <w:rFonts w:ascii="Arial" w:hAnsi="Arial" w:cs="Arial"/>
                <w:b/>
                <w:bCs/>
                <w:kern w:val="24"/>
                <w:sz w:val="20"/>
                <w:szCs w:val="20"/>
                <w:lang w:eastAsia="en-GB"/>
              </w:rPr>
              <w:t>Pollutant</w:t>
            </w:r>
          </w:p>
        </w:tc>
        <w:tc>
          <w:tcPr>
            <w:tcW w:w="7538" w:type="dxa"/>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overflowPunct w:val="0"/>
              <w:jc w:val="center"/>
              <w:rPr>
                <w:rFonts w:ascii="Arial" w:hAnsi="Arial" w:cs="Arial"/>
                <w:b/>
                <w:bCs/>
                <w:color w:val="FFFFFF"/>
                <w:kern w:val="24"/>
                <w:sz w:val="20"/>
                <w:szCs w:val="20"/>
                <w:lang w:eastAsia="en-GB"/>
              </w:rPr>
            </w:pPr>
            <w:r w:rsidRPr="00551726">
              <w:rPr>
                <w:rFonts w:ascii="Arial" w:hAnsi="Arial" w:cs="Arial"/>
                <w:b/>
                <w:bCs/>
                <w:sz w:val="20"/>
                <w:szCs w:val="20"/>
              </w:rPr>
              <w:t>Justification &amp; Reasons for Postponement Application</w:t>
            </w:r>
          </w:p>
        </w:tc>
        <w:tc>
          <w:tcPr>
            <w:tcW w:w="1841" w:type="dxa"/>
            <w:vAlign w:val="center"/>
          </w:tcPr>
          <w:p w:rsidR="00200BBF" w:rsidRPr="00551726" w:rsidRDefault="00200BBF" w:rsidP="00200BBF">
            <w:pPr>
              <w:overflowPunct w:val="0"/>
              <w:jc w:val="center"/>
              <w:rPr>
                <w:rFonts w:ascii="Arial" w:hAnsi="Arial" w:cs="Arial"/>
                <w:b/>
                <w:bCs/>
                <w:color w:val="FFFFFF"/>
                <w:kern w:val="24"/>
                <w:sz w:val="20"/>
                <w:szCs w:val="20"/>
                <w:lang w:eastAsia="en-GB"/>
              </w:rPr>
            </w:pPr>
          </w:p>
        </w:tc>
      </w:tr>
      <w:tr w:rsidR="00200BBF" w:rsidRPr="00551726" w:rsidTr="00200BBF">
        <w:trPr>
          <w:gridAfter w:val="4"/>
          <w:wAfter w:w="14652" w:type="dxa"/>
          <w:trHeight w:val="1548"/>
        </w:trPr>
        <w:tc>
          <w:tcPr>
            <w:tcW w:w="198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t xml:space="preserve">Subcategory 1.2: </w:t>
            </w:r>
            <w:r w:rsidRPr="00551726">
              <w:rPr>
                <w:rFonts w:ascii="Arial" w:hAnsi="Arial" w:cs="Arial"/>
                <w:kern w:val="24"/>
                <w:sz w:val="20"/>
                <w:szCs w:val="20"/>
                <w:lang w:eastAsia="en-GB"/>
              </w:rPr>
              <w:t xml:space="preserve">Liquid Fuel Combustion Installation </w:t>
            </w:r>
          </w:p>
        </w:tc>
        <w:tc>
          <w:tcPr>
            <w:tcW w:w="164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eastAsia="en-GB"/>
              </w:rPr>
              <w:t>Fuel oil fired</w:t>
            </w:r>
          </w:p>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eastAsia="en-GB"/>
              </w:rPr>
              <w:t>boilers</w:t>
            </w:r>
          </w:p>
        </w:tc>
        <w:tc>
          <w:tcPr>
            <w:tcW w:w="172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2015-2020</w:t>
            </w:r>
          </w:p>
        </w:tc>
        <w:tc>
          <w:tcPr>
            <w:tcW w:w="1300" w:type="dxa"/>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eastAsia="en-GB"/>
              </w:rPr>
              <w:t>NOx</w:t>
            </w:r>
          </w:p>
        </w:tc>
        <w:tc>
          <w:tcPr>
            <w:tcW w:w="7538" w:type="dxa"/>
            <w:vMerge w:val="restart"/>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B72FA2">
            <w:pPr>
              <w:pStyle w:val="ListParagraph"/>
              <w:numPr>
                <w:ilvl w:val="0"/>
                <w:numId w:val="28"/>
              </w:numPr>
              <w:overflowPunct w:val="0"/>
              <w:spacing w:line="360" w:lineRule="auto"/>
              <w:rPr>
                <w:rFonts w:ascii="Arial" w:hAnsi="Arial" w:cs="Arial"/>
                <w:bCs/>
                <w:kern w:val="24"/>
                <w:sz w:val="20"/>
                <w:szCs w:val="20"/>
                <w:lang w:val="en-ZA" w:eastAsia="en-GB"/>
              </w:rPr>
            </w:pPr>
            <w:r w:rsidRPr="00551726">
              <w:rPr>
                <w:rFonts w:ascii="Arial" w:hAnsi="Arial" w:cs="Arial"/>
                <w:bCs/>
                <w:kern w:val="24"/>
                <w:sz w:val="20"/>
                <w:szCs w:val="20"/>
                <w:lang w:val="en-ZA" w:eastAsia="en-GB"/>
              </w:rPr>
              <w:t xml:space="preserve">Natrefs environmental management philosophy: this has been achieved thorough environmental improvements over the past 15 years; </w:t>
            </w:r>
            <w:r w:rsidRPr="00551726">
              <w:rPr>
                <w:rFonts w:ascii="Arial" w:hAnsi="Arial" w:cs="Arial"/>
                <w:sz w:val="20"/>
                <w:szCs w:val="20"/>
              </w:rPr>
              <w:t>through its commitments to</w:t>
            </w:r>
            <w:r w:rsidRPr="00551726">
              <w:rPr>
                <w:rFonts w:ascii="Arial" w:hAnsi="Arial" w:cs="Arial"/>
                <w:bCs/>
                <w:kern w:val="24"/>
                <w:sz w:val="20"/>
                <w:szCs w:val="20"/>
                <w:lang w:val="en-ZA" w:eastAsia="en-GB"/>
              </w:rPr>
              <w:t xml:space="preserve"> VTAPA Air Quality Management Plan that articulates a requirement for reduced SO</w:t>
            </w:r>
            <w:r w:rsidRPr="00551726">
              <w:rPr>
                <w:rFonts w:ascii="Arial" w:hAnsi="Arial" w:cs="Arial"/>
                <w:bCs/>
                <w:kern w:val="24"/>
                <w:sz w:val="20"/>
                <w:szCs w:val="20"/>
                <w:vertAlign w:val="subscript"/>
                <w:lang w:val="en-ZA" w:eastAsia="en-GB"/>
              </w:rPr>
              <w:t>2</w:t>
            </w:r>
            <w:r w:rsidRPr="00551726">
              <w:rPr>
                <w:rFonts w:ascii="Arial" w:hAnsi="Arial" w:cs="Arial"/>
                <w:bCs/>
                <w:kern w:val="24"/>
                <w:sz w:val="20"/>
                <w:szCs w:val="20"/>
                <w:lang w:val="en-ZA" w:eastAsia="en-GB"/>
              </w:rPr>
              <w:t xml:space="preserve"> emissions from Natref to facilitate air quality improvements in the local airshed; through its commitments to comply </w:t>
            </w:r>
            <w:r w:rsidRPr="00551726">
              <w:rPr>
                <w:rFonts w:ascii="Arial" w:hAnsi="Arial" w:cs="Arial"/>
                <w:sz w:val="20"/>
                <w:szCs w:val="20"/>
              </w:rPr>
              <w:t xml:space="preserve"> </w:t>
            </w:r>
            <w:r w:rsidRPr="00551726">
              <w:rPr>
                <w:rFonts w:ascii="Arial" w:hAnsi="Arial" w:cs="Arial"/>
                <w:bCs/>
                <w:kern w:val="24"/>
                <w:sz w:val="20"/>
                <w:szCs w:val="20"/>
                <w:lang w:val="en-ZA" w:eastAsia="en-GB"/>
              </w:rPr>
              <w:t>with the Department of Energy’s Clean Fuels II programme and</w:t>
            </w:r>
            <w:r w:rsidRPr="00551726">
              <w:rPr>
                <w:rFonts w:ascii="Arial" w:hAnsi="Arial" w:cs="Arial"/>
                <w:sz w:val="20"/>
                <w:szCs w:val="20"/>
              </w:rPr>
              <w:t xml:space="preserve"> </w:t>
            </w:r>
            <w:r w:rsidRPr="00551726">
              <w:rPr>
                <w:rFonts w:ascii="Arial" w:hAnsi="Arial" w:cs="Arial"/>
                <w:bCs/>
                <w:kern w:val="24"/>
                <w:sz w:val="20"/>
                <w:szCs w:val="20"/>
                <w:lang w:val="en-ZA" w:eastAsia="en-GB"/>
              </w:rPr>
              <w:t>in identifying potential environmental improvements, specifically possible reductions in atmospheric emissions. Natref relies extensively on two key reference documents namely Best Available Techniques (BAT) to reduce emissions from refineries (developed by CONCAWE), and the BAT Reference Documents (BREFs) for the oil refining industry.</w:t>
            </w:r>
          </w:p>
          <w:p w:rsidR="00200BBF" w:rsidRPr="00551726" w:rsidRDefault="00200BBF" w:rsidP="00B72FA2">
            <w:pPr>
              <w:pStyle w:val="ListParagraph"/>
              <w:numPr>
                <w:ilvl w:val="0"/>
                <w:numId w:val="28"/>
              </w:numPr>
              <w:overflowPunct w:val="0"/>
              <w:spacing w:line="360" w:lineRule="auto"/>
              <w:rPr>
                <w:rFonts w:ascii="Arial" w:hAnsi="Arial" w:cs="Arial"/>
                <w:bCs/>
                <w:kern w:val="24"/>
                <w:sz w:val="20"/>
                <w:szCs w:val="20"/>
                <w:lang w:val="en-ZA" w:eastAsia="en-GB"/>
              </w:rPr>
            </w:pPr>
            <w:r w:rsidRPr="00551726">
              <w:rPr>
                <w:rFonts w:ascii="Arial" w:hAnsi="Arial" w:cs="Arial"/>
                <w:bCs/>
                <w:kern w:val="24"/>
                <w:sz w:val="20"/>
                <w:szCs w:val="20"/>
                <w:lang w:val="en-ZA" w:eastAsia="en-GB"/>
              </w:rPr>
              <w:t xml:space="preserve">Inadequate time due to the challenges in regulations: </w:t>
            </w:r>
            <w:r w:rsidRPr="00551726">
              <w:rPr>
                <w:rFonts w:ascii="Arial" w:hAnsi="Arial" w:cs="Arial"/>
                <w:sz w:val="20"/>
                <w:szCs w:val="20"/>
              </w:rPr>
              <w:t xml:space="preserve"> </w:t>
            </w:r>
            <w:r w:rsidRPr="00551726">
              <w:rPr>
                <w:rFonts w:ascii="Arial" w:hAnsi="Arial" w:cs="Arial"/>
                <w:bCs/>
                <w:kern w:val="24"/>
                <w:sz w:val="20"/>
                <w:szCs w:val="20"/>
                <w:lang w:val="en-ZA" w:eastAsia="en-GB"/>
              </w:rPr>
              <w:t>The three versions of published regulations prescribed materially different requirements for refineries. In the 2010 MES, the principle of a ‘bubble’ was espoused for SO</w:t>
            </w:r>
            <w:r w:rsidRPr="00551726">
              <w:rPr>
                <w:rFonts w:ascii="Arial" w:hAnsi="Arial" w:cs="Arial"/>
                <w:bCs/>
                <w:kern w:val="24"/>
                <w:sz w:val="20"/>
                <w:szCs w:val="20"/>
                <w:vertAlign w:val="subscript"/>
                <w:lang w:val="en-ZA" w:eastAsia="en-GB"/>
              </w:rPr>
              <w:t>2</w:t>
            </w:r>
            <w:r w:rsidRPr="00551726">
              <w:rPr>
                <w:rFonts w:ascii="Arial" w:hAnsi="Arial" w:cs="Arial"/>
                <w:bCs/>
                <w:kern w:val="24"/>
                <w:sz w:val="20"/>
                <w:szCs w:val="20"/>
                <w:lang w:val="en-ZA" w:eastAsia="en-GB"/>
              </w:rPr>
              <w:t xml:space="preserve"> and NOx for refineries whereby compliance would be measured at the point of the emissions to atmosphere regardless of the process source of the emissions. </w:t>
            </w:r>
            <w:r w:rsidRPr="00551726">
              <w:rPr>
                <w:rFonts w:ascii="Arial" w:hAnsi="Arial" w:cs="Arial"/>
                <w:sz w:val="20"/>
                <w:szCs w:val="20"/>
              </w:rPr>
              <w:t xml:space="preserve"> </w:t>
            </w:r>
            <w:r w:rsidRPr="00551726">
              <w:rPr>
                <w:rFonts w:ascii="Arial" w:hAnsi="Arial" w:cs="Arial"/>
                <w:bCs/>
                <w:kern w:val="24"/>
                <w:sz w:val="20"/>
                <w:szCs w:val="20"/>
                <w:lang w:val="en-ZA" w:eastAsia="en-GB"/>
              </w:rPr>
              <w:t>In the draft 2012 MES, the bubble principle was withdrawn entirely, and an obligation mooted for point source controls for the three pollutants SO</w:t>
            </w:r>
            <w:r w:rsidRPr="00551726">
              <w:rPr>
                <w:rFonts w:ascii="Arial" w:hAnsi="Arial" w:cs="Arial"/>
                <w:bCs/>
                <w:kern w:val="24"/>
                <w:sz w:val="20"/>
                <w:szCs w:val="20"/>
                <w:vertAlign w:val="subscript"/>
                <w:lang w:val="en-ZA" w:eastAsia="en-GB"/>
              </w:rPr>
              <w:t>2</w:t>
            </w:r>
            <w:r w:rsidRPr="00551726">
              <w:rPr>
                <w:rFonts w:ascii="Arial" w:hAnsi="Arial" w:cs="Arial"/>
                <w:bCs/>
                <w:kern w:val="24"/>
                <w:sz w:val="20"/>
                <w:szCs w:val="20"/>
                <w:lang w:val="en-ZA" w:eastAsia="en-GB"/>
              </w:rPr>
              <w:t>, NOx and PM.</w:t>
            </w:r>
          </w:p>
          <w:p w:rsidR="00200BBF" w:rsidRPr="00551726" w:rsidRDefault="00200BBF" w:rsidP="00B72FA2">
            <w:pPr>
              <w:pStyle w:val="ListParagraph"/>
              <w:numPr>
                <w:ilvl w:val="0"/>
                <w:numId w:val="28"/>
              </w:numPr>
              <w:overflowPunct w:val="0"/>
              <w:spacing w:line="360" w:lineRule="auto"/>
              <w:rPr>
                <w:rFonts w:ascii="Arial" w:hAnsi="Arial" w:cs="Arial"/>
                <w:bCs/>
                <w:kern w:val="24"/>
                <w:sz w:val="20"/>
                <w:szCs w:val="20"/>
                <w:lang w:val="en-ZA" w:eastAsia="en-GB"/>
              </w:rPr>
            </w:pPr>
            <w:r w:rsidRPr="00551726">
              <w:rPr>
                <w:rFonts w:ascii="Arial" w:hAnsi="Arial" w:cs="Arial"/>
                <w:bCs/>
                <w:kern w:val="24"/>
                <w:sz w:val="20"/>
                <w:szCs w:val="20"/>
                <w:lang w:val="en-ZA" w:eastAsia="en-GB"/>
              </w:rPr>
              <w:t xml:space="preserve">Financial implications: </w:t>
            </w:r>
            <w:r w:rsidRPr="00551726">
              <w:rPr>
                <w:rFonts w:ascii="Arial" w:hAnsi="Arial" w:cs="Arial"/>
                <w:sz w:val="20"/>
                <w:szCs w:val="20"/>
              </w:rPr>
              <w:t xml:space="preserve"> </w:t>
            </w:r>
            <w:r w:rsidRPr="00551726">
              <w:rPr>
                <w:rFonts w:ascii="Arial" w:hAnsi="Arial" w:cs="Arial"/>
                <w:bCs/>
                <w:kern w:val="24"/>
                <w:sz w:val="20"/>
                <w:szCs w:val="20"/>
                <w:lang w:val="en-ZA" w:eastAsia="en-GB"/>
              </w:rPr>
              <w:t xml:space="preserve">Implementation of abatement Implementation of abatement equipment for compliance with the MES for processes such as the FCC, SRU and fuel gas-fired boilers, amounting to billions of Rands of investment, will incur significant demands on free cash flows. That free </w:t>
            </w:r>
            <w:r w:rsidRPr="00551726">
              <w:rPr>
                <w:rFonts w:ascii="Arial" w:hAnsi="Arial" w:cs="Arial"/>
                <w:bCs/>
                <w:kern w:val="24"/>
                <w:sz w:val="20"/>
                <w:szCs w:val="20"/>
                <w:lang w:val="en-ZA" w:eastAsia="en-GB"/>
              </w:rPr>
              <w:lastRenderedPageBreak/>
              <w:t>cash flow requirement competes directly with other investments, most notably Clean Fuels II. This imposes severe financial resource constraints on the business, which cannot all be accommodated at the same time.</w:t>
            </w:r>
            <w:r w:rsidRPr="00551726">
              <w:rPr>
                <w:rFonts w:ascii="Arial" w:hAnsi="Arial" w:cs="Arial"/>
                <w:sz w:val="20"/>
                <w:szCs w:val="20"/>
              </w:rPr>
              <w:t xml:space="preserve"> </w:t>
            </w:r>
            <w:r w:rsidRPr="00551726">
              <w:rPr>
                <w:rFonts w:ascii="Arial" w:hAnsi="Arial" w:cs="Arial"/>
                <w:bCs/>
                <w:kern w:val="24"/>
                <w:sz w:val="20"/>
                <w:szCs w:val="20"/>
                <w:lang w:val="en-ZA" w:eastAsia="en-GB"/>
              </w:rPr>
              <w:t xml:space="preserve">Natref faces two potentially competing regulatory requirements in that the refinery is required to comply with Clean Fuels II (CFII) product specifications in the same time period as complying with the MES.  </w:t>
            </w:r>
          </w:p>
          <w:p w:rsidR="00200BBF" w:rsidRPr="00551726" w:rsidRDefault="00200BBF" w:rsidP="00B72FA2">
            <w:pPr>
              <w:pStyle w:val="ListParagraph"/>
              <w:numPr>
                <w:ilvl w:val="0"/>
                <w:numId w:val="28"/>
              </w:numPr>
              <w:overflowPunct w:val="0"/>
              <w:spacing w:line="360" w:lineRule="auto"/>
              <w:rPr>
                <w:rFonts w:ascii="Arial" w:hAnsi="Arial" w:cs="Arial"/>
                <w:bCs/>
                <w:kern w:val="24"/>
                <w:sz w:val="20"/>
                <w:szCs w:val="20"/>
                <w:lang w:val="en-ZA" w:eastAsia="en-GB"/>
              </w:rPr>
            </w:pPr>
            <w:r w:rsidRPr="00551726">
              <w:rPr>
                <w:rFonts w:ascii="Arial" w:hAnsi="Arial" w:cs="Arial"/>
                <w:bCs/>
                <w:kern w:val="24"/>
                <w:sz w:val="20"/>
                <w:szCs w:val="20"/>
                <w:lang w:val="en-ZA" w:eastAsia="en-GB"/>
              </w:rPr>
              <w:t xml:space="preserve">Resource availability: </w:t>
            </w:r>
            <w:r w:rsidRPr="00551726">
              <w:rPr>
                <w:rFonts w:ascii="Arial" w:hAnsi="Arial" w:cs="Arial"/>
                <w:sz w:val="20"/>
                <w:szCs w:val="20"/>
              </w:rPr>
              <w:t xml:space="preserve"> </w:t>
            </w:r>
            <w:r w:rsidRPr="00551726">
              <w:rPr>
                <w:rFonts w:ascii="Arial" w:hAnsi="Arial" w:cs="Arial"/>
                <w:bCs/>
                <w:kern w:val="24"/>
                <w:sz w:val="20"/>
                <w:szCs w:val="20"/>
                <w:lang w:val="en-ZA" w:eastAsia="en-GB"/>
              </w:rPr>
              <w:t>The only time at which the modifications required to comply with the MES can be effected, is during routine maintenance shutdowns of the refinery, the timing of which is driven by statutory requirements, financial and inland liquid fuel security considerations. These shutdowns cannot happen in an ad hoc manner but must be carefully scheduled so as not to negatively impact production output and consequently, inland liquid fuel supplies. In addition the shutdowns are scheduled in such a way as to ensure that the financial sustainability of the business is not compromised by the fact that the plant is not producing.</w:t>
            </w:r>
          </w:p>
          <w:p w:rsidR="00200BBF" w:rsidRPr="00551726" w:rsidRDefault="00200BBF" w:rsidP="00B72FA2">
            <w:pPr>
              <w:pStyle w:val="ListParagraph"/>
              <w:numPr>
                <w:ilvl w:val="0"/>
                <w:numId w:val="28"/>
              </w:numPr>
              <w:overflowPunct w:val="0"/>
              <w:spacing w:line="360" w:lineRule="auto"/>
              <w:rPr>
                <w:rFonts w:ascii="Arial" w:hAnsi="Arial" w:cs="Arial"/>
                <w:bCs/>
                <w:kern w:val="24"/>
                <w:sz w:val="20"/>
                <w:szCs w:val="20"/>
                <w:lang w:val="en-ZA" w:eastAsia="en-GB"/>
              </w:rPr>
            </w:pPr>
            <w:r w:rsidRPr="00551726">
              <w:rPr>
                <w:rFonts w:ascii="Arial" w:hAnsi="Arial" w:cs="Arial"/>
                <w:bCs/>
                <w:kern w:val="24"/>
                <w:sz w:val="20"/>
                <w:szCs w:val="20"/>
                <w:lang w:val="en-ZA" w:eastAsia="en-GB"/>
              </w:rPr>
              <w:t xml:space="preserve">Due diligence obligations: </w:t>
            </w:r>
            <w:r w:rsidRPr="00551726">
              <w:rPr>
                <w:rFonts w:ascii="Arial" w:hAnsi="Arial" w:cs="Arial"/>
                <w:sz w:val="20"/>
                <w:szCs w:val="20"/>
              </w:rPr>
              <w:t xml:space="preserve"> </w:t>
            </w:r>
            <w:r w:rsidRPr="00551726">
              <w:rPr>
                <w:rFonts w:ascii="Arial" w:hAnsi="Arial" w:cs="Arial"/>
                <w:bCs/>
                <w:kern w:val="24"/>
                <w:sz w:val="20"/>
                <w:szCs w:val="20"/>
                <w:lang w:val="en-ZA" w:eastAsia="en-GB"/>
              </w:rPr>
              <w:t>Good governance process means that all projects need to be properly motivated, evaluated and approved in a systematic and consistent manner. To this end Natref adopts Sasol’s ‘stage-gate’ process across the organisation to motivate, evaluate and approve all capital projects. The term ‘stage-gate’ derives from the fact that projects have to pass through different ‘gates’ each of which requires formal Natref Board approval.</w:t>
            </w:r>
          </w:p>
        </w:tc>
      </w:tr>
      <w:tr w:rsidR="00200BBF" w:rsidRPr="00551726" w:rsidTr="00200BBF">
        <w:trPr>
          <w:gridAfter w:val="4"/>
          <w:wAfter w:w="14652" w:type="dxa"/>
          <w:trHeight w:val="466"/>
        </w:trPr>
        <w:tc>
          <w:tcPr>
            <w:tcW w:w="198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t xml:space="preserve">Subcategory 1.4: </w:t>
            </w:r>
            <w:r w:rsidRPr="00551726">
              <w:rPr>
                <w:rFonts w:ascii="Arial" w:hAnsi="Arial" w:cs="Arial"/>
                <w:kern w:val="24"/>
                <w:sz w:val="20"/>
                <w:szCs w:val="20"/>
                <w:lang w:eastAsia="en-GB"/>
              </w:rPr>
              <w:t>Gas Combustion Installation</w:t>
            </w:r>
          </w:p>
        </w:tc>
        <w:tc>
          <w:tcPr>
            <w:tcW w:w="16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eastAsia="en-GB"/>
              </w:rPr>
              <w:t>Fuel gas fired</w:t>
            </w:r>
          </w:p>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eastAsia="en-GB"/>
              </w:rPr>
              <w:t>boilers</w:t>
            </w:r>
          </w:p>
        </w:tc>
        <w:tc>
          <w:tcPr>
            <w:tcW w:w="1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2018-2020</w:t>
            </w:r>
          </w:p>
        </w:tc>
        <w:tc>
          <w:tcPr>
            <w:tcW w:w="1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eastAsia="en-GB"/>
              </w:rPr>
              <w:t>NOx</w:t>
            </w:r>
          </w:p>
        </w:tc>
        <w:tc>
          <w:tcPr>
            <w:tcW w:w="7538"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b/>
                <w:bCs/>
                <w:color w:val="FF0000"/>
                <w:kern w:val="24"/>
                <w:sz w:val="20"/>
                <w:szCs w:val="20"/>
                <w:lang w:val="en-ZA" w:eastAsia="en-GB"/>
              </w:rPr>
            </w:pPr>
          </w:p>
        </w:tc>
      </w:tr>
      <w:tr w:rsidR="00200BBF" w:rsidRPr="00551726" w:rsidTr="00200BBF">
        <w:trPr>
          <w:gridAfter w:val="4"/>
          <w:wAfter w:w="14652" w:type="dxa"/>
          <w:trHeight w:val="840"/>
        </w:trPr>
        <w:tc>
          <w:tcPr>
            <w:tcW w:w="1981"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lastRenderedPageBreak/>
              <w:t xml:space="preserve">Subcategory 2.1 </w:t>
            </w:r>
            <w:r w:rsidRPr="00551726">
              <w:rPr>
                <w:rFonts w:ascii="Arial" w:hAnsi="Arial" w:cs="Arial"/>
                <w:kern w:val="24"/>
                <w:sz w:val="20"/>
                <w:szCs w:val="20"/>
                <w:lang w:eastAsia="en-GB"/>
              </w:rPr>
              <w:t>Combustion Installations</w:t>
            </w:r>
          </w:p>
        </w:tc>
        <w:tc>
          <w:tcPr>
            <w:tcW w:w="164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Furnaces except vacuum off-gas furnace</w:t>
            </w:r>
          </w:p>
        </w:tc>
        <w:tc>
          <w:tcPr>
            <w:tcW w:w="1724"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2015-2020</w:t>
            </w: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eastAsia="en-GB"/>
              </w:rPr>
              <w:t>PM</w:t>
            </w:r>
          </w:p>
        </w:tc>
        <w:tc>
          <w:tcPr>
            <w:tcW w:w="7538" w:type="dxa"/>
            <w:vMerge w:val="restart"/>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b/>
                <w:bCs/>
                <w:color w:val="FF0000"/>
                <w:kern w:val="24"/>
                <w:sz w:val="20"/>
                <w:szCs w:val="20"/>
                <w:lang w:val="en-ZA" w:eastAsia="en-GB"/>
              </w:rPr>
            </w:pPr>
          </w:p>
        </w:tc>
      </w:tr>
      <w:tr w:rsidR="00200BBF" w:rsidRPr="00551726" w:rsidTr="00200BBF">
        <w:trPr>
          <w:gridAfter w:val="4"/>
          <w:wAfter w:w="14652" w:type="dxa"/>
          <w:trHeight w:val="600"/>
        </w:trPr>
        <w:tc>
          <w:tcPr>
            <w:tcW w:w="1981" w:type="dxa"/>
            <w:vMerge/>
            <w:tcBorders>
              <w:top w:val="single" w:sz="8"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648" w:type="dxa"/>
            <w:vMerge/>
            <w:tcBorders>
              <w:top w:val="single" w:sz="8"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724" w:type="dxa"/>
            <w:vMerge/>
            <w:tcBorders>
              <w:top w:val="single" w:sz="8"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eastAsia="en-GB"/>
              </w:rPr>
              <w:t>SO</w:t>
            </w:r>
            <w:r w:rsidRPr="00551726">
              <w:rPr>
                <w:rFonts w:ascii="Arial" w:hAnsi="Arial" w:cs="Arial"/>
                <w:color w:val="000000"/>
                <w:kern w:val="24"/>
                <w:position w:val="-9"/>
                <w:sz w:val="20"/>
                <w:szCs w:val="20"/>
                <w:vertAlign w:val="subscript"/>
                <w:lang w:eastAsia="en-GB"/>
              </w:rPr>
              <w:t>2</w:t>
            </w:r>
          </w:p>
        </w:tc>
        <w:tc>
          <w:tcPr>
            <w:tcW w:w="7538" w:type="dxa"/>
            <w:vMerge/>
            <w:tcBorders>
              <w:left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b/>
                <w:bCs/>
                <w:color w:val="FF0000"/>
                <w:kern w:val="24"/>
                <w:sz w:val="20"/>
                <w:szCs w:val="20"/>
                <w:lang w:val="en-ZA" w:eastAsia="en-GB"/>
              </w:rPr>
            </w:pPr>
          </w:p>
        </w:tc>
      </w:tr>
      <w:tr w:rsidR="00200BBF" w:rsidRPr="00551726" w:rsidTr="00200BBF">
        <w:trPr>
          <w:gridAfter w:val="4"/>
          <w:wAfter w:w="14652" w:type="dxa"/>
          <w:trHeight w:val="600"/>
        </w:trPr>
        <w:tc>
          <w:tcPr>
            <w:tcW w:w="1981"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t xml:space="preserve">Subcategory 2.1 </w:t>
            </w:r>
            <w:r w:rsidRPr="00551726">
              <w:rPr>
                <w:rFonts w:ascii="Arial" w:hAnsi="Arial" w:cs="Arial"/>
                <w:kern w:val="24"/>
                <w:sz w:val="20"/>
                <w:szCs w:val="20"/>
                <w:lang w:eastAsia="en-GB"/>
              </w:rPr>
              <w:t>Combustion Installations</w:t>
            </w:r>
          </w:p>
        </w:tc>
        <w:tc>
          <w:tcPr>
            <w:tcW w:w="164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Vacuum off-gas furnace</w:t>
            </w:r>
          </w:p>
        </w:tc>
        <w:tc>
          <w:tcPr>
            <w:tcW w:w="1724"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2015-2020</w:t>
            </w: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eastAsia="en-GB"/>
              </w:rPr>
              <w:t>PM</w:t>
            </w:r>
          </w:p>
        </w:tc>
        <w:tc>
          <w:tcPr>
            <w:tcW w:w="7538" w:type="dxa"/>
            <w:vMerge/>
            <w:tcBorders>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b/>
                <w:bCs/>
                <w:color w:val="FF0000"/>
                <w:kern w:val="24"/>
                <w:sz w:val="20"/>
                <w:szCs w:val="20"/>
                <w:lang w:val="en-ZA" w:eastAsia="en-GB"/>
              </w:rPr>
            </w:pPr>
          </w:p>
        </w:tc>
      </w:tr>
      <w:tr w:rsidR="00200BBF" w:rsidRPr="00551726" w:rsidTr="00200BBF">
        <w:trPr>
          <w:gridAfter w:val="4"/>
          <w:wAfter w:w="14652" w:type="dxa"/>
          <w:trHeight w:val="600"/>
        </w:trPr>
        <w:tc>
          <w:tcPr>
            <w:tcW w:w="1981" w:type="dxa"/>
            <w:vMerge/>
            <w:tcBorders>
              <w:top w:val="single" w:sz="8"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648" w:type="dxa"/>
            <w:vMerge/>
            <w:tcBorders>
              <w:top w:val="single" w:sz="8"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724" w:type="dxa"/>
            <w:vMerge/>
            <w:tcBorders>
              <w:top w:val="single" w:sz="8" w:space="0" w:color="FFFFFF"/>
              <w:left w:val="single" w:sz="8" w:space="0" w:color="FFFFFF"/>
              <w:bottom w:val="single" w:sz="8" w:space="0" w:color="FFFFFF"/>
              <w:right w:val="single" w:sz="8" w:space="0" w:color="FFFFFF"/>
            </w:tcBorders>
            <w:vAlign w:val="center"/>
            <w:hideMark/>
          </w:tcPr>
          <w:p w:rsidR="00200BBF" w:rsidRPr="00551726" w:rsidRDefault="00200BBF" w:rsidP="00200BBF">
            <w:pPr>
              <w:rPr>
                <w:rFonts w:ascii="Arial" w:hAnsi="Arial" w:cs="Arial"/>
                <w:sz w:val="20"/>
                <w:szCs w:val="20"/>
                <w:lang w:eastAsia="en-GB"/>
              </w:rPr>
            </w:pPr>
          </w:p>
        </w:tc>
        <w:tc>
          <w:tcPr>
            <w:tcW w:w="1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eastAsia="en-GB"/>
              </w:rPr>
              <w:t>SO</w:t>
            </w:r>
            <w:r w:rsidRPr="00551726">
              <w:rPr>
                <w:rFonts w:ascii="Arial" w:hAnsi="Arial" w:cs="Arial"/>
                <w:color w:val="000000"/>
                <w:kern w:val="24"/>
                <w:position w:val="-9"/>
                <w:sz w:val="20"/>
                <w:szCs w:val="20"/>
                <w:vertAlign w:val="subscript"/>
                <w:lang w:eastAsia="en-GB"/>
              </w:rPr>
              <w:t>2</w:t>
            </w:r>
          </w:p>
        </w:tc>
        <w:tc>
          <w:tcPr>
            <w:tcW w:w="7538" w:type="dxa"/>
            <w:vMerge/>
            <w:tcBorders>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b/>
                <w:bCs/>
                <w:color w:val="FF0000"/>
                <w:kern w:val="24"/>
                <w:sz w:val="20"/>
                <w:szCs w:val="20"/>
                <w:lang w:val="en-ZA" w:eastAsia="en-GB"/>
              </w:rPr>
            </w:pPr>
          </w:p>
        </w:tc>
      </w:tr>
      <w:tr w:rsidR="00200BBF" w:rsidRPr="00551726" w:rsidTr="00200BBF">
        <w:trPr>
          <w:gridAfter w:val="4"/>
          <w:wAfter w:w="14652" w:type="dxa"/>
          <w:trHeight w:val="600"/>
        </w:trPr>
        <w:tc>
          <w:tcPr>
            <w:tcW w:w="198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b/>
                <w:bCs/>
                <w:kern w:val="24"/>
                <w:sz w:val="20"/>
                <w:szCs w:val="20"/>
                <w:lang w:val="en-ZA" w:eastAsia="en-GB"/>
              </w:rPr>
              <w:t xml:space="preserve">Subcategory 2.1 </w:t>
            </w:r>
            <w:r w:rsidRPr="00551726">
              <w:rPr>
                <w:rFonts w:ascii="Arial" w:hAnsi="Arial" w:cs="Arial"/>
                <w:kern w:val="24"/>
                <w:sz w:val="20"/>
                <w:szCs w:val="20"/>
                <w:lang w:val="en-ZA" w:eastAsia="en-GB"/>
              </w:rPr>
              <w:t>Combustion Installations</w:t>
            </w: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80" w:type="dxa"/>
              <w:bottom w:w="0" w:type="dxa"/>
              <w:right w:w="180"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Amine treating</w:t>
            </w:r>
          </w:p>
        </w:tc>
        <w:tc>
          <w:tcPr>
            <w:tcW w:w="1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overflowPunct w:val="0"/>
              <w:rPr>
                <w:rFonts w:ascii="Arial" w:hAnsi="Arial" w:cs="Arial"/>
                <w:sz w:val="20"/>
                <w:szCs w:val="20"/>
                <w:lang w:eastAsia="en-GB"/>
              </w:rPr>
            </w:pPr>
            <w:r w:rsidRPr="00551726">
              <w:rPr>
                <w:rFonts w:ascii="Arial" w:hAnsi="Arial" w:cs="Arial"/>
                <w:kern w:val="24"/>
                <w:sz w:val="20"/>
                <w:szCs w:val="20"/>
                <w:lang w:val="en-ZA" w:eastAsia="en-GB"/>
              </w:rPr>
              <w:t>2015-2020</w:t>
            </w: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overflowPunct w:val="0"/>
              <w:spacing w:line="360" w:lineRule="auto"/>
              <w:rPr>
                <w:rFonts w:ascii="Arial" w:hAnsi="Arial" w:cs="Arial"/>
                <w:sz w:val="20"/>
                <w:szCs w:val="20"/>
                <w:lang w:eastAsia="en-GB"/>
              </w:rPr>
            </w:pPr>
            <w:r w:rsidRPr="00551726">
              <w:rPr>
                <w:rFonts w:ascii="Arial" w:hAnsi="Arial" w:cs="Arial"/>
                <w:color w:val="000000"/>
                <w:kern w:val="24"/>
                <w:sz w:val="20"/>
                <w:szCs w:val="20"/>
                <w:lang w:val="en-ZA" w:eastAsia="en-GB"/>
              </w:rPr>
              <w:t>H</w:t>
            </w:r>
            <w:r w:rsidRPr="00551726">
              <w:rPr>
                <w:rFonts w:ascii="Arial" w:hAnsi="Arial" w:cs="Arial"/>
                <w:color w:val="000000"/>
                <w:kern w:val="24"/>
                <w:position w:val="-9"/>
                <w:sz w:val="20"/>
                <w:szCs w:val="20"/>
                <w:vertAlign w:val="subscript"/>
                <w:lang w:val="en-ZA" w:eastAsia="en-GB"/>
              </w:rPr>
              <w:t>2</w:t>
            </w:r>
            <w:r w:rsidRPr="00551726">
              <w:rPr>
                <w:rFonts w:ascii="Arial" w:hAnsi="Arial" w:cs="Arial"/>
                <w:color w:val="000000"/>
                <w:kern w:val="24"/>
                <w:sz w:val="20"/>
                <w:szCs w:val="20"/>
                <w:lang w:val="en-ZA" w:eastAsia="en-GB"/>
              </w:rPr>
              <w:t>S</w:t>
            </w:r>
          </w:p>
        </w:tc>
        <w:tc>
          <w:tcPr>
            <w:tcW w:w="7538" w:type="dxa"/>
            <w:vMerge w:val="restart"/>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rPr>
                <w:rFonts w:ascii="Arial" w:hAnsi="Arial" w:cs="Arial"/>
                <w:color w:val="FF0000"/>
                <w:kern w:val="24"/>
                <w:sz w:val="20"/>
                <w:szCs w:val="20"/>
                <w:lang w:val="en-ZA" w:eastAsia="en-GB"/>
              </w:rPr>
            </w:pPr>
          </w:p>
        </w:tc>
      </w:tr>
      <w:tr w:rsidR="00200BBF" w:rsidRPr="00551726" w:rsidTr="00200BBF">
        <w:trPr>
          <w:gridAfter w:val="4"/>
          <w:wAfter w:w="14652" w:type="dxa"/>
          <w:trHeight w:val="600"/>
        </w:trPr>
        <w:tc>
          <w:tcPr>
            <w:tcW w:w="198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2.2: </w:t>
            </w:r>
            <w:r w:rsidRPr="00551726">
              <w:rPr>
                <w:rFonts w:ascii="Arial" w:hAnsi="Arial" w:cs="Arial"/>
                <w:kern w:val="24"/>
                <w:sz w:val="20"/>
                <w:szCs w:val="20"/>
              </w:rPr>
              <w:t>Catalytic Cracking Unit</w:t>
            </w: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80" w:type="dxa"/>
              <w:bottom w:w="0" w:type="dxa"/>
              <w:right w:w="180"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FCC</w:t>
            </w:r>
          </w:p>
        </w:tc>
        <w:tc>
          <w:tcPr>
            <w:tcW w:w="1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2018-2020</w:t>
            </w: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PM</w:t>
            </w:r>
          </w:p>
        </w:tc>
        <w:tc>
          <w:tcPr>
            <w:tcW w:w="7538" w:type="dxa"/>
            <w:vMerge/>
            <w:tcBorders>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rPr>
                <w:rFonts w:ascii="Arial" w:hAnsi="Arial" w:cs="Arial"/>
                <w:b/>
                <w:bCs/>
                <w:color w:val="FF0000"/>
                <w:kern w:val="24"/>
                <w:sz w:val="20"/>
                <w:szCs w:val="20"/>
                <w:lang w:val="en-ZA" w:eastAsia="en-GB"/>
              </w:rPr>
            </w:pPr>
          </w:p>
        </w:tc>
      </w:tr>
      <w:tr w:rsidR="00200BBF" w:rsidRPr="00551726" w:rsidTr="00200BBF">
        <w:trPr>
          <w:trHeight w:val="600"/>
        </w:trPr>
        <w:tc>
          <w:tcPr>
            <w:tcW w:w="198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 xml:space="preserve">Subcategory 2.2: </w:t>
            </w:r>
            <w:r w:rsidRPr="00551726">
              <w:rPr>
                <w:rFonts w:ascii="Arial" w:hAnsi="Arial" w:cs="Arial"/>
                <w:kern w:val="24"/>
                <w:sz w:val="20"/>
                <w:szCs w:val="20"/>
              </w:rPr>
              <w:t>Catalytic Cracking Unit</w:t>
            </w: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80" w:type="dxa"/>
              <w:bottom w:w="0" w:type="dxa"/>
              <w:right w:w="180" w:type="dxa"/>
            </w:tcMar>
          </w:tcPr>
          <w:p w:rsidR="00200BBF" w:rsidRPr="00551726" w:rsidRDefault="00200BBF" w:rsidP="00200BBF">
            <w:pPr>
              <w:pStyle w:val="NormalWeb"/>
              <w:overflowPunct w:val="0"/>
              <w:spacing w:before="0" w:beforeAutospacing="0" w:after="0" w:afterAutospacing="0"/>
              <w:jc w:val="both"/>
              <w:rPr>
                <w:rFonts w:ascii="Arial" w:hAnsi="Arial" w:cs="Arial"/>
                <w:sz w:val="20"/>
                <w:szCs w:val="20"/>
              </w:rPr>
            </w:pPr>
            <w:r w:rsidRPr="00551726">
              <w:rPr>
                <w:rFonts w:ascii="Arial" w:hAnsi="Arial" w:cs="Arial"/>
                <w:b/>
                <w:bCs/>
                <w:kern w:val="24"/>
                <w:sz w:val="20"/>
                <w:szCs w:val="20"/>
              </w:rPr>
              <w:t>Furnaces plus FCC</w:t>
            </w:r>
          </w:p>
        </w:tc>
        <w:tc>
          <w:tcPr>
            <w:tcW w:w="1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pStyle w:val="NormalWeb"/>
              <w:overflowPunct w:val="0"/>
              <w:spacing w:before="0" w:beforeAutospacing="0" w:after="0" w:afterAutospacing="0"/>
              <w:rPr>
                <w:rFonts w:ascii="Arial" w:hAnsi="Arial" w:cs="Arial"/>
                <w:sz w:val="20"/>
                <w:szCs w:val="20"/>
              </w:rPr>
            </w:pPr>
            <w:r w:rsidRPr="00551726">
              <w:rPr>
                <w:rFonts w:ascii="Arial" w:hAnsi="Arial" w:cs="Arial"/>
                <w:b/>
                <w:bCs/>
                <w:kern w:val="24"/>
                <w:sz w:val="20"/>
                <w:szCs w:val="20"/>
              </w:rPr>
              <w:t>2020-2025</w:t>
            </w: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sz w:val="20"/>
                <w:szCs w:val="20"/>
              </w:rPr>
            </w:pPr>
            <w:r w:rsidRPr="00551726">
              <w:rPr>
                <w:rFonts w:ascii="Arial" w:hAnsi="Arial" w:cs="Arial"/>
                <w:b/>
                <w:bCs/>
                <w:kern w:val="24"/>
                <w:sz w:val="20"/>
                <w:szCs w:val="20"/>
              </w:rPr>
              <w:t>SO</w:t>
            </w:r>
            <w:r w:rsidRPr="00551726">
              <w:rPr>
                <w:rFonts w:ascii="Arial" w:hAnsi="Arial" w:cs="Arial"/>
                <w:b/>
                <w:bCs/>
                <w:kern w:val="24"/>
                <w:position w:val="-9"/>
                <w:sz w:val="20"/>
                <w:szCs w:val="20"/>
                <w:vertAlign w:val="subscript"/>
              </w:rPr>
              <w:t>2</w:t>
            </w:r>
          </w:p>
        </w:tc>
        <w:tc>
          <w:tcPr>
            <w:tcW w:w="7538" w:type="dxa"/>
            <w:vMerge/>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rPr>
                <w:rFonts w:ascii="Arial" w:hAnsi="Arial" w:cs="Arial"/>
                <w:sz w:val="20"/>
                <w:szCs w:val="20"/>
                <w:lang w:eastAsia="en-GB"/>
              </w:rPr>
            </w:pPr>
          </w:p>
        </w:tc>
        <w:tc>
          <w:tcPr>
            <w:tcW w:w="4884" w:type="dxa"/>
            <w:gridSpan w:val="2"/>
          </w:tcPr>
          <w:p w:rsidR="00200BBF" w:rsidRPr="00551726" w:rsidRDefault="00200BBF" w:rsidP="00200BBF">
            <w:pPr>
              <w:rPr>
                <w:rFonts w:ascii="Arial" w:hAnsi="Arial" w:cs="Arial"/>
                <w:sz w:val="20"/>
                <w:szCs w:val="20"/>
                <w:lang w:eastAsia="en-GB"/>
              </w:rPr>
            </w:pPr>
          </w:p>
        </w:tc>
        <w:tc>
          <w:tcPr>
            <w:tcW w:w="4884" w:type="dxa"/>
          </w:tcPr>
          <w:p w:rsidR="00200BBF" w:rsidRPr="00551726" w:rsidRDefault="00200BBF" w:rsidP="00200BBF">
            <w:pPr>
              <w:rPr>
                <w:rFonts w:ascii="Arial" w:hAnsi="Arial" w:cs="Arial"/>
                <w:b/>
                <w:bCs/>
                <w:color w:val="FF0000"/>
                <w:kern w:val="24"/>
                <w:sz w:val="20"/>
                <w:szCs w:val="20"/>
                <w:lang w:val="en-ZA" w:eastAsia="en-GB"/>
              </w:rPr>
            </w:pPr>
          </w:p>
        </w:tc>
        <w:tc>
          <w:tcPr>
            <w:tcW w:w="4884" w:type="dxa"/>
          </w:tcPr>
          <w:p w:rsidR="00200BBF" w:rsidRPr="00551726" w:rsidRDefault="00200BBF" w:rsidP="00200BBF">
            <w:pPr>
              <w:rPr>
                <w:rFonts w:ascii="Arial" w:hAnsi="Arial" w:cs="Arial"/>
                <w:color w:val="FF0000"/>
                <w:kern w:val="24"/>
                <w:sz w:val="20"/>
                <w:szCs w:val="20"/>
                <w:lang w:val="en-ZA" w:eastAsia="en-GB"/>
              </w:rPr>
            </w:pPr>
          </w:p>
        </w:tc>
      </w:tr>
      <w:tr w:rsidR="00200BBF" w:rsidRPr="00551726" w:rsidTr="00200BBF">
        <w:trPr>
          <w:gridAfter w:val="4"/>
          <w:wAfter w:w="14652" w:type="dxa"/>
          <w:trHeight w:val="600"/>
        </w:trPr>
        <w:tc>
          <w:tcPr>
            <w:tcW w:w="198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jc w:val="both"/>
              <w:rPr>
                <w:rFonts w:ascii="Arial" w:hAnsi="Arial" w:cs="Arial"/>
                <w:b/>
                <w:sz w:val="20"/>
                <w:szCs w:val="20"/>
              </w:rPr>
            </w:pPr>
            <w:r w:rsidRPr="00551726">
              <w:rPr>
                <w:rFonts w:ascii="Arial" w:hAnsi="Arial" w:cs="Arial"/>
                <w:b/>
                <w:bCs/>
                <w:kern w:val="24"/>
                <w:sz w:val="20"/>
                <w:szCs w:val="20"/>
              </w:rPr>
              <w:t>Subcategory 2.4:</w:t>
            </w:r>
          </w:p>
          <w:p w:rsidR="00200BBF" w:rsidRPr="00551726" w:rsidRDefault="00200BBF" w:rsidP="00200BBF">
            <w:pPr>
              <w:pStyle w:val="NormalWeb"/>
              <w:overflowPunct w:val="0"/>
              <w:spacing w:before="0" w:beforeAutospacing="0" w:after="0" w:afterAutospacing="0"/>
              <w:jc w:val="both"/>
              <w:rPr>
                <w:rFonts w:ascii="Arial" w:hAnsi="Arial" w:cs="Arial"/>
                <w:b/>
                <w:sz w:val="20"/>
                <w:szCs w:val="20"/>
              </w:rPr>
            </w:pPr>
            <w:r w:rsidRPr="00551726">
              <w:rPr>
                <w:rFonts w:ascii="Arial" w:hAnsi="Arial" w:cs="Arial"/>
                <w:b/>
                <w:kern w:val="24"/>
                <w:sz w:val="20"/>
                <w:szCs w:val="20"/>
              </w:rPr>
              <w:t xml:space="preserve">Storage &amp; Handling of Petroleum Products </w:t>
            </w: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80" w:type="dxa"/>
              <w:bottom w:w="0" w:type="dxa"/>
              <w:right w:w="180" w:type="dxa"/>
            </w:tcMar>
          </w:tcPr>
          <w:p w:rsidR="00200BBF" w:rsidRPr="00551726" w:rsidRDefault="00200BBF" w:rsidP="00200BBF">
            <w:pPr>
              <w:pStyle w:val="NormalWeb"/>
              <w:overflowPunct w:val="0"/>
              <w:spacing w:before="0" w:beforeAutospacing="0" w:after="0" w:afterAutospacing="0"/>
              <w:rPr>
                <w:rFonts w:ascii="Arial" w:hAnsi="Arial" w:cs="Arial"/>
                <w:b/>
                <w:sz w:val="20"/>
                <w:szCs w:val="20"/>
              </w:rPr>
            </w:pPr>
            <w:r w:rsidRPr="00551726">
              <w:rPr>
                <w:rFonts w:ascii="Arial" w:hAnsi="Arial" w:cs="Arial"/>
                <w:b/>
                <w:bCs/>
                <w:kern w:val="24"/>
                <w:sz w:val="20"/>
                <w:szCs w:val="20"/>
              </w:rPr>
              <w:t>Tank farm</w:t>
            </w:r>
          </w:p>
        </w:tc>
        <w:tc>
          <w:tcPr>
            <w:tcW w:w="1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sz w:val="20"/>
                <w:szCs w:val="20"/>
              </w:rPr>
            </w:pP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pStyle w:val="NormalWeb"/>
              <w:overflowPunct w:val="0"/>
              <w:spacing w:before="0" w:beforeAutospacing="0" w:after="0" w:afterAutospacing="0" w:line="360" w:lineRule="auto"/>
              <w:rPr>
                <w:rFonts w:ascii="Arial" w:hAnsi="Arial" w:cs="Arial"/>
                <w:b/>
                <w:sz w:val="20"/>
                <w:szCs w:val="20"/>
              </w:rPr>
            </w:pPr>
            <w:r w:rsidRPr="00551726">
              <w:rPr>
                <w:rFonts w:ascii="Arial" w:hAnsi="Arial" w:cs="Arial"/>
                <w:b/>
                <w:bCs/>
                <w:kern w:val="24"/>
                <w:sz w:val="20"/>
                <w:szCs w:val="20"/>
              </w:rPr>
              <w:t>TVOCs</w:t>
            </w:r>
          </w:p>
        </w:tc>
        <w:tc>
          <w:tcPr>
            <w:tcW w:w="7538" w:type="dxa"/>
            <w:vMerge w:val="restart"/>
            <w:tcBorders>
              <w:top w:val="single" w:sz="8" w:space="0" w:color="FFFFFF"/>
              <w:left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rPr>
                <w:rFonts w:ascii="Arial" w:hAnsi="Arial" w:cs="Arial"/>
                <w:b/>
                <w:bCs/>
                <w:color w:val="FF0000"/>
                <w:kern w:val="24"/>
                <w:sz w:val="20"/>
                <w:szCs w:val="20"/>
                <w:lang w:val="en-ZA" w:eastAsia="en-GB"/>
              </w:rPr>
            </w:pPr>
          </w:p>
        </w:tc>
      </w:tr>
      <w:tr w:rsidR="00200BBF" w:rsidRPr="00551726" w:rsidTr="00200BBF">
        <w:trPr>
          <w:gridAfter w:val="4"/>
          <w:wAfter w:w="14652" w:type="dxa"/>
          <w:trHeight w:val="600"/>
        </w:trPr>
        <w:tc>
          <w:tcPr>
            <w:tcW w:w="198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200BBF" w:rsidRPr="00551726" w:rsidRDefault="00200BBF" w:rsidP="00200BBF">
            <w:pPr>
              <w:overflowPunct w:val="0"/>
              <w:rPr>
                <w:rFonts w:ascii="Arial" w:hAnsi="Arial" w:cs="Arial"/>
                <w:b/>
                <w:bCs/>
                <w:kern w:val="24"/>
                <w:sz w:val="20"/>
                <w:szCs w:val="20"/>
                <w:lang w:val="en-ZA" w:eastAsia="en-GB"/>
              </w:rPr>
            </w:pP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80" w:type="dxa"/>
              <w:bottom w:w="0" w:type="dxa"/>
              <w:right w:w="180" w:type="dxa"/>
            </w:tcMar>
          </w:tcPr>
          <w:p w:rsidR="00200BBF" w:rsidRPr="00551726" w:rsidRDefault="00200BBF" w:rsidP="00200BBF">
            <w:pPr>
              <w:overflowPunct w:val="0"/>
              <w:rPr>
                <w:rFonts w:ascii="Arial" w:hAnsi="Arial" w:cs="Arial"/>
                <w:kern w:val="24"/>
                <w:sz w:val="20"/>
                <w:szCs w:val="20"/>
                <w:lang w:val="en-ZA" w:eastAsia="en-GB"/>
              </w:rPr>
            </w:pPr>
          </w:p>
        </w:tc>
        <w:tc>
          <w:tcPr>
            <w:tcW w:w="1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overflowPunct w:val="0"/>
              <w:rPr>
                <w:rFonts w:ascii="Arial" w:hAnsi="Arial" w:cs="Arial"/>
                <w:kern w:val="24"/>
                <w:sz w:val="20"/>
                <w:szCs w:val="20"/>
                <w:lang w:val="en-ZA" w:eastAsia="en-GB"/>
              </w:rPr>
            </w:pP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overflowPunct w:val="0"/>
              <w:spacing w:line="360" w:lineRule="auto"/>
              <w:rPr>
                <w:rFonts w:ascii="Arial" w:hAnsi="Arial" w:cs="Arial"/>
                <w:color w:val="000000"/>
                <w:kern w:val="24"/>
                <w:sz w:val="20"/>
                <w:szCs w:val="20"/>
                <w:lang w:val="en-ZA" w:eastAsia="en-GB"/>
              </w:rPr>
            </w:pPr>
          </w:p>
        </w:tc>
        <w:tc>
          <w:tcPr>
            <w:tcW w:w="7538" w:type="dxa"/>
            <w:vMerge/>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200BBF" w:rsidRPr="00551726" w:rsidRDefault="00200BBF" w:rsidP="00200BBF">
            <w:pPr>
              <w:rPr>
                <w:rFonts w:ascii="Arial" w:hAnsi="Arial" w:cs="Arial"/>
                <w:b/>
                <w:bCs/>
                <w:color w:val="FF0000"/>
                <w:kern w:val="24"/>
                <w:sz w:val="20"/>
                <w:szCs w:val="20"/>
                <w:lang w:val="en-ZA" w:eastAsia="en-GB"/>
              </w:rPr>
            </w:pPr>
          </w:p>
        </w:tc>
      </w:tr>
    </w:tbl>
    <w:p w:rsidR="00200BBF" w:rsidRPr="00551726" w:rsidRDefault="00200BBF" w:rsidP="00200BBF">
      <w:pPr>
        <w:rPr>
          <w:rFonts w:ascii="Arial" w:hAnsi="Arial" w:cs="Arial"/>
          <w:sz w:val="20"/>
          <w:szCs w:val="20"/>
        </w:rPr>
      </w:pPr>
    </w:p>
    <w:p w:rsidR="00551726" w:rsidRDefault="00551726" w:rsidP="00200BBF">
      <w:pPr>
        <w:pStyle w:val="Heading2"/>
        <w:spacing w:line="360" w:lineRule="auto"/>
        <w:rPr>
          <w:rFonts w:ascii="Arial" w:hAnsi="Arial" w:cs="Arial"/>
          <w:sz w:val="20"/>
        </w:rPr>
      </w:pPr>
    </w:p>
    <w:p w:rsidR="00551726" w:rsidRDefault="00551726" w:rsidP="00200BBF">
      <w:pPr>
        <w:pStyle w:val="Heading2"/>
        <w:spacing w:line="360" w:lineRule="auto"/>
        <w:rPr>
          <w:rFonts w:ascii="Arial" w:hAnsi="Arial" w:cs="Arial"/>
          <w:sz w:val="20"/>
        </w:rPr>
      </w:pPr>
    </w:p>
    <w:p w:rsidR="00551726" w:rsidRDefault="00551726" w:rsidP="00200BBF">
      <w:pPr>
        <w:pStyle w:val="Heading2"/>
        <w:spacing w:line="360" w:lineRule="auto"/>
        <w:rPr>
          <w:rFonts w:ascii="Arial" w:hAnsi="Arial" w:cs="Arial"/>
          <w:sz w:val="20"/>
        </w:rPr>
      </w:pPr>
    </w:p>
    <w:p w:rsidR="00551726" w:rsidRDefault="00551726" w:rsidP="00200BBF">
      <w:pPr>
        <w:pStyle w:val="Heading2"/>
        <w:spacing w:line="360" w:lineRule="auto"/>
        <w:rPr>
          <w:rFonts w:ascii="Arial" w:hAnsi="Arial" w:cs="Arial"/>
          <w:sz w:val="20"/>
        </w:rPr>
      </w:pPr>
    </w:p>
    <w:p w:rsidR="00551726" w:rsidRDefault="00551726" w:rsidP="00200BBF">
      <w:pPr>
        <w:pStyle w:val="Heading2"/>
        <w:spacing w:line="360" w:lineRule="auto"/>
        <w:rPr>
          <w:rFonts w:ascii="Arial" w:hAnsi="Arial" w:cs="Arial"/>
          <w:sz w:val="20"/>
        </w:rPr>
      </w:pPr>
    </w:p>
    <w:p w:rsidR="00200BBF" w:rsidRPr="00551726" w:rsidRDefault="00200BBF" w:rsidP="00200BBF">
      <w:pPr>
        <w:pStyle w:val="Heading2"/>
        <w:spacing w:line="360" w:lineRule="auto"/>
        <w:rPr>
          <w:rFonts w:ascii="Arial" w:hAnsi="Arial" w:cs="Arial"/>
          <w:sz w:val="20"/>
        </w:rPr>
      </w:pPr>
      <w:r w:rsidRPr="00551726">
        <w:rPr>
          <w:rFonts w:ascii="Arial" w:hAnsi="Arial" w:cs="Arial"/>
          <w:sz w:val="20"/>
        </w:rPr>
        <w:t>Shell Facilities</w:t>
      </w:r>
    </w:p>
    <w:p w:rsidR="00200BBF" w:rsidRPr="00551726" w:rsidRDefault="00200BBF" w:rsidP="00B72FA2">
      <w:pPr>
        <w:pStyle w:val="Heading3"/>
        <w:keepLines/>
        <w:numPr>
          <w:ilvl w:val="0"/>
          <w:numId w:val="18"/>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t>Shell Kimberly, Northern Cape Province</w:t>
      </w:r>
    </w:p>
    <w:tbl>
      <w:tblPr>
        <w:tblW w:w="5336" w:type="pct"/>
        <w:tblLayout w:type="fixed"/>
        <w:tblCellMar>
          <w:left w:w="0" w:type="dxa"/>
          <w:right w:w="0" w:type="dxa"/>
        </w:tblCellMar>
        <w:tblLook w:val="04A0"/>
      </w:tblPr>
      <w:tblGrid>
        <w:gridCol w:w="1851"/>
        <w:gridCol w:w="1288"/>
        <w:gridCol w:w="1573"/>
        <w:gridCol w:w="1288"/>
        <w:gridCol w:w="9014"/>
      </w:tblGrid>
      <w:tr w:rsidR="00200BBF" w:rsidRPr="00551726" w:rsidTr="00200BBF">
        <w:trPr>
          <w:trHeight w:val="720"/>
        </w:trPr>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Category</w:t>
            </w:r>
          </w:p>
          <w:p w:rsidR="00200BBF" w:rsidRPr="00551726" w:rsidRDefault="00200BBF" w:rsidP="00200BBF">
            <w:pPr>
              <w:rPr>
                <w:rFonts w:ascii="Arial" w:hAnsi="Arial" w:cs="Arial"/>
                <w:sz w:val="20"/>
                <w:szCs w:val="20"/>
              </w:rPr>
            </w:pP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5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3002" w:type="pct"/>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697"/>
        </w:trPr>
        <w:tc>
          <w:tcPr>
            <w:tcW w:w="61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2.4: </w:t>
            </w:r>
            <w:r w:rsidRPr="00551726">
              <w:rPr>
                <w:rFonts w:ascii="Arial" w:hAnsi="Arial" w:cs="Arial"/>
                <w:sz w:val="20"/>
                <w:szCs w:val="20"/>
              </w:rPr>
              <w:t>Handling &amp; Storage of Petroleum Products</w:t>
            </w:r>
          </w:p>
        </w:tc>
        <w:tc>
          <w:tcPr>
            <w:tcW w:w="4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Vapour Recovery Units</w:t>
            </w:r>
          </w:p>
        </w:tc>
        <w:tc>
          <w:tcPr>
            <w:tcW w:w="5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2017 </w:t>
            </w:r>
          </w:p>
        </w:tc>
        <w:tc>
          <w:tcPr>
            <w:tcW w:w="4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bCs/>
                <w:sz w:val="20"/>
                <w:szCs w:val="20"/>
              </w:rPr>
            </w:pPr>
            <w:r w:rsidRPr="00551726">
              <w:rPr>
                <w:rFonts w:ascii="Arial" w:hAnsi="Arial" w:cs="Arial"/>
                <w:sz w:val="20"/>
                <w:szCs w:val="20"/>
              </w:rPr>
              <w:t>Total Volatile Organic Compounds</w:t>
            </w:r>
          </w:p>
        </w:tc>
        <w:tc>
          <w:tcPr>
            <w:tcW w:w="3002" w:type="pct"/>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rPr>
            </w:pPr>
            <w:r w:rsidRPr="00551726">
              <w:rPr>
                <w:rFonts w:ascii="Arial" w:hAnsi="Arial" w:cs="Arial"/>
                <w:bCs/>
                <w:sz w:val="20"/>
                <w:szCs w:val="20"/>
              </w:rPr>
              <w:t>Shell provided similar reasons to those in the Polokwane terminal application an included the following for the Kimberly terminal application:</w:t>
            </w:r>
          </w:p>
          <w:p w:rsidR="00200BBF" w:rsidRPr="00551726" w:rsidRDefault="00200BBF" w:rsidP="00200BBF">
            <w:pPr>
              <w:rPr>
                <w:rFonts w:ascii="Arial" w:hAnsi="Arial" w:cs="Arial"/>
                <w:bCs/>
                <w:sz w:val="20"/>
                <w:szCs w:val="20"/>
              </w:rPr>
            </w:pPr>
            <w:r w:rsidRPr="00551726">
              <w:rPr>
                <w:rFonts w:ascii="Arial" w:hAnsi="Arial" w:cs="Arial"/>
                <w:bCs/>
                <w:sz w:val="20"/>
                <w:szCs w:val="20"/>
              </w:rPr>
              <w:t xml:space="preserve">Shell requests a three year postponement for the installation of the vapour recovery unit at the Kimberly terminal. The postponement will assist Shell in the effective planning and scheduling of resources needed to ensure that the installations meet all the engineering standards. </w:t>
            </w:r>
          </w:p>
        </w:tc>
      </w:tr>
    </w:tbl>
    <w:p w:rsidR="00200BBF" w:rsidRPr="00551726" w:rsidRDefault="00200BBF" w:rsidP="00200BBF">
      <w:pPr>
        <w:rPr>
          <w:rFonts w:ascii="Arial" w:hAnsi="Arial" w:cs="Arial"/>
          <w:sz w:val="20"/>
          <w:szCs w:val="20"/>
        </w:rPr>
      </w:pPr>
    </w:p>
    <w:p w:rsidR="00200BBF" w:rsidRPr="00551726" w:rsidRDefault="00200BBF" w:rsidP="00B72FA2">
      <w:pPr>
        <w:pStyle w:val="Heading3"/>
        <w:keepLines/>
        <w:numPr>
          <w:ilvl w:val="0"/>
          <w:numId w:val="18"/>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t>Shell Ladysmith, KwaZulu-Natal Province</w:t>
      </w:r>
    </w:p>
    <w:tbl>
      <w:tblPr>
        <w:tblW w:w="5336" w:type="pct"/>
        <w:tblLayout w:type="fixed"/>
        <w:tblCellMar>
          <w:left w:w="0" w:type="dxa"/>
          <w:right w:w="0" w:type="dxa"/>
        </w:tblCellMar>
        <w:tblLook w:val="04A0"/>
      </w:tblPr>
      <w:tblGrid>
        <w:gridCol w:w="1851"/>
        <w:gridCol w:w="1288"/>
        <w:gridCol w:w="1573"/>
        <w:gridCol w:w="1288"/>
        <w:gridCol w:w="9014"/>
      </w:tblGrid>
      <w:tr w:rsidR="00200BBF" w:rsidRPr="00551726" w:rsidTr="00200BBF">
        <w:trPr>
          <w:trHeight w:val="720"/>
        </w:trPr>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Category</w:t>
            </w:r>
          </w:p>
          <w:p w:rsidR="00200BBF" w:rsidRPr="00551726" w:rsidRDefault="00200BBF" w:rsidP="00200BBF">
            <w:pPr>
              <w:rPr>
                <w:rFonts w:ascii="Arial" w:hAnsi="Arial" w:cs="Arial"/>
                <w:sz w:val="20"/>
                <w:szCs w:val="20"/>
              </w:rPr>
            </w:pP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5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3002" w:type="pct"/>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781"/>
        </w:trPr>
        <w:tc>
          <w:tcPr>
            <w:tcW w:w="61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2.4: </w:t>
            </w:r>
            <w:r w:rsidRPr="00551726">
              <w:rPr>
                <w:rFonts w:ascii="Arial" w:hAnsi="Arial" w:cs="Arial"/>
                <w:sz w:val="20"/>
                <w:szCs w:val="20"/>
              </w:rPr>
              <w:t>Handling &amp; Storage of Petroleum Products</w:t>
            </w:r>
          </w:p>
        </w:tc>
        <w:tc>
          <w:tcPr>
            <w:tcW w:w="4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Vapour Recovery Units</w:t>
            </w:r>
          </w:p>
        </w:tc>
        <w:tc>
          <w:tcPr>
            <w:tcW w:w="5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2017 </w:t>
            </w:r>
          </w:p>
        </w:tc>
        <w:tc>
          <w:tcPr>
            <w:tcW w:w="4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bCs/>
                <w:sz w:val="20"/>
                <w:szCs w:val="20"/>
              </w:rPr>
            </w:pPr>
            <w:r w:rsidRPr="00551726">
              <w:rPr>
                <w:rFonts w:ascii="Arial" w:hAnsi="Arial" w:cs="Arial"/>
                <w:sz w:val="20"/>
                <w:szCs w:val="20"/>
              </w:rPr>
              <w:t>Total Volatile Organic Compounds</w:t>
            </w:r>
          </w:p>
        </w:tc>
        <w:tc>
          <w:tcPr>
            <w:tcW w:w="3002" w:type="pct"/>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rPr>
            </w:pPr>
            <w:r w:rsidRPr="00551726">
              <w:rPr>
                <w:rFonts w:ascii="Arial" w:hAnsi="Arial" w:cs="Arial"/>
                <w:bCs/>
                <w:sz w:val="20"/>
                <w:szCs w:val="20"/>
              </w:rPr>
              <w:t>Shell provided similar reasons to those in the Polokwane terminal application an included the following for the Ladysmith terminal application:</w:t>
            </w:r>
          </w:p>
          <w:p w:rsidR="00200BBF" w:rsidRPr="00551726" w:rsidRDefault="00200BBF" w:rsidP="00200BBF">
            <w:pPr>
              <w:rPr>
                <w:rFonts w:ascii="Arial" w:hAnsi="Arial" w:cs="Arial"/>
                <w:bCs/>
                <w:sz w:val="20"/>
                <w:szCs w:val="20"/>
              </w:rPr>
            </w:pPr>
            <w:r w:rsidRPr="00551726">
              <w:rPr>
                <w:rFonts w:ascii="Arial" w:hAnsi="Arial" w:cs="Arial"/>
                <w:bCs/>
                <w:sz w:val="20"/>
                <w:szCs w:val="20"/>
              </w:rPr>
              <w:t xml:space="preserve">Shell requests a three year postponement for the installation of the vapour recovery unit at the Ladysmith terminal. The postponement will assist Shell in the effective planning and scheduling of resources needed to ensure that the installations meet all the engineering standards. </w:t>
            </w: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B72FA2">
      <w:pPr>
        <w:pStyle w:val="Heading3"/>
        <w:keepLines/>
        <w:numPr>
          <w:ilvl w:val="0"/>
          <w:numId w:val="18"/>
        </w:numPr>
        <w:overflowPunct w:val="0"/>
        <w:autoSpaceDE w:val="0"/>
        <w:autoSpaceDN w:val="0"/>
        <w:adjustRightInd w:val="0"/>
        <w:snapToGrid/>
        <w:spacing w:line="360" w:lineRule="auto"/>
        <w:ind w:hanging="720"/>
        <w:jc w:val="both"/>
        <w:textAlignment w:val="baseline"/>
        <w:rPr>
          <w:rFonts w:cs="Arial"/>
          <w:sz w:val="20"/>
        </w:rPr>
      </w:pPr>
      <w:r w:rsidRPr="00551726">
        <w:rPr>
          <w:rFonts w:cs="Arial"/>
          <w:sz w:val="20"/>
        </w:rPr>
        <w:lastRenderedPageBreak/>
        <w:t>Shell Polokwane, Limpopo Province</w:t>
      </w:r>
    </w:p>
    <w:tbl>
      <w:tblPr>
        <w:tblW w:w="5336" w:type="pct"/>
        <w:tblLayout w:type="fixed"/>
        <w:tblCellMar>
          <w:left w:w="0" w:type="dxa"/>
          <w:right w:w="0" w:type="dxa"/>
        </w:tblCellMar>
        <w:tblLook w:val="04A0"/>
      </w:tblPr>
      <w:tblGrid>
        <w:gridCol w:w="1851"/>
        <w:gridCol w:w="1288"/>
        <w:gridCol w:w="1573"/>
        <w:gridCol w:w="1288"/>
        <w:gridCol w:w="9014"/>
      </w:tblGrid>
      <w:tr w:rsidR="00200BBF" w:rsidRPr="00551726" w:rsidTr="00200BBF">
        <w:trPr>
          <w:trHeight w:val="720"/>
        </w:trPr>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Category</w:t>
            </w:r>
          </w:p>
          <w:p w:rsidR="00200BBF" w:rsidRPr="00551726" w:rsidRDefault="00200BBF" w:rsidP="00200BBF">
            <w:pPr>
              <w:rPr>
                <w:rFonts w:ascii="Arial" w:hAnsi="Arial" w:cs="Arial"/>
                <w:sz w:val="20"/>
                <w:szCs w:val="20"/>
              </w:rPr>
            </w:pP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5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3002" w:type="pct"/>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181"/>
        </w:trPr>
        <w:tc>
          <w:tcPr>
            <w:tcW w:w="61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2.4: </w:t>
            </w:r>
            <w:r w:rsidRPr="00551726">
              <w:rPr>
                <w:rFonts w:ascii="Arial" w:hAnsi="Arial" w:cs="Arial"/>
                <w:sz w:val="20"/>
                <w:szCs w:val="20"/>
              </w:rPr>
              <w:t>Handling &amp; Storage of Petroleum Products</w:t>
            </w:r>
          </w:p>
        </w:tc>
        <w:tc>
          <w:tcPr>
            <w:tcW w:w="4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Vapour Recovery Units</w:t>
            </w:r>
          </w:p>
        </w:tc>
        <w:tc>
          <w:tcPr>
            <w:tcW w:w="5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2017 </w:t>
            </w:r>
          </w:p>
        </w:tc>
        <w:tc>
          <w:tcPr>
            <w:tcW w:w="4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bCs/>
                <w:sz w:val="20"/>
                <w:szCs w:val="20"/>
              </w:rPr>
            </w:pPr>
            <w:r w:rsidRPr="00551726">
              <w:rPr>
                <w:rFonts w:ascii="Arial" w:hAnsi="Arial" w:cs="Arial"/>
                <w:sz w:val="20"/>
                <w:szCs w:val="20"/>
              </w:rPr>
              <w:t>Total Volatile Organic Compounds</w:t>
            </w:r>
          </w:p>
        </w:tc>
        <w:tc>
          <w:tcPr>
            <w:tcW w:w="3002" w:type="pct"/>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rPr>
            </w:pPr>
            <w:r w:rsidRPr="00551726">
              <w:rPr>
                <w:rFonts w:ascii="Arial" w:hAnsi="Arial" w:cs="Arial"/>
                <w:bCs/>
                <w:sz w:val="20"/>
                <w:szCs w:val="20"/>
              </w:rPr>
              <w:t>Shell South Africa intends to install the vapour recovery units as per the requirements of the legislation. However, due to the number of Shell terminals in the country and the high capital outlay associated with the installation of the vapour recovery units, Shell wishes to apply for postponement of the compliance timeframes for the Polokwane terminal. This will aloe Shell to more effectively manage its cash flow.</w:t>
            </w:r>
          </w:p>
        </w:tc>
      </w:tr>
    </w:tbl>
    <w:p w:rsidR="00200BBF" w:rsidRPr="00551726" w:rsidRDefault="00200BBF" w:rsidP="00200BBF">
      <w:pPr>
        <w:rPr>
          <w:rFonts w:ascii="Arial" w:hAnsi="Arial" w:cs="Arial"/>
          <w:sz w:val="20"/>
          <w:szCs w:val="20"/>
        </w:rPr>
      </w:pPr>
    </w:p>
    <w:p w:rsidR="00200BBF" w:rsidRPr="00551726" w:rsidRDefault="00200BBF" w:rsidP="00B72FA2">
      <w:pPr>
        <w:pStyle w:val="Heading3"/>
        <w:keepLines/>
        <w:numPr>
          <w:ilvl w:val="0"/>
          <w:numId w:val="18"/>
        </w:numPr>
        <w:overflowPunct w:val="0"/>
        <w:autoSpaceDE w:val="0"/>
        <w:autoSpaceDN w:val="0"/>
        <w:adjustRightInd w:val="0"/>
        <w:snapToGrid/>
        <w:spacing w:before="200" w:line="360" w:lineRule="auto"/>
        <w:jc w:val="both"/>
        <w:textAlignment w:val="baseline"/>
        <w:rPr>
          <w:rFonts w:cs="Arial"/>
          <w:sz w:val="20"/>
        </w:rPr>
      </w:pPr>
      <w:r w:rsidRPr="00551726">
        <w:rPr>
          <w:rFonts w:cs="Arial"/>
          <w:sz w:val="20"/>
        </w:rPr>
        <w:t>Shell Port Elizabeth, Eastern Cape Province</w:t>
      </w:r>
    </w:p>
    <w:tbl>
      <w:tblPr>
        <w:tblW w:w="5336" w:type="pct"/>
        <w:tblLayout w:type="fixed"/>
        <w:tblCellMar>
          <w:left w:w="0" w:type="dxa"/>
          <w:right w:w="0" w:type="dxa"/>
        </w:tblCellMar>
        <w:tblLook w:val="04A0"/>
      </w:tblPr>
      <w:tblGrid>
        <w:gridCol w:w="1851"/>
        <w:gridCol w:w="1288"/>
        <w:gridCol w:w="1573"/>
        <w:gridCol w:w="1288"/>
        <w:gridCol w:w="9014"/>
      </w:tblGrid>
      <w:tr w:rsidR="00200BBF" w:rsidRPr="00551726" w:rsidTr="00200BBF">
        <w:trPr>
          <w:trHeight w:val="720"/>
        </w:trPr>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Category</w:t>
            </w:r>
          </w:p>
          <w:p w:rsidR="00200BBF" w:rsidRPr="00551726" w:rsidRDefault="00200BBF" w:rsidP="00200BBF">
            <w:pPr>
              <w:rPr>
                <w:rFonts w:ascii="Arial" w:hAnsi="Arial" w:cs="Arial"/>
                <w:sz w:val="20"/>
                <w:szCs w:val="20"/>
              </w:rPr>
            </w:pP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5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3002" w:type="pct"/>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187"/>
        </w:trPr>
        <w:tc>
          <w:tcPr>
            <w:tcW w:w="61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2.4: </w:t>
            </w:r>
            <w:r w:rsidRPr="00551726">
              <w:rPr>
                <w:rFonts w:ascii="Arial" w:hAnsi="Arial" w:cs="Arial"/>
                <w:sz w:val="20"/>
                <w:szCs w:val="20"/>
              </w:rPr>
              <w:t>Handling &amp; Storage of Petroleum Products</w:t>
            </w:r>
          </w:p>
        </w:tc>
        <w:tc>
          <w:tcPr>
            <w:tcW w:w="4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Vapour Recovery Units</w:t>
            </w:r>
          </w:p>
        </w:tc>
        <w:tc>
          <w:tcPr>
            <w:tcW w:w="5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2017 </w:t>
            </w:r>
          </w:p>
        </w:tc>
        <w:tc>
          <w:tcPr>
            <w:tcW w:w="4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bCs/>
                <w:sz w:val="20"/>
                <w:szCs w:val="20"/>
              </w:rPr>
            </w:pPr>
            <w:r w:rsidRPr="00551726">
              <w:rPr>
                <w:rFonts w:ascii="Arial" w:hAnsi="Arial" w:cs="Arial"/>
                <w:sz w:val="20"/>
                <w:szCs w:val="20"/>
              </w:rPr>
              <w:t>Total Volatile Organic Compounds</w:t>
            </w:r>
          </w:p>
        </w:tc>
        <w:tc>
          <w:tcPr>
            <w:tcW w:w="3002" w:type="pct"/>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rPr>
            </w:pPr>
            <w:r w:rsidRPr="00551726">
              <w:rPr>
                <w:rFonts w:ascii="Arial" w:hAnsi="Arial" w:cs="Arial"/>
                <w:bCs/>
                <w:sz w:val="20"/>
                <w:szCs w:val="20"/>
              </w:rPr>
              <w:t>The installation of a vapour recovery unit at the terminal’s loading gantry cannot be justified considering the limited life span of the current location. Shell South Africa wishes to apply for a postponement of the compliance of time frames with regard to the installation of the vapour recovery unit, which has been incorporated into the design of the new facility at the Coega IDZ.</w:t>
            </w: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pStyle w:val="Heading2"/>
        <w:rPr>
          <w:rFonts w:ascii="Arial" w:hAnsi="Arial" w:cs="Arial"/>
          <w:sz w:val="20"/>
        </w:rPr>
      </w:pPr>
      <w:r w:rsidRPr="00551726">
        <w:rPr>
          <w:rFonts w:ascii="Arial" w:hAnsi="Arial" w:cs="Arial"/>
          <w:sz w:val="20"/>
        </w:rPr>
        <w:t>Total Facilities</w:t>
      </w:r>
    </w:p>
    <w:p w:rsidR="00200BBF" w:rsidRPr="00551726" w:rsidRDefault="00200BBF" w:rsidP="00200BBF">
      <w:pPr>
        <w:rPr>
          <w:rFonts w:ascii="Arial" w:hAnsi="Arial" w:cs="Arial"/>
          <w:sz w:val="20"/>
          <w:szCs w:val="20"/>
        </w:rPr>
      </w:pPr>
    </w:p>
    <w:p w:rsidR="00200BBF" w:rsidRPr="00551726" w:rsidRDefault="00200BBF" w:rsidP="00200BBF">
      <w:pPr>
        <w:pStyle w:val="Heading3"/>
        <w:rPr>
          <w:rFonts w:cs="Arial"/>
          <w:sz w:val="20"/>
        </w:rPr>
      </w:pPr>
      <w:r w:rsidRPr="00551726">
        <w:rPr>
          <w:rFonts w:cs="Arial"/>
          <w:sz w:val="20"/>
        </w:rPr>
        <w:t>Total Bethlehem, Free State Province</w:t>
      </w:r>
    </w:p>
    <w:tbl>
      <w:tblPr>
        <w:tblW w:w="5336" w:type="pct"/>
        <w:tblLayout w:type="fixed"/>
        <w:tblCellMar>
          <w:left w:w="0" w:type="dxa"/>
          <w:right w:w="0" w:type="dxa"/>
        </w:tblCellMar>
        <w:tblLook w:val="04A0"/>
      </w:tblPr>
      <w:tblGrid>
        <w:gridCol w:w="1851"/>
        <w:gridCol w:w="1288"/>
        <w:gridCol w:w="1573"/>
        <w:gridCol w:w="1288"/>
        <w:gridCol w:w="9014"/>
      </w:tblGrid>
      <w:tr w:rsidR="00200BBF" w:rsidRPr="00551726" w:rsidTr="00200BBF">
        <w:trPr>
          <w:trHeight w:val="720"/>
        </w:trPr>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Category</w:t>
            </w:r>
          </w:p>
          <w:p w:rsidR="00200BBF" w:rsidRPr="00551726" w:rsidRDefault="00200BBF" w:rsidP="00200BBF">
            <w:pPr>
              <w:rPr>
                <w:rFonts w:ascii="Arial" w:hAnsi="Arial" w:cs="Arial"/>
                <w:sz w:val="20"/>
                <w:szCs w:val="20"/>
              </w:rPr>
            </w:pP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5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3002" w:type="pct"/>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187"/>
        </w:trPr>
        <w:tc>
          <w:tcPr>
            <w:tcW w:w="61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lastRenderedPageBreak/>
              <w:t xml:space="preserve">Subcategory 2.4: </w:t>
            </w:r>
            <w:r w:rsidRPr="00551726">
              <w:rPr>
                <w:rFonts w:ascii="Arial" w:hAnsi="Arial" w:cs="Arial"/>
                <w:sz w:val="20"/>
                <w:szCs w:val="20"/>
              </w:rPr>
              <w:t>Handling &amp; Storage of Petroleum Products</w:t>
            </w:r>
          </w:p>
        </w:tc>
        <w:tc>
          <w:tcPr>
            <w:tcW w:w="4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Vapour Recovery Units</w:t>
            </w:r>
          </w:p>
        </w:tc>
        <w:tc>
          <w:tcPr>
            <w:tcW w:w="5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2015 – 2016</w:t>
            </w:r>
          </w:p>
        </w:tc>
        <w:tc>
          <w:tcPr>
            <w:tcW w:w="4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bCs/>
                <w:sz w:val="20"/>
                <w:szCs w:val="20"/>
              </w:rPr>
            </w:pPr>
            <w:r w:rsidRPr="00551726">
              <w:rPr>
                <w:rFonts w:ascii="Arial" w:hAnsi="Arial" w:cs="Arial"/>
                <w:sz w:val="20"/>
                <w:szCs w:val="20"/>
              </w:rPr>
              <w:t>Total Volatile Organic Compounds</w:t>
            </w:r>
          </w:p>
        </w:tc>
        <w:tc>
          <w:tcPr>
            <w:tcW w:w="3002" w:type="pct"/>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rPr>
            </w:pPr>
            <w:r w:rsidRPr="00551726">
              <w:rPr>
                <w:rFonts w:ascii="Arial" w:hAnsi="Arial" w:cs="Arial"/>
                <w:bCs/>
                <w:iCs/>
                <w:color w:val="000000"/>
                <w:sz w:val="20"/>
                <w:szCs w:val="20"/>
              </w:rPr>
              <w:t>Total has indicated that the reason for the postponement application is mainly costs and the fact that the facility’s emissions have no impact on human health or the environment. Another reason is that due to the large number of its depots and the high capital outlay associated with the installation of the vapour recovery units, Total needs the postponement to manage its cash flow more effectively.</w:t>
            </w:r>
          </w:p>
        </w:tc>
      </w:tr>
    </w:tbl>
    <w:p w:rsidR="00200BBF" w:rsidRPr="00551726" w:rsidRDefault="00200BBF" w:rsidP="00200BBF">
      <w:pPr>
        <w:rPr>
          <w:rFonts w:ascii="Arial" w:hAnsi="Arial" w:cs="Arial"/>
          <w:sz w:val="20"/>
          <w:szCs w:val="20"/>
        </w:rPr>
      </w:pPr>
    </w:p>
    <w:p w:rsidR="00200BBF" w:rsidRPr="00551726" w:rsidRDefault="00200BBF" w:rsidP="00200BBF">
      <w:pPr>
        <w:rPr>
          <w:rFonts w:ascii="Arial" w:hAnsi="Arial" w:cs="Arial"/>
          <w:sz w:val="20"/>
          <w:szCs w:val="20"/>
        </w:rPr>
      </w:pPr>
    </w:p>
    <w:p w:rsidR="00200BBF" w:rsidRPr="00551726" w:rsidRDefault="00200BBF" w:rsidP="00200BBF">
      <w:pPr>
        <w:pStyle w:val="Heading3"/>
        <w:rPr>
          <w:rFonts w:cs="Arial"/>
          <w:sz w:val="20"/>
        </w:rPr>
      </w:pPr>
      <w:r w:rsidRPr="00551726">
        <w:rPr>
          <w:rFonts w:cs="Arial"/>
          <w:sz w:val="20"/>
        </w:rPr>
        <w:t>Total Polokwane, Limpopo Province</w:t>
      </w:r>
    </w:p>
    <w:tbl>
      <w:tblPr>
        <w:tblW w:w="5336" w:type="pct"/>
        <w:tblLayout w:type="fixed"/>
        <w:tblCellMar>
          <w:left w:w="0" w:type="dxa"/>
          <w:right w:w="0" w:type="dxa"/>
        </w:tblCellMar>
        <w:tblLook w:val="04A0"/>
      </w:tblPr>
      <w:tblGrid>
        <w:gridCol w:w="1851"/>
        <w:gridCol w:w="1288"/>
        <w:gridCol w:w="1573"/>
        <w:gridCol w:w="1288"/>
        <w:gridCol w:w="9014"/>
      </w:tblGrid>
      <w:tr w:rsidR="00200BBF" w:rsidRPr="00551726" w:rsidTr="00200BBF">
        <w:trPr>
          <w:trHeight w:val="720"/>
        </w:trPr>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Category</w:t>
            </w:r>
          </w:p>
          <w:p w:rsidR="00200BBF" w:rsidRPr="00551726" w:rsidRDefault="00200BBF" w:rsidP="00200BBF">
            <w:pPr>
              <w:rPr>
                <w:rFonts w:ascii="Arial" w:hAnsi="Arial" w:cs="Arial"/>
                <w:sz w:val="20"/>
                <w:szCs w:val="20"/>
              </w:rPr>
            </w:pP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Appliance</w:t>
            </w:r>
          </w:p>
        </w:tc>
        <w:tc>
          <w:tcPr>
            <w:tcW w:w="5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Postponement Period Sought</w:t>
            </w:r>
          </w:p>
        </w:tc>
        <w:tc>
          <w:tcPr>
            <w:tcW w:w="4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00BBF" w:rsidRPr="00551726" w:rsidRDefault="00200BBF" w:rsidP="00200BBF">
            <w:pPr>
              <w:rPr>
                <w:rFonts w:ascii="Arial" w:hAnsi="Arial" w:cs="Arial"/>
                <w:b/>
                <w:bCs/>
                <w:sz w:val="20"/>
                <w:szCs w:val="20"/>
              </w:rPr>
            </w:pPr>
            <w:r w:rsidRPr="00551726">
              <w:rPr>
                <w:rFonts w:ascii="Arial" w:hAnsi="Arial" w:cs="Arial"/>
                <w:b/>
                <w:bCs/>
                <w:sz w:val="20"/>
                <w:szCs w:val="20"/>
              </w:rPr>
              <w:t>Pollutant</w:t>
            </w:r>
          </w:p>
        </w:tc>
        <w:tc>
          <w:tcPr>
            <w:tcW w:w="3002" w:type="pct"/>
            <w:tcBorders>
              <w:top w:val="single" w:sz="8" w:space="0" w:color="FFFFFF"/>
              <w:left w:val="single" w:sz="8" w:space="0" w:color="FFFFFF"/>
              <w:right w:val="single" w:sz="8" w:space="0" w:color="FFFFFF"/>
            </w:tcBorders>
            <w:shd w:val="clear" w:color="auto" w:fill="4F81BD"/>
            <w:vAlign w:val="center"/>
          </w:tcPr>
          <w:p w:rsidR="00200BBF" w:rsidRPr="00551726" w:rsidRDefault="00200BBF" w:rsidP="00200BBF">
            <w:pPr>
              <w:jc w:val="center"/>
              <w:rPr>
                <w:rFonts w:ascii="Arial" w:hAnsi="Arial" w:cs="Arial"/>
                <w:b/>
                <w:bCs/>
                <w:sz w:val="20"/>
                <w:szCs w:val="20"/>
              </w:rPr>
            </w:pPr>
            <w:r w:rsidRPr="00551726">
              <w:rPr>
                <w:rFonts w:ascii="Arial" w:hAnsi="Arial" w:cs="Arial"/>
                <w:b/>
                <w:bCs/>
                <w:sz w:val="20"/>
                <w:szCs w:val="20"/>
              </w:rPr>
              <w:t>Justification &amp; Reasons for Postponement Application</w:t>
            </w:r>
          </w:p>
        </w:tc>
      </w:tr>
      <w:tr w:rsidR="00200BBF" w:rsidRPr="00551726" w:rsidTr="00200BBF">
        <w:trPr>
          <w:trHeight w:val="1187"/>
        </w:trPr>
        <w:tc>
          <w:tcPr>
            <w:tcW w:w="61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b/>
                <w:bCs/>
                <w:sz w:val="20"/>
                <w:szCs w:val="20"/>
              </w:rPr>
              <w:t xml:space="preserve">Subcategory 2.4: </w:t>
            </w:r>
            <w:r w:rsidRPr="00551726">
              <w:rPr>
                <w:rFonts w:ascii="Arial" w:hAnsi="Arial" w:cs="Arial"/>
                <w:sz w:val="20"/>
                <w:szCs w:val="20"/>
              </w:rPr>
              <w:t>Handling &amp; Storage of Petroleum Products</w:t>
            </w:r>
          </w:p>
        </w:tc>
        <w:tc>
          <w:tcPr>
            <w:tcW w:w="4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lang w:val="en-ZA"/>
              </w:rPr>
              <w:t>Vapour Recovery Units</w:t>
            </w:r>
          </w:p>
        </w:tc>
        <w:tc>
          <w:tcPr>
            <w:tcW w:w="5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00BBF" w:rsidRPr="00551726" w:rsidRDefault="00200BBF" w:rsidP="00200BBF">
            <w:pPr>
              <w:rPr>
                <w:rFonts w:ascii="Arial" w:hAnsi="Arial" w:cs="Arial"/>
                <w:sz w:val="20"/>
                <w:szCs w:val="20"/>
              </w:rPr>
            </w:pPr>
            <w:r w:rsidRPr="00551726">
              <w:rPr>
                <w:rFonts w:ascii="Arial" w:hAnsi="Arial" w:cs="Arial"/>
                <w:sz w:val="20"/>
                <w:szCs w:val="20"/>
              </w:rPr>
              <w:t xml:space="preserve">2015 – 2016 </w:t>
            </w:r>
          </w:p>
        </w:tc>
        <w:tc>
          <w:tcPr>
            <w:tcW w:w="4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00BBF" w:rsidRPr="00551726" w:rsidRDefault="00200BBF" w:rsidP="00200BBF">
            <w:pPr>
              <w:rPr>
                <w:rFonts w:ascii="Arial" w:hAnsi="Arial" w:cs="Arial"/>
                <w:b/>
                <w:bCs/>
                <w:sz w:val="20"/>
                <w:szCs w:val="20"/>
              </w:rPr>
            </w:pPr>
            <w:r w:rsidRPr="00551726">
              <w:rPr>
                <w:rFonts w:ascii="Arial" w:hAnsi="Arial" w:cs="Arial"/>
                <w:sz w:val="20"/>
                <w:szCs w:val="20"/>
              </w:rPr>
              <w:t>Total Volatile Organic Compounds</w:t>
            </w:r>
          </w:p>
        </w:tc>
        <w:tc>
          <w:tcPr>
            <w:tcW w:w="3002" w:type="pct"/>
            <w:tcBorders>
              <w:top w:val="single" w:sz="8" w:space="0" w:color="FFFFFF"/>
              <w:left w:val="single" w:sz="8" w:space="0" w:color="FFFFFF"/>
              <w:bottom w:val="single" w:sz="8" w:space="0" w:color="FFFFFF"/>
              <w:right w:val="single" w:sz="8" w:space="0" w:color="FFFFFF"/>
            </w:tcBorders>
            <w:shd w:val="clear" w:color="auto" w:fill="D0D8E8"/>
          </w:tcPr>
          <w:p w:rsidR="00200BBF" w:rsidRPr="00551726" w:rsidRDefault="00200BBF" w:rsidP="00200BBF">
            <w:pPr>
              <w:rPr>
                <w:rFonts w:ascii="Arial" w:hAnsi="Arial" w:cs="Arial"/>
                <w:bCs/>
                <w:sz w:val="20"/>
                <w:szCs w:val="20"/>
              </w:rPr>
            </w:pPr>
            <w:r w:rsidRPr="00551726">
              <w:rPr>
                <w:rFonts w:ascii="Arial" w:hAnsi="Arial" w:cs="Arial"/>
                <w:bCs/>
                <w:iCs/>
                <w:color w:val="000000"/>
                <w:sz w:val="20"/>
                <w:szCs w:val="20"/>
              </w:rPr>
              <w:t>Total has indicated that the reason for the postponement application is mainly costs and the fact that the facility’s emissions have no impact on human health or the environment. Another reason is that due to the large number of its depots and the high capital outlay associated with the installation of the vapour recovery units, Total needs the postponement to manage its cash flow more effectively.</w:t>
            </w:r>
          </w:p>
        </w:tc>
      </w:tr>
    </w:tbl>
    <w:p w:rsidR="00200BBF" w:rsidRPr="00551726" w:rsidRDefault="00200BBF" w:rsidP="00200BBF">
      <w:pPr>
        <w:pStyle w:val="Heading1"/>
        <w:rPr>
          <w:rFonts w:cs="Arial"/>
          <w:sz w:val="20"/>
        </w:rPr>
        <w:sectPr w:rsidR="00200BBF" w:rsidRPr="00551726" w:rsidSect="00200BBF">
          <w:pgSz w:w="16838" w:h="11906" w:orient="landscape"/>
          <w:pgMar w:top="851" w:right="1440" w:bottom="426" w:left="1440" w:header="709" w:footer="709" w:gutter="0"/>
          <w:cols w:space="708"/>
          <w:docGrid w:linePitch="360"/>
        </w:sectPr>
      </w:pPr>
    </w:p>
    <w:p w:rsidR="006B1297" w:rsidRPr="00E24696" w:rsidRDefault="006B1297" w:rsidP="006B1297">
      <w:pPr>
        <w:widowControl w:val="0"/>
        <w:snapToGrid w:val="0"/>
        <w:spacing w:line="360" w:lineRule="auto"/>
        <w:contextualSpacing/>
        <w:jc w:val="both"/>
        <w:rPr>
          <w:rFonts w:ascii="Arial Narrow" w:hAnsi="Arial Narrow" w:cs="Arial"/>
          <w:b/>
        </w:rPr>
      </w:pPr>
      <w:r w:rsidRPr="00E24696">
        <w:rPr>
          <w:rFonts w:ascii="Arial Narrow" w:hAnsi="Arial Narrow" w:cs="Arial"/>
          <w:b/>
        </w:rPr>
        <w:lastRenderedPageBreak/>
        <w:tab/>
      </w:r>
      <w:r w:rsidR="001D0EB2">
        <w:rPr>
          <w:rFonts w:ascii="Arial Narrow" w:hAnsi="Arial Narrow" w:cs="Arial"/>
          <w:b/>
        </w:rPr>
        <w:t>RECOMMENDATI</w:t>
      </w:r>
      <w:r w:rsidR="00892678">
        <w:rPr>
          <w:rFonts w:ascii="Arial Narrow" w:hAnsi="Arial Narrow" w:cs="Arial"/>
          <w:b/>
        </w:rPr>
        <w:t>O</w:t>
      </w:r>
      <w:r w:rsidR="001D0EB2">
        <w:rPr>
          <w:rFonts w:ascii="Arial Narrow" w:hAnsi="Arial Narrow" w:cs="Arial"/>
          <w:b/>
        </w:rPr>
        <w:t>N</w:t>
      </w:r>
      <w:r w:rsidR="00B044B9">
        <w:rPr>
          <w:rFonts w:ascii="Arial Narrow" w:hAnsi="Arial Narrow" w:cs="Arial"/>
          <w:b/>
        </w:rPr>
        <w:t>S</w:t>
      </w:r>
    </w:p>
    <w:p w:rsidR="001D0EB2" w:rsidRDefault="001D0EB2" w:rsidP="006B1297">
      <w:pPr>
        <w:widowControl w:val="0"/>
        <w:snapToGrid w:val="0"/>
        <w:spacing w:line="360" w:lineRule="auto"/>
        <w:ind w:left="720" w:hanging="11"/>
        <w:contextualSpacing/>
        <w:jc w:val="both"/>
        <w:rPr>
          <w:rFonts w:ascii="Arial Narrow" w:hAnsi="Arial Narrow" w:cs="Arial"/>
        </w:rPr>
      </w:pPr>
      <w:r>
        <w:rPr>
          <w:rFonts w:ascii="Arial Narrow" w:hAnsi="Arial Narrow" w:cs="Arial"/>
        </w:rPr>
        <w:t xml:space="preserve">It is recommended that the </w:t>
      </w:r>
      <w:r w:rsidR="006B1297">
        <w:rPr>
          <w:rFonts w:ascii="Arial Narrow" w:hAnsi="Arial Narrow" w:cs="Arial"/>
        </w:rPr>
        <w:t>Portfolio Committee</w:t>
      </w:r>
      <w:r>
        <w:rPr>
          <w:rFonts w:ascii="Arial Narrow" w:hAnsi="Arial Narrow" w:cs="Arial"/>
        </w:rPr>
        <w:t>:</w:t>
      </w:r>
    </w:p>
    <w:p w:rsidR="001D0EB2" w:rsidRPr="001D0EB2" w:rsidRDefault="001D0EB2" w:rsidP="001D0EB2">
      <w:pPr>
        <w:pStyle w:val="ListParagraph"/>
        <w:widowControl w:val="0"/>
        <w:numPr>
          <w:ilvl w:val="0"/>
          <w:numId w:val="29"/>
        </w:numPr>
        <w:snapToGrid w:val="0"/>
        <w:spacing w:line="360" w:lineRule="auto"/>
        <w:ind w:firstLine="0"/>
        <w:jc w:val="both"/>
        <w:rPr>
          <w:rFonts w:ascii="Arial Narrow" w:hAnsi="Arial Narrow" w:cs="Arial"/>
          <w:lang w:val="en-GB"/>
        </w:rPr>
      </w:pPr>
      <w:r w:rsidRPr="001D0EB2">
        <w:rPr>
          <w:rFonts w:ascii="Arial Narrow" w:hAnsi="Arial Narrow" w:cs="Arial"/>
        </w:rPr>
        <w:t xml:space="preserve">Notes </w:t>
      </w:r>
      <w:r w:rsidR="006B1297" w:rsidRPr="001D0EB2">
        <w:rPr>
          <w:rFonts w:ascii="Arial Narrow" w:hAnsi="Arial Narrow" w:cs="Arial"/>
        </w:rPr>
        <w:t xml:space="preserve">the </w:t>
      </w:r>
      <w:r w:rsidRPr="001D0EB2">
        <w:rPr>
          <w:rFonts w:ascii="Arial Narrow" w:hAnsi="Arial Narrow" w:cs="Arial"/>
        </w:rPr>
        <w:t xml:space="preserve">status of the applications for postponement of compliance timeframes for all facilities whose applications have been considered and finalized by the National Air Quality Officer (NAQO) – with the concurrence of Atmospheric Emission Licensing Authorities – between 1 April 2014 and 31 March 2015;  </w:t>
      </w:r>
    </w:p>
    <w:p w:rsidR="001D0EB2" w:rsidRPr="001D0EB2" w:rsidRDefault="001D0EB2" w:rsidP="001D0EB2">
      <w:pPr>
        <w:pStyle w:val="ListParagraph"/>
        <w:widowControl w:val="0"/>
        <w:numPr>
          <w:ilvl w:val="0"/>
          <w:numId w:val="29"/>
        </w:numPr>
        <w:snapToGrid w:val="0"/>
        <w:spacing w:line="360" w:lineRule="auto"/>
        <w:ind w:firstLine="0"/>
        <w:jc w:val="both"/>
        <w:rPr>
          <w:rFonts w:ascii="Arial Narrow" w:hAnsi="Arial Narrow" w:cs="Arial"/>
          <w:lang w:val="en-GB"/>
        </w:rPr>
      </w:pPr>
      <w:r w:rsidRPr="001D0EB2">
        <w:rPr>
          <w:rFonts w:ascii="Arial Narrow" w:hAnsi="Arial Narrow" w:cs="Arial"/>
          <w:lang w:val="en-GB"/>
        </w:rPr>
        <w:t>Notes the s</w:t>
      </w:r>
      <w:r w:rsidR="006B1297" w:rsidRPr="001D0EB2">
        <w:rPr>
          <w:rFonts w:ascii="Arial Narrow" w:hAnsi="Arial Narrow" w:cs="Arial"/>
          <w:lang w:val="en-GB"/>
        </w:rPr>
        <w:t>tatus of postponement decisions and reasons for granting decisions</w:t>
      </w:r>
      <w:r w:rsidRPr="001D0EB2">
        <w:rPr>
          <w:rFonts w:ascii="Arial Narrow" w:hAnsi="Arial Narrow" w:cs="Arial"/>
          <w:lang w:val="en-GB"/>
        </w:rPr>
        <w:t xml:space="preserve">; </w:t>
      </w:r>
    </w:p>
    <w:p w:rsidR="001D0EB2" w:rsidRPr="001D0EB2" w:rsidRDefault="001D0EB2" w:rsidP="001D0EB2">
      <w:pPr>
        <w:pStyle w:val="ListParagraph"/>
        <w:widowControl w:val="0"/>
        <w:numPr>
          <w:ilvl w:val="0"/>
          <w:numId w:val="29"/>
        </w:numPr>
        <w:snapToGrid w:val="0"/>
        <w:spacing w:line="360" w:lineRule="auto"/>
        <w:ind w:firstLine="0"/>
        <w:jc w:val="both"/>
        <w:rPr>
          <w:rFonts w:ascii="Arial Narrow" w:hAnsi="Arial Narrow" w:cs="Arial"/>
          <w:lang w:val="en-GB"/>
        </w:rPr>
      </w:pPr>
      <w:r w:rsidRPr="001D0EB2">
        <w:rPr>
          <w:rFonts w:ascii="Arial Narrow" w:hAnsi="Arial Narrow" w:cs="Arial"/>
          <w:lang w:val="en-GB"/>
        </w:rPr>
        <w:t>Notes the c</w:t>
      </w:r>
      <w:r w:rsidR="006B1297" w:rsidRPr="001D0EB2">
        <w:rPr>
          <w:rFonts w:ascii="Arial Narrow" w:hAnsi="Arial Narrow" w:cs="Arial"/>
          <w:lang w:val="en-GB"/>
        </w:rPr>
        <w:t>ompliance status of postponement holders</w:t>
      </w:r>
      <w:r w:rsidRPr="001D0EB2">
        <w:rPr>
          <w:rFonts w:ascii="Arial Narrow" w:hAnsi="Arial Narrow" w:cs="Arial"/>
          <w:lang w:val="en-GB"/>
        </w:rPr>
        <w:t>; and</w:t>
      </w:r>
    </w:p>
    <w:p w:rsidR="006B1297" w:rsidRPr="001D0EB2" w:rsidRDefault="001D0EB2" w:rsidP="001D0EB2">
      <w:pPr>
        <w:pStyle w:val="ListParagraph"/>
        <w:widowControl w:val="0"/>
        <w:numPr>
          <w:ilvl w:val="0"/>
          <w:numId w:val="29"/>
        </w:numPr>
        <w:snapToGrid w:val="0"/>
        <w:spacing w:line="360" w:lineRule="auto"/>
        <w:ind w:firstLine="0"/>
        <w:jc w:val="both"/>
        <w:rPr>
          <w:rFonts w:ascii="Arial Narrow" w:hAnsi="Arial Narrow" w:cs="Arial"/>
          <w:lang w:val="en-GB"/>
        </w:rPr>
      </w:pPr>
      <w:r w:rsidRPr="001D0EB2">
        <w:rPr>
          <w:rFonts w:ascii="Arial Narrow" w:hAnsi="Arial Narrow" w:cs="Arial"/>
          <w:lang w:val="en-GB"/>
        </w:rPr>
        <w:t xml:space="preserve">Notes </w:t>
      </w:r>
      <w:r w:rsidR="006B1297" w:rsidRPr="001D0EB2">
        <w:rPr>
          <w:rFonts w:ascii="Arial Narrow" w:hAnsi="Arial Narrow" w:cs="Arial"/>
          <w:lang w:val="en-GB"/>
        </w:rPr>
        <w:t>Current postponement applications</w:t>
      </w:r>
      <w:r w:rsidRPr="001D0EB2">
        <w:rPr>
          <w:rFonts w:ascii="Arial Narrow" w:hAnsi="Arial Narrow" w:cs="Arial"/>
          <w:lang w:val="en-GB"/>
        </w:rPr>
        <w:t>.</w:t>
      </w: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p w:rsidR="00200BBF" w:rsidRPr="00551726" w:rsidRDefault="00200BBF" w:rsidP="000B7092">
      <w:pPr>
        <w:spacing w:line="360" w:lineRule="auto"/>
        <w:contextualSpacing/>
        <w:jc w:val="both"/>
        <w:rPr>
          <w:rFonts w:ascii="Arial" w:hAnsi="Arial" w:cs="Arial"/>
          <w:b/>
          <w:sz w:val="20"/>
          <w:szCs w:val="20"/>
        </w:rPr>
      </w:pPr>
    </w:p>
    <w:sectPr w:rsidR="00200BBF" w:rsidRPr="00551726" w:rsidSect="0023409C">
      <w:pgSz w:w="15840" w:h="12240" w:orient="landscape"/>
      <w:pgMar w:top="1259" w:right="1111" w:bottom="1077" w:left="53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8E" w:rsidRDefault="0078708E">
      <w:r>
        <w:separator/>
      </w:r>
    </w:p>
  </w:endnote>
  <w:endnote w:type="continuationSeparator" w:id="0">
    <w:p w:rsidR="0078708E" w:rsidRDefault="00787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96" w:rsidRDefault="003F662C" w:rsidP="000F38F2">
    <w:pPr>
      <w:pStyle w:val="Footer"/>
      <w:framePr w:wrap="around" w:vAnchor="text" w:hAnchor="margin" w:xAlign="center" w:y="1"/>
      <w:rPr>
        <w:rStyle w:val="PageNumber"/>
      </w:rPr>
    </w:pPr>
    <w:r>
      <w:rPr>
        <w:rStyle w:val="PageNumber"/>
      </w:rPr>
      <w:fldChar w:fldCharType="begin"/>
    </w:r>
    <w:r w:rsidR="00916296">
      <w:rPr>
        <w:rStyle w:val="PageNumber"/>
      </w:rPr>
      <w:instrText xml:space="preserve">PAGE  </w:instrText>
    </w:r>
    <w:r>
      <w:rPr>
        <w:rStyle w:val="PageNumber"/>
      </w:rPr>
      <w:fldChar w:fldCharType="end"/>
    </w:r>
  </w:p>
  <w:p w:rsidR="00916296" w:rsidRDefault="00916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96" w:rsidRDefault="003F662C" w:rsidP="000F38F2">
    <w:pPr>
      <w:pStyle w:val="Footer"/>
      <w:framePr w:wrap="around" w:vAnchor="text" w:hAnchor="margin" w:xAlign="center" w:y="1"/>
      <w:rPr>
        <w:rStyle w:val="PageNumber"/>
      </w:rPr>
    </w:pPr>
    <w:r>
      <w:rPr>
        <w:rStyle w:val="PageNumber"/>
      </w:rPr>
      <w:fldChar w:fldCharType="begin"/>
    </w:r>
    <w:r w:rsidR="00916296">
      <w:rPr>
        <w:rStyle w:val="PageNumber"/>
      </w:rPr>
      <w:instrText xml:space="preserve">PAGE  </w:instrText>
    </w:r>
    <w:r>
      <w:rPr>
        <w:rStyle w:val="PageNumber"/>
      </w:rPr>
      <w:fldChar w:fldCharType="separate"/>
    </w:r>
    <w:r w:rsidR="00C85307">
      <w:rPr>
        <w:rStyle w:val="PageNumber"/>
        <w:noProof/>
      </w:rPr>
      <w:t>2</w:t>
    </w:r>
    <w:r>
      <w:rPr>
        <w:rStyle w:val="PageNumber"/>
      </w:rPr>
      <w:fldChar w:fldCharType="end"/>
    </w:r>
  </w:p>
  <w:p w:rsidR="00916296" w:rsidRPr="00E24696" w:rsidRDefault="00916296" w:rsidP="00E24696">
    <w:pPr>
      <w:pStyle w:val="Footer"/>
      <w:spacing w:line="360" w:lineRule="auto"/>
      <w:contextualSpacing/>
      <w:jc w:val="center"/>
      <w:rPr>
        <w:rFonts w:ascii="Arial Narrow" w:hAnsi="Arial Narrow"/>
        <w:b/>
      </w:rPr>
    </w:pPr>
    <w:r w:rsidRPr="00E24696">
      <w:rPr>
        <w:rFonts w:ascii="Arial Narrow" w:hAnsi="Arial Narrow"/>
        <w:b/>
      </w:rPr>
      <w:t>CONFIDENTIAL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96" w:rsidRPr="00E24696" w:rsidRDefault="00916296" w:rsidP="00E24696">
    <w:pPr>
      <w:pStyle w:val="Footer"/>
      <w:spacing w:line="360" w:lineRule="auto"/>
      <w:contextualSpacing/>
      <w:jc w:val="center"/>
      <w:rPr>
        <w:rFonts w:ascii="Arial Narrow" w:hAnsi="Arial Narrow"/>
        <w:b/>
      </w:rPr>
    </w:pPr>
    <w:r w:rsidRPr="00E24696">
      <w:rPr>
        <w:rFonts w:ascii="Arial Narrow" w:hAnsi="Arial Narrow"/>
        <w:b/>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8E" w:rsidRDefault="0078708E">
      <w:r>
        <w:separator/>
      </w:r>
    </w:p>
  </w:footnote>
  <w:footnote w:type="continuationSeparator" w:id="0">
    <w:p w:rsidR="0078708E" w:rsidRDefault="00787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96" w:rsidRPr="00541C13" w:rsidRDefault="00916296" w:rsidP="00541C13">
    <w:pPr>
      <w:spacing w:line="360" w:lineRule="auto"/>
      <w:contextualSpacing/>
      <w:jc w:val="both"/>
      <w:rPr>
        <w:rFonts w:ascii="Arial Narrow" w:hAnsi="Arial Narrow" w:cs="Arial"/>
        <w:b/>
      </w:rPr>
    </w:pPr>
    <w:r w:rsidRPr="00541C13">
      <w:rPr>
        <w:rFonts w:ascii="Arial Narrow" w:hAnsi="Arial Narrow" w:cs="Arial"/>
        <w:b/>
      </w:rPr>
      <w:t>PROGRESS UPDATE ON THE STATUS OF POSTPONEMENT OF COMPLIANCE TIME FRAMES FOR</w:t>
    </w:r>
    <w:r>
      <w:rPr>
        <w:rFonts w:ascii="Arial Narrow" w:hAnsi="Arial Narrow" w:cs="Arial"/>
        <w:b/>
      </w:rPr>
      <w:t xml:space="preserve"> ALL APPROVED APPLICATIONS</w:t>
    </w:r>
    <w:r w:rsidRPr="00541C13">
      <w:rPr>
        <w:rFonts w:ascii="Arial Narrow" w:hAnsi="Arial Narrow" w:cs="Arial"/>
        <w:b/>
      </w:rPr>
      <w:t xml:space="preserve"> </w:t>
    </w:r>
  </w:p>
  <w:p w:rsidR="00916296" w:rsidRPr="00A65266" w:rsidRDefault="00916296" w:rsidP="00B86959">
    <w:pPr>
      <w:spacing w:line="360" w:lineRule="auto"/>
      <w:contextualSpacing/>
      <w:jc w:val="both"/>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63E"/>
    <w:multiLevelType w:val="hybridMultilevel"/>
    <w:tmpl w:val="5CCEC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9B6FA8"/>
    <w:multiLevelType w:val="hybridMultilevel"/>
    <w:tmpl w:val="849A86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616D08"/>
    <w:multiLevelType w:val="hybridMultilevel"/>
    <w:tmpl w:val="258CB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2B33097"/>
    <w:multiLevelType w:val="hybridMultilevel"/>
    <w:tmpl w:val="8C808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31D1FD1"/>
    <w:multiLevelType w:val="multilevel"/>
    <w:tmpl w:val="961ADA76"/>
    <w:lvl w:ilvl="0">
      <w:start w:val="2"/>
      <w:numFmt w:val="decimal"/>
      <w:lvlText w:val="%1."/>
      <w:lvlJc w:val="left"/>
      <w:pPr>
        <w:tabs>
          <w:tab w:val="num" w:pos="1080"/>
        </w:tabs>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48348D2"/>
    <w:multiLevelType w:val="hybridMultilevel"/>
    <w:tmpl w:val="53A8D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C80423"/>
    <w:multiLevelType w:val="hybridMultilevel"/>
    <w:tmpl w:val="E4764158"/>
    <w:lvl w:ilvl="0" w:tplc="AAEA7C38">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7">
    <w:nsid w:val="12672939"/>
    <w:multiLevelType w:val="hybridMultilevel"/>
    <w:tmpl w:val="C1848D94"/>
    <w:lvl w:ilvl="0" w:tplc="1C09001B">
      <w:start w:val="1"/>
      <w:numFmt w:val="lowerRoman"/>
      <w:lvlText w:val="%1."/>
      <w:lvlJc w:val="right"/>
      <w:pPr>
        <w:ind w:left="1485" w:hanging="360"/>
      </w:p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8">
    <w:nsid w:val="12A14CD0"/>
    <w:multiLevelType w:val="hybridMultilevel"/>
    <w:tmpl w:val="05167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FF7925"/>
    <w:multiLevelType w:val="hybridMultilevel"/>
    <w:tmpl w:val="91A63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11275D"/>
    <w:multiLevelType w:val="hybridMultilevel"/>
    <w:tmpl w:val="ADCAD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C214C0"/>
    <w:multiLevelType w:val="hybridMultilevel"/>
    <w:tmpl w:val="8A2402E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nsid w:val="28366299"/>
    <w:multiLevelType w:val="hybridMultilevel"/>
    <w:tmpl w:val="8D3464A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F145D1"/>
    <w:multiLevelType w:val="hybridMultilevel"/>
    <w:tmpl w:val="25D4A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872D86"/>
    <w:multiLevelType w:val="hybridMultilevel"/>
    <w:tmpl w:val="616CD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E2595A"/>
    <w:multiLevelType w:val="hybridMultilevel"/>
    <w:tmpl w:val="53124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5E371E"/>
    <w:multiLevelType w:val="hybridMultilevel"/>
    <w:tmpl w:val="7AEC0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735E46"/>
    <w:multiLevelType w:val="hybridMultilevel"/>
    <w:tmpl w:val="F634C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A10CF2"/>
    <w:multiLevelType w:val="hybridMultilevel"/>
    <w:tmpl w:val="9E20A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9215FC1"/>
    <w:multiLevelType w:val="hybridMultilevel"/>
    <w:tmpl w:val="2BE2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063A5C"/>
    <w:multiLevelType w:val="hybridMultilevel"/>
    <w:tmpl w:val="5282DDC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nsid w:val="3CCA4FEB"/>
    <w:multiLevelType w:val="hybridMultilevel"/>
    <w:tmpl w:val="D4380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664750"/>
    <w:multiLevelType w:val="multilevel"/>
    <w:tmpl w:val="AD5AFE5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AA4301"/>
    <w:multiLevelType w:val="hybridMultilevel"/>
    <w:tmpl w:val="3C54E994"/>
    <w:lvl w:ilvl="0" w:tplc="0498ACBC">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6C43D80"/>
    <w:multiLevelType w:val="hybridMultilevel"/>
    <w:tmpl w:val="411662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81D6475"/>
    <w:multiLevelType w:val="hybridMultilevel"/>
    <w:tmpl w:val="77882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8D915E8"/>
    <w:multiLevelType w:val="hybridMultilevel"/>
    <w:tmpl w:val="0AACBD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BCC3C9C"/>
    <w:multiLevelType w:val="hybridMultilevel"/>
    <w:tmpl w:val="71E49F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B7E62E2"/>
    <w:multiLevelType w:val="hybridMultilevel"/>
    <w:tmpl w:val="89C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9"/>
  </w:num>
  <w:num w:numId="5">
    <w:abstractNumId w:val="28"/>
  </w:num>
  <w:num w:numId="6">
    <w:abstractNumId w:val="9"/>
  </w:num>
  <w:num w:numId="7">
    <w:abstractNumId w:val="23"/>
  </w:num>
  <w:num w:numId="8">
    <w:abstractNumId w:val="16"/>
  </w:num>
  <w:num w:numId="9">
    <w:abstractNumId w:val="3"/>
  </w:num>
  <w:num w:numId="10">
    <w:abstractNumId w:val="0"/>
  </w:num>
  <w:num w:numId="11">
    <w:abstractNumId w:val="20"/>
  </w:num>
  <w:num w:numId="12">
    <w:abstractNumId w:val="27"/>
  </w:num>
  <w:num w:numId="13">
    <w:abstractNumId w:val="6"/>
  </w:num>
  <w:num w:numId="14">
    <w:abstractNumId w:val="26"/>
  </w:num>
  <w:num w:numId="15">
    <w:abstractNumId w:val="5"/>
  </w:num>
  <w:num w:numId="16">
    <w:abstractNumId w:val="12"/>
  </w:num>
  <w:num w:numId="17">
    <w:abstractNumId w:val="24"/>
  </w:num>
  <w:num w:numId="18">
    <w:abstractNumId w:val="2"/>
  </w:num>
  <w:num w:numId="19">
    <w:abstractNumId w:val="7"/>
  </w:num>
  <w:num w:numId="20">
    <w:abstractNumId w:val="18"/>
  </w:num>
  <w:num w:numId="21">
    <w:abstractNumId w:val="1"/>
  </w:num>
  <w:num w:numId="22">
    <w:abstractNumId w:val="15"/>
  </w:num>
  <w:num w:numId="23">
    <w:abstractNumId w:val="25"/>
  </w:num>
  <w:num w:numId="24">
    <w:abstractNumId w:val="13"/>
  </w:num>
  <w:num w:numId="25">
    <w:abstractNumId w:val="10"/>
  </w:num>
  <w:num w:numId="26">
    <w:abstractNumId w:val="14"/>
  </w:num>
  <w:num w:numId="27">
    <w:abstractNumId w:val="17"/>
  </w:num>
  <w:num w:numId="28">
    <w:abstractNumId w:val="21"/>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C0234F"/>
    <w:rsid w:val="00005316"/>
    <w:rsid w:val="00005F09"/>
    <w:rsid w:val="00011241"/>
    <w:rsid w:val="00014330"/>
    <w:rsid w:val="000155AB"/>
    <w:rsid w:val="000208D9"/>
    <w:rsid w:val="00023307"/>
    <w:rsid w:val="00026DB8"/>
    <w:rsid w:val="00032532"/>
    <w:rsid w:val="00037EDE"/>
    <w:rsid w:val="000419B9"/>
    <w:rsid w:val="00050641"/>
    <w:rsid w:val="00051A92"/>
    <w:rsid w:val="00051F1B"/>
    <w:rsid w:val="00055F66"/>
    <w:rsid w:val="000575F6"/>
    <w:rsid w:val="000576B5"/>
    <w:rsid w:val="00060D5F"/>
    <w:rsid w:val="00063566"/>
    <w:rsid w:val="00064E73"/>
    <w:rsid w:val="00065DA4"/>
    <w:rsid w:val="000706E4"/>
    <w:rsid w:val="0007663F"/>
    <w:rsid w:val="0008148F"/>
    <w:rsid w:val="00083930"/>
    <w:rsid w:val="000844B0"/>
    <w:rsid w:val="00086DAF"/>
    <w:rsid w:val="000872E9"/>
    <w:rsid w:val="00091E32"/>
    <w:rsid w:val="000A2971"/>
    <w:rsid w:val="000B46A5"/>
    <w:rsid w:val="000B7092"/>
    <w:rsid w:val="000C1BE1"/>
    <w:rsid w:val="000E453A"/>
    <w:rsid w:val="000E55C4"/>
    <w:rsid w:val="000E580A"/>
    <w:rsid w:val="000F0181"/>
    <w:rsid w:val="000F04A3"/>
    <w:rsid w:val="000F0B1F"/>
    <w:rsid w:val="000F38F2"/>
    <w:rsid w:val="00104D9D"/>
    <w:rsid w:val="00105DAE"/>
    <w:rsid w:val="00114097"/>
    <w:rsid w:val="00122F3B"/>
    <w:rsid w:val="00122F55"/>
    <w:rsid w:val="001248F8"/>
    <w:rsid w:val="00143E27"/>
    <w:rsid w:val="00145575"/>
    <w:rsid w:val="001479F4"/>
    <w:rsid w:val="00152D2D"/>
    <w:rsid w:val="00154515"/>
    <w:rsid w:val="00156A2D"/>
    <w:rsid w:val="00160788"/>
    <w:rsid w:val="001649A9"/>
    <w:rsid w:val="00165638"/>
    <w:rsid w:val="00183B53"/>
    <w:rsid w:val="00185294"/>
    <w:rsid w:val="001866F5"/>
    <w:rsid w:val="00186BD5"/>
    <w:rsid w:val="001879A9"/>
    <w:rsid w:val="0019135C"/>
    <w:rsid w:val="00191866"/>
    <w:rsid w:val="00194965"/>
    <w:rsid w:val="00195C2E"/>
    <w:rsid w:val="001A2493"/>
    <w:rsid w:val="001A3E50"/>
    <w:rsid w:val="001A7CEC"/>
    <w:rsid w:val="001B14B4"/>
    <w:rsid w:val="001B14C5"/>
    <w:rsid w:val="001C6D66"/>
    <w:rsid w:val="001C6D80"/>
    <w:rsid w:val="001D0EB2"/>
    <w:rsid w:val="001D1E03"/>
    <w:rsid w:val="001E020F"/>
    <w:rsid w:val="001E0381"/>
    <w:rsid w:val="001E58FB"/>
    <w:rsid w:val="002002D9"/>
    <w:rsid w:val="00200BBF"/>
    <w:rsid w:val="0020149C"/>
    <w:rsid w:val="00211B57"/>
    <w:rsid w:val="00212A6B"/>
    <w:rsid w:val="0021485D"/>
    <w:rsid w:val="00215A1E"/>
    <w:rsid w:val="00216B16"/>
    <w:rsid w:val="002248AB"/>
    <w:rsid w:val="0022738D"/>
    <w:rsid w:val="00230752"/>
    <w:rsid w:val="0023078B"/>
    <w:rsid w:val="0023352E"/>
    <w:rsid w:val="0023386D"/>
    <w:rsid w:val="0023409C"/>
    <w:rsid w:val="00237D50"/>
    <w:rsid w:val="00241C29"/>
    <w:rsid w:val="002465DF"/>
    <w:rsid w:val="002500CE"/>
    <w:rsid w:val="0025424D"/>
    <w:rsid w:val="002549DC"/>
    <w:rsid w:val="002656DC"/>
    <w:rsid w:val="00270B32"/>
    <w:rsid w:val="00270D65"/>
    <w:rsid w:val="00273FE1"/>
    <w:rsid w:val="00276930"/>
    <w:rsid w:val="00277B8A"/>
    <w:rsid w:val="00277F28"/>
    <w:rsid w:val="00280830"/>
    <w:rsid w:val="002830D6"/>
    <w:rsid w:val="0028368B"/>
    <w:rsid w:val="00287B3F"/>
    <w:rsid w:val="00292C5E"/>
    <w:rsid w:val="002A3CBA"/>
    <w:rsid w:val="002A7700"/>
    <w:rsid w:val="002A79D7"/>
    <w:rsid w:val="002B0376"/>
    <w:rsid w:val="002B1AF8"/>
    <w:rsid w:val="002B2C40"/>
    <w:rsid w:val="002B3C70"/>
    <w:rsid w:val="002B49A8"/>
    <w:rsid w:val="002B6313"/>
    <w:rsid w:val="002B644C"/>
    <w:rsid w:val="002B7224"/>
    <w:rsid w:val="002C140F"/>
    <w:rsid w:val="002C4B0B"/>
    <w:rsid w:val="002C647A"/>
    <w:rsid w:val="002C772D"/>
    <w:rsid w:val="002D062C"/>
    <w:rsid w:val="002D18C7"/>
    <w:rsid w:val="002D3159"/>
    <w:rsid w:val="002D3C18"/>
    <w:rsid w:val="002D5A2F"/>
    <w:rsid w:val="002D7FAD"/>
    <w:rsid w:val="002E1112"/>
    <w:rsid w:val="002E240C"/>
    <w:rsid w:val="002E539E"/>
    <w:rsid w:val="002F2EE1"/>
    <w:rsid w:val="002F4003"/>
    <w:rsid w:val="002F542A"/>
    <w:rsid w:val="002F6979"/>
    <w:rsid w:val="00304CFD"/>
    <w:rsid w:val="00313A26"/>
    <w:rsid w:val="00316B45"/>
    <w:rsid w:val="00321392"/>
    <w:rsid w:val="0032226B"/>
    <w:rsid w:val="00324F80"/>
    <w:rsid w:val="00326085"/>
    <w:rsid w:val="00332679"/>
    <w:rsid w:val="003354BE"/>
    <w:rsid w:val="00336A3F"/>
    <w:rsid w:val="003413F8"/>
    <w:rsid w:val="00345C69"/>
    <w:rsid w:val="00355953"/>
    <w:rsid w:val="0036163E"/>
    <w:rsid w:val="003633DA"/>
    <w:rsid w:val="00364BF5"/>
    <w:rsid w:val="003866F2"/>
    <w:rsid w:val="003969E7"/>
    <w:rsid w:val="00397F03"/>
    <w:rsid w:val="003A0C29"/>
    <w:rsid w:val="003A3783"/>
    <w:rsid w:val="003B0EBE"/>
    <w:rsid w:val="003B2BB9"/>
    <w:rsid w:val="003C1993"/>
    <w:rsid w:val="003C27C7"/>
    <w:rsid w:val="003C3136"/>
    <w:rsid w:val="003C3CE9"/>
    <w:rsid w:val="003C4239"/>
    <w:rsid w:val="003C4967"/>
    <w:rsid w:val="003D1B05"/>
    <w:rsid w:val="003D1D1E"/>
    <w:rsid w:val="003D41EC"/>
    <w:rsid w:val="003D4693"/>
    <w:rsid w:val="003F1B2D"/>
    <w:rsid w:val="003F1EE7"/>
    <w:rsid w:val="003F662C"/>
    <w:rsid w:val="00400EA9"/>
    <w:rsid w:val="00401D7E"/>
    <w:rsid w:val="00403235"/>
    <w:rsid w:val="00404107"/>
    <w:rsid w:val="00413644"/>
    <w:rsid w:val="0041692F"/>
    <w:rsid w:val="00420EC4"/>
    <w:rsid w:val="00421EE1"/>
    <w:rsid w:val="00446275"/>
    <w:rsid w:val="00446915"/>
    <w:rsid w:val="00447B72"/>
    <w:rsid w:val="00452A1B"/>
    <w:rsid w:val="0045686E"/>
    <w:rsid w:val="004573B8"/>
    <w:rsid w:val="00457A0B"/>
    <w:rsid w:val="004621E1"/>
    <w:rsid w:val="004770EF"/>
    <w:rsid w:val="00480FD8"/>
    <w:rsid w:val="00483E8B"/>
    <w:rsid w:val="004845ED"/>
    <w:rsid w:val="00496C8B"/>
    <w:rsid w:val="004A0482"/>
    <w:rsid w:val="004A0C8D"/>
    <w:rsid w:val="004A4345"/>
    <w:rsid w:val="004A5597"/>
    <w:rsid w:val="004B0B28"/>
    <w:rsid w:val="004B1864"/>
    <w:rsid w:val="004B21A7"/>
    <w:rsid w:val="004B2AC4"/>
    <w:rsid w:val="004B32A2"/>
    <w:rsid w:val="004B5404"/>
    <w:rsid w:val="004B5890"/>
    <w:rsid w:val="004B67CF"/>
    <w:rsid w:val="004B72F2"/>
    <w:rsid w:val="004C3CDC"/>
    <w:rsid w:val="004C5072"/>
    <w:rsid w:val="004C7779"/>
    <w:rsid w:val="004D184C"/>
    <w:rsid w:val="004D1B77"/>
    <w:rsid w:val="004E2052"/>
    <w:rsid w:val="004E459A"/>
    <w:rsid w:val="004E4DEE"/>
    <w:rsid w:val="004E53B6"/>
    <w:rsid w:val="004E5F7D"/>
    <w:rsid w:val="004E6F00"/>
    <w:rsid w:val="004F0245"/>
    <w:rsid w:val="004F3F99"/>
    <w:rsid w:val="004F47DB"/>
    <w:rsid w:val="00504A47"/>
    <w:rsid w:val="00506B78"/>
    <w:rsid w:val="00507927"/>
    <w:rsid w:val="00511932"/>
    <w:rsid w:val="00511E76"/>
    <w:rsid w:val="00512892"/>
    <w:rsid w:val="00513FCD"/>
    <w:rsid w:val="0051637E"/>
    <w:rsid w:val="0053062E"/>
    <w:rsid w:val="00531348"/>
    <w:rsid w:val="00532C73"/>
    <w:rsid w:val="005365AA"/>
    <w:rsid w:val="00537F4F"/>
    <w:rsid w:val="00541C13"/>
    <w:rsid w:val="0054745C"/>
    <w:rsid w:val="0055046B"/>
    <w:rsid w:val="00551593"/>
    <w:rsid w:val="00551726"/>
    <w:rsid w:val="00552DB9"/>
    <w:rsid w:val="005534F3"/>
    <w:rsid w:val="00553B46"/>
    <w:rsid w:val="00555D53"/>
    <w:rsid w:val="00555EC1"/>
    <w:rsid w:val="0056360B"/>
    <w:rsid w:val="00564078"/>
    <w:rsid w:val="005642DC"/>
    <w:rsid w:val="0056574C"/>
    <w:rsid w:val="0056703D"/>
    <w:rsid w:val="0057114C"/>
    <w:rsid w:val="00572D35"/>
    <w:rsid w:val="005776B4"/>
    <w:rsid w:val="00582079"/>
    <w:rsid w:val="00587515"/>
    <w:rsid w:val="0059203A"/>
    <w:rsid w:val="00594F25"/>
    <w:rsid w:val="005A61C4"/>
    <w:rsid w:val="005B623E"/>
    <w:rsid w:val="005C2903"/>
    <w:rsid w:val="005C6D1B"/>
    <w:rsid w:val="005D4B7E"/>
    <w:rsid w:val="005D7730"/>
    <w:rsid w:val="005E1179"/>
    <w:rsid w:val="005E4FF5"/>
    <w:rsid w:val="005F0A53"/>
    <w:rsid w:val="005F1443"/>
    <w:rsid w:val="005F6774"/>
    <w:rsid w:val="005F73C2"/>
    <w:rsid w:val="00607F4D"/>
    <w:rsid w:val="00611982"/>
    <w:rsid w:val="00615BBC"/>
    <w:rsid w:val="006201C1"/>
    <w:rsid w:val="006202B7"/>
    <w:rsid w:val="00620D0A"/>
    <w:rsid w:val="00634A0E"/>
    <w:rsid w:val="0063721F"/>
    <w:rsid w:val="00647C51"/>
    <w:rsid w:val="0065329B"/>
    <w:rsid w:val="00653C2A"/>
    <w:rsid w:val="00655B21"/>
    <w:rsid w:val="00657A4C"/>
    <w:rsid w:val="00657E30"/>
    <w:rsid w:val="0066559A"/>
    <w:rsid w:val="006712AA"/>
    <w:rsid w:val="0067137E"/>
    <w:rsid w:val="006713D7"/>
    <w:rsid w:val="00673611"/>
    <w:rsid w:val="00681348"/>
    <w:rsid w:val="006844A0"/>
    <w:rsid w:val="006851E7"/>
    <w:rsid w:val="006A120B"/>
    <w:rsid w:val="006A39B7"/>
    <w:rsid w:val="006A430F"/>
    <w:rsid w:val="006A7A3E"/>
    <w:rsid w:val="006B1297"/>
    <w:rsid w:val="006B1BC4"/>
    <w:rsid w:val="006C315E"/>
    <w:rsid w:val="006C3D82"/>
    <w:rsid w:val="006C3E63"/>
    <w:rsid w:val="006C47F9"/>
    <w:rsid w:val="006C4918"/>
    <w:rsid w:val="006C6D6C"/>
    <w:rsid w:val="006D1DFD"/>
    <w:rsid w:val="006E1D8C"/>
    <w:rsid w:val="006E7B07"/>
    <w:rsid w:val="006F57D4"/>
    <w:rsid w:val="00705C99"/>
    <w:rsid w:val="007173F8"/>
    <w:rsid w:val="00720918"/>
    <w:rsid w:val="007227E2"/>
    <w:rsid w:val="00725021"/>
    <w:rsid w:val="0072738C"/>
    <w:rsid w:val="00742C85"/>
    <w:rsid w:val="007436AB"/>
    <w:rsid w:val="00743EC1"/>
    <w:rsid w:val="00744425"/>
    <w:rsid w:val="0076666B"/>
    <w:rsid w:val="0077430D"/>
    <w:rsid w:val="00781F5E"/>
    <w:rsid w:val="0078708E"/>
    <w:rsid w:val="00787AB1"/>
    <w:rsid w:val="00790D4B"/>
    <w:rsid w:val="007A23C4"/>
    <w:rsid w:val="007A375F"/>
    <w:rsid w:val="007A3B3C"/>
    <w:rsid w:val="007B5EF3"/>
    <w:rsid w:val="007B6824"/>
    <w:rsid w:val="007B6E30"/>
    <w:rsid w:val="007B794D"/>
    <w:rsid w:val="007C1657"/>
    <w:rsid w:val="007C1C29"/>
    <w:rsid w:val="007C2D62"/>
    <w:rsid w:val="007C3A03"/>
    <w:rsid w:val="007D3B74"/>
    <w:rsid w:val="007E47BE"/>
    <w:rsid w:val="007E4AD3"/>
    <w:rsid w:val="007F17A0"/>
    <w:rsid w:val="007F62D1"/>
    <w:rsid w:val="00802A6E"/>
    <w:rsid w:val="008045F8"/>
    <w:rsid w:val="00804C02"/>
    <w:rsid w:val="00806BF5"/>
    <w:rsid w:val="008143C1"/>
    <w:rsid w:val="008233EC"/>
    <w:rsid w:val="00824C55"/>
    <w:rsid w:val="00837C7A"/>
    <w:rsid w:val="0084756F"/>
    <w:rsid w:val="0085122D"/>
    <w:rsid w:val="0085210A"/>
    <w:rsid w:val="00856A43"/>
    <w:rsid w:val="00860D28"/>
    <w:rsid w:val="0086196C"/>
    <w:rsid w:val="008623EA"/>
    <w:rsid w:val="00872C3F"/>
    <w:rsid w:val="00884DFA"/>
    <w:rsid w:val="00892678"/>
    <w:rsid w:val="00897D76"/>
    <w:rsid w:val="008A2295"/>
    <w:rsid w:val="008B4CA8"/>
    <w:rsid w:val="008B54B3"/>
    <w:rsid w:val="008B5F15"/>
    <w:rsid w:val="008C663D"/>
    <w:rsid w:val="008D50FD"/>
    <w:rsid w:val="008E1F37"/>
    <w:rsid w:val="008E5872"/>
    <w:rsid w:val="008F57FC"/>
    <w:rsid w:val="008F6CE0"/>
    <w:rsid w:val="00902B67"/>
    <w:rsid w:val="00903312"/>
    <w:rsid w:val="0090402A"/>
    <w:rsid w:val="00905BB0"/>
    <w:rsid w:val="00906A4E"/>
    <w:rsid w:val="00915E37"/>
    <w:rsid w:val="00916296"/>
    <w:rsid w:val="00936092"/>
    <w:rsid w:val="00936B03"/>
    <w:rsid w:val="0094223D"/>
    <w:rsid w:val="00943A0B"/>
    <w:rsid w:val="0094708B"/>
    <w:rsid w:val="00952E51"/>
    <w:rsid w:val="00957041"/>
    <w:rsid w:val="00966ED1"/>
    <w:rsid w:val="00970E5D"/>
    <w:rsid w:val="0097279E"/>
    <w:rsid w:val="0097681E"/>
    <w:rsid w:val="0098487B"/>
    <w:rsid w:val="00991B11"/>
    <w:rsid w:val="009922DF"/>
    <w:rsid w:val="00992565"/>
    <w:rsid w:val="00992C30"/>
    <w:rsid w:val="0099528A"/>
    <w:rsid w:val="009959A6"/>
    <w:rsid w:val="00996967"/>
    <w:rsid w:val="00997C83"/>
    <w:rsid w:val="009A0DC4"/>
    <w:rsid w:val="009A487D"/>
    <w:rsid w:val="009A69EF"/>
    <w:rsid w:val="009B1195"/>
    <w:rsid w:val="009B47CC"/>
    <w:rsid w:val="009C1EE2"/>
    <w:rsid w:val="009C30F6"/>
    <w:rsid w:val="009C5708"/>
    <w:rsid w:val="009D0877"/>
    <w:rsid w:val="009D369C"/>
    <w:rsid w:val="009D5EB6"/>
    <w:rsid w:val="009D6D11"/>
    <w:rsid w:val="009D712D"/>
    <w:rsid w:val="009E05DB"/>
    <w:rsid w:val="009E4050"/>
    <w:rsid w:val="00A04DB1"/>
    <w:rsid w:val="00A23CFF"/>
    <w:rsid w:val="00A30F57"/>
    <w:rsid w:val="00A32332"/>
    <w:rsid w:val="00A32B51"/>
    <w:rsid w:val="00A34382"/>
    <w:rsid w:val="00A35F4F"/>
    <w:rsid w:val="00A4538D"/>
    <w:rsid w:val="00A52307"/>
    <w:rsid w:val="00A54ECD"/>
    <w:rsid w:val="00A54FDD"/>
    <w:rsid w:val="00A553E3"/>
    <w:rsid w:val="00A602E5"/>
    <w:rsid w:val="00A63FE2"/>
    <w:rsid w:val="00A65266"/>
    <w:rsid w:val="00A67230"/>
    <w:rsid w:val="00A70038"/>
    <w:rsid w:val="00A7035C"/>
    <w:rsid w:val="00A70C0F"/>
    <w:rsid w:val="00A7169E"/>
    <w:rsid w:val="00A815FB"/>
    <w:rsid w:val="00A82972"/>
    <w:rsid w:val="00A91516"/>
    <w:rsid w:val="00A91A8A"/>
    <w:rsid w:val="00A94D87"/>
    <w:rsid w:val="00A96599"/>
    <w:rsid w:val="00AB0E9C"/>
    <w:rsid w:val="00AB2C36"/>
    <w:rsid w:val="00AB496D"/>
    <w:rsid w:val="00AC17E5"/>
    <w:rsid w:val="00AC4EF2"/>
    <w:rsid w:val="00AC57F1"/>
    <w:rsid w:val="00AC626F"/>
    <w:rsid w:val="00AC7051"/>
    <w:rsid w:val="00AC738D"/>
    <w:rsid w:val="00AD1AFB"/>
    <w:rsid w:val="00AD2E21"/>
    <w:rsid w:val="00AD75FE"/>
    <w:rsid w:val="00AE2612"/>
    <w:rsid w:val="00AF0A1B"/>
    <w:rsid w:val="00AF18F4"/>
    <w:rsid w:val="00AF2B46"/>
    <w:rsid w:val="00B02C81"/>
    <w:rsid w:val="00B03595"/>
    <w:rsid w:val="00B044B9"/>
    <w:rsid w:val="00B07642"/>
    <w:rsid w:val="00B101E4"/>
    <w:rsid w:val="00B10E3E"/>
    <w:rsid w:val="00B122E2"/>
    <w:rsid w:val="00B12DA7"/>
    <w:rsid w:val="00B160E9"/>
    <w:rsid w:val="00B21D47"/>
    <w:rsid w:val="00B24BCC"/>
    <w:rsid w:val="00B26E14"/>
    <w:rsid w:val="00B30695"/>
    <w:rsid w:val="00B321CC"/>
    <w:rsid w:val="00B334D9"/>
    <w:rsid w:val="00B34FA4"/>
    <w:rsid w:val="00B371D8"/>
    <w:rsid w:val="00B3749A"/>
    <w:rsid w:val="00B4261C"/>
    <w:rsid w:val="00B43B36"/>
    <w:rsid w:val="00B4580D"/>
    <w:rsid w:val="00B50477"/>
    <w:rsid w:val="00B54EC5"/>
    <w:rsid w:val="00B5748E"/>
    <w:rsid w:val="00B61CEE"/>
    <w:rsid w:val="00B63987"/>
    <w:rsid w:val="00B64C9A"/>
    <w:rsid w:val="00B6761B"/>
    <w:rsid w:val="00B72DA5"/>
    <w:rsid w:val="00B72FA2"/>
    <w:rsid w:val="00B732F7"/>
    <w:rsid w:val="00B747A2"/>
    <w:rsid w:val="00B82425"/>
    <w:rsid w:val="00B82D82"/>
    <w:rsid w:val="00B86450"/>
    <w:rsid w:val="00B86959"/>
    <w:rsid w:val="00B9061C"/>
    <w:rsid w:val="00B908A9"/>
    <w:rsid w:val="00B93041"/>
    <w:rsid w:val="00B93DAB"/>
    <w:rsid w:val="00BA63B2"/>
    <w:rsid w:val="00BA7CA5"/>
    <w:rsid w:val="00BB1E1A"/>
    <w:rsid w:val="00BB39E2"/>
    <w:rsid w:val="00BB49E6"/>
    <w:rsid w:val="00BB7728"/>
    <w:rsid w:val="00BC2D22"/>
    <w:rsid w:val="00BC5603"/>
    <w:rsid w:val="00BC7E0B"/>
    <w:rsid w:val="00BD2591"/>
    <w:rsid w:val="00BD2E35"/>
    <w:rsid w:val="00BD38E7"/>
    <w:rsid w:val="00BD46E3"/>
    <w:rsid w:val="00BE0FB2"/>
    <w:rsid w:val="00BE5351"/>
    <w:rsid w:val="00BF1A18"/>
    <w:rsid w:val="00C0234F"/>
    <w:rsid w:val="00C04775"/>
    <w:rsid w:val="00C076FF"/>
    <w:rsid w:val="00C10B1B"/>
    <w:rsid w:val="00C16494"/>
    <w:rsid w:val="00C17AA1"/>
    <w:rsid w:val="00C21AC4"/>
    <w:rsid w:val="00C22FA2"/>
    <w:rsid w:val="00C23D20"/>
    <w:rsid w:val="00C303CA"/>
    <w:rsid w:val="00C338D5"/>
    <w:rsid w:val="00C34EE1"/>
    <w:rsid w:val="00C377CD"/>
    <w:rsid w:val="00C42C49"/>
    <w:rsid w:val="00C435DD"/>
    <w:rsid w:val="00C45EC4"/>
    <w:rsid w:val="00C45F1D"/>
    <w:rsid w:val="00C51E7F"/>
    <w:rsid w:val="00C5627C"/>
    <w:rsid w:val="00C60C91"/>
    <w:rsid w:val="00C6281D"/>
    <w:rsid w:val="00C728CF"/>
    <w:rsid w:val="00C72B50"/>
    <w:rsid w:val="00C759D5"/>
    <w:rsid w:val="00C76791"/>
    <w:rsid w:val="00C81515"/>
    <w:rsid w:val="00C821C8"/>
    <w:rsid w:val="00C85307"/>
    <w:rsid w:val="00C86C6E"/>
    <w:rsid w:val="00C9052B"/>
    <w:rsid w:val="00C91760"/>
    <w:rsid w:val="00CA4779"/>
    <w:rsid w:val="00CB1153"/>
    <w:rsid w:val="00CB150B"/>
    <w:rsid w:val="00CB2DAD"/>
    <w:rsid w:val="00CC47C6"/>
    <w:rsid w:val="00CD0B9D"/>
    <w:rsid w:val="00CD23F9"/>
    <w:rsid w:val="00CD3D83"/>
    <w:rsid w:val="00CE0F63"/>
    <w:rsid w:val="00CE1C64"/>
    <w:rsid w:val="00CE24B4"/>
    <w:rsid w:val="00CE2D02"/>
    <w:rsid w:val="00CF34EC"/>
    <w:rsid w:val="00CF40CA"/>
    <w:rsid w:val="00D010EB"/>
    <w:rsid w:val="00D061C5"/>
    <w:rsid w:val="00D13B70"/>
    <w:rsid w:val="00D273AD"/>
    <w:rsid w:val="00D36218"/>
    <w:rsid w:val="00D36B7E"/>
    <w:rsid w:val="00D37C93"/>
    <w:rsid w:val="00D421D4"/>
    <w:rsid w:val="00D423C0"/>
    <w:rsid w:val="00D46B60"/>
    <w:rsid w:val="00D47A98"/>
    <w:rsid w:val="00D5262A"/>
    <w:rsid w:val="00D54368"/>
    <w:rsid w:val="00D56951"/>
    <w:rsid w:val="00D608E5"/>
    <w:rsid w:val="00D61D31"/>
    <w:rsid w:val="00D76346"/>
    <w:rsid w:val="00D76520"/>
    <w:rsid w:val="00D818DA"/>
    <w:rsid w:val="00D82A54"/>
    <w:rsid w:val="00D8311F"/>
    <w:rsid w:val="00D84400"/>
    <w:rsid w:val="00D84EE8"/>
    <w:rsid w:val="00D8529B"/>
    <w:rsid w:val="00D86E53"/>
    <w:rsid w:val="00D90546"/>
    <w:rsid w:val="00D97556"/>
    <w:rsid w:val="00DA066F"/>
    <w:rsid w:val="00DA2637"/>
    <w:rsid w:val="00DA6BB1"/>
    <w:rsid w:val="00DA76E9"/>
    <w:rsid w:val="00DB4513"/>
    <w:rsid w:val="00DB5A37"/>
    <w:rsid w:val="00DB7A3C"/>
    <w:rsid w:val="00DD05B3"/>
    <w:rsid w:val="00DD0DCB"/>
    <w:rsid w:val="00DE415B"/>
    <w:rsid w:val="00DE642C"/>
    <w:rsid w:val="00DF02B4"/>
    <w:rsid w:val="00DF1AEB"/>
    <w:rsid w:val="00DF3B8B"/>
    <w:rsid w:val="00E02B4A"/>
    <w:rsid w:val="00E02E7E"/>
    <w:rsid w:val="00E11CC3"/>
    <w:rsid w:val="00E14DC3"/>
    <w:rsid w:val="00E159A5"/>
    <w:rsid w:val="00E20DB6"/>
    <w:rsid w:val="00E24696"/>
    <w:rsid w:val="00E30023"/>
    <w:rsid w:val="00E300CA"/>
    <w:rsid w:val="00E31CBC"/>
    <w:rsid w:val="00E35796"/>
    <w:rsid w:val="00E416E6"/>
    <w:rsid w:val="00E41778"/>
    <w:rsid w:val="00E52335"/>
    <w:rsid w:val="00E577DD"/>
    <w:rsid w:val="00E61767"/>
    <w:rsid w:val="00E66F0C"/>
    <w:rsid w:val="00E76756"/>
    <w:rsid w:val="00E85096"/>
    <w:rsid w:val="00E8643E"/>
    <w:rsid w:val="00E915C1"/>
    <w:rsid w:val="00EA082C"/>
    <w:rsid w:val="00EB0BCC"/>
    <w:rsid w:val="00EB1E0E"/>
    <w:rsid w:val="00EB2CBC"/>
    <w:rsid w:val="00EB41F2"/>
    <w:rsid w:val="00EC1D98"/>
    <w:rsid w:val="00EC5F1D"/>
    <w:rsid w:val="00ED39BD"/>
    <w:rsid w:val="00ED4D65"/>
    <w:rsid w:val="00ED7D6D"/>
    <w:rsid w:val="00EE0F1F"/>
    <w:rsid w:val="00EE1083"/>
    <w:rsid w:val="00EE5899"/>
    <w:rsid w:val="00EE74C0"/>
    <w:rsid w:val="00EF2E8B"/>
    <w:rsid w:val="00EF3BD4"/>
    <w:rsid w:val="00F0363A"/>
    <w:rsid w:val="00F03E15"/>
    <w:rsid w:val="00F06970"/>
    <w:rsid w:val="00F10895"/>
    <w:rsid w:val="00F10AC0"/>
    <w:rsid w:val="00F10F0A"/>
    <w:rsid w:val="00F24B6D"/>
    <w:rsid w:val="00F27F5D"/>
    <w:rsid w:val="00F3122C"/>
    <w:rsid w:val="00F3382E"/>
    <w:rsid w:val="00F439BD"/>
    <w:rsid w:val="00F4628A"/>
    <w:rsid w:val="00F462B2"/>
    <w:rsid w:val="00F53082"/>
    <w:rsid w:val="00F53286"/>
    <w:rsid w:val="00F55F79"/>
    <w:rsid w:val="00F6067F"/>
    <w:rsid w:val="00F6262B"/>
    <w:rsid w:val="00F669D8"/>
    <w:rsid w:val="00F73EC7"/>
    <w:rsid w:val="00F81248"/>
    <w:rsid w:val="00F87AB9"/>
    <w:rsid w:val="00FA5FF7"/>
    <w:rsid w:val="00FB0F17"/>
    <w:rsid w:val="00FB4F09"/>
    <w:rsid w:val="00FC3281"/>
    <w:rsid w:val="00FC6305"/>
    <w:rsid w:val="00FC6B0C"/>
    <w:rsid w:val="00FC6CB8"/>
    <w:rsid w:val="00FC722A"/>
    <w:rsid w:val="00FD4CF2"/>
    <w:rsid w:val="00FD6063"/>
    <w:rsid w:val="00FF0F34"/>
    <w:rsid w:val="00FF3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7"/>
    <w:rPr>
      <w:sz w:val="24"/>
      <w:szCs w:val="24"/>
      <w:lang w:val="en-US" w:eastAsia="en-US"/>
    </w:rPr>
  </w:style>
  <w:style w:type="paragraph" w:styleId="Heading1">
    <w:name w:val="heading 1"/>
    <w:basedOn w:val="Normal"/>
    <w:next w:val="Normal"/>
    <w:link w:val="Heading1Char"/>
    <w:uiPriority w:val="9"/>
    <w:qFormat/>
    <w:rsid w:val="006713D7"/>
    <w:pPr>
      <w:keepNext/>
      <w:widowControl w:val="0"/>
      <w:snapToGrid w:val="0"/>
      <w:jc w:val="both"/>
      <w:outlineLvl w:val="0"/>
    </w:pPr>
    <w:rPr>
      <w:rFonts w:ascii="Arial" w:eastAsia="Arial Unicode MS" w:hAnsi="Arial"/>
      <w:b/>
      <w:szCs w:val="20"/>
      <w:lang w:val="en-GB"/>
    </w:rPr>
  </w:style>
  <w:style w:type="paragraph" w:styleId="Heading2">
    <w:name w:val="heading 2"/>
    <w:basedOn w:val="Normal"/>
    <w:next w:val="Normal"/>
    <w:link w:val="Heading2Char"/>
    <w:uiPriority w:val="9"/>
    <w:qFormat/>
    <w:rsid w:val="006713D7"/>
    <w:pPr>
      <w:keepNext/>
      <w:widowControl w:val="0"/>
      <w:snapToGrid w:val="0"/>
      <w:ind w:left="5760" w:hanging="450"/>
      <w:jc w:val="both"/>
      <w:outlineLvl w:val="1"/>
    </w:pPr>
    <w:rPr>
      <w:rFonts w:ascii="Arial Narrow" w:eastAsia="Arial Unicode MS" w:hAnsi="Arial Narrow" w:cs="Arial Unicode MS"/>
      <w:b/>
      <w:szCs w:val="20"/>
      <w:lang w:val="en-GB"/>
    </w:rPr>
  </w:style>
  <w:style w:type="paragraph" w:styleId="Heading3">
    <w:name w:val="heading 3"/>
    <w:basedOn w:val="Normal"/>
    <w:next w:val="Normal"/>
    <w:link w:val="Heading3Char"/>
    <w:uiPriority w:val="9"/>
    <w:qFormat/>
    <w:rsid w:val="006713D7"/>
    <w:pPr>
      <w:keepNext/>
      <w:widowControl w:val="0"/>
      <w:snapToGrid w:val="0"/>
      <w:outlineLvl w:val="2"/>
    </w:pPr>
    <w:rPr>
      <w:rFonts w:ascii="Arial" w:eastAsia="Arial Unicode MS" w:hAnsi="Arial"/>
      <w:b/>
      <w:szCs w:val="20"/>
    </w:rPr>
  </w:style>
  <w:style w:type="paragraph" w:styleId="Heading4">
    <w:name w:val="heading 4"/>
    <w:basedOn w:val="Normal"/>
    <w:next w:val="Normal"/>
    <w:qFormat/>
    <w:rsid w:val="006713D7"/>
    <w:pPr>
      <w:keepNext/>
      <w:widowControl w:val="0"/>
      <w:tabs>
        <w:tab w:val="left" w:pos="900"/>
        <w:tab w:val="left" w:pos="3600"/>
        <w:tab w:val="left" w:pos="6480"/>
      </w:tabs>
      <w:snapToGrid w:val="0"/>
      <w:ind w:left="360"/>
      <w:outlineLvl w:val="3"/>
    </w:pPr>
    <w:rPr>
      <w:rFonts w:ascii="Arial" w:eastAsia="Arial Unicode M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BBF"/>
    <w:rPr>
      <w:rFonts w:ascii="Arial" w:eastAsia="Arial Unicode MS" w:hAnsi="Arial"/>
      <w:b/>
      <w:sz w:val="24"/>
      <w:lang w:val="en-GB" w:eastAsia="en-US"/>
    </w:rPr>
  </w:style>
  <w:style w:type="character" w:customStyle="1" w:styleId="Heading2Char">
    <w:name w:val="Heading 2 Char"/>
    <w:basedOn w:val="DefaultParagraphFont"/>
    <w:link w:val="Heading2"/>
    <w:uiPriority w:val="9"/>
    <w:rsid w:val="00200BBF"/>
    <w:rPr>
      <w:rFonts w:ascii="Arial Narrow" w:eastAsia="Arial Unicode MS" w:hAnsi="Arial Narrow" w:cs="Arial Unicode MS"/>
      <w:b/>
      <w:sz w:val="24"/>
      <w:lang w:val="en-GB" w:eastAsia="en-US"/>
    </w:rPr>
  </w:style>
  <w:style w:type="character" w:customStyle="1" w:styleId="Heading3Char">
    <w:name w:val="Heading 3 Char"/>
    <w:basedOn w:val="DefaultParagraphFont"/>
    <w:link w:val="Heading3"/>
    <w:uiPriority w:val="9"/>
    <w:rsid w:val="00200BBF"/>
    <w:rPr>
      <w:rFonts w:ascii="Arial" w:eastAsia="Arial Unicode MS" w:hAnsi="Arial"/>
      <w:b/>
      <w:sz w:val="24"/>
      <w:lang w:val="en-US" w:eastAsia="en-US"/>
    </w:rPr>
  </w:style>
  <w:style w:type="paragraph" w:styleId="BodyTextIndent3">
    <w:name w:val="Body Text Indent 3"/>
    <w:basedOn w:val="Normal"/>
    <w:rsid w:val="006713D7"/>
    <w:pPr>
      <w:widowControl w:val="0"/>
      <w:snapToGrid w:val="0"/>
      <w:ind w:left="5040" w:hanging="4320"/>
      <w:jc w:val="both"/>
    </w:pPr>
    <w:rPr>
      <w:rFonts w:ascii="Arial" w:hAnsi="Arial"/>
      <w:szCs w:val="20"/>
      <w:lang w:val="en-GB"/>
    </w:rPr>
  </w:style>
  <w:style w:type="paragraph" w:styleId="Header">
    <w:name w:val="header"/>
    <w:basedOn w:val="Normal"/>
    <w:link w:val="HeaderChar"/>
    <w:uiPriority w:val="99"/>
    <w:rsid w:val="006713D7"/>
    <w:pPr>
      <w:widowControl w:val="0"/>
      <w:tabs>
        <w:tab w:val="center" w:pos="4320"/>
        <w:tab w:val="right" w:pos="8640"/>
      </w:tabs>
      <w:snapToGrid w:val="0"/>
    </w:pPr>
    <w:rPr>
      <w:szCs w:val="20"/>
    </w:rPr>
  </w:style>
  <w:style w:type="character" w:customStyle="1" w:styleId="HeaderChar">
    <w:name w:val="Header Char"/>
    <w:basedOn w:val="DefaultParagraphFont"/>
    <w:link w:val="Header"/>
    <w:uiPriority w:val="99"/>
    <w:rsid w:val="00200BBF"/>
    <w:rPr>
      <w:sz w:val="24"/>
      <w:lang w:val="en-US" w:eastAsia="en-US"/>
    </w:rPr>
  </w:style>
  <w:style w:type="paragraph" w:styleId="BodyTextIndent">
    <w:name w:val="Body Text Indent"/>
    <w:basedOn w:val="Normal"/>
    <w:rsid w:val="006713D7"/>
    <w:pPr>
      <w:widowControl w:val="0"/>
      <w:snapToGrid w:val="0"/>
      <w:ind w:left="720" w:hanging="720"/>
      <w:jc w:val="both"/>
    </w:pPr>
    <w:rPr>
      <w:rFonts w:ascii="Arial" w:hAnsi="Arial"/>
      <w:lang w:val="en-GB"/>
    </w:rPr>
  </w:style>
  <w:style w:type="paragraph" w:styleId="Footer">
    <w:name w:val="footer"/>
    <w:basedOn w:val="Normal"/>
    <w:link w:val="FooterChar"/>
    <w:uiPriority w:val="99"/>
    <w:rsid w:val="00F53082"/>
    <w:pPr>
      <w:tabs>
        <w:tab w:val="center" w:pos="4320"/>
        <w:tab w:val="right" w:pos="8640"/>
      </w:tabs>
    </w:pPr>
  </w:style>
  <w:style w:type="character" w:customStyle="1" w:styleId="FooterChar">
    <w:name w:val="Footer Char"/>
    <w:basedOn w:val="DefaultParagraphFont"/>
    <w:link w:val="Footer"/>
    <w:uiPriority w:val="99"/>
    <w:rsid w:val="00E24696"/>
    <w:rPr>
      <w:sz w:val="24"/>
      <w:szCs w:val="24"/>
      <w:lang w:val="en-US" w:eastAsia="en-US"/>
    </w:rPr>
  </w:style>
  <w:style w:type="character" w:styleId="PageNumber">
    <w:name w:val="page number"/>
    <w:basedOn w:val="DefaultParagraphFont"/>
    <w:rsid w:val="00F53082"/>
  </w:style>
  <w:style w:type="table" w:styleId="TableGrid">
    <w:name w:val="Table Grid"/>
    <w:basedOn w:val="TableNormal"/>
    <w:uiPriority w:val="59"/>
    <w:rsid w:val="002D7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3644"/>
    <w:rPr>
      <w:rFonts w:ascii="Tahoma" w:hAnsi="Tahoma" w:cs="Tahoma"/>
      <w:sz w:val="16"/>
      <w:szCs w:val="16"/>
    </w:rPr>
  </w:style>
  <w:style w:type="character" w:customStyle="1" w:styleId="BalloonTextChar">
    <w:name w:val="Balloon Text Char"/>
    <w:basedOn w:val="DefaultParagraphFont"/>
    <w:link w:val="BalloonText"/>
    <w:uiPriority w:val="99"/>
    <w:semiHidden/>
    <w:rsid w:val="00200BBF"/>
    <w:rPr>
      <w:rFonts w:ascii="Tahoma" w:hAnsi="Tahoma" w:cs="Tahoma"/>
      <w:sz w:val="16"/>
      <w:szCs w:val="16"/>
      <w:lang w:val="en-US" w:eastAsia="en-US"/>
    </w:rPr>
  </w:style>
  <w:style w:type="paragraph" w:styleId="ListParagraph">
    <w:name w:val="List Paragraph"/>
    <w:basedOn w:val="Normal"/>
    <w:uiPriority w:val="34"/>
    <w:qFormat/>
    <w:rsid w:val="00F3122C"/>
    <w:pPr>
      <w:ind w:left="720"/>
      <w:contextualSpacing/>
    </w:pPr>
  </w:style>
  <w:style w:type="paragraph" w:customStyle="1" w:styleId="xl27">
    <w:name w:val="xl27"/>
    <w:basedOn w:val="Normal"/>
    <w:rsid w:val="00647C51"/>
    <w:pPr>
      <w:pBdr>
        <w:left w:val="single" w:sz="4" w:space="0" w:color="auto"/>
      </w:pBdr>
      <w:spacing w:before="100" w:beforeAutospacing="1" w:after="100" w:afterAutospacing="1"/>
    </w:pPr>
    <w:rPr>
      <w:lang w:val="en-GB"/>
    </w:rPr>
  </w:style>
  <w:style w:type="paragraph" w:styleId="NormalWeb">
    <w:name w:val="Normal (Web)"/>
    <w:basedOn w:val="Normal"/>
    <w:uiPriority w:val="99"/>
    <w:unhideWhenUsed/>
    <w:rsid w:val="003969E7"/>
    <w:pPr>
      <w:spacing w:before="100" w:beforeAutospacing="1" w:after="100" w:afterAutospacing="1"/>
    </w:pPr>
    <w:rPr>
      <w:lang w:val="en-ZA" w:eastAsia="en-ZA"/>
    </w:rPr>
  </w:style>
  <w:style w:type="table" w:customStyle="1" w:styleId="TableGrid1">
    <w:name w:val="Table Grid1"/>
    <w:basedOn w:val="TableNormal"/>
    <w:next w:val="TableGrid"/>
    <w:uiPriority w:val="39"/>
    <w:rsid w:val="00447B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0BBF"/>
    <w:pPr>
      <w:autoSpaceDE w:val="0"/>
      <w:autoSpaceDN w:val="0"/>
      <w:adjustRightInd w:val="0"/>
    </w:pPr>
    <w:rPr>
      <w:rFonts w:ascii="Calibri" w:eastAsiaTheme="minorHAnsi" w:hAnsi="Calibri" w:cs="Calibri"/>
      <w:color w:val="000000"/>
      <w:sz w:val="24"/>
      <w:szCs w:val="24"/>
      <w:lang w:val="en-GB" w:eastAsia="en-US"/>
    </w:rPr>
  </w:style>
  <w:style w:type="paragraph" w:styleId="NoSpacing">
    <w:name w:val="No Spacing"/>
    <w:uiPriority w:val="1"/>
    <w:qFormat/>
    <w:rsid w:val="00200BBF"/>
    <w:pPr>
      <w:jc w:val="both"/>
    </w:pPr>
    <w:rPr>
      <w:rFonts w:ascii="Arial Narrow" w:eastAsiaTheme="minorHAnsi" w:hAnsi="Arial Narrow" w:cstheme="minorBidi"/>
      <w:sz w:val="24"/>
      <w:szCs w:val="22"/>
      <w:lang w:val="en-GB" w:eastAsia="en-US"/>
    </w:rPr>
  </w:style>
  <w:style w:type="character" w:customStyle="1" w:styleId="CommentTextChar">
    <w:name w:val="Comment Text Char"/>
    <w:basedOn w:val="DefaultParagraphFont"/>
    <w:link w:val="CommentText"/>
    <w:uiPriority w:val="99"/>
    <w:semiHidden/>
    <w:rsid w:val="00200BBF"/>
    <w:rPr>
      <w:rFonts w:ascii="Arial Narrow" w:eastAsiaTheme="minorHAnsi" w:hAnsi="Arial Narrow" w:cstheme="minorBidi"/>
      <w:lang w:val="en-GB" w:eastAsia="en-US"/>
    </w:rPr>
  </w:style>
  <w:style w:type="paragraph" w:styleId="CommentText">
    <w:name w:val="annotation text"/>
    <w:basedOn w:val="Normal"/>
    <w:link w:val="CommentTextChar"/>
    <w:uiPriority w:val="99"/>
    <w:semiHidden/>
    <w:unhideWhenUsed/>
    <w:rsid w:val="00200BBF"/>
    <w:pPr>
      <w:spacing w:after="200"/>
      <w:jc w:val="both"/>
    </w:pPr>
    <w:rPr>
      <w:rFonts w:ascii="Arial Narrow" w:eastAsiaTheme="minorHAnsi" w:hAnsi="Arial Narrow" w:cstheme="minorBidi"/>
      <w:sz w:val="20"/>
      <w:szCs w:val="20"/>
      <w:lang w:val="en-GB"/>
    </w:rPr>
  </w:style>
  <w:style w:type="character" w:customStyle="1" w:styleId="CommentSubjectChar">
    <w:name w:val="Comment Subject Char"/>
    <w:basedOn w:val="CommentTextChar"/>
    <w:link w:val="CommentSubject"/>
    <w:uiPriority w:val="99"/>
    <w:semiHidden/>
    <w:rsid w:val="00200BBF"/>
    <w:rPr>
      <w:rFonts w:ascii="Arial Narrow" w:eastAsiaTheme="minorHAnsi" w:hAnsi="Arial Narrow" w:cstheme="minorBidi"/>
      <w:b/>
      <w:bCs/>
      <w:lang w:val="en-GB" w:eastAsia="en-US"/>
    </w:rPr>
  </w:style>
  <w:style w:type="paragraph" w:styleId="CommentSubject">
    <w:name w:val="annotation subject"/>
    <w:basedOn w:val="CommentText"/>
    <w:next w:val="CommentText"/>
    <w:link w:val="CommentSubjectChar"/>
    <w:uiPriority w:val="99"/>
    <w:semiHidden/>
    <w:unhideWhenUsed/>
    <w:rsid w:val="00200B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7"/>
    <w:rPr>
      <w:sz w:val="24"/>
      <w:szCs w:val="24"/>
      <w:lang w:val="en-US" w:eastAsia="en-US"/>
    </w:rPr>
  </w:style>
  <w:style w:type="paragraph" w:styleId="Heading1">
    <w:name w:val="heading 1"/>
    <w:basedOn w:val="Normal"/>
    <w:next w:val="Normal"/>
    <w:link w:val="Heading1Char"/>
    <w:uiPriority w:val="9"/>
    <w:qFormat/>
    <w:rsid w:val="006713D7"/>
    <w:pPr>
      <w:keepNext/>
      <w:widowControl w:val="0"/>
      <w:snapToGrid w:val="0"/>
      <w:jc w:val="both"/>
      <w:outlineLvl w:val="0"/>
    </w:pPr>
    <w:rPr>
      <w:rFonts w:ascii="Arial" w:eastAsia="Arial Unicode MS" w:hAnsi="Arial"/>
      <w:b/>
      <w:szCs w:val="20"/>
      <w:lang w:val="en-GB"/>
    </w:rPr>
  </w:style>
  <w:style w:type="paragraph" w:styleId="Heading2">
    <w:name w:val="heading 2"/>
    <w:basedOn w:val="Normal"/>
    <w:next w:val="Normal"/>
    <w:link w:val="Heading2Char"/>
    <w:uiPriority w:val="9"/>
    <w:qFormat/>
    <w:rsid w:val="006713D7"/>
    <w:pPr>
      <w:keepNext/>
      <w:widowControl w:val="0"/>
      <w:snapToGrid w:val="0"/>
      <w:ind w:left="5760" w:hanging="450"/>
      <w:jc w:val="both"/>
      <w:outlineLvl w:val="1"/>
    </w:pPr>
    <w:rPr>
      <w:rFonts w:ascii="Arial Narrow" w:eastAsia="Arial Unicode MS" w:hAnsi="Arial Narrow" w:cs="Arial Unicode MS"/>
      <w:b/>
      <w:szCs w:val="20"/>
      <w:lang w:val="en-GB"/>
    </w:rPr>
  </w:style>
  <w:style w:type="paragraph" w:styleId="Heading3">
    <w:name w:val="heading 3"/>
    <w:basedOn w:val="Normal"/>
    <w:next w:val="Normal"/>
    <w:link w:val="Heading3Char"/>
    <w:uiPriority w:val="9"/>
    <w:qFormat/>
    <w:rsid w:val="006713D7"/>
    <w:pPr>
      <w:keepNext/>
      <w:widowControl w:val="0"/>
      <w:snapToGrid w:val="0"/>
      <w:outlineLvl w:val="2"/>
    </w:pPr>
    <w:rPr>
      <w:rFonts w:ascii="Arial" w:eastAsia="Arial Unicode MS" w:hAnsi="Arial"/>
      <w:b/>
      <w:szCs w:val="20"/>
    </w:rPr>
  </w:style>
  <w:style w:type="paragraph" w:styleId="Heading4">
    <w:name w:val="heading 4"/>
    <w:basedOn w:val="Normal"/>
    <w:next w:val="Normal"/>
    <w:qFormat/>
    <w:rsid w:val="006713D7"/>
    <w:pPr>
      <w:keepNext/>
      <w:widowControl w:val="0"/>
      <w:tabs>
        <w:tab w:val="left" w:pos="900"/>
        <w:tab w:val="left" w:pos="3600"/>
        <w:tab w:val="left" w:pos="6480"/>
      </w:tabs>
      <w:snapToGrid w:val="0"/>
      <w:ind w:left="360"/>
      <w:outlineLvl w:val="3"/>
    </w:pPr>
    <w:rPr>
      <w:rFonts w:ascii="Arial" w:eastAsia="Arial Unicode M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BBF"/>
    <w:rPr>
      <w:rFonts w:ascii="Arial" w:eastAsia="Arial Unicode MS" w:hAnsi="Arial"/>
      <w:b/>
      <w:sz w:val="24"/>
      <w:lang w:val="en-GB" w:eastAsia="en-US"/>
    </w:rPr>
  </w:style>
  <w:style w:type="character" w:customStyle="1" w:styleId="Heading2Char">
    <w:name w:val="Heading 2 Char"/>
    <w:basedOn w:val="DefaultParagraphFont"/>
    <w:link w:val="Heading2"/>
    <w:uiPriority w:val="9"/>
    <w:rsid w:val="00200BBF"/>
    <w:rPr>
      <w:rFonts w:ascii="Arial Narrow" w:eastAsia="Arial Unicode MS" w:hAnsi="Arial Narrow" w:cs="Arial Unicode MS"/>
      <w:b/>
      <w:sz w:val="24"/>
      <w:lang w:val="en-GB" w:eastAsia="en-US"/>
    </w:rPr>
  </w:style>
  <w:style w:type="character" w:customStyle="1" w:styleId="Heading3Char">
    <w:name w:val="Heading 3 Char"/>
    <w:basedOn w:val="DefaultParagraphFont"/>
    <w:link w:val="Heading3"/>
    <w:uiPriority w:val="9"/>
    <w:rsid w:val="00200BBF"/>
    <w:rPr>
      <w:rFonts w:ascii="Arial" w:eastAsia="Arial Unicode MS" w:hAnsi="Arial"/>
      <w:b/>
      <w:sz w:val="24"/>
      <w:lang w:val="en-US" w:eastAsia="en-US"/>
    </w:rPr>
  </w:style>
  <w:style w:type="paragraph" w:styleId="BodyTextIndent3">
    <w:name w:val="Body Text Indent 3"/>
    <w:basedOn w:val="Normal"/>
    <w:rsid w:val="006713D7"/>
    <w:pPr>
      <w:widowControl w:val="0"/>
      <w:snapToGrid w:val="0"/>
      <w:ind w:left="5040" w:hanging="4320"/>
      <w:jc w:val="both"/>
    </w:pPr>
    <w:rPr>
      <w:rFonts w:ascii="Arial" w:hAnsi="Arial"/>
      <w:szCs w:val="20"/>
      <w:lang w:val="en-GB"/>
    </w:rPr>
  </w:style>
  <w:style w:type="paragraph" w:styleId="Header">
    <w:name w:val="header"/>
    <w:basedOn w:val="Normal"/>
    <w:link w:val="HeaderChar"/>
    <w:uiPriority w:val="99"/>
    <w:rsid w:val="006713D7"/>
    <w:pPr>
      <w:widowControl w:val="0"/>
      <w:tabs>
        <w:tab w:val="center" w:pos="4320"/>
        <w:tab w:val="right" w:pos="8640"/>
      </w:tabs>
      <w:snapToGrid w:val="0"/>
    </w:pPr>
    <w:rPr>
      <w:szCs w:val="20"/>
    </w:rPr>
  </w:style>
  <w:style w:type="character" w:customStyle="1" w:styleId="HeaderChar">
    <w:name w:val="Header Char"/>
    <w:basedOn w:val="DefaultParagraphFont"/>
    <w:link w:val="Header"/>
    <w:uiPriority w:val="99"/>
    <w:rsid w:val="00200BBF"/>
    <w:rPr>
      <w:sz w:val="24"/>
      <w:lang w:val="en-US" w:eastAsia="en-US"/>
    </w:rPr>
  </w:style>
  <w:style w:type="paragraph" w:styleId="BodyTextIndent">
    <w:name w:val="Body Text Indent"/>
    <w:basedOn w:val="Normal"/>
    <w:rsid w:val="006713D7"/>
    <w:pPr>
      <w:widowControl w:val="0"/>
      <w:snapToGrid w:val="0"/>
      <w:ind w:left="720" w:hanging="720"/>
      <w:jc w:val="both"/>
    </w:pPr>
    <w:rPr>
      <w:rFonts w:ascii="Arial" w:hAnsi="Arial"/>
      <w:lang w:val="en-GB"/>
    </w:rPr>
  </w:style>
  <w:style w:type="paragraph" w:styleId="Footer">
    <w:name w:val="footer"/>
    <w:basedOn w:val="Normal"/>
    <w:link w:val="FooterChar"/>
    <w:uiPriority w:val="99"/>
    <w:rsid w:val="00F53082"/>
    <w:pPr>
      <w:tabs>
        <w:tab w:val="center" w:pos="4320"/>
        <w:tab w:val="right" w:pos="8640"/>
      </w:tabs>
    </w:pPr>
  </w:style>
  <w:style w:type="character" w:customStyle="1" w:styleId="FooterChar">
    <w:name w:val="Footer Char"/>
    <w:basedOn w:val="DefaultParagraphFont"/>
    <w:link w:val="Footer"/>
    <w:uiPriority w:val="99"/>
    <w:rsid w:val="00E24696"/>
    <w:rPr>
      <w:sz w:val="24"/>
      <w:szCs w:val="24"/>
      <w:lang w:val="en-US" w:eastAsia="en-US"/>
    </w:rPr>
  </w:style>
  <w:style w:type="character" w:styleId="PageNumber">
    <w:name w:val="page number"/>
    <w:basedOn w:val="DefaultParagraphFont"/>
    <w:rsid w:val="00F53082"/>
  </w:style>
  <w:style w:type="table" w:styleId="TableGrid">
    <w:name w:val="Table Grid"/>
    <w:basedOn w:val="TableNormal"/>
    <w:uiPriority w:val="59"/>
    <w:rsid w:val="002D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3644"/>
    <w:rPr>
      <w:rFonts w:ascii="Tahoma" w:hAnsi="Tahoma" w:cs="Tahoma"/>
      <w:sz w:val="16"/>
      <w:szCs w:val="16"/>
    </w:rPr>
  </w:style>
  <w:style w:type="character" w:customStyle="1" w:styleId="BalloonTextChar">
    <w:name w:val="Balloon Text Char"/>
    <w:basedOn w:val="DefaultParagraphFont"/>
    <w:link w:val="BalloonText"/>
    <w:uiPriority w:val="99"/>
    <w:semiHidden/>
    <w:rsid w:val="00200BBF"/>
    <w:rPr>
      <w:rFonts w:ascii="Tahoma" w:hAnsi="Tahoma" w:cs="Tahoma"/>
      <w:sz w:val="16"/>
      <w:szCs w:val="16"/>
      <w:lang w:val="en-US" w:eastAsia="en-US"/>
    </w:rPr>
  </w:style>
  <w:style w:type="paragraph" w:styleId="ListParagraph">
    <w:name w:val="List Paragraph"/>
    <w:basedOn w:val="Normal"/>
    <w:uiPriority w:val="34"/>
    <w:qFormat/>
    <w:rsid w:val="00F3122C"/>
    <w:pPr>
      <w:ind w:left="720"/>
      <w:contextualSpacing/>
    </w:pPr>
  </w:style>
  <w:style w:type="paragraph" w:customStyle="1" w:styleId="xl27">
    <w:name w:val="xl27"/>
    <w:basedOn w:val="Normal"/>
    <w:rsid w:val="00647C51"/>
    <w:pPr>
      <w:pBdr>
        <w:left w:val="single" w:sz="4" w:space="0" w:color="auto"/>
      </w:pBdr>
      <w:spacing w:before="100" w:beforeAutospacing="1" w:after="100" w:afterAutospacing="1"/>
    </w:pPr>
    <w:rPr>
      <w:lang w:val="en-GB"/>
    </w:rPr>
  </w:style>
  <w:style w:type="paragraph" w:styleId="NormalWeb">
    <w:name w:val="Normal (Web)"/>
    <w:basedOn w:val="Normal"/>
    <w:uiPriority w:val="99"/>
    <w:unhideWhenUsed/>
    <w:rsid w:val="003969E7"/>
    <w:pPr>
      <w:spacing w:before="100" w:beforeAutospacing="1" w:after="100" w:afterAutospacing="1"/>
    </w:pPr>
    <w:rPr>
      <w:lang w:val="en-ZA" w:eastAsia="en-ZA"/>
    </w:rPr>
  </w:style>
  <w:style w:type="table" w:customStyle="1" w:styleId="TableGrid1">
    <w:name w:val="Table Grid1"/>
    <w:basedOn w:val="TableNormal"/>
    <w:next w:val="TableGrid"/>
    <w:uiPriority w:val="39"/>
    <w:rsid w:val="00447B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BBF"/>
    <w:pPr>
      <w:autoSpaceDE w:val="0"/>
      <w:autoSpaceDN w:val="0"/>
      <w:adjustRightInd w:val="0"/>
    </w:pPr>
    <w:rPr>
      <w:rFonts w:ascii="Calibri" w:eastAsiaTheme="minorHAnsi" w:hAnsi="Calibri" w:cs="Calibri"/>
      <w:color w:val="000000"/>
      <w:sz w:val="24"/>
      <w:szCs w:val="24"/>
      <w:lang w:val="en-GB" w:eastAsia="en-US"/>
    </w:rPr>
  </w:style>
  <w:style w:type="paragraph" w:styleId="NoSpacing">
    <w:name w:val="No Spacing"/>
    <w:uiPriority w:val="1"/>
    <w:qFormat/>
    <w:rsid w:val="00200BBF"/>
    <w:pPr>
      <w:jc w:val="both"/>
    </w:pPr>
    <w:rPr>
      <w:rFonts w:ascii="Arial Narrow" w:eastAsiaTheme="minorHAnsi" w:hAnsi="Arial Narrow" w:cstheme="minorBidi"/>
      <w:sz w:val="24"/>
      <w:szCs w:val="22"/>
      <w:lang w:val="en-GB" w:eastAsia="en-US"/>
    </w:rPr>
  </w:style>
  <w:style w:type="character" w:customStyle="1" w:styleId="CommentTextChar">
    <w:name w:val="Comment Text Char"/>
    <w:basedOn w:val="DefaultParagraphFont"/>
    <w:link w:val="CommentText"/>
    <w:uiPriority w:val="99"/>
    <w:semiHidden/>
    <w:rsid w:val="00200BBF"/>
    <w:rPr>
      <w:rFonts w:ascii="Arial Narrow" w:eastAsiaTheme="minorHAnsi" w:hAnsi="Arial Narrow" w:cstheme="minorBidi"/>
      <w:lang w:val="en-GB" w:eastAsia="en-US"/>
    </w:rPr>
  </w:style>
  <w:style w:type="paragraph" w:styleId="CommentText">
    <w:name w:val="annotation text"/>
    <w:basedOn w:val="Normal"/>
    <w:link w:val="CommentTextChar"/>
    <w:uiPriority w:val="99"/>
    <w:semiHidden/>
    <w:unhideWhenUsed/>
    <w:rsid w:val="00200BBF"/>
    <w:pPr>
      <w:spacing w:after="200"/>
      <w:jc w:val="both"/>
    </w:pPr>
    <w:rPr>
      <w:rFonts w:ascii="Arial Narrow" w:eastAsiaTheme="minorHAnsi" w:hAnsi="Arial Narrow" w:cstheme="minorBidi"/>
      <w:sz w:val="20"/>
      <w:szCs w:val="20"/>
      <w:lang w:val="en-GB"/>
    </w:rPr>
  </w:style>
  <w:style w:type="character" w:customStyle="1" w:styleId="CommentSubjectChar">
    <w:name w:val="Comment Subject Char"/>
    <w:basedOn w:val="CommentTextChar"/>
    <w:link w:val="CommentSubject"/>
    <w:uiPriority w:val="99"/>
    <w:semiHidden/>
    <w:rsid w:val="00200BBF"/>
    <w:rPr>
      <w:rFonts w:ascii="Arial Narrow" w:eastAsiaTheme="minorHAnsi" w:hAnsi="Arial Narrow" w:cstheme="minorBidi"/>
      <w:b/>
      <w:bCs/>
      <w:lang w:val="en-GB" w:eastAsia="en-US"/>
    </w:rPr>
  </w:style>
  <w:style w:type="paragraph" w:styleId="CommentSubject">
    <w:name w:val="annotation subject"/>
    <w:basedOn w:val="CommentText"/>
    <w:next w:val="CommentText"/>
    <w:link w:val="CommentSubjectChar"/>
    <w:uiPriority w:val="99"/>
    <w:semiHidden/>
    <w:unhideWhenUsed/>
    <w:rsid w:val="00200BBF"/>
    <w:rPr>
      <w:b/>
      <w:bCs/>
    </w:rPr>
  </w:style>
</w:styles>
</file>

<file path=word/webSettings.xml><?xml version="1.0" encoding="utf-8"?>
<w:webSettings xmlns:r="http://schemas.openxmlformats.org/officeDocument/2006/relationships" xmlns:w="http://schemas.openxmlformats.org/wordprocessingml/2006/main">
  <w:divs>
    <w:div w:id="74086391">
      <w:bodyDiv w:val="1"/>
      <w:marLeft w:val="0"/>
      <w:marRight w:val="0"/>
      <w:marTop w:val="0"/>
      <w:marBottom w:val="0"/>
      <w:divBdr>
        <w:top w:val="none" w:sz="0" w:space="0" w:color="auto"/>
        <w:left w:val="none" w:sz="0" w:space="0" w:color="auto"/>
        <w:bottom w:val="none" w:sz="0" w:space="0" w:color="auto"/>
        <w:right w:val="none" w:sz="0" w:space="0" w:color="auto"/>
      </w:divBdr>
    </w:div>
    <w:div w:id="153618259">
      <w:bodyDiv w:val="1"/>
      <w:marLeft w:val="0"/>
      <w:marRight w:val="0"/>
      <w:marTop w:val="0"/>
      <w:marBottom w:val="0"/>
      <w:divBdr>
        <w:top w:val="none" w:sz="0" w:space="0" w:color="auto"/>
        <w:left w:val="none" w:sz="0" w:space="0" w:color="auto"/>
        <w:bottom w:val="none" w:sz="0" w:space="0" w:color="auto"/>
        <w:right w:val="none" w:sz="0" w:space="0" w:color="auto"/>
      </w:divBdr>
    </w:div>
    <w:div w:id="282273952">
      <w:bodyDiv w:val="1"/>
      <w:marLeft w:val="0"/>
      <w:marRight w:val="0"/>
      <w:marTop w:val="0"/>
      <w:marBottom w:val="0"/>
      <w:divBdr>
        <w:top w:val="none" w:sz="0" w:space="0" w:color="auto"/>
        <w:left w:val="none" w:sz="0" w:space="0" w:color="auto"/>
        <w:bottom w:val="none" w:sz="0" w:space="0" w:color="auto"/>
        <w:right w:val="none" w:sz="0" w:space="0" w:color="auto"/>
      </w:divBdr>
    </w:div>
    <w:div w:id="469518972">
      <w:bodyDiv w:val="1"/>
      <w:marLeft w:val="0"/>
      <w:marRight w:val="0"/>
      <w:marTop w:val="0"/>
      <w:marBottom w:val="0"/>
      <w:divBdr>
        <w:top w:val="none" w:sz="0" w:space="0" w:color="auto"/>
        <w:left w:val="none" w:sz="0" w:space="0" w:color="auto"/>
        <w:bottom w:val="none" w:sz="0" w:space="0" w:color="auto"/>
        <w:right w:val="none" w:sz="0" w:space="0" w:color="auto"/>
      </w:divBdr>
    </w:div>
    <w:div w:id="624114908">
      <w:bodyDiv w:val="1"/>
      <w:marLeft w:val="0"/>
      <w:marRight w:val="0"/>
      <w:marTop w:val="0"/>
      <w:marBottom w:val="0"/>
      <w:divBdr>
        <w:top w:val="none" w:sz="0" w:space="0" w:color="auto"/>
        <w:left w:val="none" w:sz="0" w:space="0" w:color="auto"/>
        <w:bottom w:val="none" w:sz="0" w:space="0" w:color="auto"/>
        <w:right w:val="none" w:sz="0" w:space="0" w:color="auto"/>
      </w:divBdr>
    </w:div>
    <w:div w:id="721247122">
      <w:bodyDiv w:val="1"/>
      <w:marLeft w:val="0"/>
      <w:marRight w:val="0"/>
      <w:marTop w:val="0"/>
      <w:marBottom w:val="0"/>
      <w:divBdr>
        <w:top w:val="none" w:sz="0" w:space="0" w:color="auto"/>
        <w:left w:val="none" w:sz="0" w:space="0" w:color="auto"/>
        <w:bottom w:val="none" w:sz="0" w:space="0" w:color="auto"/>
        <w:right w:val="none" w:sz="0" w:space="0" w:color="auto"/>
      </w:divBdr>
    </w:div>
    <w:div w:id="783308135">
      <w:bodyDiv w:val="1"/>
      <w:marLeft w:val="0"/>
      <w:marRight w:val="0"/>
      <w:marTop w:val="0"/>
      <w:marBottom w:val="0"/>
      <w:divBdr>
        <w:top w:val="none" w:sz="0" w:space="0" w:color="auto"/>
        <w:left w:val="none" w:sz="0" w:space="0" w:color="auto"/>
        <w:bottom w:val="none" w:sz="0" w:space="0" w:color="auto"/>
        <w:right w:val="none" w:sz="0" w:space="0" w:color="auto"/>
      </w:divBdr>
    </w:div>
    <w:div w:id="799760110">
      <w:bodyDiv w:val="1"/>
      <w:marLeft w:val="0"/>
      <w:marRight w:val="0"/>
      <w:marTop w:val="0"/>
      <w:marBottom w:val="0"/>
      <w:divBdr>
        <w:top w:val="none" w:sz="0" w:space="0" w:color="auto"/>
        <w:left w:val="none" w:sz="0" w:space="0" w:color="auto"/>
        <w:bottom w:val="none" w:sz="0" w:space="0" w:color="auto"/>
        <w:right w:val="none" w:sz="0" w:space="0" w:color="auto"/>
      </w:divBdr>
    </w:div>
    <w:div w:id="806167667">
      <w:bodyDiv w:val="1"/>
      <w:marLeft w:val="0"/>
      <w:marRight w:val="0"/>
      <w:marTop w:val="0"/>
      <w:marBottom w:val="0"/>
      <w:divBdr>
        <w:top w:val="none" w:sz="0" w:space="0" w:color="auto"/>
        <w:left w:val="none" w:sz="0" w:space="0" w:color="auto"/>
        <w:bottom w:val="none" w:sz="0" w:space="0" w:color="auto"/>
        <w:right w:val="none" w:sz="0" w:space="0" w:color="auto"/>
      </w:divBdr>
    </w:div>
    <w:div w:id="935212607">
      <w:bodyDiv w:val="1"/>
      <w:marLeft w:val="0"/>
      <w:marRight w:val="0"/>
      <w:marTop w:val="0"/>
      <w:marBottom w:val="0"/>
      <w:divBdr>
        <w:top w:val="none" w:sz="0" w:space="0" w:color="auto"/>
        <w:left w:val="none" w:sz="0" w:space="0" w:color="auto"/>
        <w:bottom w:val="none" w:sz="0" w:space="0" w:color="auto"/>
        <w:right w:val="none" w:sz="0" w:space="0" w:color="auto"/>
      </w:divBdr>
    </w:div>
    <w:div w:id="958343745">
      <w:bodyDiv w:val="1"/>
      <w:marLeft w:val="0"/>
      <w:marRight w:val="0"/>
      <w:marTop w:val="0"/>
      <w:marBottom w:val="0"/>
      <w:divBdr>
        <w:top w:val="none" w:sz="0" w:space="0" w:color="auto"/>
        <w:left w:val="none" w:sz="0" w:space="0" w:color="auto"/>
        <w:bottom w:val="none" w:sz="0" w:space="0" w:color="auto"/>
        <w:right w:val="none" w:sz="0" w:space="0" w:color="auto"/>
      </w:divBdr>
    </w:div>
    <w:div w:id="1236474791">
      <w:bodyDiv w:val="1"/>
      <w:marLeft w:val="0"/>
      <w:marRight w:val="0"/>
      <w:marTop w:val="0"/>
      <w:marBottom w:val="0"/>
      <w:divBdr>
        <w:top w:val="none" w:sz="0" w:space="0" w:color="auto"/>
        <w:left w:val="none" w:sz="0" w:space="0" w:color="auto"/>
        <w:bottom w:val="none" w:sz="0" w:space="0" w:color="auto"/>
        <w:right w:val="none" w:sz="0" w:space="0" w:color="auto"/>
      </w:divBdr>
    </w:div>
    <w:div w:id="1248929552">
      <w:bodyDiv w:val="1"/>
      <w:marLeft w:val="0"/>
      <w:marRight w:val="0"/>
      <w:marTop w:val="0"/>
      <w:marBottom w:val="0"/>
      <w:divBdr>
        <w:top w:val="none" w:sz="0" w:space="0" w:color="auto"/>
        <w:left w:val="none" w:sz="0" w:space="0" w:color="auto"/>
        <w:bottom w:val="none" w:sz="0" w:space="0" w:color="auto"/>
        <w:right w:val="none" w:sz="0" w:space="0" w:color="auto"/>
      </w:divBdr>
    </w:div>
    <w:div w:id="1317490881">
      <w:bodyDiv w:val="1"/>
      <w:marLeft w:val="0"/>
      <w:marRight w:val="0"/>
      <w:marTop w:val="0"/>
      <w:marBottom w:val="0"/>
      <w:divBdr>
        <w:top w:val="none" w:sz="0" w:space="0" w:color="auto"/>
        <w:left w:val="none" w:sz="0" w:space="0" w:color="auto"/>
        <w:bottom w:val="none" w:sz="0" w:space="0" w:color="auto"/>
        <w:right w:val="none" w:sz="0" w:space="0" w:color="auto"/>
      </w:divBdr>
    </w:div>
    <w:div w:id="1375152224">
      <w:bodyDiv w:val="1"/>
      <w:marLeft w:val="0"/>
      <w:marRight w:val="0"/>
      <w:marTop w:val="0"/>
      <w:marBottom w:val="0"/>
      <w:divBdr>
        <w:top w:val="none" w:sz="0" w:space="0" w:color="auto"/>
        <w:left w:val="none" w:sz="0" w:space="0" w:color="auto"/>
        <w:bottom w:val="none" w:sz="0" w:space="0" w:color="auto"/>
        <w:right w:val="none" w:sz="0" w:space="0" w:color="auto"/>
      </w:divBdr>
    </w:div>
    <w:div w:id="1637291828">
      <w:bodyDiv w:val="1"/>
      <w:marLeft w:val="0"/>
      <w:marRight w:val="0"/>
      <w:marTop w:val="0"/>
      <w:marBottom w:val="0"/>
      <w:divBdr>
        <w:top w:val="none" w:sz="0" w:space="0" w:color="auto"/>
        <w:left w:val="none" w:sz="0" w:space="0" w:color="auto"/>
        <w:bottom w:val="none" w:sz="0" w:space="0" w:color="auto"/>
        <w:right w:val="none" w:sz="0" w:space="0" w:color="auto"/>
      </w:divBdr>
    </w:div>
    <w:div w:id="1704937254">
      <w:bodyDiv w:val="1"/>
      <w:marLeft w:val="0"/>
      <w:marRight w:val="0"/>
      <w:marTop w:val="0"/>
      <w:marBottom w:val="0"/>
      <w:divBdr>
        <w:top w:val="none" w:sz="0" w:space="0" w:color="auto"/>
        <w:left w:val="none" w:sz="0" w:space="0" w:color="auto"/>
        <w:bottom w:val="none" w:sz="0" w:space="0" w:color="auto"/>
        <w:right w:val="none" w:sz="0" w:space="0" w:color="auto"/>
      </w:divBdr>
    </w:div>
    <w:div w:id="1746605814">
      <w:bodyDiv w:val="1"/>
      <w:marLeft w:val="0"/>
      <w:marRight w:val="0"/>
      <w:marTop w:val="0"/>
      <w:marBottom w:val="0"/>
      <w:divBdr>
        <w:top w:val="none" w:sz="0" w:space="0" w:color="auto"/>
        <w:left w:val="none" w:sz="0" w:space="0" w:color="auto"/>
        <w:bottom w:val="none" w:sz="0" w:space="0" w:color="auto"/>
        <w:right w:val="none" w:sz="0" w:space="0" w:color="auto"/>
      </w:divBdr>
    </w:div>
    <w:div w:id="1922332136">
      <w:bodyDiv w:val="1"/>
      <w:marLeft w:val="0"/>
      <w:marRight w:val="0"/>
      <w:marTop w:val="0"/>
      <w:marBottom w:val="0"/>
      <w:divBdr>
        <w:top w:val="none" w:sz="0" w:space="0" w:color="auto"/>
        <w:left w:val="none" w:sz="0" w:space="0" w:color="auto"/>
        <w:bottom w:val="none" w:sz="0" w:space="0" w:color="auto"/>
        <w:right w:val="none" w:sz="0" w:space="0" w:color="auto"/>
      </w:divBdr>
    </w:div>
    <w:div w:id="2003847801">
      <w:bodyDiv w:val="1"/>
      <w:marLeft w:val="0"/>
      <w:marRight w:val="0"/>
      <w:marTop w:val="0"/>
      <w:marBottom w:val="0"/>
      <w:divBdr>
        <w:top w:val="none" w:sz="0" w:space="0" w:color="auto"/>
        <w:left w:val="none" w:sz="0" w:space="0" w:color="auto"/>
        <w:bottom w:val="none" w:sz="0" w:space="0" w:color="auto"/>
        <w:right w:val="none" w:sz="0" w:space="0" w:color="auto"/>
      </w:divBdr>
    </w:div>
    <w:div w:id="20310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13313</Words>
  <Characters>73624</Characters>
  <Application>Microsoft Office Word</Application>
  <DocSecurity>0</DocSecurity>
  <Lines>613</Lines>
  <Paragraphs>173</Paragraphs>
  <ScaleCrop>false</ScaleCrop>
  <HeadingPairs>
    <vt:vector size="2" baseType="variant">
      <vt:variant>
        <vt:lpstr>Title</vt:lpstr>
      </vt:variant>
      <vt:variant>
        <vt:i4>1</vt:i4>
      </vt:variant>
    </vt:vector>
  </HeadingPairs>
  <TitlesOfParts>
    <vt:vector size="1" baseType="lpstr">
      <vt:lpstr/>
    </vt:vector>
  </TitlesOfParts>
  <Company>DEAT</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 user</dc:creator>
  <cp:lastModifiedBy>PUMZA</cp:lastModifiedBy>
  <cp:revision>2</cp:revision>
  <cp:lastPrinted>2010-10-05T15:09:00Z</cp:lastPrinted>
  <dcterms:created xsi:type="dcterms:W3CDTF">2017-11-09T08:06:00Z</dcterms:created>
  <dcterms:modified xsi:type="dcterms:W3CDTF">2017-11-09T08:06:00Z</dcterms:modified>
</cp:coreProperties>
</file>