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A8F5E" w14:textId="77777777" w:rsidR="00555AE9" w:rsidRDefault="00555AE9" w:rsidP="006926F5">
      <w:pPr>
        <w:widowControl w:val="0"/>
        <w:autoSpaceDE w:val="0"/>
        <w:autoSpaceDN w:val="0"/>
        <w:adjustRightInd w:val="0"/>
        <w:rPr>
          <w:rFonts w:ascii="Tahoma" w:eastAsia="MS Mincho" w:hAnsi="Tahoma" w:cs="Tahoma"/>
          <w:b/>
          <w:bCs/>
          <w:sz w:val="24"/>
          <w:szCs w:val="24"/>
          <w:lang w:val="en-US"/>
        </w:rPr>
      </w:pPr>
      <w:bookmarkStart w:id="0" w:name="_GoBack"/>
      <w:bookmarkEnd w:id="0"/>
    </w:p>
    <w:p w14:paraId="43BAC923" w14:textId="7B86E144" w:rsidR="006926F5" w:rsidRPr="001063CA" w:rsidRDefault="008837EF" w:rsidP="001063CA">
      <w:pPr>
        <w:widowControl w:val="0"/>
        <w:autoSpaceDE w:val="0"/>
        <w:autoSpaceDN w:val="0"/>
        <w:adjustRightInd w:val="0"/>
        <w:spacing w:line="360" w:lineRule="auto"/>
        <w:rPr>
          <w:rFonts w:ascii="Times New Roman" w:eastAsia="MS Mincho" w:hAnsi="Times New Roman" w:cs="Times New Roman"/>
          <w:b/>
          <w:bCs/>
          <w:sz w:val="24"/>
          <w:szCs w:val="24"/>
          <w:lang w:val="en-US"/>
        </w:rPr>
      </w:pPr>
      <w:r>
        <w:rPr>
          <w:rFonts w:ascii="Times New Roman" w:eastAsia="MS Mincho" w:hAnsi="Times New Roman" w:cs="Times New Roman"/>
          <w:b/>
          <w:bCs/>
          <w:sz w:val="24"/>
          <w:szCs w:val="24"/>
          <w:lang w:val="en-US"/>
        </w:rPr>
        <w:t>2</w:t>
      </w:r>
      <w:r w:rsidR="008B6FC3">
        <w:rPr>
          <w:rFonts w:ascii="Times New Roman" w:eastAsia="MS Mincho" w:hAnsi="Times New Roman" w:cs="Times New Roman"/>
          <w:b/>
          <w:bCs/>
          <w:sz w:val="24"/>
          <w:szCs w:val="24"/>
          <w:lang w:val="en-US"/>
        </w:rPr>
        <w:t xml:space="preserve">. </w:t>
      </w:r>
      <w:r w:rsidR="006926F5" w:rsidRPr="001063CA">
        <w:rPr>
          <w:rFonts w:ascii="Times New Roman" w:eastAsia="MS Mincho" w:hAnsi="Times New Roman" w:cs="Times New Roman"/>
          <w:b/>
          <w:bCs/>
          <w:sz w:val="24"/>
          <w:szCs w:val="24"/>
          <w:lang w:val="en-US"/>
        </w:rPr>
        <w:t>BUDGETARY REVIEW AND RECOMMENDATION (BRRR) OF THE STANDING COMMITTEE ON FINANCE, DATED 1</w:t>
      </w:r>
      <w:r w:rsidR="00555AE9" w:rsidRPr="001063CA">
        <w:rPr>
          <w:rFonts w:ascii="Times New Roman" w:eastAsia="MS Mincho" w:hAnsi="Times New Roman" w:cs="Times New Roman"/>
          <w:b/>
          <w:bCs/>
          <w:sz w:val="24"/>
          <w:szCs w:val="24"/>
          <w:lang w:val="en-US"/>
        </w:rPr>
        <w:t>8</w:t>
      </w:r>
      <w:r w:rsidR="006926F5" w:rsidRPr="001063CA">
        <w:rPr>
          <w:rFonts w:ascii="Times New Roman" w:eastAsia="MS Mincho" w:hAnsi="Times New Roman" w:cs="Times New Roman"/>
          <w:b/>
          <w:bCs/>
          <w:sz w:val="24"/>
          <w:szCs w:val="24"/>
          <w:lang w:val="en-US"/>
        </w:rPr>
        <w:t xml:space="preserve"> OCTOBER 2017</w:t>
      </w:r>
    </w:p>
    <w:p w14:paraId="6FC32232" w14:textId="77777777" w:rsidR="006926F5" w:rsidRPr="001063CA" w:rsidRDefault="006926F5" w:rsidP="001063CA">
      <w:pPr>
        <w:widowControl w:val="0"/>
        <w:autoSpaceDE w:val="0"/>
        <w:autoSpaceDN w:val="0"/>
        <w:adjustRightInd w:val="0"/>
        <w:spacing w:line="360" w:lineRule="auto"/>
        <w:rPr>
          <w:rFonts w:ascii="Times New Roman" w:eastAsia="MS Mincho" w:hAnsi="Times New Roman" w:cs="Times New Roman"/>
          <w:b/>
          <w:bCs/>
          <w:sz w:val="24"/>
          <w:szCs w:val="24"/>
          <w:lang w:val="en-US"/>
        </w:rPr>
      </w:pPr>
    </w:p>
    <w:p w14:paraId="2C03DA3E" w14:textId="77777777" w:rsidR="006926F5" w:rsidRPr="001063CA" w:rsidRDefault="006926F5" w:rsidP="001063CA">
      <w:pPr>
        <w:widowControl w:val="0"/>
        <w:autoSpaceDE w:val="0"/>
        <w:autoSpaceDN w:val="0"/>
        <w:adjustRightInd w:val="0"/>
        <w:spacing w:line="360" w:lineRule="auto"/>
        <w:rPr>
          <w:rFonts w:ascii="Times New Roman" w:eastAsia="MS Mincho" w:hAnsi="Times New Roman" w:cs="Times New Roman"/>
          <w:sz w:val="24"/>
          <w:szCs w:val="24"/>
          <w:lang w:val="en-US"/>
        </w:rPr>
      </w:pPr>
      <w:r w:rsidRPr="001063CA">
        <w:rPr>
          <w:rFonts w:ascii="Times New Roman" w:eastAsia="MS Mincho" w:hAnsi="Times New Roman" w:cs="Times New Roman"/>
          <w:sz w:val="24"/>
          <w:szCs w:val="24"/>
          <w:lang w:val="en-US"/>
        </w:rPr>
        <w:t>The Standing Committee on Finance (SCOF/ the Committee), having considered the National Treasury’s (NT) and South African Reserve Bank (SARB) 2016/17 annual report</w:t>
      </w:r>
      <w:r w:rsidR="00F06768" w:rsidRPr="001063CA">
        <w:rPr>
          <w:rFonts w:ascii="Times New Roman" w:eastAsia="MS Mincho" w:hAnsi="Times New Roman" w:cs="Times New Roman"/>
          <w:sz w:val="24"/>
          <w:szCs w:val="24"/>
          <w:lang w:val="en-US"/>
        </w:rPr>
        <w:t>s</w:t>
      </w:r>
      <w:r w:rsidRPr="001063CA">
        <w:rPr>
          <w:rFonts w:ascii="Times New Roman" w:eastAsia="MS Mincho" w:hAnsi="Times New Roman" w:cs="Times New Roman"/>
          <w:sz w:val="24"/>
          <w:szCs w:val="24"/>
          <w:lang w:val="en-US"/>
        </w:rPr>
        <w:t xml:space="preserve"> as presented to the Committee on the 1 August and 4 October 2017, reports as follows:</w:t>
      </w:r>
    </w:p>
    <w:p w14:paraId="2AD83C97" w14:textId="77777777" w:rsidR="006926F5" w:rsidRPr="001063CA" w:rsidRDefault="006926F5" w:rsidP="001063CA">
      <w:pPr>
        <w:spacing w:line="360" w:lineRule="auto"/>
        <w:rPr>
          <w:rFonts w:ascii="Times New Roman" w:eastAsia="MS Mincho" w:hAnsi="Times New Roman" w:cs="Times New Roman"/>
          <w:sz w:val="24"/>
          <w:szCs w:val="24"/>
          <w:lang w:val="en-US"/>
        </w:rPr>
      </w:pPr>
    </w:p>
    <w:p w14:paraId="44992BF2" w14:textId="77777777" w:rsidR="006926F5" w:rsidRPr="001063CA" w:rsidRDefault="006926F5" w:rsidP="001063CA">
      <w:pPr>
        <w:numPr>
          <w:ilvl w:val="0"/>
          <w:numId w:val="1"/>
        </w:numPr>
        <w:spacing w:line="360" w:lineRule="auto"/>
        <w:ind w:left="0" w:firstLine="0"/>
        <w:contextualSpacing/>
        <w:rPr>
          <w:rFonts w:ascii="Times New Roman" w:hAnsi="Times New Roman" w:cs="Times New Roman"/>
          <w:b/>
          <w:sz w:val="24"/>
          <w:szCs w:val="24"/>
        </w:rPr>
      </w:pPr>
      <w:r w:rsidRPr="001063CA">
        <w:rPr>
          <w:rFonts w:ascii="Times New Roman" w:hAnsi="Times New Roman" w:cs="Times New Roman"/>
          <w:b/>
          <w:sz w:val="24"/>
          <w:szCs w:val="24"/>
        </w:rPr>
        <w:t>INTRODUCTION</w:t>
      </w:r>
    </w:p>
    <w:p w14:paraId="4337BA81" w14:textId="77777777" w:rsidR="006926F5" w:rsidRPr="001063CA" w:rsidRDefault="006926F5" w:rsidP="001063CA">
      <w:pPr>
        <w:spacing w:after="160" w:line="360" w:lineRule="auto"/>
        <w:ind w:left="720"/>
        <w:contextualSpacing/>
        <w:rPr>
          <w:rFonts w:ascii="Times New Roman" w:hAnsi="Times New Roman" w:cs="Times New Roman"/>
          <w:sz w:val="24"/>
          <w:szCs w:val="24"/>
        </w:rPr>
      </w:pPr>
    </w:p>
    <w:p w14:paraId="4BFACDAA" w14:textId="77777777" w:rsidR="001101AE" w:rsidRPr="001063CA" w:rsidRDefault="001101AE" w:rsidP="001063CA">
      <w:pPr>
        <w:numPr>
          <w:ilvl w:val="1"/>
          <w:numId w:val="2"/>
        </w:numPr>
        <w:spacing w:after="160" w:line="360" w:lineRule="auto"/>
        <w:contextualSpacing/>
        <w:rPr>
          <w:rFonts w:ascii="Times New Roman" w:hAnsi="Times New Roman" w:cs="Times New Roman"/>
          <w:sz w:val="24"/>
          <w:szCs w:val="24"/>
        </w:rPr>
      </w:pPr>
      <w:r w:rsidRPr="001063CA">
        <w:rPr>
          <w:rFonts w:ascii="Times New Roman" w:hAnsi="Times New Roman" w:cs="Times New Roman"/>
          <w:sz w:val="24"/>
          <w:szCs w:val="24"/>
        </w:rPr>
        <w:t>On 4 October, t</w:t>
      </w:r>
      <w:r w:rsidR="006926F5" w:rsidRPr="001063CA">
        <w:rPr>
          <w:rFonts w:ascii="Times New Roman" w:hAnsi="Times New Roman" w:cs="Times New Roman"/>
          <w:sz w:val="24"/>
          <w:szCs w:val="24"/>
        </w:rPr>
        <w:t xml:space="preserve">he Deputy Minister of Finance, Mr Sifiso Buthelezi provided a brief </w:t>
      </w:r>
      <w:r w:rsidR="00D9549C" w:rsidRPr="001063CA">
        <w:rPr>
          <w:rFonts w:ascii="Times New Roman" w:hAnsi="Times New Roman" w:cs="Times New Roman"/>
          <w:sz w:val="24"/>
          <w:szCs w:val="24"/>
        </w:rPr>
        <w:t xml:space="preserve">political </w:t>
      </w:r>
      <w:r w:rsidR="006926F5" w:rsidRPr="001063CA">
        <w:rPr>
          <w:rFonts w:ascii="Times New Roman" w:hAnsi="Times New Roman" w:cs="Times New Roman"/>
          <w:sz w:val="24"/>
          <w:szCs w:val="24"/>
        </w:rPr>
        <w:t>overview of NT’s annual report</w:t>
      </w:r>
      <w:r w:rsidRPr="001063CA">
        <w:rPr>
          <w:rFonts w:ascii="Times New Roman" w:hAnsi="Times New Roman" w:cs="Times New Roman"/>
          <w:sz w:val="24"/>
          <w:szCs w:val="24"/>
        </w:rPr>
        <w:t xml:space="preserve"> </w:t>
      </w:r>
      <w:r w:rsidR="006926F5" w:rsidRPr="001063CA">
        <w:rPr>
          <w:rFonts w:ascii="Times New Roman" w:hAnsi="Times New Roman" w:cs="Times New Roman"/>
          <w:sz w:val="24"/>
          <w:szCs w:val="24"/>
        </w:rPr>
        <w:t>for</w:t>
      </w:r>
      <w:r w:rsidR="00005716" w:rsidRPr="001063CA">
        <w:rPr>
          <w:rFonts w:ascii="Times New Roman" w:hAnsi="Times New Roman" w:cs="Times New Roman"/>
          <w:sz w:val="24"/>
          <w:szCs w:val="24"/>
        </w:rPr>
        <w:t xml:space="preserve"> 2016/17</w:t>
      </w:r>
      <w:r w:rsidRPr="001063CA">
        <w:rPr>
          <w:rFonts w:ascii="Times New Roman" w:hAnsi="Times New Roman" w:cs="Times New Roman"/>
          <w:sz w:val="24"/>
          <w:szCs w:val="24"/>
        </w:rPr>
        <w:t>.</w:t>
      </w:r>
      <w:r w:rsidR="006926F5" w:rsidRPr="001063CA">
        <w:rPr>
          <w:rFonts w:ascii="Times New Roman" w:hAnsi="Times New Roman" w:cs="Times New Roman"/>
          <w:sz w:val="24"/>
          <w:szCs w:val="24"/>
        </w:rPr>
        <w:t xml:space="preserve"> </w:t>
      </w:r>
      <w:r w:rsidRPr="001063CA">
        <w:rPr>
          <w:rFonts w:ascii="Times New Roman" w:hAnsi="Times New Roman" w:cs="Times New Roman"/>
          <w:sz w:val="24"/>
          <w:szCs w:val="24"/>
        </w:rPr>
        <w:t xml:space="preserve"> T</w:t>
      </w:r>
      <w:r w:rsidR="006926F5" w:rsidRPr="001063CA">
        <w:rPr>
          <w:rFonts w:ascii="Times New Roman" w:hAnsi="Times New Roman" w:cs="Times New Roman"/>
          <w:sz w:val="24"/>
          <w:szCs w:val="24"/>
        </w:rPr>
        <w:t xml:space="preserve">he Director General, Mr. Dondo Mogajane, and senior officials from the </w:t>
      </w:r>
      <w:r w:rsidR="00D9549C" w:rsidRPr="001063CA">
        <w:rPr>
          <w:rFonts w:ascii="Times New Roman" w:hAnsi="Times New Roman" w:cs="Times New Roman"/>
          <w:sz w:val="24"/>
          <w:szCs w:val="24"/>
        </w:rPr>
        <w:t>Department</w:t>
      </w:r>
      <w:r w:rsidRPr="001063CA">
        <w:rPr>
          <w:rFonts w:ascii="Times New Roman" w:hAnsi="Times New Roman" w:cs="Times New Roman"/>
          <w:sz w:val="24"/>
          <w:szCs w:val="24"/>
        </w:rPr>
        <w:t xml:space="preserve"> also participated</w:t>
      </w:r>
      <w:r w:rsidR="006926F5" w:rsidRPr="001063CA">
        <w:rPr>
          <w:rFonts w:ascii="Times New Roman" w:hAnsi="Times New Roman" w:cs="Times New Roman"/>
          <w:sz w:val="24"/>
          <w:szCs w:val="24"/>
        </w:rPr>
        <w:t xml:space="preserve">. </w:t>
      </w:r>
      <w:r w:rsidRPr="001063CA">
        <w:rPr>
          <w:rFonts w:ascii="Times New Roman" w:hAnsi="Times New Roman" w:cs="Times New Roman"/>
          <w:sz w:val="24"/>
          <w:szCs w:val="24"/>
        </w:rPr>
        <w:t>O</w:t>
      </w:r>
      <w:r w:rsidR="00D9549C" w:rsidRPr="001063CA">
        <w:rPr>
          <w:rFonts w:ascii="Times New Roman" w:hAnsi="Times New Roman" w:cs="Times New Roman"/>
          <w:sz w:val="24"/>
          <w:szCs w:val="24"/>
        </w:rPr>
        <w:t>fficials of the Office of the Auditor-General of South Africa</w:t>
      </w:r>
      <w:r w:rsidRPr="001063CA">
        <w:rPr>
          <w:rFonts w:ascii="Times New Roman" w:hAnsi="Times New Roman" w:cs="Times New Roman"/>
          <w:sz w:val="24"/>
          <w:szCs w:val="24"/>
        </w:rPr>
        <w:t xml:space="preserve"> presented a report on the audit of NT and entities that fall under it.</w:t>
      </w:r>
      <w:r w:rsidR="00D9549C" w:rsidRPr="001063CA">
        <w:rPr>
          <w:rFonts w:ascii="Times New Roman" w:hAnsi="Times New Roman" w:cs="Times New Roman"/>
          <w:sz w:val="24"/>
          <w:szCs w:val="24"/>
        </w:rPr>
        <w:t xml:space="preserve"> </w:t>
      </w:r>
    </w:p>
    <w:p w14:paraId="6FB0D4B0" w14:textId="77777777" w:rsidR="001101AE" w:rsidRPr="001063CA" w:rsidRDefault="001101AE" w:rsidP="001063CA">
      <w:pPr>
        <w:spacing w:after="160" w:line="360" w:lineRule="auto"/>
        <w:ind w:left="720"/>
        <w:contextualSpacing/>
        <w:rPr>
          <w:rFonts w:ascii="Times New Roman" w:hAnsi="Times New Roman" w:cs="Times New Roman"/>
          <w:sz w:val="24"/>
          <w:szCs w:val="24"/>
        </w:rPr>
      </w:pPr>
    </w:p>
    <w:p w14:paraId="6DDC4D49" w14:textId="77777777" w:rsidR="006926F5" w:rsidRPr="001063CA" w:rsidRDefault="006926F5" w:rsidP="001063CA">
      <w:pPr>
        <w:numPr>
          <w:ilvl w:val="1"/>
          <w:numId w:val="2"/>
        </w:numPr>
        <w:spacing w:after="160" w:line="360" w:lineRule="auto"/>
        <w:contextualSpacing/>
        <w:rPr>
          <w:rFonts w:ascii="Times New Roman" w:hAnsi="Times New Roman" w:cs="Times New Roman"/>
          <w:sz w:val="24"/>
          <w:szCs w:val="24"/>
        </w:rPr>
      </w:pPr>
      <w:r w:rsidRPr="001063CA">
        <w:rPr>
          <w:rFonts w:ascii="Times New Roman" w:hAnsi="Times New Roman" w:cs="Times New Roman"/>
          <w:sz w:val="24"/>
          <w:szCs w:val="24"/>
        </w:rPr>
        <w:t>The Committee did not receive a briefing on Programme 9: Revenue Administration from the Commissioner of the South African Revenue Service (SARS), because SARS</w:t>
      </w:r>
      <w:r w:rsidR="00D9549C" w:rsidRPr="001063CA">
        <w:rPr>
          <w:rFonts w:ascii="Times New Roman" w:hAnsi="Times New Roman" w:cs="Times New Roman"/>
          <w:sz w:val="24"/>
          <w:szCs w:val="24"/>
        </w:rPr>
        <w:t xml:space="preserve"> had</w:t>
      </w:r>
      <w:r w:rsidRPr="001063CA">
        <w:rPr>
          <w:rFonts w:ascii="Times New Roman" w:hAnsi="Times New Roman" w:cs="Times New Roman"/>
          <w:sz w:val="24"/>
          <w:szCs w:val="24"/>
        </w:rPr>
        <w:t xml:space="preserve"> not table</w:t>
      </w:r>
      <w:r w:rsidR="001101AE" w:rsidRPr="001063CA">
        <w:rPr>
          <w:rFonts w:ascii="Times New Roman" w:hAnsi="Times New Roman" w:cs="Times New Roman"/>
          <w:sz w:val="24"/>
          <w:szCs w:val="24"/>
        </w:rPr>
        <w:t>d</w:t>
      </w:r>
      <w:r w:rsidRPr="001063CA">
        <w:rPr>
          <w:rFonts w:ascii="Times New Roman" w:hAnsi="Times New Roman" w:cs="Times New Roman"/>
          <w:sz w:val="24"/>
          <w:szCs w:val="24"/>
        </w:rPr>
        <w:t xml:space="preserve"> </w:t>
      </w:r>
      <w:r w:rsidR="00D9549C" w:rsidRPr="001063CA">
        <w:rPr>
          <w:rFonts w:ascii="Times New Roman" w:hAnsi="Times New Roman" w:cs="Times New Roman"/>
          <w:sz w:val="24"/>
          <w:szCs w:val="24"/>
        </w:rPr>
        <w:t>its</w:t>
      </w:r>
      <w:r w:rsidRPr="001063CA">
        <w:rPr>
          <w:rFonts w:ascii="Times New Roman" w:hAnsi="Times New Roman" w:cs="Times New Roman"/>
          <w:sz w:val="24"/>
          <w:szCs w:val="24"/>
        </w:rPr>
        <w:t xml:space="preserve"> annual report to Parliament.</w:t>
      </w:r>
      <w:r w:rsidR="001101AE" w:rsidRPr="001063CA">
        <w:rPr>
          <w:rFonts w:ascii="Times New Roman" w:hAnsi="Times New Roman" w:cs="Times New Roman"/>
          <w:sz w:val="24"/>
          <w:szCs w:val="24"/>
        </w:rPr>
        <w:t xml:space="preserve"> The Committee will consider SARS’ annual report in late November.</w:t>
      </w:r>
    </w:p>
    <w:p w14:paraId="378DD258" w14:textId="77777777" w:rsidR="006926F5" w:rsidRPr="001063CA" w:rsidRDefault="006926F5" w:rsidP="001063CA">
      <w:pPr>
        <w:spacing w:after="160" w:line="360" w:lineRule="auto"/>
        <w:ind w:left="720"/>
        <w:contextualSpacing/>
        <w:rPr>
          <w:rFonts w:ascii="Times New Roman" w:hAnsi="Times New Roman" w:cs="Times New Roman"/>
          <w:sz w:val="24"/>
          <w:szCs w:val="24"/>
        </w:rPr>
      </w:pPr>
    </w:p>
    <w:p w14:paraId="56CB584D" w14:textId="77777777" w:rsidR="006926F5" w:rsidRPr="001063CA" w:rsidRDefault="001101AE" w:rsidP="001063CA">
      <w:pPr>
        <w:numPr>
          <w:ilvl w:val="1"/>
          <w:numId w:val="2"/>
        </w:numPr>
        <w:spacing w:after="160" w:line="360" w:lineRule="auto"/>
        <w:contextualSpacing/>
        <w:rPr>
          <w:rFonts w:ascii="Times New Roman" w:hAnsi="Times New Roman" w:cs="Times New Roman"/>
          <w:sz w:val="24"/>
          <w:szCs w:val="24"/>
        </w:rPr>
      </w:pPr>
      <w:r w:rsidRPr="001063CA">
        <w:rPr>
          <w:rFonts w:ascii="Times New Roman" w:hAnsi="Times New Roman" w:cs="Times New Roman"/>
          <w:sz w:val="24"/>
          <w:szCs w:val="24"/>
        </w:rPr>
        <w:t xml:space="preserve">The </w:t>
      </w:r>
      <w:r w:rsidR="006926F5" w:rsidRPr="001063CA">
        <w:rPr>
          <w:rFonts w:ascii="Times New Roman" w:hAnsi="Times New Roman" w:cs="Times New Roman"/>
          <w:sz w:val="24"/>
          <w:szCs w:val="24"/>
        </w:rPr>
        <w:t>South African Reserve Bank (SARB) tabled its</w:t>
      </w:r>
      <w:r w:rsidR="00D9549C" w:rsidRPr="001063CA">
        <w:rPr>
          <w:rFonts w:ascii="Times New Roman" w:hAnsi="Times New Roman" w:cs="Times New Roman"/>
          <w:sz w:val="24"/>
          <w:szCs w:val="24"/>
        </w:rPr>
        <w:t xml:space="preserve"> annual report in August</w:t>
      </w:r>
      <w:r w:rsidR="006926F5" w:rsidRPr="001063CA">
        <w:rPr>
          <w:rFonts w:ascii="Times New Roman" w:hAnsi="Times New Roman" w:cs="Times New Roman"/>
          <w:sz w:val="24"/>
          <w:szCs w:val="24"/>
        </w:rPr>
        <w:t xml:space="preserve"> 2017. </w:t>
      </w:r>
      <w:r w:rsidR="00D9549C" w:rsidRPr="001063CA">
        <w:rPr>
          <w:rFonts w:ascii="Times New Roman" w:hAnsi="Times New Roman" w:cs="Times New Roman"/>
          <w:sz w:val="24"/>
          <w:szCs w:val="24"/>
        </w:rPr>
        <w:t xml:space="preserve">The </w:t>
      </w:r>
      <w:r w:rsidR="006926F5" w:rsidRPr="001063CA">
        <w:rPr>
          <w:rFonts w:ascii="Times New Roman" w:hAnsi="Times New Roman" w:cs="Times New Roman"/>
          <w:sz w:val="24"/>
          <w:szCs w:val="24"/>
        </w:rPr>
        <w:t>Governor of the Reserve Bank, Mr Lesetja Kganyago</w:t>
      </w:r>
      <w:r w:rsidR="00D9549C" w:rsidRPr="001063CA">
        <w:rPr>
          <w:rFonts w:ascii="Times New Roman" w:hAnsi="Times New Roman" w:cs="Times New Roman"/>
          <w:sz w:val="24"/>
          <w:szCs w:val="24"/>
        </w:rPr>
        <w:t>,</w:t>
      </w:r>
      <w:r w:rsidR="006926F5" w:rsidRPr="001063CA">
        <w:rPr>
          <w:rFonts w:ascii="Times New Roman" w:hAnsi="Times New Roman" w:cs="Times New Roman"/>
          <w:sz w:val="24"/>
          <w:szCs w:val="24"/>
        </w:rPr>
        <w:t xml:space="preserve"> briefed the Committee on </w:t>
      </w:r>
      <w:r w:rsidR="00D9549C" w:rsidRPr="001063CA">
        <w:rPr>
          <w:rFonts w:ascii="Times New Roman" w:hAnsi="Times New Roman" w:cs="Times New Roman"/>
          <w:sz w:val="24"/>
          <w:szCs w:val="24"/>
        </w:rPr>
        <w:t>SARB’s</w:t>
      </w:r>
      <w:r w:rsidR="006926F5" w:rsidRPr="001063CA">
        <w:rPr>
          <w:rFonts w:ascii="Times New Roman" w:hAnsi="Times New Roman" w:cs="Times New Roman"/>
          <w:sz w:val="24"/>
          <w:szCs w:val="24"/>
        </w:rPr>
        <w:t xml:space="preserve"> performance and key aspects of </w:t>
      </w:r>
      <w:r w:rsidR="00D9549C" w:rsidRPr="001063CA">
        <w:rPr>
          <w:rFonts w:ascii="Times New Roman" w:hAnsi="Times New Roman" w:cs="Times New Roman"/>
          <w:sz w:val="24"/>
          <w:szCs w:val="24"/>
        </w:rPr>
        <w:t>its</w:t>
      </w:r>
      <w:r w:rsidR="006926F5" w:rsidRPr="001063CA">
        <w:rPr>
          <w:rFonts w:ascii="Times New Roman" w:hAnsi="Times New Roman" w:cs="Times New Roman"/>
          <w:sz w:val="24"/>
          <w:szCs w:val="24"/>
        </w:rPr>
        <w:t xml:space="preserve"> mandate. The SARB’s primary mandate and independence are entrenched in sections 224 and 225 of the Constitution.</w:t>
      </w:r>
    </w:p>
    <w:p w14:paraId="5207761C" w14:textId="77777777" w:rsidR="006926F5" w:rsidRPr="001063CA" w:rsidRDefault="006926F5" w:rsidP="001063CA">
      <w:pPr>
        <w:spacing w:after="160" w:line="360" w:lineRule="auto"/>
        <w:ind w:left="720"/>
        <w:contextualSpacing/>
        <w:rPr>
          <w:rFonts w:ascii="Times New Roman" w:hAnsi="Times New Roman" w:cs="Times New Roman"/>
          <w:sz w:val="24"/>
          <w:szCs w:val="24"/>
        </w:rPr>
      </w:pPr>
    </w:p>
    <w:p w14:paraId="034AFED8" w14:textId="77777777" w:rsidR="006926F5" w:rsidRPr="001063CA" w:rsidRDefault="006926F5" w:rsidP="001063CA">
      <w:pPr>
        <w:numPr>
          <w:ilvl w:val="1"/>
          <w:numId w:val="2"/>
        </w:numPr>
        <w:spacing w:after="160" w:line="360" w:lineRule="auto"/>
        <w:contextualSpacing/>
        <w:rPr>
          <w:rFonts w:ascii="Times New Roman" w:hAnsi="Times New Roman" w:cs="Times New Roman"/>
          <w:sz w:val="24"/>
          <w:szCs w:val="24"/>
        </w:rPr>
      </w:pPr>
      <w:r w:rsidRPr="001063CA">
        <w:rPr>
          <w:rFonts w:ascii="Times New Roman" w:hAnsi="Times New Roman" w:cs="Times New Roman"/>
          <w:sz w:val="24"/>
          <w:szCs w:val="24"/>
        </w:rPr>
        <w:t>The overall legislative mandate of NT is based on section 216 (1) of the Constitution which</w:t>
      </w:r>
      <w:r w:rsidR="009A3CD4" w:rsidRPr="001063CA">
        <w:rPr>
          <w:rFonts w:ascii="Times New Roman" w:hAnsi="Times New Roman" w:cs="Times New Roman"/>
          <w:sz w:val="24"/>
          <w:szCs w:val="24"/>
        </w:rPr>
        <w:t xml:space="preserve"> requires it </w:t>
      </w:r>
      <w:r w:rsidRPr="001063CA">
        <w:rPr>
          <w:rFonts w:ascii="Times New Roman" w:hAnsi="Times New Roman" w:cs="Times New Roman"/>
          <w:sz w:val="24"/>
          <w:szCs w:val="24"/>
        </w:rPr>
        <w:t xml:space="preserve">to ensure transparency, accountability and sound financial controls in the management of the country’s finances and the Public Finance Management Act (1999).  </w:t>
      </w:r>
    </w:p>
    <w:p w14:paraId="6F1F62CE" w14:textId="77777777" w:rsidR="00D9549C" w:rsidRPr="001063CA" w:rsidRDefault="00D9549C" w:rsidP="001063CA">
      <w:pPr>
        <w:spacing w:after="160" w:line="360" w:lineRule="auto"/>
        <w:contextualSpacing/>
        <w:rPr>
          <w:rFonts w:ascii="Times New Roman" w:hAnsi="Times New Roman" w:cs="Times New Roman"/>
          <w:sz w:val="24"/>
          <w:szCs w:val="24"/>
        </w:rPr>
      </w:pPr>
    </w:p>
    <w:p w14:paraId="221E7DD7" w14:textId="77777777" w:rsidR="00D9549C" w:rsidRPr="001063CA" w:rsidRDefault="00D9549C" w:rsidP="001063CA">
      <w:pPr>
        <w:spacing w:after="160" w:line="360" w:lineRule="auto"/>
        <w:ind w:left="720"/>
        <w:contextualSpacing/>
        <w:rPr>
          <w:rFonts w:ascii="Times New Roman" w:hAnsi="Times New Roman" w:cs="Times New Roman"/>
          <w:sz w:val="24"/>
          <w:szCs w:val="24"/>
        </w:rPr>
      </w:pPr>
    </w:p>
    <w:p w14:paraId="06CE5509" w14:textId="77777777" w:rsidR="006926F5" w:rsidRPr="001063CA" w:rsidRDefault="006926F5" w:rsidP="001063CA">
      <w:pPr>
        <w:numPr>
          <w:ilvl w:val="0"/>
          <w:numId w:val="1"/>
        </w:numPr>
        <w:spacing w:line="360" w:lineRule="auto"/>
        <w:contextualSpacing/>
        <w:rPr>
          <w:rFonts w:ascii="Times New Roman" w:hAnsi="Times New Roman" w:cs="Times New Roman"/>
          <w:b/>
          <w:sz w:val="24"/>
          <w:szCs w:val="24"/>
        </w:rPr>
      </w:pPr>
      <w:r w:rsidRPr="001063CA">
        <w:rPr>
          <w:rFonts w:ascii="Times New Roman" w:hAnsi="Times New Roman" w:cs="Times New Roman"/>
          <w:b/>
          <w:sz w:val="24"/>
          <w:szCs w:val="24"/>
        </w:rPr>
        <w:t xml:space="preserve">POLITICAL OVERVIEW BY THE DEPUTY MINISTER OF FINANCE </w:t>
      </w:r>
    </w:p>
    <w:p w14:paraId="34A0E907" w14:textId="77777777" w:rsidR="006926F5" w:rsidRPr="001063CA" w:rsidRDefault="006926F5" w:rsidP="001063CA">
      <w:pPr>
        <w:spacing w:line="360" w:lineRule="auto"/>
        <w:ind w:left="720" w:hanging="720"/>
        <w:rPr>
          <w:rFonts w:ascii="Times New Roman" w:eastAsia="MS Mincho" w:hAnsi="Times New Roman" w:cs="Times New Roman"/>
          <w:sz w:val="24"/>
          <w:szCs w:val="24"/>
          <w:lang w:val="en-US"/>
        </w:rPr>
      </w:pPr>
    </w:p>
    <w:p w14:paraId="1C187235" w14:textId="77777777" w:rsidR="006926F5" w:rsidRPr="001063CA" w:rsidRDefault="006926F5" w:rsidP="001063CA">
      <w:pPr>
        <w:spacing w:line="360" w:lineRule="auto"/>
        <w:ind w:left="720" w:hanging="720"/>
        <w:rPr>
          <w:rFonts w:ascii="Times New Roman" w:eastAsia="MS Mincho" w:hAnsi="Times New Roman" w:cs="Times New Roman"/>
          <w:sz w:val="24"/>
          <w:szCs w:val="24"/>
          <w:lang w:val="en-US"/>
        </w:rPr>
      </w:pPr>
      <w:r w:rsidRPr="001063CA">
        <w:rPr>
          <w:rFonts w:ascii="Times New Roman" w:eastAsia="MS Mincho" w:hAnsi="Times New Roman" w:cs="Times New Roman"/>
          <w:sz w:val="24"/>
          <w:szCs w:val="24"/>
          <w:lang w:val="en-US"/>
        </w:rPr>
        <w:lastRenderedPageBreak/>
        <w:t>2.1</w:t>
      </w:r>
      <w:r w:rsidRPr="001063CA">
        <w:rPr>
          <w:rFonts w:ascii="Times New Roman" w:eastAsia="MS Mincho" w:hAnsi="Times New Roman" w:cs="Times New Roman"/>
          <w:sz w:val="24"/>
          <w:szCs w:val="24"/>
          <w:lang w:val="en-US"/>
        </w:rPr>
        <w:tab/>
        <w:t xml:space="preserve">The Deputy Minister of Finance stated that South Africa’s economy is experiencing lower than expected growth levels which </w:t>
      </w:r>
      <w:r w:rsidR="009A3CD4" w:rsidRPr="001063CA">
        <w:rPr>
          <w:rFonts w:ascii="Times New Roman" w:eastAsia="MS Mincho" w:hAnsi="Times New Roman" w:cs="Times New Roman"/>
          <w:sz w:val="24"/>
          <w:szCs w:val="24"/>
          <w:lang w:val="en-US"/>
        </w:rPr>
        <w:t>created huge</w:t>
      </w:r>
      <w:r w:rsidRPr="001063CA">
        <w:rPr>
          <w:rFonts w:ascii="Times New Roman" w:eastAsia="MS Mincho" w:hAnsi="Times New Roman" w:cs="Times New Roman"/>
          <w:sz w:val="24"/>
          <w:szCs w:val="24"/>
          <w:lang w:val="en-US"/>
        </w:rPr>
        <w:t xml:space="preserve"> challenge</w:t>
      </w:r>
      <w:r w:rsidR="009A3CD4" w:rsidRPr="001063CA">
        <w:rPr>
          <w:rFonts w:ascii="Times New Roman" w:eastAsia="MS Mincho" w:hAnsi="Times New Roman" w:cs="Times New Roman"/>
          <w:sz w:val="24"/>
          <w:szCs w:val="24"/>
          <w:lang w:val="en-US"/>
        </w:rPr>
        <w:t>s</w:t>
      </w:r>
      <w:r w:rsidRPr="001063CA">
        <w:rPr>
          <w:rFonts w:ascii="Times New Roman" w:eastAsia="MS Mincho" w:hAnsi="Times New Roman" w:cs="Times New Roman"/>
          <w:sz w:val="24"/>
          <w:szCs w:val="24"/>
          <w:lang w:val="en-US"/>
        </w:rPr>
        <w:t xml:space="preserve"> in reducing poverty, creating employment and addressing inequality. He said that government is working with stakeholders on various developmental partnerships around specific economic issues and growth areas in order to drive a common and focused agenda</w:t>
      </w:r>
      <w:r w:rsidR="00D9549C" w:rsidRPr="001063CA">
        <w:rPr>
          <w:rFonts w:ascii="Times New Roman" w:eastAsia="MS Mincho" w:hAnsi="Times New Roman" w:cs="Times New Roman"/>
          <w:sz w:val="24"/>
          <w:szCs w:val="24"/>
          <w:lang w:val="en-US"/>
        </w:rPr>
        <w:t xml:space="preserve"> for growth and development</w:t>
      </w:r>
      <w:r w:rsidRPr="001063CA">
        <w:rPr>
          <w:rFonts w:ascii="Times New Roman" w:eastAsia="MS Mincho" w:hAnsi="Times New Roman" w:cs="Times New Roman"/>
          <w:sz w:val="24"/>
          <w:szCs w:val="24"/>
          <w:lang w:val="en-US"/>
        </w:rPr>
        <w:t xml:space="preserve">. </w:t>
      </w:r>
    </w:p>
    <w:p w14:paraId="70E22BB9" w14:textId="77777777" w:rsidR="006926F5" w:rsidRPr="001063CA" w:rsidRDefault="006926F5" w:rsidP="001063CA">
      <w:pPr>
        <w:spacing w:line="360" w:lineRule="auto"/>
        <w:ind w:left="720" w:hanging="720"/>
        <w:rPr>
          <w:rFonts w:ascii="Times New Roman" w:eastAsia="MS Mincho" w:hAnsi="Times New Roman" w:cs="Times New Roman"/>
          <w:sz w:val="24"/>
          <w:szCs w:val="24"/>
          <w:lang w:val="en-US"/>
        </w:rPr>
      </w:pPr>
    </w:p>
    <w:p w14:paraId="2FB45B8F" w14:textId="77777777" w:rsidR="006926F5" w:rsidRPr="001063CA" w:rsidRDefault="006926F5" w:rsidP="001063CA">
      <w:pPr>
        <w:spacing w:line="360" w:lineRule="auto"/>
        <w:ind w:left="720" w:hanging="720"/>
        <w:rPr>
          <w:rFonts w:ascii="Times New Roman" w:eastAsia="MS Mincho" w:hAnsi="Times New Roman" w:cs="Times New Roman"/>
          <w:sz w:val="24"/>
          <w:szCs w:val="24"/>
          <w:lang w:val="en-US"/>
        </w:rPr>
      </w:pPr>
      <w:r w:rsidRPr="001063CA">
        <w:rPr>
          <w:rFonts w:ascii="Times New Roman" w:eastAsia="MS Mincho" w:hAnsi="Times New Roman" w:cs="Times New Roman"/>
          <w:sz w:val="24"/>
          <w:szCs w:val="24"/>
          <w:lang w:val="en-US"/>
        </w:rPr>
        <w:t>2.2.</w:t>
      </w:r>
      <w:r w:rsidRPr="001063CA">
        <w:rPr>
          <w:rFonts w:ascii="Times New Roman" w:eastAsia="MS Mincho" w:hAnsi="Times New Roman" w:cs="Times New Roman"/>
          <w:sz w:val="24"/>
          <w:szCs w:val="24"/>
          <w:lang w:val="en-US"/>
        </w:rPr>
        <w:tab/>
        <w:t xml:space="preserve">He said that the test </w:t>
      </w:r>
      <w:r w:rsidR="00E15E42" w:rsidRPr="001063CA">
        <w:rPr>
          <w:rFonts w:ascii="Times New Roman" w:eastAsia="MS Mincho" w:hAnsi="Times New Roman" w:cs="Times New Roman"/>
          <w:sz w:val="24"/>
          <w:szCs w:val="24"/>
          <w:lang w:val="en-US"/>
        </w:rPr>
        <w:t>of</w:t>
      </w:r>
      <w:r w:rsidRPr="001063CA">
        <w:rPr>
          <w:rFonts w:ascii="Times New Roman" w:eastAsia="MS Mincho" w:hAnsi="Times New Roman" w:cs="Times New Roman"/>
          <w:sz w:val="24"/>
          <w:szCs w:val="24"/>
          <w:lang w:val="en-US"/>
        </w:rPr>
        <w:t xml:space="preserve"> NT’s work was the extent to which it positively impacted on growth and transformation. In that regard, the Government and National Treasury are working hard to ensure policy certainty</w:t>
      </w:r>
      <w:r w:rsidR="00840EE1" w:rsidRPr="001063CA">
        <w:rPr>
          <w:rFonts w:ascii="Times New Roman" w:eastAsia="MS Mincho" w:hAnsi="Times New Roman" w:cs="Times New Roman"/>
          <w:sz w:val="24"/>
          <w:szCs w:val="24"/>
          <w:lang w:val="en-US"/>
        </w:rPr>
        <w:t>, he said</w:t>
      </w:r>
      <w:r w:rsidRPr="001063CA">
        <w:rPr>
          <w:rFonts w:ascii="Times New Roman" w:eastAsia="MS Mincho" w:hAnsi="Times New Roman" w:cs="Times New Roman"/>
          <w:sz w:val="24"/>
          <w:szCs w:val="24"/>
          <w:lang w:val="en-US"/>
        </w:rPr>
        <w:t xml:space="preserve">. He </w:t>
      </w:r>
      <w:r w:rsidR="00001D9C" w:rsidRPr="001063CA">
        <w:rPr>
          <w:rFonts w:ascii="Times New Roman" w:eastAsia="MS Mincho" w:hAnsi="Times New Roman" w:cs="Times New Roman"/>
          <w:sz w:val="24"/>
          <w:szCs w:val="24"/>
          <w:lang w:val="en-US"/>
        </w:rPr>
        <w:t>added</w:t>
      </w:r>
      <w:r w:rsidRPr="001063CA">
        <w:rPr>
          <w:rFonts w:ascii="Times New Roman" w:eastAsia="MS Mincho" w:hAnsi="Times New Roman" w:cs="Times New Roman"/>
          <w:sz w:val="24"/>
          <w:szCs w:val="24"/>
          <w:lang w:val="en-US"/>
        </w:rPr>
        <w:t xml:space="preserve"> </w:t>
      </w:r>
      <w:r w:rsidR="00840EE1" w:rsidRPr="001063CA">
        <w:rPr>
          <w:rFonts w:ascii="Times New Roman" w:eastAsia="MS Mincho" w:hAnsi="Times New Roman" w:cs="Times New Roman"/>
          <w:sz w:val="24"/>
          <w:szCs w:val="24"/>
          <w:lang w:val="en-US"/>
        </w:rPr>
        <w:t xml:space="preserve">that </w:t>
      </w:r>
      <w:r w:rsidRPr="001063CA">
        <w:rPr>
          <w:rFonts w:ascii="Times New Roman" w:eastAsia="MS Mincho" w:hAnsi="Times New Roman" w:cs="Times New Roman"/>
          <w:sz w:val="24"/>
          <w:szCs w:val="24"/>
          <w:lang w:val="en-US"/>
        </w:rPr>
        <w:t xml:space="preserve">South Africa was working together with its regional counterparts to advance free trade areas, improve regional transport infrastructure and to reduce border delays. </w:t>
      </w:r>
    </w:p>
    <w:p w14:paraId="35294076" w14:textId="77777777" w:rsidR="006926F5" w:rsidRPr="001063CA" w:rsidRDefault="006926F5" w:rsidP="001063CA">
      <w:pPr>
        <w:spacing w:line="360" w:lineRule="auto"/>
        <w:ind w:left="720" w:hanging="720"/>
        <w:rPr>
          <w:rFonts w:ascii="Times New Roman" w:eastAsia="MS Mincho" w:hAnsi="Times New Roman" w:cs="Times New Roman"/>
          <w:sz w:val="24"/>
          <w:szCs w:val="24"/>
          <w:lang w:val="en-US"/>
        </w:rPr>
      </w:pPr>
    </w:p>
    <w:p w14:paraId="0A9ABB99" w14:textId="77777777" w:rsidR="006926F5" w:rsidRPr="001063CA" w:rsidRDefault="006926F5" w:rsidP="001063CA">
      <w:pPr>
        <w:spacing w:line="360" w:lineRule="auto"/>
        <w:ind w:left="720" w:hanging="720"/>
        <w:rPr>
          <w:rFonts w:ascii="Times New Roman" w:eastAsia="MS Mincho" w:hAnsi="Times New Roman" w:cs="Times New Roman"/>
          <w:sz w:val="24"/>
          <w:szCs w:val="24"/>
          <w:lang w:val="en-US"/>
        </w:rPr>
      </w:pPr>
      <w:r w:rsidRPr="001063CA">
        <w:rPr>
          <w:rFonts w:ascii="Times New Roman" w:eastAsia="MS Mincho" w:hAnsi="Times New Roman" w:cs="Times New Roman"/>
          <w:sz w:val="24"/>
          <w:szCs w:val="24"/>
          <w:lang w:val="en-US"/>
        </w:rPr>
        <w:t>2.3.</w:t>
      </w:r>
      <w:r w:rsidRPr="001063CA">
        <w:rPr>
          <w:rFonts w:ascii="Times New Roman" w:eastAsia="MS Mincho" w:hAnsi="Times New Roman" w:cs="Times New Roman"/>
          <w:sz w:val="24"/>
          <w:szCs w:val="24"/>
          <w:lang w:val="en-US"/>
        </w:rPr>
        <w:tab/>
        <w:t>He also said that NT is working on mordenising the public procurement regime t</w:t>
      </w:r>
      <w:r w:rsidR="00840EE1" w:rsidRPr="001063CA">
        <w:rPr>
          <w:rFonts w:ascii="Times New Roman" w:eastAsia="MS Mincho" w:hAnsi="Times New Roman" w:cs="Times New Roman"/>
          <w:sz w:val="24"/>
          <w:szCs w:val="24"/>
          <w:lang w:val="en-US"/>
        </w:rPr>
        <w:t>o ensure that it delivers on its</w:t>
      </w:r>
      <w:r w:rsidRPr="001063CA">
        <w:rPr>
          <w:rFonts w:ascii="Times New Roman" w:eastAsia="MS Mincho" w:hAnsi="Times New Roman" w:cs="Times New Roman"/>
          <w:sz w:val="24"/>
          <w:szCs w:val="24"/>
          <w:lang w:val="en-US"/>
        </w:rPr>
        <w:t xml:space="preserve"> economic transformation mandate. </w:t>
      </w:r>
      <w:r w:rsidR="00001D9C" w:rsidRPr="001063CA">
        <w:rPr>
          <w:rFonts w:ascii="Times New Roman" w:eastAsia="MS Mincho" w:hAnsi="Times New Roman" w:cs="Times New Roman"/>
          <w:sz w:val="24"/>
          <w:szCs w:val="24"/>
          <w:lang w:val="en-US"/>
        </w:rPr>
        <w:t>P</w:t>
      </w:r>
      <w:r w:rsidRPr="001063CA">
        <w:rPr>
          <w:rFonts w:ascii="Times New Roman" w:eastAsia="MS Mincho" w:hAnsi="Times New Roman" w:cs="Times New Roman"/>
          <w:sz w:val="24"/>
          <w:szCs w:val="24"/>
          <w:lang w:val="en-US"/>
        </w:rPr>
        <w:t>ublic procurement should enhance the efficiency of the public sector and deliver value for money. It should also maximize the developmental impact of public spend by targeting black</w:t>
      </w:r>
      <w:r w:rsidR="00001D9C" w:rsidRPr="001063CA">
        <w:rPr>
          <w:rFonts w:ascii="Times New Roman" w:eastAsia="MS Mincho" w:hAnsi="Times New Roman" w:cs="Times New Roman"/>
          <w:sz w:val="24"/>
          <w:szCs w:val="24"/>
          <w:lang w:val="en-US"/>
        </w:rPr>
        <w:t>,</w:t>
      </w:r>
      <w:r w:rsidRPr="001063CA">
        <w:rPr>
          <w:rFonts w:ascii="Times New Roman" w:eastAsia="MS Mincho" w:hAnsi="Times New Roman" w:cs="Times New Roman"/>
          <w:sz w:val="24"/>
          <w:szCs w:val="24"/>
          <w:lang w:val="en-US"/>
        </w:rPr>
        <w:t xml:space="preserve"> women</w:t>
      </w:r>
      <w:r w:rsidR="00840EE1" w:rsidRPr="001063CA">
        <w:rPr>
          <w:rFonts w:ascii="Times New Roman" w:eastAsia="MS Mincho" w:hAnsi="Times New Roman" w:cs="Times New Roman"/>
          <w:sz w:val="24"/>
          <w:szCs w:val="24"/>
          <w:lang w:val="en-US"/>
        </w:rPr>
        <w:t>-owned and youth-</w:t>
      </w:r>
      <w:r w:rsidRPr="001063CA">
        <w:rPr>
          <w:rFonts w:ascii="Times New Roman" w:eastAsia="MS Mincho" w:hAnsi="Times New Roman" w:cs="Times New Roman"/>
          <w:sz w:val="24"/>
          <w:szCs w:val="24"/>
          <w:lang w:val="en-US"/>
        </w:rPr>
        <w:t>owned businesses, and provide access for township entrepreneurs and others.</w:t>
      </w:r>
    </w:p>
    <w:p w14:paraId="6D1B900E" w14:textId="77777777" w:rsidR="006926F5" w:rsidRPr="001063CA" w:rsidRDefault="006926F5" w:rsidP="001063CA">
      <w:pPr>
        <w:spacing w:line="360" w:lineRule="auto"/>
        <w:ind w:left="720" w:hanging="720"/>
        <w:rPr>
          <w:rFonts w:ascii="Times New Roman" w:eastAsia="MS Mincho" w:hAnsi="Times New Roman" w:cs="Times New Roman"/>
          <w:sz w:val="24"/>
          <w:szCs w:val="24"/>
          <w:lang w:val="en-US"/>
        </w:rPr>
      </w:pPr>
    </w:p>
    <w:p w14:paraId="5572611F" w14:textId="77777777" w:rsidR="006926F5" w:rsidRPr="001063CA" w:rsidRDefault="006926F5" w:rsidP="001063CA">
      <w:pPr>
        <w:spacing w:line="360" w:lineRule="auto"/>
        <w:ind w:left="720" w:hanging="720"/>
        <w:rPr>
          <w:rFonts w:ascii="Times New Roman" w:eastAsia="MS Mincho" w:hAnsi="Times New Roman" w:cs="Times New Roman"/>
          <w:sz w:val="24"/>
          <w:szCs w:val="24"/>
          <w:lang w:val="en-US"/>
        </w:rPr>
      </w:pPr>
      <w:r w:rsidRPr="001063CA">
        <w:rPr>
          <w:rFonts w:ascii="Times New Roman" w:eastAsia="MS Mincho" w:hAnsi="Times New Roman" w:cs="Times New Roman"/>
          <w:sz w:val="24"/>
          <w:szCs w:val="24"/>
          <w:lang w:val="en-US"/>
        </w:rPr>
        <w:t>2.4</w:t>
      </w:r>
      <w:r w:rsidRPr="001063CA">
        <w:rPr>
          <w:rFonts w:ascii="Times New Roman" w:eastAsia="MS Mincho" w:hAnsi="Times New Roman" w:cs="Times New Roman"/>
          <w:sz w:val="24"/>
          <w:szCs w:val="24"/>
          <w:lang w:val="en-US"/>
        </w:rPr>
        <w:tab/>
        <w:t>To advance transformation, NT was working with stakeholders to ensure the finalisation of the Financial Sector Codes in line with the Broad-Based Black Economic Empowerment Act of 2013. This is being done in order to advance the inclusion of blacks, women and youth in the economy through ownership and management</w:t>
      </w:r>
      <w:r w:rsidR="00840EE1" w:rsidRPr="001063CA">
        <w:rPr>
          <w:rFonts w:ascii="Times New Roman" w:eastAsia="MS Mincho" w:hAnsi="Times New Roman" w:cs="Times New Roman"/>
          <w:sz w:val="24"/>
          <w:szCs w:val="24"/>
          <w:lang w:val="en-US"/>
        </w:rPr>
        <w:t>, among other</w:t>
      </w:r>
      <w:r w:rsidR="00001D9C" w:rsidRPr="001063CA">
        <w:rPr>
          <w:rFonts w:ascii="Times New Roman" w:eastAsia="MS Mincho" w:hAnsi="Times New Roman" w:cs="Times New Roman"/>
          <w:sz w:val="24"/>
          <w:szCs w:val="24"/>
          <w:lang w:val="en-US"/>
        </w:rPr>
        <w:t xml:space="preserve"> considerations.</w:t>
      </w:r>
      <w:r w:rsidRPr="001063CA">
        <w:rPr>
          <w:rFonts w:ascii="Times New Roman" w:eastAsia="MS Mincho" w:hAnsi="Times New Roman" w:cs="Times New Roman"/>
          <w:sz w:val="24"/>
          <w:szCs w:val="24"/>
          <w:lang w:val="en-US"/>
        </w:rPr>
        <w:t xml:space="preserve"> He emphasised that using procurement to transform the economy was urgent as there was a paucity in the use of black professionals in the economy, including in th</w:t>
      </w:r>
      <w:r w:rsidR="00840EE1" w:rsidRPr="001063CA">
        <w:rPr>
          <w:rFonts w:ascii="Times New Roman" w:eastAsia="MS Mincho" w:hAnsi="Times New Roman" w:cs="Times New Roman"/>
          <w:sz w:val="24"/>
          <w:szCs w:val="24"/>
          <w:lang w:val="en-US"/>
        </w:rPr>
        <w:t>e public service. He said that g</w:t>
      </w:r>
      <w:r w:rsidRPr="001063CA">
        <w:rPr>
          <w:rFonts w:ascii="Times New Roman" w:eastAsia="MS Mincho" w:hAnsi="Times New Roman" w:cs="Times New Roman"/>
          <w:sz w:val="24"/>
          <w:szCs w:val="24"/>
          <w:lang w:val="en-US"/>
        </w:rPr>
        <w:t xml:space="preserve">overnment should lead </w:t>
      </w:r>
      <w:r w:rsidR="00840EE1" w:rsidRPr="001063CA">
        <w:rPr>
          <w:rFonts w:ascii="Times New Roman" w:eastAsia="MS Mincho" w:hAnsi="Times New Roman" w:cs="Times New Roman"/>
          <w:sz w:val="24"/>
          <w:szCs w:val="24"/>
          <w:lang w:val="en-US"/>
        </w:rPr>
        <w:t xml:space="preserve">by example </w:t>
      </w:r>
      <w:r w:rsidRPr="001063CA">
        <w:rPr>
          <w:rFonts w:ascii="Times New Roman" w:eastAsia="MS Mincho" w:hAnsi="Times New Roman" w:cs="Times New Roman"/>
          <w:sz w:val="24"/>
          <w:szCs w:val="24"/>
          <w:lang w:val="en-US"/>
        </w:rPr>
        <w:t>on this</w:t>
      </w:r>
      <w:r w:rsidR="00A717E1" w:rsidRPr="001063CA">
        <w:rPr>
          <w:rFonts w:ascii="Times New Roman" w:eastAsia="MS Mincho" w:hAnsi="Times New Roman" w:cs="Times New Roman"/>
          <w:sz w:val="24"/>
          <w:szCs w:val="24"/>
          <w:lang w:val="en-US"/>
        </w:rPr>
        <w:t xml:space="preserve">, </w:t>
      </w:r>
      <w:r w:rsidR="00761DA4" w:rsidRPr="001063CA">
        <w:rPr>
          <w:rFonts w:ascii="Times New Roman" w:eastAsia="MS Mincho" w:hAnsi="Times New Roman" w:cs="Times New Roman"/>
          <w:sz w:val="24"/>
          <w:szCs w:val="24"/>
          <w:lang w:val="en-US"/>
        </w:rPr>
        <w:t>especially</w:t>
      </w:r>
      <w:r w:rsidRPr="001063CA">
        <w:rPr>
          <w:rFonts w:ascii="Times New Roman" w:eastAsia="MS Mincho" w:hAnsi="Times New Roman" w:cs="Times New Roman"/>
          <w:sz w:val="24"/>
          <w:szCs w:val="24"/>
          <w:lang w:val="en-US"/>
        </w:rPr>
        <w:t xml:space="preserve"> as it expected the private sector to transform.   </w:t>
      </w:r>
      <w:r w:rsidRPr="001063CA">
        <w:rPr>
          <w:rFonts w:ascii="Times New Roman" w:eastAsia="MS Mincho" w:hAnsi="Times New Roman" w:cs="Times New Roman"/>
          <w:sz w:val="24"/>
          <w:szCs w:val="24"/>
          <w:lang w:val="en-US"/>
        </w:rPr>
        <w:tab/>
      </w:r>
    </w:p>
    <w:p w14:paraId="2004BBCE" w14:textId="77777777" w:rsidR="006926F5" w:rsidRPr="001063CA" w:rsidRDefault="006926F5" w:rsidP="001063CA">
      <w:pPr>
        <w:spacing w:line="360" w:lineRule="auto"/>
        <w:ind w:left="720" w:hanging="720"/>
        <w:rPr>
          <w:rFonts w:ascii="Times New Roman" w:eastAsia="MS Mincho" w:hAnsi="Times New Roman" w:cs="Times New Roman"/>
          <w:sz w:val="24"/>
          <w:szCs w:val="24"/>
          <w:lang w:val="en-US"/>
        </w:rPr>
      </w:pPr>
    </w:p>
    <w:p w14:paraId="70A583A2" w14:textId="77777777" w:rsidR="006926F5" w:rsidRPr="001063CA" w:rsidRDefault="006926F5" w:rsidP="001063CA">
      <w:pPr>
        <w:spacing w:line="360" w:lineRule="auto"/>
        <w:ind w:left="720" w:hanging="720"/>
        <w:rPr>
          <w:rFonts w:ascii="Times New Roman" w:eastAsia="MS Mincho" w:hAnsi="Times New Roman" w:cs="Times New Roman"/>
          <w:sz w:val="24"/>
          <w:szCs w:val="24"/>
          <w:lang w:val="en-US"/>
        </w:rPr>
      </w:pPr>
    </w:p>
    <w:p w14:paraId="18B7C7BA" w14:textId="77777777" w:rsidR="006926F5" w:rsidRPr="001063CA" w:rsidRDefault="006926F5" w:rsidP="001063CA">
      <w:pPr>
        <w:numPr>
          <w:ilvl w:val="0"/>
          <w:numId w:val="1"/>
        </w:numPr>
        <w:spacing w:line="360" w:lineRule="auto"/>
        <w:ind w:left="0" w:firstLine="0"/>
        <w:contextualSpacing/>
        <w:rPr>
          <w:rFonts w:ascii="Times New Roman" w:hAnsi="Times New Roman" w:cs="Times New Roman"/>
          <w:b/>
          <w:sz w:val="24"/>
          <w:szCs w:val="24"/>
        </w:rPr>
      </w:pPr>
      <w:r w:rsidRPr="001063CA">
        <w:rPr>
          <w:rFonts w:ascii="Times New Roman" w:hAnsi="Times New Roman" w:cs="Times New Roman"/>
          <w:b/>
          <w:sz w:val="24"/>
          <w:szCs w:val="24"/>
        </w:rPr>
        <w:t xml:space="preserve">STRATEGIC GOALS FOR 2016/17: NATIONAL TREASURY   </w:t>
      </w:r>
    </w:p>
    <w:p w14:paraId="5D75F75F" w14:textId="77777777" w:rsidR="006926F5" w:rsidRPr="001063CA" w:rsidRDefault="006926F5" w:rsidP="001063CA">
      <w:pPr>
        <w:spacing w:line="360" w:lineRule="auto"/>
        <w:ind w:left="720"/>
        <w:contextualSpacing/>
        <w:rPr>
          <w:rFonts w:ascii="Times New Roman" w:hAnsi="Times New Roman" w:cs="Times New Roman"/>
          <w:sz w:val="24"/>
          <w:szCs w:val="24"/>
          <w:lang w:val="en-US"/>
        </w:rPr>
      </w:pPr>
    </w:p>
    <w:p w14:paraId="119FD852" w14:textId="77777777" w:rsidR="006926F5" w:rsidRPr="001063CA" w:rsidRDefault="006926F5" w:rsidP="001063CA">
      <w:pPr>
        <w:numPr>
          <w:ilvl w:val="1"/>
          <w:numId w:val="3"/>
        </w:numPr>
        <w:spacing w:line="360" w:lineRule="auto"/>
        <w:contextualSpacing/>
        <w:rPr>
          <w:rFonts w:ascii="Times New Roman" w:hAnsi="Times New Roman" w:cs="Times New Roman"/>
          <w:sz w:val="24"/>
          <w:szCs w:val="24"/>
          <w:lang w:val="en-US"/>
        </w:rPr>
      </w:pPr>
      <w:r w:rsidRPr="001063CA">
        <w:rPr>
          <w:rFonts w:ascii="Times New Roman" w:hAnsi="Times New Roman" w:cs="Times New Roman"/>
          <w:sz w:val="24"/>
          <w:szCs w:val="24"/>
          <w:lang w:val="en-US"/>
        </w:rPr>
        <w:lastRenderedPageBreak/>
        <w:t xml:space="preserve">The NT is responsible for managing the country’s finances and draws its mandate from Chapter 2 of the Public Finance Management Act, as well as Chapter 13 of the Constitution. </w:t>
      </w:r>
    </w:p>
    <w:p w14:paraId="3C3A8F57" w14:textId="77777777" w:rsidR="006926F5" w:rsidRPr="001063CA" w:rsidRDefault="006926F5" w:rsidP="001063CA">
      <w:pPr>
        <w:spacing w:line="360" w:lineRule="auto"/>
        <w:ind w:left="720"/>
        <w:contextualSpacing/>
        <w:rPr>
          <w:rFonts w:ascii="Times New Roman" w:hAnsi="Times New Roman" w:cs="Times New Roman"/>
          <w:sz w:val="24"/>
          <w:szCs w:val="24"/>
          <w:lang w:val="en-US"/>
        </w:rPr>
      </w:pPr>
    </w:p>
    <w:p w14:paraId="2D99D65F" w14:textId="77777777" w:rsidR="006926F5" w:rsidRPr="001063CA" w:rsidRDefault="006926F5" w:rsidP="001063CA">
      <w:pPr>
        <w:numPr>
          <w:ilvl w:val="1"/>
          <w:numId w:val="3"/>
        </w:numPr>
        <w:spacing w:line="360" w:lineRule="auto"/>
        <w:contextualSpacing/>
        <w:rPr>
          <w:rFonts w:ascii="Times New Roman" w:hAnsi="Times New Roman" w:cs="Times New Roman"/>
          <w:sz w:val="24"/>
          <w:szCs w:val="24"/>
          <w:lang w:val="en-US"/>
        </w:rPr>
      </w:pPr>
      <w:r w:rsidRPr="001063CA">
        <w:rPr>
          <w:rFonts w:ascii="Times New Roman" w:hAnsi="Times New Roman" w:cs="Times New Roman"/>
          <w:sz w:val="24"/>
          <w:szCs w:val="24"/>
          <w:lang w:val="en-US"/>
        </w:rPr>
        <w:t xml:space="preserve">The performance of the Department as indicated in its 2016/17 </w:t>
      </w:r>
      <w:r w:rsidR="009F589C" w:rsidRPr="001063CA">
        <w:rPr>
          <w:rFonts w:ascii="Times New Roman" w:hAnsi="Times New Roman" w:cs="Times New Roman"/>
          <w:sz w:val="24"/>
          <w:szCs w:val="24"/>
          <w:lang w:val="en-US"/>
        </w:rPr>
        <w:t>a</w:t>
      </w:r>
      <w:r w:rsidRPr="001063CA">
        <w:rPr>
          <w:rFonts w:ascii="Times New Roman" w:hAnsi="Times New Roman" w:cs="Times New Roman"/>
          <w:sz w:val="24"/>
          <w:szCs w:val="24"/>
          <w:lang w:val="en-US"/>
        </w:rPr>
        <w:t xml:space="preserve">nnual </w:t>
      </w:r>
      <w:r w:rsidR="009F589C" w:rsidRPr="001063CA">
        <w:rPr>
          <w:rFonts w:ascii="Times New Roman" w:hAnsi="Times New Roman" w:cs="Times New Roman"/>
          <w:sz w:val="24"/>
          <w:szCs w:val="24"/>
          <w:lang w:val="en-US"/>
        </w:rPr>
        <w:t>r</w:t>
      </w:r>
      <w:r w:rsidRPr="001063CA">
        <w:rPr>
          <w:rFonts w:ascii="Times New Roman" w:hAnsi="Times New Roman" w:cs="Times New Roman"/>
          <w:sz w:val="24"/>
          <w:szCs w:val="24"/>
          <w:lang w:val="en-US"/>
        </w:rPr>
        <w:t>eport is measured against the Performance Indicators which were contained in the Annual Performance Plan of the Department for the 2016/17 financial year. The Annual Performance Plan (APP) 2017–2020 builds on the Department’s previous strategic plans by outlining its key goals and tasks</w:t>
      </w:r>
      <w:r w:rsidR="009F589C" w:rsidRPr="001063CA">
        <w:rPr>
          <w:rFonts w:ascii="Times New Roman" w:hAnsi="Times New Roman" w:cs="Times New Roman"/>
          <w:sz w:val="24"/>
          <w:szCs w:val="24"/>
          <w:lang w:val="en-US"/>
        </w:rPr>
        <w:t>.</w:t>
      </w:r>
    </w:p>
    <w:p w14:paraId="01C1C538" w14:textId="77777777" w:rsidR="006926F5" w:rsidRPr="001063CA" w:rsidRDefault="006926F5" w:rsidP="001063CA">
      <w:pPr>
        <w:spacing w:line="360" w:lineRule="auto"/>
        <w:rPr>
          <w:rFonts w:ascii="Times New Roman" w:hAnsi="Times New Roman" w:cs="Times New Roman"/>
          <w:sz w:val="24"/>
          <w:szCs w:val="24"/>
          <w:lang w:val="en-US"/>
        </w:rPr>
      </w:pPr>
      <w:r w:rsidRPr="001063CA">
        <w:rPr>
          <w:rFonts w:ascii="Times New Roman" w:hAnsi="Times New Roman" w:cs="Times New Roman"/>
          <w:b/>
          <w:sz w:val="24"/>
          <w:szCs w:val="24"/>
        </w:rPr>
        <w:t xml:space="preserve"> </w:t>
      </w:r>
    </w:p>
    <w:p w14:paraId="01B7AC7F" w14:textId="77777777" w:rsidR="006926F5" w:rsidRPr="001063CA" w:rsidRDefault="006926F5" w:rsidP="001063CA">
      <w:pPr>
        <w:spacing w:after="160" w:line="360" w:lineRule="auto"/>
        <w:ind w:left="720"/>
        <w:contextualSpacing/>
        <w:rPr>
          <w:rFonts w:ascii="Times New Roman" w:hAnsi="Times New Roman" w:cs="Times New Roman"/>
          <w:sz w:val="24"/>
          <w:szCs w:val="24"/>
          <w:lang w:val="en-US"/>
        </w:rPr>
      </w:pPr>
    </w:p>
    <w:p w14:paraId="7E612B9F" w14:textId="77777777" w:rsidR="006926F5" w:rsidRPr="001063CA" w:rsidRDefault="006926F5" w:rsidP="001063CA">
      <w:pPr>
        <w:numPr>
          <w:ilvl w:val="0"/>
          <w:numId w:val="1"/>
        </w:numPr>
        <w:spacing w:line="360" w:lineRule="auto"/>
        <w:ind w:left="0" w:firstLine="0"/>
        <w:contextualSpacing/>
        <w:rPr>
          <w:rFonts w:ascii="Times New Roman" w:hAnsi="Times New Roman" w:cs="Times New Roman"/>
          <w:b/>
          <w:sz w:val="24"/>
          <w:szCs w:val="24"/>
        </w:rPr>
      </w:pPr>
      <w:r w:rsidRPr="001063CA">
        <w:rPr>
          <w:rFonts w:ascii="Times New Roman" w:hAnsi="Times New Roman" w:cs="Times New Roman"/>
          <w:b/>
          <w:sz w:val="24"/>
          <w:szCs w:val="24"/>
        </w:rPr>
        <w:t>OVERVIEW OF NATIONAL TREASURY</w:t>
      </w:r>
      <w:r w:rsidR="009F589C" w:rsidRPr="001063CA">
        <w:rPr>
          <w:rFonts w:ascii="Times New Roman" w:hAnsi="Times New Roman" w:cs="Times New Roman"/>
          <w:b/>
          <w:sz w:val="24"/>
          <w:szCs w:val="24"/>
        </w:rPr>
        <w:t>’S</w:t>
      </w:r>
      <w:r w:rsidRPr="001063CA">
        <w:rPr>
          <w:rFonts w:ascii="Times New Roman" w:hAnsi="Times New Roman" w:cs="Times New Roman"/>
          <w:b/>
          <w:sz w:val="24"/>
          <w:szCs w:val="24"/>
        </w:rPr>
        <w:t xml:space="preserve"> PERFORMANCE</w:t>
      </w:r>
    </w:p>
    <w:p w14:paraId="70D37F65" w14:textId="77777777" w:rsidR="003B0FD5" w:rsidRPr="001063CA" w:rsidRDefault="003B0FD5" w:rsidP="001063CA">
      <w:pPr>
        <w:spacing w:line="360" w:lineRule="auto"/>
        <w:contextualSpacing/>
        <w:rPr>
          <w:rFonts w:ascii="Times New Roman" w:hAnsi="Times New Roman" w:cs="Times New Roman"/>
          <w:b/>
          <w:sz w:val="24"/>
          <w:szCs w:val="24"/>
        </w:rPr>
      </w:pPr>
    </w:p>
    <w:p w14:paraId="7CCB3C00" w14:textId="77777777" w:rsidR="00CF42BA" w:rsidRPr="001063CA" w:rsidRDefault="003B0FD5" w:rsidP="001063CA">
      <w:pPr>
        <w:numPr>
          <w:ilvl w:val="1"/>
          <w:numId w:val="1"/>
        </w:numPr>
        <w:spacing w:line="360" w:lineRule="auto"/>
        <w:contextualSpacing/>
        <w:rPr>
          <w:rFonts w:ascii="Times New Roman" w:hAnsi="Times New Roman" w:cs="Times New Roman"/>
          <w:sz w:val="24"/>
          <w:szCs w:val="24"/>
        </w:rPr>
      </w:pPr>
      <w:r w:rsidRPr="001063CA">
        <w:rPr>
          <w:rFonts w:ascii="Times New Roman" w:hAnsi="Times New Roman" w:cs="Times New Roman"/>
          <w:b/>
          <w:sz w:val="24"/>
          <w:szCs w:val="24"/>
        </w:rPr>
        <w:tab/>
      </w:r>
      <w:r w:rsidRPr="001063CA">
        <w:rPr>
          <w:rFonts w:ascii="Times New Roman" w:hAnsi="Times New Roman" w:cs="Times New Roman"/>
          <w:sz w:val="24"/>
          <w:szCs w:val="24"/>
        </w:rPr>
        <w:t xml:space="preserve">NT spent R28.1 billion (99 %) of its final appropriation of R28.4 billion for the 2016/17 financial </w:t>
      </w:r>
    </w:p>
    <w:p w14:paraId="1BC9C503" w14:textId="77777777" w:rsidR="003B0FD5" w:rsidRPr="001063CA" w:rsidRDefault="00CF42BA" w:rsidP="001063CA">
      <w:pPr>
        <w:spacing w:line="360" w:lineRule="auto"/>
        <w:ind w:left="360"/>
        <w:contextualSpacing/>
        <w:rPr>
          <w:rFonts w:ascii="Times New Roman" w:hAnsi="Times New Roman" w:cs="Times New Roman"/>
          <w:sz w:val="24"/>
          <w:szCs w:val="24"/>
        </w:rPr>
      </w:pPr>
      <w:r w:rsidRPr="001063CA">
        <w:rPr>
          <w:rFonts w:ascii="Times New Roman" w:hAnsi="Times New Roman" w:cs="Times New Roman"/>
          <w:sz w:val="24"/>
          <w:szCs w:val="24"/>
        </w:rPr>
        <w:tab/>
      </w:r>
      <w:r w:rsidR="003B0FD5" w:rsidRPr="001063CA">
        <w:rPr>
          <w:rFonts w:ascii="Times New Roman" w:hAnsi="Times New Roman" w:cs="Times New Roman"/>
          <w:sz w:val="24"/>
          <w:szCs w:val="24"/>
        </w:rPr>
        <w:t>year.</w:t>
      </w:r>
    </w:p>
    <w:p w14:paraId="2697C50E" w14:textId="77777777" w:rsidR="006D22D9" w:rsidRPr="001063CA" w:rsidRDefault="006D22D9" w:rsidP="001063CA">
      <w:pPr>
        <w:spacing w:line="360" w:lineRule="auto"/>
        <w:ind w:left="360"/>
        <w:contextualSpacing/>
        <w:rPr>
          <w:rFonts w:ascii="Times New Roman" w:hAnsi="Times New Roman" w:cs="Times New Roman"/>
          <w:sz w:val="24"/>
          <w:szCs w:val="24"/>
        </w:rPr>
      </w:pPr>
    </w:p>
    <w:p w14:paraId="276F7012" w14:textId="77777777" w:rsidR="003B0FD5" w:rsidRPr="001063CA" w:rsidRDefault="003B0FD5" w:rsidP="001063CA">
      <w:pPr>
        <w:pStyle w:val="ListParagraph"/>
        <w:numPr>
          <w:ilvl w:val="1"/>
          <w:numId w:val="8"/>
        </w:numPr>
        <w:spacing w:line="360" w:lineRule="auto"/>
        <w:ind w:left="720" w:hanging="720"/>
        <w:rPr>
          <w:rFonts w:ascii="Times New Roman" w:hAnsi="Times New Roman" w:cs="Times New Roman"/>
          <w:sz w:val="24"/>
          <w:szCs w:val="24"/>
        </w:rPr>
      </w:pPr>
      <w:r w:rsidRPr="001063CA">
        <w:rPr>
          <w:rFonts w:ascii="Times New Roman" w:hAnsi="Times New Roman" w:cs="Times New Roman"/>
          <w:sz w:val="24"/>
          <w:szCs w:val="24"/>
        </w:rPr>
        <w:t>Programme 1:  Administration spent 93.9% of its R464.4 million, and Programme 2: Economic Policy, Tax, Financial Regulation and Research spent 96.6% of its R156.6 million budget. The unspent funds for both programmes  are the result of EXCO’s decision to freeze vacant positions in order to remain within the current expenditure ceiling.</w:t>
      </w:r>
    </w:p>
    <w:p w14:paraId="792B2F0A" w14:textId="77777777" w:rsidR="006D22D9" w:rsidRPr="001063CA" w:rsidRDefault="006D22D9" w:rsidP="001063CA">
      <w:pPr>
        <w:spacing w:line="360" w:lineRule="auto"/>
        <w:contextualSpacing/>
        <w:rPr>
          <w:rFonts w:ascii="Times New Roman" w:hAnsi="Times New Roman" w:cs="Times New Roman"/>
          <w:sz w:val="24"/>
          <w:szCs w:val="24"/>
        </w:rPr>
      </w:pPr>
    </w:p>
    <w:p w14:paraId="08B87DEF" w14:textId="77777777" w:rsidR="003B0FD5" w:rsidRPr="001063CA" w:rsidRDefault="00CF42BA" w:rsidP="001063CA">
      <w:pPr>
        <w:spacing w:line="360" w:lineRule="auto"/>
        <w:ind w:left="720" w:hanging="720"/>
        <w:contextualSpacing/>
        <w:rPr>
          <w:rFonts w:ascii="Times New Roman" w:hAnsi="Times New Roman" w:cs="Times New Roman"/>
          <w:sz w:val="24"/>
          <w:szCs w:val="24"/>
          <w:lang w:val="en-US"/>
        </w:rPr>
      </w:pPr>
      <w:r w:rsidRPr="001063CA">
        <w:rPr>
          <w:rFonts w:ascii="Times New Roman" w:hAnsi="Times New Roman" w:cs="Times New Roman"/>
          <w:sz w:val="24"/>
          <w:szCs w:val="24"/>
          <w:lang w:val="en-US"/>
        </w:rPr>
        <w:t>4.3</w:t>
      </w:r>
      <w:r w:rsidRPr="001063CA">
        <w:rPr>
          <w:rFonts w:ascii="Times New Roman" w:hAnsi="Times New Roman" w:cs="Times New Roman"/>
          <w:sz w:val="24"/>
          <w:szCs w:val="24"/>
          <w:lang w:val="en-US"/>
        </w:rPr>
        <w:tab/>
      </w:r>
      <w:r w:rsidR="006926F5" w:rsidRPr="001063CA">
        <w:rPr>
          <w:rFonts w:ascii="Times New Roman" w:hAnsi="Times New Roman" w:cs="Times New Roman"/>
          <w:sz w:val="24"/>
          <w:szCs w:val="24"/>
          <w:lang w:val="en-US"/>
        </w:rPr>
        <w:t>Programme 3: Public Finance and Budget Management spent 95.7% of its R294.5 million budget. Other savings were generated on various items in goods and services as a result of e</w:t>
      </w:r>
      <w:r w:rsidR="006926F5" w:rsidRPr="001063CA">
        <w:rPr>
          <w:rFonts w:ascii="Cambria Math" w:hAnsi="Cambria Math" w:cs="Cambria Math"/>
          <w:sz w:val="24"/>
          <w:szCs w:val="24"/>
          <w:lang w:val="en-US"/>
        </w:rPr>
        <w:t>ﬀ</w:t>
      </w:r>
      <w:r w:rsidR="006926F5" w:rsidRPr="001063CA">
        <w:rPr>
          <w:rFonts w:ascii="Times New Roman" w:hAnsi="Times New Roman" w:cs="Times New Roman"/>
          <w:sz w:val="24"/>
          <w:szCs w:val="24"/>
          <w:lang w:val="en-US"/>
        </w:rPr>
        <w:t>ective implementation of the cost containment measures and payment of capital assets due to delays in replacing obsolete capital assets that are still in good working condition.</w:t>
      </w:r>
    </w:p>
    <w:p w14:paraId="28C3F17F" w14:textId="77777777" w:rsidR="006D22D9" w:rsidRPr="001063CA" w:rsidRDefault="006D22D9" w:rsidP="001063CA">
      <w:pPr>
        <w:spacing w:line="360" w:lineRule="auto"/>
        <w:contextualSpacing/>
        <w:rPr>
          <w:rFonts w:ascii="Times New Roman" w:hAnsi="Times New Roman" w:cs="Times New Roman"/>
          <w:sz w:val="24"/>
          <w:szCs w:val="24"/>
        </w:rPr>
      </w:pPr>
    </w:p>
    <w:p w14:paraId="00146D68" w14:textId="77777777" w:rsidR="003B0FD5" w:rsidRPr="001063CA" w:rsidRDefault="006926F5" w:rsidP="001063CA">
      <w:pPr>
        <w:pStyle w:val="ListParagraph"/>
        <w:numPr>
          <w:ilvl w:val="1"/>
          <w:numId w:val="9"/>
        </w:numPr>
        <w:spacing w:line="360" w:lineRule="auto"/>
        <w:ind w:left="720" w:hanging="720"/>
        <w:rPr>
          <w:rFonts w:ascii="Times New Roman" w:hAnsi="Times New Roman" w:cs="Times New Roman"/>
          <w:sz w:val="24"/>
          <w:szCs w:val="24"/>
        </w:rPr>
      </w:pPr>
      <w:r w:rsidRPr="001063CA">
        <w:rPr>
          <w:rFonts w:ascii="Times New Roman" w:hAnsi="Times New Roman" w:cs="Times New Roman"/>
          <w:sz w:val="24"/>
          <w:szCs w:val="24"/>
          <w:lang w:val="en-US"/>
        </w:rPr>
        <w:t>Programme 4: Asset and Liability Management spent 97.4% of its R113.1 million budget</w:t>
      </w:r>
      <w:r w:rsidR="00AC3841" w:rsidRPr="001063CA">
        <w:rPr>
          <w:rFonts w:ascii="Times New Roman" w:hAnsi="Times New Roman" w:cs="Times New Roman"/>
          <w:sz w:val="24"/>
          <w:szCs w:val="24"/>
          <w:lang w:val="en-US"/>
        </w:rPr>
        <w:t>,</w:t>
      </w:r>
      <w:r w:rsidRPr="001063CA">
        <w:rPr>
          <w:rFonts w:ascii="Times New Roman" w:hAnsi="Times New Roman" w:cs="Times New Roman"/>
          <w:sz w:val="24"/>
          <w:szCs w:val="24"/>
          <w:lang w:val="en-US"/>
        </w:rPr>
        <w:t xml:space="preserve"> Programme 5: Financial Accounting and Supply Chain Management System spent 96.7% of its R1.252 billion budget and Programme 6:</w:t>
      </w:r>
      <w:r w:rsidRPr="001063CA">
        <w:rPr>
          <w:rFonts w:ascii="Times New Roman" w:hAnsi="Times New Roman" w:cs="Times New Roman"/>
          <w:sz w:val="24"/>
          <w:szCs w:val="24"/>
        </w:rPr>
        <w:t xml:space="preserve"> </w:t>
      </w:r>
      <w:r w:rsidRPr="001063CA">
        <w:rPr>
          <w:rFonts w:ascii="Times New Roman" w:hAnsi="Times New Roman" w:cs="Times New Roman"/>
          <w:sz w:val="24"/>
          <w:szCs w:val="24"/>
          <w:lang w:val="en-US"/>
        </w:rPr>
        <w:t>International Financial Relations spent 99.9% of its R4.962 billion for the 2016/17 ﬁnancial year.</w:t>
      </w:r>
    </w:p>
    <w:p w14:paraId="2AB5E136" w14:textId="77777777" w:rsidR="006D22D9" w:rsidRPr="001063CA" w:rsidRDefault="006D22D9" w:rsidP="001063CA">
      <w:pPr>
        <w:spacing w:line="360" w:lineRule="auto"/>
        <w:contextualSpacing/>
        <w:rPr>
          <w:rFonts w:ascii="Times New Roman" w:hAnsi="Times New Roman" w:cs="Times New Roman"/>
          <w:sz w:val="24"/>
          <w:szCs w:val="24"/>
        </w:rPr>
      </w:pPr>
    </w:p>
    <w:p w14:paraId="1E8D9176" w14:textId="77777777" w:rsidR="003B0FD5" w:rsidRPr="001063CA" w:rsidRDefault="006926F5" w:rsidP="001063CA">
      <w:pPr>
        <w:numPr>
          <w:ilvl w:val="1"/>
          <w:numId w:val="9"/>
        </w:numPr>
        <w:spacing w:line="360" w:lineRule="auto"/>
        <w:ind w:left="810" w:hanging="810"/>
        <w:contextualSpacing/>
        <w:rPr>
          <w:rFonts w:ascii="Times New Roman" w:hAnsi="Times New Roman" w:cs="Times New Roman"/>
          <w:sz w:val="24"/>
          <w:szCs w:val="24"/>
        </w:rPr>
      </w:pPr>
      <w:r w:rsidRPr="001063CA">
        <w:rPr>
          <w:rFonts w:ascii="Times New Roman" w:hAnsi="Times New Roman" w:cs="Times New Roman"/>
          <w:sz w:val="24"/>
          <w:szCs w:val="24"/>
          <w:lang w:val="en-US"/>
        </w:rPr>
        <w:lastRenderedPageBreak/>
        <w:t>Programme 7:</w:t>
      </w:r>
      <w:r w:rsidRPr="001063CA">
        <w:rPr>
          <w:rFonts w:ascii="Times New Roman" w:hAnsi="Times New Roman" w:cs="Times New Roman"/>
          <w:sz w:val="24"/>
          <w:szCs w:val="24"/>
        </w:rPr>
        <w:t xml:space="preserve"> </w:t>
      </w:r>
      <w:r w:rsidRPr="001063CA">
        <w:rPr>
          <w:rFonts w:ascii="Times New Roman" w:hAnsi="Times New Roman" w:cs="Times New Roman"/>
          <w:sz w:val="24"/>
          <w:szCs w:val="24"/>
          <w:lang w:val="en-US"/>
        </w:rPr>
        <w:t>Civil and Military Pensions, Contribut</w:t>
      </w:r>
      <w:r w:rsidR="00AC3841" w:rsidRPr="001063CA">
        <w:rPr>
          <w:rFonts w:ascii="Times New Roman" w:hAnsi="Times New Roman" w:cs="Times New Roman"/>
          <w:sz w:val="24"/>
          <w:szCs w:val="24"/>
          <w:lang w:val="en-US"/>
        </w:rPr>
        <w:t>ion to Funds and Other Benefits</w:t>
      </w:r>
      <w:r w:rsidRPr="001063CA">
        <w:rPr>
          <w:rFonts w:ascii="Times New Roman" w:hAnsi="Times New Roman" w:cs="Times New Roman"/>
          <w:sz w:val="24"/>
          <w:szCs w:val="24"/>
          <w:lang w:val="en-US"/>
        </w:rPr>
        <w:t xml:space="preserve"> spent 98.</w:t>
      </w:r>
      <w:r w:rsidR="00AC3841" w:rsidRPr="001063CA">
        <w:rPr>
          <w:rFonts w:ascii="Times New Roman" w:hAnsi="Times New Roman" w:cs="Times New Roman"/>
          <w:sz w:val="24"/>
          <w:szCs w:val="24"/>
          <w:lang w:val="en-US"/>
        </w:rPr>
        <w:t>6% of its R4.463 billion budget</w:t>
      </w:r>
      <w:r w:rsidRPr="001063CA">
        <w:rPr>
          <w:rFonts w:ascii="Times New Roman" w:hAnsi="Times New Roman" w:cs="Times New Roman"/>
          <w:sz w:val="24"/>
          <w:szCs w:val="24"/>
          <w:lang w:val="en-US"/>
        </w:rPr>
        <w:t xml:space="preserve">.  The unspent funds of R62.5 million </w:t>
      </w:r>
      <w:r w:rsidR="00AC3841" w:rsidRPr="001063CA">
        <w:rPr>
          <w:rFonts w:ascii="Times New Roman" w:hAnsi="Times New Roman" w:cs="Times New Roman"/>
          <w:sz w:val="24"/>
          <w:szCs w:val="24"/>
          <w:lang w:val="en-US"/>
        </w:rPr>
        <w:t>were</w:t>
      </w:r>
      <w:r w:rsidRPr="001063CA">
        <w:rPr>
          <w:rFonts w:ascii="Times New Roman" w:hAnsi="Times New Roman" w:cs="Times New Roman"/>
          <w:sz w:val="24"/>
          <w:szCs w:val="24"/>
          <w:lang w:val="en-US"/>
        </w:rPr>
        <w:t xml:space="preserve"> due to: </w:t>
      </w:r>
    </w:p>
    <w:p w14:paraId="38122FDD" w14:textId="77777777" w:rsidR="003B0FD5" w:rsidRPr="008B6FC3" w:rsidRDefault="006926F5" w:rsidP="008B6FC3">
      <w:pPr>
        <w:numPr>
          <w:ilvl w:val="2"/>
          <w:numId w:val="9"/>
        </w:numPr>
        <w:spacing w:line="360" w:lineRule="auto"/>
        <w:ind w:left="630" w:hanging="360"/>
        <w:contextualSpacing/>
        <w:rPr>
          <w:rFonts w:ascii="Times New Roman" w:hAnsi="Times New Roman" w:cs="Times New Roman"/>
          <w:sz w:val="24"/>
          <w:szCs w:val="24"/>
        </w:rPr>
      </w:pPr>
      <w:r w:rsidRPr="008B6FC3">
        <w:rPr>
          <w:rFonts w:ascii="Times New Roman" w:hAnsi="Times New Roman" w:cs="Times New Roman"/>
          <w:sz w:val="24"/>
          <w:szCs w:val="24"/>
          <w:lang w:val="en-US"/>
        </w:rPr>
        <w:t>Special Pension</w:t>
      </w:r>
      <w:r w:rsidR="00ED1B18" w:rsidRPr="008B6FC3">
        <w:rPr>
          <w:rFonts w:ascii="Times New Roman" w:hAnsi="Times New Roman" w:cs="Times New Roman"/>
          <w:sz w:val="24"/>
          <w:szCs w:val="24"/>
          <w:lang w:val="en-US"/>
        </w:rPr>
        <w:t>s</w:t>
      </w:r>
      <w:r w:rsidRPr="008B6FC3">
        <w:rPr>
          <w:rFonts w:ascii="Times New Roman" w:hAnsi="Times New Roman" w:cs="Times New Roman"/>
          <w:sz w:val="24"/>
          <w:szCs w:val="24"/>
          <w:lang w:val="en-US"/>
        </w:rPr>
        <w:t xml:space="preserve"> </w:t>
      </w:r>
      <w:r w:rsidR="00AC3841" w:rsidRPr="008B6FC3">
        <w:rPr>
          <w:rFonts w:ascii="Times New Roman" w:hAnsi="Times New Roman" w:cs="Times New Roman"/>
          <w:sz w:val="24"/>
          <w:szCs w:val="24"/>
          <w:lang w:val="en-US"/>
        </w:rPr>
        <w:t>–</w:t>
      </w:r>
      <w:r w:rsidRPr="008B6FC3">
        <w:rPr>
          <w:rFonts w:ascii="Times New Roman" w:hAnsi="Times New Roman" w:cs="Times New Roman"/>
          <w:sz w:val="24"/>
          <w:szCs w:val="24"/>
          <w:lang w:val="en-US"/>
        </w:rPr>
        <w:t xml:space="preserve"> </w:t>
      </w:r>
      <w:r w:rsidR="00AC3841" w:rsidRPr="008B6FC3">
        <w:rPr>
          <w:rFonts w:ascii="Times New Roman" w:hAnsi="Times New Roman" w:cs="Times New Roman"/>
          <w:sz w:val="24"/>
          <w:szCs w:val="24"/>
          <w:lang w:val="en-US"/>
        </w:rPr>
        <w:t xml:space="preserve">a </w:t>
      </w:r>
      <w:r w:rsidRPr="008B6FC3">
        <w:rPr>
          <w:rFonts w:ascii="Times New Roman" w:hAnsi="Times New Roman" w:cs="Times New Roman"/>
          <w:sz w:val="24"/>
          <w:szCs w:val="24"/>
          <w:lang w:val="en-US"/>
        </w:rPr>
        <w:t xml:space="preserve">decline in membership as a result of deaths or members </w:t>
      </w:r>
      <w:r w:rsidR="008B6FC3">
        <w:rPr>
          <w:rFonts w:ascii="Times New Roman" w:hAnsi="Times New Roman" w:cs="Times New Roman"/>
          <w:sz w:val="24"/>
          <w:szCs w:val="24"/>
          <w:lang w:val="en-US"/>
        </w:rPr>
        <w:t xml:space="preserve">       </w:t>
      </w:r>
      <w:r w:rsidRPr="008B6FC3">
        <w:rPr>
          <w:rFonts w:ascii="Times New Roman" w:hAnsi="Times New Roman" w:cs="Times New Roman"/>
          <w:sz w:val="24"/>
          <w:szCs w:val="24"/>
          <w:lang w:val="en-US"/>
        </w:rPr>
        <w:t xml:space="preserve">opting for </w:t>
      </w:r>
      <w:r w:rsidR="008B6FC3" w:rsidRPr="008B6FC3">
        <w:rPr>
          <w:rFonts w:ascii="Times New Roman" w:hAnsi="Times New Roman" w:cs="Times New Roman"/>
          <w:sz w:val="24"/>
          <w:szCs w:val="24"/>
          <w:lang w:val="en-US"/>
        </w:rPr>
        <w:t xml:space="preserve"> </w:t>
      </w:r>
      <w:r w:rsidRPr="008B6FC3">
        <w:rPr>
          <w:rFonts w:ascii="Times New Roman" w:hAnsi="Times New Roman" w:cs="Times New Roman"/>
          <w:sz w:val="24"/>
          <w:szCs w:val="24"/>
          <w:lang w:val="en-US"/>
        </w:rPr>
        <w:t xml:space="preserve">Non-Statutory Forces (NSF); </w:t>
      </w:r>
    </w:p>
    <w:p w14:paraId="2CC2FC84" w14:textId="77777777" w:rsidR="001D11E1" w:rsidRPr="008B6FC3" w:rsidRDefault="006926F5" w:rsidP="008B6FC3">
      <w:pPr>
        <w:numPr>
          <w:ilvl w:val="2"/>
          <w:numId w:val="9"/>
        </w:numPr>
        <w:spacing w:line="360" w:lineRule="auto"/>
        <w:ind w:left="1440" w:hanging="1080"/>
        <w:contextualSpacing/>
        <w:rPr>
          <w:rFonts w:ascii="Times New Roman" w:hAnsi="Times New Roman" w:cs="Times New Roman"/>
          <w:sz w:val="24"/>
          <w:szCs w:val="24"/>
        </w:rPr>
      </w:pPr>
      <w:r w:rsidRPr="008B6FC3">
        <w:rPr>
          <w:rFonts w:ascii="Times New Roman" w:hAnsi="Times New Roman" w:cs="Times New Roman"/>
          <w:sz w:val="24"/>
          <w:szCs w:val="24"/>
          <w:lang w:val="en-US"/>
        </w:rPr>
        <w:t>Injury on Duty - challenges experienced in obtaining the outstanding awards that a</w:t>
      </w:r>
      <w:r w:rsidR="001D11E1" w:rsidRPr="008B6FC3">
        <w:rPr>
          <w:rFonts w:ascii="Times New Roman" w:hAnsi="Times New Roman" w:cs="Times New Roman"/>
          <w:sz w:val="24"/>
          <w:szCs w:val="24"/>
          <w:lang w:val="en-US"/>
        </w:rPr>
        <w:t>re in the employer’s possession;</w:t>
      </w:r>
    </w:p>
    <w:p w14:paraId="4F5E1584" w14:textId="77777777" w:rsidR="001D11E1" w:rsidRPr="008B6FC3" w:rsidRDefault="006926F5" w:rsidP="008B6FC3">
      <w:pPr>
        <w:numPr>
          <w:ilvl w:val="2"/>
          <w:numId w:val="9"/>
        </w:numPr>
        <w:spacing w:line="360" w:lineRule="auto"/>
        <w:ind w:left="1350" w:hanging="990"/>
        <w:contextualSpacing/>
        <w:rPr>
          <w:rFonts w:ascii="Times New Roman" w:hAnsi="Times New Roman" w:cs="Times New Roman"/>
          <w:sz w:val="24"/>
          <w:szCs w:val="24"/>
        </w:rPr>
      </w:pPr>
      <w:r w:rsidRPr="008B6FC3">
        <w:rPr>
          <w:rFonts w:ascii="Times New Roman" w:hAnsi="Times New Roman" w:cs="Times New Roman"/>
          <w:sz w:val="24"/>
          <w:szCs w:val="24"/>
          <w:lang w:val="en-US"/>
        </w:rPr>
        <w:t>SA Citizen Force - the rejected number of disability grant applications on military pensions; and</w:t>
      </w:r>
    </w:p>
    <w:p w14:paraId="676C4051" w14:textId="77777777" w:rsidR="00CF42BA" w:rsidRPr="001063CA" w:rsidRDefault="006926F5" w:rsidP="001063CA">
      <w:pPr>
        <w:numPr>
          <w:ilvl w:val="2"/>
          <w:numId w:val="9"/>
        </w:numPr>
        <w:spacing w:line="360" w:lineRule="auto"/>
        <w:ind w:hanging="360"/>
        <w:contextualSpacing/>
        <w:rPr>
          <w:rFonts w:ascii="Times New Roman" w:hAnsi="Times New Roman" w:cs="Times New Roman"/>
          <w:sz w:val="24"/>
          <w:szCs w:val="24"/>
        </w:rPr>
      </w:pPr>
      <w:r w:rsidRPr="001063CA">
        <w:rPr>
          <w:rFonts w:ascii="Times New Roman" w:hAnsi="Times New Roman" w:cs="Times New Roman"/>
          <w:sz w:val="24"/>
          <w:szCs w:val="24"/>
          <w:lang w:val="en-US"/>
        </w:rPr>
        <w:t>Other</w:t>
      </w:r>
      <w:r w:rsidR="00AC3841" w:rsidRPr="001063CA">
        <w:rPr>
          <w:rFonts w:ascii="Times New Roman" w:hAnsi="Times New Roman" w:cs="Times New Roman"/>
          <w:sz w:val="24"/>
          <w:szCs w:val="24"/>
          <w:lang w:val="en-US"/>
        </w:rPr>
        <w:t xml:space="preserve"> Beneﬁts ex-servicemen - </w:t>
      </w:r>
      <w:r w:rsidRPr="001063CA">
        <w:rPr>
          <w:rFonts w:ascii="Times New Roman" w:hAnsi="Times New Roman" w:cs="Times New Roman"/>
          <w:sz w:val="24"/>
          <w:szCs w:val="24"/>
          <w:lang w:val="en-US"/>
        </w:rPr>
        <w:t xml:space="preserve">a high rejection rate on medical accounts as the </w:t>
      </w:r>
    </w:p>
    <w:p w14:paraId="3EEC5BB0" w14:textId="77777777" w:rsidR="006926F5" w:rsidRPr="001063CA" w:rsidRDefault="00CF42BA" w:rsidP="001063CA">
      <w:pPr>
        <w:spacing w:line="360" w:lineRule="auto"/>
        <w:ind w:left="720"/>
        <w:contextualSpacing/>
        <w:rPr>
          <w:rFonts w:ascii="Times New Roman" w:hAnsi="Times New Roman" w:cs="Times New Roman"/>
          <w:sz w:val="24"/>
          <w:szCs w:val="24"/>
        </w:rPr>
      </w:pPr>
      <w:r w:rsidRPr="001063CA">
        <w:rPr>
          <w:rFonts w:ascii="Times New Roman" w:hAnsi="Times New Roman" w:cs="Times New Roman"/>
          <w:sz w:val="24"/>
          <w:szCs w:val="24"/>
          <w:lang w:val="en-US"/>
        </w:rPr>
        <w:tab/>
      </w:r>
      <w:r w:rsidR="006926F5" w:rsidRPr="001063CA">
        <w:rPr>
          <w:rFonts w:ascii="Times New Roman" w:hAnsi="Times New Roman" w:cs="Times New Roman"/>
          <w:sz w:val="24"/>
          <w:szCs w:val="24"/>
          <w:lang w:val="en-US"/>
        </w:rPr>
        <w:t>treatment was not approved for disability</w:t>
      </w:r>
      <w:r w:rsidR="00ED1B18" w:rsidRPr="001063CA">
        <w:rPr>
          <w:rFonts w:ascii="Times New Roman" w:hAnsi="Times New Roman" w:cs="Times New Roman"/>
          <w:sz w:val="24"/>
          <w:szCs w:val="24"/>
          <w:lang w:val="en-US"/>
        </w:rPr>
        <w:t>.</w:t>
      </w:r>
    </w:p>
    <w:p w14:paraId="0C8636DF" w14:textId="77777777" w:rsidR="006926F5" w:rsidRPr="001063CA" w:rsidRDefault="006926F5" w:rsidP="001063CA">
      <w:pPr>
        <w:tabs>
          <w:tab w:val="left" w:pos="720"/>
          <w:tab w:val="left" w:pos="1440"/>
          <w:tab w:val="left" w:pos="2160"/>
          <w:tab w:val="left" w:pos="3870"/>
        </w:tabs>
        <w:spacing w:line="360" w:lineRule="auto"/>
        <w:ind w:left="720"/>
        <w:rPr>
          <w:rFonts w:ascii="Times New Roman" w:eastAsia="MS Mincho" w:hAnsi="Times New Roman" w:cs="Times New Roman"/>
          <w:sz w:val="24"/>
          <w:szCs w:val="24"/>
          <w:lang w:val="en-US"/>
        </w:rPr>
      </w:pPr>
    </w:p>
    <w:p w14:paraId="13F3CAE0" w14:textId="77777777" w:rsidR="00CF42BA" w:rsidRPr="001063CA" w:rsidRDefault="006926F5" w:rsidP="001063CA">
      <w:pPr>
        <w:tabs>
          <w:tab w:val="left" w:pos="720"/>
          <w:tab w:val="left" w:pos="1440"/>
          <w:tab w:val="left" w:pos="2160"/>
          <w:tab w:val="left" w:pos="3870"/>
        </w:tabs>
        <w:spacing w:line="360" w:lineRule="auto"/>
        <w:ind w:left="1440" w:hanging="1440"/>
        <w:rPr>
          <w:rFonts w:ascii="Times New Roman" w:eastAsia="MS Mincho" w:hAnsi="Times New Roman" w:cs="Times New Roman"/>
          <w:sz w:val="24"/>
          <w:szCs w:val="24"/>
          <w:lang w:val="en-US"/>
        </w:rPr>
      </w:pPr>
      <w:r w:rsidRPr="001063CA">
        <w:rPr>
          <w:rFonts w:ascii="Times New Roman" w:eastAsia="MS Mincho" w:hAnsi="Times New Roman" w:cs="Times New Roman"/>
          <w:sz w:val="24"/>
          <w:szCs w:val="24"/>
          <w:lang w:val="en-US"/>
        </w:rPr>
        <w:tab/>
      </w:r>
      <w:r w:rsidRPr="001063CA">
        <w:rPr>
          <w:rFonts w:ascii="Times New Roman" w:eastAsia="MS Mincho" w:hAnsi="Times New Roman" w:cs="Times New Roman"/>
          <w:sz w:val="24"/>
          <w:szCs w:val="24"/>
          <w:lang w:val="en-US"/>
        </w:rPr>
        <w:tab/>
      </w:r>
    </w:p>
    <w:p w14:paraId="0ABAC041" w14:textId="77777777" w:rsidR="006926F5" w:rsidRPr="001063CA" w:rsidRDefault="006926F5" w:rsidP="001063CA">
      <w:pPr>
        <w:tabs>
          <w:tab w:val="left" w:pos="720"/>
          <w:tab w:val="left" w:pos="1440"/>
          <w:tab w:val="left" w:pos="2160"/>
          <w:tab w:val="left" w:pos="3870"/>
        </w:tabs>
        <w:spacing w:line="360" w:lineRule="auto"/>
        <w:ind w:left="1440" w:hanging="1440"/>
        <w:rPr>
          <w:rFonts w:ascii="Times New Roman" w:eastAsia="MS Mincho" w:hAnsi="Times New Roman" w:cs="Times New Roman"/>
          <w:sz w:val="24"/>
          <w:szCs w:val="24"/>
          <w:lang w:val="en-US"/>
        </w:rPr>
      </w:pPr>
      <w:r w:rsidRPr="001063CA">
        <w:rPr>
          <w:rFonts w:ascii="Times New Roman" w:eastAsia="MS Mincho" w:hAnsi="Times New Roman" w:cs="Times New Roman"/>
          <w:sz w:val="24"/>
          <w:szCs w:val="24"/>
          <w:lang w:val="en-US"/>
        </w:rPr>
        <w:tab/>
      </w:r>
    </w:p>
    <w:p w14:paraId="396E3F07" w14:textId="77777777" w:rsidR="009F589C" w:rsidRPr="001063CA" w:rsidRDefault="009F589C" w:rsidP="001063CA">
      <w:pPr>
        <w:pStyle w:val="ListParagraph"/>
        <w:numPr>
          <w:ilvl w:val="0"/>
          <w:numId w:val="9"/>
        </w:numPr>
        <w:spacing w:line="360" w:lineRule="auto"/>
        <w:rPr>
          <w:rFonts w:ascii="Times New Roman" w:hAnsi="Times New Roman" w:cs="Times New Roman"/>
          <w:b/>
          <w:sz w:val="24"/>
          <w:szCs w:val="24"/>
        </w:rPr>
      </w:pPr>
      <w:r w:rsidRPr="001063CA">
        <w:rPr>
          <w:rFonts w:ascii="Times New Roman" w:hAnsi="Times New Roman" w:cs="Times New Roman"/>
          <w:b/>
          <w:sz w:val="24"/>
          <w:szCs w:val="24"/>
        </w:rPr>
        <w:t xml:space="preserve">STRATEGIC FOCUS AREAS 2016/17: SOUTH AFRICAN RESERVE BANK </w:t>
      </w:r>
    </w:p>
    <w:p w14:paraId="5574B8F9" w14:textId="77777777" w:rsidR="00550318" w:rsidRPr="001063CA" w:rsidRDefault="00550318" w:rsidP="001063CA">
      <w:pPr>
        <w:pStyle w:val="ListParagraph"/>
        <w:spacing w:line="360" w:lineRule="auto"/>
        <w:ind w:left="360"/>
        <w:rPr>
          <w:rFonts w:ascii="Times New Roman" w:hAnsi="Times New Roman" w:cs="Times New Roman"/>
          <w:b/>
          <w:sz w:val="24"/>
          <w:szCs w:val="24"/>
        </w:rPr>
      </w:pPr>
    </w:p>
    <w:p w14:paraId="79E90298" w14:textId="77777777" w:rsidR="003E17AF" w:rsidRPr="001063CA" w:rsidRDefault="003E17AF" w:rsidP="001063CA">
      <w:pPr>
        <w:pStyle w:val="ListParagraph"/>
        <w:numPr>
          <w:ilvl w:val="1"/>
          <w:numId w:val="10"/>
        </w:numPr>
        <w:spacing w:line="360" w:lineRule="auto"/>
        <w:ind w:left="720" w:hanging="720"/>
        <w:rPr>
          <w:rFonts w:ascii="Times New Roman" w:hAnsi="Times New Roman" w:cs="Times New Roman"/>
          <w:sz w:val="24"/>
          <w:szCs w:val="24"/>
        </w:rPr>
      </w:pPr>
      <w:r w:rsidRPr="001063CA">
        <w:rPr>
          <w:rFonts w:ascii="Times New Roman" w:hAnsi="Times New Roman" w:cs="Times New Roman"/>
          <w:sz w:val="24"/>
          <w:szCs w:val="24"/>
        </w:rPr>
        <w:t>The core mandate of the South African Reserve Bank (SARB) is to achieve and maintain price stability and protect and enhance financial stability. The 2020 strategy seeks to ensure that the SARB continues to be positioned as a high-performing institution and a centre of excellence in central banking. The 2016/17 financial year marks the first year of the SARB’s strategy process implementation.</w:t>
      </w:r>
    </w:p>
    <w:p w14:paraId="7B156EC3" w14:textId="77777777" w:rsidR="003E17AF" w:rsidRPr="001063CA" w:rsidRDefault="003E17AF" w:rsidP="001063CA">
      <w:pPr>
        <w:pStyle w:val="ListParagraph"/>
        <w:spacing w:line="360" w:lineRule="auto"/>
        <w:ind w:left="360"/>
        <w:rPr>
          <w:rFonts w:ascii="Times New Roman" w:hAnsi="Times New Roman" w:cs="Times New Roman"/>
          <w:sz w:val="24"/>
          <w:szCs w:val="24"/>
        </w:rPr>
      </w:pPr>
    </w:p>
    <w:p w14:paraId="00471E43" w14:textId="77777777" w:rsidR="00A717E1" w:rsidRPr="001063CA" w:rsidRDefault="00A717E1" w:rsidP="001063CA">
      <w:pPr>
        <w:pStyle w:val="ListParagraph"/>
        <w:numPr>
          <w:ilvl w:val="1"/>
          <w:numId w:val="10"/>
        </w:numPr>
        <w:spacing w:line="360" w:lineRule="auto"/>
        <w:ind w:left="720" w:hanging="720"/>
        <w:rPr>
          <w:rFonts w:ascii="Times New Roman" w:hAnsi="Times New Roman" w:cs="Times New Roman"/>
          <w:sz w:val="24"/>
          <w:szCs w:val="24"/>
        </w:rPr>
      </w:pPr>
      <w:r w:rsidRPr="001063CA">
        <w:rPr>
          <w:rFonts w:ascii="Times New Roman" w:hAnsi="Times New Roman" w:cs="Times New Roman"/>
          <w:sz w:val="24"/>
          <w:szCs w:val="24"/>
          <w:lang w:val="en-US"/>
        </w:rPr>
        <w:t xml:space="preserve">The strategic objectives are prioritised into key areas of work, which seek to drive significant change in performance and accelerate the achievement of SARB’s Strategic Focus Areas which are to: maintain headline inflation within the target range; protect and enhance financial stability to achieve a safer financial system; promote and enhance the safety, soundness and integrity of the regulated entities, enhance South Africa’s resilience to external shocks and ensure cost effective availability and integrity of notes and coins. The role of the Bank will expand with the implementation of the Financial Sector Regulation Act of 2017, through the establishment of the Prudential Authority.   </w:t>
      </w:r>
    </w:p>
    <w:p w14:paraId="4360A7B6" w14:textId="77777777" w:rsidR="00A717E1" w:rsidRPr="001063CA" w:rsidRDefault="00A717E1" w:rsidP="001063CA">
      <w:pPr>
        <w:spacing w:after="160" w:line="360" w:lineRule="auto"/>
        <w:contextualSpacing/>
        <w:rPr>
          <w:rFonts w:ascii="Times New Roman" w:hAnsi="Times New Roman" w:cs="Times New Roman"/>
          <w:sz w:val="24"/>
          <w:szCs w:val="24"/>
          <w:lang w:val="en-US"/>
        </w:rPr>
      </w:pPr>
    </w:p>
    <w:p w14:paraId="6E0ED3DF" w14:textId="77777777" w:rsidR="006926F5" w:rsidRPr="001063CA" w:rsidRDefault="006926F5" w:rsidP="001063CA">
      <w:pPr>
        <w:pStyle w:val="ListParagraph"/>
        <w:numPr>
          <w:ilvl w:val="0"/>
          <w:numId w:val="10"/>
        </w:numPr>
        <w:spacing w:line="360" w:lineRule="auto"/>
        <w:rPr>
          <w:rFonts w:ascii="Times New Roman" w:hAnsi="Times New Roman" w:cs="Times New Roman"/>
          <w:b/>
          <w:sz w:val="24"/>
          <w:szCs w:val="24"/>
        </w:rPr>
      </w:pPr>
      <w:r w:rsidRPr="001063CA">
        <w:rPr>
          <w:rFonts w:ascii="Times New Roman" w:hAnsi="Times New Roman" w:cs="Times New Roman"/>
          <w:b/>
          <w:sz w:val="24"/>
          <w:szCs w:val="24"/>
        </w:rPr>
        <w:lastRenderedPageBreak/>
        <w:t xml:space="preserve">OVERVIEW OF THE SOUTH AFRICAN RESERVE BANK PERFORMANCE </w:t>
      </w:r>
    </w:p>
    <w:p w14:paraId="49E309AC" w14:textId="77777777" w:rsidR="006926F5" w:rsidRPr="001063CA" w:rsidRDefault="006926F5" w:rsidP="001063CA">
      <w:pPr>
        <w:pStyle w:val="ListParagraph"/>
        <w:spacing w:line="360" w:lineRule="auto"/>
        <w:rPr>
          <w:rFonts w:ascii="Times New Roman" w:hAnsi="Times New Roman" w:cs="Times New Roman"/>
          <w:b/>
          <w:sz w:val="24"/>
          <w:szCs w:val="24"/>
        </w:rPr>
      </w:pPr>
    </w:p>
    <w:p w14:paraId="25F6E879" w14:textId="77777777" w:rsidR="006926F5" w:rsidRPr="001063CA" w:rsidRDefault="006926F5" w:rsidP="001063CA">
      <w:pPr>
        <w:numPr>
          <w:ilvl w:val="1"/>
          <w:numId w:val="5"/>
        </w:numPr>
        <w:spacing w:after="160" w:line="360" w:lineRule="auto"/>
        <w:contextualSpacing/>
        <w:rPr>
          <w:rFonts w:ascii="Times New Roman" w:hAnsi="Times New Roman" w:cs="Times New Roman"/>
          <w:sz w:val="24"/>
          <w:szCs w:val="24"/>
        </w:rPr>
      </w:pPr>
      <w:r w:rsidRPr="001063CA">
        <w:rPr>
          <w:rFonts w:ascii="Times New Roman" w:hAnsi="Times New Roman" w:cs="Times New Roman"/>
          <w:sz w:val="24"/>
          <w:szCs w:val="24"/>
        </w:rPr>
        <w:t xml:space="preserve">For the period under review, the economy experienced a low interest rate environment, which influenced the SARB’s financial results. Revenue in the form interest income is derived mainly from foreign </w:t>
      </w:r>
      <w:r w:rsidR="00AC3841" w:rsidRPr="001063CA">
        <w:rPr>
          <w:rFonts w:ascii="Times New Roman" w:hAnsi="Times New Roman" w:cs="Times New Roman"/>
          <w:sz w:val="24"/>
          <w:szCs w:val="24"/>
        </w:rPr>
        <w:t>investments and accommodation</w:t>
      </w:r>
      <w:r w:rsidR="00922E99" w:rsidRPr="001063CA">
        <w:rPr>
          <w:rFonts w:ascii="Times New Roman" w:hAnsi="Times New Roman" w:cs="Times New Roman"/>
          <w:sz w:val="24"/>
          <w:szCs w:val="24"/>
        </w:rPr>
        <w:t xml:space="preserve"> to </w:t>
      </w:r>
      <w:r w:rsidR="003E17AF" w:rsidRPr="001063CA">
        <w:rPr>
          <w:rFonts w:ascii="Times New Roman" w:hAnsi="Times New Roman" w:cs="Times New Roman"/>
          <w:sz w:val="24"/>
          <w:szCs w:val="24"/>
        </w:rPr>
        <w:t>the b</w:t>
      </w:r>
      <w:r w:rsidRPr="001063CA">
        <w:rPr>
          <w:rFonts w:ascii="Times New Roman" w:hAnsi="Times New Roman" w:cs="Times New Roman"/>
          <w:sz w:val="24"/>
          <w:szCs w:val="24"/>
        </w:rPr>
        <w:t>ank</w:t>
      </w:r>
      <w:r w:rsidR="00922E99" w:rsidRPr="001063CA">
        <w:rPr>
          <w:rFonts w:ascii="Times New Roman" w:hAnsi="Times New Roman" w:cs="Times New Roman"/>
          <w:sz w:val="24"/>
          <w:szCs w:val="24"/>
        </w:rPr>
        <w:t>s</w:t>
      </w:r>
      <w:r w:rsidRPr="001063CA">
        <w:rPr>
          <w:rFonts w:ascii="Times New Roman" w:hAnsi="Times New Roman" w:cs="Times New Roman"/>
          <w:sz w:val="24"/>
          <w:szCs w:val="24"/>
        </w:rPr>
        <w:t xml:space="preserve"> which increased to R13.8 billion (2016: R12.2 billion). Operating costs increased by R200 million in the year under review, mainly attributable to higher staff costs and operational expenditure, offset by a reduction in the cost of new currency. </w:t>
      </w:r>
    </w:p>
    <w:p w14:paraId="0C412D65" w14:textId="77777777" w:rsidR="006926F5" w:rsidRPr="001063CA" w:rsidRDefault="006926F5" w:rsidP="001063CA">
      <w:pPr>
        <w:spacing w:after="160" w:line="360" w:lineRule="auto"/>
        <w:ind w:left="720"/>
        <w:contextualSpacing/>
        <w:rPr>
          <w:rFonts w:ascii="Times New Roman" w:hAnsi="Times New Roman" w:cs="Times New Roman"/>
          <w:sz w:val="24"/>
          <w:szCs w:val="24"/>
        </w:rPr>
      </w:pPr>
    </w:p>
    <w:p w14:paraId="3B774173" w14:textId="77777777" w:rsidR="00645A34" w:rsidRPr="001063CA" w:rsidRDefault="00645A34" w:rsidP="001063CA">
      <w:pPr>
        <w:numPr>
          <w:ilvl w:val="1"/>
          <w:numId w:val="5"/>
        </w:numPr>
        <w:spacing w:after="160" w:line="360" w:lineRule="auto"/>
        <w:contextualSpacing/>
        <w:rPr>
          <w:rFonts w:ascii="Times New Roman" w:hAnsi="Times New Roman" w:cs="Times New Roman"/>
          <w:sz w:val="24"/>
          <w:szCs w:val="24"/>
        </w:rPr>
      </w:pPr>
      <w:r w:rsidRPr="001063CA">
        <w:rPr>
          <w:rFonts w:ascii="Times New Roman" w:hAnsi="Times New Roman" w:cs="Times New Roman"/>
          <w:sz w:val="24"/>
          <w:szCs w:val="24"/>
        </w:rPr>
        <w:t>The Group’s total assets decreased by R68.6 billion to R753.8 billion (2016: R822.4 billion</w:t>
      </w:r>
      <w:r w:rsidR="005C247C" w:rsidRPr="001063CA">
        <w:rPr>
          <w:rFonts w:ascii="Times New Roman" w:hAnsi="Times New Roman" w:cs="Times New Roman"/>
          <w:sz w:val="24"/>
          <w:szCs w:val="24"/>
        </w:rPr>
        <w:t>)</w:t>
      </w:r>
      <w:r w:rsidRPr="001063CA">
        <w:rPr>
          <w:rFonts w:ascii="Times New Roman" w:hAnsi="Times New Roman" w:cs="Times New Roman"/>
          <w:sz w:val="24"/>
          <w:szCs w:val="24"/>
        </w:rPr>
        <w:t>, largely as a result of a decline in gold and foreign-exchange reserves of R70.6 billion to R617.6 billion (2016: R688.4 billion). Total liabilities of the Group decreased by R69.7 billion to R744.4 billion (2016: R814.1 billion) largely as a result of the Gold and Foreign-Exchange Contingency Reserve Account (GFECRA) (used for the currency re-evaluation of foreign asset and liabilities which is for the South African government’s account) decreasing by R73.5 billion to R231.1 billion (2016: R305 billion ).</w:t>
      </w:r>
    </w:p>
    <w:p w14:paraId="6916B6BC" w14:textId="77777777" w:rsidR="00645A34" w:rsidRPr="001063CA" w:rsidRDefault="00645A34" w:rsidP="001063CA">
      <w:pPr>
        <w:spacing w:after="160" w:line="360" w:lineRule="auto"/>
        <w:contextualSpacing/>
        <w:rPr>
          <w:rFonts w:ascii="Times New Roman" w:hAnsi="Times New Roman" w:cs="Times New Roman"/>
          <w:sz w:val="24"/>
          <w:szCs w:val="24"/>
        </w:rPr>
      </w:pPr>
    </w:p>
    <w:p w14:paraId="276D41F6" w14:textId="77777777" w:rsidR="009F589C" w:rsidRPr="001063CA" w:rsidRDefault="006926F5" w:rsidP="001063CA">
      <w:pPr>
        <w:numPr>
          <w:ilvl w:val="1"/>
          <w:numId w:val="5"/>
        </w:numPr>
        <w:spacing w:after="160" w:line="360" w:lineRule="auto"/>
        <w:contextualSpacing/>
        <w:rPr>
          <w:rFonts w:ascii="Times New Roman" w:hAnsi="Times New Roman" w:cs="Times New Roman"/>
          <w:sz w:val="24"/>
          <w:szCs w:val="24"/>
        </w:rPr>
      </w:pPr>
      <w:r w:rsidRPr="001063CA">
        <w:rPr>
          <w:rFonts w:ascii="Times New Roman" w:hAnsi="Times New Roman" w:cs="Times New Roman"/>
          <w:sz w:val="24"/>
          <w:szCs w:val="24"/>
        </w:rPr>
        <w:t xml:space="preserve">The decrease in both total assets and total liabilities was mainly as a result of a stronger rand and a lower gold price. The contingency reserve increased by R0.8 billion </w:t>
      </w:r>
      <w:r w:rsidR="00243BA1" w:rsidRPr="001063CA">
        <w:rPr>
          <w:rFonts w:ascii="Times New Roman" w:hAnsi="Times New Roman" w:cs="Times New Roman"/>
          <w:sz w:val="24"/>
          <w:szCs w:val="24"/>
        </w:rPr>
        <w:t>to R7.3 billion (2016: R6</w:t>
      </w:r>
      <w:r w:rsidRPr="001063CA">
        <w:rPr>
          <w:rFonts w:ascii="Times New Roman" w:hAnsi="Times New Roman" w:cs="Times New Roman"/>
          <w:sz w:val="24"/>
          <w:szCs w:val="24"/>
        </w:rPr>
        <w:t>.5 billion) due to the profit after taxation achieved for the year.</w:t>
      </w:r>
    </w:p>
    <w:p w14:paraId="258830EB" w14:textId="77777777" w:rsidR="006926F5" w:rsidRPr="001063CA" w:rsidRDefault="006926F5" w:rsidP="001063CA">
      <w:pPr>
        <w:pStyle w:val="ListParagraph"/>
        <w:spacing w:line="360" w:lineRule="auto"/>
        <w:rPr>
          <w:rFonts w:ascii="Times New Roman" w:hAnsi="Times New Roman" w:cs="Times New Roman"/>
          <w:sz w:val="24"/>
          <w:szCs w:val="24"/>
        </w:rPr>
      </w:pPr>
    </w:p>
    <w:p w14:paraId="74C963D6" w14:textId="77777777" w:rsidR="006926F5" w:rsidRPr="001063CA" w:rsidRDefault="006926F5" w:rsidP="001063CA">
      <w:pPr>
        <w:pStyle w:val="ListParagraph"/>
        <w:numPr>
          <w:ilvl w:val="0"/>
          <w:numId w:val="10"/>
        </w:numPr>
        <w:spacing w:after="160" w:line="360" w:lineRule="auto"/>
        <w:rPr>
          <w:rFonts w:ascii="Times New Roman" w:hAnsi="Times New Roman" w:cs="Times New Roman"/>
          <w:b/>
          <w:sz w:val="24"/>
          <w:szCs w:val="24"/>
        </w:rPr>
      </w:pPr>
      <w:r w:rsidRPr="001063CA">
        <w:rPr>
          <w:rFonts w:ascii="Times New Roman" w:hAnsi="Times New Roman" w:cs="Times New Roman"/>
          <w:b/>
          <w:sz w:val="24"/>
          <w:szCs w:val="24"/>
        </w:rPr>
        <w:t xml:space="preserve">AUDITOR GENERAL’S REPORT </w:t>
      </w:r>
    </w:p>
    <w:p w14:paraId="6D07F8FB" w14:textId="77777777" w:rsidR="006926F5" w:rsidRPr="001063CA" w:rsidRDefault="006926F5" w:rsidP="001063CA">
      <w:pPr>
        <w:pStyle w:val="ListParagraph"/>
        <w:spacing w:after="160" w:line="360" w:lineRule="auto"/>
        <w:rPr>
          <w:rFonts w:ascii="Times New Roman" w:hAnsi="Times New Roman" w:cs="Times New Roman"/>
          <w:sz w:val="24"/>
          <w:szCs w:val="24"/>
        </w:rPr>
      </w:pPr>
    </w:p>
    <w:p w14:paraId="65E7B948" w14:textId="77777777" w:rsidR="006926F5" w:rsidRPr="001063CA" w:rsidRDefault="006926F5" w:rsidP="001063CA">
      <w:pPr>
        <w:pStyle w:val="ListParagraph"/>
        <w:spacing w:after="160" w:line="360" w:lineRule="auto"/>
        <w:ind w:hanging="720"/>
        <w:rPr>
          <w:rFonts w:ascii="Times New Roman" w:hAnsi="Times New Roman" w:cs="Times New Roman"/>
          <w:sz w:val="24"/>
          <w:szCs w:val="24"/>
        </w:rPr>
      </w:pPr>
      <w:r w:rsidRPr="001063CA">
        <w:rPr>
          <w:rFonts w:ascii="Times New Roman" w:hAnsi="Times New Roman" w:cs="Times New Roman"/>
          <w:sz w:val="24"/>
          <w:szCs w:val="24"/>
        </w:rPr>
        <w:t>7.1</w:t>
      </w:r>
      <w:r w:rsidRPr="001063CA">
        <w:rPr>
          <w:rFonts w:ascii="Times New Roman" w:hAnsi="Times New Roman" w:cs="Times New Roman"/>
          <w:sz w:val="24"/>
          <w:szCs w:val="24"/>
        </w:rPr>
        <w:tab/>
        <w:t>The office of the AGSA said that of the 14 entities</w:t>
      </w:r>
      <w:r w:rsidR="00A46EAD" w:rsidRPr="001063CA">
        <w:rPr>
          <w:rFonts w:ascii="Times New Roman" w:hAnsi="Times New Roman" w:cs="Times New Roman"/>
          <w:sz w:val="24"/>
          <w:szCs w:val="24"/>
        </w:rPr>
        <w:t xml:space="preserve"> it audits</w:t>
      </w:r>
      <w:r w:rsidRPr="001063CA">
        <w:rPr>
          <w:rFonts w:ascii="Times New Roman" w:hAnsi="Times New Roman" w:cs="Times New Roman"/>
          <w:sz w:val="24"/>
          <w:szCs w:val="24"/>
        </w:rPr>
        <w:t xml:space="preserve"> that report to the Minister of Finance, none received a qualified audit opinion. Five received unqualified audit opinions without findings. Seven received unqualified audit opinions with findings</w:t>
      </w:r>
      <w:r w:rsidR="0083399C" w:rsidRPr="001063CA">
        <w:rPr>
          <w:rFonts w:ascii="Times New Roman" w:hAnsi="Times New Roman" w:cs="Times New Roman"/>
          <w:sz w:val="24"/>
          <w:szCs w:val="24"/>
        </w:rPr>
        <w:t>. T</w:t>
      </w:r>
      <w:r w:rsidRPr="001063CA">
        <w:rPr>
          <w:rFonts w:ascii="Times New Roman" w:hAnsi="Times New Roman" w:cs="Times New Roman"/>
          <w:sz w:val="24"/>
          <w:szCs w:val="24"/>
        </w:rPr>
        <w:t xml:space="preserve">he audits of SARS and SAA were outstanding. </w:t>
      </w:r>
    </w:p>
    <w:p w14:paraId="05BBE1FE" w14:textId="77777777" w:rsidR="006926F5" w:rsidRPr="001063CA" w:rsidRDefault="006926F5" w:rsidP="001063CA">
      <w:pPr>
        <w:pStyle w:val="ListParagraph"/>
        <w:spacing w:after="160" w:line="360" w:lineRule="auto"/>
        <w:ind w:hanging="720"/>
        <w:rPr>
          <w:rFonts w:ascii="Times New Roman" w:hAnsi="Times New Roman" w:cs="Times New Roman"/>
          <w:sz w:val="24"/>
          <w:szCs w:val="24"/>
        </w:rPr>
      </w:pPr>
    </w:p>
    <w:p w14:paraId="13D970CB" w14:textId="77777777" w:rsidR="006926F5" w:rsidRPr="001063CA" w:rsidRDefault="006926F5" w:rsidP="001063CA">
      <w:pPr>
        <w:pStyle w:val="ListParagraph"/>
        <w:spacing w:after="160" w:line="360" w:lineRule="auto"/>
        <w:ind w:hanging="720"/>
        <w:rPr>
          <w:rFonts w:ascii="Times New Roman" w:hAnsi="Times New Roman" w:cs="Times New Roman"/>
          <w:sz w:val="24"/>
          <w:szCs w:val="24"/>
        </w:rPr>
      </w:pPr>
      <w:r w:rsidRPr="001063CA">
        <w:rPr>
          <w:rFonts w:ascii="Times New Roman" w:hAnsi="Times New Roman" w:cs="Times New Roman"/>
          <w:sz w:val="24"/>
          <w:szCs w:val="24"/>
        </w:rPr>
        <w:t>7.2</w:t>
      </w:r>
      <w:r w:rsidRPr="001063CA">
        <w:rPr>
          <w:rFonts w:ascii="Times New Roman" w:hAnsi="Times New Roman" w:cs="Times New Roman"/>
          <w:sz w:val="24"/>
          <w:szCs w:val="24"/>
        </w:rPr>
        <w:tab/>
        <w:t xml:space="preserve">The five entities with unqualified opinions without findings are: the Financial Services Board (FSB), the Independent Regulatory Board of Auditors (IRBA), the Pension Fund Adjudicator (PFA), the Public Investment Corporation (PIC) and the </w:t>
      </w:r>
      <w:r w:rsidRPr="001063CA">
        <w:rPr>
          <w:rFonts w:ascii="Times New Roman" w:hAnsi="Times New Roman" w:cs="Times New Roman"/>
          <w:sz w:val="24"/>
          <w:szCs w:val="24"/>
        </w:rPr>
        <w:lastRenderedPageBreak/>
        <w:t xml:space="preserve">Office of the Ombudperson for Financial Services Providers. The entities with unqualified opinions with findings are: NT, the Financial Intelligence Centre (FIC), the Government Pensions Administration Agency (GPAA), the Cooperative Bank Development Agency (CBDA), the Financial and Fiscal Commission, the Land Bank, and the Government Technical Advisory Centre (GTAC). </w:t>
      </w:r>
    </w:p>
    <w:p w14:paraId="17C8D2F9" w14:textId="77777777" w:rsidR="006926F5" w:rsidRPr="001063CA" w:rsidRDefault="006926F5" w:rsidP="001063CA">
      <w:pPr>
        <w:pStyle w:val="ListParagraph"/>
        <w:spacing w:after="160" w:line="360" w:lineRule="auto"/>
        <w:ind w:hanging="720"/>
        <w:rPr>
          <w:rFonts w:ascii="Times New Roman" w:hAnsi="Times New Roman" w:cs="Times New Roman"/>
          <w:sz w:val="24"/>
          <w:szCs w:val="24"/>
        </w:rPr>
      </w:pPr>
    </w:p>
    <w:p w14:paraId="0E5248EA" w14:textId="77777777" w:rsidR="006926F5" w:rsidRPr="001063CA" w:rsidRDefault="006926F5" w:rsidP="001063CA">
      <w:pPr>
        <w:pStyle w:val="ListParagraph"/>
        <w:spacing w:after="160" w:line="360" w:lineRule="auto"/>
        <w:ind w:hanging="720"/>
        <w:rPr>
          <w:rFonts w:ascii="Times New Roman" w:hAnsi="Times New Roman" w:cs="Times New Roman"/>
          <w:sz w:val="24"/>
          <w:szCs w:val="24"/>
        </w:rPr>
      </w:pPr>
      <w:r w:rsidRPr="001063CA">
        <w:rPr>
          <w:rFonts w:ascii="Times New Roman" w:hAnsi="Times New Roman" w:cs="Times New Roman"/>
          <w:sz w:val="24"/>
          <w:szCs w:val="24"/>
        </w:rPr>
        <w:t>7.3</w:t>
      </w:r>
      <w:r w:rsidRPr="001063CA">
        <w:rPr>
          <w:rFonts w:ascii="Times New Roman" w:hAnsi="Times New Roman" w:cs="Times New Roman"/>
          <w:sz w:val="24"/>
          <w:szCs w:val="24"/>
        </w:rPr>
        <w:tab/>
        <w:t>The SAA audit had not been finalised because the AG</w:t>
      </w:r>
      <w:r w:rsidR="00A46EAD" w:rsidRPr="001063CA">
        <w:rPr>
          <w:rFonts w:ascii="Times New Roman" w:hAnsi="Times New Roman" w:cs="Times New Roman"/>
          <w:sz w:val="24"/>
          <w:szCs w:val="24"/>
        </w:rPr>
        <w:t>SA has</w:t>
      </w:r>
      <w:r w:rsidRPr="001063CA">
        <w:rPr>
          <w:rFonts w:ascii="Times New Roman" w:hAnsi="Times New Roman" w:cs="Times New Roman"/>
          <w:sz w:val="24"/>
          <w:szCs w:val="24"/>
        </w:rPr>
        <w:t xml:space="preserve"> not yet received financial statements. Without these, the AG cannot conduct an audit. The SARS’s audit was not finalised due to audit disputes between the AGSA and SARS.</w:t>
      </w:r>
    </w:p>
    <w:p w14:paraId="05C4042A" w14:textId="77777777" w:rsidR="006926F5" w:rsidRPr="001063CA" w:rsidRDefault="006926F5" w:rsidP="001063CA">
      <w:pPr>
        <w:pStyle w:val="ListParagraph"/>
        <w:spacing w:after="160" w:line="360" w:lineRule="auto"/>
        <w:ind w:hanging="720"/>
        <w:rPr>
          <w:rFonts w:ascii="Times New Roman" w:hAnsi="Times New Roman" w:cs="Times New Roman"/>
          <w:sz w:val="24"/>
          <w:szCs w:val="24"/>
        </w:rPr>
      </w:pPr>
    </w:p>
    <w:p w14:paraId="4BE079DA" w14:textId="77777777" w:rsidR="006926F5" w:rsidRPr="001063CA" w:rsidRDefault="006926F5" w:rsidP="001063CA">
      <w:pPr>
        <w:pStyle w:val="ListParagraph"/>
        <w:spacing w:after="160" w:line="360" w:lineRule="auto"/>
        <w:ind w:hanging="720"/>
        <w:rPr>
          <w:rFonts w:ascii="Times New Roman" w:hAnsi="Times New Roman" w:cs="Times New Roman"/>
          <w:sz w:val="24"/>
          <w:szCs w:val="24"/>
        </w:rPr>
      </w:pPr>
      <w:r w:rsidRPr="001063CA">
        <w:rPr>
          <w:rFonts w:ascii="Times New Roman" w:hAnsi="Times New Roman" w:cs="Times New Roman"/>
          <w:sz w:val="24"/>
          <w:szCs w:val="24"/>
        </w:rPr>
        <w:t>7.4</w:t>
      </w:r>
      <w:r w:rsidRPr="001063CA">
        <w:rPr>
          <w:rFonts w:ascii="Times New Roman" w:hAnsi="Times New Roman" w:cs="Times New Roman"/>
          <w:sz w:val="24"/>
          <w:szCs w:val="24"/>
        </w:rPr>
        <w:tab/>
        <w:t xml:space="preserve">The AGSA said that </w:t>
      </w:r>
      <w:r w:rsidR="00BD5F86" w:rsidRPr="001063CA">
        <w:rPr>
          <w:rFonts w:ascii="Times New Roman" w:hAnsi="Times New Roman" w:cs="Times New Roman"/>
          <w:sz w:val="24"/>
          <w:szCs w:val="24"/>
        </w:rPr>
        <w:t xml:space="preserve">the </w:t>
      </w:r>
      <w:r w:rsidRPr="001063CA">
        <w:rPr>
          <w:rFonts w:ascii="Times New Roman" w:hAnsi="Times New Roman" w:cs="Times New Roman"/>
          <w:sz w:val="24"/>
          <w:szCs w:val="24"/>
        </w:rPr>
        <w:t>most common findings on supply chain management (SCM) were on failure to: apply the preference point system, invite three written quotations, comply with competitive bidding processes and, ensure that Suppliers’ tax affairs were in order.</w:t>
      </w:r>
    </w:p>
    <w:p w14:paraId="7DAF7BAE" w14:textId="77777777" w:rsidR="006926F5" w:rsidRPr="001063CA" w:rsidRDefault="006926F5" w:rsidP="001063CA">
      <w:pPr>
        <w:pStyle w:val="ListParagraph"/>
        <w:spacing w:after="160" w:line="360" w:lineRule="auto"/>
        <w:ind w:hanging="720"/>
        <w:rPr>
          <w:rFonts w:ascii="Times New Roman" w:hAnsi="Times New Roman" w:cs="Times New Roman"/>
          <w:sz w:val="24"/>
          <w:szCs w:val="24"/>
        </w:rPr>
      </w:pPr>
    </w:p>
    <w:p w14:paraId="5028BA18" w14:textId="77777777" w:rsidR="006926F5" w:rsidRPr="001063CA" w:rsidRDefault="006926F5" w:rsidP="001063CA">
      <w:pPr>
        <w:pStyle w:val="ListParagraph"/>
        <w:spacing w:after="160" w:line="360" w:lineRule="auto"/>
        <w:ind w:hanging="720"/>
        <w:rPr>
          <w:rFonts w:ascii="Times New Roman" w:hAnsi="Times New Roman" w:cs="Times New Roman"/>
          <w:sz w:val="24"/>
          <w:szCs w:val="24"/>
        </w:rPr>
      </w:pPr>
      <w:r w:rsidRPr="001063CA">
        <w:rPr>
          <w:rFonts w:ascii="Times New Roman" w:hAnsi="Times New Roman" w:cs="Times New Roman"/>
          <w:sz w:val="24"/>
          <w:szCs w:val="24"/>
        </w:rPr>
        <w:t>7.5</w:t>
      </w:r>
      <w:r w:rsidRPr="001063CA">
        <w:rPr>
          <w:rFonts w:ascii="Times New Roman" w:hAnsi="Times New Roman" w:cs="Times New Roman"/>
          <w:sz w:val="24"/>
          <w:szCs w:val="24"/>
        </w:rPr>
        <w:tab/>
        <w:t xml:space="preserve">The AGSA said that an expenditure of R69.6 million was incurred by NT as a result of fruitless and wasteful expenditure. R67 million was paid to Oracle for technical services not rendered in respect of the Integrated Financial Management System (IFMS) project. R2.5 million was spent on rent for the unoccupied premises of the New Development Bank in Sandton.  </w:t>
      </w:r>
    </w:p>
    <w:p w14:paraId="45781C89" w14:textId="77777777" w:rsidR="006926F5" w:rsidRPr="001063CA" w:rsidRDefault="006926F5" w:rsidP="001063CA">
      <w:pPr>
        <w:pStyle w:val="ListParagraph"/>
        <w:spacing w:after="160" w:line="360" w:lineRule="auto"/>
        <w:ind w:hanging="720"/>
        <w:rPr>
          <w:rFonts w:ascii="Times New Roman" w:hAnsi="Times New Roman" w:cs="Times New Roman"/>
          <w:sz w:val="24"/>
          <w:szCs w:val="24"/>
        </w:rPr>
      </w:pPr>
    </w:p>
    <w:p w14:paraId="2BEB8A3D" w14:textId="77777777" w:rsidR="006926F5" w:rsidRPr="001063CA" w:rsidRDefault="006926F5" w:rsidP="001063CA">
      <w:pPr>
        <w:pStyle w:val="ListParagraph"/>
        <w:spacing w:after="160" w:line="360" w:lineRule="auto"/>
        <w:ind w:hanging="720"/>
        <w:rPr>
          <w:rFonts w:ascii="Times New Roman" w:hAnsi="Times New Roman" w:cs="Times New Roman"/>
          <w:sz w:val="24"/>
          <w:szCs w:val="24"/>
        </w:rPr>
      </w:pPr>
      <w:r w:rsidRPr="001063CA">
        <w:rPr>
          <w:rFonts w:ascii="Times New Roman" w:hAnsi="Times New Roman" w:cs="Times New Roman"/>
          <w:sz w:val="24"/>
          <w:szCs w:val="24"/>
        </w:rPr>
        <w:t>7.6</w:t>
      </w:r>
      <w:r w:rsidRPr="001063CA">
        <w:rPr>
          <w:rFonts w:ascii="Times New Roman" w:hAnsi="Times New Roman" w:cs="Times New Roman"/>
          <w:sz w:val="24"/>
          <w:szCs w:val="24"/>
        </w:rPr>
        <w:tab/>
        <w:t xml:space="preserve"> An expenditure of R140 million was incurred as a result of irregular expenditure. R27 million of this was incurred by NT mai</w:t>
      </w:r>
      <w:r w:rsidR="00A46EAD" w:rsidRPr="001063CA">
        <w:rPr>
          <w:rFonts w:ascii="Times New Roman" w:hAnsi="Times New Roman" w:cs="Times New Roman"/>
          <w:sz w:val="24"/>
          <w:szCs w:val="24"/>
        </w:rPr>
        <w:t>nly in relation to the extension</w:t>
      </w:r>
      <w:r w:rsidRPr="001063CA">
        <w:rPr>
          <w:rFonts w:ascii="Times New Roman" w:hAnsi="Times New Roman" w:cs="Times New Roman"/>
          <w:sz w:val="24"/>
          <w:szCs w:val="24"/>
        </w:rPr>
        <w:t xml:space="preserve"> </w:t>
      </w:r>
      <w:r w:rsidR="00A46EAD" w:rsidRPr="001063CA">
        <w:rPr>
          <w:rFonts w:ascii="Times New Roman" w:hAnsi="Times New Roman" w:cs="Times New Roman"/>
          <w:sz w:val="24"/>
          <w:szCs w:val="24"/>
        </w:rPr>
        <w:t xml:space="preserve">without inviting competitive bids </w:t>
      </w:r>
      <w:r w:rsidRPr="001063CA">
        <w:rPr>
          <w:rFonts w:ascii="Times New Roman" w:hAnsi="Times New Roman" w:cs="Times New Roman"/>
          <w:sz w:val="24"/>
          <w:szCs w:val="24"/>
        </w:rPr>
        <w:t xml:space="preserve">of </w:t>
      </w:r>
      <w:r w:rsidR="003B2121" w:rsidRPr="001063CA">
        <w:rPr>
          <w:rFonts w:ascii="Times New Roman" w:hAnsi="Times New Roman" w:cs="Times New Roman"/>
          <w:sz w:val="24"/>
          <w:szCs w:val="24"/>
        </w:rPr>
        <w:t xml:space="preserve">an </w:t>
      </w:r>
      <w:r w:rsidRPr="001063CA">
        <w:rPr>
          <w:rFonts w:ascii="Times New Roman" w:hAnsi="Times New Roman" w:cs="Times New Roman"/>
          <w:sz w:val="24"/>
          <w:szCs w:val="24"/>
        </w:rPr>
        <w:t>existing contract for LOGIS in respect of the development and enhancement of the Central Supplier Database.</w:t>
      </w:r>
    </w:p>
    <w:p w14:paraId="0623112B" w14:textId="77777777" w:rsidR="006926F5" w:rsidRPr="001063CA" w:rsidRDefault="006926F5" w:rsidP="001063CA">
      <w:pPr>
        <w:pStyle w:val="ListParagraph"/>
        <w:spacing w:after="160" w:line="360" w:lineRule="auto"/>
        <w:ind w:hanging="720"/>
        <w:rPr>
          <w:rFonts w:ascii="Times New Roman" w:hAnsi="Times New Roman" w:cs="Times New Roman"/>
          <w:sz w:val="24"/>
          <w:szCs w:val="24"/>
        </w:rPr>
      </w:pPr>
    </w:p>
    <w:p w14:paraId="0A564B48" w14:textId="77777777" w:rsidR="006926F5" w:rsidRPr="001063CA" w:rsidRDefault="006926F5" w:rsidP="001063CA">
      <w:pPr>
        <w:pStyle w:val="ListParagraph"/>
        <w:spacing w:after="160" w:line="360" w:lineRule="auto"/>
        <w:ind w:hanging="720"/>
        <w:rPr>
          <w:rFonts w:ascii="Times New Roman" w:hAnsi="Times New Roman" w:cs="Times New Roman"/>
          <w:sz w:val="24"/>
          <w:szCs w:val="24"/>
        </w:rPr>
      </w:pPr>
      <w:r w:rsidRPr="001063CA">
        <w:rPr>
          <w:rFonts w:ascii="Times New Roman" w:hAnsi="Times New Roman" w:cs="Times New Roman"/>
          <w:sz w:val="24"/>
          <w:szCs w:val="24"/>
        </w:rPr>
        <w:t>7.7</w:t>
      </w:r>
      <w:r w:rsidRPr="001063CA">
        <w:rPr>
          <w:rFonts w:ascii="Times New Roman" w:hAnsi="Times New Roman" w:cs="Times New Roman"/>
          <w:sz w:val="24"/>
          <w:szCs w:val="24"/>
        </w:rPr>
        <w:tab/>
        <w:t xml:space="preserve">The AGSA expressed concerns about consequence management, the slow response in improving key internal controls and addressing risk. It said that senior and executive authorities were not responding with the required sense of urgency to the AG’s calls for improving internal controls and risk management.  </w:t>
      </w:r>
    </w:p>
    <w:p w14:paraId="2B92C686" w14:textId="77777777" w:rsidR="006926F5" w:rsidRPr="001063CA" w:rsidRDefault="006926F5" w:rsidP="001063CA">
      <w:pPr>
        <w:pStyle w:val="ListParagraph"/>
        <w:spacing w:after="160" w:line="360" w:lineRule="auto"/>
        <w:ind w:hanging="720"/>
        <w:rPr>
          <w:rFonts w:ascii="Times New Roman" w:hAnsi="Times New Roman" w:cs="Times New Roman"/>
          <w:sz w:val="24"/>
          <w:szCs w:val="24"/>
        </w:rPr>
      </w:pPr>
      <w:r w:rsidRPr="001063CA">
        <w:rPr>
          <w:rFonts w:ascii="Times New Roman" w:hAnsi="Times New Roman" w:cs="Times New Roman"/>
          <w:sz w:val="24"/>
          <w:szCs w:val="24"/>
        </w:rPr>
        <w:t xml:space="preserve">   </w:t>
      </w:r>
    </w:p>
    <w:p w14:paraId="38D6D374" w14:textId="77777777" w:rsidR="006926F5" w:rsidRPr="001063CA" w:rsidRDefault="006926F5" w:rsidP="001063CA">
      <w:pPr>
        <w:numPr>
          <w:ilvl w:val="0"/>
          <w:numId w:val="10"/>
        </w:numPr>
        <w:spacing w:line="360" w:lineRule="auto"/>
        <w:ind w:left="0" w:firstLine="0"/>
        <w:contextualSpacing/>
        <w:rPr>
          <w:rFonts w:ascii="Times New Roman" w:hAnsi="Times New Roman" w:cs="Times New Roman"/>
          <w:b/>
          <w:sz w:val="24"/>
          <w:szCs w:val="24"/>
        </w:rPr>
      </w:pPr>
      <w:r w:rsidRPr="001063CA">
        <w:rPr>
          <w:rFonts w:ascii="Times New Roman" w:hAnsi="Times New Roman" w:cs="Times New Roman"/>
          <w:b/>
          <w:sz w:val="24"/>
          <w:szCs w:val="24"/>
        </w:rPr>
        <w:t>OBSERVATIONS AND RECOMMENDATIONS</w:t>
      </w:r>
    </w:p>
    <w:p w14:paraId="247ADBA4" w14:textId="77777777" w:rsidR="006926F5" w:rsidRPr="001063CA" w:rsidRDefault="006926F5" w:rsidP="001063CA">
      <w:pPr>
        <w:spacing w:line="360" w:lineRule="auto"/>
        <w:rPr>
          <w:rFonts w:ascii="Times New Roman" w:hAnsi="Times New Roman" w:cs="Times New Roman"/>
          <w:sz w:val="24"/>
          <w:szCs w:val="24"/>
        </w:rPr>
      </w:pPr>
    </w:p>
    <w:p w14:paraId="1848D588" w14:textId="77777777" w:rsidR="006926F5" w:rsidRPr="001063CA" w:rsidRDefault="006926F5" w:rsidP="001063CA">
      <w:pPr>
        <w:spacing w:line="360" w:lineRule="auto"/>
        <w:ind w:left="720" w:hanging="720"/>
        <w:rPr>
          <w:rFonts w:ascii="Times New Roman" w:hAnsi="Times New Roman" w:cs="Times New Roman"/>
          <w:sz w:val="24"/>
          <w:szCs w:val="24"/>
        </w:rPr>
      </w:pPr>
      <w:r w:rsidRPr="001063CA">
        <w:rPr>
          <w:rFonts w:ascii="Times New Roman" w:hAnsi="Times New Roman" w:cs="Times New Roman"/>
          <w:sz w:val="24"/>
          <w:szCs w:val="24"/>
        </w:rPr>
        <w:lastRenderedPageBreak/>
        <w:t>8.1</w:t>
      </w:r>
      <w:r w:rsidRPr="001063CA">
        <w:rPr>
          <w:rFonts w:ascii="Times New Roman" w:hAnsi="Times New Roman" w:cs="Times New Roman"/>
          <w:sz w:val="24"/>
          <w:szCs w:val="24"/>
        </w:rPr>
        <w:tab/>
        <w:t xml:space="preserve">The Committee </w:t>
      </w:r>
      <w:r w:rsidR="000C21D0" w:rsidRPr="001063CA">
        <w:rPr>
          <w:rFonts w:ascii="Times New Roman" w:hAnsi="Times New Roman" w:cs="Times New Roman"/>
          <w:sz w:val="24"/>
          <w:szCs w:val="24"/>
        </w:rPr>
        <w:t xml:space="preserve">notes that the </w:t>
      </w:r>
      <w:r w:rsidRPr="001063CA">
        <w:rPr>
          <w:rFonts w:ascii="Times New Roman" w:hAnsi="Times New Roman" w:cs="Times New Roman"/>
          <w:sz w:val="24"/>
          <w:szCs w:val="24"/>
        </w:rPr>
        <w:t xml:space="preserve">Deputy Minister and the DG </w:t>
      </w:r>
      <w:r w:rsidR="000C21D0" w:rsidRPr="001063CA">
        <w:rPr>
          <w:rFonts w:ascii="Times New Roman" w:hAnsi="Times New Roman" w:cs="Times New Roman"/>
          <w:sz w:val="24"/>
          <w:szCs w:val="24"/>
        </w:rPr>
        <w:t xml:space="preserve">stressed </w:t>
      </w:r>
      <w:r w:rsidRPr="001063CA">
        <w:rPr>
          <w:rFonts w:ascii="Times New Roman" w:hAnsi="Times New Roman" w:cs="Times New Roman"/>
          <w:sz w:val="24"/>
          <w:szCs w:val="24"/>
        </w:rPr>
        <w:t xml:space="preserve">that NT is working on the challenges identified by the AG. </w:t>
      </w:r>
      <w:r w:rsidR="000C21D0" w:rsidRPr="001063CA">
        <w:rPr>
          <w:rFonts w:ascii="Times New Roman" w:hAnsi="Times New Roman" w:cs="Times New Roman"/>
          <w:sz w:val="24"/>
          <w:szCs w:val="24"/>
        </w:rPr>
        <w:t xml:space="preserve">The Committee recommends that NT report on </w:t>
      </w:r>
      <w:r w:rsidRPr="001063CA">
        <w:rPr>
          <w:rFonts w:ascii="Times New Roman" w:hAnsi="Times New Roman" w:cs="Times New Roman"/>
          <w:sz w:val="24"/>
          <w:szCs w:val="24"/>
        </w:rPr>
        <w:t xml:space="preserve">the implementation of </w:t>
      </w:r>
      <w:r w:rsidR="000C21D0" w:rsidRPr="001063CA">
        <w:rPr>
          <w:rFonts w:ascii="Times New Roman" w:hAnsi="Times New Roman" w:cs="Times New Roman"/>
          <w:sz w:val="24"/>
          <w:szCs w:val="24"/>
        </w:rPr>
        <w:t>its</w:t>
      </w:r>
      <w:r w:rsidRPr="001063CA">
        <w:rPr>
          <w:rFonts w:ascii="Times New Roman" w:hAnsi="Times New Roman" w:cs="Times New Roman"/>
          <w:sz w:val="24"/>
          <w:szCs w:val="24"/>
        </w:rPr>
        <w:t xml:space="preserve"> audit action plans </w:t>
      </w:r>
      <w:r w:rsidR="000C21D0" w:rsidRPr="001063CA">
        <w:rPr>
          <w:rFonts w:ascii="Times New Roman" w:hAnsi="Times New Roman" w:cs="Times New Roman"/>
          <w:sz w:val="24"/>
          <w:szCs w:val="24"/>
        </w:rPr>
        <w:t xml:space="preserve">as part of its </w:t>
      </w:r>
      <w:r w:rsidRPr="001063CA">
        <w:rPr>
          <w:rFonts w:ascii="Times New Roman" w:hAnsi="Times New Roman" w:cs="Times New Roman"/>
          <w:sz w:val="24"/>
          <w:szCs w:val="24"/>
        </w:rPr>
        <w:t xml:space="preserve">quarterly reports to the Committee. </w:t>
      </w:r>
    </w:p>
    <w:p w14:paraId="3D3489AA" w14:textId="77777777" w:rsidR="006926F5" w:rsidRPr="001063CA" w:rsidRDefault="006926F5" w:rsidP="001063CA">
      <w:pPr>
        <w:spacing w:line="360" w:lineRule="auto"/>
        <w:ind w:left="720" w:hanging="720"/>
        <w:rPr>
          <w:rFonts w:ascii="Times New Roman" w:hAnsi="Times New Roman" w:cs="Times New Roman"/>
          <w:sz w:val="24"/>
          <w:szCs w:val="24"/>
        </w:rPr>
      </w:pPr>
    </w:p>
    <w:p w14:paraId="23920EA2" w14:textId="77777777" w:rsidR="002E164C" w:rsidRPr="001063CA" w:rsidRDefault="006926F5" w:rsidP="001063CA">
      <w:pPr>
        <w:spacing w:line="360" w:lineRule="auto"/>
        <w:ind w:left="720" w:hanging="720"/>
        <w:rPr>
          <w:rFonts w:ascii="Times New Roman" w:hAnsi="Times New Roman" w:cs="Times New Roman"/>
          <w:sz w:val="24"/>
          <w:szCs w:val="24"/>
        </w:rPr>
      </w:pPr>
      <w:r w:rsidRPr="001063CA">
        <w:rPr>
          <w:rFonts w:ascii="Times New Roman" w:hAnsi="Times New Roman" w:cs="Times New Roman"/>
          <w:sz w:val="24"/>
          <w:szCs w:val="24"/>
        </w:rPr>
        <w:t>8.2.</w:t>
      </w:r>
      <w:r w:rsidRPr="001063CA">
        <w:rPr>
          <w:rFonts w:ascii="Times New Roman" w:hAnsi="Times New Roman" w:cs="Times New Roman"/>
          <w:sz w:val="24"/>
          <w:szCs w:val="24"/>
        </w:rPr>
        <w:tab/>
        <w:t xml:space="preserve">The Committee notes NT’s improved financial expenditure from 97.8% </w:t>
      </w:r>
      <w:r w:rsidR="003B2121" w:rsidRPr="001063CA">
        <w:rPr>
          <w:rFonts w:ascii="Times New Roman" w:hAnsi="Times New Roman" w:cs="Times New Roman"/>
          <w:sz w:val="24"/>
          <w:szCs w:val="24"/>
        </w:rPr>
        <w:t>(</w:t>
      </w:r>
      <w:r w:rsidRPr="001063CA">
        <w:rPr>
          <w:rFonts w:ascii="Times New Roman" w:hAnsi="Times New Roman" w:cs="Times New Roman"/>
          <w:sz w:val="24"/>
          <w:szCs w:val="24"/>
        </w:rPr>
        <w:t>2015/16</w:t>
      </w:r>
      <w:r w:rsidR="003B2121" w:rsidRPr="001063CA">
        <w:rPr>
          <w:rFonts w:ascii="Times New Roman" w:hAnsi="Times New Roman" w:cs="Times New Roman"/>
          <w:sz w:val="24"/>
          <w:szCs w:val="24"/>
        </w:rPr>
        <w:t>)</w:t>
      </w:r>
      <w:r w:rsidRPr="001063CA">
        <w:rPr>
          <w:rFonts w:ascii="Times New Roman" w:hAnsi="Times New Roman" w:cs="Times New Roman"/>
          <w:sz w:val="24"/>
          <w:szCs w:val="24"/>
        </w:rPr>
        <w:t xml:space="preserve"> to 99%</w:t>
      </w:r>
      <w:r w:rsidR="003B2121" w:rsidRPr="001063CA">
        <w:rPr>
          <w:rFonts w:ascii="Times New Roman" w:hAnsi="Times New Roman" w:cs="Times New Roman"/>
          <w:sz w:val="24"/>
          <w:szCs w:val="24"/>
        </w:rPr>
        <w:t xml:space="preserve"> (2016/17)</w:t>
      </w:r>
      <w:r w:rsidRPr="001063CA">
        <w:rPr>
          <w:rFonts w:ascii="Times New Roman" w:hAnsi="Times New Roman" w:cs="Times New Roman"/>
          <w:sz w:val="24"/>
          <w:szCs w:val="24"/>
        </w:rPr>
        <w:t xml:space="preserve">. There has however been </w:t>
      </w:r>
      <w:r w:rsidR="003B2121" w:rsidRPr="001063CA">
        <w:rPr>
          <w:rFonts w:ascii="Times New Roman" w:hAnsi="Times New Roman" w:cs="Times New Roman"/>
          <w:sz w:val="24"/>
          <w:szCs w:val="24"/>
        </w:rPr>
        <w:t xml:space="preserve">a </w:t>
      </w:r>
      <w:r w:rsidRPr="001063CA">
        <w:rPr>
          <w:rFonts w:ascii="Times New Roman" w:hAnsi="Times New Roman" w:cs="Times New Roman"/>
          <w:sz w:val="24"/>
          <w:szCs w:val="24"/>
        </w:rPr>
        <w:t>slight regression in achieving performance</w:t>
      </w:r>
      <w:r w:rsidR="003B2121" w:rsidRPr="001063CA">
        <w:rPr>
          <w:rFonts w:ascii="Times New Roman" w:hAnsi="Times New Roman" w:cs="Times New Roman"/>
          <w:sz w:val="24"/>
          <w:szCs w:val="24"/>
        </w:rPr>
        <w:t xml:space="preserve"> targets</w:t>
      </w:r>
      <w:r w:rsidRPr="001063CA">
        <w:rPr>
          <w:rFonts w:ascii="Times New Roman" w:hAnsi="Times New Roman" w:cs="Times New Roman"/>
          <w:sz w:val="24"/>
          <w:szCs w:val="24"/>
        </w:rPr>
        <w:t xml:space="preserve"> from 76.5% </w:t>
      </w:r>
      <w:r w:rsidR="003B2121" w:rsidRPr="001063CA">
        <w:rPr>
          <w:rFonts w:ascii="Times New Roman" w:hAnsi="Times New Roman" w:cs="Times New Roman"/>
          <w:sz w:val="24"/>
          <w:szCs w:val="24"/>
        </w:rPr>
        <w:t>(</w:t>
      </w:r>
      <w:r w:rsidRPr="001063CA">
        <w:rPr>
          <w:rFonts w:ascii="Times New Roman" w:hAnsi="Times New Roman" w:cs="Times New Roman"/>
          <w:sz w:val="24"/>
          <w:szCs w:val="24"/>
        </w:rPr>
        <w:t>2015/16</w:t>
      </w:r>
      <w:r w:rsidR="003B2121" w:rsidRPr="001063CA">
        <w:rPr>
          <w:rFonts w:ascii="Times New Roman" w:hAnsi="Times New Roman" w:cs="Times New Roman"/>
          <w:sz w:val="24"/>
          <w:szCs w:val="24"/>
        </w:rPr>
        <w:t>)</w:t>
      </w:r>
      <w:r w:rsidRPr="001063CA">
        <w:rPr>
          <w:rFonts w:ascii="Times New Roman" w:hAnsi="Times New Roman" w:cs="Times New Roman"/>
          <w:sz w:val="24"/>
          <w:szCs w:val="24"/>
        </w:rPr>
        <w:t xml:space="preserve"> to 75% </w:t>
      </w:r>
      <w:r w:rsidR="003B2121" w:rsidRPr="001063CA">
        <w:rPr>
          <w:rFonts w:ascii="Times New Roman" w:hAnsi="Times New Roman" w:cs="Times New Roman"/>
          <w:sz w:val="24"/>
          <w:szCs w:val="24"/>
        </w:rPr>
        <w:t>(</w:t>
      </w:r>
      <w:r w:rsidRPr="001063CA">
        <w:rPr>
          <w:rFonts w:ascii="Times New Roman" w:hAnsi="Times New Roman" w:cs="Times New Roman"/>
          <w:sz w:val="24"/>
          <w:szCs w:val="24"/>
        </w:rPr>
        <w:t>2017/18</w:t>
      </w:r>
      <w:r w:rsidR="003B2121" w:rsidRPr="001063CA">
        <w:rPr>
          <w:rFonts w:ascii="Times New Roman" w:hAnsi="Times New Roman" w:cs="Times New Roman"/>
          <w:sz w:val="24"/>
          <w:szCs w:val="24"/>
        </w:rPr>
        <w:t>)</w:t>
      </w:r>
      <w:r w:rsidRPr="001063CA">
        <w:rPr>
          <w:rFonts w:ascii="Times New Roman" w:hAnsi="Times New Roman" w:cs="Times New Roman"/>
          <w:sz w:val="24"/>
          <w:szCs w:val="24"/>
        </w:rPr>
        <w:t xml:space="preserve">. The Committee believes </w:t>
      </w:r>
      <w:r w:rsidR="000C21D0" w:rsidRPr="001063CA">
        <w:rPr>
          <w:rFonts w:ascii="Times New Roman" w:hAnsi="Times New Roman" w:cs="Times New Roman"/>
          <w:sz w:val="24"/>
          <w:szCs w:val="24"/>
        </w:rPr>
        <w:t xml:space="preserve">that </w:t>
      </w:r>
      <w:r w:rsidRPr="001063CA">
        <w:rPr>
          <w:rFonts w:ascii="Times New Roman" w:hAnsi="Times New Roman" w:cs="Times New Roman"/>
          <w:sz w:val="24"/>
          <w:szCs w:val="24"/>
        </w:rPr>
        <w:t xml:space="preserve">this performance is good, but there is </w:t>
      </w:r>
      <w:r w:rsidR="000C21D0" w:rsidRPr="001063CA">
        <w:rPr>
          <w:rFonts w:ascii="Times New Roman" w:hAnsi="Times New Roman" w:cs="Times New Roman"/>
          <w:sz w:val="24"/>
          <w:szCs w:val="24"/>
        </w:rPr>
        <w:t xml:space="preserve">obviously </w:t>
      </w:r>
      <w:r w:rsidRPr="001063CA">
        <w:rPr>
          <w:rFonts w:ascii="Times New Roman" w:hAnsi="Times New Roman" w:cs="Times New Roman"/>
          <w:sz w:val="24"/>
          <w:szCs w:val="24"/>
        </w:rPr>
        <w:t>room for improvement, especially in ensuring that financial expenditure is more aligned to the achievement of targets.</w:t>
      </w:r>
      <w:r w:rsidR="003B2121" w:rsidRPr="001063CA">
        <w:rPr>
          <w:rFonts w:ascii="Times New Roman" w:hAnsi="Times New Roman" w:cs="Times New Roman"/>
          <w:sz w:val="24"/>
          <w:szCs w:val="24"/>
        </w:rPr>
        <w:t xml:space="preserve"> </w:t>
      </w:r>
      <w:r w:rsidRPr="001063CA">
        <w:rPr>
          <w:rFonts w:ascii="Times New Roman" w:hAnsi="Times New Roman" w:cs="Times New Roman"/>
          <w:sz w:val="24"/>
          <w:szCs w:val="24"/>
        </w:rPr>
        <w:t xml:space="preserve"> </w:t>
      </w:r>
      <w:r w:rsidR="005E09A5" w:rsidRPr="001063CA">
        <w:rPr>
          <w:rFonts w:ascii="Times New Roman" w:hAnsi="Times New Roman" w:cs="Times New Roman"/>
          <w:sz w:val="24"/>
          <w:szCs w:val="24"/>
        </w:rPr>
        <w:t xml:space="preserve">However, it is not clear to the  Committee that the </w:t>
      </w:r>
      <w:r w:rsidR="001D3D13" w:rsidRPr="001063CA">
        <w:rPr>
          <w:rFonts w:ascii="Times New Roman" w:hAnsi="Times New Roman" w:cs="Times New Roman"/>
          <w:sz w:val="24"/>
          <w:szCs w:val="24"/>
        </w:rPr>
        <w:t xml:space="preserve">NT’s </w:t>
      </w:r>
      <w:r w:rsidR="0045040C" w:rsidRPr="001063CA">
        <w:rPr>
          <w:rFonts w:ascii="Times New Roman" w:hAnsi="Times New Roman" w:cs="Times New Roman"/>
          <w:sz w:val="24"/>
          <w:szCs w:val="24"/>
        </w:rPr>
        <w:t>APP</w:t>
      </w:r>
      <w:r w:rsidR="005E09A5" w:rsidRPr="001063CA">
        <w:rPr>
          <w:rFonts w:ascii="Times New Roman" w:hAnsi="Times New Roman" w:cs="Times New Roman"/>
          <w:sz w:val="24"/>
          <w:szCs w:val="24"/>
        </w:rPr>
        <w:t xml:space="preserve"> reflects all the Performance Indicators stipulated in the Medium Term Strategic  </w:t>
      </w:r>
      <w:r w:rsidR="001D3D13" w:rsidRPr="001063CA">
        <w:rPr>
          <w:rFonts w:ascii="Times New Roman" w:hAnsi="Times New Roman" w:cs="Times New Roman"/>
          <w:sz w:val="24"/>
          <w:szCs w:val="24"/>
        </w:rPr>
        <w:t xml:space="preserve">Framework outcomes </w:t>
      </w:r>
      <w:r w:rsidR="00E72841" w:rsidRPr="001063CA">
        <w:rPr>
          <w:rFonts w:ascii="Times New Roman" w:hAnsi="Times New Roman" w:cs="Times New Roman"/>
          <w:sz w:val="24"/>
          <w:szCs w:val="24"/>
        </w:rPr>
        <w:t xml:space="preserve">that </w:t>
      </w:r>
      <w:r w:rsidR="001D3D13" w:rsidRPr="001063CA">
        <w:rPr>
          <w:rFonts w:ascii="Times New Roman" w:hAnsi="Times New Roman" w:cs="Times New Roman"/>
          <w:sz w:val="24"/>
          <w:szCs w:val="24"/>
        </w:rPr>
        <w:t xml:space="preserve">it has to pursue.  </w:t>
      </w:r>
      <w:r w:rsidR="00A82CC8" w:rsidRPr="001063CA">
        <w:rPr>
          <w:rFonts w:ascii="Times New Roman" w:hAnsi="Times New Roman" w:cs="Times New Roman"/>
          <w:sz w:val="24"/>
          <w:szCs w:val="24"/>
        </w:rPr>
        <w:t xml:space="preserve">This </w:t>
      </w:r>
      <w:r w:rsidR="006E4D14" w:rsidRPr="001063CA">
        <w:rPr>
          <w:rFonts w:ascii="Times New Roman" w:hAnsi="Times New Roman" w:cs="Times New Roman"/>
          <w:sz w:val="24"/>
          <w:szCs w:val="24"/>
        </w:rPr>
        <w:t xml:space="preserve">needs to be clarified </w:t>
      </w:r>
      <w:r w:rsidR="00A82CC8" w:rsidRPr="001063CA">
        <w:rPr>
          <w:rFonts w:ascii="Times New Roman" w:hAnsi="Times New Roman" w:cs="Times New Roman"/>
          <w:sz w:val="24"/>
          <w:szCs w:val="24"/>
        </w:rPr>
        <w:t xml:space="preserve">at </w:t>
      </w:r>
      <w:r w:rsidR="002D3937" w:rsidRPr="001063CA">
        <w:rPr>
          <w:rFonts w:ascii="Times New Roman" w:hAnsi="Times New Roman" w:cs="Times New Roman"/>
          <w:sz w:val="24"/>
          <w:szCs w:val="24"/>
        </w:rPr>
        <w:t xml:space="preserve">NT’s </w:t>
      </w:r>
      <w:r w:rsidR="00A82CC8" w:rsidRPr="001063CA">
        <w:rPr>
          <w:rFonts w:ascii="Times New Roman" w:hAnsi="Times New Roman" w:cs="Times New Roman"/>
          <w:sz w:val="24"/>
          <w:szCs w:val="24"/>
        </w:rPr>
        <w:t>next Quarterly Briefing</w:t>
      </w:r>
      <w:r w:rsidR="002D3937" w:rsidRPr="001063CA">
        <w:rPr>
          <w:rFonts w:ascii="Times New Roman" w:hAnsi="Times New Roman" w:cs="Times New Roman"/>
          <w:sz w:val="24"/>
          <w:szCs w:val="24"/>
        </w:rPr>
        <w:t xml:space="preserve"> to the Committee.</w:t>
      </w:r>
      <w:r w:rsidR="0006747B" w:rsidRPr="001063CA">
        <w:rPr>
          <w:rFonts w:ascii="Times New Roman" w:hAnsi="Times New Roman" w:cs="Times New Roman"/>
          <w:sz w:val="24"/>
          <w:szCs w:val="24"/>
        </w:rPr>
        <w:t xml:space="preserve"> </w:t>
      </w:r>
      <w:r w:rsidR="00E72841" w:rsidRPr="001063CA">
        <w:rPr>
          <w:rFonts w:ascii="Times New Roman" w:hAnsi="Times New Roman" w:cs="Times New Roman"/>
          <w:sz w:val="24"/>
          <w:szCs w:val="24"/>
        </w:rPr>
        <w:t>The Committee also needs to get a better sense of the quality of the spend</w:t>
      </w:r>
      <w:r w:rsidR="003C428C" w:rsidRPr="001063CA">
        <w:rPr>
          <w:rFonts w:ascii="Times New Roman" w:hAnsi="Times New Roman" w:cs="Times New Roman"/>
          <w:sz w:val="24"/>
          <w:szCs w:val="24"/>
        </w:rPr>
        <w:t>, which means NT has to provid</w:t>
      </w:r>
      <w:r w:rsidR="002241B0" w:rsidRPr="001063CA">
        <w:rPr>
          <w:rFonts w:ascii="Times New Roman" w:hAnsi="Times New Roman" w:cs="Times New Roman"/>
          <w:sz w:val="24"/>
          <w:szCs w:val="24"/>
        </w:rPr>
        <w:t xml:space="preserve">e us with impact assessments </w:t>
      </w:r>
      <w:r w:rsidR="005518DA" w:rsidRPr="001063CA">
        <w:rPr>
          <w:rFonts w:ascii="Times New Roman" w:hAnsi="Times New Roman" w:cs="Times New Roman"/>
          <w:sz w:val="24"/>
          <w:szCs w:val="24"/>
        </w:rPr>
        <w:t xml:space="preserve"> a</w:t>
      </w:r>
      <w:r w:rsidR="008854EF" w:rsidRPr="001063CA">
        <w:rPr>
          <w:rFonts w:ascii="Times New Roman" w:hAnsi="Times New Roman" w:cs="Times New Roman"/>
          <w:sz w:val="24"/>
          <w:szCs w:val="24"/>
        </w:rPr>
        <w:t>gainst the Performance Indicators.</w:t>
      </w:r>
      <w:r w:rsidR="002E164C" w:rsidRPr="001063CA">
        <w:rPr>
          <w:rFonts w:ascii="Times New Roman" w:hAnsi="Times New Roman" w:cs="Times New Roman"/>
          <w:sz w:val="24"/>
          <w:szCs w:val="24"/>
        </w:rPr>
        <w:t xml:space="preserve"> NT should use the assessment tool provided by the Department of Planning, Monitoring and Evaluation and report to the Committee accordingly.  </w:t>
      </w:r>
    </w:p>
    <w:p w14:paraId="35482875" w14:textId="77777777" w:rsidR="006926F5" w:rsidRPr="001063CA" w:rsidRDefault="008854EF" w:rsidP="001063CA">
      <w:pPr>
        <w:spacing w:line="360" w:lineRule="auto"/>
        <w:ind w:left="720" w:hanging="720"/>
        <w:rPr>
          <w:rFonts w:ascii="Times New Roman" w:hAnsi="Times New Roman" w:cs="Times New Roman"/>
          <w:sz w:val="24"/>
          <w:szCs w:val="24"/>
        </w:rPr>
      </w:pPr>
      <w:r w:rsidRPr="001063CA">
        <w:rPr>
          <w:rFonts w:ascii="Times New Roman" w:hAnsi="Times New Roman" w:cs="Times New Roman"/>
          <w:sz w:val="24"/>
          <w:szCs w:val="24"/>
        </w:rPr>
        <w:t xml:space="preserve"> </w:t>
      </w:r>
    </w:p>
    <w:p w14:paraId="2C44CE8C" w14:textId="77777777" w:rsidR="006926F5" w:rsidRPr="001063CA" w:rsidRDefault="006926F5" w:rsidP="001063CA">
      <w:pPr>
        <w:spacing w:line="360" w:lineRule="auto"/>
        <w:ind w:left="720" w:hanging="720"/>
        <w:rPr>
          <w:rFonts w:ascii="Times New Roman" w:hAnsi="Times New Roman" w:cs="Times New Roman"/>
          <w:sz w:val="24"/>
          <w:szCs w:val="24"/>
        </w:rPr>
      </w:pPr>
      <w:r w:rsidRPr="001063CA">
        <w:rPr>
          <w:rFonts w:ascii="Times New Roman" w:hAnsi="Times New Roman" w:cs="Times New Roman"/>
          <w:sz w:val="24"/>
          <w:szCs w:val="24"/>
        </w:rPr>
        <w:t>8.3</w:t>
      </w:r>
      <w:r w:rsidRPr="001063CA">
        <w:rPr>
          <w:rFonts w:ascii="Times New Roman" w:hAnsi="Times New Roman" w:cs="Times New Roman"/>
          <w:sz w:val="24"/>
          <w:szCs w:val="24"/>
        </w:rPr>
        <w:tab/>
        <w:t xml:space="preserve">The Committee is concerned about non-compliance with SCM policies and processes as outlined in the AG’s report. We are concerned about the </w:t>
      </w:r>
      <w:r w:rsidR="00596D0C" w:rsidRPr="001063CA">
        <w:rPr>
          <w:rFonts w:ascii="Times New Roman" w:hAnsi="Times New Roman" w:cs="Times New Roman"/>
          <w:sz w:val="24"/>
          <w:szCs w:val="24"/>
        </w:rPr>
        <w:t xml:space="preserve">cases of </w:t>
      </w:r>
      <w:r w:rsidRPr="001063CA">
        <w:rPr>
          <w:rFonts w:ascii="Times New Roman" w:hAnsi="Times New Roman" w:cs="Times New Roman"/>
          <w:sz w:val="24"/>
          <w:szCs w:val="24"/>
        </w:rPr>
        <w:t>extension of tenders without inviting competitive bids</w:t>
      </w:r>
      <w:r w:rsidR="00A46EAD" w:rsidRPr="001063CA">
        <w:rPr>
          <w:rFonts w:ascii="Times New Roman" w:hAnsi="Times New Roman" w:cs="Times New Roman"/>
          <w:sz w:val="24"/>
          <w:szCs w:val="24"/>
        </w:rPr>
        <w:t xml:space="preserve"> (evergreen contracts)</w:t>
      </w:r>
      <w:r w:rsidRPr="001063CA">
        <w:rPr>
          <w:rFonts w:ascii="Times New Roman" w:hAnsi="Times New Roman" w:cs="Times New Roman"/>
          <w:sz w:val="24"/>
          <w:szCs w:val="24"/>
        </w:rPr>
        <w:t>, the failure to invite three quotation</w:t>
      </w:r>
      <w:r w:rsidR="00A46EAD" w:rsidRPr="001063CA">
        <w:rPr>
          <w:rFonts w:ascii="Times New Roman" w:hAnsi="Times New Roman" w:cs="Times New Roman"/>
          <w:sz w:val="24"/>
          <w:szCs w:val="24"/>
        </w:rPr>
        <w:t>s</w:t>
      </w:r>
      <w:r w:rsidRPr="001063CA">
        <w:rPr>
          <w:rFonts w:ascii="Times New Roman" w:hAnsi="Times New Roman" w:cs="Times New Roman"/>
          <w:sz w:val="24"/>
          <w:szCs w:val="24"/>
        </w:rPr>
        <w:t xml:space="preserve"> and failure to apply the preference point system. </w:t>
      </w:r>
      <w:r w:rsidR="00596D0C" w:rsidRPr="001063CA">
        <w:rPr>
          <w:rFonts w:ascii="Times New Roman" w:hAnsi="Times New Roman" w:cs="Times New Roman"/>
          <w:sz w:val="24"/>
          <w:szCs w:val="24"/>
        </w:rPr>
        <w:t>(</w:t>
      </w:r>
      <w:r w:rsidR="00A46EAD" w:rsidRPr="001063CA">
        <w:rPr>
          <w:rFonts w:ascii="Times New Roman" w:hAnsi="Times New Roman" w:cs="Times New Roman"/>
          <w:sz w:val="24"/>
          <w:szCs w:val="24"/>
        </w:rPr>
        <w:t>We also condemn the granting of tenders to entities whose tax affairs are not in order and the miscalculation of B</w:t>
      </w:r>
      <w:r w:rsidR="00B30106" w:rsidRPr="001063CA">
        <w:rPr>
          <w:rFonts w:ascii="Times New Roman" w:hAnsi="Times New Roman" w:cs="Times New Roman"/>
          <w:sz w:val="24"/>
          <w:szCs w:val="24"/>
        </w:rPr>
        <w:t>-BB</w:t>
      </w:r>
      <w:r w:rsidR="00A46EAD" w:rsidRPr="001063CA">
        <w:rPr>
          <w:rFonts w:ascii="Times New Roman" w:hAnsi="Times New Roman" w:cs="Times New Roman"/>
          <w:sz w:val="24"/>
          <w:szCs w:val="24"/>
        </w:rPr>
        <w:t xml:space="preserve">EE points where an irregular expenditure of </w:t>
      </w:r>
      <w:r w:rsidR="00B30106" w:rsidRPr="001063CA">
        <w:rPr>
          <w:rFonts w:ascii="Times New Roman" w:hAnsi="Times New Roman" w:cs="Times New Roman"/>
          <w:sz w:val="24"/>
          <w:szCs w:val="24"/>
        </w:rPr>
        <w:t>R</w:t>
      </w:r>
      <w:r w:rsidR="00A46EAD" w:rsidRPr="001063CA">
        <w:rPr>
          <w:rFonts w:ascii="Times New Roman" w:hAnsi="Times New Roman" w:cs="Times New Roman"/>
          <w:sz w:val="24"/>
          <w:szCs w:val="24"/>
        </w:rPr>
        <w:t>12.1 million was incurred</w:t>
      </w:r>
      <w:r w:rsidR="00596D0C" w:rsidRPr="001063CA">
        <w:rPr>
          <w:rFonts w:ascii="Times New Roman" w:hAnsi="Times New Roman" w:cs="Times New Roman"/>
          <w:sz w:val="24"/>
          <w:szCs w:val="24"/>
        </w:rPr>
        <w:t>)</w:t>
      </w:r>
      <w:r w:rsidR="00A46EAD" w:rsidRPr="001063CA">
        <w:rPr>
          <w:rFonts w:ascii="Times New Roman" w:hAnsi="Times New Roman" w:cs="Times New Roman"/>
          <w:sz w:val="24"/>
          <w:szCs w:val="24"/>
        </w:rPr>
        <w:t xml:space="preserve">. </w:t>
      </w:r>
      <w:r w:rsidRPr="001063CA">
        <w:rPr>
          <w:rFonts w:ascii="Times New Roman" w:hAnsi="Times New Roman" w:cs="Times New Roman"/>
          <w:sz w:val="24"/>
          <w:szCs w:val="24"/>
        </w:rPr>
        <w:t xml:space="preserve">The Committee believes that it is unacceptable for NT and </w:t>
      </w:r>
      <w:r w:rsidR="001D760B" w:rsidRPr="001063CA">
        <w:rPr>
          <w:rFonts w:ascii="Times New Roman" w:hAnsi="Times New Roman" w:cs="Times New Roman"/>
          <w:sz w:val="24"/>
          <w:szCs w:val="24"/>
        </w:rPr>
        <w:t xml:space="preserve">the </w:t>
      </w:r>
      <w:r w:rsidRPr="001063CA">
        <w:rPr>
          <w:rFonts w:ascii="Times New Roman" w:hAnsi="Times New Roman" w:cs="Times New Roman"/>
          <w:sz w:val="24"/>
          <w:szCs w:val="24"/>
        </w:rPr>
        <w:t>entities</w:t>
      </w:r>
      <w:r w:rsidR="001D760B" w:rsidRPr="001063CA">
        <w:rPr>
          <w:rFonts w:ascii="Times New Roman" w:hAnsi="Times New Roman" w:cs="Times New Roman"/>
          <w:sz w:val="24"/>
          <w:szCs w:val="24"/>
        </w:rPr>
        <w:t xml:space="preserve"> that fall under it</w:t>
      </w:r>
      <w:r w:rsidR="003B2121" w:rsidRPr="001063CA">
        <w:rPr>
          <w:rFonts w:ascii="Times New Roman" w:hAnsi="Times New Roman" w:cs="Times New Roman"/>
          <w:sz w:val="24"/>
          <w:szCs w:val="24"/>
        </w:rPr>
        <w:t>,</w:t>
      </w:r>
      <w:r w:rsidRPr="001063CA">
        <w:rPr>
          <w:rFonts w:ascii="Times New Roman" w:hAnsi="Times New Roman" w:cs="Times New Roman"/>
          <w:sz w:val="24"/>
          <w:szCs w:val="24"/>
        </w:rPr>
        <w:t xml:space="preserve"> </w:t>
      </w:r>
      <w:r w:rsidR="003B2121" w:rsidRPr="001063CA">
        <w:rPr>
          <w:rFonts w:ascii="Times New Roman" w:hAnsi="Times New Roman" w:cs="Times New Roman"/>
          <w:sz w:val="24"/>
          <w:szCs w:val="24"/>
        </w:rPr>
        <w:t xml:space="preserve">particularly </w:t>
      </w:r>
      <w:r w:rsidR="001D760B" w:rsidRPr="001063CA">
        <w:rPr>
          <w:rFonts w:ascii="Times New Roman" w:hAnsi="Times New Roman" w:cs="Times New Roman"/>
          <w:sz w:val="24"/>
          <w:szCs w:val="24"/>
        </w:rPr>
        <w:t xml:space="preserve">as they are </w:t>
      </w:r>
      <w:r w:rsidR="003B2121" w:rsidRPr="001063CA">
        <w:rPr>
          <w:rFonts w:ascii="Times New Roman" w:hAnsi="Times New Roman" w:cs="Times New Roman"/>
          <w:sz w:val="24"/>
          <w:szCs w:val="24"/>
        </w:rPr>
        <w:t>in the</w:t>
      </w:r>
      <w:r w:rsidRPr="001063CA">
        <w:rPr>
          <w:rFonts w:ascii="Times New Roman" w:hAnsi="Times New Roman" w:cs="Times New Roman"/>
          <w:sz w:val="24"/>
          <w:szCs w:val="24"/>
        </w:rPr>
        <w:t xml:space="preserve"> finance portfolio</w:t>
      </w:r>
      <w:r w:rsidR="003B2121" w:rsidRPr="001063CA">
        <w:rPr>
          <w:rFonts w:ascii="Times New Roman" w:hAnsi="Times New Roman" w:cs="Times New Roman"/>
          <w:sz w:val="24"/>
          <w:szCs w:val="24"/>
        </w:rPr>
        <w:t>,</w:t>
      </w:r>
      <w:r w:rsidRPr="001063CA">
        <w:rPr>
          <w:rFonts w:ascii="Times New Roman" w:hAnsi="Times New Roman" w:cs="Times New Roman"/>
          <w:sz w:val="24"/>
          <w:szCs w:val="24"/>
        </w:rPr>
        <w:t xml:space="preserve"> not to comply with laws and regulations on SCM</w:t>
      </w:r>
      <w:r w:rsidR="001D760B" w:rsidRPr="001063CA">
        <w:rPr>
          <w:rFonts w:ascii="Times New Roman" w:hAnsi="Times New Roman" w:cs="Times New Roman"/>
          <w:sz w:val="24"/>
          <w:szCs w:val="24"/>
        </w:rPr>
        <w:t>.</w:t>
      </w:r>
      <w:r w:rsidRPr="001063CA">
        <w:rPr>
          <w:rFonts w:ascii="Times New Roman" w:hAnsi="Times New Roman" w:cs="Times New Roman"/>
          <w:sz w:val="24"/>
          <w:szCs w:val="24"/>
        </w:rPr>
        <w:t xml:space="preserve"> </w:t>
      </w:r>
      <w:r w:rsidR="001D760B" w:rsidRPr="001063CA">
        <w:rPr>
          <w:rFonts w:ascii="Times New Roman" w:hAnsi="Times New Roman" w:cs="Times New Roman"/>
          <w:sz w:val="24"/>
          <w:szCs w:val="24"/>
        </w:rPr>
        <w:t xml:space="preserve">There must be </w:t>
      </w:r>
      <w:r w:rsidRPr="001063CA">
        <w:rPr>
          <w:rFonts w:ascii="Times New Roman" w:hAnsi="Times New Roman" w:cs="Times New Roman"/>
          <w:sz w:val="24"/>
          <w:szCs w:val="24"/>
        </w:rPr>
        <w:t>speedy investigations</w:t>
      </w:r>
      <w:r w:rsidR="00B30106" w:rsidRPr="001063CA">
        <w:rPr>
          <w:rFonts w:ascii="Times New Roman" w:hAnsi="Times New Roman" w:cs="Times New Roman"/>
          <w:sz w:val="24"/>
          <w:szCs w:val="24"/>
        </w:rPr>
        <w:t xml:space="preserve"> on these matters</w:t>
      </w:r>
      <w:r w:rsidRPr="001063CA">
        <w:rPr>
          <w:rFonts w:ascii="Times New Roman" w:hAnsi="Times New Roman" w:cs="Times New Roman"/>
          <w:sz w:val="24"/>
          <w:szCs w:val="24"/>
        </w:rPr>
        <w:t xml:space="preserve">, corrective action and consequences. </w:t>
      </w:r>
    </w:p>
    <w:p w14:paraId="66B4939E" w14:textId="77777777" w:rsidR="003B2121" w:rsidRPr="001063CA" w:rsidRDefault="003B2121" w:rsidP="001063CA">
      <w:pPr>
        <w:spacing w:line="360" w:lineRule="auto"/>
        <w:ind w:left="720" w:hanging="720"/>
        <w:rPr>
          <w:rFonts w:ascii="Times New Roman" w:hAnsi="Times New Roman" w:cs="Times New Roman"/>
          <w:sz w:val="24"/>
          <w:szCs w:val="24"/>
        </w:rPr>
      </w:pPr>
    </w:p>
    <w:p w14:paraId="38900E88" w14:textId="77777777" w:rsidR="003B2121" w:rsidRPr="001063CA" w:rsidRDefault="003B2121" w:rsidP="001063CA">
      <w:pPr>
        <w:spacing w:line="360" w:lineRule="auto"/>
        <w:ind w:left="720" w:hanging="720"/>
        <w:rPr>
          <w:rFonts w:ascii="Times New Roman" w:hAnsi="Times New Roman" w:cs="Times New Roman"/>
          <w:sz w:val="24"/>
          <w:szCs w:val="24"/>
        </w:rPr>
      </w:pPr>
      <w:r w:rsidRPr="001063CA">
        <w:rPr>
          <w:rFonts w:ascii="Times New Roman" w:hAnsi="Times New Roman" w:cs="Times New Roman"/>
          <w:sz w:val="24"/>
          <w:szCs w:val="24"/>
        </w:rPr>
        <w:t>8.4</w:t>
      </w:r>
      <w:r w:rsidRPr="001063CA">
        <w:rPr>
          <w:rFonts w:ascii="Times New Roman" w:hAnsi="Times New Roman" w:cs="Times New Roman"/>
          <w:sz w:val="24"/>
          <w:szCs w:val="24"/>
        </w:rPr>
        <w:tab/>
        <w:t>The Committee notes AGSA’s concerns about consequences management, the slow pace in improving internal control</w:t>
      </w:r>
      <w:r w:rsidR="00B30106" w:rsidRPr="001063CA">
        <w:rPr>
          <w:rFonts w:ascii="Times New Roman" w:hAnsi="Times New Roman" w:cs="Times New Roman"/>
          <w:sz w:val="24"/>
          <w:szCs w:val="24"/>
        </w:rPr>
        <w:t>s</w:t>
      </w:r>
      <w:r w:rsidRPr="001063CA">
        <w:rPr>
          <w:rFonts w:ascii="Times New Roman" w:hAnsi="Times New Roman" w:cs="Times New Roman"/>
          <w:sz w:val="24"/>
          <w:szCs w:val="24"/>
        </w:rPr>
        <w:t xml:space="preserve"> and addressing risk by senior and executive authorities. We </w:t>
      </w:r>
      <w:r w:rsidR="001D760B" w:rsidRPr="001063CA">
        <w:rPr>
          <w:rFonts w:ascii="Times New Roman" w:hAnsi="Times New Roman" w:cs="Times New Roman"/>
          <w:sz w:val="24"/>
          <w:szCs w:val="24"/>
        </w:rPr>
        <w:t xml:space="preserve">recommend that </w:t>
      </w:r>
      <w:r w:rsidRPr="001063CA">
        <w:rPr>
          <w:rFonts w:ascii="Times New Roman" w:hAnsi="Times New Roman" w:cs="Times New Roman"/>
          <w:sz w:val="24"/>
          <w:szCs w:val="24"/>
        </w:rPr>
        <w:t xml:space="preserve">the Minister and the DG intervene </w:t>
      </w:r>
      <w:r w:rsidR="001D760B" w:rsidRPr="001063CA">
        <w:rPr>
          <w:rFonts w:ascii="Times New Roman" w:hAnsi="Times New Roman" w:cs="Times New Roman"/>
          <w:sz w:val="24"/>
          <w:szCs w:val="24"/>
        </w:rPr>
        <w:t xml:space="preserve">more actively to </w:t>
      </w:r>
      <w:r w:rsidRPr="001063CA">
        <w:rPr>
          <w:rFonts w:ascii="Times New Roman" w:hAnsi="Times New Roman" w:cs="Times New Roman"/>
          <w:sz w:val="24"/>
          <w:szCs w:val="24"/>
        </w:rPr>
        <w:lastRenderedPageBreak/>
        <w:t>ensur</w:t>
      </w:r>
      <w:r w:rsidR="001D760B" w:rsidRPr="001063CA">
        <w:rPr>
          <w:rFonts w:ascii="Times New Roman" w:hAnsi="Times New Roman" w:cs="Times New Roman"/>
          <w:sz w:val="24"/>
          <w:szCs w:val="24"/>
        </w:rPr>
        <w:t>e</w:t>
      </w:r>
      <w:r w:rsidRPr="001063CA">
        <w:rPr>
          <w:rFonts w:ascii="Times New Roman" w:hAnsi="Times New Roman" w:cs="Times New Roman"/>
          <w:sz w:val="24"/>
          <w:szCs w:val="24"/>
        </w:rPr>
        <w:t xml:space="preserve"> that there is an awa</w:t>
      </w:r>
      <w:r w:rsidR="00B30106" w:rsidRPr="001063CA">
        <w:rPr>
          <w:rFonts w:ascii="Times New Roman" w:hAnsi="Times New Roman" w:cs="Times New Roman"/>
          <w:sz w:val="24"/>
          <w:szCs w:val="24"/>
        </w:rPr>
        <w:t>reness of the urgency of the AGSA</w:t>
      </w:r>
      <w:r w:rsidRPr="001063CA">
        <w:rPr>
          <w:rFonts w:ascii="Times New Roman" w:hAnsi="Times New Roman" w:cs="Times New Roman"/>
          <w:sz w:val="24"/>
          <w:szCs w:val="24"/>
        </w:rPr>
        <w:t xml:space="preserve"> messages of improving internal controls and risk management.  </w:t>
      </w:r>
    </w:p>
    <w:p w14:paraId="098A5419" w14:textId="77777777" w:rsidR="006926F5" w:rsidRPr="001063CA" w:rsidRDefault="006926F5" w:rsidP="001063CA">
      <w:pPr>
        <w:spacing w:line="360" w:lineRule="auto"/>
        <w:ind w:left="720" w:hanging="720"/>
        <w:rPr>
          <w:rFonts w:ascii="Times New Roman" w:hAnsi="Times New Roman" w:cs="Times New Roman"/>
          <w:sz w:val="24"/>
          <w:szCs w:val="24"/>
        </w:rPr>
      </w:pPr>
    </w:p>
    <w:p w14:paraId="1AC8EAA6" w14:textId="77777777" w:rsidR="006926F5" w:rsidRPr="001063CA" w:rsidRDefault="006926F5" w:rsidP="001063CA">
      <w:pPr>
        <w:spacing w:line="360" w:lineRule="auto"/>
        <w:ind w:left="720" w:hanging="720"/>
        <w:rPr>
          <w:rFonts w:ascii="Times New Roman" w:hAnsi="Times New Roman" w:cs="Times New Roman"/>
          <w:sz w:val="24"/>
          <w:szCs w:val="24"/>
        </w:rPr>
      </w:pPr>
      <w:r w:rsidRPr="001063CA">
        <w:rPr>
          <w:rFonts w:ascii="Times New Roman" w:hAnsi="Times New Roman" w:cs="Times New Roman"/>
          <w:sz w:val="24"/>
          <w:szCs w:val="24"/>
        </w:rPr>
        <w:t>8.</w:t>
      </w:r>
      <w:r w:rsidR="003B2121" w:rsidRPr="001063CA">
        <w:rPr>
          <w:rFonts w:ascii="Times New Roman" w:hAnsi="Times New Roman" w:cs="Times New Roman"/>
          <w:sz w:val="24"/>
          <w:szCs w:val="24"/>
        </w:rPr>
        <w:t>5</w:t>
      </w:r>
      <w:r w:rsidRPr="001063CA">
        <w:rPr>
          <w:rFonts w:ascii="Times New Roman" w:hAnsi="Times New Roman" w:cs="Times New Roman"/>
          <w:sz w:val="24"/>
          <w:szCs w:val="24"/>
        </w:rPr>
        <w:tab/>
        <w:t xml:space="preserve">The Committee is concerned about fruitless, wasteful and irregular expenditure. Fruitless and wasteful expenditure increased from R2 million </w:t>
      </w:r>
      <w:r w:rsidR="003B2121" w:rsidRPr="001063CA">
        <w:rPr>
          <w:rFonts w:ascii="Times New Roman" w:hAnsi="Times New Roman" w:cs="Times New Roman"/>
          <w:sz w:val="24"/>
          <w:szCs w:val="24"/>
        </w:rPr>
        <w:t>(</w:t>
      </w:r>
      <w:r w:rsidRPr="001063CA">
        <w:rPr>
          <w:rFonts w:ascii="Times New Roman" w:hAnsi="Times New Roman" w:cs="Times New Roman"/>
          <w:sz w:val="24"/>
          <w:szCs w:val="24"/>
        </w:rPr>
        <w:t>2015/16</w:t>
      </w:r>
      <w:r w:rsidR="003B2121" w:rsidRPr="001063CA">
        <w:rPr>
          <w:rFonts w:ascii="Times New Roman" w:hAnsi="Times New Roman" w:cs="Times New Roman"/>
          <w:sz w:val="24"/>
          <w:szCs w:val="24"/>
        </w:rPr>
        <w:t>) to R69.6 million in (201</w:t>
      </w:r>
      <w:r w:rsidRPr="001063CA">
        <w:rPr>
          <w:rFonts w:ascii="Times New Roman" w:hAnsi="Times New Roman" w:cs="Times New Roman"/>
          <w:sz w:val="24"/>
          <w:szCs w:val="24"/>
        </w:rPr>
        <w:t>6/17</w:t>
      </w:r>
      <w:r w:rsidR="003B2121" w:rsidRPr="001063CA">
        <w:rPr>
          <w:rFonts w:ascii="Times New Roman" w:hAnsi="Times New Roman" w:cs="Times New Roman"/>
          <w:sz w:val="24"/>
          <w:szCs w:val="24"/>
        </w:rPr>
        <w:t>)</w:t>
      </w:r>
      <w:r w:rsidRPr="001063CA">
        <w:rPr>
          <w:rFonts w:ascii="Times New Roman" w:hAnsi="Times New Roman" w:cs="Times New Roman"/>
          <w:sz w:val="24"/>
          <w:szCs w:val="24"/>
        </w:rPr>
        <w:t xml:space="preserve"> and irregular expenditure from R66 million to R140 million</w:t>
      </w:r>
      <w:r w:rsidR="003B2121" w:rsidRPr="001063CA">
        <w:rPr>
          <w:rFonts w:ascii="Times New Roman" w:hAnsi="Times New Roman" w:cs="Times New Roman"/>
          <w:sz w:val="24"/>
          <w:szCs w:val="24"/>
        </w:rPr>
        <w:t>, over the same period</w:t>
      </w:r>
      <w:r w:rsidRPr="001063CA">
        <w:rPr>
          <w:rFonts w:ascii="Times New Roman" w:hAnsi="Times New Roman" w:cs="Times New Roman"/>
          <w:sz w:val="24"/>
          <w:szCs w:val="24"/>
        </w:rPr>
        <w:t xml:space="preserve">. The </w:t>
      </w:r>
      <w:r w:rsidR="00B30106" w:rsidRPr="001063CA">
        <w:rPr>
          <w:rFonts w:ascii="Times New Roman" w:hAnsi="Times New Roman" w:cs="Times New Roman"/>
          <w:sz w:val="24"/>
          <w:szCs w:val="24"/>
        </w:rPr>
        <w:t xml:space="preserve">increase in </w:t>
      </w:r>
      <w:r w:rsidRPr="001063CA">
        <w:rPr>
          <w:rFonts w:ascii="Times New Roman" w:hAnsi="Times New Roman" w:cs="Times New Roman"/>
          <w:sz w:val="24"/>
          <w:szCs w:val="24"/>
        </w:rPr>
        <w:t xml:space="preserve">fruitless and wasteful expenditure </w:t>
      </w:r>
      <w:r w:rsidR="00B30106" w:rsidRPr="001063CA">
        <w:rPr>
          <w:rFonts w:ascii="Times New Roman" w:hAnsi="Times New Roman" w:cs="Times New Roman"/>
          <w:sz w:val="24"/>
          <w:szCs w:val="24"/>
        </w:rPr>
        <w:t xml:space="preserve">mainly due </w:t>
      </w:r>
      <w:r w:rsidRPr="001063CA">
        <w:rPr>
          <w:rFonts w:ascii="Times New Roman" w:hAnsi="Times New Roman" w:cs="Times New Roman"/>
          <w:sz w:val="24"/>
          <w:szCs w:val="24"/>
        </w:rPr>
        <w:t>to the IFMS project is of particular concern as it relates to payment</w:t>
      </w:r>
      <w:r w:rsidR="001D760B" w:rsidRPr="001063CA">
        <w:rPr>
          <w:rFonts w:ascii="Times New Roman" w:hAnsi="Times New Roman" w:cs="Times New Roman"/>
          <w:sz w:val="24"/>
          <w:szCs w:val="24"/>
        </w:rPr>
        <w:t>s</w:t>
      </w:r>
      <w:r w:rsidR="00887CA0" w:rsidRPr="001063CA">
        <w:rPr>
          <w:rFonts w:ascii="Times New Roman" w:hAnsi="Times New Roman" w:cs="Times New Roman"/>
          <w:sz w:val="24"/>
          <w:szCs w:val="24"/>
        </w:rPr>
        <w:t xml:space="preserve"> (R67 million)</w:t>
      </w:r>
      <w:r w:rsidRPr="001063CA">
        <w:rPr>
          <w:rFonts w:ascii="Times New Roman" w:hAnsi="Times New Roman" w:cs="Times New Roman"/>
          <w:sz w:val="24"/>
          <w:szCs w:val="24"/>
        </w:rPr>
        <w:t xml:space="preserve"> to Oracle for services that have not yet been rendered. The Committee was informed by the DG that investigations </w:t>
      </w:r>
      <w:r w:rsidR="001D760B" w:rsidRPr="001063CA">
        <w:rPr>
          <w:rFonts w:ascii="Times New Roman" w:hAnsi="Times New Roman" w:cs="Times New Roman"/>
          <w:sz w:val="24"/>
          <w:szCs w:val="24"/>
        </w:rPr>
        <w:t xml:space="preserve">on </w:t>
      </w:r>
      <w:r w:rsidR="00B30106" w:rsidRPr="001063CA">
        <w:rPr>
          <w:rFonts w:ascii="Times New Roman" w:hAnsi="Times New Roman" w:cs="Times New Roman"/>
          <w:sz w:val="24"/>
          <w:szCs w:val="24"/>
        </w:rPr>
        <w:t xml:space="preserve">this and other issues </w:t>
      </w:r>
      <w:r w:rsidRPr="001063CA">
        <w:rPr>
          <w:rFonts w:ascii="Times New Roman" w:hAnsi="Times New Roman" w:cs="Times New Roman"/>
          <w:sz w:val="24"/>
          <w:szCs w:val="24"/>
        </w:rPr>
        <w:t xml:space="preserve">are ongoing. </w:t>
      </w:r>
      <w:r w:rsidR="001D760B" w:rsidRPr="001063CA">
        <w:rPr>
          <w:rFonts w:ascii="Times New Roman" w:hAnsi="Times New Roman" w:cs="Times New Roman"/>
          <w:sz w:val="24"/>
          <w:szCs w:val="24"/>
        </w:rPr>
        <w:t xml:space="preserve">The Committee recommends that </w:t>
      </w:r>
      <w:r w:rsidRPr="001063CA">
        <w:rPr>
          <w:rFonts w:ascii="Times New Roman" w:hAnsi="Times New Roman" w:cs="Times New Roman"/>
          <w:sz w:val="24"/>
          <w:szCs w:val="24"/>
        </w:rPr>
        <w:t xml:space="preserve">these investigations be expedited and </w:t>
      </w:r>
      <w:r w:rsidR="001D760B" w:rsidRPr="001063CA">
        <w:rPr>
          <w:rFonts w:ascii="Times New Roman" w:hAnsi="Times New Roman" w:cs="Times New Roman"/>
          <w:sz w:val="24"/>
          <w:szCs w:val="24"/>
        </w:rPr>
        <w:t xml:space="preserve">we </w:t>
      </w:r>
      <w:r w:rsidRPr="001063CA">
        <w:rPr>
          <w:rFonts w:ascii="Times New Roman" w:hAnsi="Times New Roman" w:cs="Times New Roman"/>
          <w:sz w:val="24"/>
          <w:szCs w:val="24"/>
        </w:rPr>
        <w:t>be briefed</w:t>
      </w:r>
      <w:r w:rsidR="00B30106" w:rsidRPr="001063CA">
        <w:rPr>
          <w:rFonts w:ascii="Times New Roman" w:hAnsi="Times New Roman" w:cs="Times New Roman"/>
          <w:sz w:val="24"/>
          <w:szCs w:val="24"/>
        </w:rPr>
        <w:t>,</w:t>
      </w:r>
      <w:r w:rsidRPr="001063CA">
        <w:rPr>
          <w:rFonts w:ascii="Times New Roman" w:hAnsi="Times New Roman" w:cs="Times New Roman"/>
          <w:sz w:val="24"/>
          <w:szCs w:val="24"/>
        </w:rPr>
        <w:t xml:space="preserve"> </w:t>
      </w:r>
      <w:r w:rsidR="00B30106" w:rsidRPr="001063CA">
        <w:rPr>
          <w:rFonts w:ascii="Times New Roman" w:hAnsi="Times New Roman" w:cs="Times New Roman"/>
          <w:sz w:val="24"/>
          <w:szCs w:val="24"/>
        </w:rPr>
        <w:t xml:space="preserve">during </w:t>
      </w:r>
      <w:r w:rsidR="001D760B" w:rsidRPr="001063CA">
        <w:rPr>
          <w:rFonts w:ascii="Times New Roman" w:hAnsi="Times New Roman" w:cs="Times New Roman"/>
          <w:sz w:val="24"/>
          <w:szCs w:val="24"/>
        </w:rPr>
        <w:t xml:space="preserve">NT’s </w:t>
      </w:r>
      <w:r w:rsidR="00B30106" w:rsidRPr="001063CA">
        <w:rPr>
          <w:rFonts w:ascii="Times New Roman" w:hAnsi="Times New Roman" w:cs="Times New Roman"/>
          <w:sz w:val="24"/>
          <w:szCs w:val="24"/>
        </w:rPr>
        <w:t xml:space="preserve">quarterly </w:t>
      </w:r>
      <w:r w:rsidR="00724BA1" w:rsidRPr="001063CA">
        <w:rPr>
          <w:rFonts w:ascii="Times New Roman" w:hAnsi="Times New Roman" w:cs="Times New Roman"/>
          <w:sz w:val="24"/>
          <w:szCs w:val="24"/>
        </w:rPr>
        <w:t>reports to the Committee</w:t>
      </w:r>
      <w:r w:rsidR="001D760B" w:rsidRPr="001063CA">
        <w:rPr>
          <w:rFonts w:ascii="Times New Roman" w:hAnsi="Times New Roman" w:cs="Times New Roman"/>
          <w:sz w:val="24"/>
          <w:szCs w:val="24"/>
        </w:rPr>
        <w:t xml:space="preserve"> on the outcomes.</w:t>
      </w:r>
      <w:r w:rsidRPr="001063CA">
        <w:rPr>
          <w:rFonts w:ascii="Times New Roman" w:hAnsi="Times New Roman" w:cs="Times New Roman"/>
          <w:sz w:val="24"/>
          <w:szCs w:val="24"/>
        </w:rPr>
        <w:t xml:space="preserve"> </w:t>
      </w:r>
    </w:p>
    <w:p w14:paraId="28DE9230" w14:textId="77777777" w:rsidR="006926F5" w:rsidRPr="001063CA" w:rsidRDefault="006926F5" w:rsidP="001063CA">
      <w:pPr>
        <w:spacing w:line="360" w:lineRule="auto"/>
        <w:ind w:left="720" w:hanging="720"/>
        <w:rPr>
          <w:rFonts w:ascii="Times New Roman" w:hAnsi="Times New Roman" w:cs="Times New Roman"/>
          <w:sz w:val="24"/>
          <w:szCs w:val="24"/>
        </w:rPr>
      </w:pPr>
    </w:p>
    <w:p w14:paraId="7D9AF188" w14:textId="77777777" w:rsidR="006926F5" w:rsidRPr="001063CA" w:rsidRDefault="00B30106" w:rsidP="001063CA">
      <w:pPr>
        <w:spacing w:line="360" w:lineRule="auto"/>
        <w:ind w:left="720" w:hanging="720"/>
        <w:rPr>
          <w:rFonts w:ascii="Times New Roman" w:hAnsi="Times New Roman" w:cs="Times New Roman"/>
          <w:sz w:val="24"/>
          <w:szCs w:val="24"/>
        </w:rPr>
      </w:pPr>
      <w:r w:rsidRPr="001063CA">
        <w:rPr>
          <w:rFonts w:ascii="Times New Roman" w:hAnsi="Times New Roman" w:cs="Times New Roman"/>
          <w:sz w:val="24"/>
          <w:szCs w:val="24"/>
        </w:rPr>
        <w:t>8.</w:t>
      </w:r>
      <w:r w:rsidR="00C765DC" w:rsidRPr="001063CA">
        <w:rPr>
          <w:rFonts w:ascii="Times New Roman" w:hAnsi="Times New Roman" w:cs="Times New Roman"/>
          <w:sz w:val="24"/>
          <w:szCs w:val="24"/>
        </w:rPr>
        <w:t>6</w:t>
      </w:r>
      <w:r w:rsidR="006926F5" w:rsidRPr="001063CA">
        <w:rPr>
          <w:rFonts w:ascii="Times New Roman" w:hAnsi="Times New Roman" w:cs="Times New Roman"/>
          <w:sz w:val="24"/>
          <w:szCs w:val="24"/>
        </w:rPr>
        <w:tab/>
      </w:r>
      <w:r w:rsidR="00887CA0" w:rsidRPr="001063CA">
        <w:rPr>
          <w:rFonts w:ascii="Times New Roman" w:hAnsi="Times New Roman" w:cs="Times New Roman"/>
          <w:sz w:val="24"/>
          <w:szCs w:val="24"/>
        </w:rPr>
        <w:t>The Committee</w:t>
      </w:r>
      <w:r w:rsidR="006926F5" w:rsidRPr="001063CA">
        <w:rPr>
          <w:rFonts w:ascii="Times New Roman" w:hAnsi="Times New Roman" w:cs="Times New Roman"/>
          <w:sz w:val="24"/>
          <w:szCs w:val="24"/>
        </w:rPr>
        <w:t xml:space="preserve"> note</w:t>
      </w:r>
      <w:r w:rsidR="00887CA0" w:rsidRPr="001063CA">
        <w:rPr>
          <w:rFonts w:ascii="Times New Roman" w:hAnsi="Times New Roman" w:cs="Times New Roman"/>
          <w:sz w:val="24"/>
          <w:szCs w:val="24"/>
        </w:rPr>
        <w:t>s</w:t>
      </w:r>
      <w:r w:rsidR="006926F5" w:rsidRPr="001063CA">
        <w:rPr>
          <w:rFonts w:ascii="Times New Roman" w:hAnsi="Times New Roman" w:cs="Times New Roman"/>
          <w:sz w:val="24"/>
          <w:szCs w:val="24"/>
        </w:rPr>
        <w:t xml:space="preserve"> the failure by GPAA to achieve some of its targets and the regression of the FFC from an unqualified opinion without findings to an unqualified opinion with findings. The Committee will call </w:t>
      </w:r>
      <w:r w:rsidR="00641750" w:rsidRPr="001063CA">
        <w:rPr>
          <w:rFonts w:ascii="Times New Roman" w:hAnsi="Times New Roman" w:cs="Times New Roman"/>
          <w:sz w:val="24"/>
          <w:szCs w:val="24"/>
        </w:rPr>
        <w:t xml:space="preserve">the </w:t>
      </w:r>
      <w:r w:rsidR="006926F5" w:rsidRPr="001063CA">
        <w:rPr>
          <w:rFonts w:ascii="Times New Roman" w:hAnsi="Times New Roman" w:cs="Times New Roman"/>
          <w:sz w:val="24"/>
          <w:szCs w:val="24"/>
        </w:rPr>
        <w:t xml:space="preserve">GPAA and the FFC to account for these shortcomings.  </w:t>
      </w:r>
    </w:p>
    <w:p w14:paraId="3C30F427" w14:textId="77777777" w:rsidR="006926F5" w:rsidRPr="001063CA" w:rsidRDefault="006926F5" w:rsidP="001063CA">
      <w:pPr>
        <w:spacing w:line="360" w:lineRule="auto"/>
        <w:ind w:left="720" w:hanging="720"/>
        <w:rPr>
          <w:rFonts w:ascii="Times New Roman" w:hAnsi="Times New Roman" w:cs="Times New Roman"/>
          <w:sz w:val="24"/>
          <w:szCs w:val="24"/>
        </w:rPr>
      </w:pPr>
    </w:p>
    <w:p w14:paraId="3D135ED9" w14:textId="77777777" w:rsidR="00641750" w:rsidRPr="001063CA" w:rsidRDefault="00B30106" w:rsidP="001063CA">
      <w:pPr>
        <w:spacing w:line="360" w:lineRule="auto"/>
        <w:ind w:left="720" w:hanging="720"/>
        <w:rPr>
          <w:rFonts w:ascii="Times New Roman" w:hAnsi="Times New Roman" w:cs="Times New Roman"/>
          <w:color w:val="FF0000"/>
          <w:sz w:val="24"/>
          <w:szCs w:val="24"/>
        </w:rPr>
      </w:pPr>
      <w:r w:rsidRPr="001063CA">
        <w:rPr>
          <w:rFonts w:ascii="Times New Roman" w:hAnsi="Times New Roman" w:cs="Times New Roman"/>
          <w:sz w:val="24"/>
          <w:szCs w:val="24"/>
        </w:rPr>
        <w:t>8.</w:t>
      </w:r>
      <w:r w:rsidR="00C765DC" w:rsidRPr="001063CA">
        <w:rPr>
          <w:rFonts w:ascii="Times New Roman" w:hAnsi="Times New Roman" w:cs="Times New Roman"/>
          <w:sz w:val="24"/>
          <w:szCs w:val="24"/>
        </w:rPr>
        <w:t>7</w:t>
      </w:r>
      <w:r w:rsidR="006926F5" w:rsidRPr="001063CA">
        <w:rPr>
          <w:rFonts w:ascii="Times New Roman" w:hAnsi="Times New Roman" w:cs="Times New Roman"/>
          <w:sz w:val="24"/>
          <w:szCs w:val="24"/>
        </w:rPr>
        <w:tab/>
        <w:t>The Committee welcomes the opening of the New Development Banks’</w:t>
      </w:r>
      <w:r w:rsidR="00887CA0" w:rsidRPr="001063CA">
        <w:rPr>
          <w:rFonts w:ascii="Times New Roman" w:hAnsi="Times New Roman" w:cs="Times New Roman"/>
          <w:sz w:val="24"/>
          <w:szCs w:val="24"/>
        </w:rPr>
        <w:t xml:space="preserve"> (NDB)</w:t>
      </w:r>
      <w:r w:rsidR="006926F5" w:rsidRPr="001063CA">
        <w:rPr>
          <w:rFonts w:ascii="Times New Roman" w:hAnsi="Times New Roman" w:cs="Times New Roman"/>
          <w:sz w:val="24"/>
          <w:szCs w:val="24"/>
        </w:rPr>
        <w:t xml:space="preserve"> Africa Regional Centre and believes that it </w:t>
      </w:r>
      <w:r w:rsidR="00641750" w:rsidRPr="001063CA">
        <w:rPr>
          <w:rFonts w:ascii="Times New Roman" w:hAnsi="Times New Roman" w:cs="Times New Roman"/>
          <w:sz w:val="24"/>
          <w:szCs w:val="24"/>
        </w:rPr>
        <w:t xml:space="preserve">should provide loans for infrastructure on much better terms than other multi-lateral institutions. </w:t>
      </w:r>
      <w:r w:rsidR="006926F5" w:rsidRPr="001063CA">
        <w:rPr>
          <w:rFonts w:ascii="Times New Roman" w:hAnsi="Times New Roman" w:cs="Times New Roman"/>
          <w:color w:val="000000" w:themeColor="text1"/>
          <w:sz w:val="24"/>
          <w:szCs w:val="24"/>
        </w:rPr>
        <w:t xml:space="preserve">The Committee however notes that the money used by NT to pay for </w:t>
      </w:r>
      <w:r w:rsidR="00887CA0" w:rsidRPr="001063CA">
        <w:rPr>
          <w:rFonts w:ascii="Times New Roman" w:hAnsi="Times New Roman" w:cs="Times New Roman"/>
          <w:color w:val="000000" w:themeColor="text1"/>
          <w:sz w:val="24"/>
          <w:szCs w:val="24"/>
        </w:rPr>
        <w:t xml:space="preserve">the </w:t>
      </w:r>
      <w:r w:rsidR="006926F5" w:rsidRPr="001063CA">
        <w:rPr>
          <w:rFonts w:ascii="Times New Roman" w:hAnsi="Times New Roman" w:cs="Times New Roman"/>
          <w:color w:val="000000" w:themeColor="text1"/>
          <w:sz w:val="24"/>
          <w:szCs w:val="24"/>
        </w:rPr>
        <w:t xml:space="preserve">rent of the </w:t>
      </w:r>
      <w:r w:rsidR="00887CA0" w:rsidRPr="001063CA">
        <w:rPr>
          <w:rFonts w:ascii="Times New Roman" w:hAnsi="Times New Roman" w:cs="Times New Roman"/>
          <w:color w:val="000000" w:themeColor="text1"/>
          <w:sz w:val="24"/>
          <w:szCs w:val="24"/>
        </w:rPr>
        <w:t>ND</w:t>
      </w:r>
      <w:r w:rsidR="006926F5" w:rsidRPr="001063CA">
        <w:rPr>
          <w:rFonts w:ascii="Times New Roman" w:hAnsi="Times New Roman" w:cs="Times New Roman"/>
          <w:color w:val="000000" w:themeColor="text1"/>
          <w:sz w:val="24"/>
          <w:szCs w:val="24"/>
        </w:rPr>
        <w:t xml:space="preserve">B premises was </w:t>
      </w:r>
      <w:r w:rsidR="00887CA0" w:rsidRPr="001063CA">
        <w:rPr>
          <w:rFonts w:ascii="Times New Roman" w:hAnsi="Times New Roman" w:cs="Times New Roman"/>
          <w:color w:val="000000" w:themeColor="text1"/>
          <w:sz w:val="24"/>
          <w:szCs w:val="24"/>
        </w:rPr>
        <w:t xml:space="preserve">found to have been </w:t>
      </w:r>
      <w:r w:rsidR="006926F5" w:rsidRPr="001063CA">
        <w:rPr>
          <w:rFonts w:ascii="Times New Roman" w:hAnsi="Times New Roman" w:cs="Times New Roman"/>
          <w:color w:val="000000" w:themeColor="text1"/>
          <w:sz w:val="24"/>
          <w:szCs w:val="24"/>
        </w:rPr>
        <w:t>fruitless and wasteful expenditure by the AG</w:t>
      </w:r>
      <w:r w:rsidR="00887CA0" w:rsidRPr="001063CA">
        <w:rPr>
          <w:rFonts w:ascii="Times New Roman" w:hAnsi="Times New Roman" w:cs="Times New Roman"/>
          <w:color w:val="000000" w:themeColor="text1"/>
          <w:sz w:val="24"/>
          <w:szCs w:val="24"/>
        </w:rPr>
        <w:t>SA</w:t>
      </w:r>
      <w:r w:rsidR="006926F5" w:rsidRPr="001063CA">
        <w:rPr>
          <w:rFonts w:ascii="Times New Roman" w:hAnsi="Times New Roman" w:cs="Times New Roman"/>
          <w:color w:val="000000" w:themeColor="text1"/>
          <w:sz w:val="24"/>
          <w:szCs w:val="24"/>
        </w:rPr>
        <w:t xml:space="preserve">. The Committee </w:t>
      </w:r>
      <w:r w:rsidR="00641750" w:rsidRPr="001063CA">
        <w:rPr>
          <w:rFonts w:ascii="Times New Roman" w:hAnsi="Times New Roman" w:cs="Times New Roman"/>
          <w:color w:val="000000" w:themeColor="text1"/>
          <w:sz w:val="24"/>
          <w:szCs w:val="24"/>
        </w:rPr>
        <w:t>requires NT to brief it on this at its next Quarterly Report.</w:t>
      </w:r>
    </w:p>
    <w:p w14:paraId="2B2A8D24" w14:textId="77777777" w:rsidR="00641750" w:rsidRPr="001063CA" w:rsidRDefault="00641750" w:rsidP="001063CA">
      <w:pPr>
        <w:spacing w:line="360" w:lineRule="auto"/>
        <w:ind w:left="720" w:hanging="720"/>
        <w:rPr>
          <w:rFonts w:ascii="Times New Roman" w:hAnsi="Times New Roman" w:cs="Times New Roman"/>
          <w:color w:val="FF0000"/>
          <w:sz w:val="24"/>
          <w:szCs w:val="24"/>
        </w:rPr>
      </w:pPr>
    </w:p>
    <w:p w14:paraId="1A755D8C" w14:textId="77777777" w:rsidR="006926F5" w:rsidRPr="001063CA" w:rsidRDefault="00C765DC" w:rsidP="001063CA">
      <w:pPr>
        <w:spacing w:line="360" w:lineRule="auto"/>
        <w:ind w:left="720" w:hanging="720"/>
        <w:rPr>
          <w:rFonts w:ascii="Times New Roman" w:hAnsi="Times New Roman" w:cs="Times New Roman"/>
          <w:sz w:val="24"/>
          <w:szCs w:val="24"/>
        </w:rPr>
      </w:pPr>
      <w:r w:rsidRPr="001063CA">
        <w:rPr>
          <w:rFonts w:ascii="Times New Roman" w:hAnsi="Times New Roman" w:cs="Times New Roman"/>
          <w:color w:val="000000" w:themeColor="text1"/>
          <w:sz w:val="24"/>
          <w:szCs w:val="24"/>
        </w:rPr>
        <w:t>8</w:t>
      </w:r>
      <w:r w:rsidR="00B30106" w:rsidRPr="001063CA">
        <w:rPr>
          <w:rFonts w:ascii="Times New Roman" w:hAnsi="Times New Roman" w:cs="Times New Roman"/>
          <w:color w:val="000000" w:themeColor="text1"/>
          <w:sz w:val="24"/>
          <w:szCs w:val="24"/>
        </w:rPr>
        <w:t>.</w:t>
      </w:r>
      <w:r w:rsidRPr="001063CA">
        <w:rPr>
          <w:rFonts w:ascii="Times New Roman" w:hAnsi="Times New Roman" w:cs="Times New Roman"/>
          <w:color w:val="000000" w:themeColor="text1"/>
          <w:sz w:val="24"/>
          <w:szCs w:val="24"/>
        </w:rPr>
        <w:t>8</w:t>
      </w:r>
      <w:r w:rsidR="006926F5" w:rsidRPr="001063CA">
        <w:rPr>
          <w:rFonts w:ascii="Times New Roman" w:hAnsi="Times New Roman" w:cs="Times New Roman"/>
          <w:sz w:val="24"/>
          <w:szCs w:val="24"/>
        </w:rPr>
        <w:tab/>
        <w:t xml:space="preserve">The Committee welcomes the auditing of SAA by the AGSA, </w:t>
      </w:r>
      <w:r w:rsidR="00641750" w:rsidRPr="001063CA">
        <w:rPr>
          <w:rFonts w:ascii="Times New Roman" w:hAnsi="Times New Roman" w:cs="Times New Roman"/>
          <w:sz w:val="24"/>
          <w:szCs w:val="24"/>
        </w:rPr>
        <w:t xml:space="preserve">which is what we had previously </w:t>
      </w:r>
      <w:r w:rsidR="006926F5" w:rsidRPr="001063CA">
        <w:rPr>
          <w:rFonts w:ascii="Times New Roman" w:hAnsi="Times New Roman" w:cs="Times New Roman"/>
          <w:sz w:val="24"/>
          <w:szCs w:val="24"/>
        </w:rPr>
        <w:t>recommended</w:t>
      </w:r>
      <w:r w:rsidR="00641750" w:rsidRPr="001063CA">
        <w:rPr>
          <w:rFonts w:ascii="Times New Roman" w:hAnsi="Times New Roman" w:cs="Times New Roman"/>
          <w:sz w:val="24"/>
          <w:szCs w:val="24"/>
        </w:rPr>
        <w:t>.</w:t>
      </w:r>
      <w:r w:rsidR="006926F5" w:rsidRPr="001063CA">
        <w:rPr>
          <w:rFonts w:ascii="Times New Roman" w:hAnsi="Times New Roman" w:cs="Times New Roman"/>
          <w:sz w:val="24"/>
          <w:szCs w:val="24"/>
        </w:rPr>
        <w:t xml:space="preserve"> We believe that </w:t>
      </w:r>
      <w:r w:rsidR="00641750" w:rsidRPr="001063CA">
        <w:rPr>
          <w:rFonts w:ascii="Times New Roman" w:hAnsi="Times New Roman" w:cs="Times New Roman"/>
          <w:sz w:val="24"/>
          <w:szCs w:val="24"/>
        </w:rPr>
        <w:t>as far as possible</w:t>
      </w:r>
      <w:r w:rsidR="006926F5" w:rsidRPr="001063CA">
        <w:rPr>
          <w:rFonts w:ascii="Times New Roman" w:hAnsi="Times New Roman" w:cs="Times New Roman"/>
          <w:sz w:val="24"/>
          <w:szCs w:val="24"/>
        </w:rPr>
        <w:t xml:space="preserve"> SOEs should be audited by the AGSA</w:t>
      </w:r>
      <w:r w:rsidR="00641750" w:rsidRPr="001063CA">
        <w:rPr>
          <w:rFonts w:ascii="Times New Roman" w:hAnsi="Times New Roman" w:cs="Times New Roman"/>
          <w:sz w:val="24"/>
          <w:szCs w:val="24"/>
        </w:rPr>
        <w:t>.</w:t>
      </w:r>
      <w:r w:rsidR="006926F5" w:rsidRPr="001063CA">
        <w:rPr>
          <w:rFonts w:ascii="Times New Roman" w:hAnsi="Times New Roman" w:cs="Times New Roman"/>
          <w:sz w:val="24"/>
          <w:szCs w:val="24"/>
        </w:rPr>
        <w:t xml:space="preserve"> We are </w:t>
      </w:r>
      <w:r w:rsidR="00641750" w:rsidRPr="001063CA">
        <w:rPr>
          <w:rFonts w:ascii="Times New Roman" w:hAnsi="Times New Roman" w:cs="Times New Roman"/>
          <w:sz w:val="24"/>
          <w:szCs w:val="24"/>
        </w:rPr>
        <w:t xml:space="preserve">concerned </w:t>
      </w:r>
      <w:r w:rsidR="00202833" w:rsidRPr="001063CA">
        <w:rPr>
          <w:rFonts w:ascii="Times New Roman" w:hAnsi="Times New Roman" w:cs="Times New Roman"/>
          <w:sz w:val="24"/>
          <w:szCs w:val="24"/>
        </w:rPr>
        <w:t>that SAA has</w:t>
      </w:r>
      <w:r w:rsidR="006926F5" w:rsidRPr="001063CA">
        <w:rPr>
          <w:rFonts w:ascii="Times New Roman" w:hAnsi="Times New Roman" w:cs="Times New Roman"/>
          <w:sz w:val="24"/>
          <w:szCs w:val="24"/>
        </w:rPr>
        <w:t xml:space="preserve"> not submitted its financial statements </w:t>
      </w:r>
      <w:r w:rsidR="00202833" w:rsidRPr="001063CA">
        <w:rPr>
          <w:rFonts w:ascii="Times New Roman" w:hAnsi="Times New Roman" w:cs="Times New Roman"/>
          <w:sz w:val="24"/>
          <w:szCs w:val="24"/>
        </w:rPr>
        <w:t xml:space="preserve">for auditing </w:t>
      </w:r>
      <w:r w:rsidR="006926F5" w:rsidRPr="001063CA">
        <w:rPr>
          <w:rFonts w:ascii="Times New Roman" w:hAnsi="Times New Roman" w:cs="Times New Roman"/>
          <w:sz w:val="24"/>
          <w:szCs w:val="24"/>
        </w:rPr>
        <w:t xml:space="preserve">to the AGSA. We believe that the </w:t>
      </w:r>
      <w:r w:rsidR="00202833" w:rsidRPr="001063CA">
        <w:rPr>
          <w:rFonts w:ascii="Times New Roman" w:hAnsi="Times New Roman" w:cs="Times New Roman"/>
          <w:sz w:val="24"/>
          <w:szCs w:val="24"/>
        </w:rPr>
        <w:t>‘</w:t>
      </w:r>
      <w:r w:rsidR="006926F5" w:rsidRPr="001063CA">
        <w:rPr>
          <w:rFonts w:ascii="Times New Roman" w:hAnsi="Times New Roman" w:cs="Times New Roman"/>
          <w:sz w:val="24"/>
          <w:szCs w:val="24"/>
        </w:rPr>
        <w:t>going concern</w:t>
      </w:r>
      <w:r w:rsidR="00202833" w:rsidRPr="001063CA">
        <w:rPr>
          <w:rFonts w:ascii="Times New Roman" w:hAnsi="Times New Roman" w:cs="Times New Roman"/>
          <w:sz w:val="24"/>
          <w:szCs w:val="24"/>
        </w:rPr>
        <w:t>’</w:t>
      </w:r>
      <w:r w:rsidR="006926F5" w:rsidRPr="001063CA">
        <w:rPr>
          <w:rFonts w:ascii="Times New Roman" w:hAnsi="Times New Roman" w:cs="Times New Roman"/>
          <w:sz w:val="24"/>
          <w:szCs w:val="24"/>
        </w:rPr>
        <w:t xml:space="preserve"> assumption should not delay the submission of financial statements and the conducting </w:t>
      </w:r>
      <w:r w:rsidR="00202833" w:rsidRPr="001063CA">
        <w:rPr>
          <w:rFonts w:ascii="Times New Roman" w:hAnsi="Times New Roman" w:cs="Times New Roman"/>
          <w:sz w:val="24"/>
          <w:szCs w:val="24"/>
        </w:rPr>
        <w:t>of</w:t>
      </w:r>
      <w:r w:rsidR="006926F5" w:rsidRPr="001063CA">
        <w:rPr>
          <w:rFonts w:ascii="Times New Roman" w:hAnsi="Times New Roman" w:cs="Times New Roman"/>
          <w:sz w:val="24"/>
          <w:szCs w:val="24"/>
        </w:rPr>
        <w:t xml:space="preserve"> audit</w:t>
      </w:r>
      <w:r w:rsidR="00202833" w:rsidRPr="001063CA">
        <w:rPr>
          <w:rFonts w:ascii="Times New Roman" w:hAnsi="Times New Roman" w:cs="Times New Roman"/>
          <w:sz w:val="24"/>
          <w:szCs w:val="24"/>
        </w:rPr>
        <w:t>s</w:t>
      </w:r>
      <w:r w:rsidR="006926F5" w:rsidRPr="001063CA">
        <w:rPr>
          <w:rFonts w:ascii="Times New Roman" w:hAnsi="Times New Roman" w:cs="Times New Roman"/>
          <w:sz w:val="24"/>
          <w:szCs w:val="24"/>
        </w:rPr>
        <w:t>.</w:t>
      </w:r>
      <w:r w:rsidRPr="001063CA">
        <w:rPr>
          <w:rFonts w:ascii="Times New Roman" w:hAnsi="Times New Roman" w:cs="Times New Roman"/>
          <w:sz w:val="24"/>
          <w:szCs w:val="24"/>
        </w:rPr>
        <w:t xml:space="preserve"> The Committee believes that the SAA AGM should be held on 3 November as proposed by NT.</w:t>
      </w:r>
    </w:p>
    <w:p w14:paraId="23927191" w14:textId="77777777" w:rsidR="006926F5" w:rsidRPr="001063CA" w:rsidRDefault="006926F5" w:rsidP="001063CA">
      <w:pPr>
        <w:spacing w:line="360" w:lineRule="auto"/>
        <w:rPr>
          <w:rFonts w:ascii="Times New Roman" w:hAnsi="Times New Roman" w:cs="Times New Roman"/>
          <w:sz w:val="24"/>
          <w:szCs w:val="24"/>
        </w:rPr>
      </w:pPr>
    </w:p>
    <w:p w14:paraId="441B99DF" w14:textId="77777777" w:rsidR="00B27CAF" w:rsidRPr="001063CA" w:rsidRDefault="00B30106" w:rsidP="001063CA">
      <w:pPr>
        <w:spacing w:line="360" w:lineRule="auto"/>
        <w:ind w:left="720" w:hanging="720"/>
        <w:rPr>
          <w:rFonts w:ascii="Times New Roman" w:hAnsi="Times New Roman" w:cs="Times New Roman"/>
          <w:sz w:val="24"/>
          <w:szCs w:val="24"/>
        </w:rPr>
      </w:pPr>
      <w:r w:rsidRPr="001063CA">
        <w:rPr>
          <w:rFonts w:ascii="Times New Roman" w:hAnsi="Times New Roman" w:cs="Times New Roman"/>
          <w:sz w:val="24"/>
          <w:szCs w:val="24"/>
        </w:rPr>
        <w:lastRenderedPageBreak/>
        <w:t>8.</w:t>
      </w:r>
      <w:r w:rsidR="00987709" w:rsidRPr="001063CA">
        <w:rPr>
          <w:rFonts w:ascii="Times New Roman" w:hAnsi="Times New Roman" w:cs="Times New Roman"/>
          <w:sz w:val="24"/>
          <w:szCs w:val="24"/>
        </w:rPr>
        <w:t>9</w:t>
      </w:r>
      <w:r w:rsidR="006926F5" w:rsidRPr="001063CA">
        <w:rPr>
          <w:rFonts w:ascii="Times New Roman" w:hAnsi="Times New Roman" w:cs="Times New Roman"/>
          <w:sz w:val="24"/>
          <w:szCs w:val="24"/>
        </w:rPr>
        <w:tab/>
        <w:t xml:space="preserve">The Committee notes the decision of NT and the Minister of Finance to bail out SAA through the utilisation of emergency reserves as per section 16 of the PFMA. The Committee </w:t>
      </w:r>
      <w:r w:rsidR="000513A4" w:rsidRPr="001063CA">
        <w:rPr>
          <w:rFonts w:ascii="Times New Roman" w:hAnsi="Times New Roman" w:cs="Times New Roman"/>
          <w:sz w:val="24"/>
          <w:szCs w:val="24"/>
        </w:rPr>
        <w:t xml:space="preserve">requested Parliament’s Legal Services Unit to </w:t>
      </w:r>
      <w:r w:rsidR="00B27CAF" w:rsidRPr="001063CA">
        <w:rPr>
          <w:rFonts w:ascii="Times New Roman" w:hAnsi="Times New Roman" w:cs="Times New Roman"/>
          <w:sz w:val="24"/>
          <w:szCs w:val="24"/>
        </w:rPr>
        <w:t>provide an opinion on the legality of the use of section 16 for this.</w:t>
      </w:r>
      <w:r w:rsidR="00FE746A" w:rsidRPr="001063CA">
        <w:rPr>
          <w:rFonts w:ascii="Times New Roman" w:hAnsi="Times New Roman" w:cs="Times New Roman"/>
          <w:sz w:val="24"/>
          <w:szCs w:val="24"/>
        </w:rPr>
        <w:t xml:space="preserve"> The legal opinion noted that </w:t>
      </w:r>
      <w:r w:rsidR="00005716" w:rsidRPr="001063CA">
        <w:rPr>
          <w:rFonts w:ascii="Times New Roman" w:hAnsi="Times New Roman" w:cs="Times New Roman"/>
          <w:sz w:val="24"/>
          <w:szCs w:val="24"/>
        </w:rPr>
        <w:t>“</w:t>
      </w:r>
      <w:r w:rsidR="00FE746A" w:rsidRPr="001063CA">
        <w:rPr>
          <w:rFonts w:ascii="Times New Roman" w:hAnsi="Times New Roman" w:cs="Times New Roman"/>
          <w:sz w:val="24"/>
          <w:szCs w:val="24"/>
        </w:rPr>
        <w:t>Section 16 is intended to be used in circumstances where good financial planning and management could not avert the need for exceptional or unusual expenditure.  The use of this provision by the Minister of Finance for the reasons set out in the Report to Parliament and the Auditor-General does not appear to be exceptional or unusual as the expenditure was foreseeable and has been made in the past. Clearly there was a need to authorise the expenditure as a default on the debt obligations of SAA would have serious prejudice to public interest. However, this should have been done by way of a special appropriation Bill. Whether the use of section 16 was irregular or unlawful in this instance must be con</w:t>
      </w:r>
      <w:r w:rsidR="0006747B" w:rsidRPr="001063CA">
        <w:rPr>
          <w:rFonts w:ascii="Times New Roman" w:hAnsi="Times New Roman" w:cs="Times New Roman"/>
          <w:sz w:val="24"/>
          <w:szCs w:val="24"/>
        </w:rPr>
        <w:t>sidered by the Auditor-General.</w:t>
      </w:r>
      <w:r w:rsidR="00005716" w:rsidRPr="001063CA">
        <w:rPr>
          <w:rFonts w:ascii="Times New Roman" w:hAnsi="Times New Roman" w:cs="Times New Roman"/>
          <w:sz w:val="24"/>
          <w:szCs w:val="24"/>
        </w:rPr>
        <w:t>“</w:t>
      </w:r>
      <w:r w:rsidR="00FE746A" w:rsidRPr="001063CA">
        <w:rPr>
          <w:rFonts w:ascii="Times New Roman" w:hAnsi="Times New Roman" w:cs="Times New Roman"/>
          <w:sz w:val="24"/>
          <w:szCs w:val="24"/>
        </w:rPr>
        <w:t xml:space="preserve">   </w:t>
      </w:r>
      <w:r w:rsidR="00005716" w:rsidRPr="001063CA">
        <w:rPr>
          <w:rFonts w:ascii="Times New Roman" w:hAnsi="Times New Roman" w:cs="Times New Roman"/>
          <w:sz w:val="24"/>
          <w:szCs w:val="24"/>
        </w:rPr>
        <w:t xml:space="preserve"> </w:t>
      </w:r>
      <w:r w:rsidR="00B27CAF" w:rsidRPr="001063CA">
        <w:rPr>
          <w:rFonts w:ascii="Times New Roman" w:hAnsi="Times New Roman" w:cs="Times New Roman"/>
          <w:sz w:val="24"/>
          <w:szCs w:val="24"/>
        </w:rPr>
        <w:t>The majority in the Committee believe that the allocation to SAA could have been foreseen and should have been done through an Appropriation Bill, but accept that it was necessary to rescue SAA, otherwise there would have been a call on the total R16,4 billion guarantee exposure.</w:t>
      </w:r>
      <w:r w:rsidR="00A524EE" w:rsidRPr="001063CA">
        <w:rPr>
          <w:rFonts w:ascii="Times New Roman" w:hAnsi="Times New Roman" w:cs="Times New Roman"/>
          <w:sz w:val="24"/>
          <w:szCs w:val="24"/>
        </w:rPr>
        <w:t xml:space="preserve"> </w:t>
      </w:r>
      <w:r w:rsidR="00B27CAF" w:rsidRPr="001063CA">
        <w:rPr>
          <w:rFonts w:ascii="Times New Roman" w:hAnsi="Times New Roman" w:cs="Times New Roman"/>
          <w:sz w:val="24"/>
          <w:szCs w:val="24"/>
        </w:rPr>
        <w:t xml:space="preserve">However, we strongly believe that National Treasury must explain what exactly are the </w:t>
      </w:r>
      <w:r w:rsidR="0006747B" w:rsidRPr="001063CA">
        <w:rPr>
          <w:rFonts w:ascii="Times New Roman" w:hAnsi="Times New Roman" w:cs="Times New Roman"/>
          <w:sz w:val="24"/>
          <w:szCs w:val="24"/>
        </w:rPr>
        <w:t>terms</w:t>
      </w:r>
      <w:r w:rsidR="00A524EE" w:rsidRPr="001063CA">
        <w:rPr>
          <w:rFonts w:ascii="Times New Roman" w:hAnsi="Times New Roman" w:cs="Times New Roman"/>
          <w:sz w:val="24"/>
          <w:szCs w:val="24"/>
        </w:rPr>
        <w:t xml:space="preserve"> on which this money has been</w:t>
      </w:r>
      <w:r w:rsidR="00B27CAF" w:rsidRPr="001063CA">
        <w:rPr>
          <w:rFonts w:ascii="Times New Roman" w:hAnsi="Times New Roman" w:cs="Times New Roman"/>
          <w:sz w:val="24"/>
          <w:szCs w:val="24"/>
        </w:rPr>
        <w:t xml:space="preserve"> g</w:t>
      </w:r>
      <w:r w:rsidR="007753A3" w:rsidRPr="001063CA">
        <w:rPr>
          <w:rFonts w:ascii="Times New Roman" w:hAnsi="Times New Roman" w:cs="Times New Roman"/>
          <w:sz w:val="24"/>
          <w:szCs w:val="24"/>
        </w:rPr>
        <w:t>ranted</w:t>
      </w:r>
      <w:r w:rsidR="00B27CAF" w:rsidRPr="001063CA">
        <w:rPr>
          <w:rFonts w:ascii="Times New Roman" w:hAnsi="Times New Roman" w:cs="Times New Roman"/>
          <w:sz w:val="24"/>
          <w:szCs w:val="24"/>
        </w:rPr>
        <w:t xml:space="preserve">. The Committee reiterates its views that the turnaround strategy should be significantly improved and effectively implemented,  the SAA AGM should be held on 3 November as proposed by Treasury, the current Board Chair’s term should end with the AGM, people with appropriate aviation experience and expertise should be appointed to the Board, the management should be strengthened, and allegations </w:t>
      </w:r>
      <w:r w:rsidR="00A524EE" w:rsidRPr="001063CA">
        <w:rPr>
          <w:rFonts w:ascii="Times New Roman" w:hAnsi="Times New Roman" w:cs="Times New Roman"/>
          <w:sz w:val="24"/>
          <w:szCs w:val="24"/>
        </w:rPr>
        <w:t>of corruption speedily tackled. The Committee will engage with the Appropriations Committee on taking some of these issues forward.</w:t>
      </w:r>
    </w:p>
    <w:p w14:paraId="71EAE3D0" w14:textId="77777777" w:rsidR="006926F5" w:rsidRPr="001063CA" w:rsidRDefault="006926F5" w:rsidP="001063CA">
      <w:pPr>
        <w:spacing w:line="360" w:lineRule="auto"/>
        <w:ind w:left="720" w:hanging="720"/>
        <w:rPr>
          <w:rFonts w:ascii="Times New Roman" w:hAnsi="Times New Roman" w:cs="Times New Roman"/>
          <w:sz w:val="24"/>
          <w:szCs w:val="24"/>
        </w:rPr>
      </w:pPr>
    </w:p>
    <w:p w14:paraId="5B32A0AA" w14:textId="77777777" w:rsidR="00987709" w:rsidRPr="001063CA" w:rsidRDefault="00B30106" w:rsidP="001063CA">
      <w:pPr>
        <w:spacing w:line="360" w:lineRule="auto"/>
        <w:ind w:left="720" w:hanging="720"/>
        <w:rPr>
          <w:rFonts w:ascii="Times New Roman" w:hAnsi="Times New Roman" w:cs="Times New Roman"/>
          <w:sz w:val="24"/>
          <w:szCs w:val="24"/>
        </w:rPr>
      </w:pPr>
      <w:r w:rsidRPr="001063CA">
        <w:rPr>
          <w:rFonts w:ascii="Times New Roman" w:hAnsi="Times New Roman" w:cs="Times New Roman"/>
          <w:sz w:val="24"/>
          <w:szCs w:val="24"/>
        </w:rPr>
        <w:t>8.</w:t>
      </w:r>
      <w:r w:rsidR="00987709" w:rsidRPr="001063CA">
        <w:rPr>
          <w:rFonts w:ascii="Times New Roman" w:hAnsi="Times New Roman" w:cs="Times New Roman"/>
          <w:sz w:val="24"/>
          <w:szCs w:val="24"/>
        </w:rPr>
        <w:t>10</w:t>
      </w:r>
      <w:r w:rsidR="006926F5" w:rsidRPr="001063CA">
        <w:rPr>
          <w:rFonts w:ascii="Times New Roman" w:hAnsi="Times New Roman" w:cs="Times New Roman"/>
          <w:sz w:val="24"/>
          <w:szCs w:val="24"/>
        </w:rPr>
        <w:tab/>
        <w:t>The Committee agrees with the Deputy Minister that the Financial Sector Codes have to be finalised soon to drive inclusive growth and transformation in the financial service</w:t>
      </w:r>
      <w:r w:rsidR="00FA30A2" w:rsidRPr="001063CA">
        <w:rPr>
          <w:rFonts w:ascii="Times New Roman" w:hAnsi="Times New Roman" w:cs="Times New Roman"/>
          <w:sz w:val="24"/>
          <w:szCs w:val="24"/>
        </w:rPr>
        <w:t>s</w:t>
      </w:r>
      <w:r w:rsidR="006926F5" w:rsidRPr="001063CA">
        <w:rPr>
          <w:rFonts w:ascii="Times New Roman" w:hAnsi="Times New Roman" w:cs="Times New Roman"/>
          <w:sz w:val="24"/>
          <w:szCs w:val="24"/>
        </w:rPr>
        <w:t xml:space="preserve"> sector. The Committee, together with the Portfolio Committee on Trade and Industry, has </w:t>
      </w:r>
      <w:r w:rsidR="00A524EE" w:rsidRPr="001063CA">
        <w:rPr>
          <w:rFonts w:ascii="Times New Roman" w:hAnsi="Times New Roman" w:cs="Times New Roman"/>
          <w:sz w:val="24"/>
          <w:szCs w:val="24"/>
        </w:rPr>
        <w:t xml:space="preserve">completed an interim report on the Financial Sector Transformation Hearings it had earlier this year and had sent it to the participants in the hearings for their comments before finalising it soon. The Committee recommends that its observations and recommendations in that report be considered before the Financial Sector Charter is finalised and that relevant issues in the Report be also considered at </w:t>
      </w:r>
      <w:r w:rsidR="00A524EE" w:rsidRPr="001063CA">
        <w:rPr>
          <w:rFonts w:ascii="Times New Roman" w:hAnsi="Times New Roman" w:cs="Times New Roman"/>
          <w:sz w:val="24"/>
          <w:szCs w:val="24"/>
        </w:rPr>
        <w:lastRenderedPageBreak/>
        <w:t xml:space="preserve">the Financial Sector Charter Summit. The Committee believes that </w:t>
      </w:r>
      <w:r w:rsidR="00987709" w:rsidRPr="001063CA">
        <w:rPr>
          <w:rFonts w:ascii="Times New Roman" w:hAnsi="Times New Roman" w:cs="Times New Roman"/>
          <w:sz w:val="24"/>
          <w:szCs w:val="24"/>
        </w:rPr>
        <w:t xml:space="preserve">the NT should not have a tick-box approach to the Summit and prepare properly before it is held. The Committee recommends that the Summit be held in the first quarter of 2018. </w:t>
      </w:r>
    </w:p>
    <w:p w14:paraId="404A8E92" w14:textId="77777777" w:rsidR="006926F5" w:rsidRPr="001063CA" w:rsidRDefault="006926F5" w:rsidP="001063CA">
      <w:pPr>
        <w:spacing w:line="360" w:lineRule="auto"/>
        <w:ind w:left="720" w:hanging="720"/>
        <w:rPr>
          <w:rFonts w:ascii="Times New Roman" w:hAnsi="Times New Roman" w:cs="Times New Roman"/>
          <w:sz w:val="24"/>
          <w:szCs w:val="24"/>
        </w:rPr>
      </w:pPr>
    </w:p>
    <w:p w14:paraId="074C57B3" w14:textId="77777777" w:rsidR="006926F5" w:rsidRPr="001063CA" w:rsidRDefault="00B30106" w:rsidP="001063CA">
      <w:pPr>
        <w:spacing w:line="360" w:lineRule="auto"/>
        <w:ind w:left="720" w:hanging="720"/>
        <w:rPr>
          <w:rFonts w:ascii="Times New Roman" w:hAnsi="Times New Roman" w:cs="Times New Roman"/>
          <w:sz w:val="24"/>
          <w:szCs w:val="24"/>
        </w:rPr>
      </w:pPr>
      <w:r w:rsidRPr="001063CA">
        <w:rPr>
          <w:rFonts w:ascii="Times New Roman" w:hAnsi="Times New Roman" w:cs="Times New Roman"/>
          <w:sz w:val="24"/>
          <w:szCs w:val="24"/>
        </w:rPr>
        <w:t>8.1</w:t>
      </w:r>
      <w:r w:rsidR="00987709" w:rsidRPr="001063CA">
        <w:rPr>
          <w:rFonts w:ascii="Times New Roman" w:hAnsi="Times New Roman" w:cs="Times New Roman"/>
          <w:sz w:val="24"/>
          <w:szCs w:val="24"/>
        </w:rPr>
        <w:t>1</w:t>
      </w:r>
      <w:r w:rsidR="006926F5" w:rsidRPr="001063CA">
        <w:rPr>
          <w:rFonts w:ascii="Times New Roman" w:hAnsi="Times New Roman" w:cs="Times New Roman"/>
          <w:sz w:val="24"/>
          <w:szCs w:val="24"/>
        </w:rPr>
        <w:tab/>
      </w:r>
      <w:r w:rsidR="00987709" w:rsidRPr="001063CA">
        <w:rPr>
          <w:rFonts w:ascii="Times New Roman" w:hAnsi="Times New Roman" w:cs="Times New Roman"/>
          <w:sz w:val="24"/>
          <w:szCs w:val="24"/>
        </w:rPr>
        <w:t>O</w:t>
      </w:r>
      <w:r w:rsidR="006926F5" w:rsidRPr="001063CA">
        <w:rPr>
          <w:rFonts w:ascii="Times New Roman" w:hAnsi="Times New Roman" w:cs="Times New Roman"/>
          <w:sz w:val="24"/>
          <w:szCs w:val="24"/>
        </w:rPr>
        <w:t>ur 2017 NT Budget Vote report</w:t>
      </w:r>
      <w:r w:rsidR="00987709" w:rsidRPr="001063CA">
        <w:rPr>
          <w:rFonts w:ascii="Times New Roman" w:hAnsi="Times New Roman" w:cs="Times New Roman"/>
          <w:sz w:val="24"/>
          <w:szCs w:val="24"/>
        </w:rPr>
        <w:t xml:space="preserve"> noted that </w:t>
      </w:r>
      <w:r w:rsidR="006926F5" w:rsidRPr="001063CA">
        <w:rPr>
          <w:rFonts w:ascii="Times New Roman" w:hAnsi="Times New Roman" w:cs="Times New Roman"/>
          <w:sz w:val="24"/>
          <w:szCs w:val="24"/>
        </w:rPr>
        <w:t xml:space="preserve"> “</w:t>
      </w:r>
      <w:r w:rsidR="00372CE0" w:rsidRPr="001063CA">
        <w:rPr>
          <w:rFonts w:ascii="Times New Roman" w:hAnsi="Times New Roman" w:cs="Times New Roman"/>
          <w:sz w:val="24"/>
          <w:szCs w:val="24"/>
        </w:rPr>
        <w:t>…</w:t>
      </w:r>
      <w:r w:rsidR="006926F5" w:rsidRPr="001063CA">
        <w:rPr>
          <w:rFonts w:ascii="Times New Roman" w:hAnsi="Times New Roman" w:cs="Times New Roman"/>
          <w:sz w:val="24"/>
          <w:szCs w:val="24"/>
        </w:rPr>
        <w:t>government has to “walk the talk” by procuring from black-owned businesses and small and medium enterprises, also because it requires private sector to do this anyway. This must be done in line with the government’s revised preferential procurement policies, incorporating supply chain management reforms that are meant to unlock the effective participation of black businesses, professionals and the marginalised in the economy</w:t>
      </w:r>
      <w:r w:rsidR="00372CE0" w:rsidRPr="001063CA">
        <w:rPr>
          <w:rFonts w:ascii="Times New Roman" w:hAnsi="Times New Roman" w:cs="Times New Roman"/>
          <w:sz w:val="24"/>
          <w:szCs w:val="24"/>
        </w:rPr>
        <w:t>…</w:t>
      </w:r>
      <w:r w:rsidR="006926F5" w:rsidRPr="001063CA">
        <w:rPr>
          <w:rFonts w:ascii="Times New Roman" w:hAnsi="Times New Roman" w:cs="Times New Roman"/>
          <w:sz w:val="24"/>
          <w:szCs w:val="24"/>
        </w:rPr>
        <w:t xml:space="preserve">” The Committee is however concerned that under Programme 5, NT did not meet its target of publishing the Draft Procurement Bill for public comment. We </w:t>
      </w:r>
      <w:r w:rsidR="00987709" w:rsidRPr="001063CA">
        <w:rPr>
          <w:rFonts w:ascii="Times New Roman" w:hAnsi="Times New Roman" w:cs="Times New Roman"/>
          <w:sz w:val="24"/>
          <w:szCs w:val="24"/>
        </w:rPr>
        <w:t xml:space="preserve">recommend </w:t>
      </w:r>
      <w:r w:rsidR="006926F5" w:rsidRPr="001063CA">
        <w:rPr>
          <w:rFonts w:ascii="Times New Roman" w:hAnsi="Times New Roman" w:cs="Times New Roman"/>
          <w:sz w:val="24"/>
          <w:szCs w:val="24"/>
        </w:rPr>
        <w:t>that this process be ex</w:t>
      </w:r>
      <w:r w:rsidR="00372CE0" w:rsidRPr="001063CA">
        <w:rPr>
          <w:rFonts w:ascii="Times New Roman" w:hAnsi="Times New Roman" w:cs="Times New Roman"/>
          <w:sz w:val="24"/>
          <w:szCs w:val="24"/>
        </w:rPr>
        <w:t>pedited</w:t>
      </w:r>
      <w:r w:rsidR="006926F5" w:rsidRPr="001063CA">
        <w:rPr>
          <w:rFonts w:ascii="Times New Roman" w:hAnsi="Times New Roman" w:cs="Times New Roman"/>
          <w:sz w:val="24"/>
          <w:szCs w:val="24"/>
        </w:rPr>
        <w:t xml:space="preserve">. </w:t>
      </w:r>
    </w:p>
    <w:p w14:paraId="16CD2DA5" w14:textId="77777777" w:rsidR="00B30106" w:rsidRPr="001063CA" w:rsidRDefault="00B30106" w:rsidP="001063CA">
      <w:pPr>
        <w:spacing w:line="360" w:lineRule="auto"/>
        <w:ind w:left="720" w:hanging="720"/>
        <w:rPr>
          <w:rFonts w:ascii="Times New Roman" w:hAnsi="Times New Roman" w:cs="Times New Roman"/>
          <w:sz w:val="24"/>
          <w:szCs w:val="24"/>
        </w:rPr>
      </w:pPr>
    </w:p>
    <w:p w14:paraId="585CCE95" w14:textId="77777777" w:rsidR="00A524EE" w:rsidRPr="001063CA" w:rsidRDefault="00167AE1" w:rsidP="001063CA">
      <w:pPr>
        <w:spacing w:line="360" w:lineRule="auto"/>
        <w:ind w:left="720" w:hanging="720"/>
        <w:rPr>
          <w:rFonts w:ascii="Times New Roman" w:hAnsi="Times New Roman" w:cs="Times New Roman"/>
          <w:sz w:val="24"/>
          <w:szCs w:val="24"/>
        </w:rPr>
      </w:pPr>
      <w:r w:rsidRPr="001063CA">
        <w:rPr>
          <w:rFonts w:ascii="Times New Roman" w:hAnsi="Times New Roman" w:cs="Times New Roman"/>
          <w:sz w:val="24"/>
          <w:szCs w:val="24"/>
        </w:rPr>
        <w:t>8.1</w:t>
      </w:r>
      <w:r w:rsidR="00987709" w:rsidRPr="001063CA">
        <w:rPr>
          <w:rFonts w:ascii="Times New Roman" w:hAnsi="Times New Roman" w:cs="Times New Roman"/>
          <w:sz w:val="24"/>
          <w:szCs w:val="24"/>
        </w:rPr>
        <w:t>2</w:t>
      </w:r>
      <w:r w:rsidRPr="001063CA">
        <w:rPr>
          <w:rFonts w:ascii="Times New Roman" w:hAnsi="Times New Roman" w:cs="Times New Roman"/>
          <w:sz w:val="24"/>
          <w:szCs w:val="24"/>
        </w:rPr>
        <w:tab/>
      </w:r>
      <w:r w:rsidR="00987709" w:rsidRPr="001063CA">
        <w:rPr>
          <w:rFonts w:ascii="Times New Roman" w:hAnsi="Times New Roman" w:cs="Times New Roman"/>
          <w:sz w:val="24"/>
          <w:szCs w:val="24"/>
        </w:rPr>
        <w:t>The Committee recommends that c</w:t>
      </w:r>
      <w:r w:rsidRPr="001063CA">
        <w:rPr>
          <w:rFonts w:ascii="Times New Roman" w:hAnsi="Times New Roman" w:cs="Times New Roman"/>
          <w:sz w:val="24"/>
          <w:szCs w:val="24"/>
        </w:rPr>
        <w:t>onsideration</w:t>
      </w:r>
      <w:r w:rsidR="00B30106" w:rsidRPr="001063CA">
        <w:rPr>
          <w:rFonts w:ascii="Times New Roman" w:hAnsi="Times New Roman" w:cs="Times New Roman"/>
          <w:sz w:val="24"/>
          <w:szCs w:val="24"/>
        </w:rPr>
        <w:t xml:space="preserve"> </w:t>
      </w:r>
      <w:r w:rsidRPr="001063CA">
        <w:rPr>
          <w:rFonts w:ascii="Times New Roman" w:hAnsi="Times New Roman" w:cs="Times New Roman"/>
          <w:sz w:val="24"/>
          <w:szCs w:val="24"/>
        </w:rPr>
        <w:t xml:space="preserve">be given to ensuring that the establishment of the Financial Markets Conduct Authority and the Prudential Authority, when implementing the Financial Sector Regulation Act, are aligned with the start of financial year in order to ensure a smooth transition with the auditing cycles of the AGSA.  </w:t>
      </w:r>
    </w:p>
    <w:p w14:paraId="7B6E1A71" w14:textId="77777777" w:rsidR="00641750" w:rsidRPr="001063CA" w:rsidRDefault="00641750" w:rsidP="001063CA">
      <w:pPr>
        <w:spacing w:line="360" w:lineRule="auto"/>
        <w:ind w:left="720" w:hanging="720"/>
        <w:rPr>
          <w:rFonts w:ascii="Times New Roman" w:hAnsi="Times New Roman" w:cs="Times New Roman"/>
          <w:sz w:val="24"/>
          <w:szCs w:val="24"/>
        </w:rPr>
      </w:pPr>
    </w:p>
    <w:p w14:paraId="49F96BF8" w14:textId="77777777" w:rsidR="00641750" w:rsidRPr="001063CA" w:rsidRDefault="00987709" w:rsidP="001063CA">
      <w:pPr>
        <w:spacing w:line="360" w:lineRule="auto"/>
        <w:ind w:left="720" w:hanging="720"/>
        <w:rPr>
          <w:rFonts w:ascii="Times New Roman" w:hAnsi="Times New Roman" w:cs="Times New Roman"/>
          <w:sz w:val="24"/>
          <w:szCs w:val="24"/>
        </w:rPr>
      </w:pPr>
      <w:r w:rsidRPr="001063CA">
        <w:rPr>
          <w:rFonts w:ascii="Times New Roman" w:hAnsi="Times New Roman" w:cs="Times New Roman"/>
          <w:color w:val="000000" w:themeColor="text1"/>
          <w:sz w:val="24"/>
          <w:szCs w:val="24"/>
        </w:rPr>
        <w:t>8.13</w:t>
      </w:r>
      <w:r w:rsidR="00641750" w:rsidRPr="001063CA">
        <w:rPr>
          <w:rFonts w:ascii="Times New Roman" w:hAnsi="Times New Roman" w:cs="Times New Roman"/>
          <w:color w:val="000000" w:themeColor="text1"/>
          <w:sz w:val="24"/>
          <w:szCs w:val="24"/>
        </w:rPr>
        <w:t xml:space="preserve"> </w:t>
      </w:r>
      <w:r w:rsidR="006D22D9" w:rsidRPr="001063CA">
        <w:rPr>
          <w:rFonts w:ascii="Times New Roman" w:hAnsi="Times New Roman" w:cs="Times New Roman"/>
          <w:color w:val="000000" w:themeColor="text1"/>
          <w:sz w:val="24"/>
          <w:szCs w:val="24"/>
        </w:rPr>
        <w:t xml:space="preserve">   </w:t>
      </w:r>
      <w:r w:rsidR="00641750" w:rsidRPr="001063CA">
        <w:rPr>
          <w:rFonts w:ascii="Times New Roman" w:hAnsi="Times New Roman" w:cs="Times New Roman"/>
          <w:sz w:val="24"/>
          <w:szCs w:val="24"/>
        </w:rPr>
        <w:t xml:space="preserve">The Committee believes that auditors should detect wrongdoing, particularly corrupt activities, early-on in their audits. It is unfortunate that </w:t>
      </w:r>
      <w:r w:rsidRPr="001063CA">
        <w:rPr>
          <w:rFonts w:ascii="Times New Roman" w:hAnsi="Times New Roman" w:cs="Times New Roman"/>
          <w:sz w:val="24"/>
          <w:szCs w:val="24"/>
        </w:rPr>
        <w:t xml:space="preserve">the public </w:t>
      </w:r>
      <w:r w:rsidR="00641750" w:rsidRPr="001063CA">
        <w:rPr>
          <w:rFonts w:ascii="Times New Roman" w:hAnsi="Times New Roman" w:cs="Times New Roman"/>
          <w:sz w:val="24"/>
          <w:szCs w:val="24"/>
        </w:rPr>
        <w:t>gets to hear of</w:t>
      </w:r>
      <w:r w:rsidRPr="001063CA">
        <w:rPr>
          <w:rFonts w:ascii="Times New Roman" w:hAnsi="Times New Roman" w:cs="Times New Roman"/>
          <w:sz w:val="24"/>
          <w:szCs w:val="24"/>
        </w:rPr>
        <w:t xml:space="preserve"> major cases of corruption </w:t>
      </w:r>
      <w:r w:rsidR="00641750" w:rsidRPr="001063CA">
        <w:rPr>
          <w:rFonts w:ascii="Times New Roman" w:hAnsi="Times New Roman" w:cs="Times New Roman"/>
          <w:sz w:val="24"/>
          <w:szCs w:val="24"/>
        </w:rPr>
        <w:t xml:space="preserve">after auditees were </w:t>
      </w:r>
      <w:r w:rsidRPr="001063CA">
        <w:rPr>
          <w:rFonts w:ascii="Times New Roman" w:hAnsi="Times New Roman" w:cs="Times New Roman"/>
          <w:sz w:val="24"/>
          <w:szCs w:val="24"/>
        </w:rPr>
        <w:t xml:space="preserve">constantly </w:t>
      </w:r>
      <w:r w:rsidR="00641750" w:rsidRPr="001063CA">
        <w:rPr>
          <w:rFonts w:ascii="Times New Roman" w:hAnsi="Times New Roman" w:cs="Times New Roman"/>
          <w:sz w:val="24"/>
          <w:szCs w:val="24"/>
        </w:rPr>
        <w:t xml:space="preserve">receiving clean audits. This raises serious questions about the adequacy of the role of auditors in detecting particularly corruption, including illicit financial flows. The Committee is monitoring developments within the auditing profession and was recently briefed by IRBA on its KPMG investigation. Consideration should be given to enhancing the audit processes and methods to detect and expose instances of corruption and maladministration. We </w:t>
      </w:r>
      <w:r w:rsidR="006F65D4" w:rsidRPr="001063CA">
        <w:rPr>
          <w:rFonts w:ascii="Times New Roman" w:hAnsi="Times New Roman" w:cs="Times New Roman"/>
          <w:sz w:val="24"/>
          <w:szCs w:val="24"/>
        </w:rPr>
        <w:t xml:space="preserve">recommend that </w:t>
      </w:r>
      <w:r w:rsidR="00641750" w:rsidRPr="001063CA">
        <w:rPr>
          <w:rFonts w:ascii="Times New Roman" w:hAnsi="Times New Roman" w:cs="Times New Roman"/>
          <w:sz w:val="24"/>
          <w:szCs w:val="24"/>
        </w:rPr>
        <w:t xml:space="preserve">the state and the AG </w:t>
      </w:r>
      <w:r w:rsidR="006F65D4" w:rsidRPr="001063CA">
        <w:rPr>
          <w:rFonts w:ascii="Times New Roman" w:hAnsi="Times New Roman" w:cs="Times New Roman"/>
          <w:sz w:val="24"/>
          <w:szCs w:val="24"/>
        </w:rPr>
        <w:t xml:space="preserve">not use </w:t>
      </w:r>
      <w:r w:rsidR="00641750" w:rsidRPr="001063CA">
        <w:rPr>
          <w:rFonts w:ascii="Times New Roman" w:hAnsi="Times New Roman" w:cs="Times New Roman"/>
          <w:sz w:val="24"/>
          <w:szCs w:val="24"/>
        </w:rPr>
        <w:t xml:space="preserve">the services of firms and individuals that are involved in professional misconduct, including KPMG, if it is found guilty by IRBA. We also believe </w:t>
      </w:r>
      <w:r w:rsidR="006F65D4" w:rsidRPr="001063CA">
        <w:rPr>
          <w:rFonts w:ascii="Times New Roman" w:hAnsi="Times New Roman" w:cs="Times New Roman"/>
          <w:sz w:val="24"/>
          <w:szCs w:val="24"/>
        </w:rPr>
        <w:t xml:space="preserve">that those found </w:t>
      </w:r>
      <w:r w:rsidR="00641750" w:rsidRPr="001063CA">
        <w:rPr>
          <w:rFonts w:ascii="Times New Roman" w:hAnsi="Times New Roman" w:cs="Times New Roman"/>
          <w:sz w:val="24"/>
          <w:szCs w:val="24"/>
        </w:rPr>
        <w:t xml:space="preserve">guilty should not </w:t>
      </w:r>
      <w:r w:rsidR="006F65D4" w:rsidRPr="001063CA">
        <w:rPr>
          <w:rFonts w:ascii="Times New Roman" w:hAnsi="Times New Roman" w:cs="Times New Roman"/>
          <w:sz w:val="24"/>
          <w:szCs w:val="24"/>
        </w:rPr>
        <w:t>be given fines and have their licences withdrawn, but</w:t>
      </w:r>
      <w:r w:rsidR="00641750" w:rsidRPr="001063CA">
        <w:rPr>
          <w:rFonts w:ascii="Times New Roman" w:hAnsi="Times New Roman" w:cs="Times New Roman"/>
          <w:sz w:val="24"/>
          <w:szCs w:val="24"/>
        </w:rPr>
        <w:t xml:space="preserve"> </w:t>
      </w:r>
      <w:r w:rsidR="006F65D4" w:rsidRPr="001063CA">
        <w:rPr>
          <w:rFonts w:ascii="Times New Roman" w:hAnsi="Times New Roman" w:cs="Times New Roman"/>
          <w:sz w:val="24"/>
          <w:szCs w:val="24"/>
        </w:rPr>
        <w:t xml:space="preserve">they </w:t>
      </w:r>
      <w:r w:rsidR="00641750" w:rsidRPr="001063CA">
        <w:rPr>
          <w:rFonts w:ascii="Times New Roman" w:hAnsi="Times New Roman" w:cs="Times New Roman"/>
          <w:sz w:val="24"/>
          <w:szCs w:val="24"/>
        </w:rPr>
        <w:t xml:space="preserve">should </w:t>
      </w:r>
      <w:r w:rsidR="006F65D4" w:rsidRPr="001063CA">
        <w:rPr>
          <w:rFonts w:ascii="Times New Roman" w:hAnsi="Times New Roman" w:cs="Times New Roman"/>
          <w:sz w:val="24"/>
          <w:szCs w:val="24"/>
        </w:rPr>
        <w:t xml:space="preserve">also </w:t>
      </w:r>
      <w:r w:rsidR="00641750" w:rsidRPr="001063CA">
        <w:rPr>
          <w:rFonts w:ascii="Times New Roman" w:hAnsi="Times New Roman" w:cs="Times New Roman"/>
          <w:sz w:val="24"/>
          <w:szCs w:val="24"/>
        </w:rPr>
        <w:t xml:space="preserve">be referred </w:t>
      </w:r>
      <w:r w:rsidR="006F65D4" w:rsidRPr="001063CA">
        <w:rPr>
          <w:rFonts w:ascii="Times New Roman" w:hAnsi="Times New Roman" w:cs="Times New Roman"/>
          <w:sz w:val="24"/>
          <w:szCs w:val="24"/>
        </w:rPr>
        <w:t xml:space="preserve">to the </w:t>
      </w:r>
      <w:r w:rsidR="00641750" w:rsidRPr="001063CA">
        <w:rPr>
          <w:rFonts w:ascii="Times New Roman" w:hAnsi="Times New Roman" w:cs="Times New Roman"/>
          <w:sz w:val="24"/>
          <w:szCs w:val="24"/>
        </w:rPr>
        <w:t xml:space="preserve">police </w:t>
      </w:r>
      <w:r w:rsidR="006F65D4" w:rsidRPr="001063CA">
        <w:rPr>
          <w:rFonts w:ascii="Times New Roman" w:hAnsi="Times New Roman" w:cs="Times New Roman"/>
          <w:sz w:val="24"/>
          <w:szCs w:val="24"/>
        </w:rPr>
        <w:t>for action.</w:t>
      </w:r>
    </w:p>
    <w:p w14:paraId="00AFD9F2" w14:textId="77777777" w:rsidR="00987709" w:rsidRPr="001063CA" w:rsidRDefault="00987709" w:rsidP="001063CA">
      <w:pPr>
        <w:spacing w:line="360" w:lineRule="auto"/>
        <w:rPr>
          <w:rFonts w:ascii="Times New Roman" w:hAnsi="Times New Roman" w:cs="Times New Roman"/>
          <w:sz w:val="24"/>
          <w:szCs w:val="24"/>
        </w:rPr>
      </w:pPr>
    </w:p>
    <w:p w14:paraId="7548CC03" w14:textId="77777777" w:rsidR="0006747B" w:rsidRPr="001063CA" w:rsidRDefault="006F65D4" w:rsidP="001063CA">
      <w:pPr>
        <w:spacing w:line="360" w:lineRule="auto"/>
        <w:ind w:left="720" w:hanging="720"/>
        <w:rPr>
          <w:rFonts w:ascii="Times New Roman" w:hAnsi="Times New Roman" w:cs="Times New Roman"/>
          <w:color w:val="000000" w:themeColor="text1"/>
          <w:sz w:val="24"/>
          <w:szCs w:val="24"/>
        </w:rPr>
      </w:pPr>
      <w:r w:rsidRPr="001063CA">
        <w:rPr>
          <w:rFonts w:ascii="Times New Roman" w:hAnsi="Times New Roman" w:cs="Times New Roman"/>
          <w:color w:val="000000" w:themeColor="text1"/>
          <w:sz w:val="24"/>
          <w:szCs w:val="24"/>
        </w:rPr>
        <w:lastRenderedPageBreak/>
        <w:t>8.14</w:t>
      </w:r>
      <w:r w:rsidR="006E756B" w:rsidRPr="001063CA">
        <w:rPr>
          <w:rFonts w:ascii="Times New Roman" w:hAnsi="Times New Roman" w:cs="Times New Roman"/>
          <w:color w:val="000000" w:themeColor="text1"/>
          <w:sz w:val="24"/>
          <w:szCs w:val="24"/>
        </w:rPr>
        <w:t xml:space="preserve"> </w:t>
      </w:r>
      <w:r w:rsidR="00E513B0" w:rsidRPr="001063CA">
        <w:rPr>
          <w:rFonts w:ascii="Times New Roman" w:hAnsi="Times New Roman" w:cs="Times New Roman"/>
          <w:color w:val="000000" w:themeColor="text1"/>
          <w:sz w:val="24"/>
          <w:szCs w:val="24"/>
        </w:rPr>
        <w:tab/>
      </w:r>
      <w:r w:rsidR="006E756B" w:rsidRPr="001063CA">
        <w:rPr>
          <w:rFonts w:ascii="Times New Roman" w:hAnsi="Times New Roman" w:cs="Times New Roman"/>
          <w:color w:val="000000" w:themeColor="text1"/>
          <w:sz w:val="24"/>
          <w:szCs w:val="24"/>
        </w:rPr>
        <w:t xml:space="preserve">The Committee expresses its serious concern that </w:t>
      </w:r>
      <w:r w:rsidR="0006747B" w:rsidRPr="001063CA">
        <w:rPr>
          <w:rFonts w:ascii="Times New Roman" w:hAnsi="Times New Roman" w:cs="Times New Roman"/>
          <w:color w:val="000000" w:themeColor="text1"/>
          <w:sz w:val="24"/>
          <w:szCs w:val="24"/>
        </w:rPr>
        <w:t xml:space="preserve">SARS has not tabled its Annual Report and expects it to settle its outstanding issues with the AG’s Office soon and table its Report by mid </w:t>
      </w:r>
      <w:r w:rsidR="00343D2D" w:rsidRPr="001063CA">
        <w:rPr>
          <w:rFonts w:ascii="Times New Roman" w:hAnsi="Times New Roman" w:cs="Times New Roman"/>
          <w:color w:val="000000" w:themeColor="text1"/>
          <w:sz w:val="24"/>
          <w:szCs w:val="24"/>
        </w:rPr>
        <w:t>-</w:t>
      </w:r>
      <w:r w:rsidR="0006747B" w:rsidRPr="001063CA">
        <w:rPr>
          <w:rFonts w:ascii="Times New Roman" w:hAnsi="Times New Roman" w:cs="Times New Roman"/>
          <w:color w:val="000000" w:themeColor="text1"/>
          <w:sz w:val="24"/>
          <w:szCs w:val="24"/>
        </w:rPr>
        <w:t xml:space="preserve">November so that it can be considered </w:t>
      </w:r>
      <w:r w:rsidR="00343D2D" w:rsidRPr="001063CA">
        <w:rPr>
          <w:rFonts w:ascii="Times New Roman" w:hAnsi="Times New Roman" w:cs="Times New Roman"/>
          <w:color w:val="000000" w:themeColor="text1"/>
          <w:sz w:val="24"/>
          <w:szCs w:val="24"/>
        </w:rPr>
        <w:t xml:space="preserve">by the Committee </w:t>
      </w:r>
      <w:r w:rsidR="0006747B" w:rsidRPr="001063CA">
        <w:rPr>
          <w:rFonts w:ascii="Times New Roman" w:hAnsi="Times New Roman" w:cs="Times New Roman"/>
          <w:color w:val="000000" w:themeColor="text1"/>
          <w:sz w:val="24"/>
          <w:szCs w:val="24"/>
        </w:rPr>
        <w:t>before the current parliamentary term ends.</w:t>
      </w:r>
    </w:p>
    <w:p w14:paraId="04C78AA7" w14:textId="77777777" w:rsidR="006E756B" w:rsidRPr="001063CA" w:rsidRDefault="0006747B" w:rsidP="001063CA">
      <w:pPr>
        <w:spacing w:line="360" w:lineRule="auto"/>
        <w:ind w:left="720" w:hanging="720"/>
        <w:rPr>
          <w:rFonts w:ascii="Times New Roman" w:hAnsi="Times New Roman" w:cs="Times New Roman"/>
          <w:color w:val="000000" w:themeColor="text1"/>
          <w:sz w:val="24"/>
          <w:szCs w:val="24"/>
        </w:rPr>
      </w:pPr>
      <w:r w:rsidRPr="001063CA">
        <w:rPr>
          <w:rFonts w:ascii="Times New Roman" w:hAnsi="Times New Roman" w:cs="Times New Roman"/>
          <w:color w:val="000000" w:themeColor="text1"/>
          <w:sz w:val="24"/>
          <w:szCs w:val="24"/>
        </w:rPr>
        <w:t xml:space="preserve">  </w:t>
      </w:r>
      <w:r w:rsidR="006E756B" w:rsidRPr="001063CA">
        <w:rPr>
          <w:rFonts w:ascii="Times New Roman" w:hAnsi="Times New Roman" w:cs="Times New Roman"/>
          <w:color w:val="000000" w:themeColor="text1"/>
          <w:sz w:val="24"/>
          <w:szCs w:val="24"/>
        </w:rPr>
        <w:t xml:space="preserve"> </w:t>
      </w:r>
      <w:r w:rsidR="00550318" w:rsidRPr="001063CA">
        <w:rPr>
          <w:rFonts w:ascii="Times New Roman" w:hAnsi="Times New Roman" w:cs="Times New Roman"/>
          <w:color w:val="000000" w:themeColor="text1"/>
          <w:sz w:val="24"/>
          <w:szCs w:val="24"/>
        </w:rPr>
        <w:tab/>
      </w:r>
    </w:p>
    <w:p w14:paraId="761ED58C" w14:textId="77777777" w:rsidR="00B17CC8" w:rsidRPr="001063CA" w:rsidRDefault="00E513B0" w:rsidP="001063CA">
      <w:pPr>
        <w:spacing w:line="360" w:lineRule="auto"/>
        <w:ind w:left="720" w:hanging="720"/>
        <w:rPr>
          <w:rFonts w:ascii="Times New Roman" w:hAnsi="Times New Roman" w:cs="Times New Roman"/>
          <w:color w:val="000000" w:themeColor="text1"/>
          <w:sz w:val="24"/>
          <w:szCs w:val="24"/>
        </w:rPr>
      </w:pPr>
      <w:r w:rsidRPr="001063CA">
        <w:rPr>
          <w:rFonts w:ascii="Times New Roman" w:hAnsi="Times New Roman" w:cs="Times New Roman"/>
          <w:color w:val="000000" w:themeColor="text1"/>
          <w:sz w:val="24"/>
          <w:szCs w:val="24"/>
        </w:rPr>
        <w:t>8.15</w:t>
      </w:r>
      <w:r w:rsidRPr="001063CA">
        <w:rPr>
          <w:rFonts w:ascii="Times New Roman" w:hAnsi="Times New Roman" w:cs="Times New Roman"/>
          <w:color w:val="000000" w:themeColor="text1"/>
          <w:sz w:val="24"/>
          <w:szCs w:val="24"/>
        </w:rPr>
        <w:tab/>
      </w:r>
      <w:r w:rsidR="00987709" w:rsidRPr="001063CA">
        <w:rPr>
          <w:rFonts w:ascii="Times New Roman" w:hAnsi="Times New Roman" w:cs="Times New Roman"/>
          <w:color w:val="000000" w:themeColor="text1"/>
          <w:sz w:val="24"/>
          <w:szCs w:val="24"/>
        </w:rPr>
        <w:t>The Committee requested and has since received information on the number of staff employed in the Minister’s Office.</w:t>
      </w:r>
      <w:r w:rsidR="00B17CC8" w:rsidRPr="001063CA">
        <w:rPr>
          <w:rFonts w:ascii="Times New Roman" w:hAnsi="Times New Roman" w:cs="Times New Roman"/>
          <w:color w:val="000000" w:themeColor="text1"/>
          <w:sz w:val="24"/>
          <w:szCs w:val="24"/>
        </w:rPr>
        <w:t xml:space="preserve"> The Minister replied as follows: ”The ministerial handbook provides a guideline for a </w:t>
      </w:r>
      <w:r w:rsidR="00B17CC8" w:rsidRPr="001063CA">
        <w:rPr>
          <w:rFonts w:ascii="Times New Roman" w:hAnsi="Times New Roman" w:cs="Times New Roman"/>
          <w:color w:val="FF0000"/>
          <w:sz w:val="24"/>
          <w:szCs w:val="24"/>
        </w:rPr>
        <w:t>minimum</w:t>
      </w:r>
      <w:r w:rsidR="00B17CC8" w:rsidRPr="001063CA">
        <w:rPr>
          <w:rFonts w:ascii="Times New Roman" w:hAnsi="Times New Roman" w:cs="Times New Roman"/>
          <w:color w:val="000000" w:themeColor="text1"/>
          <w:sz w:val="24"/>
          <w:szCs w:val="24"/>
        </w:rPr>
        <w:t xml:space="preserve"> of 16 ministerial support staff for both the minister and deputy minister; excluding special advisors. Before the appointment of the current political heads the ministry was comprising of 14 core staff and 2 full-time special advisors and 1 short term advisor (less than 12 months contract), a total of 17. Currently, the composition is 17 staff and 2 fulltime special advisors and 1 short term part time advisor. Additional to the above, is 3 staff members seconded from the department and will return to their posts at the end of the Minister’s term. This is well within the guidelines of the ministerial handbook.”</w:t>
      </w:r>
      <w:r w:rsidR="00886EAA" w:rsidRPr="001063CA">
        <w:rPr>
          <w:rFonts w:ascii="Times New Roman" w:hAnsi="Times New Roman" w:cs="Times New Roman"/>
          <w:color w:val="000000" w:themeColor="text1"/>
          <w:sz w:val="24"/>
          <w:szCs w:val="24"/>
        </w:rPr>
        <w:t xml:space="preserve"> </w:t>
      </w:r>
      <w:r w:rsidR="007753A3" w:rsidRPr="001063CA">
        <w:rPr>
          <w:rFonts w:ascii="Times New Roman" w:hAnsi="Times New Roman" w:cs="Times New Roman"/>
          <w:color w:val="000000" w:themeColor="text1"/>
          <w:sz w:val="24"/>
          <w:szCs w:val="24"/>
        </w:rPr>
        <w:t>However, following an input from Parliament’</w:t>
      </w:r>
      <w:r w:rsidR="00343D2D" w:rsidRPr="001063CA">
        <w:rPr>
          <w:rFonts w:ascii="Times New Roman" w:hAnsi="Times New Roman" w:cs="Times New Roman"/>
          <w:color w:val="000000" w:themeColor="text1"/>
          <w:sz w:val="24"/>
          <w:szCs w:val="24"/>
        </w:rPr>
        <w:t>s Legal Services Unit</w:t>
      </w:r>
      <w:r w:rsidR="007753A3" w:rsidRPr="001063CA">
        <w:rPr>
          <w:rFonts w:ascii="Times New Roman" w:hAnsi="Times New Roman" w:cs="Times New Roman"/>
          <w:color w:val="000000" w:themeColor="text1"/>
          <w:sz w:val="24"/>
          <w:szCs w:val="24"/>
        </w:rPr>
        <w:t xml:space="preserve"> and contributions from Committee members</w:t>
      </w:r>
      <w:r w:rsidR="006E756B" w:rsidRPr="001063CA">
        <w:rPr>
          <w:rFonts w:ascii="Times New Roman" w:hAnsi="Times New Roman" w:cs="Times New Roman"/>
          <w:color w:val="000000" w:themeColor="text1"/>
          <w:sz w:val="24"/>
          <w:szCs w:val="24"/>
        </w:rPr>
        <w:t>,</w:t>
      </w:r>
      <w:r w:rsidR="007753A3" w:rsidRPr="001063CA">
        <w:rPr>
          <w:rFonts w:ascii="Times New Roman" w:hAnsi="Times New Roman" w:cs="Times New Roman"/>
          <w:color w:val="000000" w:themeColor="text1"/>
          <w:sz w:val="24"/>
          <w:szCs w:val="24"/>
        </w:rPr>
        <w:t xml:space="preserve"> the Committee’s understanding at this stage is that Minister’s response does not correspond with the guidelines </w:t>
      </w:r>
      <w:r w:rsidR="00FB21F6" w:rsidRPr="001063CA">
        <w:rPr>
          <w:rFonts w:ascii="Times New Roman" w:hAnsi="Times New Roman" w:cs="Times New Roman"/>
          <w:color w:val="000000" w:themeColor="text1"/>
          <w:sz w:val="24"/>
          <w:szCs w:val="24"/>
        </w:rPr>
        <w:t xml:space="preserve">in the Ministerial Handbook and mandated the Committee Chairperson to write to the Minister </w:t>
      </w:r>
      <w:r w:rsidR="006E756B" w:rsidRPr="001063CA">
        <w:rPr>
          <w:rFonts w:ascii="Times New Roman" w:hAnsi="Times New Roman" w:cs="Times New Roman"/>
          <w:color w:val="000000" w:themeColor="text1"/>
          <w:sz w:val="24"/>
          <w:szCs w:val="24"/>
        </w:rPr>
        <w:t xml:space="preserve">to seek clarity on several issues and secure a response from the Minister.  </w:t>
      </w:r>
      <w:r w:rsidR="00FB21F6" w:rsidRPr="001063CA">
        <w:rPr>
          <w:rFonts w:ascii="Times New Roman" w:hAnsi="Times New Roman" w:cs="Times New Roman"/>
          <w:color w:val="000000" w:themeColor="text1"/>
          <w:sz w:val="24"/>
          <w:szCs w:val="24"/>
        </w:rPr>
        <w:t xml:space="preserve"> </w:t>
      </w:r>
    </w:p>
    <w:p w14:paraId="17F3547F" w14:textId="77777777" w:rsidR="006926F5" w:rsidRPr="001063CA" w:rsidRDefault="006926F5" w:rsidP="001063CA">
      <w:pPr>
        <w:spacing w:line="360" w:lineRule="auto"/>
        <w:rPr>
          <w:rFonts w:ascii="Times New Roman" w:hAnsi="Times New Roman" w:cs="Times New Roman"/>
          <w:sz w:val="24"/>
          <w:szCs w:val="24"/>
        </w:rPr>
      </w:pPr>
    </w:p>
    <w:p w14:paraId="6CFD50B2" w14:textId="77777777" w:rsidR="006926F5" w:rsidRPr="001063CA" w:rsidRDefault="006926F5" w:rsidP="001063CA">
      <w:pPr>
        <w:spacing w:line="360" w:lineRule="auto"/>
        <w:rPr>
          <w:rFonts w:ascii="Times New Roman" w:hAnsi="Times New Roman" w:cs="Times New Roman"/>
          <w:b/>
          <w:sz w:val="24"/>
          <w:szCs w:val="24"/>
        </w:rPr>
      </w:pPr>
      <w:r w:rsidRPr="001063CA">
        <w:rPr>
          <w:rFonts w:ascii="Times New Roman" w:hAnsi="Times New Roman" w:cs="Times New Roman"/>
          <w:b/>
          <w:sz w:val="24"/>
          <w:szCs w:val="24"/>
        </w:rPr>
        <w:t>South African Reserve Bank</w:t>
      </w:r>
    </w:p>
    <w:p w14:paraId="4D0D9E38" w14:textId="77777777" w:rsidR="006926F5" w:rsidRPr="001063CA" w:rsidRDefault="006926F5" w:rsidP="001063CA">
      <w:pPr>
        <w:spacing w:line="360" w:lineRule="auto"/>
        <w:rPr>
          <w:rFonts w:ascii="Times New Roman" w:hAnsi="Times New Roman" w:cs="Times New Roman"/>
          <w:b/>
          <w:sz w:val="24"/>
          <w:szCs w:val="24"/>
        </w:rPr>
      </w:pPr>
    </w:p>
    <w:p w14:paraId="1E7BB75E" w14:textId="77777777" w:rsidR="006926F5" w:rsidRPr="001063CA" w:rsidRDefault="00167AE1" w:rsidP="001063CA">
      <w:pPr>
        <w:spacing w:line="360" w:lineRule="auto"/>
        <w:ind w:left="720" w:hanging="720"/>
        <w:rPr>
          <w:rFonts w:ascii="Times New Roman" w:hAnsi="Times New Roman" w:cs="Times New Roman"/>
          <w:sz w:val="24"/>
          <w:szCs w:val="24"/>
        </w:rPr>
      </w:pPr>
      <w:r w:rsidRPr="001063CA">
        <w:rPr>
          <w:rFonts w:ascii="Times New Roman" w:hAnsi="Times New Roman" w:cs="Times New Roman"/>
          <w:sz w:val="24"/>
          <w:szCs w:val="24"/>
        </w:rPr>
        <w:t>8.1</w:t>
      </w:r>
      <w:r w:rsidR="00E513B0" w:rsidRPr="001063CA">
        <w:rPr>
          <w:rFonts w:ascii="Times New Roman" w:hAnsi="Times New Roman" w:cs="Times New Roman"/>
          <w:sz w:val="24"/>
          <w:szCs w:val="24"/>
        </w:rPr>
        <w:t>6</w:t>
      </w:r>
      <w:r w:rsidR="006926F5" w:rsidRPr="001063CA">
        <w:rPr>
          <w:rFonts w:ascii="Times New Roman" w:hAnsi="Times New Roman" w:cs="Times New Roman"/>
          <w:sz w:val="24"/>
          <w:szCs w:val="24"/>
        </w:rPr>
        <w:tab/>
        <w:t xml:space="preserve">The Committee </w:t>
      </w:r>
      <w:r w:rsidR="006F65D4" w:rsidRPr="001063CA">
        <w:rPr>
          <w:rFonts w:ascii="Times New Roman" w:hAnsi="Times New Roman" w:cs="Times New Roman"/>
          <w:sz w:val="24"/>
          <w:szCs w:val="24"/>
        </w:rPr>
        <w:t xml:space="preserve">welcomes the performance of the SARB and will receive at least one briefing from the Bank a year, and more if time and space allows or need requires. </w:t>
      </w:r>
    </w:p>
    <w:p w14:paraId="0B364FA4" w14:textId="77777777" w:rsidR="006926F5" w:rsidRPr="001063CA" w:rsidRDefault="006926F5" w:rsidP="001063CA">
      <w:pPr>
        <w:spacing w:line="360" w:lineRule="auto"/>
        <w:ind w:left="720" w:hanging="720"/>
        <w:rPr>
          <w:rFonts w:ascii="Times New Roman" w:hAnsi="Times New Roman" w:cs="Times New Roman"/>
          <w:sz w:val="24"/>
          <w:szCs w:val="24"/>
        </w:rPr>
      </w:pPr>
    </w:p>
    <w:p w14:paraId="3D9A0CC9" w14:textId="77777777" w:rsidR="00E102F6" w:rsidRPr="001063CA" w:rsidRDefault="00167AE1" w:rsidP="001063CA">
      <w:pPr>
        <w:spacing w:line="360" w:lineRule="auto"/>
        <w:ind w:left="720" w:hanging="720"/>
        <w:rPr>
          <w:rFonts w:ascii="Times New Roman" w:hAnsi="Times New Roman" w:cs="Times New Roman"/>
          <w:sz w:val="24"/>
          <w:szCs w:val="24"/>
        </w:rPr>
      </w:pPr>
      <w:r w:rsidRPr="001063CA">
        <w:rPr>
          <w:rFonts w:ascii="Times New Roman" w:hAnsi="Times New Roman" w:cs="Times New Roman"/>
          <w:sz w:val="24"/>
          <w:szCs w:val="24"/>
        </w:rPr>
        <w:t>8.1</w:t>
      </w:r>
      <w:r w:rsidR="00E513B0" w:rsidRPr="001063CA">
        <w:rPr>
          <w:rFonts w:ascii="Times New Roman" w:hAnsi="Times New Roman" w:cs="Times New Roman"/>
          <w:sz w:val="24"/>
          <w:szCs w:val="24"/>
        </w:rPr>
        <w:t>7</w:t>
      </w:r>
      <w:r w:rsidR="00E102F6" w:rsidRPr="001063CA">
        <w:rPr>
          <w:rFonts w:ascii="Times New Roman" w:hAnsi="Times New Roman" w:cs="Times New Roman"/>
          <w:sz w:val="24"/>
          <w:szCs w:val="24"/>
        </w:rPr>
        <w:t xml:space="preserve">      The Committee notes the calls made in the public for the state to be the sole shareholder of the SARB and its mandate to include employment creation. There is concern that the SARB has private shareholders. There is a perception that these private shareholders influence the constitutional mandate of SARB. The Committee notes that SARS explained that the private shareholders of SARB do not own the Bank and their rights are limited. They play no role whatsoever in the setting of monetary or financial stability policy, or in the day-to-day management of the Reserve Bank. Their shares are restricted to a maximum of 10,000 per subscriber out </w:t>
      </w:r>
      <w:r w:rsidR="00E102F6" w:rsidRPr="001063CA">
        <w:rPr>
          <w:rFonts w:ascii="Times New Roman" w:hAnsi="Times New Roman" w:cs="Times New Roman"/>
          <w:sz w:val="24"/>
          <w:szCs w:val="24"/>
        </w:rPr>
        <w:lastRenderedPageBreak/>
        <w:t xml:space="preserve">of 2 million issued shares and they receive a fixed return of 10 cents per share from profits, amounting to an overall dividend payment of R200,000 per year. 90% of the SARB’s profits are transferred to government and the remaining 10% is allocated to SARB’s reserves. The private shareholders do not have any claim on the foreign exchange reserves of SARB, and they are unable, by means of a resolution or otherwise, to amend or change SARB’s affairs decisions by deviating from the provisions of the SARB Act. While the Committees accept SARB’s explanations, we believe that if it is financially possible, the shares of SARB’s private shareholders should be bought out.  </w:t>
      </w:r>
    </w:p>
    <w:p w14:paraId="59E95C6D" w14:textId="77777777" w:rsidR="00E102F6" w:rsidRPr="001063CA" w:rsidRDefault="00E102F6" w:rsidP="001063CA">
      <w:pPr>
        <w:spacing w:line="360" w:lineRule="auto"/>
        <w:ind w:left="720" w:hanging="720"/>
        <w:rPr>
          <w:rFonts w:ascii="Times New Roman" w:hAnsi="Times New Roman" w:cs="Times New Roman"/>
          <w:sz w:val="24"/>
          <w:szCs w:val="24"/>
        </w:rPr>
      </w:pPr>
    </w:p>
    <w:p w14:paraId="688BA088" w14:textId="77777777" w:rsidR="00E102F6" w:rsidRPr="001063CA" w:rsidRDefault="00E102F6" w:rsidP="001063CA">
      <w:pPr>
        <w:spacing w:line="360" w:lineRule="auto"/>
        <w:ind w:left="720" w:hanging="720"/>
        <w:rPr>
          <w:rFonts w:ascii="Times New Roman" w:hAnsi="Times New Roman" w:cs="Times New Roman"/>
          <w:sz w:val="24"/>
          <w:szCs w:val="24"/>
        </w:rPr>
      </w:pPr>
      <w:r w:rsidRPr="001063CA">
        <w:rPr>
          <w:rFonts w:ascii="Times New Roman" w:hAnsi="Times New Roman" w:cs="Times New Roman"/>
          <w:sz w:val="24"/>
          <w:szCs w:val="24"/>
        </w:rPr>
        <w:t>8.1</w:t>
      </w:r>
      <w:r w:rsidR="00E513B0" w:rsidRPr="001063CA">
        <w:rPr>
          <w:rFonts w:ascii="Times New Roman" w:hAnsi="Times New Roman" w:cs="Times New Roman"/>
          <w:sz w:val="24"/>
          <w:szCs w:val="24"/>
        </w:rPr>
        <w:t>8</w:t>
      </w:r>
      <w:r w:rsidRPr="001063CA">
        <w:rPr>
          <w:rFonts w:ascii="Times New Roman" w:hAnsi="Times New Roman" w:cs="Times New Roman"/>
          <w:sz w:val="24"/>
          <w:szCs w:val="24"/>
        </w:rPr>
        <w:tab/>
        <w:t xml:space="preserve">The Committee notes that it is held that high inflation has negative redistributive effects, as the poor suffer disproportionately from it; high inflation reduces their purchasing power. It can create uncertainties about the future and adversely affect investments, reducing growth and jobs. </w:t>
      </w:r>
    </w:p>
    <w:p w14:paraId="4F9A6091" w14:textId="77777777" w:rsidR="00E102F6" w:rsidRPr="001063CA" w:rsidRDefault="00E102F6" w:rsidP="001063CA">
      <w:pPr>
        <w:spacing w:line="360" w:lineRule="auto"/>
        <w:ind w:left="720" w:hanging="720"/>
        <w:rPr>
          <w:rFonts w:ascii="Times New Roman" w:hAnsi="Times New Roman" w:cs="Times New Roman"/>
          <w:sz w:val="24"/>
          <w:szCs w:val="24"/>
        </w:rPr>
      </w:pPr>
    </w:p>
    <w:p w14:paraId="70776860" w14:textId="77777777" w:rsidR="00E102F6" w:rsidRPr="001063CA" w:rsidRDefault="00E102F6" w:rsidP="001063CA">
      <w:pPr>
        <w:spacing w:line="360" w:lineRule="auto"/>
        <w:ind w:left="720" w:hanging="720"/>
        <w:rPr>
          <w:rFonts w:ascii="Times New Roman" w:hAnsi="Times New Roman" w:cs="Times New Roman"/>
          <w:sz w:val="24"/>
          <w:szCs w:val="24"/>
        </w:rPr>
      </w:pPr>
      <w:r w:rsidRPr="001063CA">
        <w:rPr>
          <w:rFonts w:ascii="Times New Roman" w:hAnsi="Times New Roman" w:cs="Times New Roman"/>
          <w:sz w:val="24"/>
          <w:szCs w:val="24"/>
        </w:rPr>
        <w:t>8.1</w:t>
      </w:r>
      <w:r w:rsidR="00E513B0" w:rsidRPr="001063CA">
        <w:rPr>
          <w:rFonts w:ascii="Times New Roman" w:hAnsi="Times New Roman" w:cs="Times New Roman"/>
          <w:sz w:val="24"/>
          <w:szCs w:val="24"/>
        </w:rPr>
        <w:t>9</w:t>
      </w:r>
      <w:r w:rsidRPr="001063CA">
        <w:rPr>
          <w:rFonts w:ascii="Times New Roman" w:hAnsi="Times New Roman" w:cs="Times New Roman"/>
          <w:sz w:val="24"/>
          <w:szCs w:val="24"/>
        </w:rPr>
        <w:tab/>
        <w:t xml:space="preserve">While the Committee recognise the value of these roles SARB plays, we support the need for a discussion on how SARB can further contribute to advancing socio-economic development. </w:t>
      </w:r>
    </w:p>
    <w:p w14:paraId="2FEC1294" w14:textId="77777777" w:rsidR="006926F5" w:rsidRPr="001063CA" w:rsidRDefault="006926F5" w:rsidP="001063CA">
      <w:pPr>
        <w:spacing w:line="360" w:lineRule="auto"/>
        <w:rPr>
          <w:rFonts w:ascii="Times New Roman" w:hAnsi="Times New Roman" w:cs="Times New Roman"/>
          <w:sz w:val="24"/>
          <w:szCs w:val="24"/>
        </w:rPr>
      </w:pPr>
      <w:r w:rsidRPr="001063CA">
        <w:rPr>
          <w:rFonts w:ascii="Times New Roman" w:hAnsi="Times New Roman" w:cs="Times New Roman"/>
          <w:sz w:val="24"/>
          <w:szCs w:val="24"/>
        </w:rPr>
        <w:tab/>
      </w:r>
    </w:p>
    <w:p w14:paraId="0E917A3B" w14:textId="77777777" w:rsidR="006926F5" w:rsidRPr="001063CA" w:rsidRDefault="00167AE1" w:rsidP="001063CA">
      <w:pPr>
        <w:spacing w:line="360" w:lineRule="auto"/>
        <w:ind w:left="720" w:hanging="720"/>
        <w:rPr>
          <w:rFonts w:ascii="Times New Roman" w:hAnsi="Times New Roman" w:cs="Times New Roman"/>
          <w:sz w:val="24"/>
          <w:szCs w:val="24"/>
        </w:rPr>
      </w:pPr>
      <w:r w:rsidRPr="001063CA">
        <w:rPr>
          <w:rFonts w:ascii="Times New Roman" w:hAnsi="Times New Roman" w:cs="Times New Roman"/>
          <w:sz w:val="24"/>
          <w:szCs w:val="24"/>
        </w:rPr>
        <w:t>8.</w:t>
      </w:r>
      <w:r w:rsidR="00E513B0" w:rsidRPr="001063CA">
        <w:rPr>
          <w:rFonts w:ascii="Times New Roman" w:hAnsi="Times New Roman" w:cs="Times New Roman"/>
          <w:sz w:val="24"/>
          <w:szCs w:val="24"/>
        </w:rPr>
        <w:t>20</w:t>
      </w:r>
      <w:r w:rsidR="006926F5" w:rsidRPr="001063CA">
        <w:rPr>
          <w:rFonts w:ascii="Times New Roman" w:hAnsi="Times New Roman" w:cs="Times New Roman"/>
          <w:sz w:val="24"/>
          <w:szCs w:val="24"/>
        </w:rPr>
        <w:tab/>
        <w:t xml:space="preserve">The Committee believes that the Bank should play a more active role in the </w:t>
      </w:r>
      <w:r w:rsidR="00372CE0" w:rsidRPr="001063CA">
        <w:rPr>
          <w:rFonts w:ascii="Times New Roman" w:hAnsi="Times New Roman" w:cs="Times New Roman"/>
          <w:sz w:val="24"/>
          <w:szCs w:val="24"/>
        </w:rPr>
        <w:t xml:space="preserve">detection and </w:t>
      </w:r>
      <w:r w:rsidR="006926F5" w:rsidRPr="001063CA">
        <w:rPr>
          <w:rFonts w:ascii="Times New Roman" w:hAnsi="Times New Roman" w:cs="Times New Roman"/>
          <w:sz w:val="24"/>
          <w:szCs w:val="24"/>
        </w:rPr>
        <w:t>combatting of Illicit Financial Flows, giv</w:t>
      </w:r>
      <w:r w:rsidR="00372CE0" w:rsidRPr="001063CA">
        <w:rPr>
          <w:rFonts w:ascii="Times New Roman" w:hAnsi="Times New Roman" w:cs="Times New Roman"/>
          <w:sz w:val="24"/>
          <w:szCs w:val="24"/>
        </w:rPr>
        <w:t>en</w:t>
      </w:r>
      <w:r w:rsidR="006926F5" w:rsidRPr="001063CA">
        <w:rPr>
          <w:rFonts w:ascii="Times New Roman" w:hAnsi="Times New Roman" w:cs="Times New Roman"/>
          <w:sz w:val="24"/>
          <w:szCs w:val="24"/>
        </w:rPr>
        <w:t xml:space="preserve"> its surveillance role over </w:t>
      </w:r>
      <w:r w:rsidR="00372CE0" w:rsidRPr="001063CA">
        <w:rPr>
          <w:rFonts w:ascii="Times New Roman" w:hAnsi="Times New Roman" w:cs="Times New Roman"/>
          <w:sz w:val="24"/>
          <w:szCs w:val="24"/>
        </w:rPr>
        <w:t xml:space="preserve">the country’s </w:t>
      </w:r>
      <w:r w:rsidR="006926F5" w:rsidRPr="001063CA">
        <w:rPr>
          <w:rFonts w:ascii="Times New Roman" w:hAnsi="Times New Roman" w:cs="Times New Roman"/>
          <w:sz w:val="24"/>
          <w:szCs w:val="24"/>
        </w:rPr>
        <w:t>exchange control</w:t>
      </w:r>
      <w:r w:rsidR="00372CE0" w:rsidRPr="001063CA">
        <w:rPr>
          <w:rFonts w:ascii="Times New Roman" w:hAnsi="Times New Roman" w:cs="Times New Roman"/>
          <w:sz w:val="24"/>
          <w:szCs w:val="24"/>
        </w:rPr>
        <w:t xml:space="preserve"> regime</w:t>
      </w:r>
      <w:r w:rsidR="006926F5" w:rsidRPr="001063CA">
        <w:rPr>
          <w:rFonts w:ascii="Times New Roman" w:hAnsi="Times New Roman" w:cs="Times New Roman"/>
          <w:sz w:val="24"/>
          <w:szCs w:val="24"/>
        </w:rPr>
        <w:t>. The Bank reported that it had handed over to law enforcement agencies 41 cases of exchange control contraventions for further investigations and prosecution over the past five to six years, but there had only been one prosecution</w:t>
      </w:r>
      <w:r w:rsidR="00E102F6" w:rsidRPr="001063CA">
        <w:rPr>
          <w:rFonts w:ascii="Times New Roman" w:hAnsi="Times New Roman" w:cs="Times New Roman"/>
          <w:sz w:val="24"/>
          <w:szCs w:val="24"/>
        </w:rPr>
        <w:t xml:space="preserve"> –  for seeking to bribe an official not for an exchange control offense. The Committee, as it agreed to do, raised this matter with the Hawks in a Joint Committee meeting on Illicit Financial Flows and the matter will be followed up by the Police Portfolio Committee.</w:t>
      </w:r>
    </w:p>
    <w:p w14:paraId="7E0AE154" w14:textId="77777777" w:rsidR="006926F5" w:rsidRPr="001063CA" w:rsidRDefault="006926F5" w:rsidP="001063CA">
      <w:pPr>
        <w:spacing w:line="360" w:lineRule="auto"/>
        <w:ind w:left="720" w:hanging="720"/>
        <w:rPr>
          <w:rFonts w:ascii="Times New Roman" w:hAnsi="Times New Roman" w:cs="Times New Roman"/>
          <w:sz w:val="24"/>
          <w:szCs w:val="24"/>
        </w:rPr>
      </w:pPr>
    </w:p>
    <w:p w14:paraId="027340B1" w14:textId="77777777" w:rsidR="006926F5" w:rsidRPr="001063CA" w:rsidRDefault="006926F5" w:rsidP="001063CA">
      <w:pPr>
        <w:spacing w:line="360" w:lineRule="auto"/>
        <w:rPr>
          <w:rFonts w:ascii="Times New Roman" w:hAnsi="Times New Roman" w:cs="Times New Roman"/>
          <w:sz w:val="24"/>
          <w:szCs w:val="24"/>
        </w:rPr>
      </w:pPr>
    </w:p>
    <w:p w14:paraId="1A856C71" w14:textId="77777777" w:rsidR="00D9549C" w:rsidRPr="001063CA" w:rsidRDefault="006926F5" w:rsidP="001063CA">
      <w:pPr>
        <w:spacing w:line="360" w:lineRule="auto"/>
        <w:rPr>
          <w:rFonts w:ascii="Times New Roman" w:hAnsi="Times New Roman" w:cs="Times New Roman"/>
          <w:sz w:val="24"/>
          <w:szCs w:val="24"/>
        </w:rPr>
      </w:pPr>
      <w:r w:rsidRPr="001063CA">
        <w:rPr>
          <w:rFonts w:ascii="Times New Roman" w:hAnsi="Times New Roman" w:cs="Times New Roman"/>
          <w:sz w:val="24"/>
          <w:szCs w:val="24"/>
        </w:rPr>
        <w:t xml:space="preserve"> </w:t>
      </w:r>
      <w:r w:rsidR="00D9549C" w:rsidRPr="001063CA">
        <w:rPr>
          <w:rFonts w:ascii="Times New Roman" w:hAnsi="Times New Roman" w:cs="Times New Roman"/>
          <w:sz w:val="24"/>
          <w:szCs w:val="24"/>
        </w:rPr>
        <w:t xml:space="preserve">Report to be considered. </w:t>
      </w:r>
    </w:p>
    <w:sectPr w:rsidR="00D9549C" w:rsidRPr="001063C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66587" w14:textId="77777777" w:rsidR="00750B23" w:rsidRDefault="00750B23" w:rsidP="00167AE1">
      <w:pPr>
        <w:spacing w:line="240" w:lineRule="auto"/>
      </w:pPr>
      <w:r>
        <w:separator/>
      </w:r>
    </w:p>
  </w:endnote>
  <w:endnote w:type="continuationSeparator" w:id="0">
    <w:p w14:paraId="714426CB" w14:textId="77777777" w:rsidR="00750B23" w:rsidRDefault="00750B23" w:rsidP="00167A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altName w:val="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818284"/>
      <w:docPartObj>
        <w:docPartGallery w:val="Page Numbers (Bottom of Page)"/>
        <w:docPartUnique/>
      </w:docPartObj>
    </w:sdtPr>
    <w:sdtEndPr>
      <w:rPr>
        <w:noProof/>
      </w:rPr>
    </w:sdtEndPr>
    <w:sdtContent>
      <w:p w14:paraId="01F08D7B" w14:textId="1B6542FD" w:rsidR="00E102F6" w:rsidRDefault="00E102F6">
        <w:pPr>
          <w:pStyle w:val="Footer"/>
          <w:jc w:val="center"/>
        </w:pPr>
        <w:r>
          <w:fldChar w:fldCharType="begin"/>
        </w:r>
        <w:r>
          <w:instrText xml:space="preserve"> PAGE   \* MERGEFORMAT </w:instrText>
        </w:r>
        <w:r>
          <w:fldChar w:fldCharType="separate"/>
        </w:r>
        <w:r w:rsidR="00D641E6">
          <w:rPr>
            <w:noProof/>
          </w:rPr>
          <w:t>1</w:t>
        </w:r>
        <w:r>
          <w:rPr>
            <w:noProof/>
          </w:rPr>
          <w:fldChar w:fldCharType="end"/>
        </w:r>
      </w:p>
    </w:sdtContent>
  </w:sdt>
  <w:p w14:paraId="04705398" w14:textId="77777777" w:rsidR="00E102F6" w:rsidRDefault="00E10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43DCB" w14:textId="77777777" w:rsidR="00750B23" w:rsidRDefault="00750B23" w:rsidP="00167AE1">
      <w:pPr>
        <w:spacing w:line="240" w:lineRule="auto"/>
      </w:pPr>
      <w:r>
        <w:separator/>
      </w:r>
    </w:p>
  </w:footnote>
  <w:footnote w:type="continuationSeparator" w:id="0">
    <w:p w14:paraId="2D018BBC" w14:textId="77777777" w:rsidR="00750B23" w:rsidRDefault="00750B23" w:rsidP="00167A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A90"/>
    <w:multiLevelType w:val="multilevel"/>
    <w:tmpl w:val="D722BA7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149D06A2"/>
    <w:multiLevelType w:val="multilevel"/>
    <w:tmpl w:val="93D26F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16AC00A2"/>
    <w:multiLevelType w:val="multilevel"/>
    <w:tmpl w:val="C7020BC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EDD4D62"/>
    <w:multiLevelType w:val="multilevel"/>
    <w:tmpl w:val="B83A00B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21697C3B"/>
    <w:multiLevelType w:val="multilevel"/>
    <w:tmpl w:val="7D68949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92B5DC3"/>
    <w:multiLevelType w:val="multilevel"/>
    <w:tmpl w:val="953A7E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2296A66"/>
    <w:multiLevelType w:val="multilevel"/>
    <w:tmpl w:val="36B894A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56DC7CBB"/>
    <w:multiLevelType w:val="multilevel"/>
    <w:tmpl w:val="E848ACE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5C711F33"/>
    <w:multiLevelType w:val="multilevel"/>
    <w:tmpl w:val="9C6C779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71BE6159"/>
    <w:multiLevelType w:val="multilevel"/>
    <w:tmpl w:val="64EAD8F8"/>
    <w:lvl w:ilvl="0">
      <w:start w:val="6"/>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8"/>
  </w:num>
  <w:num w:numId="7">
    <w:abstractNumId w:val="9"/>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6F5"/>
    <w:rsid w:val="00001D9C"/>
    <w:rsid w:val="00005716"/>
    <w:rsid w:val="00033C1D"/>
    <w:rsid w:val="000513A4"/>
    <w:rsid w:val="0006747B"/>
    <w:rsid w:val="000C21D0"/>
    <w:rsid w:val="001063CA"/>
    <w:rsid w:val="001101AE"/>
    <w:rsid w:val="001220A9"/>
    <w:rsid w:val="00167AE1"/>
    <w:rsid w:val="001D11E1"/>
    <w:rsid w:val="001D3D13"/>
    <w:rsid w:val="001D760B"/>
    <w:rsid w:val="00202833"/>
    <w:rsid w:val="002241B0"/>
    <w:rsid w:val="00243BA1"/>
    <w:rsid w:val="0028720F"/>
    <w:rsid w:val="002C2322"/>
    <w:rsid w:val="002D3937"/>
    <w:rsid w:val="002E164C"/>
    <w:rsid w:val="00330F21"/>
    <w:rsid w:val="00341949"/>
    <w:rsid w:val="00343D2D"/>
    <w:rsid w:val="00372CE0"/>
    <w:rsid w:val="003B0FD5"/>
    <w:rsid w:val="003B2121"/>
    <w:rsid w:val="003C428C"/>
    <w:rsid w:val="003E17AF"/>
    <w:rsid w:val="0044554A"/>
    <w:rsid w:val="0045040C"/>
    <w:rsid w:val="00462D1F"/>
    <w:rsid w:val="004755A3"/>
    <w:rsid w:val="004C7F9A"/>
    <w:rsid w:val="004F1F7B"/>
    <w:rsid w:val="00502AF6"/>
    <w:rsid w:val="005201A9"/>
    <w:rsid w:val="00550318"/>
    <w:rsid w:val="005518DA"/>
    <w:rsid w:val="00553C5A"/>
    <w:rsid w:val="00555AE9"/>
    <w:rsid w:val="00566798"/>
    <w:rsid w:val="00596D0C"/>
    <w:rsid w:val="005B58A2"/>
    <w:rsid w:val="005C247C"/>
    <w:rsid w:val="005E09A5"/>
    <w:rsid w:val="005F1EC1"/>
    <w:rsid w:val="00614F03"/>
    <w:rsid w:val="00641750"/>
    <w:rsid w:val="006438CC"/>
    <w:rsid w:val="00645A34"/>
    <w:rsid w:val="00664EE6"/>
    <w:rsid w:val="00670CF9"/>
    <w:rsid w:val="00687CDF"/>
    <w:rsid w:val="006905CC"/>
    <w:rsid w:val="006926F5"/>
    <w:rsid w:val="00697DE2"/>
    <w:rsid w:val="006D22D9"/>
    <w:rsid w:val="006E4D14"/>
    <w:rsid w:val="006E756B"/>
    <w:rsid w:val="006F65D4"/>
    <w:rsid w:val="00724BA1"/>
    <w:rsid w:val="00731948"/>
    <w:rsid w:val="00750B23"/>
    <w:rsid w:val="00761DA4"/>
    <w:rsid w:val="007753A3"/>
    <w:rsid w:val="0083399C"/>
    <w:rsid w:val="00840EE1"/>
    <w:rsid w:val="008719DF"/>
    <w:rsid w:val="008837EF"/>
    <w:rsid w:val="008854EF"/>
    <w:rsid w:val="00886EAA"/>
    <w:rsid w:val="00887CA0"/>
    <w:rsid w:val="00895975"/>
    <w:rsid w:val="008A5270"/>
    <w:rsid w:val="008B6FC3"/>
    <w:rsid w:val="008C35AE"/>
    <w:rsid w:val="0091772A"/>
    <w:rsid w:val="00922E99"/>
    <w:rsid w:val="00987709"/>
    <w:rsid w:val="009A3CD4"/>
    <w:rsid w:val="009B664A"/>
    <w:rsid w:val="009C02F4"/>
    <w:rsid w:val="009F589C"/>
    <w:rsid w:val="00A46EAD"/>
    <w:rsid w:val="00A524EE"/>
    <w:rsid w:val="00A70523"/>
    <w:rsid w:val="00A717E1"/>
    <w:rsid w:val="00A82CC8"/>
    <w:rsid w:val="00AC25CC"/>
    <w:rsid w:val="00AC3841"/>
    <w:rsid w:val="00B02C03"/>
    <w:rsid w:val="00B17CC8"/>
    <w:rsid w:val="00B27CAF"/>
    <w:rsid w:val="00B30106"/>
    <w:rsid w:val="00B4082C"/>
    <w:rsid w:val="00BD5F86"/>
    <w:rsid w:val="00C6403B"/>
    <w:rsid w:val="00C765DC"/>
    <w:rsid w:val="00C855B8"/>
    <w:rsid w:val="00CF42BA"/>
    <w:rsid w:val="00D641E6"/>
    <w:rsid w:val="00D9549C"/>
    <w:rsid w:val="00E102F6"/>
    <w:rsid w:val="00E15E42"/>
    <w:rsid w:val="00E253CD"/>
    <w:rsid w:val="00E25BD5"/>
    <w:rsid w:val="00E274A8"/>
    <w:rsid w:val="00E513B0"/>
    <w:rsid w:val="00E63408"/>
    <w:rsid w:val="00E72841"/>
    <w:rsid w:val="00E77273"/>
    <w:rsid w:val="00E94610"/>
    <w:rsid w:val="00ED1B18"/>
    <w:rsid w:val="00EE7310"/>
    <w:rsid w:val="00EF5CD3"/>
    <w:rsid w:val="00F06768"/>
    <w:rsid w:val="00F70A9E"/>
    <w:rsid w:val="00FA30A2"/>
    <w:rsid w:val="00FB21F6"/>
    <w:rsid w:val="00FC7836"/>
    <w:rsid w:val="00FE74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6F5"/>
    <w:pPr>
      <w:spacing w:after="0" w:line="280" w:lineRule="exact"/>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6F5"/>
    <w:pPr>
      <w:ind w:left="720"/>
      <w:contextualSpacing/>
    </w:pPr>
  </w:style>
  <w:style w:type="paragraph" w:styleId="Header">
    <w:name w:val="header"/>
    <w:basedOn w:val="Normal"/>
    <w:link w:val="HeaderChar"/>
    <w:uiPriority w:val="99"/>
    <w:unhideWhenUsed/>
    <w:rsid w:val="00167AE1"/>
    <w:pPr>
      <w:tabs>
        <w:tab w:val="center" w:pos="4513"/>
        <w:tab w:val="right" w:pos="9026"/>
      </w:tabs>
      <w:spacing w:line="240" w:lineRule="auto"/>
    </w:pPr>
  </w:style>
  <w:style w:type="character" w:customStyle="1" w:styleId="HeaderChar">
    <w:name w:val="Header Char"/>
    <w:basedOn w:val="DefaultParagraphFont"/>
    <w:link w:val="Header"/>
    <w:uiPriority w:val="99"/>
    <w:rsid w:val="00167AE1"/>
    <w:rPr>
      <w:rFonts w:ascii="Arial" w:hAnsi="Arial"/>
    </w:rPr>
  </w:style>
  <w:style w:type="paragraph" w:styleId="Footer">
    <w:name w:val="footer"/>
    <w:basedOn w:val="Normal"/>
    <w:link w:val="FooterChar"/>
    <w:uiPriority w:val="99"/>
    <w:unhideWhenUsed/>
    <w:rsid w:val="00167AE1"/>
    <w:pPr>
      <w:tabs>
        <w:tab w:val="center" w:pos="4513"/>
        <w:tab w:val="right" w:pos="9026"/>
      </w:tabs>
      <w:spacing w:line="240" w:lineRule="auto"/>
    </w:pPr>
  </w:style>
  <w:style w:type="character" w:customStyle="1" w:styleId="FooterChar">
    <w:name w:val="Footer Char"/>
    <w:basedOn w:val="DefaultParagraphFont"/>
    <w:link w:val="Footer"/>
    <w:uiPriority w:val="99"/>
    <w:rsid w:val="00167AE1"/>
    <w:rPr>
      <w:rFonts w:ascii="Arial" w:hAnsi="Arial"/>
    </w:rPr>
  </w:style>
  <w:style w:type="paragraph" w:styleId="BalloonText">
    <w:name w:val="Balloon Text"/>
    <w:basedOn w:val="Normal"/>
    <w:link w:val="BalloonTextChar"/>
    <w:uiPriority w:val="99"/>
    <w:semiHidden/>
    <w:unhideWhenUsed/>
    <w:rsid w:val="001101AE"/>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101AE"/>
    <w:rPr>
      <w:rFonts w:ascii="Times New Roman" w:hAnsi="Times New Roman"/>
      <w:sz w:val="18"/>
      <w:szCs w:val="18"/>
    </w:rPr>
  </w:style>
  <w:style w:type="character" w:styleId="CommentReference">
    <w:name w:val="annotation reference"/>
    <w:basedOn w:val="DefaultParagraphFont"/>
    <w:uiPriority w:val="99"/>
    <w:semiHidden/>
    <w:unhideWhenUsed/>
    <w:rsid w:val="0028720F"/>
    <w:rPr>
      <w:sz w:val="18"/>
      <w:szCs w:val="18"/>
    </w:rPr>
  </w:style>
  <w:style w:type="paragraph" w:styleId="CommentText">
    <w:name w:val="annotation text"/>
    <w:basedOn w:val="Normal"/>
    <w:link w:val="CommentTextChar"/>
    <w:uiPriority w:val="99"/>
    <w:semiHidden/>
    <w:unhideWhenUsed/>
    <w:rsid w:val="0028720F"/>
    <w:pPr>
      <w:spacing w:line="240" w:lineRule="auto"/>
    </w:pPr>
    <w:rPr>
      <w:sz w:val="24"/>
      <w:szCs w:val="24"/>
    </w:rPr>
  </w:style>
  <w:style w:type="character" w:customStyle="1" w:styleId="CommentTextChar">
    <w:name w:val="Comment Text Char"/>
    <w:basedOn w:val="DefaultParagraphFont"/>
    <w:link w:val="CommentText"/>
    <w:uiPriority w:val="99"/>
    <w:semiHidden/>
    <w:rsid w:val="0028720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28720F"/>
    <w:rPr>
      <w:b/>
      <w:bCs/>
      <w:sz w:val="20"/>
      <w:szCs w:val="20"/>
    </w:rPr>
  </w:style>
  <w:style w:type="character" w:customStyle="1" w:styleId="CommentSubjectChar">
    <w:name w:val="Comment Subject Char"/>
    <w:basedOn w:val="CommentTextChar"/>
    <w:link w:val="CommentSubject"/>
    <w:uiPriority w:val="99"/>
    <w:semiHidden/>
    <w:rsid w:val="0028720F"/>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6F5"/>
    <w:pPr>
      <w:spacing w:after="0" w:line="280" w:lineRule="exact"/>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6F5"/>
    <w:pPr>
      <w:ind w:left="720"/>
      <w:contextualSpacing/>
    </w:pPr>
  </w:style>
  <w:style w:type="paragraph" w:styleId="Header">
    <w:name w:val="header"/>
    <w:basedOn w:val="Normal"/>
    <w:link w:val="HeaderChar"/>
    <w:uiPriority w:val="99"/>
    <w:unhideWhenUsed/>
    <w:rsid w:val="00167AE1"/>
    <w:pPr>
      <w:tabs>
        <w:tab w:val="center" w:pos="4513"/>
        <w:tab w:val="right" w:pos="9026"/>
      </w:tabs>
      <w:spacing w:line="240" w:lineRule="auto"/>
    </w:pPr>
  </w:style>
  <w:style w:type="character" w:customStyle="1" w:styleId="HeaderChar">
    <w:name w:val="Header Char"/>
    <w:basedOn w:val="DefaultParagraphFont"/>
    <w:link w:val="Header"/>
    <w:uiPriority w:val="99"/>
    <w:rsid w:val="00167AE1"/>
    <w:rPr>
      <w:rFonts w:ascii="Arial" w:hAnsi="Arial"/>
    </w:rPr>
  </w:style>
  <w:style w:type="paragraph" w:styleId="Footer">
    <w:name w:val="footer"/>
    <w:basedOn w:val="Normal"/>
    <w:link w:val="FooterChar"/>
    <w:uiPriority w:val="99"/>
    <w:unhideWhenUsed/>
    <w:rsid w:val="00167AE1"/>
    <w:pPr>
      <w:tabs>
        <w:tab w:val="center" w:pos="4513"/>
        <w:tab w:val="right" w:pos="9026"/>
      </w:tabs>
      <w:spacing w:line="240" w:lineRule="auto"/>
    </w:pPr>
  </w:style>
  <w:style w:type="character" w:customStyle="1" w:styleId="FooterChar">
    <w:name w:val="Footer Char"/>
    <w:basedOn w:val="DefaultParagraphFont"/>
    <w:link w:val="Footer"/>
    <w:uiPriority w:val="99"/>
    <w:rsid w:val="00167AE1"/>
    <w:rPr>
      <w:rFonts w:ascii="Arial" w:hAnsi="Arial"/>
    </w:rPr>
  </w:style>
  <w:style w:type="paragraph" w:styleId="BalloonText">
    <w:name w:val="Balloon Text"/>
    <w:basedOn w:val="Normal"/>
    <w:link w:val="BalloonTextChar"/>
    <w:uiPriority w:val="99"/>
    <w:semiHidden/>
    <w:unhideWhenUsed/>
    <w:rsid w:val="001101AE"/>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101AE"/>
    <w:rPr>
      <w:rFonts w:ascii="Times New Roman" w:hAnsi="Times New Roman"/>
      <w:sz w:val="18"/>
      <w:szCs w:val="18"/>
    </w:rPr>
  </w:style>
  <w:style w:type="character" w:styleId="CommentReference">
    <w:name w:val="annotation reference"/>
    <w:basedOn w:val="DefaultParagraphFont"/>
    <w:uiPriority w:val="99"/>
    <w:semiHidden/>
    <w:unhideWhenUsed/>
    <w:rsid w:val="0028720F"/>
    <w:rPr>
      <w:sz w:val="18"/>
      <w:szCs w:val="18"/>
    </w:rPr>
  </w:style>
  <w:style w:type="paragraph" w:styleId="CommentText">
    <w:name w:val="annotation text"/>
    <w:basedOn w:val="Normal"/>
    <w:link w:val="CommentTextChar"/>
    <w:uiPriority w:val="99"/>
    <w:semiHidden/>
    <w:unhideWhenUsed/>
    <w:rsid w:val="0028720F"/>
    <w:pPr>
      <w:spacing w:line="240" w:lineRule="auto"/>
    </w:pPr>
    <w:rPr>
      <w:sz w:val="24"/>
      <w:szCs w:val="24"/>
    </w:rPr>
  </w:style>
  <w:style w:type="character" w:customStyle="1" w:styleId="CommentTextChar">
    <w:name w:val="Comment Text Char"/>
    <w:basedOn w:val="DefaultParagraphFont"/>
    <w:link w:val="CommentText"/>
    <w:uiPriority w:val="99"/>
    <w:semiHidden/>
    <w:rsid w:val="0028720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28720F"/>
    <w:rPr>
      <w:b/>
      <w:bCs/>
      <w:sz w:val="20"/>
      <w:szCs w:val="20"/>
    </w:rPr>
  </w:style>
  <w:style w:type="character" w:customStyle="1" w:styleId="CommentSubjectChar">
    <w:name w:val="Comment Subject Char"/>
    <w:basedOn w:val="CommentTextChar"/>
    <w:link w:val="CommentSubject"/>
    <w:uiPriority w:val="99"/>
    <w:semiHidden/>
    <w:rsid w:val="0028720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3676</Words>
  <Characters>20956</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Asanda</cp:lastModifiedBy>
  <cp:revision>2</cp:revision>
  <dcterms:created xsi:type="dcterms:W3CDTF">2017-10-23T10:29:00Z</dcterms:created>
  <dcterms:modified xsi:type="dcterms:W3CDTF">2017-10-23T10:29:00Z</dcterms:modified>
</cp:coreProperties>
</file>